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18A3F" w14:textId="77777777" w:rsidR="008B2B2F" w:rsidRDefault="008B2B2F" w:rsidP="008B2B2F">
      <w:pPr>
        <w:jc w:val="center"/>
        <w:rPr>
          <w:rFonts w:ascii="Times New Roman" w:hAnsi="Times New Roman" w:cs="Times New Roman"/>
          <w:b/>
        </w:rPr>
      </w:pPr>
    </w:p>
    <w:p w14:paraId="7A718081" w14:textId="77777777" w:rsidR="008B2B2F" w:rsidRDefault="008B2B2F" w:rsidP="008B2B2F">
      <w:pPr>
        <w:jc w:val="center"/>
        <w:rPr>
          <w:rFonts w:ascii="Times New Roman" w:hAnsi="Times New Roman" w:cs="Times New Roman"/>
          <w:b/>
        </w:rPr>
      </w:pPr>
    </w:p>
    <w:p w14:paraId="6F5BCB19" w14:textId="77777777" w:rsidR="008B2B2F" w:rsidRDefault="008B2B2F" w:rsidP="008B2B2F">
      <w:pPr>
        <w:jc w:val="center"/>
        <w:rPr>
          <w:rFonts w:ascii="Times New Roman" w:hAnsi="Times New Roman" w:cs="Times New Roman"/>
          <w:b/>
        </w:rPr>
      </w:pPr>
    </w:p>
    <w:p w14:paraId="2F8B7033" w14:textId="77777777" w:rsidR="008B2B2F" w:rsidRDefault="008B2B2F" w:rsidP="008B2B2F">
      <w:pPr>
        <w:jc w:val="center"/>
        <w:rPr>
          <w:rFonts w:ascii="Times New Roman" w:hAnsi="Times New Roman" w:cs="Times New Roman"/>
          <w:b/>
        </w:rPr>
      </w:pPr>
    </w:p>
    <w:p w14:paraId="135C2095" w14:textId="77777777" w:rsidR="008B2B2F" w:rsidRDefault="008B2B2F" w:rsidP="008B2B2F">
      <w:pPr>
        <w:jc w:val="center"/>
        <w:rPr>
          <w:rFonts w:ascii="Times New Roman" w:hAnsi="Times New Roman" w:cs="Times New Roman"/>
          <w:b/>
        </w:rPr>
      </w:pPr>
    </w:p>
    <w:p w14:paraId="505AB59E" w14:textId="77777777" w:rsidR="008B2B2F" w:rsidRDefault="008B2B2F" w:rsidP="008B2B2F">
      <w:pPr>
        <w:jc w:val="center"/>
        <w:rPr>
          <w:rFonts w:ascii="Times New Roman" w:hAnsi="Times New Roman" w:cs="Times New Roman"/>
          <w:b/>
        </w:rPr>
      </w:pPr>
    </w:p>
    <w:p w14:paraId="42F63ECC" w14:textId="77777777" w:rsidR="008B2B2F" w:rsidRDefault="008B2B2F" w:rsidP="008B2B2F">
      <w:pPr>
        <w:jc w:val="center"/>
        <w:rPr>
          <w:rFonts w:ascii="Times New Roman" w:hAnsi="Times New Roman" w:cs="Times New Roman"/>
          <w:b/>
        </w:rPr>
      </w:pPr>
      <w:r>
        <w:rPr>
          <w:rFonts w:ascii="Times New Roman" w:hAnsi="Times New Roman" w:cs="Times New Roman"/>
          <w:b/>
        </w:rPr>
        <w:t>SUPPLEMENTAL MATERIAL</w:t>
      </w:r>
    </w:p>
    <w:p w14:paraId="7BD3EE20" w14:textId="77777777" w:rsidR="008B2B2F" w:rsidRDefault="008B2B2F">
      <w:pPr>
        <w:rPr>
          <w:rFonts w:ascii="Times New Roman" w:hAnsi="Times New Roman" w:cs="Times New Roman"/>
          <w:b/>
        </w:rPr>
      </w:pPr>
      <w:r>
        <w:rPr>
          <w:rFonts w:ascii="Times New Roman" w:hAnsi="Times New Roman" w:cs="Times New Roman"/>
          <w:b/>
        </w:rPr>
        <w:br w:type="page"/>
      </w:r>
    </w:p>
    <w:p w14:paraId="0C632F8C" w14:textId="77777777" w:rsidR="004E3161" w:rsidRDefault="00A1706C">
      <w:pPr>
        <w:rPr>
          <w:rFonts w:ascii="Times New Roman" w:hAnsi="Times New Roman" w:cs="Times New Roman"/>
          <w:b/>
        </w:rPr>
      </w:pPr>
      <w:r>
        <w:rPr>
          <w:rFonts w:ascii="Times New Roman" w:hAnsi="Times New Roman" w:cs="Times New Roman"/>
          <w:b/>
        </w:rPr>
        <w:lastRenderedPageBreak/>
        <w:t>Data s</w:t>
      </w:r>
      <w:r w:rsidR="00F209AB" w:rsidRPr="00F209AB">
        <w:rPr>
          <w:rFonts w:ascii="Times New Roman" w:hAnsi="Times New Roman" w:cs="Times New Roman"/>
          <w:b/>
        </w:rPr>
        <w:t>upplement</w:t>
      </w:r>
    </w:p>
    <w:p w14:paraId="5423D351" w14:textId="77777777" w:rsidR="00F209AB" w:rsidRPr="00F209AB" w:rsidRDefault="00F209AB">
      <w:pPr>
        <w:rPr>
          <w:rFonts w:ascii="Times New Roman" w:hAnsi="Times New Roman" w:cs="Times New Roman"/>
          <w:b/>
        </w:rPr>
      </w:pPr>
    </w:p>
    <w:p w14:paraId="7D6EB2DF" w14:textId="77777777" w:rsidR="00F209AB" w:rsidRPr="00F209AB" w:rsidRDefault="00F209AB">
      <w:pPr>
        <w:rPr>
          <w:rFonts w:ascii="Times New Roman" w:hAnsi="Times New Roman" w:cs="Times New Roman"/>
          <w:b/>
        </w:rPr>
      </w:pPr>
    </w:p>
    <w:p w14:paraId="1AD11D29" w14:textId="77777777" w:rsidR="00F209AB" w:rsidRPr="00F209AB" w:rsidRDefault="00F209AB">
      <w:pPr>
        <w:rPr>
          <w:rFonts w:ascii="Times New Roman" w:hAnsi="Times New Roman" w:cs="Times New Roman"/>
          <w:b/>
        </w:rPr>
      </w:pPr>
      <w:r w:rsidRPr="00F209AB">
        <w:rPr>
          <w:rFonts w:ascii="Times New Roman" w:hAnsi="Times New Roman" w:cs="Times New Roman"/>
          <w:b/>
        </w:rPr>
        <w:t>Expanded methods</w:t>
      </w:r>
    </w:p>
    <w:p w14:paraId="63586304" w14:textId="77777777" w:rsidR="00F209AB" w:rsidRDefault="00F209AB" w:rsidP="00B92842">
      <w:pPr>
        <w:jc w:val="both"/>
        <w:rPr>
          <w:rFonts w:ascii="Times New Roman" w:hAnsi="Times New Roman" w:cs="Times New Roman"/>
          <w:b/>
        </w:rPr>
      </w:pPr>
    </w:p>
    <w:p w14:paraId="50DB8856" w14:textId="77777777" w:rsidR="00B92842" w:rsidRDefault="00B92842" w:rsidP="00B92842">
      <w:pPr>
        <w:spacing w:line="480" w:lineRule="auto"/>
        <w:jc w:val="both"/>
        <w:rPr>
          <w:rFonts w:ascii="Times New Roman" w:hAnsi="Times New Roman" w:cs="Times New Roman"/>
          <w:b/>
        </w:rPr>
      </w:pPr>
      <w:r>
        <w:rPr>
          <w:rFonts w:ascii="Times New Roman" w:hAnsi="Times New Roman" w:cs="Times New Roman"/>
          <w:b/>
        </w:rPr>
        <w:t>QTc-interval</w:t>
      </w:r>
      <w:r w:rsidR="00B91450">
        <w:rPr>
          <w:rFonts w:ascii="Times New Roman" w:hAnsi="Times New Roman" w:cs="Times New Roman"/>
          <w:b/>
        </w:rPr>
        <w:t xml:space="preserve"> measurement</w:t>
      </w:r>
    </w:p>
    <w:p w14:paraId="110A3D10" w14:textId="2EB7D293" w:rsidR="00B92842" w:rsidRPr="00B92842" w:rsidRDefault="00B92842" w:rsidP="00B92842">
      <w:pPr>
        <w:spacing w:line="480" w:lineRule="auto"/>
        <w:jc w:val="both"/>
        <w:rPr>
          <w:rFonts w:ascii="Times New Roman" w:hAnsi="Times New Roman" w:cs="Times New Roman"/>
        </w:rPr>
      </w:pPr>
      <w:r w:rsidRPr="00B92842">
        <w:rPr>
          <w:rFonts w:ascii="Times New Roman" w:hAnsi="Times New Roman" w:cs="Times New Roman"/>
        </w:rPr>
        <w:t xml:space="preserve">ECGs were digitalized and analyzed using </w:t>
      </w:r>
      <w:proofErr w:type="spellStart"/>
      <w:r w:rsidRPr="00B92842">
        <w:rPr>
          <w:rFonts w:ascii="Times New Roman" w:hAnsi="Times New Roman" w:cs="Times New Roman"/>
        </w:rPr>
        <w:t>ImageJ</w:t>
      </w:r>
      <w:proofErr w:type="spellEnd"/>
      <w:r w:rsidRPr="00B92842">
        <w:rPr>
          <w:rFonts w:ascii="Times New Roman" w:hAnsi="Times New Roman" w:cs="Times New Roman"/>
        </w:rPr>
        <w:t xml:space="preserve"> (http://rsb.info.nih.gov/ij/) blinded to genotype. Only sinus rhythm complexes</w:t>
      </w:r>
      <w:bookmarkStart w:id="0" w:name="_GoBack"/>
      <w:bookmarkEnd w:id="0"/>
      <w:r w:rsidRPr="00B92842">
        <w:rPr>
          <w:rFonts w:ascii="Times New Roman" w:hAnsi="Times New Roman" w:cs="Times New Roman"/>
        </w:rPr>
        <w:t xml:space="preserve"> were analyzed. The QT-interval was measured manually on-screen using the tangent method.19 Lead II was used whenever possible. The average QT-interval from up to 3 consecutive beats with similar preceding RR-intervals was calculated and the QTc-interval was expressed using </w:t>
      </w:r>
      <w:proofErr w:type="spellStart"/>
      <w:r w:rsidRPr="00B92842">
        <w:rPr>
          <w:rFonts w:ascii="Times New Roman" w:hAnsi="Times New Roman" w:cs="Times New Roman"/>
        </w:rPr>
        <w:t>Bazett’s</w:t>
      </w:r>
      <w:proofErr w:type="spellEnd"/>
      <w:r w:rsidRPr="00B92842">
        <w:rPr>
          <w:rFonts w:ascii="Times New Roman" w:hAnsi="Times New Roman" w:cs="Times New Roman"/>
        </w:rPr>
        <w:t xml:space="preserve"> formula</w:t>
      </w:r>
      <w:r w:rsidR="003B79CC">
        <w:rPr>
          <w:rFonts w:ascii="Times New Roman" w:hAnsi="Times New Roman" w:cs="Times New Roman"/>
        </w:rPr>
        <w:t xml:space="preserve"> (</w:t>
      </w:r>
      <w:proofErr w:type="spellStart"/>
      <w:r w:rsidR="003B79CC">
        <w:rPr>
          <w:rFonts w:ascii="Times New Roman" w:hAnsi="Times New Roman" w:cs="Times New Roman"/>
        </w:rPr>
        <w:t>QTc</w:t>
      </w:r>
      <w:proofErr w:type="spellEnd"/>
      <w:r w:rsidR="003B79CC">
        <w:rPr>
          <w:rFonts w:ascii="Times New Roman" w:hAnsi="Times New Roman" w:cs="Times New Roman"/>
        </w:rPr>
        <w:t>=</w:t>
      </w:r>
      <w:r w:rsidR="003B79CC" w:rsidRPr="003B79CC">
        <w:t xml:space="preserve"> </w:t>
      </w:r>
      <w:r w:rsidR="003B79CC">
        <w:t>QT/√RR)</w:t>
      </w:r>
      <w:r w:rsidRPr="00B92842">
        <w:rPr>
          <w:rFonts w:ascii="Times New Roman" w:hAnsi="Times New Roman" w:cs="Times New Roman"/>
        </w:rPr>
        <w:t>.</w:t>
      </w:r>
    </w:p>
    <w:p w14:paraId="50D53EEA" w14:textId="77777777" w:rsidR="00B92842" w:rsidRPr="00F209AB" w:rsidRDefault="00B92842">
      <w:pPr>
        <w:rPr>
          <w:rFonts w:ascii="Times New Roman" w:hAnsi="Times New Roman" w:cs="Times New Roman"/>
          <w:b/>
        </w:rPr>
      </w:pPr>
    </w:p>
    <w:p w14:paraId="1FDB8860" w14:textId="77777777" w:rsidR="00F2067D" w:rsidRDefault="00F2067D" w:rsidP="00F2067D">
      <w:pPr>
        <w:pStyle w:val="BodyTextFirstIndent1"/>
        <w:spacing w:after="0" w:line="480" w:lineRule="auto"/>
        <w:ind w:firstLine="0"/>
        <w:rPr>
          <w:rFonts w:ascii="Times New Roman" w:hAnsi="Times New Roman"/>
          <w:b/>
          <w:sz w:val="24"/>
          <w:szCs w:val="24"/>
          <w:lang w:val="en-US"/>
        </w:rPr>
      </w:pPr>
      <w:r w:rsidRPr="00F2067D">
        <w:rPr>
          <w:rFonts w:ascii="Times New Roman" w:hAnsi="Times New Roman"/>
          <w:b/>
          <w:sz w:val="24"/>
          <w:szCs w:val="24"/>
          <w:lang w:val="en-US"/>
        </w:rPr>
        <w:t>Genotyping</w:t>
      </w:r>
    </w:p>
    <w:p w14:paraId="440B9DE5" w14:textId="77777777" w:rsidR="00F4287A" w:rsidRDefault="00F4287A" w:rsidP="00F4287A">
      <w:pPr>
        <w:pStyle w:val="BodyTextFirstIndent1"/>
        <w:spacing w:after="0" w:line="480" w:lineRule="auto"/>
        <w:ind w:firstLine="0"/>
        <w:rPr>
          <w:rFonts w:ascii="Times New Roman" w:hAnsi="Times New Roman"/>
          <w:i/>
          <w:sz w:val="24"/>
          <w:szCs w:val="24"/>
          <w:lang w:val="en-US"/>
        </w:rPr>
      </w:pPr>
      <w:r w:rsidRPr="00EB3EC1">
        <w:rPr>
          <w:rFonts w:ascii="Times New Roman" w:hAnsi="Times New Roman"/>
          <w:i/>
          <w:sz w:val="24"/>
          <w:szCs w:val="24"/>
          <w:lang w:val="en-US"/>
        </w:rPr>
        <w:t>Candidate gene SNPs</w:t>
      </w:r>
    </w:p>
    <w:p w14:paraId="0CB53DED" w14:textId="77777777" w:rsidR="00F4287A" w:rsidRPr="00B91450" w:rsidRDefault="00134DED" w:rsidP="00B91450">
      <w:pPr>
        <w:pStyle w:val="BodyTextFirstIndent1"/>
        <w:spacing w:after="0" w:line="480" w:lineRule="auto"/>
        <w:ind w:firstLine="0"/>
        <w:rPr>
          <w:rFonts w:ascii="Times New Roman" w:hAnsi="Times New Roman"/>
          <w:sz w:val="24"/>
          <w:szCs w:val="24"/>
          <w:lang w:val="en-US"/>
        </w:rPr>
      </w:pPr>
      <w:r w:rsidRPr="00720FA2">
        <w:rPr>
          <w:rFonts w:ascii="Times New Roman" w:hAnsi="Times New Roman"/>
          <w:sz w:val="24"/>
          <w:szCs w:val="24"/>
          <w:lang w:val="en-US"/>
        </w:rPr>
        <w:t>SNP genotyping was performed using a custom assay (</w:t>
      </w:r>
      <w:proofErr w:type="spellStart"/>
      <w:r w:rsidRPr="00720FA2">
        <w:rPr>
          <w:rFonts w:ascii="Times New Roman" w:hAnsi="Times New Roman"/>
          <w:sz w:val="24"/>
          <w:szCs w:val="24"/>
          <w:lang w:val="en-US"/>
        </w:rPr>
        <w:t>Illumina</w:t>
      </w:r>
      <w:proofErr w:type="spellEnd"/>
      <w:r w:rsidRPr="00720FA2">
        <w:rPr>
          <w:rFonts w:ascii="Times New Roman" w:hAnsi="Times New Roman"/>
          <w:sz w:val="24"/>
          <w:szCs w:val="24"/>
          <w:lang w:val="en-US"/>
        </w:rPr>
        <w:t xml:space="preserve"> </w:t>
      </w:r>
      <w:proofErr w:type="spellStart"/>
      <w:r w:rsidRPr="00720FA2">
        <w:rPr>
          <w:rFonts w:ascii="Times New Roman" w:hAnsi="Times New Roman"/>
          <w:sz w:val="24"/>
          <w:szCs w:val="24"/>
          <w:lang w:val="en-US"/>
        </w:rPr>
        <w:t>GoldenGate</w:t>
      </w:r>
      <w:proofErr w:type="spellEnd"/>
      <w:r w:rsidRPr="00720FA2">
        <w:rPr>
          <w:rFonts w:ascii="Times New Roman" w:hAnsi="Times New Roman"/>
          <w:sz w:val="24"/>
          <w:szCs w:val="24"/>
          <w:lang w:val="en-US"/>
        </w:rPr>
        <w:t>) on an Illumina-Bead</w:t>
      </w:r>
      <w:r>
        <w:rPr>
          <w:rFonts w:ascii="Times New Roman" w:hAnsi="Times New Roman"/>
          <w:sz w:val="24"/>
          <w:szCs w:val="24"/>
          <w:lang w:val="en-US"/>
        </w:rPr>
        <w:t>Station500GX</w:t>
      </w:r>
      <w:r w:rsidRPr="00720FA2">
        <w:rPr>
          <w:rFonts w:ascii="Times New Roman" w:hAnsi="Times New Roman"/>
          <w:sz w:val="24"/>
          <w:szCs w:val="24"/>
          <w:lang w:val="en-US"/>
        </w:rPr>
        <w:t xml:space="preserve">. The </w:t>
      </w:r>
      <w:proofErr w:type="spellStart"/>
      <w:r w:rsidRPr="00720FA2">
        <w:rPr>
          <w:rFonts w:ascii="Times New Roman" w:hAnsi="Times New Roman"/>
          <w:sz w:val="24"/>
          <w:szCs w:val="24"/>
          <w:lang w:val="en-US"/>
        </w:rPr>
        <w:t>Illumina</w:t>
      </w:r>
      <w:proofErr w:type="spellEnd"/>
      <w:r w:rsidRPr="00720FA2">
        <w:rPr>
          <w:rFonts w:ascii="Times New Roman" w:hAnsi="Times New Roman"/>
          <w:sz w:val="24"/>
          <w:szCs w:val="24"/>
          <w:lang w:val="en-US"/>
        </w:rPr>
        <w:t xml:space="preserve"> </w:t>
      </w:r>
      <w:proofErr w:type="spellStart"/>
      <w:r w:rsidRPr="00720FA2">
        <w:rPr>
          <w:rFonts w:ascii="Times New Roman" w:hAnsi="Times New Roman"/>
          <w:sz w:val="24"/>
          <w:szCs w:val="24"/>
          <w:lang w:val="en-US"/>
        </w:rPr>
        <w:t>BeadStudio</w:t>
      </w:r>
      <w:proofErr w:type="spellEnd"/>
      <w:r w:rsidRPr="00720FA2">
        <w:rPr>
          <w:rFonts w:ascii="Times New Roman" w:hAnsi="Times New Roman"/>
          <w:sz w:val="24"/>
          <w:szCs w:val="24"/>
          <w:lang w:val="en-US"/>
        </w:rPr>
        <w:t xml:space="preserve"> software clustering algorithm was used for initial data analysis. Thereafter, intensity plots of all variants were examined individually and manual genotype calling was performed if necessary. Monomorphic SNPs and SNPs with </w:t>
      </w:r>
      <w:r w:rsidRPr="00387E1D">
        <w:rPr>
          <w:rFonts w:ascii="Times New Roman" w:hAnsi="Times New Roman"/>
          <w:sz w:val="24"/>
          <w:szCs w:val="24"/>
          <w:lang w:val="en-US"/>
        </w:rPr>
        <w:t>a MAF &lt; 1%, as well as SNPs with call rates &lt;95% were removed from further analyses. A total of 1,201 SNPs had sufficient quality for analysis. All patients included in the association analysis had call rates ≥95%.</w:t>
      </w:r>
    </w:p>
    <w:p w14:paraId="20155782" w14:textId="77777777" w:rsidR="00F4287A" w:rsidRPr="00F4287A" w:rsidRDefault="00F4287A" w:rsidP="00F4287A">
      <w:pPr>
        <w:pStyle w:val="BodyTextFirstIndent1"/>
        <w:spacing w:after="0" w:line="480" w:lineRule="auto"/>
        <w:ind w:firstLine="0"/>
        <w:rPr>
          <w:rFonts w:ascii="Times New Roman" w:hAnsi="Times New Roman"/>
          <w:i/>
          <w:sz w:val="24"/>
          <w:szCs w:val="24"/>
          <w:lang w:val="en-US"/>
        </w:rPr>
      </w:pPr>
      <w:r w:rsidRPr="00EB3EC1">
        <w:rPr>
          <w:rFonts w:ascii="Times New Roman" w:hAnsi="Times New Roman"/>
          <w:i/>
          <w:sz w:val="24"/>
          <w:szCs w:val="24"/>
          <w:lang w:val="en-US"/>
        </w:rPr>
        <w:t xml:space="preserve">SNPs from QTc-interval GWAS </w:t>
      </w:r>
    </w:p>
    <w:p w14:paraId="6DCAE8B8" w14:textId="77777777" w:rsidR="00F2067D" w:rsidRDefault="00F2067D" w:rsidP="00F2067D">
      <w:pPr>
        <w:pStyle w:val="BodyTextFirstIndent1"/>
        <w:spacing w:after="0" w:line="480" w:lineRule="auto"/>
        <w:ind w:firstLine="0"/>
        <w:rPr>
          <w:rFonts w:ascii="Times New Roman" w:hAnsi="Times New Roman"/>
          <w:sz w:val="24"/>
          <w:szCs w:val="24"/>
          <w:lang w:val="en-US"/>
        </w:rPr>
      </w:pPr>
      <w:r w:rsidRPr="00720FA2">
        <w:rPr>
          <w:rFonts w:ascii="Times New Roman" w:hAnsi="Times New Roman"/>
          <w:sz w:val="24"/>
          <w:szCs w:val="24"/>
          <w:lang w:val="en-US"/>
        </w:rPr>
        <w:t xml:space="preserve">Genotyping was performed on the </w:t>
      </w:r>
      <w:proofErr w:type="spellStart"/>
      <w:r w:rsidRPr="00720FA2">
        <w:rPr>
          <w:rFonts w:ascii="Times New Roman" w:hAnsi="Times New Roman"/>
          <w:sz w:val="24"/>
          <w:szCs w:val="24"/>
          <w:lang w:val="en-US"/>
        </w:rPr>
        <w:t>MassARRAY</w:t>
      </w:r>
      <w:proofErr w:type="spellEnd"/>
      <w:r w:rsidRPr="00720FA2">
        <w:rPr>
          <w:rFonts w:ascii="Times New Roman" w:hAnsi="Times New Roman"/>
          <w:sz w:val="24"/>
          <w:szCs w:val="24"/>
          <w:lang w:val="en-US"/>
        </w:rPr>
        <w:t xml:space="preserve"> system using MALDI-TOF mass spectrometry with the </w:t>
      </w:r>
      <w:proofErr w:type="spellStart"/>
      <w:r w:rsidRPr="00720FA2">
        <w:rPr>
          <w:rFonts w:ascii="Times New Roman" w:hAnsi="Times New Roman"/>
          <w:sz w:val="24"/>
          <w:szCs w:val="24"/>
          <w:lang w:val="en-US"/>
        </w:rPr>
        <w:t>iPLEX</w:t>
      </w:r>
      <w:proofErr w:type="spellEnd"/>
      <w:r w:rsidRPr="00720FA2">
        <w:rPr>
          <w:rFonts w:ascii="Times New Roman" w:hAnsi="Times New Roman"/>
          <w:sz w:val="24"/>
          <w:szCs w:val="24"/>
          <w:lang w:val="en-US"/>
        </w:rPr>
        <w:t xml:space="preserve"> Gold chemistry (</w:t>
      </w:r>
      <w:proofErr w:type="spellStart"/>
      <w:r w:rsidRPr="00720FA2">
        <w:rPr>
          <w:rFonts w:ascii="Times New Roman" w:hAnsi="Times New Roman"/>
          <w:sz w:val="24"/>
          <w:szCs w:val="24"/>
          <w:lang w:val="en-US"/>
        </w:rPr>
        <w:t>Sequenom</w:t>
      </w:r>
      <w:proofErr w:type="spellEnd"/>
      <w:r w:rsidRPr="00720FA2">
        <w:rPr>
          <w:rFonts w:ascii="Times New Roman" w:hAnsi="Times New Roman"/>
          <w:sz w:val="24"/>
          <w:szCs w:val="24"/>
          <w:lang w:val="en-US"/>
        </w:rPr>
        <w:t xml:space="preserve"> Inc, San Diego, CA, USA). Primers were designed using Assay Designer 4.0.0.2 with </w:t>
      </w:r>
      <w:proofErr w:type="spellStart"/>
      <w:r w:rsidRPr="00720FA2">
        <w:rPr>
          <w:rFonts w:ascii="Times New Roman" w:hAnsi="Times New Roman"/>
          <w:sz w:val="24"/>
          <w:szCs w:val="24"/>
          <w:lang w:val="en-US"/>
        </w:rPr>
        <w:t>iPLEX</w:t>
      </w:r>
      <w:proofErr w:type="spellEnd"/>
      <w:r w:rsidRPr="00720FA2">
        <w:rPr>
          <w:rFonts w:ascii="Times New Roman" w:hAnsi="Times New Roman"/>
          <w:sz w:val="24"/>
          <w:szCs w:val="24"/>
          <w:lang w:val="en-US"/>
        </w:rPr>
        <w:t xml:space="preserve"> Gold default parameters. Automated genotype calling was done with </w:t>
      </w:r>
      <w:proofErr w:type="spellStart"/>
      <w:r w:rsidRPr="00720FA2">
        <w:rPr>
          <w:rFonts w:ascii="Times New Roman" w:hAnsi="Times New Roman"/>
          <w:sz w:val="24"/>
          <w:szCs w:val="24"/>
          <w:lang w:val="en-US"/>
        </w:rPr>
        <w:t>Typer</w:t>
      </w:r>
      <w:proofErr w:type="spellEnd"/>
      <w:r w:rsidRPr="00720FA2">
        <w:rPr>
          <w:rFonts w:ascii="Times New Roman" w:hAnsi="Times New Roman"/>
          <w:sz w:val="24"/>
          <w:szCs w:val="24"/>
          <w:lang w:val="en-US"/>
        </w:rPr>
        <w:t xml:space="preserve"> Analyzer 4.0.22.67. An </w:t>
      </w:r>
      <w:r w:rsidRPr="00720FA2">
        <w:rPr>
          <w:rFonts w:ascii="Times New Roman" w:hAnsi="Times New Roman"/>
          <w:sz w:val="24"/>
          <w:szCs w:val="24"/>
          <w:lang w:val="en-US"/>
        </w:rPr>
        <w:lastRenderedPageBreak/>
        <w:t xml:space="preserve">experienced evaluator checked genotype clustering visually. </w:t>
      </w:r>
      <w:r w:rsidR="00660AD4">
        <w:rPr>
          <w:rFonts w:ascii="Times New Roman" w:hAnsi="Times New Roman"/>
          <w:sz w:val="24"/>
          <w:szCs w:val="24"/>
          <w:lang w:val="en-US"/>
        </w:rPr>
        <w:t>The 3</w:t>
      </w:r>
      <w:r w:rsidR="00660AD4" w:rsidRPr="00720FA2">
        <w:rPr>
          <w:rFonts w:ascii="Times New Roman" w:hAnsi="Times New Roman"/>
          <w:sz w:val="24"/>
          <w:szCs w:val="24"/>
          <w:lang w:val="en-US"/>
        </w:rPr>
        <w:t xml:space="preserve"> SNPs </w:t>
      </w:r>
      <w:r w:rsidR="00660AD4">
        <w:rPr>
          <w:rFonts w:ascii="Times New Roman" w:hAnsi="Times New Roman"/>
          <w:sz w:val="24"/>
          <w:szCs w:val="24"/>
          <w:lang w:val="en-US"/>
        </w:rPr>
        <w:t>(</w:t>
      </w:r>
      <w:r w:rsidR="00660AD4" w:rsidRPr="00712DAC">
        <w:rPr>
          <w:rFonts w:ascii="Times New Roman" w:hAnsi="Times New Roman"/>
          <w:sz w:val="24"/>
          <w:szCs w:val="24"/>
          <w:lang w:val="en-US"/>
        </w:rPr>
        <w:t>rs16847548, rs1935778, rs956642</w:t>
      </w:r>
      <w:r w:rsidR="00660AD4">
        <w:rPr>
          <w:rFonts w:ascii="Times New Roman" w:hAnsi="Times New Roman"/>
          <w:sz w:val="24"/>
          <w:szCs w:val="24"/>
          <w:lang w:val="en-US"/>
        </w:rPr>
        <w:t xml:space="preserve">) </w:t>
      </w:r>
      <w:r w:rsidR="00660AD4" w:rsidRPr="00720FA2">
        <w:rPr>
          <w:rFonts w:ascii="Times New Roman" w:hAnsi="Times New Roman"/>
          <w:sz w:val="24"/>
          <w:szCs w:val="24"/>
          <w:lang w:val="en-US"/>
        </w:rPr>
        <w:t>from</w:t>
      </w:r>
      <w:r w:rsidR="00660AD4">
        <w:rPr>
          <w:rFonts w:ascii="Times New Roman" w:hAnsi="Times New Roman"/>
          <w:sz w:val="24"/>
          <w:szCs w:val="24"/>
          <w:lang w:val="en-US"/>
        </w:rPr>
        <w:t xml:space="preserve"> the candidate gene study genotyped in </w:t>
      </w:r>
      <w:r w:rsidR="00660AD4" w:rsidRPr="00720FA2">
        <w:rPr>
          <w:rFonts w:ascii="Times New Roman" w:hAnsi="Times New Roman"/>
          <w:sz w:val="24"/>
          <w:szCs w:val="24"/>
          <w:lang w:val="en-US"/>
        </w:rPr>
        <w:t xml:space="preserve">patient Set 2 were </w:t>
      </w:r>
      <w:r w:rsidR="00660AD4">
        <w:rPr>
          <w:rFonts w:ascii="Times New Roman" w:hAnsi="Times New Roman"/>
          <w:sz w:val="24"/>
          <w:szCs w:val="24"/>
          <w:lang w:val="en-US"/>
        </w:rPr>
        <w:t>also typed in this way.</w:t>
      </w:r>
    </w:p>
    <w:p w14:paraId="1C4EDA86" w14:textId="77777777" w:rsidR="00F209AB" w:rsidRDefault="00F209AB" w:rsidP="00F209AB">
      <w:pPr>
        <w:spacing w:line="480" w:lineRule="auto"/>
        <w:jc w:val="both"/>
        <w:rPr>
          <w:rFonts w:ascii="Times New Roman" w:hAnsi="Times New Roman"/>
          <w:b/>
        </w:rPr>
      </w:pPr>
    </w:p>
    <w:p w14:paraId="18220DF0" w14:textId="77777777" w:rsidR="00D367D8" w:rsidRPr="00F97447" w:rsidRDefault="00D367D8" w:rsidP="00D367D8">
      <w:pPr>
        <w:spacing w:line="480" w:lineRule="auto"/>
        <w:jc w:val="both"/>
        <w:rPr>
          <w:rFonts w:ascii="Times New Roman" w:hAnsi="Times New Roman"/>
          <w:b/>
        </w:rPr>
      </w:pPr>
      <w:r w:rsidRPr="00F97447">
        <w:rPr>
          <w:rFonts w:ascii="Times New Roman" w:hAnsi="Times New Roman"/>
          <w:b/>
        </w:rPr>
        <w:t>Sta</w:t>
      </w:r>
      <w:r>
        <w:rPr>
          <w:rFonts w:ascii="Times New Roman" w:hAnsi="Times New Roman"/>
          <w:b/>
        </w:rPr>
        <w:t xml:space="preserve">tistical significance </w:t>
      </w:r>
      <w:r w:rsidRPr="00F97447">
        <w:rPr>
          <w:rFonts w:ascii="Times New Roman" w:hAnsi="Times New Roman"/>
          <w:b/>
        </w:rPr>
        <w:t>thresholds</w:t>
      </w:r>
    </w:p>
    <w:p w14:paraId="6D7D800F" w14:textId="77777777" w:rsidR="00D367D8" w:rsidRDefault="00D367D8" w:rsidP="00D367D8">
      <w:pPr>
        <w:spacing w:line="480" w:lineRule="auto"/>
        <w:jc w:val="both"/>
        <w:rPr>
          <w:rFonts w:ascii="Times New Roman" w:hAnsi="Times New Roman"/>
        </w:rPr>
      </w:pPr>
      <w:r w:rsidRPr="00720FA2">
        <w:rPr>
          <w:rFonts w:ascii="Times New Roman" w:hAnsi="Times New Roman"/>
        </w:rPr>
        <w:t xml:space="preserve">For the candidate gene study, the </w:t>
      </w:r>
      <w:proofErr w:type="spellStart"/>
      <w:r w:rsidRPr="00720FA2">
        <w:rPr>
          <w:rFonts w:ascii="Times New Roman" w:hAnsi="Times New Roman"/>
        </w:rPr>
        <w:t>Bonferroni</w:t>
      </w:r>
      <w:proofErr w:type="spellEnd"/>
      <w:r w:rsidRPr="00720FA2">
        <w:rPr>
          <w:rFonts w:ascii="Times New Roman" w:hAnsi="Times New Roman"/>
        </w:rPr>
        <w:t>-corrected statistical sign</w:t>
      </w:r>
      <w:r>
        <w:rPr>
          <w:rFonts w:ascii="Times New Roman" w:hAnsi="Times New Roman"/>
        </w:rPr>
        <w:t>ificance threshold was set at p=</w:t>
      </w:r>
      <w:r w:rsidRPr="00720FA2">
        <w:rPr>
          <w:rFonts w:ascii="Times New Roman" w:hAnsi="Times New Roman"/>
        </w:rPr>
        <w:t>4.2×10</w:t>
      </w:r>
      <w:r w:rsidRPr="00720FA2">
        <w:rPr>
          <w:rFonts w:ascii="Times New Roman" w:hAnsi="Times New Roman"/>
          <w:vertAlign w:val="superscript"/>
        </w:rPr>
        <w:t>-5</w:t>
      </w:r>
      <w:r>
        <w:rPr>
          <w:rFonts w:ascii="Times New Roman" w:hAnsi="Times New Roman"/>
        </w:rPr>
        <w:t xml:space="preserve"> (0.05/1,201) </w:t>
      </w:r>
      <w:r w:rsidRPr="00414452">
        <w:rPr>
          <w:rFonts w:ascii="Times New Roman" w:hAnsi="Times New Roman"/>
        </w:rPr>
        <w:t>and p=0.016 (0.05/3),</w:t>
      </w:r>
      <w:r w:rsidRPr="00720FA2">
        <w:rPr>
          <w:rFonts w:ascii="Times New Roman" w:hAnsi="Times New Roman"/>
        </w:rPr>
        <w:t xml:space="preserve"> for the discovery and the replication phase, respectively. In testing the SNPs from GWAS, the </w:t>
      </w:r>
      <w:proofErr w:type="spellStart"/>
      <w:r w:rsidRPr="00720FA2">
        <w:rPr>
          <w:rFonts w:ascii="Times New Roman" w:hAnsi="Times New Roman"/>
        </w:rPr>
        <w:t>Bonferroni</w:t>
      </w:r>
      <w:proofErr w:type="spellEnd"/>
      <w:r w:rsidRPr="00720FA2">
        <w:rPr>
          <w:rFonts w:ascii="Times New Roman" w:hAnsi="Times New Roman"/>
        </w:rPr>
        <w:t>-corrected significance threshold was set at p=2.27×10</w:t>
      </w:r>
      <w:r w:rsidRPr="00720FA2">
        <w:rPr>
          <w:rFonts w:ascii="Times New Roman" w:hAnsi="Times New Roman"/>
          <w:vertAlign w:val="superscript"/>
        </w:rPr>
        <w:t>-3</w:t>
      </w:r>
      <w:r w:rsidRPr="00720FA2">
        <w:rPr>
          <w:rFonts w:ascii="Times New Roman" w:hAnsi="Times New Roman"/>
        </w:rPr>
        <w:t xml:space="preserve"> (0.05/22)</w:t>
      </w:r>
      <w:r>
        <w:rPr>
          <w:rFonts w:ascii="Times New Roman" w:hAnsi="Times New Roman"/>
        </w:rPr>
        <w:t>, both for the quantitative effect analysis on QTc-interval as well as in the case-control analysis</w:t>
      </w:r>
      <w:r w:rsidRPr="00720FA2">
        <w:rPr>
          <w:rFonts w:ascii="Times New Roman" w:hAnsi="Times New Roman"/>
        </w:rPr>
        <w:t>.</w:t>
      </w:r>
      <w:r>
        <w:rPr>
          <w:rFonts w:ascii="Times New Roman" w:hAnsi="Times New Roman"/>
        </w:rPr>
        <w:t xml:space="preserve"> In the analysis for effects on cardiac events, a p-value threshold of 0.004 (0.05/12) was used. </w:t>
      </w:r>
    </w:p>
    <w:p w14:paraId="02A6B16B" w14:textId="77777777" w:rsidR="00D367D8" w:rsidRDefault="00D367D8" w:rsidP="00F209AB">
      <w:pPr>
        <w:spacing w:line="480" w:lineRule="auto"/>
        <w:jc w:val="both"/>
        <w:rPr>
          <w:rFonts w:ascii="Times New Roman" w:hAnsi="Times New Roman"/>
          <w:b/>
        </w:rPr>
      </w:pPr>
    </w:p>
    <w:p w14:paraId="4FF113FC" w14:textId="77777777" w:rsidR="00F209AB" w:rsidRPr="00F209AB" w:rsidRDefault="00F209AB" w:rsidP="00F209AB">
      <w:pPr>
        <w:spacing w:line="480" w:lineRule="auto"/>
        <w:jc w:val="both"/>
        <w:rPr>
          <w:rFonts w:ascii="Times New Roman" w:hAnsi="Times New Roman"/>
          <w:b/>
        </w:rPr>
      </w:pPr>
      <w:r w:rsidRPr="00F209AB">
        <w:rPr>
          <w:rFonts w:ascii="Times New Roman" w:hAnsi="Times New Roman"/>
          <w:b/>
        </w:rPr>
        <w:t>Power statement</w:t>
      </w:r>
    </w:p>
    <w:p w14:paraId="46790865" w14:textId="05AFD5A6" w:rsidR="006648DD" w:rsidRDefault="00F209AB" w:rsidP="0028358E">
      <w:pPr>
        <w:spacing w:line="480" w:lineRule="auto"/>
        <w:jc w:val="both"/>
        <w:rPr>
          <w:rFonts w:ascii="Times New Roman" w:hAnsi="Times New Roman" w:cs="Times New Roman"/>
          <w:b/>
        </w:rPr>
      </w:pPr>
      <w:r w:rsidRPr="00F209AB">
        <w:rPr>
          <w:rFonts w:ascii="Times New Roman" w:hAnsi="Times New Roman"/>
        </w:rPr>
        <w:t xml:space="preserve">With the present sample sizes, </w:t>
      </w:r>
      <w:r w:rsidR="00A139B1">
        <w:rPr>
          <w:rFonts w:ascii="Times New Roman" w:hAnsi="Times New Roman"/>
        </w:rPr>
        <w:t xml:space="preserve">QTc </w:t>
      </w:r>
      <w:r w:rsidRPr="00F209AB">
        <w:rPr>
          <w:rFonts w:ascii="Times New Roman" w:hAnsi="Times New Roman"/>
        </w:rPr>
        <w:t xml:space="preserve">effect sizes of 28, 19 and 17 ms could be detected in the candidate gene study with 80% power for SNPs with minor allele frequencies of 0.1, 0.25 and 0.5, respectively. For the SNPs from the GWAS, effect sizes of 17, 12 and 10 ms could be detected with 80% power for SNPs with minor allele frequencies of 0.1, 0.25 and 0.5, respectively. For both, we assumed a mean (±SD) QTc of 465 ± 45 </w:t>
      </w:r>
      <w:proofErr w:type="spellStart"/>
      <w:r w:rsidRPr="00F209AB">
        <w:rPr>
          <w:rFonts w:ascii="Times New Roman" w:hAnsi="Times New Roman"/>
        </w:rPr>
        <w:t>ms.</w:t>
      </w:r>
      <w:proofErr w:type="spellEnd"/>
      <w:r w:rsidRPr="00F209AB">
        <w:rPr>
          <w:rFonts w:ascii="Times New Roman" w:hAnsi="Times New Roman"/>
        </w:rPr>
        <w:t xml:space="preserve"> </w:t>
      </w:r>
      <w:r w:rsidR="00A139B1" w:rsidRPr="00A139B1">
        <w:rPr>
          <w:rFonts w:ascii="Times New Roman" w:hAnsi="Times New Roman"/>
        </w:rPr>
        <w:t>For the cardiac events, we could detect hazard ratios of 1.9, 1.6 and 1.5 for SNPs with minor allele frequencies of 0.1, 0.25 and 0.5, respectively, assuming an event rate of 32%.</w:t>
      </w:r>
      <w:r w:rsidR="00A139B1">
        <w:rPr>
          <w:rFonts w:ascii="Times New Roman" w:hAnsi="Times New Roman"/>
        </w:rPr>
        <w:t xml:space="preserve"> </w:t>
      </w:r>
      <w:r w:rsidRPr="00F209AB">
        <w:rPr>
          <w:rFonts w:ascii="Times New Roman" w:hAnsi="Times New Roman"/>
        </w:rPr>
        <w:t>For the case-control study, we could detect odds ratios of 2.1, 1.8 and 1.70 for SNPs with minor allele frequencies of 0.1, 0.25 and 0.5, respectively</w:t>
      </w:r>
      <w:r w:rsidR="00A139B1">
        <w:rPr>
          <w:rFonts w:ascii="Times New Roman" w:hAnsi="Times New Roman"/>
        </w:rPr>
        <w:t xml:space="preserve">. For all calculations, we assumed </w:t>
      </w:r>
      <w:proofErr w:type="gramStart"/>
      <w:r w:rsidR="00A139B1">
        <w:rPr>
          <w:rFonts w:ascii="Times New Roman" w:hAnsi="Times New Roman"/>
        </w:rPr>
        <w:t>a</w:t>
      </w:r>
      <w:proofErr w:type="gramEnd"/>
      <w:r w:rsidR="00A139B1">
        <w:rPr>
          <w:rFonts w:ascii="Times New Roman" w:hAnsi="Times New Roman"/>
        </w:rPr>
        <w:t xml:space="preserve"> (log) additive genetic model and two sided significance thresholds as described in the previous section.</w:t>
      </w:r>
      <w:r w:rsidR="006648DD">
        <w:rPr>
          <w:rFonts w:ascii="Times New Roman" w:hAnsi="Times New Roman" w:cs="Times New Roman"/>
          <w:b/>
        </w:rPr>
        <w:br w:type="page"/>
      </w:r>
    </w:p>
    <w:p w14:paraId="2C43D8C5" w14:textId="77777777" w:rsidR="00F209AB" w:rsidRDefault="00F209AB">
      <w:pPr>
        <w:rPr>
          <w:rFonts w:ascii="Times New Roman" w:hAnsi="Times New Roman" w:cs="Times New Roman"/>
          <w:b/>
        </w:rPr>
      </w:pPr>
      <w:r w:rsidRPr="00F209AB">
        <w:rPr>
          <w:rFonts w:ascii="Times New Roman" w:hAnsi="Times New Roman" w:cs="Times New Roman"/>
          <w:b/>
        </w:rPr>
        <w:lastRenderedPageBreak/>
        <w:t>Additional figures and tables</w:t>
      </w:r>
    </w:p>
    <w:p w14:paraId="41DFBB62" w14:textId="77777777" w:rsidR="00F209AB" w:rsidRDefault="00F209AB">
      <w:pPr>
        <w:rPr>
          <w:rFonts w:ascii="Times New Roman" w:hAnsi="Times New Roman" w:cs="Times New Roman"/>
          <w:b/>
        </w:rPr>
      </w:pPr>
    </w:p>
    <w:p w14:paraId="3F2472D2" w14:textId="77777777" w:rsidR="00F209AB" w:rsidRPr="00302E86" w:rsidRDefault="00F209AB" w:rsidP="00F209AB">
      <w:pPr>
        <w:jc w:val="both"/>
        <w:rPr>
          <w:rFonts w:ascii="Times New Roman" w:hAnsi="Times New Roman"/>
          <w:b/>
        </w:rPr>
      </w:pPr>
    </w:p>
    <w:p w14:paraId="7455C26B" w14:textId="77777777" w:rsidR="00F209AB" w:rsidRPr="00B94CFA" w:rsidRDefault="00F209AB" w:rsidP="00F209AB">
      <w:pPr>
        <w:ind w:right="2630"/>
        <w:jc w:val="both"/>
        <w:rPr>
          <w:rFonts w:ascii="Times New Roman" w:hAnsi="Times New Roman"/>
          <w:b/>
        </w:rPr>
      </w:pPr>
      <w:proofErr w:type="gramStart"/>
      <w:r w:rsidRPr="00B94CFA">
        <w:rPr>
          <w:rFonts w:ascii="Times New Roman" w:hAnsi="Times New Roman"/>
          <w:b/>
        </w:rPr>
        <w:t xml:space="preserve">Supplementary Table </w:t>
      </w:r>
      <w:r w:rsidR="001B06CD" w:rsidRPr="00B94CFA">
        <w:rPr>
          <w:rFonts w:ascii="Times New Roman" w:hAnsi="Times New Roman"/>
          <w:b/>
        </w:rPr>
        <w:fldChar w:fldCharType="begin"/>
      </w:r>
      <w:r w:rsidRPr="00B94CFA">
        <w:rPr>
          <w:rFonts w:ascii="Times New Roman" w:hAnsi="Times New Roman"/>
          <w:b/>
        </w:rPr>
        <w:instrText xml:space="preserve"> SEQ Table \* ARABIC </w:instrText>
      </w:r>
      <w:r w:rsidR="001B06CD" w:rsidRPr="00B94CFA">
        <w:rPr>
          <w:rFonts w:ascii="Times New Roman" w:hAnsi="Times New Roman"/>
          <w:b/>
        </w:rPr>
        <w:fldChar w:fldCharType="separate"/>
      </w:r>
      <w:r>
        <w:rPr>
          <w:rFonts w:ascii="Times New Roman" w:hAnsi="Times New Roman"/>
          <w:b/>
          <w:noProof/>
        </w:rPr>
        <w:t>1</w:t>
      </w:r>
      <w:r w:rsidR="001B06CD" w:rsidRPr="00B94CFA">
        <w:rPr>
          <w:rFonts w:ascii="Times New Roman" w:hAnsi="Times New Roman"/>
          <w:b/>
        </w:rPr>
        <w:fldChar w:fldCharType="end"/>
      </w:r>
      <w:r w:rsidRPr="00B94CFA">
        <w:rPr>
          <w:rFonts w:ascii="Times New Roman" w:hAnsi="Times New Roman"/>
          <w:b/>
        </w:rPr>
        <w:t>.</w:t>
      </w:r>
      <w:proofErr w:type="gramEnd"/>
      <w:r w:rsidRPr="00B94CFA">
        <w:rPr>
          <w:rFonts w:ascii="Times New Roman" w:hAnsi="Times New Roman"/>
          <w:b/>
        </w:rPr>
        <w:t xml:space="preserve"> </w:t>
      </w:r>
      <w:r w:rsidRPr="00B94CFA">
        <w:rPr>
          <w:rFonts w:ascii="Times New Roman" w:hAnsi="Times New Roman"/>
        </w:rPr>
        <w:t>Overview of candidate genes and SNPs tested</w:t>
      </w:r>
    </w:p>
    <w:tbl>
      <w:tblPr>
        <w:tblW w:w="5653" w:type="dxa"/>
        <w:tblInd w:w="57" w:type="dxa"/>
        <w:tblCellMar>
          <w:left w:w="70" w:type="dxa"/>
          <w:right w:w="70" w:type="dxa"/>
        </w:tblCellMar>
        <w:tblLook w:val="00A0" w:firstRow="1" w:lastRow="0" w:firstColumn="1" w:lastColumn="0" w:noHBand="0" w:noVBand="0"/>
      </w:tblPr>
      <w:tblGrid>
        <w:gridCol w:w="1573"/>
        <w:gridCol w:w="1800"/>
        <w:gridCol w:w="2280"/>
      </w:tblGrid>
      <w:tr w:rsidR="00F209AB" w:rsidRPr="00B94CFA" w14:paraId="4EF7AB6A" w14:textId="77777777" w:rsidTr="00F4287A">
        <w:trPr>
          <w:trHeight w:val="304"/>
        </w:trPr>
        <w:tc>
          <w:tcPr>
            <w:tcW w:w="1573" w:type="dxa"/>
            <w:tcBorders>
              <w:top w:val="single" w:sz="4" w:space="0" w:color="auto"/>
              <w:left w:val="nil"/>
              <w:bottom w:val="single" w:sz="8" w:space="0" w:color="auto"/>
              <w:right w:val="nil"/>
            </w:tcBorders>
            <w:noWrap/>
            <w:vAlign w:val="bottom"/>
          </w:tcPr>
          <w:p w14:paraId="191084CD" w14:textId="77777777" w:rsidR="00F209AB" w:rsidRPr="00B94CFA" w:rsidRDefault="00F209AB" w:rsidP="00F4287A">
            <w:pPr>
              <w:jc w:val="center"/>
              <w:rPr>
                <w:rFonts w:ascii="Times New Roman" w:hAnsi="Times New Roman"/>
                <w:b/>
                <w:bCs/>
                <w:color w:val="000000"/>
                <w:lang w:eastAsia="nl-NL"/>
              </w:rPr>
            </w:pPr>
            <w:r w:rsidRPr="00B94CFA">
              <w:rPr>
                <w:rFonts w:ascii="Times New Roman" w:hAnsi="Times New Roman"/>
                <w:b/>
                <w:bCs/>
                <w:color w:val="000000"/>
                <w:lang w:eastAsia="nl-NL"/>
              </w:rPr>
              <w:t>Gene</w:t>
            </w:r>
          </w:p>
        </w:tc>
        <w:tc>
          <w:tcPr>
            <w:tcW w:w="1800" w:type="dxa"/>
            <w:tcBorders>
              <w:top w:val="single" w:sz="4" w:space="0" w:color="auto"/>
              <w:left w:val="nil"/>
              <w:bottom w:val="single" w:sz="8" w:space="0" w:color="auto"/>
              <w:right w:val="nil"/>
            </w:tcBorders>
            <w:noWrap/>
            <w:vAlign w:val="bottom"/>
          </w:tcPr>
          <w:p w14:paraId="29C35EC0" w14:textId="77777777" w:rsidR="00F209AB" w:rsidRPr="00B94CFA" w:rsidRDefault="00F209AB" w:rsidP="00F4287A">
            <w:pPr>
              <w:jc w:val="center"/>
              <w:rPr>
                <w:rFonts w:ascii="Times New Roman" w:hAnsi="Times New Roman"/>
                <w:b/>
                <w:bCs/>
                <w:color w:val="000000"/>
                <w:lang w:eastAsia="nl-NL"/>
              </w:rPr>
            </w:pPr>
            <w:r w:rsidRPr="00B94CFA">
              <w:rPr>
                <w:rFonts w:ascii="Times New Roman" w:hAnsi="Times New Roman"/>
                <w:b/>
                <w:bCs/>
                <w:color w:val="000000"/>
                <w:lang w:eastAsia="nl-NL"/>
              </w:rPr>
              <w:t>Chromosome</w:t>
            </w:r>
          </w:p>
        </w:tc>
        <w:tc>
          <w:tcPr>
            <w:tcW w:w="2280" w:type="dxa"/>
            <w:tcBorders>
              <w:top w:val="single" w:sz="4" w:space="0" w:color="auto"/>
              <w:left w:val="nil"/>
              <w:bottom w:val="single" w:sz="8" w:space="0" w:color="auto"/>
              <w:right w:val="nil"/>
            </w:tcBorders>
            <w:noWrap/>
            <w:vAlign w:val="bottom"/>
          </w:tcPr>
          <w:p w14:paraId="4716C105" w14:textId="77777777" w:rsidR="00F209AB" w:rsidRPr="00B94CFA" w:rsidRDefault="00F209AB" w:rsidP="00F4287A">
            <w:pPr>
              <w:jc w:val="center"/>
              <w:rPr>
                <w:rFonts w:ascii="Times New Roman" w:hAnsi="Times New Roman"/>
                <w:b/>
                <w:bCs/>
                <w:color w:val="000000"/>
                <w:lang w:eastAsia="nl-NL"/>
              </w:rPr>
            </w:pPr>
            <w:r w:rsidRPr="00B94CFA">
              <w:rPr>
                <w:rFonts w:ascii="Times New Roman" w:hAnsi="Times New Roman"/>
                <w:b/>
                <w:bCs/>
                <w:color w:val="000000"/>
                <w:lang w:eastAsia="nl-NL"/>
              </w:rPr>
              <w:t>Tag SNPs passing QC</w:t>
            </w:r>
          </w:p>
        </w:tc>
      </w:tr>
      <w:tr w:rsidR="00F209AB" w:rsidRPr="00B94CFA" w14:paraId="49CFD481" w14:textId="77777777" w:rsidTr="00F4287A">
        <w:trPr>
          <w:trHeight w:val="290"/>
        </w:trPr>
        <w:tc>
          <w:tcPr>
            <w:tcW w:w="1573" w:type="dxa"/>
            <w:tcBorders>
              <w:top w:val="nil"/>
              <w:left w:val="nil"/>
              <w:bottom w:val="nil"/>
              <w:right w:val="nil"/>
            </w:tcBorders>
            <w:noWrap/>
            <w:vAlign w:val="center"/>
          </w:tcPr>
          <w:p w14:paraId="0E77F01B"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AKAP9</w:t>
            </w:r>
          </w:p>
        </w:tc>
        <w:tc>
          <w:tcPr>
            <w:tcW w:w="1800" w:type="dxa"/>
            <w:tcBorders>
              <w:top w:val="nil"/>
              <w:left w:val="nil"/>
              <w:bottom w:val="nil"/>
              <w:right w:val="nil"/>
            </w:tcBorders>
            <w:noWrap/>
            <w:vAlign w:val="center"/>
          </w:tcPr>
          <w:p w14:paraId="2A42F32F"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7q21-q22</w:t>
            </w:r>
          </w:p>
        </w:tc>
        <w:tc>
          <w:tcPr>
            <w:tcW w:w="2280" w:type="dxa"/>
            <w:tcBorders>
              <w:top w:val="nil"/>
              <w:left w:val="nil"/>
              <w:bottom w:val="nil"/>
              <w:right w:val="nil"/>
            </w:tcBorders>
            <w:noWrap/>
            <w:vAlign w:val="center"/>
          </w:tcPr>
          <w:p w14:paraId="65780E77"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14</w:t>
            </w:r>
          </w:p>
        </w:tc>
      </w:tr>
      <w:tr w:rsidR="00F209AB" w:rsidRPr="00B94CFA" w14:paraId="2BEBBE68" w14:textId="77777777" w:rsidTr="00F4287A">
        <w:trPr>
          <w:trHeight w:val="290"/>
        </w:trPr>
        <w:tc>
          <w:tcPr>
            <w:tcW w:w="1573" w:type="dxa"/>
            <w:tcBorders>
              <w:top w:val="nil"/>
              <w:left w:val="nil"/>
              <w:bottom w:val="nil"/>
              <w:right w:val="nil"/>
            </w:tcBorders>
            <w:noWrap/>
            <w:vAlign w:val="center"/>
          </w:tcPr>
          <w:p w14:paraId="45183A92"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ANK2</w:t>
            </w:r>
          </w:p>
        </w:tc>
        <w:tc>
          <w:tcPr>
            <w:tcW w:w="1800" w:type="dxa"/>
            <w:tcBorders>
              <w:top w:val="nil"/>
              <w:left w:val="nil"/>
              <w:bottom w:val="nil"/>
              <w:right w:val="nil"/>
            </w:tcBorders>
            <w:noWrap/>
            <w:vAlign w:val="center"/>
          </w:tcPr>
          <w:p w14:paraId="4D8BC77C"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4q25-q27</w:t>
            </w:r>
          </w:p>
        </w:tc>
        <w:tc>
          <w:tcPr>
            <w:tcW w:w="2280" w:type="dxa"/>
            <w:tcBorders>
              <w:top w:val="nil"/>
              <w:left w:val="nil"/>
              <w:bottom w:val="nil"/>
              <w:right w:val="nil"/>
            </w:tcBorders>
            <w:noWrap/>
            <w:vAlign w:val="center"/>
          </w:tcPr>
          <w:p w14:paraId="0670AEBA"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103</w:t>
            </w:r>
          </w:p>
        </w:tc>
      </w:tr>
      <w:tr w:rsidR="00F209AB" w:rsidRPr="00B94CFA" w14:paraId="73FFCF3F" w14:textId="77777777" w:rsidTr="00F4287A">
        <w:trPr>
          <w:trHeight w:val="290"/>
        </w:trPr>
        <w:tc>
          <w:tcPr>
            <w:tcW w:w="1573" w:type="dxa"/>
            <w:tcBorders>
              <w:top w:val="nil"/>
              <w:left w:val="nil"/>
              <w:bottom w:val="nil"/>
              <w:right w:val="nil"/>
            </w:tcBorders>
            <w:noWrap/>
            <w:vAlign w:val="center"/>
          </w:tcPr>
          <w:p w14:paraId="0DF47566"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CACNA1C</w:t>
            </w:r>
          </w:p>
        </w:tc>
        <w:tc>
          <w:tcPr>
            <w:tcW w:w="1800" w:type="dxa"/>
            <w:tcBorders>
              <w:top w:val="nil"/>
              <w:left w:val="nil"/>
              <w:bottom w:val="nil"/>
              <w:right w:val="nil"/>
            </w:tcBorders>
            <w:noWrap/>
            <w:vAlign w:val="center"/>
          </w:tcPr>
          <w:p w14:paraId="764886D2"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12p13.3</w:t>
            </w:r>
          </w:p>
        </w:tc>
        <w:tc>
          <w:tcPr>
            <w:tcW w:w="2280" w:type="dxa"/>
            <w:tcBorders>
              <w:top w:val="nil"/>
              <w:left w:val="nil"/>
              <w:bottom w:val="nil"/>
              <w:right w:val="nil"/>
            </w:tcBorders>
            <w:noWrap/>
            <w:vAlign w:val="center"/>
          </w:tcPr>
          <w:p w14:paraId="57690C0A"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150</w:t>
            </w:r>
          </w:p>
        </w:tc>
      </w:tr>
      <w:tr w:rsidR="00F209AB" w:rsidRPr="00B94CFA" w14:paraId="3E696033" w14:textId="77777777" w:rsidTr="00F4287A">
        <w:trPr>
          <w:trHeight w:val="290"/>
        </w:trPr>
        <w:tc>
          <w:tcPr>
            <w:tcW w:w="1573" w:type="dxa"/>
            <w:tcBorders>
              <w:top w:val="nil"/>
              <w:left w:val="nil"/>
              <w:bottom w:val="nil"/>
              <w:right w:val="nil"/>
            </w:tcBorders>
            <w:noWrap/>
            <w:vAlign w:val="center"/>
          </w:tcPr>
          <w:p w14:paraId="37BE8824"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CASQ2</w:t>
            </w:r>
          </w:p>
        </w:tc>
        <w:tc>
          <w:tcPr>
            <w:tcW w:w="1800" w:type="dxa"/>
            <w:tcBorders>
              <w:top w:val="nil"/>
              <w:left w:val="nil"/>
              <w:bottom w:val="nil"/>
              <w:right w:val="nil"/>
            </w:tcBorders>
            <w:noWrap/>
            <w:vAlign w:val="center"/>
          </w:tcPr>
          <w:p w14:paraId="2379A86B"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1p13.3-p11</w:t>
            </w:r>
          </w:p>
        </w:tc>
        <w:tc>
          <w:tcPr>
            <w:tcW w:w="2280" w:type="dxa"/>
            <w:tcBorders>
              <w:top w:val="nil"/>
              <w:left w:val="nil"/>
              <w:bottom w:val="nil"/>
              <w:right w:val="nil"/>
            </w:tcBorders>
            <w:noWrap/>
            <w:vAlign w:val="center"/>
          </w:tcPr>
          <w:p w14:paraId="0D3ED476"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59</w:t>
            </w:r>
          </w:p>
        </w:tc>
      </w:tr>
      <w:tr w:rsidR="00F209AB" w:rsidRPr="00B94CFA" w14:paraId="140C2828" w14:textId="77777777" w:rsidTr="00F4287A">
        <w:trPr>
          <w:trHeight w:val="290"/>
        </w:trPr>
        <w:tc>
          <w:tcPr>
            <w:tcW w:w="1573" w:type="dxa"/>
            <w:tcBorders>
              <w:top w:val="nil"/>
              <w:left w:val="nil"/>
              <w:bottom w:val="nil"/>
              <w:right w:val="nil"/>
            </w:tcBorders>
            <w:noWrap/>
            <w:vAlign w:val="center"/>
          </w:tcPr>
          <w:p w14:paraId="6B9C5A3E"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CAV3</w:t>
            </w:r>
          </w:p>
        </w:tc>
        <w:tc>
          <w:tcPr>
            <w:tcW w:w="1800" w:type="dxa"/>
            <w:tcBorders>
              <w:top w:val="nil"/>
              <w:left w:val="nil"/>
              <w:bottom w:val="nil"/>
              <w:right w:val="nil"/>
            </w:tcBorders>
            <w:noWrap/>
            <w:vAlign w:val="center"/>
          </w:tcPr>
          <w:p w14:paraId="683EF4EE"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3p25</w:t>
            </w:r>
          </w:p>
        </w:tc>
        <w:tc>
          <w:tcPr>
            <w:tcW w:w="2280" w:type="dxa"/>
            <w:tcBorders>
              <w:top w:val="nil"/>
              <w:left w:val="nil"/>
              <w:bottom w:val="nil"/>
              <w:right w:val="nil"/>
            </w:tcBorders>
            <w:noWrap/>
            <w:vAlign w:val="center"/>
          </w:tcPr>
          <w:p w14:paraId="52474AC4"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55</w:t>
            </w:r>
          </w:p>
        </w:tc>
      </w:tr>
      <w:tr w:rsidR="00F209AB" w:rsidRPr="00B94CFA" w14:paraId="53EB0940" w14:textId="77777777" w:rsidTr="00F4287A">
        <w:trPr>
          <w:trHeight w:val="290"/>
        </w:trPr>
        <w:tc>
          <w:tcPr>
            <w:tcW w:w="1573" w:type="dxa"/>
            <w:tcBorders>
              <w:top w:val="nil"/>
              <w:left w:val="nil"/>
              <w:bottom w:val="nil"/>
              <w:right w:val="nil"/>
            </w:tcBorders>
            <w:noWrap/>
            <w:vAlign w:val="center"/>
          </w:tcPr>
          <w:p w14:paraId="316D500A"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FKBP1B</w:t>
            </w:r>
          </w:p>
        </w:tc>
        <w:tc>
          <w:tcPr>
            <w:tcW w:w="1800" w:type="dxa"/>
            <w:tcBorders>
              <w:top w:val="nil"/>
              <w:left w:val="nil"/>
              <w:bottom w:val="nil"/>
              <w:right w:val="nil"/>
            </w:tcBorders>
            <w:noWrap/>
            <w:vAlign w:val="center"/>
          </w:tcPr>
          <w:p w14:paraId="49A44A60"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2p23.3</w:t>
            </w:r>
          </w:p>
        </w:tc>
        <w:tc>
          <w:tcPr>
            <w:tcW w:w="2280" w:type="dxa"/>
            <w:tcBorders>
              <w:top w:val="nil"/>
              <w:left w:val="nil"/>
              <w:bottom w:val="nil"/>
              <w:right w:val="nil"/>
            </w:tcBorders>
            <w:noWrap/>
            <w:vAlign w:val="center"/>
          </w:tcPr>
          <w:p w14:paraId="3EC62E4D"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12</w:t>
            </w:r>
          </w:p>
        </w:tc>
      </w:tr>
      <w:tr w:rsidR="00F209AB" w:rsidRPr="00B94CFA" w14:paraId="23CD250A" w14:textId="77777777" w:rsidTr="00F4287A">
        <w:trPr>
          <w:trHeight w:val="290"/>
        </w:trPr>
        <w:tc>
          <w:tcPr>
            <w:tcW w:w="1573" w:type="dxa"/>
            <w:tcBorders>
              <w:top w:val="nil"/>
              <w:left w:val="nil"/>
              <w:bottom w:val="nil"/>
              <w:right w:val="nil"/>
            </w:tcBorders>
            <w:noWrap/>
            <w:vAlign w:val="center"/>
          </w:tcPr>
          <w:p w14:paraId="7ACECED0"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GPD1L</w:t>
            </w:r>
          </w:p>
        </w:tc>
        <w:tc>
          <w:tcPr>
            <w:tcW w:w="1800" w:type="dxa"/>
            <w:tcBorders>
              <w:top w:val="nil"/>
              <w:left w:val="nil"/>
              <w:bottom w:val="nil"/>
              <w:right w:val="nil"/>
            </w:tcBorders>
            <w:noWrap/>
            <w:vAlign w:val="center"/>
          </w:tcPr>
          <w:p w14:paraId="6AE0F759"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3p22.3</w:t>
            </w:r>
          </w:p>
        </w:tc>
        <w:tc>
          <w:tcPr>
            <w:tcW w:w="2280" w:type="dxa"/>
            <w:tcBorders>
              <w:top w:val="nil"/>
              <w:left w:val="nil"/>
              <w:bottom w:val="nil"/>
              <w:right w:val="nil"/>
            </w:tcBorders>
            <w:noWrap/>
            <w:vAlign w:val="center"/>
          </w:tcPr>
          <w:p w14:paraId="537DFFDA"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40</w:t>
            </w:r>
          </w:p>
        </w:tc>
      </w:tr>
      <w:tr w:rsidR="00F209AB" w:rsidRPr="00B94CFA" w14:paraId="3A6BF649" w14:textId="77777777" w:rsidTr="00F4287A">
        <w:trPr>
          <w:trHeight w:val="290"/>
        </w:trPr>
        <w:tc>
          <w:tcPr>
            <w:tcW w:w="1573" w:type="dxa"/>
            <w:tcBorders>
              <w:top w:val="nil"/>
              <w:left w:val="nil"/>
              <w:bottom w:val="nil"/>
              <w:right w:val="nil"/>
            </w:tcBorders>
            <w:noWrap/>
            <w:vAlign w:val="center"/>
          </w:tcPr>
          <w:p w14:paraId="1012B81E"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KCNE1</w:t>
            </w:r>
          </w:p>
        </w:tc>
        <w:tc>
          <w:tcPr>
            <w:tcW w:w="1800" w:type="dxa"/>
            <w:tcBorders>
              <w:top w:val="nil"/>
              <w:left w:val="nil"/>
              <w:bottom w:val="nil"/>
              <w:right w:val="nil"/>
            </w:tcBorders>
            <w:noWrap/>
            <w:vAlign w:val="center"/>
          </w:tcPr>
          <w:p w14:paraId="392E1550"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21q22.1-q22.2</w:t>
            </w:r>
          </w:p>
        </w:tc>
        <w:tc>
          <w:tcPr>
            <w:tcW w:w="2280" w:type="dxa"/>
            <w:tcBorders>
              <w:top w:val="nil"/>
              <w:left w:val="nil"/>
              <w:bottom w:val="nil"/>
              <w:right w:val="nil"/>
            </w:tcBorders>
            <w:noWrap/>
            <w:vAlign w:val="center"/>
          </w:tcPr>
          <w:p w14:paraId="37F483AB"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57</w:t>
            </w:r>
          </w:p>
        </w:tc>
      </w:tr>
      <w:tr w:rsidR="00F209AB" w:rsidRPr="00B94CFA" w14:paraId="3F75A22C" w14:textId="77777777" w:rsidTr="00F4287A">
        <w:trPr>
          <w:trHeight w:val="290"/>
        </w:trPr>
        <w:tc>
          <w:tcPr>
            <w:tcW w:w="1573" w:type="dxa"/>
            <w:tcBorders>
              <w:top w:val="nil"/>
              <w:left w:val="nil"/>
              <w:bottom w:val="nil"/>
              <w:right w:val="nil"/>
            </w:tcBorders>
            <w:noWrap/>
            <w:vAlign w:val="center"/>
          </w:tcPr>
          <w:p w14:paraId="5AD42D14"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KCNE2</w:t>
            </w:r>
          </w:p>
        </w:tc>
        <w:tc>
          <w:tcPr>
            <w:tcW w:w="1800" w:type="dxa"/>
            <w:tcBorders>
              <w:top w:val="nil"/>
              <w:left w:val="nil"/>
              <w:bottom w:val="nil"/>
              <w:right w:val="nil"/>
            </w:tcBorders>
            <w:noWrap/>
            <w:vAlign w:val="center"/>
          </w:tcPr>
          <w:p w14:paraId="18D23AF3"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21q22.1</w:t>
            </w:r>
          </w:p>
        </w:tc>
        <w:tc>
          <w:tcPr>
            <w:tcW w:w="2280" w:type="dxa"/>
            <w:tcBorders>
              <w:top w:val="nil"/>
              <w:left w:val="nil"/>
              <w:bottom w:val="nil"/>
              <w:right w:val="nil"/>
            </w:tcBorders>
            <w:noWrap/>
            <w:vAlign w:val="center"/>
          </w:tcPr>
          <w:p w14:paraId="542C3838"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24</w:t>
            </w:r>
          </w:p>
        </w:tc>
      </w:tr>
      <w:tr w:rsidR="00F209AB" w:rsidRPr="00B94CFA" w14:paraId="28A76F1C" w14:textId="77777777" w:rsidTr="00F4287A">
        <w:trPr>
          <w:trHeight w:val="290"/>
        </w:trPr>
        <w:tc>
          <w:tcPr>
            <w:tcW w:w="1573" w:type="dxa"/>
            <w:tcBorders>
              <w:top w:val="nil"/>
              <w:left w:val="nil"/>
              <w:bottom w:val="nil"/>
              <w:right w:val="nil"/>
            </w:tcBorders>
            <w:noWrap/>
            <w:vAlign w:val="center"/>
          </w:tcPr>
          <w:p w14:paraId="1EDB460E"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KCNH2</w:t>
            </w:r>
          </w:p>
        </w:tc>
        <w:tc>
          <w:tcPr>
            <w:tcW w:w="1800" w:type="dxa"/>
            <w:tcBorders>
              <w:top w:val="nil"/>
              <w:left w:val="nil"/>
              <w:bottom w:val="nil"/>
              <w:right w:val="nil"/>
            </w:tcBorders>
            <w:noWrap/>
            <w:vAlign w:val="center"/>
          </w:tcPr>
          <w:p w14:paraId="5D1B5948"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7q35-q36</w:t>
            </w:r>
          </w:p>
        </w:tc>
        <w:tc>
          <w:tcPr>
            <w:tcW w:w="2280" w:type="dxa"/>
            <w:tcBorders>
              <w:top w:val="nil"/>
              <w:left w:val="nil"/>
              <w:bottom w:val="nil"/>
              <w:right w:val="nil"/>
            </w:tcBorders>
            <w:noWrap/>
            <w:vAlign w:val="center"/>
          </w:tcPr>
          <w:p w14:paraId="7D3D02F5"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58</w:t>
            </w:r>
          </w:p>
        </w:tc>
      </w:tr>
      <w:tr w:rsidR="00F209AB" w:rsidRPr="00B94CFA" w14:paraId="3268CFD7" w14:textId="77777777" w:rsidTr="00F4287A">
        <w:trPr>
          <w:trHeight w:val="290"/>
        </w:trPr>
        <w:tc>
          <w:tcPr>
            <w:tcW w:w="1573" w:type="dxa"/>
            <w:tcBorders>
              <w:top w:val="nil"/>
              <w:left w:val="nil"/>
              <w:bottom w:val="nil"/>
              <w:right w:val="nil"/>
            </w:tcBorders>
            <w:noWrap/>
            <w:vAlign w:val="center"/>
          </w:tcPr>
          <w:p w14:paraId="3A5E539F"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KCNJ2</w:t>
            </w:r>
          </w:p>
        </w:tc>
        <w:tc>
          <w:tcPr>
            <w:tcW w:w="1800" w:type="dxa"/>
            <w:tcBorders>
              <w:top w:val="nil"/>
              <w:left w:val="nil"/>
              <w:bottom w:val="nil"/>
              <w:right w:val="nil"/>
            </w:tcBorders>
            <w:noWrap/>
            <w:vAlign w:val="center"/>
          </w:tcPr>
          <w:p w14:paraId="4FBADB6B"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17q23.1-q24.2</w:t>
            </w:r>
          </w:p>
        </w:tc>
        <w:tc>
          <w:tcPr>
            <w:tcW w:w="2280" w:type="dxa"/>
            <w:tcBorders>
              <w:top w:val="nil"/>
              <w:left w:val="nil"/>
              <w:bottom w:val="nil"/>
              <w:right w:val="nil"/>
            </w:tcBorders>
            <w:noWrap/>
            <w:vAlign w:val="center"/>
          </w:tcPr>
          <w:p w14:paraId="4E807DD9"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37</w:t>
            </w:r>
          </w:p>
        </w:tc>
      </w:tr>
      <w:tr w:rsidR="00F209AB" w:rsidRPr="00B94CFA" w14:paraId="2E36F915" w14:textId="77777777" w:rsidTr="00F4287A">
        <w:trPr>
          <w:trHeight w:val="290"/>
        </w:trPr>
        <w:tc>
          <w:tcPr>
            <w:tcW w:w="1573" w:type="dxa"/>
            <w:tcBorders>
              <w:top w:val="nil"/>
              <w:left w:val="nil"/>
              <w:bottom w:val="nil"/>
              <w:right w:val="nil"/>
            </w:tcBorders>
            <w:noWrap/>
            <w:vAlign w:val="center"/>
          </w:tcPr>
          <w:p w14:paraId="79FA350E"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KCNQ1</w:t>
            </w:r>
          </w:p>
        </w:tc>
        <w:tc>
          <w:tcPr>
            <w:tcW w:w="1800" w:type="dxa"/>
            <w:tcBorders>
              <w:top w:val="nil"/>
              <w:left w:val="nil"/>
              <w:bottom w:val="nil"/>
              <w:right w:val="nil"/>
            </w:tcBorders>
            <w:noWrap/>
            <w:vAlign w:val="center"/>
          </w:tcPr>
          <w:p w14:paraId="0ED26502"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11p15.5</w:t>
            </w:r>
          </w:p>
        </w:tc>
        <w:tc>
          <w:tcPr>
            <w:tcW w:w="2280" w:type="dxa"/>
            <w:tcBorders>
              <w:top w:val="nil"/>
              <w:left w:val="nil"/>
              <w:bottom w:val="nil"/>
              <w:right w:val="nil"/>
            </w:tcBorders>
            <w:noWrap/>
            <w:vAlign w:val="center"/>
          </w:tcPr>
          <w:p w14:paraId="3879A836"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112</w:t>
            </w:r>
          </w:p>
        </w:tc>
      </w:tr>
      <w:tr w:rsidR="00F209AB" w:rsidRPr="00B94CFA" w14:paraId="398FD573" w14:textId="77777777" w:rsidTr="00F4287A">
        <w:trPr>
          <w:trHeight w:val="290"/>
        </w:trPr>
        <w:tc>
          <w:tcPr>
            <w:tcW w:w="1573" w:type="dxa"/>
            <w:tcBorders>
              <w:top w:val="nil"/>
              <w:left w:val="nil"/>
              <w:bottom w:val="nil"/>
              <w:right w:val="nil"/>
            </w:tcBorders>
            <w:noWrap/>
            <w:vAlign w:val="center"/>
          </w:tcPr>
          <w:p w14:paraId="0DFE6FD3"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NOS1AP</w:t>
            </w:r>
          </w:p>
        </w:tc>
        <w:tc>
          <w:tcPr>
            <w:tcW w:w="1800" w:type="dxa"/>
            <w:tcBorders>
              <w:top w:val="nil"/>
              <w:left w:val="nil"/>
              <w:bottom w:val="nil"/>
              <w:right w:val="nil"/>
            </w:tcBorders>
            <w:noWrap/>
            <w:vAlign w:val="center"/>
          </w:tcPr>
          <w:p w14:paraId="7514B948"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1q23.3</w:t>
            </w:r>
          </w:p>
        </w:tc>
        <w:tc>
          <w:tcPr>
            <w:tcW w:w="2280" w:type="dxa"/>
            <w:tcBorders>
              <w:top w:val="nil"/>
              <w:left w:val="nil"/>
              <w:bottom w:val="nil"/>
              <w:right w:val="nil"/>
            </w:tcBorders>
            <w:noWrap/>
            <w:vAlign w:val="center"/>
          </w:tcPr>
          <w:p w14:paraId="3714F1DF"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110</w:t>
            </w:r>
          </w:p>
        </w:tc>
      </w:tr>
      <w:tr w:rsidR="00F209AB" w:rsidRPr="00B94CFA" w14:paraId="5295B963" w14:textId="77777777" w:rsidTr="00F4287A">
        <w:trPr>
          <w:trHeight w:val="290"/>
        </w:trPr>
        <w:tc>
          <w:tcPr>
            <w:tcW w:w="1573" w:type="dxa"/>
            <w:tcBorders>
              <w:top w:val="nil"/>
              <w:left w:val="nil"/>
              <w:bottom w:val="nil"/>
              <w:right w:val="nil"/>
            </w:tcBorders>
            <w:noWrap/>
            <w:vAlign w:val="center"/>
          </w:tcPr>
          <w:p w14:paraId="5DFC63A8"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RYR2</w:t>
            </w:r>
          </w:p>
        </w:tc>
        <w:tc>
          <w:tcPr>
            <w:tcW w:w="1800" w:type="dxa"/>
            <w:tcBorders>
              <w:top w:val="nil"/>
              <w:left w:val="nil"/>
              <w:bottom w:val="nil"/>
              <w:right w:val="nil"/>
            </w:tcBorders>
            <w:noWrap/>
            <w:vAlign w:val="center"/>
          </w:tcPr>
          <w:p w14:paraId="36881DCA"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1q42.1-q43</w:t>
            </w:r>
          </w:p>
        </w:tc>
        <w:tc>
          <w:tcPr>
            <w:tcW w:w="2280" w:type="dxa"/>
            <w:tcBorders>
              <w:top w:val="nil"/>
              <w:left w:val="nil"/>
              <w:bottom w:val="nil"/>
              <w:right w:val="nil"/>
            </w:tcBorders>
            <w:noWrap/>
            <w:vAlign w:val="center"/>
          </w:tcPr>
          <w:p w14:paraId="1EEBAE98"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201</w:t>
            </w:r>
          </w:p>
        </w:tc>
      </w:tr>
      <w:tr w:rsidR="00F209AB" w:rsidRPr="00B94CFA" w14:paraId="66C2C4D2" w14:textId="77777777" w:rsidTr="00F4287A">
        <w:trPr>
          <w:trHeight w:val="290"/>
        </w:trPr>
        <w:tc>
          <w:tcPr>
            <w:tcW w:w="1573" w:type="dxa"/>
            <w:tcBorders>
              <w:top w:val="nil"/>
              <w:left w:val="nil"/>
              <w:bottom w:val="nil"/>
              <w:right w:val="nil"/>
            </w:tcBorders>
            <w:noWrap/>
            <w:vAlign w:val="center"/>
          </w:tcPr>
          <w:p w14:paraId="54F5DF55"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SCN1B</w:t>
            </w:r>
          </w:p>
        </w:tc>
        <w:tc>
          <w:tcPr>
            <w:tcW w:w="1800" w:type="dxa"/>
            <w:tcBorders>
              <w:top w:val="nil"/>
              <w:left w:val="nil"/>
              <w:bottom w:val="nil"/>
              <w:right w:val="nil"/>
            </w:tcBorders>
            <w:noWrap/>
            <w:vAlign w:val="center"/>
          </w:tcPr>
          <w:p w14:paraId="7785ADF2"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19q13.1</w:t>
            </w:r>
          </w:p>
        </w:tc>
        <w:tc>
          <w:tcPr>
            <w:tcW w:w="2280" w:type="dxa"/>
            <w:tcBorders>
              <w:top w:val="nil"/>
              <w:left w:val="nil"/>
              <w:bottom w:val="nil"/>
              <w:right w:val="nil"/>
            </w:tcBorders>
            <w:noWrap/>
            <w:vAlign w:val="center"/>
          </w:tcPr>
          <w:p w14:paraId="5E6F1699"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22</w:t>
            </w:r>
          </w:p>
        </w:tc>
      </w:tr>
      <w:tr w:rsidR="00F209AB" w:rsidRPr="00B94CFA" w14:paraId="313F34EB" w14:textId="77777777" w:rsidTr="00F4287A">
        <w:trPr>
          <w:trHeight w:val="290"/>
        </w:trPr>
        <w:tc>
          <w:tcPr>
            <w:tcW w:w="1573" w:type="dxa"/>
            <w:tcBorders>
              <w:top w:val="nil"/>
              <w:left w:val="nil"/>
              <w:bottom w:val="nil"/>
              <w:right w:val="nil"/>
            </w:tcBorders>
            <w:noWrap/>
            <w:vAlign w:val="center"/>
          </w:tcPr>
          <w:p w14:paraId="590592F1"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SCN4A</w:t>
            </w:r>
          </w:p>
        </w:tc>
        <w:tc>
          <w:tcPr>
            <w:tcW w:w="1800" w:type="dxa"/>
            <w:tcBorders>
              <w:top w:val="nil"/>
              <w:left w:val="nil"/>
              <w:bottom w:val="nil"/>
              <w:right w:val="nil"/>
            </w:tcBorders>
            <w:noWrap/>
            <w:vAlign w:val="center"/>
          </w:tcPr>
          <w:p w14:paraId="45E2FB8C"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17q23.1-q25.3</w:t>
            </w:r>
          </w:p>
        </w:tc>
        <w:tc>
          <w:tcPr>
            <w:tcW w:w="2280" w:type="dxa"/>
            <w:tcBorders>
              <w:top w:val="nil"/>
              <w:left w:val="nil"/>
              <w:bottom w:val="nil"/>
              <w:right w:val="nil"/>
            </w:tcBorders>
            <w:noWrap/>
            <w:vAlign w:val="center"/>
          </w:tcPr>
          <w:p w14:paraId="2FD8F517"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22</w:t>
            </w:r>
          </w:p>
        </w:tc>
      </w:tr>
      <w:tr w:rsidR="00F209AB" w:rsidRPr="00B94CFA" w14:paraId="58C0DEF6" w14:textId="77777777" w:rsidTr="00F4287A">
        <w:trPr>
          <w:trHeight w:val="290"/>
        </w:trPr>
        <w:tc>
          <w:tcPr>
            <w:tcW w:w="1573" w:type="dxa"/>
            <w:tcBorders>
              <w:top w:val="nil"/>
              <w:left w:val="nil"/>
              <w:bottom w:val="nil"/>
              <w:right w:val="nil"/>
            </w:tcBorders>
            <w:noWrap/>
            <w:vAlign w:val="center"/>
          </w:tcPr>
          <w:p w14:paraId="60DDF2BC"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SCN4B</w:t>
            </w:r>
          </w:p>
        </w:tc>
        <w:tc>
          <w:tcPr>
            <w:tcW w:w="1800" w:type="dxa"/>
            <w:tcBorders>
              <w:top w:val="nil"/>
              <w:left w:val="nil"/>
              <w:bottom w:val="nil"/>
              <w:right w:val="nil"/>
            </w:tcBorders>
            <w:noWrap/>
            <w:vAlign w:val="center"/>
          </w:tcPr>
          <w:p w14:paraId="3DB60E8F"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11q23</w:t>
            </w:r>
          </w:p>
        </w:tc>
        <w:tc>
          <w:tcPr>
            <w:tcW w:w="2280" w:type="dxa"/>
            <w:tcBorders>
              <w:top w:val="nil"/>
              <w:left w:val="nil"/>
              <w:bottom w:val="nil"/>
              <w:right w:val="nil"/>
            </w:tcBorders>
            <w:noWrap/>
            <w:vAlign w:val="center"/>
          </w:tcPr>
          <w:p w14:paraId="0C594BE2"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45</w:t>
            </w:r>
          </w:p>
        </w:tc>
      </w:tr>
      <w:tr w:rsidR="00F209AB" w:rsidRPr="00B94CFA" w14:paraId="5ECE8A3E" w14:textId="77777777" w:rsidTr="00F4287A">
        <w:trPr>
          <w:trHeight w:val="290"/>
        </w:trPr>
        <w:tc>
          <w:tcPr>
            <w:tcW w:w="1573" w:type="dxa"/>
            <w:tcBorders>
              <w:top w:val="nil"/>
              <w:left w:val="nil"/>
              <w:bottom w:val="nil"/>
              <w:right w:val="nil"/>
            </w:tcBorders>
            <w:noWrap/>
            <w:vAlign w:val="center"/>
          </w:tcPr>
          <w:p w14:paraId="7A36769B" w14:textId="77777777" w:rsidR="00F209AB" w:rsidRPr="00B94CFA" w:rsidRDefault="00F209AB" w:rsidP="00F4287A">
            <w:pPr>
              <w:jc w:val="center"/>
              <w:rPr>
                <w:rFonts w:ascii="Times New Roman" w:hAnsi="Times New Roman"/>
                <w:i/>
                <w:iCs/>
                <w:color w:val="000000"/>
                <w:lang w:eastAsia="nl-NL"/>
              </w:rPr>
            </w:pPr>
            <w:r w:rsidRPr="00B94CFA">
              <w:rPr>
                <w:rFonts w:ascii="Times New Roman" w:hAnsi="Times New Roman"/>
                <w:i/>
                <w:iCs/>
                <w:color w:val="000000"/>
                <w:lang w:eastAsia="nl-NL"/>
              </w:rPr>
              <w:t>SCN5A</w:t>
            </w:r>
          </w:p>
        </w:tc>
        <w:tc>
          <w:tcPr>
            <w:tcW w:w="1800" w:type="dxa"/>
            <w:tcBorders>
              <w:top w:val="nil"/>
              <w:left w:val="nil"/>
              <w:bottom w:val="nil"/>
              <w:right w:val="nil"/>
            </w:tcBorders>
            <w:noWrap/>
            <w:vAlign w:val="center"/>
          </w:tcPr>
          <w:p w14:paraId="16710016"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3p21</w:t>
            </w:r>
          </w:p>
        </w:tc>
        <w:tc>
          <w:tcPr>
            <w:tcW w:w="2280" w:type="dxa"/>
            <w:tcBorders>
              <w:top w:val="nil"/>
              <w:left w:val="nil"/>
              <w:bottom w:val="nil"/>
              <w:right w:val="nil"/>
            </w:tcBorders>
            <w:noWrap/>
            <w:vAlign w:val="center"/>
          </w:tcPr>
          <w:p w14:paraId="081D1580"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70</w:t>
            </w:r>
          </w:p>
        </w:tc>
      </w:tr>
      <w:tr w:rsidR="00F209AB" w:rsidRPr="00B94CFA" w14:paraId="6CD16D97" w14:textId="77777777" w:rsidTr="00F4287A">
        <w:trPr>
          <w:trHeight w:val="304"/>
        </w:trPr>
        <w:tc>
          <w:tcPr>
            <w:tcW w:w="1573" w:type="dxa"/>
            <w:tcBorders>
              <w:top w:val="single" w:sz="8" w:space="0" w:color="auto"/>
              <w:left w:val="nil"/>
              <w:bottom w:val="single" w:sz="12" w:space="0" w:color="auto"/>
              <w:right w:val="nil"/>
            </w:tcBorders>
            <w:noWrap/>
            <w:vAlign w:val="center"/>
          </w:tcPr>
          <w:p w14:paraId="349A55F3"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Total</w:t>
            </w:r>
          </w:p>
        </w:tc>
        <w:tc>
          <w:tcPr>
            <w:tcW w:w="1800" w:type="dxa"/>
            <w:tcBorders>
              <w:top w:val="single" w:sz="8" w:space="0" w:color="auto"/>
              <w:left w:val="nil"/>
              <w:bottom w:val="single" w:sz="12" w:space="0" w:color="auto"/>
              <w:right w:val="nil"/>
            </w:tcBorders>
            <w:noWrap/>
            <w:vAlign w:val="center"/>
          </w:tcPr>
          <w:p w14:paraId="1FE0148F" w14:textId="77777777" w:rsidR="00F209AB" w:rsidRPr="00B94CFA" w:rsidRDefault="00F209AB" w:rsidP="00F4287A">
            <w:pPr>
              <w:jc w:val="center"/>
              <w:rPr>
                <w:rFonts w:ascii="Times New Roman" w:hAnsi="Times New Roman"/>
                <w:color w:val="000000"/>
                <w:lang w:eastAsia="nl-NL"/>
              </w:rPr>
            </w:pPr>
          </w:p>
        </w:tc>
        <w:tc>
          <w:tcPr>
            <w:tcW w:w="2280" w:type="dxa"/>
            <w:tcBorders>
              <w:top w:val="single" w:sz="8" w:space="0" w:color="auto"/>
              <w:left w:val="nil"/>
              <w:bottom w:val="single" w:sz="12" w:space="0" w:color="auto"/>
              <w:right w:val="nil"/>
            </w:tcBorders>
            <w:noWrap/>
            <w:vAlign w:val="center"/>
          </w:tcPr>
          <w:p w14:paraId="72817E26" w14:textId="77777777" w:rsidR="00F209AB" w:rsidRPr="00B94CFA" w:rsidRDefault="00F209AB" w:rsidP="00F4287A">
            <w:pPr>
              <w:jc w:val="center"/>
              <w:rPr>
                <w:rFonts w:ascii="Times New Roman" w:hAnsi="Times New Roman"/>
                <w:color w:val="000000"/>
                <w:lang w:eastAsia="nl-NL"/>
              </w:rPr>
            </w:pPr>
            <w:r w:rsidRPr="00B94CFA">
              <w:rPr>
                <w:rFonts w:ascii="Times New Roman" w:hAnsi="Times New Roman"/>
                <w:color w:val="000000"/>
                <w:lang w:eastAsia="nl-NL"/>
              </w:rPr>
              <w:t>1191</w:t>
            </w:r>
          </w:p>
        </w:tc>
      </w:tr>
    </w:tbl>
    <w:p w14:paraId="39662860" w14:textId="77777777" w:rsidR="00F209AB" w:rsidRPr="004445DE" w:rsidRDefault="00F209AB" w:rsidP="00F209AB">
      <w:pPr>
        <w:jc w:val="both"/>
        <w:rPr>
          <w:rFonts w:ascii="Times New Roman" w:hAnsi="Times New Roman"/>
        </w:rPr>
      </w:pPr>
      <w:r w:rsidRPr="00B94CFA">
        <w:rPr>
          <w:rFonts w:ascii="Times New Roman" w:hAnsi="Times New Roman"/>
        </w:rPr>
        <w:t>Tag SNP, haplotype-tagging SNP</w:t>
      </w:r>
    </w:p>
    <w:p w14:paraId="1F27C1B8" w14:textId="77777777" w:rsidR="00F209AB" w:rsidRDefault="00F209AB" w:rsidP="00F209AB">
      <w:pPr>
        <w:rPr>
          <w:rFonts w:ascii="Times New Roman" w:hAnsi="Times New Roman"/>
        </w:rPr>
      </w:pPr>
      <w:r>
        <w:rPr>
          <w:rFonts w:ascii="Times New Roman" w:hAnsi="Times New Roman"/>
        </w:rPr>
        <w:br w:type="page"/>
      </w:r>
    </w:p>
    <w:p w14:paraId="533F7753" w14:textId="77777777" w:rsidR="00580563" w:rsidRPr="00580563" w:rsidRDefault="00580563" w:rsidP="00F209AB">
      <w:pPr>
        <w:rPr>
          <w:rFonts w:ascii="Times New Roman" w:hAnsi="Times New Roman"/>
        </w:rPr>
      </w:pPr>
    </w:p>
    <w:p w14:paraId="44D18FEE" w14:textId="77777777" w:rsidR="00580563" w:rsidRPr="0028358E" w:rsidRDefault="00580563" w:rsidP="00F209AB">
      <w:pPr>
        <w:rPr>
          <w:rFonts w:ascii="Times New Roman" w:hAnsi="Times New Roman" w:cs="Times New Roman"/>
        </w:rPr>
      </w:pPr>
      <w:r w:rsidRPr="00580563">
        <w:rPr>
          <w:rFonts w:ascii="Times New Roman" w:hAnsi="Times New Roman" w:cs="Times New Roman"/>
          <w:b/>
        </w:rPr>
        <w:t>Supplementary Table 2</w:t>
      </w:r>
      <w:r w:rsidRPr="0028358E">
        <w:rPr>
          <w:rFonts w:ascii="Times New Roman" w:hAnsi="Times New Roman" w:cs="Times New Roman"/>
        </w:rPr>
        <w:t xml:space="preserve"> which lists the e</w:t>
      </w:r>
      <w:r w:rsidRPr="0028358E">
        <w:rPr>
          <w:rFonts w:ascii="Times New Roman" w:hAnsi="Times New Roman" w:cs="Times New Roman"/>
          <w:color w:val="000000"/>
        </w:rPr>
        <w:t xml:space="preserve">ffect of all SNPs from the 18 candidate genes </w:t>
      </w:r>
      <w:r>
        <w:rPr>
          <w:rFonts w:ascii="Times New Roman" w:hAnsi="Times New Roman" w:cs="Times New Roman"/>
          <w:color w:val="000000"/>
        </w:rPr>
        <w:t xml:space="preserve">on the </w:t>
      </w:r>
      <w:proofErr w:type="spellStart"/>
      <w:r>
        <w:rPr>
          <w:rFonts w:ascii="Times New Roman" w:hAnsi="Times New Roman" w:cs="Times New Roman"/>
          <w:color w:val="000000"/>
        </w:rPr>
        <w:t>QTc</w:t>
      </w:r>
      <w:proofErr w:type="spellEnd"/>
      <w:r>
        <w:rPr>
          <w:rFonts w:ascii="Times New Roman" w:hAnsi="Times New Roman" w:cs="Times New Roman"/>
          <w:color w:val="000000"/>
        </w:rPr>
        <w:t>-interval in P</w:t>
      </w:r>
      <w:r w:rsidRPr="0028358E">
        <w:rPr>
          <w:rFonts w:ascii="Times New Roman" w:hAnsi="Times New Roman" w:cs="Times New Roman"/>
          <w:color w:val="000000"/>
        </w:rPr>
        <w:t xml:space="preserve">atient Set 1 is </w:t>
      </w:r>
      <w:r w:rsidRPr="0028358E">
        <w:rPr>
          <w:rFonts w:ascii="Times New Roman" w:hAnsi="Times New Roman" w:cs="Times New Roman"/>
        </w:rPr>
        <w:t>available online as a separate data file.</w:t>
      </w:r>
    </w:p>
    <w:p w14:paraId="368B8311" w14:textId="77777777" w:rsidR="00580563" w:rsidRDefault="00580563">
      <w:pPr>
        <w:rPr>
          <w:rFonts w:ascii="Times New Roman" w:hAnsi="Times New Roman"/>
          <w:b/>
        </w:rPr>
      </w:pPr>
      <w:r>
        <w:rPr>
          <w:rFonts w:ascii="Times New Roman" w:hAnsi="Times New Roman"/>
          <w:b/>
        </w:rPr>
        <w:br w:type="page"/>
      </w:r>
    </w:p>
    <w:p w14:paraId="212FE258" w14:textId="77777777" w:rsidR="00580563" w:rsidRDefault="00580563" w:rsidP="00F209AB">
      <w:pPr>
        <w:rPr>
          <w:rFonts w:ascii="Times New Roman" w:hAnsi="Times New Roman"/>
        </w:rPr>
      </w:pPr>
    </w:p>
    <w:p w14:paraId="450B022A" w14:textId="77777777" w:rsidR="00F209AB" w:rsidRDefault="00F209AB" w:rsidP="00F209AB">
      <w:pPr>
        <w:jc w:val="both"/>
        <w:rPr>
          <w:rFonts w:ascii="Times New Roman" w:hAnsi="Times New Roman"/>
          <w:b/>
        </w:rPr>
      </w:pPr>
      <w:r>
        <w:rPr>
          <w:rFonts w:ascii="Times New Roman" w:hAnsi="Times New Roman"/>
          <w:b/>
          <w:noProof/>
        </w:rPr>
        <w:drawing>
          <wp:inline distT="0" distB="0" distL="0" distR="0" wp14:anchorId="3EEA91DD" wp14:editId="47EAAF9D">
            <wp:extent cx="5192395" cy="461962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192395" cy="4619625"/>
                    </a:xfrm>
                    <a:prstGeom prst="rect">
                      <a:avLst/>
                    </a:prstGeom>
                    <a:noFill/>
                    <a:ln w="9525">
                      <a:noFill/>
                      <a:miter lim="800000"/>
                      <a:headEnd/>
                      <a:tailEnd/>
                    </a:ln>
                  </pic:spPr>
                </pic:pic>
              </a:graphicData>
            </a:graphic>
          </wp:inline>
        </w:drawing>
      </w:r>
    </w:p>
    <w:p w14:paraId="525EE7F0" w14:textId="77777777" w:rsidR="00F209AB" w:rsidRDefault="00F209AB" w:rsidP="00F209AB">
      <w:pPr>
        <w:spacing w:line="480" w:lineRule="auto"/>
        <w:jc w:val="both"/>
        <w:rPr>
          <w:rFonts w:ascii="Times New Roman" w:hAnsi="Times New Roman"/>
        </w:rPr>
      </w:pPr>
      <w:proofErr w:type="gramStart"/>
      <w:r>
        <w:rPr>
          <w:rFonts w:ascii="Times New Roman" w:hAnsi="Times New Roman"/>
          <w:b/>
        </w:rPr>
        <w:t xml:space="preserve">Supplementary </w:t>
      </w:r>
      <w:r w:rsidRPr="001052F1">
        <w:rPr>
          <w:rFonts w:ascii="Times New Roman" w:hAnsi="Times New Roman"/>
          <w:b/>
        </w:rPr>
        <w:t>Figure 1.</w:t>
      </w:r>
      <w:proofErr w:type="gramEnd"/>
      <w:r w:rsidRPr="001052F1">
        <w:rPr>
          <w:rFonts w:ascii="Times New Roman" w:hAnsi="Times New Roman"/>
        </w:rPr>
        <w:t xml:space="preserve"> </w:t>
      </w:r>
      <w:proofErr w:type="gramStart"/>
      <w:r w:rsidRPr="00FC680E">
        <w:rPr>
          <w:rFonts w:ascii="Times New Roman" w:hAnsi="Times New Roman"/>
          <w:b/>
        </w:rPr>
        <w:t xml:space="preserve">Location of the 128 different missense mutations in the Kv11.1 (HERG) potassium channel encoded by the </w:t>
      </w:r>
      <w:r w:rsidRPr="00FC680E">
        <w:rPr>
          <w:rFonts w:ascii="Times New Roman" w:hAnsi="Times New Roman"/>
          <w:b/>
          <w:i/>
        </w:rPr>
        <w:t>KCNH2</w:t>
      </w:r>
      <w:r w:rsidRPr="00FC680E">
        <w:rPr>
          <w:rFonts w:ascii="Times New Roman" w:hAnsi="Times New Roman"/>
          <w:b/>
        </w:rPr>
        <w:t xml:space="preserve"> gene.</w:t>
      </w:r>
      <w:proofErr w:type="gramEnd"/>
      <w:r w:rsidRPr="001052F1">
        <w:rPr>
          <w:rFonts w:ascii="Times New Roman" w:hAnsi="Times New Roman"/>
        </w:rPr>
        <w:t xml:space="preserve"> The </w:t>
      </w:r>
      <w:proofErr w:type="spellStart"/>
      <w:r w:rsidRPr="001052F1">
        <w:rPr>
          <w:rFonts w:ascii="Times New Roman" w:hAnsi="Times New Roman"/>
        </w:rPr>
        <w:t>transmembrane</w:t>
      </w:r>
      <w:proofErr w:type="spellEnd"/>
      <w:r w:rsidRPr="001052F1">
        <w:rPr>
          <w:rFonts w:ascii="Times New Roman" w:hAnsi="Times New Roman"/>
        </w:rPr>
        <w:t xml:space="preserve"> S1-S4 region was defined as amino acid residues 404 to 547. The </w:t>
      </w:r>
      <w:proofErr w:type="spellStart"/>
      <w:r w:rsidRPr="001052F1">
        <w:rPr>
          <w:rFonts w:ascii="Times New Roman" w:hAnsi="Times New Roman"/>
        </w:rPr>
        <w:t>transmembrane</w:t>
      </w:r>
      <w:proofErr w:type="spellEnd"/>
      <w:r w:rsidRPr="001052F1">
        <w:rPr>
          <w:rFonts w:ascii="Times New Roman" w:hAnsi="Times New Roman"/>
        </w:rPr>
        <w:t xml:space="preserve"> loop region was defined as residues 548 to 659. Residues 1-403 were defined as N-terminus, while residues 660 to 1159 were defined as the C-terminus. The cylinders represent putative α-helical segments, and the bars represent putative β-sheets. These annotations are based on the </w:t>
      </w:r>
      <w:proofErr w:type="spellStart"/>
      <w:r w:rsidRPr="001052F1">
        <w:rPr>
          <w:rFonts w:ascii="Times New Roman" w:hAnsi="Times New Roman"/>
        </w:rPr>
        <w:t>Uniprot</w:t>
      </w:r>
      <w:proofErr w:type="spellEnd"/>
      <w:r w:rsidRPr="001052F1">
        <w:rPr>
          <w:rFonts w:ascii="Times New Roman" w:hAnsi="Times New Roman"/>
        </w:rPr>
        <w:t xml:space="preserve"> databas</w:t>
      </w:r>
      <w:r w:rsidRPr="00EB3EC1">
        <w:rPr>
          <w:rFonts w:ascii="Times New Roman" w:hAnsi="Times New Roman"/>
        </w:rPr>
        <w:t>e (</w:t>
      </w:r>
      <w:hyperlink r:id="rId8" w:history="1">
        <w:r w:rsidRPr="00EB3EC1">
          <w:rPr>
            <w:rStyle w:val="Hyperlink"/>
            <w:rFonts w:ascii="Times New Roman" w:hAnsi="Times New Roman"/>
          </w:rPr>
          <w:t>http://www.uniprot.org/uniprot/Q12809</w:t>
        </w:r>
      </w:hyperlink>
      <w:r w:rsidRPr="00EB3EC1">
        <w:rPr>
          <w:rStyle w:val="Hyperlink"/>
          <w:rFonts w:ascii="Times New Roman" w:hAnsi="Times New Roman"/>
        </w:rPr>
        <w:t>, accessed January 2012</w:t>
      </w:r>
      <w:r w:rsidRPr="001052F1">
        <w:rPr>
          <w:rFonts w:ascii="Times New Roman" w:hAnsi="Times New Roman"/>
        </w:rPr>
        <w:t>).</w:t>
      </w:r>
    </w:p>
    <w:p w14:paraId="1DF4C47F" w14:textId="77777777" w:rsidR="009439B9" w:rsidRDefault="009439B9">
      <w:pPr>
        <w:rPr>
          <w:rFonts w:ascii="Times New Roman" w:hAnsi="Times New Roman"/>
        </w:rPr>
      </w:pPr>
      <w:r>
        <w:rPr>
          <w:rFonts w:ascii="Times New Roman" w:hAnsi="Times New Roman"/>
        </w:rPr>
        <w:br w:type="page"/>
      </w:r>
    </w:p>
    <w:p w14:paraId="5222FB9A" w14:textId="77777777" w:rsidR="009439B9" w:rsidRPr="00B57AF6" w:rsidRDefault="009439B9">
      <w:pPr>
        <w:rPr>
          <w:rFonts w:ascii="Times New Roman" w:hAnsi="Times New Roman"/>
          <w:b/>
        </w:rPr>
      </w:pPr>
      <w:r w:rsidRPr="00B57AF6">
        <w:rPr>
          <w:rFonts w:ascii="Times New Roman" w:hAnsi="Times New Roman"/>
          <w:b/>
        </w:rPr>
        <w:lastRenderedPageBreak/>
        <w:t>Supplemental Figure 2A</w:t>
      </w:r>
    </w:p>
    <w:p w14:paraId="231B1704" w14:textId="77777777" w:rsidR="009439B9" w:rsidRDefault="009439B9" w:rsidP="00F209AB">
      <w:pPr>
        <w:spacing w:line="480" w:lineRule="auto"/>
        <w:jc w:val="both"/>
        <w:rPr>
          <w:rFonts w:ascii="Times New Roman" w:hAnsi="Times New Roman"/>
        </w:rPr>
      </w:pPr>
      <w:r>
        <w:rPr>
          <w:rFonts w:ascii="Times New Roman" w:hAnsi="Times New Roman"/>
          <w:noProof/>
        </w:rPr>
        <w:drawing>
          <wp:inline distT="0" distB="0" distL="0" distR="0" wp14:anchorId="115FFC32" wp14:editId="2A5ABBB1">
            <wp:extent cx="2878836" cy="2878836"/>
            <wp:effectExtent l="19050" t="0" r="0" b="0"/>
            <wp:docPr id="4" name="Picture 3" descr="Fig1C_GR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C_GRS22.jpg"/>
                    <pic:cNvPicPr/>
                  </pic:nvPicPr>
                  <pic:blipFill>
                    <a:blip r:embed="rId9"/>
                    <a:stretch>
                      <a:fillRect/>
                    </a:stretch>
                  </pic:blipFill>
                  <pic:spPr>
                    <a:xfrm>
                      <a:off x="0" y="0"/>
                      <a:ext cx="2878836" cy="2878836"/>
                    </a:xfrm>
                    <a:prstGeom prst="rect">
                      <a:avLst/>
                    </a:prstGeom>
                  </pic:spPr>
                </pic:pic>
              </a:graphicData>
            </a:graphic>
          </wp:inline>
        </w:drawing>
      </w:r>
    </w:p>
    <w:p w14:paraId="614EC6A6" w14:textId="77777777" w:rsidR="009439B9" w:rsidRPr="00B57AF6" w:rsidRDefault="009439B9" w:rsidP="009439B9">
      <w:pPr>
        <w:rPr>
          <w:rFonts w:ascii="Times New Roman" w:hAnsi="Times New Roman"/>
          <w:b/>
        </w:rPr>
      </w:pPr>
      <w:r w:rsidRPr="00B57AF6">
        <w:rPr>
          <w:rFonts w:ascii="Times New Roman" w:hAnsi="Times New Roman"/>
          <w:b/>
        </w:rPr>
        <w:t>Supplemental Figure 2B</w:t>
      </w:r>
    </w:p>
    <w:p w14:paraId="2627B21C" w14:textId="77777777" w:rsidR="009439B9" w:rsidRDefault="009439B9" w:rsidP="00F209AB">
      <w:pPr>
        <w:spacing w:line="480" w:lineRule="auto"/>
        <w:jc w:val="both"/>
        <w:rPr>
          <w:rFonts w:ascii="Times New Roman" w:hAnsi="Times New Roman"/>
        </w:rPr>
      </w:pPr>
      <w:r>
        <w:rPr>
          <w:rFonts w:ascii="Times New Roman" w:hAnsi="Times New Roman"/>
          <w:noProof/>
        </w:rPr>
        <w:drawing>
          <wp:inline distT="0" distB="0" distL="0" distR="0" wp14:anchorId="75DF519C" wp14:editId="134AC57C">
            <wp:extent cx="2878836" cy="2878836"/>
            <wp:effectExtent l="19050" t="0" r="0" b="0"/>
            <wp:docPr id="5" name="Picture 4" descr="Fig1C_NOS1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C_NOS1AP.jpg"/>
                    <pic:cNvPicPr/>
                  </pic:nvPicPr>
                  <pic:blipFill>
                    <a:blip r:embed="rId10"/>
                    <a:stretch>
                      <a:fillRect/>
                    </a:stretch>
                  </pic:blipFill>
                  <pic:spPr>
                    <a:xfrm>
                      <a:off x="0" y="0"/>
                      <a:ext cx="2878836" cy="2878836"/>
                    </a:xfrm>
                    <a:prstGeom prst="rect">
                      <a:avLst/>
                    </a:prstGeom>
                  </pic:spPr>
                </pic:pic>
              </a:graphicData>
            </a:graphic>
          </wp:inline>
        </w:drawing>
      </w:r>
    </w:p>
    <w:p w14:paraId="5BE8B3E9" w14:textId="77777777" w:rsidR="009439B9" w:rsidRPr="009439B9" w:rsidRDefault="009439B9" w:rsidP="00F209AB">
      <w:pPr>
        <w:rPr>
          <w:rFonts w:ascii="Times New Roman" w:hAnsi="Times New Roman"/>
        </w:rPr>
      </w:pPr>
      <w:r>
        <w:rPr>
          <w:rFonts w:ascii="Times New Roman" w:hAnsi="Times New Roman"/>
          <w:b/>
        </w:rPr>
        <w:t>Supplementary Figure 2A, B</w:t>
      </w:r>
      <w:r w:rsidRPr="008D0F73">
        <w:rPr>
          <w:rFonts w:ascii="Times New Roman" w:hAnsi="Times New Roman"/>
          <w:b/>
        </w:rPr>
        <w:t>:</w:t>
      </w:r>
      <w:r>
        <w:rPr>
          <w:rFonts w:ascii="Times New Roman" w:hAnsi="Times New Roman"/>
          <w:b/>
        </w:rPr>
        <w:t xml:space="preserve"> </w:t>
      </w:r>
      <w:r w:rsidRPr="009439B9">
        <w:rPr>
          <w:rFonts w:ascii="Times New Roman" w:hAnsi="Times New Roman"/>
        </w:rPr>
        <w:t>R</w:t>
      </w:r>
      <w:r>
        <w:rPr>
          <w:rFonts w:ascii="Times New Roman" w:hAnsi="Times New Roman"/>
        </w:rPr>
        <w:t>elative risks (95% CI) of GRS quartiles 2, 3 and 4 vs. quartile 1 for GRS</w:t>
      </w:r>
      <w:r w:rsidRPr="009439B9">
        <w:rPr>
          <w:rFonts w:ascii="Times New Roman" w:hAnsi="Times New Roman"/>
          <w:vertAlign w:val="subscript"/>
        </w:rPr>
        <w:t>22</w:t>
      </w:r>
      <w:r>
        <w:rPr>
          <w:rFonts w:ascii="Times New Roman" w:hAnsi="Times New Roman"/>
        </w:rPr>
        <w:t xml:space="preserve"> and GRS</w:t>
      </w:r>
      <w:r w:rsidRPr="009439B9">
        <w:rPr>
          <w:rFonts w:ascii="Times New Roman" w:hAnsi="Times New Roman"/>
          <w:i/>
          <w:vertAlign w:val="subscript"/>
        </w:rPr>
        <w:t>NOS1AP</w:t>
      </w:r>
      <w:r>
        <w:rPr>
          <w:rFonts w:ascii="Times New Roman" w:hAnsi="Times New Roman"/>
        </w:rPr>
        <w:t>.</w:t>
      </w:r>
    </w:p>
    <w:p w14:paraId="094AE663" w14:textId="77777777" w:rsidR="00F209AB" w:rsidRDefault="00F209AB" w:rsidP="00F209AB">
      <w:pPr>
        <w:rPr>
          <w:rFonts w:ascii="Times New Roman" w:hAnsi="Times New Roman"/>
        </w:rPr>
      </w:pPr>
    </w:p>
    <w:p w14:paraId="1975174B" w14:textId="77777777" w:rsidR="009978B0" w:rsidRDefault="009978B0">
      <w:pPr>
        <w:rPr>
          <w:rFonts w:ascii="Times New Roman" w:hAnsi="Times New Roman"/>
        </w:rPr>
      </w:pPr>
      <w:r>
        <w:rPr>
          <w:rFonts w:ascii="Times New Roman" w:hAnsi="Times New Roman"/>
        </w:rPr>
        <w:br w:type="page"/>
      </w:r>
    </w:p>
    <w:p w14:paraId="3C0B5BFB" w14:textId="77777777" w:rsidR="00F209AB" w:rsidRPr="009978B0" w:rsidRDefault="009978B0" w:rsidP="00F209AB">
      <w:pPr>
        <w:jc w:val="both"/>
        <w:rPr>
          <w:rFonts w:ascii="Times New Roman" w:hAnsi="Times New Roman"/>
          <w:b/>
        </w:rPr>
      </w:pPr>
      <w:r w:rsidRPr="009978B0">
        <w:rPr>
          <w:rFonts w:ascii="Times New Roman" w:hAnsi="Times New Roman"/>
          <w:b/>
        </w:rPr>
        <w:lastRenderedPageBreak/>
        <w:t>Supplemental Figure 3A</w:t>
      </w:r>
    </w:p>
    <w:p w14:paraId="1AD48DD1" w14:textId="77777777" w:rsidR="009439B9" w:rsidRDefault="009439B9" w:rsidP="00F209AB">
      <w:pPr>
        <w:jc w:val="both"/>
        <w:rPr>
          <w:rFonts w:ascii="Times New Roman" w:hAnsi="Times New Roman"/>
        </w:rPr>
      </w:pPr>
    </w:p>
    <w:p w14:paraId="67515866" w14:textId="77777777" w:rsidR="00F209AB" w:rsidRDefault="007A3FB8" w:rsidP="00F209AB">
      <w:pPr>
        <w:jc w:val="both"/>
        <w:rPr>
          <w:rFonts w:ascii="Times New Roman" w:hAnsi="Times New Roman"/>
        </w:rPr>
      </w:pPr>
      <w:r>
        <w:rPr>
          <w:rFonts w:ascii="Times New Roman" w:hAnsi="Times New Roman"/>
          <w:noProof/>
        </w:rPr>
        <w:drawing>
          <wp:inline distT="0" distB="0" distL="0" distR="0" wp14:anchorId="3686EA9B" wp14:editId="70E31DDD">
            <wp:extent cx="2878836" cy="2878836"/>
            <wp:effectExtent l="19050" t="0" r="0" b="0"/>
            <wp:docPr id="2" name="Picture 1" descr="Sup_Fig2_GR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_Fig2_GRS22.jpg"/>
                    <pic:cNvPicPr/>
                  </pic:nvPicPr>
                  <pic:blipFill>
                    <a:blip r:embed="rId11"/>
                    <a:stretch>
                      <a:fillRect/>
                    </a:stretch>
                  </pic:blipFill>
                  <pic:spPr>
                    <a:xfrm>
                      <a:off x="0" y="0"/>
                      <a:ext cx="2878836" cy="2878836"/>
                    </a:xfrm>
                    <a:prstGeom prst="rect">
                      <a:avLst/>
                    </a:prstGeom>
                  </pic:spPr>
                </pic:pic>
              </a:graphicData>
            </a:graphic>
          </wp:inline>
        </w:drawing>
      </w:r>
    </w:p>
    <w:p w14:paraId="36B93A37" w14:textId="77777777" w:rsidR="009978B0" w:rsidRDefault="009978B0" w:rsidP="00F209AB">
      <w:pPr>
        <w:jc w:val="both"/>
        <w:rPr>
          <w:rFonts w:ascii="Times New Roman" w:hAnsi="Times New Roman"/>
          <w:b/>
        </w:rPr>
      </w:pPr>
    </w:p>
    <w:p w14:paraId="7AFB1ECD" w14:textId="77777777" w:rsidR="009978B0" w:rsidRPr="009978B0" w:rsidRDefault="009978B0" w:rsidP="00F209AB">
      <w:pPr>
        <w:jc w:val="both"/>
        <w:rPr>
          <w:rFonts w:ascii="Times New Roman" w:hAnsi="Times New Roman"/>
          <w:b/>
        </w:rPr>
      </w:pPr>
      <w:r w:rsidRPr="009978B0">
        <w:rPr>
          <w:rFonts w:ascii="Times New Roman" w:hAnsi="Times New Roman"/>
          <w:b/>
        </w:rPr>
        <w:t>Supplemental Figure 3B</w:t>
      </w:r>
    </w:p>
    <w:p w14:paraId="0ED9A1FA" w14:textId="77777777" w:rsidR="009978B0" w:rsidRDefault="009978B0" w:rsidP="00F209AB">
      <w:pPr>
        <w:jc w:val="both"/>
        <w:rPr>
          <w:rFonts w:ascii="Times New Roman" w:hAnsi="Times New Roman"/>
        </w:rPr>
      </w:pPr>
      <w:r>
        <w:rPr>
          <w:rFonts w:ascii="Times New Roman" w:hAnsi="Times New Roman"/>
          <w:noProof/>
        </w:rPr>
        <w:drawing>
          <wp:inline distT="0" distB="0" distL="0" distR="0" wp14:anchorId="53FD9428" wp14:editId="42299986">
            <wp:extent cx="2878836" cy="2878836"/>
            <wp:effectExtent l="19050" t="0" r="0" b="0"/>
            <wp:docPr id="7" name="Picture 6" descr="Sup_Fig2_NOS1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_Fig2_NOS1AP.jpg"/>
                    <pic:cNvPicPr/>
                  </pic:nvPicPr>
                  <pic:blipFill>
                    <a:blip r:embed="rId12"/>
                    <a:stretch>
                      <a:fillRect/>
                    </a:stretch>
                  </pic:blipFill>
                  <pic:spPr>
                    <a:xfrm>
                      <a:off x="0" y="0"/>
                      <a:ext cx="2878836" cy="2878836"/>
                    </a:xfrm>
                    <a:prstGeom prst="rect">
                      <a:avLst/>
                    </a:prstGeom>
                  </pic:spPr>
                </pic:pic>
              </a:graphicData>
            </a:graphic>
          </wp:inline>
        </w:drawing>
      </w:r>
    </w:p>
    <w:p w14:paraId="4E279EE7" w14:textId="77777777" w:rsidR="009978B0" w:rsidRDefault="009978B0" w:rsidP="00F209AB">
      <w:pPr>
        <w:jc w:val="both"/>
        <w:rPr>
          <w:rFonts w:ascii="Times New Roman" w:hAnsi="Times New Roman"/>
        </w:rPr>
      </w:pPr>
    </w:p>
    <w:p w14:paraId="6107EEC4" w14:textId="77777777" w:rsidR="009978B0" w:rsidRDefault="009978B0" w:rsidP="00F209AB">
      <w:pPr>
        <w:jc w:val="both"/>
        <w:rPr>
          <w:rFonts w:ascii="Times New Roman" w:hAnsi="Times New Roman"/>
        </w:rPr>
      </w:pPr>
    </w:p>
    <w:p w14:paraId="085FAFCC" w14:textId="77777777" w:rsidR="00F209AB" w:rsidRDefault="00F209AB" w:rsidP="00710947">
      <w:pPr>
        <w:spacing w:line="480" w:lineRule="auto"/>
        <w:jc w:val="both"/>
        <w:rPr>
          <w:rFonts w:ascii="Times New Roman" w:hAnsi="Times New Roman"/>
        </w:rPr>
      </w:pPr>
      <w:r>
        <w:rPr>
          <w:rFonts w:ascii="Times New Roman" w:hAnsi="Times New Roman"/>
          <w:b/>
        </w:rPr>
        <w:t xml:space="preserve">Supplementary Figure </w:t>
      </w:r>
      <w:r w:rsidR="009978B0">
        <w:rPr>
          <w:rFonts w:ascii="Times New Roman" w:hAnsi="Times New Roman"/>
          <w:b/>
        </w:rPr>
        <w:t>3A, B</w:t>
      </w:r>
      <w:r w:rsidRPr="008D0F73">
        <w:rPr>
          <w:rFonts w:ascii="Times New Roman" w:hAnsi="Times New Roman"/>
          <w:b/>
        </w:rPr>
        <w:t>:</w:t>
      </w:r>
      <w:r>
        <w:rPr>
          <w:rFonts w:ascii="Times New Roman" w:hAnsi="Times New Roman"/>
        </w:rPr>
        <w:t xml:space="preserve"> Cumulative event-free survival in LQTS patients with </w:t>
      </w:r>
      <w:r w:rsidR="00710947">
        <w:rPr>
          <w:rFonts w:ascii="Times New Roman" w:hAnsi="Times New Roman"/>
        </w:rPr>
        <w:t xml:space="preserve">GRS scores in quartile 1 </w:t>
      </w:r>
      <w:proofErr w:type="spellStart"/>
      <w:r w:rsidR="00710947">
        <w:rPr>
          <w:rFonts w:ascii="Times New Roman" w:hAnsi="Times New Roman"/>
        </w:rPr>
        <w:t>vs</w:t>
      </w:r>
      <w:proofErr w:type="spellEnd"/>
      <w:r w:rsidR="00710947">
        <w:rPr>
          <w:rFonts w:ascii="Times New Roman" w:hAnsi="Times New Roman"/>
        </w:rPr>
        <w:t xml:space="preserve"> quartiles 2, 3 and 4 combined for GRS</w:t>
      </w:r>
      <w:r w:rsidR="00710947" w:rsidRPr="00710947">
        <w:rPr>
          <w:rFonts w:ascii="Times New Roman" w:hAnsi="Times New Roman"/>
          <w:vertAlign w:val="subscript"/>
        </w:rPr>
        <w:t>22</w:t>
      </w:r>
      <w:r w:rsidR="00710947">
        <w:rPr>
          <w:rFonts w:ascii="Times New Roman" w:hAnsi="Times New Roman"/>
        </w:rPr>
        <w:t xml:space="preserve"> and GRS</w:t>
      </w:r>
      <w:r w:rsidR="00710947" w:rsidRPr="00710947">
        <w:rPr>
          <w:rFonts w:ascii="Times New Roman" w:hAnsi="Times New Roman"/>
          <w:i/>
          <w:vertAlign w:val="subscript"/>
        </w:rPr>
        <w:t>NOS1AP</w:t>
      </w:r>
      <w:r w:rsidR="00710947">
        <w:rPr>
          <w:rFonts w:ascii="Times New Roman" w:hAnsi="Times New Roman"/>
        </w:rPr>
        <w:t xml:space="preserve">. </w:t>
      </w:r>
    </w:p>
    <w:p w14:paraId="59E7C960" w14:textId="77777777" w:rsidR="00F209AB" w:rsidRDefault="00F209AB" w:rsidP="00F209AB">
      <w:pPr>
        <w:rPr>
          <w:rFonts w:ascii="Times New Roman" w:hAnsi="Times New Roman"/>
        </w:rPr>
      </w:pPr>
    </w:p>
    <w:p w14:paraId="2C253E6B" w14:textId="77777777" w:rsidR="00F209AB" w:rsidRDefault="00F209AB" w:rsidP="00F209AB">
      <w:pPr>
        <w:rPr>
          <w:rFonts w:ascii="Times New Roman" w:hAnsi="Times New Roman"/>
        </w:rPr>
      </w:pPr>
      <w:r>
        <w:rPr>
          <w:noProof/>
        </w:rPr>
        <w:lastRenderedPageBreak/>
        <w:drawing>
          <wp:inline distT="0" distB="0" distL="0" distR="0" wp14:anchorId="50F37F19" wp14:editId="285FBE9F">
            <wp:extent cx="3378200" cy="3378200"/>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3"/>
                    <a:stretch>
                      <a:fillRect/>
                    </a:stretch>
                  </pic:blipFill>
                  <pic:spPr bwMode="auto">
                    <a:xfrm>
                      <a:off x="0" y="0"/>
                      <a:ext cx="3378200" cy="3378200"/>
                    </a:xfrm>
                    <a:prstGeom prst="rect">
                      <a:avLst/>
                    </a:prstGeom>
                    <a:noFill/>
                    <a:ln w="1">
                      <a:noFill/>
                      <a:miter lim="800000"/>
                      <a:headEnd/>
                      <a:tailEnd type="none" w="med" len="med"/>
                    </a:ln>
                    <a:effectLst/>
                  </pic:spPr>
                </pic:pic>
              </a:graphicData>
            </a:graphic>
          </wp:inline>
        </w:drawing>
      </w:r>
    </w:p>
    <w:p w14:paraId="2BD860D8" w14:textId="77777777" w:rsidR="00F209AB" w:rsidRDefault="00F209AB" w:rsidP="00F209AB">
      <w:pPr>
        <w:rPr>
          <w:rFonts w:ascii="Times New Roman" w:hAnsi="Times New Roman"/>
        </w:rPr>
      </w:pPr>
    </w:p>
    <w:p w14:paraId="27080D5F" w14:textId="77777777" w:rsidR="00F209AB" w:rsidRDefault="00F209AB" w:rsidP="00F209AB">
      <w:pPr>
        <w:spacing w:line="480" w:lineRule="auto"/>
        <w:jc w:val="both"/>
        <w:rPr>
          <w:rFonts w:ascii="Times New Roman" w:hAnsi="Times New Roman"/>
        </w:rPr>
      </w:pPr>
      <w:r w:rsidRPr="008D0F73">
        <w:rPr>
          <w:rFonts w:ascii="Times New Roman" w:hAnsi="Times New Roman"/>
          <w:b/>
        </w:rPr>
        <w:t>Supplementary Figur</w:t>
      </w:r>
      <w:r>
        <w:rPr>
          <w:rFonts w:ascii="Times New Roman" w:hAnsi="Times New Roman"/>
          <w:b/>
        </w:rPr>
        <w:t xml:space="preserve">e </w:t>
      </w:r>
      <w:r w:rsidR="00710947">
        <w:rPr>
          <w:rFonts w:ascii="Times New Roman" w:hAnsi="Times New Roman"/>
          <w:b/>
        </w:rPr>
        <w:t>4</w:t>
      </w:r>
      <w:r w:rsidRPr="008D0F73">
        <w:rPr>
          <w:rFonts w:ascii="Times New Roman" w:hAnsi="Times New Roman"/>
          <w:b/>
        </w:rPr>
        <w:t>:</w:t>
      </w:r>
      <w:r>
        <w:rPr>
          <w:rFonts w:ascii="Times New Roman" w:hAnsi="Times New Roman"/>
        </w:rPr>
        <w:t xml:space="preserve"> Association between</w:t>
      </w:r>
      <w:r w:rsidR="006A0757">
        <w:rPr>
          <w:rFonts w:ascii="Times New Roman" w:hAnsi="Times New Roman"/>
        </w:rPr>
        <w:t xml:space="preserve"> the</w:t>
      </w:r>
      <w:r>
        <w:rPr>
          <w:rFonts w:ascii="Times New Roman" w:hAnsi="Times New Roman"/>
        </w:rPr>
        <w:t xml:space="preserve"> QTc-interval and </w:t>
      </w:r>
      <w:r w:rsidR="006A0757">
        <w:rPr>
          <w:rFonts w:ascii="Times New Roman" w:hAnsi="Times New Roman"/>
        </w:rPr>
        <w:t xml:space="preserve">event-free </w:t>
      </w:r>
      <w:r>
        <w:rPr>
          <w:rFonts w:ascii="Times New Roman" w:hAnsi="Times New Roman"/>
        </w:rPr>
        <w:t>survival. The QTc-interval was a strong predictor of cardiac events with patients with a QTc-interval in the highest quartile (Q4) having a RR of 2.</w:t>
      </w:r>
      <w:r w:rsidR="007A3FB8">
        <w:rPr>
          <w:rFonts w:ascii="Times New Roman" w:hAnsi="Times New Roman"/>
        </w:rPr>
        <w:t xml:space="preserve">11 </w:t>
      </w:r>
      <w:r>
        <w:rPr>
          <w:rFonts w:ascii="Times New Roman" w:hAnsi="Times New Roman"/>
        </w:rPr>
        <w:t>(95% C.I. 1.</w:t>
      </w:r>
      <w:r w:rsidR="007A3FB8">
        <w:rPr>
          <w:rFonts w:ascii="Times New Roman" w:hAnsi="Times New Roman"/>
        </w:rPr>
        <w:t>35</w:t>
      </w:r>
      <w:r>
        <w:rPr>
          <w:rFonts w:ascii="Times New Roman" w:hAnsi="Times New Roman"/>
        </w:rPr>
        <w:t>-</w:t>
      </w:r>
      <w:r w:rsidR="007A3FB8">
        <w:rPr>
          <w:rFonts w:ascii="Times New Roman" w:hAnsi="Times New Roman"/>
        </w:rPr>
        <w:t>3.30</w:t>
      </w:r>
      <w:r>
        <w:rPr>
          <w:rFonts w:ascii="Times New Roman" w:hAnsi="Times New Roman"/>
        </w:rPr>
        <w:t>) as compared to patients in the lowest QTc-interval quartile (p=</w:t>
      </w:r>
      <w:r w:rsidR="007A3FB8">
        <w:rPr>
          <w:rFonts w:ascii="Times New Roman" w:hAnsi="Times New Roman"/>
        </w:rPr>
        <w:t>7.9</w:t>
      </w:r>
      <w:r w:rsidR="007A3FB8" w:rsidDel="007A3FB8">
        <w:rPr>
          <w:rFonts w:ascii="Times New Roman" w:hAnsi="Times New Roman"/>
        </w:rPr>
        <w:t xml:space="preserve"> </w:t>
      </w:r>
      <w:r w:rsidRPr="00720FA2">
        <w:rPr>
          <w:rFonts w:ascii="Times New Roman" w:hAnsi="Times New Roman"/>
        </w:rPr>
        <w:t>×</w:t>
      </w:r>
      <w:r>
        <w:rPr>
          <w:rFonts w:ascii="Times New Roman" w:hAnsi="Times New Roman"/>
        </w:rPr>
        <w:t>10</w:t>
      </w:r>
      <w:r w:rsidR="000A4DA7">
        <w:rPr>
          <w:rFonts w:ascii="Times New Roman" w:hAnsi="Times New Roman"/>
          <w:vertAlign w:val="superscript"/>
        </w:rPr>
        <w:noBreakHyphen/>
      </w:r>
      <w:r w:rsidRPr="008D0F73">
        <w:rPr>
          <w:rFonts w:ascii="Times New Roman" w:hAnsi="Times New Roman"/>
          <w:vertAlign w:val="superscript"/>
        </w:rPr>
        <w:t>7</w:t>
      </w:r>
      <w:r>
        <w:rPr>
          <w:rFonts w:ascii="Times New Roman" w:hAnsi="Times New Roman"/>
        </w:rPr>
        <w:t>).</w:t>
      </w:r>
    </w:p>
    <w:p w14:paraId="7AF5B340" w14:textId="77777777" w:rsidR="00F209AB" w:rsidRPr="00F209AB" w:rsidRDefault="00F209AB">
      <w:pPr>
        <w:rPr>
          <w:rFonts w:ascii="Times New Roman" w:hAnsi="Times New Roman" w:cs="Times New Roman"/>
          <w:b/>
        </w:rPr>
      </w:pPr>
    </w:p>
    <w:sectPr w:rsidR="00F209AB" w:rsidRPr="00F209AB" w:rsidSect="00ED1860">
      <w:footerReference w:type="even"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F7CA5" w14:textId="77777777" w:rsidR="00C80DED" w:rsidRDefault="00C80DED" w:rsidP="00C80DED">
      <w:r>
        <w:separator/>
      </w:r>
    </w:p>
  </w:endnote>
  <w:endnote w:type="continuationSeparator" w:id="0">
    <w:p w14:paraId="7D71EA97" w14:textId="77777777" w:rsidR="00C80DED" w:rsidRDefault="00C80DED" w:rsidP="00C8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06284" w14:textId="77777777" w:rsidR="00C80DED" w:rsidRDefault="00C80DED" w:rsidP="00F80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7ED7FA" w14:textId="77777777" w:rsidR="00C80DED" w:rsidRDefault="00C80D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8253E" w14:textId="77777777" w:rsidR="00C80DED" w:rsidRDefault="00C80DED" w:rsidP="00F805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484E">
      <w:rPr>
        <w:rStyle w:val="PageNumber"/>
        <w:noProof/>
      </w:rPr>
      <w:t>8</w:t>
    </w:r>
    <w:r>
      <w:rPr>
        <w:rStyle w:val="PageNumber"/>
      </w:rPr>
      <w:fldChar w:fldCharType="end"/>
    </w:r>
  </w:p>
  <w:p w14:paraId="61DD62E7" w14:textId="77777777" w:rsidR="00C80DED" w:rsidRDefault="00C80D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B89E56" w14:textId="77777777" w:rsidR="00C80DED" w:rsidRDefault="00C80DED" w:rsidP="00C80DED">
      <w:r>
        <w:separator/>
      </w:r>
    </w:p>
  </w:footnote>
  <w:footnote w:type="continuationSeparator" w:id="0">
    <w:p w14:paraId="52405414" w14:textId="77777777" w:rsidR="00C80DED" w:rsidRDefault="00C80DED" w:rsidP="00C80D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9AB"/>
    <w:rsid w:val="000A4DA7"/>
    <w:rsid w:val="000B00A3"/>
    <w:rsid w:val="00110470"/>
    <w:rsid w:val="00134DED"/>
    <w:rsid w:val="001B06CD"/>
    <w:rsid w:val="001D40E3"/>
    <w:rsid w:val="0028358E"/>
    <w:rsid w:val="002B11D6"/>
    <w:rsid w:val="002B416D"/>
    <w:rsid w:val="002C6313"/>
    <w:rsid w:val="00352676"/>
    <w:rsid w:val="0035400C"/>
    <w:rsid w:val="003B67E0"/>
    <w:rsid w:val="003B79CC"/>
    <w:rsid w:val="004C1FE8"/>
    <w:rsid w:val="004E3161"/>
    <w:rsid w:val="00580563"/>
    <w:rsid w:val="005F7DE5"/>
    <w:rsid w:val="00655A71"/>
    <w:rsid w:val="00660AD4"/>
    <w:rsid w:val="006648DD"/>
    <w:rsid w:val="006927EA"/>
    <w:rsid w:val="006A0757"/>
    <w:rsid w:val="006F3DB9"/>
    <w:rsid w:val="00710947"/>
    <w:rsid w:val="00743B61"/>
    <w:rsid w:val="007A3FB8"/>
    <w:rsid w:val="007E7AC7"/>
    <w:rsid w:val="008376F8"/>
    <w:rsid w:val="008620EE"/>
    <w:rsid w:val="008B272E"/>
    <w:rsid w:val="008B2B2F"/>
    <w:rsid w:val="009439B9"/>
    <w:rsid w:val="009978B0"/>
    <w:rsid w:val="009C10A5"/>
    <w:rsid w:val="00A139B1"/>
    <w:rsid w:val="00A1706C"/>
    <w:rsid w:val="00AC6579"/>
    <w:rsid w:val="00B35334"/>
    <w:rsid w:val="00B57AF6"/>
    <w:rsid w:val="00B735B2"/>
    <w:rsid w:val="00B91450"/>
    <w:rsid w:val="00B92842"/>
    <w:rsid w:val="00BA650A"/>
    <w:rsid w:val="00C80DED"/>
    <w:rsid w:val="00CF2991"/>
    <w:rsid w:val="00D367D8"/>
    <w:rsid w:val="00DE463F"/>
    <w:rsid w:val="00E16EB2"/>
    <w:rsid w:val="00E4484E"/>
    <w:rsid w:val="00ED1860"/>
    <w:rsid w:val="00F2067D"/>
    <w:rsid w:val="00F209AB"/>
    <w:rsid w:val="00F42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B73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209AB"/>
    <w:rPr>
      <w:rFonts w:cs="Times New Roman"/>
      <w:color w:val="0000FF"/>
      <w:u w:val="single"/>
    </w:rPr>
  </w:style>
  <w:style w:type="paragraph" w:styleId="BalloonText">
    <w:name w:val="Balloon Text"/>
    <w:basedOn w:val="Normal"/>
    <w:link w:val="BalloonTextChar"/>
    <w:uiPriority w:val="99"/>
    <w:semiHidden/>
    <w:unhideWhenUsed/>
    <w:rsid w:val="00F209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09AB"/>
    <w:rPr>
      <w:rFonts w:ascii="Lucida Grande" w:hAnsi="Lucida Grande" w:cs="Lucida Grande"/>
      <w:sz w:val="18"/>
      <w:szCs w:val="18"/>
    </w:rPr>
  </w:style>
  <w:style w:type="paragraph" w:customStyle="1" w:styleId="BodyTextFirstIndent1">
    <w:name w:val="Body Text First Indent1"/>
    <w:basedOn w:val="BodyTextFirstIndent"/>
    <w:next w:val="BodyText"/>
    <w:link w:val="BodytextfirstindentChar"/>
    <w:rsid w:val="00F2067D"/>
    <w:pPr>
      <w:spacing w:after="200" w:line="276" w:lineRule="auto"/>
      <w:ind w:firstLine="357"/>
      <w:jc w:val="both"/>
    </w:pPr>
    <w:rPr>
      <w:rFonts w:ascii="Calibri" w:eastAsia="Times New Roman" w:hAnsi="Calibri" w:cs="Times New Roman"/>
      <w:sz w:val="20"/>
      <w:szCs w:val="20"/>
      <w:lang w:val="nl-NL" w:eastAsia="nl-NL"/>
    </w:rPr>
  </w:style>
  <w:style w:type="character" w:customStyle="1" w:styleId="BodytextfirstindentChar">
    <w:name w:val="Body text first indent Char"/>
    <w:link w:val="BodyTextFirstIndent1"/>
    <w:locked/>
    <w:rsid w:val="00F2067D"/>
    <w:rPr>
      <w:rFonts w:ascii="Calibri" w:eastAsia="Times New Roman" w:hAnsi="Calibri" w:cs="Times New Roman"/>
      <w:sz w:val="20"/>
      <w:szCs w:val="20"/>
      <w:lang w:val="nl-NL" w:eastAsia="nl-NL"/>
    </w:rPr>
  </w:style>
  <w:style w:type="paragraph" w:styleId="BodyText">
    <w:name w:val="Body Text"/>
    <w:basedOn w:val="Normal"/>
    <w:link w:val="BodyTextChar"/>
    <w:uiPriority w:val="99"/>
    <w:semiHidden/>
    <w:unhideWhenUsed/>
    <w:rsid w:val="00F2067D"/>
    <w:pPr>
      <w:spacing w:after="120"/>
    </w:pPr>
  </w:style>
  <w:style w:type="character" w:customStyle="1" w:styleId="BodyTextChar">
    <w:name w:val="Body Text Char"/>
    <w:basedOn w:val="DefaultParagraphFont"/>
    <w:link w:val="BodyText"/>
    <w:uiPriority w:val="99"/>
    <w:semiHidden/>
    <w:rsid w:val="00F2067D"/>
  </w:style>
  <w:style w:type="paragraph" w:styleId="BodyTextFirstIndent">
    <w:name w:val="Body Text First Indent"/>
    <w:basedOn w:val="BodyText"/>
    <w:link w:val="BodyTextFirstIndentChar0"/>
    <w:uiPriority w:val="99"/>
    <w:semiHidden/>
    <w:unhideWhenUsed/>
    <w:rsid w:val="00F2067D"/>
    <w:pPr>
      <w:spacing w:after="0"/>
      <w:ind w:firstLine="360"/>
    </w:pPr>
  </w:style>
  <w:style w:type="character" w:customStyle="1" w:styleId="BodyTextFirstIndentChar0">
    <w:name w:val="Body Text First Indent Char"/>
    <w:basedOn w:val="BodyTextChar"/>
    <w:link w:val="BodyTextFirstIndent"/>
    <w:uiPriority w:val="99"/>
    <w:semiHidden/>
    <w:rsid w:val="00F2067D"/>
  </w:style>
  <w:style w:type="character" w:styleId="CommentReference">
    <w:name w:val="annotation reference"/>
    <w:basedOn w:val="DefaultParagraphFont"/>
    <w:uiPriority w:val="99"/>
    <w:semiHidden/>
    <w:unhideWhenUsed/>
    <w:rsid w:val="00110470"/>
    <w:rPr>
      <w:sz w:val="16"/>
      <w:szCs w:val="16"/>
    </w:rPr>
  </w:style>
  <w:style w:type="paragraph" w:styleId="CommentText">
    <w:name w:val="annotation text"/>
    <w:basedOn w:val="Normal"/>
    <w:link w:val="CommentTextChar"/>
    <w:uiPriority w:val="99"/>
    <w:semiHidden/>
    <w:unhideWhenUsed/>
    <w:rsid w:val="00110470"/>
    <w:rPr>
      <w:sz w:val="20"/>
      <w:szCs w:val="20"/>
    </w:rPr>
  </w:style>
  <w:style w:type="character" w:customStyle="1" w:styleId="CommentTextChar">
    <w:name w:val="Comment Text Char"/>
    <w:basedOn w:val="DefaultParagraphFont"/>
    <w:link w:val="CommentText"/>
    <w:uiPriority w:val="99"/>
    <w:semiHidden/>
    <w:rsid w:val="00110470"/>
    <w:rPr>
      <w:sz w:val="20"/>
      <w:szCs w:val="20"/>
    </w:rPr>
  </w:style>
  <w:style w:type="paragraph" w:styleId="CommentSubject">
    <w:name w:val="annotation subject"/>
    <w:basedOn w:val="CommentText"/>
    <w:next w:val="CommentText"/>
    <w:link w:val="CommentSubjectChar"/>
    <w:uiPriority w:val="99"/>
    <w:semiHidden/>
    <w:unhideWhenUsed/>
    <w:rsid w:val="00110470"/>
    <w:rPr>
      <w:b/>
      <w:bCs/>
    </w:rPr>
  </w:style>
  <w:style w:type="character" w:customStyle="1" w:styleId="CommentSubjectChar">
    <w:name w:val="Comment Subject Char"/>
    <w:basedOn w:val="CommentTextChar"/>
    <w:link w:val="CommentSubject"/>
    <w:uiPriority w:val="99"/>
    <w:semiHidden/>
    <w:rsid w:val="00110470"/>
    <w:rPr>
      <w:b/>
      <w:bCs/>
      <w:sz w:val="20"/>
      <w:szCs w:val="20"/>
    </w:rPr>
  </w:style>
  <w:style w:type="paragraph" w:styleId="Footer">
    <w:name w:val="footer"/>
    <w:basedOn w:val="Normal"/>
    <w:link w:val="FooterChar"/>
    <w:uiPriority w:val="99"/>
    <w:unhideWhenUsed/>
    <w:rsid w:val="00C80DED"/>
    <w:pPr>
      <w:tabs>
        <w:tab w:val="center" w:pos="4320"/>
        <w:tab w:val="right" w:pos="8640"/>
      </w:tabs>
    </w:pPr>
  </w:style>
  <w:style w:type="character" w:customStyle="1" w:styleId="FooterChar">
    <w:name w:val="Footer Char"/>
    <w:basedOn w:val="DefaultParagraphFont"/>
    <w:link w:val="Footer"/>
    <w:uiPriority w:val="99"/>
    <w:rsid w:val="00C80DED"/>
  </w:style>
  <w:style w:type="character" w:styleId="PageNumber">
    <w:name w:val="page number"/>
    <w:basedOn w:val="DefaultParagraphFont"/>
    <w:uiPriority w:val="99"/>
    <w:semiHidden/>
    <w:unhideWhenUsed/>
    <w:rsid w:val="00C80D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209AB"/>
    <w:rPr>
      <w:rFonts w:cs="Times New Roman"/>
      <w:color w:val="0000FF"/>
      <w:u w:val="single"/>
    </w:rPr>
  </w:style>
  <w:style w:type="paragraph" w:styleId="BalloonText">
    <w:name w:val="Balloon Text"/>
    <w:basedOn w:val="Normal"/>
    <w:link w:val="BalloonTextChar"/>
    <w:uiPriority w:val="99"/>
    <w:semiHidden/>
    <w:unhideWhenUsed/>
    <w:rsid w:val="00F209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09AB"/>
    <w:rPr>
      <w:rFonts w:ascii="Lucida Grande" w:hAnsi="Lucida Grande" w:cs="Lucida Grande"/>
      <w:sz w:val="18"/>
      <w:szCs w:val="18"/>
    </w:rPr>
  </w:style>
  <w:style w:type="paragraph" w:customStyle="1" w:styleId="BodyTextFirstIndent1">
    <w:name w:val="Body Text First Indent1"/>
    <w:basedOn w:val="BodyTextFirstIndent"/>
    <w:next w:val="BodyText"/>
    <w:link w:val="BodytextfirstindentChar"/>
    <w:rsid w:val="00F2067D"/>
    <w:pPr>
      <w:spacing w:after="200" w:line="276" w:lineRule="auto"/>
      <w:ind w:firstLine="357"/>
      <w:jc w:val="both"/>
    </w:pPr>
    <w:rPr>
      <w:rFonts w:ascii="Calibri" w:eastAsia="Times New Roman" w:hAnsi="Calibri" w:cs="Times New Roman"/>
      <w:sz w:val="20"/>
      <w:szCs w:val="20"/>
      <w:lang w:val="nl-NL" w:eastAsia="nl-NL"/>
    </w:rPr>
  </w:style>
  <w:style w:type="character" w:customStyle="1" w:styleId="BodytextfirstindentChar">
    <w:name w:val="Body text first indent Char"/>
    <w:link w:val="BodyTextFirstIndent1"/>
    <w:locked/>
    <w:rsid w:val="00F2067D"/>
    <w:rPr>
      <w:rFonts w:ascii="Calibri" w:eastAsia="Times New Roman" w:hAnsi="Calibri" w:cs="Times New Roman"/>
      <w:sz w:val="20"/>
      <w:szCs w:val="20"/>
      <w:lang w:val="nl-NL" w:eastAsia="nl-NL"/>
    </w:rPr>
  </w:style>
  <w:style w:type="paragraph" w:styleId="BodyText">
    <w:name w:val="Body Text"/>
    <w:basedOn w:val="Normal"/>
    <w:link w:val="BodyTextChar"/>
    <w:uiPriority w:val="99"/>
    <w:semiHidden/>
    <w:unhideWhenUsed/>
    <w:rsid w:val="00F2067D"/>
    <w:pPr>
      <w:spacing w:after="120"/>
    </w:pPr>
  </w:style>
  <w:style w:type="character" w:customStyle="1" w:styleId="BodyTextChar">
    <w:name w:val="Body Text Char"/>
    <w:basedOn w:val="DefaultParagraphFont"/>
    <w:link w:val="BodyText"/>
    <w:uiPriority w:val="99"/>
    <w:semiHidden/>
    <w:rsid w:val="00F2067D"/>
  </w:style>
  <w:style w:type="paragraph" w:styleId="BodyTextFirstIndent">
    <w:name w:val="Body Text First Indent"/>
    <w:basedOn w:val="BodyText"/>
    <w:link w:val="BodyTextFirstIndentChar0"/>
    <w:uiPriority w:val="99"/>
    <w:semiHidden/>
    <w:unhideWhenUsed/>
    <w:rsid w:val="00F2067D"/>
    <w:pPr>
      <w:spacing w:after="0"/>
      <w:ind w:firstLine="360"/>
    </w:pPr>
  </w:style>
  <w:style w:type="character" w:customStyle="1" w:styleId="BodyTextFirstIndentChar0">
    <w:name w:val="Body Text First Indent Char"/>
    <w:basedOn w:val="BodyTextChar"/>
    <w:link w:val="BodyTextFirstIndent"/>
    <w:uiPriority w:val="99"/>
    <w:semiHidden/>
    <w:rsid w:val="00F2067D"/>
  </w:style>
  <w:style w:type="character" w:styleId="CommentReference">
    <w:name w:val="annotation reference"/>
    <w:basedOn w:val="DefaultParagraphFont"/>
    <w:uiPriority w:val="99"/>
    <w:semiHidden/>
    <w:unhideWhenUsed/>
    <w:rsid w:val="00110470"/>
    <w:rPr>
      <w:sz w:val="16"/>
      <w:szCs w:val="16"/>
    </w:rPr>
  </w:style>
  <w:style w:type="paragraph" w:styleId="CommentText">
    <w:name w:val="annotation text"/>
    <w:basedOn w:val="Normal"/>
    <w:link w:val="CommentTextChar"/>
    <w:uiPriority w:val="99"/>
    <w:semiHidden/>
    <w:unhideWhenUsed/>
    <w:rsid w:val="00110470"/>
    <w:rPr>
      <w:sz w:val="20"/>
      <w:szCs w:val="20"/>
    </w:rPr>
  </w:style>
  <w:style w:type="character" w:customStyle="1" w:styleId="CommentTextChar">
    <w:name w:val="Comment Text Char"/>
    <w:basedOn w:val="DefaultParagraphFont"/>
    <w:link w:val="CommentText"/>
    <w:uiPriority w:val="99"/>
    <w:semiHidden/>
    <w:rsid w:val="00110470"/>
    <w:rPr>
      <w:sz w:val="20"/>
      <w:szCs w:val="20"/>
    </w:rPr>
  </w:style>
  <w:style w:type="paragraph" w:styleId="CommentSubject">
    <w:name w:val="annotation subject"/>
    <w:basedOn w:val="CommentText"/>
    <w:next w:val="CommentText"/>
    <w:link w:val="CommentSubjectChar"/>
    <w:uiPriority w:val="99"/>
    <w:semiHidden/>
    <w:unhideWhenUsed/>
    <w:rsid w:val="00110470"/>
    <w:rPr>
      <w:b/>
      <w:bCs/>
    </w:rPr>
  </w:style>
  <w:style w:type="character" w:customStyle="1" w:styleId="CommentSubjectChar">
    <w:name w:val="Comment Subject Char"/>
    <w:basedOn w:val="CommentTextChar"/>
    <w:link w:val="CommentSubject"/>
    <w:uiPriority w:val="99"/>
    <w:semiHidden/>
    <w:rsid w:val="00110470"/>
    <w:rPr>
      <w:b/>
      <w:bCs/>
      <w:sz w:val="20"/>
      <w:szCs w:val="20"/>
    </w:rPr>
  </w:style>
  <w:style w:type="paragraph" w:styleId="Footer">
    <w:name w:val="footer"/>
    <w:basedOn w:val="Normal"/>
    <w:link w:val="FooterChar"/>
    <w:uiPriority w:val="99"/>
    <w:unhideWhenUsed/>
    <w:rsid w:val="00C80DED"/>
    <w:pPr>
      <w:tabs>
        <w:tab w:val="center" w:pos="4320"/>
        <w:tab w:val="right" w:pos="8640"/>
      </w:tabs>
    </w:pPr>
  </w:style>
  <w:style w:type="character" w:customStyle="1" w:styleId="FooterChar">
    <w:name w:val="Footer Char"/>
    <w:basedOn w:val="DefaultParagraphFont"/>
    <w:link w:val="Footer"/>
    <w:uiPriority w:val="99"/>
    <w:rsid w:val="00C80DED"/>
  </w:style>
  <w:style w:type="character" w:styleId="PageNumber">
    <w:name w:val="page number"/>
    <w:basedOn w:val="DefaultParagraphFont"/>
    <w:uiPriority w:val="99"/>
    <w:semiHidden/>
    <w:unhideWhenUsed/>
    <w:rsid w:val="00C80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22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yperlink" Target="http://www.uniprot.org/uniprot/Q12809" TargetMode="External"/><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778</Words>
  <Characters>4438</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AMC</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Bezzina</dc:creator>
  <cp:lastModifiedBy>Connie Bezzina</cp:lastModifiedBy>
  <cp:revision>3</cp:revision>
  <dcterms:created xsi:type="dcterms:W3CDTF">2015-02-02T14:10:00Z</dcterms:created>
  <dcterms:modified xsi:type="dcterms:W3CDTF">2015-02-05T11:03:00Z</dcterms:modified>
</cp:coreProperties>
</file>