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3C446" w14:textId="77777777" w:rsidR="003C73D7" w:rsidRPr="00204F39" w:rsidRDefault="003C73D7" w:rsidP="00D32CEA">
      <w:pPr>
        <w:spacing w:line="360" w:lineRule="auto"/>
        <w:jc w:val="center"/>
        <w:rPr>
          <w:rFonts w:ascii="Times New Roman" w:hAnsi="Times New Roman"/>
          <w:b/>
          <w:i/>
          <w:sz w:val="24"/>
          <w:szCs w:val="24"/>
        </w:rPr>
      </w:pPr>
      <w:bookmarkStart w:id="0" w:name="_GoBack"/>
      <w:bookmarkEnd w:id="0"/>
    </w:p>
    <w:p w14:paraId="736D7816" w14:textId="77777777" w:rsidR="003C73D7" w:rsidRPr="00137A35" w:rsidRDefault="003C73D7" w:rsidP="00D32CEA">
      <w:pPr>
        <w:spacing w:line="360" w:lineRule="auto"/>
        <w:jc w:val="center"/>
        <w:rPr>
          <w:rFonts w:ascii="Arial" w:hAnsi="Arial" w:cs="Arial"/>
          <w:b/>
          <w:sz w:val="32"/>
          <w:szCs w:val="32"/>
        </w:rPr>
      </w:pPr>
      <w:r w:rsidRPr="00137A35">
        <w:rPr>
          <w:rFonts w:ascii="Arial" w:hAnsi="Arial" w:cs="Arial"/>
          <w:b/>
          <w:sz w:val="32"/>
          <w:szCs w:val="32"/>
        </w:rPr>
        <w:t>Alpha-synuclein regulates neuronal levels of manganese and calcium</w:t>
      </w:r>
    </w:p>
    <w:p w14:paraId="49A4C8D8" w14:textId="77777777" w:rsidR="003C73D7" w:rsidRPr="00204F39" w:rsidRDefault="003C73D7" w:rsidP="00FC4497">
      <w:pPr>
        <w:spacing w:line="360" w:lineRule="auto"/>
        <w:jc w:val="center"/>
        <w:rPr>
          <w:rFonts w:ascii="Times New Roman" w:hAnsi="Times New Roman"/>
          <w:sz w:val="24"/>
          <w:szCs w:val="24"/>
        </w:rPr>
      </w:pPr>
    </w:p>
    <w:p w14:paraId="65B367C7" w14:textId="0060C054" w:rsidR="003C73D7" w:rsidRPr="00D71D88" w:rsidRDefault="003C73D7" w:rsidP="00D32CEA">
      <w:pPr>
        <w:spacing w:line="360" w:lineRule="auto"/>
        <w:jc w:val="center"/>
        <w:rPr>
          <w:rFonts w:ascii="Times New Roman" w:hAnsi="Times New Roman"/>
          <w:b/>
          <w:sz w:val="24"/>
          <w:szCs w:val="24"/>
        </w:rPr>
      </w:pPr>
      <w:r w:rsidRPr="00D71D88">
        <w:rPr>
          <w:rFonts w:ascii="Times New Roman" w:hAnsi="Times New Roman"/>
          <w:b/>
          <w:sz w:val="24"/>
          <w:szCs w:val="24"/>
        </w:rPr>
        <w:t>Tanja Dučić</w:t>
      </w:r>
      <w:r w:rsidRPr="00D71D88">
        <w:rPr>
          <w:rFonts w:ascii="Times New Roman" w:hAnsi="Times New Roman"/>
          <w:b/>
          <w:sz w:val="24"/>
          <w:szCs w:val="24"/>
          <w:vertAlign w:val="superscript"/>
        </w:rPr>
        <w:t xml:space="preserve"> a,*</w:t>
      </w:r>
      <w:r w:rsidR="00A9442E" w:rsidRPr="00D71D88">
        <w:rPr>
          <w:rFonts w:ascii="Times New Roman" w:hAnsi="Times New Roman"/>
          <w:b/>
          <w:sz w:val="24"/>
          <w:szCs w:val="24"/>
          <w:vertAlign w:val="superscript"/>
        </w:rPr>
        <w:t>,#</w:t>
      </w:r>
      <w:r w:rsidRPr="00D71D88">
        <w:rPr>
          <w:rFonts w:ascii="Times New Roman" w:hAnsi="Times New Roman"/>
          <w:b/>
          <w:sz w:val="24"/>
          <w:szCs w:val="24"/>
        </w:rPr>
        <w:t xml:space="preserve">, </w:t>
      </w:r>
      <w:r w:rsidR="00A9442E" w:rsidRPr="00D71D88">
        <w:rPr>
          <w:rFonts w:ascii="Times New Roman" w:hAnsi="Times New Roman"/>
          <w:b/>
          <w:sz w:val="24"/>
          <w:szCs w:val="24"/>
        </w:rPr>
        <w:t>Eleonora Carboni</w:t>
      </w:r>
      <w:r w:rsidR="00A9442E" w:rsidRPr="00D71D88">
        <w:rPr>
          <w:rFonts w:ascii="Times New Roman" w:hAnsi="Times New Roman"/>
          <w:b/>
          <w:sz w:val="24"/>
          <w:szCs w:val="24"/>
          <w:vertAlign w:val="superscript"/>
        </w:rPr>
        <w:t xml:space="preserve"> c, d,#</w:t>
      </w:r>
      <w:r w:rsidR="00A9442E" w:rsidRPr="00D71D88">
        <w:rPr>
          <w:rFonts w:ascii="Times New Roman" w:hAnsi="Times New Roman"/>
          <w:b/>
          <w:sz w:val="24"/>
          <w:szCs w:val="24"/>
        </w:rPr>
        <w:t xml:space="preserve">, </w:t>
      </w:r>
      <w:r w:rsidRPr="00D71D88">
        <w:rPr>
          <w:rFonts w:ascii="Times New Roman" w:hAnsi="Times New Roman"/>
          <w:b/>
          <w:sz w:val="24"/>
          <w:szCs w:val="24"/>
        </w:rPr>
        <w:t>Barry Lai</w:t>
      </w:r>
      <w:r w:rsidRPr="00D71D88">
        <w:rPr>
          <w:rFonts w:ascii="Times New Roman" w:hAnsi="Times New Roman"/>
          <w:b/>
          <w:sz w:val="24"/>
          <w:szCs w:val="24"/>
          <w:vertAlign w:val="superscript"/>
        </w:rPr>
        <w:t xml:space="preserve"> b</w:t>
      </w:r>
      <w:r w:rsidRPr="00D71D88">
        <w:rPr>
          <w:rFonts w:ascii="Times New Roman" w:hAnsi="Times New Roman"/>
          <w:b/>
          <w:sz w:val="24"/>
          <w:szCs w:val="24"/>
        </w:rPr>
        <w:t>, Si Chen</w:t>
      </w:r>
      <w:r w:rsidRPr="00D71D88">
        <w:rPr>
          <w:rFonts w:ascii="Times New Roman" w:hAnsi="Times New Roman"/>
          <w:b/>
          <w:sz w:val="24"/>
          <w:szCs w:val="24"/>
          <w:vertAlign w:val="superscript"/>
        </w:rPr>
        <w:t xml:space="preserve"> b</w:t>
      </w:r>
      <w:r w:rsidRPr="00D71D88">
        <w:rPr>
          <w:rFonts w:ascii="Times New Roman" w:hAnsi="Times New Roman"/>
          <w:b/>
          <w:sz w:val="24"/>
          <w:szCs w:val="24"/>
        </w:rPr>
        <w:t xml:space="preserve">, </w:t>
      </w:r>
      <w:r w:rsidR="001E50C2" w:rsidRPr="00D71D88">
        <w:rPr>
          <w:rFonts w:ascii="Times New Roman" w:hAnsi="Times New Roman"/>
          <w:b/>
          <w:sz w:val="24"/>
          <w:szCs w:val="24"/>
        </w:rPr>
        <w:t>Bernhard Michalke</w:t>
      </w:r>
      <w:r w:rsidR="001E50C2" w:rsidRPr="00D71D88">
        <w:rPr>
          <w:rFonts w:ascii="Times New Roman" w:hAnsi="Times New Roman"/>
          <w:b/>
          <w:sz w:val="24"/>
          <w:szCs w:val="24"/>
          <w:vertAlign w:val="superscript"/>
        </w:rPr>
        <w:t xml:space="preserve"> e</w:t>
      </w:r>
      <w:r w:rsidR="001E50C2" w:rsidRPr="00D71D88">
        <w:rPr>
          <w:rFonts w:ascii="Times New Roman" w:hAnsi="Times New Roman"/>
          <w:b/>
          <w:sz w:val="24"/>
          <w:szCs w:val="24"/>
        </w:rPr>
        <w:t xml:space="preserve">, </w:t>
      </w:r>
      <w:r w:rsidR="00BA6847" w:rsidRPr="00D71D88">
        <w:rPr>
          <w:rFonts w:ascii="Times New Roman" w:hAnsi="Times New Roman"/>
          <w:b/>
          <w:sz w:val="24"/>
          <w:szCs w:val="24"/>
        </w:rPr>
        <w:t xml:space="preserve">Diana </w:t>
      </w:r>
      <w:r w:rsidR="00BC1913" w:rsidRPr="00D71D88">
        <w:rPr>
          <w:rFonts w:ascii="Times New Roman" w:hAnsi="Times New Roman"/>
          <w:b/>
          <w:sz w:val="24"/>
          <w:szCs w:val="24"/>
        </w:rPr>
        <w:t>F. Lázaro</w:t>
      </w:r>
      <w:r w:rsidR="00A9442E" w:rsidRPr="00D71D88">
        <w:rPr>
          <w:rFonts w:ascii="Times New Roman" w:hAnsi="Times New Roman"/>
          <w:b/>
          <w:sz w:val="24"/>
          <w:szCs w:val="24"/>
          <w:vertAlign w:val="superscript"/>
        </w:rPr>
        <w:t xml:space="preserve"> f</w:t>
      </w:r>
      <w:r w:rsidR="00BA6847" w:rsidRPr="00D71D88">
        <w:rPr>
          <w:rFonts w:ascii="Times New Roman" w:hAnsi="Times New Roman"/>
          <w:b/>
          <w:sz w:val="24"/>
          <w:szCs w:val="24"/>
        </w:rPr>
        <w:t xml:space="preserve">, Tiago </w:t>
      </w:r>
      <w:r w:rsidR="00BC1913" w:rsidRPr="00D71D88">
        <w:rPr>
          <w:rFonts w:ascii="Times New Roman" w:hAnsi="Times New Roman"/>
          <w:b/>
          <w:sz w:val="24"/>
          <w:szCs w:val="24"/>
        </w:rPr>
        <w:t>F.</w:t>
      </w:r>
      <w:r w:rsidR="00BA6847" w:rsidRPr="00D71D88">
        <w:rPr>
          <w:rFonts w:ascii="Times New Roman" w:hAnsi="Times New Roman"/>
          <w:b/>
          <w:sz w:val="24"/>
          <w:szCs w:val="24"/>
        </w:rPr>
        <w:t xml:space="preserve"> Outeiro</w:t>
      </w:r>
      <w:r w:rsidR="00A9442E" w:rsidRPr="00D71D88">
        <w:rPr>
          <w:rFonts w:ascii="Times New Roman" w:hAnsi="Times New Roman"/>
          <w:b/>
          <w:sz w:val="24"/>
          <w:szCs w:val="24"/>
        </w:rPr>
        <w:t xml:space="preserve"> </w:t>
      </w:r>
      <w:r w:rsidR="00A9442E" w:rsidRPr="00D71D88">
        <w:rPr>
          <w:rFonts w:ascii="Times New Roman" w:hAnsi="Times New Roman"/>
          <w:b/>
          <w:sz w:val="24"/>
          <w:szCs w:val="24"/>
          <w:vertAlign w:val="superscript"/>
        </w:rPr>
        <w:t>f</w:t>
      </w:r>
      <w:r w:rsidR="00BA6847" w:rsidRPr="00D71D88">
        <w:rPr>
          <w:rFonts w:ascii="Times New Roman" w:hAnsi="Times New Roman"/>
          <w:b/>
          <w:sz w:val="24"/>
          <w:szCs w:val="24"/>
        </w:rPr>
        <w:t xml:space="preserve">, </w:t>
      </w:r>
      <w:r w:rsidRPr="00D71D88">
        <w:rPr>
          <w:rFonts w:ascii="Times New Roman" w:hAnsi="Times New Roman"/>
          <w:b/>
          <w:sz w:val="24"/>
          <w:szCs w:val="24"/>
        </w:rPr>
        <w:t xml:space="preserve">Mathias Bähr </w:t>
      </w:r>
      <w:r w:rsidRPr="00D71D88">
        <w:rPr>
          <w:rFonts w:ascii="Times New Roman" w:hAnsi="Times New Roman"/>
          <w:b/>
          <w:sz w:val="24"/>
          <w:szCs w:val="24"/>
          <w:vertAlign w:val="superscript"/>
        </w:rPr>
        <w:t>c, d</w:t>
      </w:r>
      <w:r w:rsidRPr="00D71D88">
        <w:rPr>
          <w:rFonts w:ascii="Times New Roman" w:hAnsi="Times New Roman"/>
          <w:b/>
          <w:sz w:val="24"/>
          <w:szCs w:val="24"/>
        </w:rPr>
        <w:t>, Elisabeth Barski</w:t>
      </w:r>
      <w:r w:rsidRPr="00D71D88">
        <w:rPr>
          <w:rFonts w:ascii="Times New Roman" w:hAnsi="Times New Roman"/>
          <w:b/>
          <w:sz w:val="24"/>
          <w:szCs w:val="24"/>
          <w:vertAlign w:val="superscript"/>
        </w:rPr>
        <w:t xml:space="preserve"> c</w:t>
      </w:r>
      <w:r w:rsidRPr="00D71D88">
        <w:rPr>
          <w:rFonts w:ascii="Times New Roman" w:hAnsi="Times New Roman"/>
          <w:b/>
          <w:sz w:val="24"/>
          <w:szCs w:val="24"/>
        </w:rPr>
        <w:t xml:space="preserve"> and Paul Lingor</w:t>
      </w:r>
      <w:r w:rsidRPr="00D71D88">
        <w:rPr>
          <w:rFonts w:ascii="Times New Roman" w:hAnsi="Times New Roman"/>
          <w:b/>
          <w:sz w:val="24"/>
          <w:szCs w:val="24"/>
          <w:vertAlign w:val="superscript"/>
        </w:rPr>
        <w:t xml:space="preserve"> c, d,*</w:t>
      </w:r>
    </w:p>
    <w:p w14:paraId="2EA13A5A" w14:textId="77777777" w:rsidR="003C73D7" w:rsidRPr="00D71D88" w:rsidRDefault="003C73D7" w:rsidP="000D1D73">
      <w:pPr>
        <w:pStyle w:val="HTMLVorformatiert"/>
        <w:spacing w:line="360" w:lineRule="auto"/>
        <w:jc w:val="both"/>
        <w:rPr>
          <w:rFonts w:ascii="Times New Roman" w:hAnsi="Times New Roman" w:cs="Times New Roman"/>
          <w:sz w:val="24"/>
          <w:szCs w:val="24"/>
        </w:rPr>
      </w:pPr>
    </w:p>
    <w:p w14:paraId="7A48483D" w14:textId="77777777" w:rsidR="003C73D7" w:rsidRPr="00D71D88" w:rsidRDefault="003C73D7" w:rsidP="000D1D73">
      <w:pPr>
        <w:pStyle w:val="HTMLVorformatiert"/>
        <w:spacing w:line="360" w:lineRule="auto"/>
        <w:jc w:val="both"/>
        <w:rPr>
          <w:rFonts w:ascii="Times New Roman" w:hAnsi="Times New Roman" w:cs="Times New Roman"/>
          <w:sz w:val="24"/>
          <w:szCs w:val="24"/>
        </w:rPr>
      </w:pPr>
    </w:p>
    <w:p w14:paraId="4208392E" w14:textId="77777777" w:rsidR="003C73D7" w:rsidRPr="00D71D88" w:rsidRDefault="003C73D7" w:rsidP="000D1D73">
      <w:pPr>
        <w:pStyle w:val="HTMLVorformatiert"/>
        <w:spacing w:line="360" w:lineRule="auto"/>
        <w:jc w:val="both"/>
        <w:rPr>
          <w:rFonts w:ascii="Times New Roman" w:hAnsi="Times New Roman" w:cs="Times New Roman"/>
          <w:sz w:val="24"/>
          <w:szCs w:val="24"/>
        </w:rPr>
      </w:pPr>
      <w:r w:rsidRPr="00D71D88">
        <w:rPr>
          <w:rFonts w:ascii="Times New Roman" w:hAnsi="Times New Roman" w:cs="Times New Roman"/>
          <w:sz w:val="24"/>
          <w:szCs w:val="24"/>
          <w:vertAlign w:val="superscript"/>
        </w:rPr>
        <w:t>a</w:t>
      </w:r>
      <w:r w:rsidRPr="00D71D88">
        <w:rPr>
          <w:rFonts w:ascii="Times New Roman" w:hAnsi="Times New Roman" w:cs="Times New Roman"/>
          <w:sz w:val="24"/>
          <w:szCs w:val="24"/>
        </w:rPr>
        <w:t xml:space="preserve"> CELLS – ALBA, Carretera BP 1413, de Cerdanyola del Vallès a Sant Cugat del Vallès, km. 3,3, 08290 Cerdanyola del Vallès, Barcelona, Spain</w:t>
      </w:r>
      <w:r w:rsidR="00346514" w:rsidRPr="00D71D88">
        <w:rPr>
          <w:rFonts w:ascii="Times New Roman" w:hAnsi="Times New Roman" w:cs="Times New Roman"/>
          <w:sz w:val="24"/>
          <w:szCs w:val="24"/>
        </w:rPr>
        <w:t xml:space="preserve">. TD: </w:t>
      </w:r>
      <w:hyperlink r:id="rId9" w:history="1">
        <w:r w:rsidR="00346514" w:rsidRPr="00D71D88">
          <w:rPr>
            <w:rStyle w:val="Hyperlink"/>
            <w:rFonts w:ascii="Times New Roman" w:hAnsi="Times New Roman"/>
            <w:color w:val="auto"/>
            <w:sz w:val="24"/>
            <w:szCs w:val="24"/>
          </w:rPr>
          <w:t>tducic@cells.es</w:t>
        </w:r>
      </w:hyperlink>
    </w:p>
    <w:p w14:paraId="50867EA3" w14:textId="77777777" w:rsidR="003C73D7" w:rsidRPr="00D71D88" w:rsidRDefault="003C73D7" w:rsidP="000D1D73">
      <w:pPr>
        <w:pStyle w:val="HTMLVorformatiert"/>
        <w:spacing w:line="360" w:lineRule="auto"/>
        <w:jc w:val="both"/>
        <w:rPr>
          <w:rFonts w:ascii="Times New Roman" w:hAnsi="Times New Roman" w:cs="Times New Roman"/>
          <w:sz w:val="24"/>
          <w:szCs w:val="24"/>
          <w:lang w:val="en-GB"/>
        </w:rPr>
      </w:pPr>
      <w:r w:rsidRPr="00D71D88">
        <w:rPr>
          <w:rFonts w:ascii="Times New Roman" w:hAnsi="Times New Roman" w:cs="Times New Roman"/>
          <w:sz w:val="24"/>
          <w:szCs w:val="24"/>
          <w:vertAlign w:val="superscript"/>
          <w:lang w:val="en-GB"/>
        </w:rPr>
        <w:t>b</w:t>
      </w:r>
      <w:r w:rsidRPr="00D71D88">
        <w:rPr>
          <w:rFonts w:ascii="Times New Roman" w:hAnsi="Times New Roman" w:cs="Times New Roman"/>
          <w:sz w:val="24"/>
          <w:szCs w:val="24"/>
          <w:lang w:val="en-GB"/>
        </w:rPr>
        <w:t xml:space="preserve"> Advanced Photon Source, Argonne National Laboratory, 9700 S. Cass Avenue, Argonne, IL 60439, USA</w:t>
      </w:r>
      <w:r w:rsidR="00346514" w:rsidRPr="00D71D88">
        <w:rPr>
          <w:rFonts w:ascii="Times New Roman" w:hAnsi="Times New Roman" w:cs="Times New Roman"/>
          <w:sz w:val="24"/>
          <w:szCs w:val="24"/>
          <w:lang w:val="en-GB"/>
        </w:rPr>
        <w:t>.</w:t>
      </w:r>
      <w:r w:rsidRPr="00D71D88">
        <w:rPr>
          <w:rFonts w:ascii="Times New Roman" w:hAnsi="Times New Roman" w:cs="Times New Roman"/>
          <w:sz w:val="24"/>
          <w:szCs w:val="24"/>
          <w:lang w:val="en-GB"/>
        </w:rPr>
        <w:t xml:space="preserve"> </w:t>
      </w:r>
      <w:r w:rsidR="00346514" w:rsidRPr="00D71D88">
        <w:rPr>
          <w:rFonts w:ascii="Times New Roman" w:hAnsi="Times New Roman" w:cs="Times New Roman"/>
          <w:sz w:val="24"/>
          <w:szCs w:val="24"/>
          <w:lang w:val="en-GB"/>
        </w:rPr>
        <w:t xml:space="preserve">BL: </w:t>
      </w:r>
      <w:hyperlink r:id="rId10" w:history="1">
        <w:r w:rsidR="00346514" w:rsidRPr="00D71D88">
          <w:rPr>
            <w:rStyle w:val="Hyperlink"/>
            <w:rFonts w:ascii="Times New Roman" w:hAnsi="Times New Roman"/>
            <w:color w:val="auto"/>
            <w:sz w:val="24"/>
            <w:szCs w:val="24"/>
            <w:lang w:val="en-GB"/>
          </w:rPr>
          <w:t>blai@aps.anl.gov</w:t>
        </w:r>
      </w:hyperlink>
      <w:r w:rsidR="007313E1" w:rsidRPr="00D71D88">
        <w:rPr>
          <w:rFonts w:ascii="Times New Roman" w:hAnsi="Times New Roman" w:cs="Times New Roman"/>
          <w:sz w:val="24"/>
          <w:szCs w:val="24"/>
          <w:lang w:val="en-GB"/>
        </w:rPr>
        <w:t>,</w:t>
      </w:r>
      <w:r w:rsidR="00346514" w:rsidRPr="00D71D88">
        <w:rPr>
          <w:rFonts w:ascii="Times New Roman" w:hAnsi="Times New Roman" w:cs="Times New Roman"/>
          <w:sz w:val="24"/>
          <w:szCs w:val="24"/>
          <w:lang w:val="en-GB"/>
        </w:rPr>
        <w:t xml:space="preserve"> SC</w:t>
      </w:r>
      <w:r w:rsidR="00064EA8" w:rsidRPr="00D71D88">
        <w:rPr>
          <w:rFonts w:ascii="Times New Roman" w:hAnsi="Times New Roman" w:cs="Times New Roman"/>
          <w:sz w:val="24"/>
          <w:szCs w:val="24"/>
          <w:lang w:val="en-GB"/>
        </w:rPr>
        <w:t>:</w:t>
      </w:r>
      <w:r w:rsidR="00346514" w:rsidRPr="00D71D88">
        <w:rPr>
          <w:rFonts w:ascii="Times New Roman" w:hAnsi="Times New Roman" w:cs="Times New Roman"/>
          <w:sz w:val="24"/>
          <w:szCs w:val="24"/>
          <w:lang w:val="en-GB"/>
        </w:rPr>
        <w:t xml:space="preserve"> </w:t>
      </w:r>
      <w:hyperlink r:id="rId11" w:history="1">
        <w:r w:rsidR="00064EA8" w:rsidRPr="00D71D88">
          <w:rPr>
            <w:rStyle w:val="Hyperlink"/>
            <w:rFonts w:ascii="Times New Roman" w:hAnsi="Times New Roman"/>
            <w:color w:val="auto"/>
            <w:sz w:val="24"/>
            <w:szCs w:val="24"/>
            <w:lang w:val="en-GB"/>
          </w:rPr>
          <w:t>sichen.dart@gmail.com</w:t>
        </w:r>
      </w:hyperlink>
      <w:r w:rsidR="00064EA8" w:rsidRPr="00D71D88">
        <w:rPr>
          <w:rFonts w:ascii="Times New Roman" w:hAnsi="Times New Roman" w:cs="Times New Roman"/>
          <w:sz w:val="24"/>
          <w:szCs w:val="24"/>
          <w:lang w:val="en-GB"/>
        </w:rPr>
        <w:t xml:space="preserve"> </w:t>
      </w:r>
    </w:p>
    <w:p w14:paraId="52B526C1" w14:textId="3DC85E2E" w:rsidR="003C73D7" w:rsidRPr="00D71D88" w:rsidRDefault="003C73D7" w:rsidP="000D1D73">
      <w:pPr>
        <w:pStyle w:val="Default"/>
        <w:spacing w:line="360" w:lineRule="auto"/>
        <w:jc w:val="both"/>
        <w:rPr>
          <w:color w:val="auto"/>
          <w:lang w:val="de-DE"/>
        </w:rPr>
      </w:pPr>
      <w:r w:rsidRPr="00D71D88">
        <w:rPr>
          <w:color w:val="auto"/>
          <w:vertAlign w:val="superscript"/>
        </w:rPr>
        <w:t xml:space="preserve">c </w:t>
      </w:r>
      <w:r w:rsidRPr="00D71D88">
        <w:rPr>
          <w:color w:val="auto"/>
        </w:rPr>
        <w:t>Department of Neurology, University Medicine Gö</w:t>
      </w:r>
      <w:r w:rsidR="006554A7" w:rsidRPr="00D71D88">
        <w:rPr>
          <w:color w:val="auto"/>
        </w:rPr>
        <w:t xml:space="preserve">ttingen, Robert-Koch-Str. </w:t>
      </w:r>
      <w:r w:rsidR="006554A7" w:rsidRPr="00D71D88">
        <w:rPr>
          <w:color w:val="auto"/>
          <w:lang w:val="de-DE"/>
        </w:rPr>
        <w:t xml:space="preserve">40, </w:t>
      </w:r>
      <w:r w:rsidRPr="00D71D88">
        <w:rPr>
          <w:color w:val="auto"/>
          <w:lang w:val="de-DE"/>
        </w:rPr>
        <w:t>37075 Göttingen, Germany</w:t>
      </w:r>
      <w:r w:rsidR="00346514" w:rsidRPr="00D71D88">
        <w:rPr>
          <w:color w:val="auto"/>
          <w:lang w:val="de-DE"/>
        </w:rPr>
        <w:t>. PL</w:t>
      </w:r>
      <w:r w:rsidR="00064EA8" w:rsidRPr="00D71D88">
        <w:rPr>
          <w:color w:val="auto"/>
          <w:lang w:val="de-DE"/>
        </w:rPr>
        <w:t>:</w:t>
      </w:r>
      <w:r w:rsidR="00346514" w:rsidRPr="00D71D88">
        <w:rPr>
          <w:color w:val="auto"/>
          <w:lang w:val="de-DE"/>
        </w:rPr>
        <w:t xml:space="preserve"> </w:t>
      </w:r>
      <w:hyperlink r:id="rId12" w:history="1">
        <w:r w:rsidR="000A3D97" w:rsidRPr="00D71D88">
          <w:rPr>
            <w:rStyle w:val="Hyperlink"/>
            <w:color w:val="auto"/>
            <w:lang w:val="de-DE"/>
          </w:rPr>
          <w:t>plingor@gwdg.de</w:t>
        </w:r>
      </w:hyperlink>
      <w:r w:rsidR="000A3D97" w:rsidRPr="00D71D88">
        <w:rPr>
          <w:color w:val="auto"/>
          <w:lang w:val="de-DE"/>
        </w:rPr>
        <w:t xml:space="preserve">, EC: </w:t>
      </w:r>
      <w:hyperlink r:id="rId13" w:history="1">
        <w:r w:rsidR="000A3D97" w:rsidRPr="00D71D88">
          <w:rPr>
            <w:rStyle w:val="Hyperlink"/>
            <w:color w:val="auto"/>
            <w:lang w:val="de-DE"/>
          </w:rPr>
          <w:t>eleonora.carboni@gmail.com</w:t>
        </w:r>
      </w:hyperlink>
      <w:r w:rsidR="000A3D97" w:rsidRPr="00D71D88">
        <w:rPr>
          <w:color w:val="auto"/>
          <w:lang w:val="de-DE"/>
        </w:rPr>
        <w:t xml:space="preserve">, </w:t>
      </w:r>
      <w:r w:rsidR="00064EA8" w:rsidRPr="00D71D88">
        <w:rPr>
          <w:color w:val="auto"/>
          <w:lang w:val="de-DE"/>
        </w:rPr>
        <w:t>MB:</w:t>
      </w:r>
      <w:r w:rsidR="000A3D97" w:rsidRPr="00D71D88">
        <w:rPr>
          <w:color w:val="auto"/>
          <w:lang w:val="de-DE"/>
        </w:rPr>
        <w:t xml:space="preserve"> mbaehr@gwdg.de, </w:t>
      </w:r>
      <w:r w:rsidR="00064EA8" w:rsidRPr="00D71D88">
        <w:rPr>
          <w:color w:val="auto"/>
          <w:lang w:val="de-DE"/>
        </w:rPr>
        <w:t>EB:</w:t>
      </w:r>
      <w:r w:rsidR="000A3D97" w:rsidRPr="00D71D88">
        <w:rPr>
          <w:color w:val="auto"/>
          <w:lang w:val="de-DE"/>
        </w:rPr>
        <w:t xml:space="preserve"> ebarski@gwdg.de</w:t>
      </w:r>
      <w:r w:rsidR="00064EA8" w:rsidRPr="00D71D88">
        <w:rPr>
          <w:color w:val="auto"/>
          <w:lang w:val="de-DE"/>
        </w:rPr>
        <w:t xml:space="preserve">   </w:t>
      </w:r>
    </w:p>
    <w:p w14:paraId="0A9C9767" w14:textId="77777777" w:rsidR="003C73D7" w:rsidRPr="00D71D88" w:rsidRDefault="003C73D7" w:rsidP="000D1D73">
      <w:pPr>
        <w:pStyle w:val="Default"/>
        <w:spacing w:line="360" w:lineRule="auto"/>
        <w:jc w:val="both"/>
        <w:rPr>
          <w:color w:val="auto"/>
        </w:rPr>
      </w:pPr>
      <w:r w:rsidRPr="00D71D88">
        <w:rPr>
          <w:color w:val="auto"/>
          <w:vertAlign w:val="superscript"/>
        </w:rPr>
        <w:t xml:space="preserve">d </w:t>
      </w:r>
      <w:r w:rsidRPr="00D71D88">
        <w:rPr>
          <w:color w:val="auto"/>
        </w:rPr>
        <w:t>DFG-Research Center for Nanoscale Microscopy and Molecular Physiology of the Brain</w:t>
      </w:r>
    </w:p>
    <w:p w14:paraId="3469035D" w14:textId="18918934" w:rsidR="003C73D7" w:rsidRPr="00D71D88" w:rsidRDefault="001E50C2" w:rsidP="000D1D73">
      <w:pPr>
        <w:spacing w:line="360" w:lineRule="auto"/>
        <w:jc w:val="both"/>
        <w:rPr>
          <w:rFonts w:ascii="Times New Roman" w:hAnsi="Times New Roman"/>
          <w:sz w:val="24"/>
          <w:szCs w:val="24"/>
          <w:lang w:val="de-DE"/>
        </w:rPr>
      </w:pPr>
      <w:r w:rsidRPr="00D71D88">
        <w:rPr>
          <w:rFonts w:ascii="Times New Roman" w:hAnsi="Times New Roman"/>
          <w:sz w:val="24"/>
          <w:szCs w:val="24"/>
          <w:vertAlign w:val="superscript"/>
          <w:lang w:val="de-DE"/>
        </w:rPr>
        <w:t>e</w:t>
      </w:r>
      <w:r w:rsidRPr="00D71D88">
        <w:rPr>
          <w:rFonts w:ascii="Times New Roman" w:hAnsi="Times New Roman"/>
          <w:sz w:val="24"/>
          <w:szCs w:val="24"/>
          <w:lang w:val="de-DE"/>
        </w:rPr>
        <w:t xml:space="preserve"> Helmholtz Zentrum München</w:t>
      </w:r>
      <w:r w:rsidR="006554A7" w:rsidRPr="00D71D88">
        <w:rPr>
          <w:rFonts w:ascii="Times New Roman" w:hAnsi="Times New Roman"/>
          <w:sz w:val="24"/>
          <w:szCs w:val="24"/>
          <w:lang w:val="de-DE"/>
        </w:rPr>
        <w:t>, Ingolstädter Landstr. 1, 85764 Neuherberg</w:t>
      </w:r>
      <w:r w:rsidRPr="00D71D88">
        <w:rPr>
          <w:rFonts w:ascii="Times New Roman" w:hAnsi="Times New Roman"/>
          <w:sz w:val="24"/>
          <w:szCs w:val="24"/>
          <w:lang w:val="de-DE"/>
        </w:rPr>
        <w:t xml:space="preserve">: </w:t>
      </w:r>
      <w:hyperlink r:id="rId14" w:history="1">
        <w:r w:rsidR="00D16E3F" w:rsidRPr="00D71D88">
          <w:rPr>
            <w:rStyle w:val="Hyperlink"/>
            <w:rFonts w:ascii="Times New Roman" w:hAnsi="Times New Roman"/>
            <w:color w:val="auto"/>
            <w:sz w:val="24"/>
            <w:szCs w:val="24"/>
            <w:lang w:val="de-DE"/>
          </w:rPr>
          <w:t>Bernhard.michalke@helmholz-muenchen.de</w:t>
        </w:r>
      </w:hyperlink>
    </w:p>
    <w:p w14:paraId="0487A537" w14:textId="1EDE2B78" w:rsidR="00BA6847" w:rsidRPr="00D71D88" w:rsidRDefault="00A9442E" w:rsidP="000F57D9">
      <w:pPr>
        <w:pStyle w:val="Default"/>
        <w:spacing w:line="360" w:lineRule="auto"/>
        <w:jc w:val="both"/>
        <w:rPr>
          <w:color w:val="auto"/>
        </w:rPr>
      </w:pPr>
      <w:r w:rsidRPr="00D71D88">
        <w:rPr>
          <w:color w:val="auto"/>
          <w:vertAlign w:val="superscript"/>
        </w:rPr>
        <w:t>f</w:t>
      </w:r>
      <w:r w:rsidR="00BA6847" w:rsidRPr="00D71D88">
        <w:rPr>
          <w:color w:val="auto"/>
          <w:vertAlign w:val="superscript"/>
        </w:rPr>
        <w:t xml:space="preserve"> </w:t>
      </w:r>
      <w:r w:rsidR="00BA6847" w:rsidRPr="00D71D88">
        <w:rPr>
          <w:color w:val="auto"/>
        </w:rPr>
        <w:t xml:space="preserve">Department </w:t>
      </w:r>
      <w:r w:rsidR="000F57D9" w:rsidRPr="00D71D88">
        <w:rPr>
          <w:color w:val="auto"/>
        </w:rPr>
        <w:t xml:space="preserve">of Neurodegeneration and Restorative Research, University Medicine Göttingen, Waldweg 33, 37073 Göttingen. </w:t>
      </w:r>
      <w:r w:rsidR="002622CB" w:rsidRPr="00D71D88">
        <w:rPr>
          <w:color w:val="auto"/>
        </w:rPr>
        <w:t xml:space="preserve">DL: </w:t>
      </w:r>
      <w:r w:rsidR="002622CB" w:rsidRPr="00D71D88">
        <w:rPr>
          <w:color w:val="auto"/>
          <w:lang w:val="de-DE"/>
        </w:rPr>
        <w:t xml:space="preserve">dlazaro@gwdg.de, </w:t>
      </w:r>
      <w:r w:rsidR="000F57D9" w:rsidRPr="00D71D88">
        <w:rPr>
          <w:color w:val="auto"/>
        </w:rPr>
        <w:t xml:space="preserve">TO: </w:t>
      </w:r>
      <w:hyperlink r:id="rId15" w:history="1">
        <w:r w:rsidRPr="00D71D88">
          <w:rPr>
            <w:rStyle w:val="Hyperlink"/>
            <w:color w:val="auto"/>
          </w:rPr>
          <w:t>touteir@gwdg.de</w:t>
        </w:r>
      </w:hyperlink>
      <w:r w:rsidRPr="00D71D88">
        <w:rPr>
          <w:color w:val="auto"/>
        </w:rPr>
        <w:t xml:space="preserve"> </w:t>
      </w:r>
    </w:p>
    <w:p w14:paraId="5C45B007" w14:textId="2D6A25F3" w:rsidR="00D16E3F" w:rsidRPr="00D71D88" w:rsidRDefault="005E049D" w:rsidP="000D1D73">
      <w:pPr>
        <w:spacing w:line="360" w:lineRule="auto"/>
        <w:jc w:val="both"/>
        <w:rPr>
          <w:rFonts w:ascii="Times New Roman" w:hAnsi="Times New Roman"/>
          <w:sz w:val="24"/>
          <w:szCs w:val="24"/>
        </w:rPr>
      </w:pPr>
      <w:r w:rsidRPr="00D71D88">
        <w:rPr>
          <w:rFonts w:ascii="Times New Roman" w:hAnsi="Times New Roman"/>
          <w:sz w:val="24"/>
          <w:szCs w:val="24"/>
          <w:vertAlign w:val="superscript"/>
        </w:rPr>
        <w:t>#</w:t>
      </w:r>
      <w:r w:rsidRPr="00D71D88">
        <w:rPr>
          <w:rFonts w:ascii="Times New Roman" w:hAnsi="Times New Roman"/>
          <w:sz w:val="24"/>
          <w:szCs w:val="24"/>
        </w:rPr>
        <w:t xml:space="preserve"> these authors contributed equally to this work</w:t>
      </w:r>
    </w:p>
    <w:p w14:paraId="3BB2E26C" w14:textId="77777777" w:rsidR="003C73D7" w:rsidRPr="00D71D88" w:rsidRDefault="003C73D7" w:rsidP="000D1D73">
      <w:pPr>
        <w:spacing w:line="360" w:lineRule="auto"/>
        <w:jc w:val="both"/>
        <w:rPr>
          <w:rFonts w:ascii="Times New Roman" w:hAnsi="Times New Roman"/>
          <w:sz w:val="24"/>
          <w:szCs w:val="24"/>
        </w:rPr>
      </w:pPr>
      <w:r w:rsidRPr="00D71D88">
        <w:rPr>
          <w:rFonts w:ascii="Times New Roman" w:hAnsi="Times New Roman"/>
          <w:sz w:val="24"/>
          <w:szCs w:val="24"/>
        </w:rPr>
        <w:t xml:space="preserve">* Corresponding authors: </w:t>
      </w:r>
    </w:p>
    <w:p w14:paraId="58A528B1" w14:textId="77777777" w:rsidR="001A7AA9" w:rsidRPr="00D71D88" w:rsidRDefault="003C73D7" w:rsidP="000D1D73">
      <w:pPr>
        <w:spacing w:line="360" w:lineRule="auto"/>
        <w:jc w:val="both"/>
        <w:rPr>
          <w:rFonts w:ascii="Times New Roman" w:hAnsi="Times New Roman"/>
          <w:sz w:val="24"/>
          <w:szCs w:val="24"/>
        </w:rPr>
      </w:pPr>
      <w:r w:rsidRPr="00D71D88">
        <w:rPr>
          <w:rFonts w:ascii="Times New Roman" w:hAnsi="Times New Roman"/>
          <w:sz w:val="24"/>
          <w:szCs w:val="24"/>
        </w:rPr>
        <w:t xml:space="preserve">Tanja Dučić, CELLS – ALBA, Carretera BP 1413, de Cerdanyola del Vallès a Sant Cugat del Vallès, km. 3,3, 08290 Cerdanyola del Vallès, Barcelona, Spain, </w:t>
      </w:r>
      <w:hyperlink r:id="rId16" w:history="1">
        <w:r w:rsidR="001A7AA9" w:rsidRPr="00D71D88">
          <w:rPr>
            <w:rStyle w:val="Hyperlink"/>
            <w:rFonts w:ascii="Times New Roman" w:hAnsi="Times New Roman"/>
            <w:color w:val="auto"/>
            <w:sz w:val="24"/>
            <w:szCs w:val="24"/>
          </w:rPr>
          <w:t>tducic@cells.es</w:t>
        </w:r>
      </w:hyperlink>
    </w:p>
    <w:p w14:paraId="33302398" w14:textId="22493D99" w:rsidR="003C73D7" w:rsidRPr="00D71D88" w:rsidRDefault="003C73D7" w:rsidP="00BC1E14">
      <w:pPr>
        <w:spacing w:line="360" w:lineRule="auto"/>
        <w:jc w:val="both"/>
        <w:rPr>
          <w:rFonts w:ascii="Times New Roman" w:hAnsi="Times New Roman"/>
          <w:sz w:val="24"/>
          <w:szCs w:val="24"/>
        </w:rPr>
      </w:pPr>
      <w:r w:rsidRPr="00D71D88">
        <w:rPr>
          <w:rFonts w:ascii="Times New Roman" w:hAnsi="Times New Roman"/>
          <w:sz w:val="24"/>
          <w:szCs w:val="24"/>
        </w:rPr>
        <w:t>Paul Lingor, Dept. of Neurology, University Medicine Gö</w:t>
      </w:r>
      <w:r w:rsidR="00D16E3F" w:rsidRPr="00D71D88">
        <w:rPr>
          <w:rFonts w:ascii="Times New Roman" w:hAnsi="Times New Roman"/>
          <w:sz w:val="24"/>
          <w:szCs w:val="24"/>
        </w:rPr>
        <w:t xml:space="preserve">ttingen, Robert-Koch-Str. 40, </w:t>
      </w:r>
      <w:r w:rsidRPr="00D71D88">
        <w:rPr>
          <w:rFonts w:ascii="Times New Roman" w:hAnsi="Times New Roman"/>
          <w:sz w:val="24"/>
          <w:szCs w:val="24"/>
        </w:rPr>
        <w:t xml:space="preserve">37075, Göttingen, Germany, </w:t>
      </w:r>
      <w:hyperlink r:id="rId17" w:history="1">
        <w:r w:rsidR="006F4104" w:rsidRPr="00D71D88">
          <w:rPr>
            <w:rStyle w:val="Hyperlink"/>
            <w:rFonts w:ascii="Times New Roman" w:hAnsi="Times New Roman"/>
            <w:color w:val="auto"/>
            <w:sz w:val="24"/>
            <w:szCs w:val="24"/>
          </w:rPr>
          <w:t>plingor@gwdg.de</w:t>
        </w:r>
      </w:hyperlink>
      <w:r w:rsidRPr="00D71D88">
        <w:rPr>
          <w:rFonts w:ascii="Times New Roman" w:hAnsi="Times New Roman"/>
          <w:sz w:val="24"/>
          <w:szCs w:val="24"/>
        </w:rPr>
        <w:br w:type="page"/>
      </w:r>
    </w:p>
    <w:p w14:paraId="58D2422D" w14:textId="77777777" w:rsidR="003C73D7" w:rsidRPr="00D71D88" w:rsidRDefault="003C73D7" w:rsidP="000D1D73">
      <w:pPr>
        <w:pStyle w:val="Default"/>
        <w:spacing w:line="360" w:lineRule="auto"/>
        <w:jc w:val="both"/>
        <w:rPr>
          <w:rFonts w:ascii="Arial" w:hAnsi="Arial" w:cs="Arial"/>
          <w:b/>
          <w:color w:val="auto"/>
          <w:sz w:val="32"/>
          <w:szCs w:val="32"/>
        </w:rPr>
      </w:pPr>
      <w:r w:rsidRPr="00D71D88">
        <w:rPr>
          <w:rFonts w:ascii="Arial" w:hAnsi="Arial" w:cs="Arial"/>
          <w:b/>
          <w:color w:val="auto"/>
          <w:sz w:val="32"/>
          <w:szCs w:val="32"/>
        </w:rPr>
        <w:lastRenderedPageBreak/>
        <w:t>Abstract</w:t>
      </w:r>
    </w:p>
    <w:p w14:paraId="1541AEE3" w14:textId="77777777" w:rsidR="004253E8" w:rsidRPr="00D71D88" w:rsidRDefault="004253E8" w:rsidP="00EC7476">
      <w:pPr>
        <w:spacing w:before="100" w:beforeAutospacing="1" w:after="100" w:afterAutospacing="1" w:line="360" w:lineRule="auto"/>
        <w:jc w:val="both"/>
        <w:rPr>
          <w:rFonts w:ascii="Times New Roman" w:hAnsi="Times New Roman"/>
          <w:sz w:val="24"/>
          <w:szCs w:val="24"/>
        </w:rPr>
      </w:pPr>
    </w:p>
    <w:p w14:paraId="6C6630AF" w14:textId="77777777" w:rsidR="004253E8" w:rsidRPr="00D71D88" w:rsidRDefault="003C73D7" w:rsidP="00EC7476">
      <w:pPr>
        <w:spacing w:before="100" w:beforeAutospacing="1" w:after="100" w:afterAutospacing="1" w:line="360" w:lineRule="auto"/>
        <w:jc w:val="both"/>
        <w:rPr>
          <w:rFonts w:ascii="Times New Roman" w:hAnsi="Times New Roman"/>
          <w:sz w:val="24"/>
          <w:szCs w:val="24"/>
        </w:rPr>
      </w:pPr>
      <w:r w:rsidRPr="00D71D88">
        <w:rPr>
          <w:rFonts w:ascii="Times New Roman" w:hAnsi="Times New Roman"/>
          <w:sz w:val="24"/>
          <w:szCs w:val="24"/>
        </w:rPr>
        <w:t xml:space="preserve">Manganese (Mn) may foster aggregation of alpha-synuclein (αSyn) contributing to the pathogenesis of PD. Here, we examined the influence of αSyn overexpression on distribution and oxidation states of Mn in frozen-hydrated primary midbrain neurons (PMN) by synchrotron-based X-ray fluorescence (XRF) and X-ray absorption near edge structure spectroscopy (XANES). </w:t>
      </w:r>
    </w:p>
    <w:p w14:paraId="25502E4A" w14:textId="2D4810D9" w:rsidR="004253E8" w:rsidRPr="00D71D88" w:rsidRDefault="003C73D7" w:rsidP="00EC7476">
      <w:pPr>
        <w:spacing w:before="100" w:beforeAutospacing="1" w:after="100" w:afterAutospacing="1" w:line="360" w:lineRule="auto"/>
        <w:jc w:val="both"/>
        <w:rPr>
          <w:rFonts w:ascii="Times New Roman" w:hAnsi="Times New Roman"/>
          <w:sz w:val="24"/>
          <w:szCs w:val="24"/>
        </w:rPr>
      </w:pPr>
      <w:r w:rsidRPr="00D71D88">
        <w:rPr>
          <w:rFonts w:ascii="Times New Roman" w:hAnsi="Times New Roman"/>
          <w:sz w:val="24"/>
          <w:szCs w:val="24"/>
        </w:rPr>
        <w:t xml:space="preserve">Overexpression of αSyn increased intracellular Mn levels, whereas levels of Ca, </w:t>
      </w:r>
      <w:r w:rsidR="00227B71" w:rsidRPr="00D71D88">
        <w:rPr>
          <w:rFonts w:ascii="Times New Roman" w:hAnsi="Times New Roman"/>
          <w:sz w:val="24"/>
          <w:szCs w:val="24"/>
        </w:rPr>
        <w:t xml:space="preserve">Zn, </w:t>
      </w:r>
      <w:r w:rsidRPr="00D71D88">
        <w:rPr>
          <w:rFonts w:ascii="Times New Roman" w:hAnsi="Times New Roman"/>
          <w:sz w:val="24"/>
          <w:szCs w:val="24"/>
        </w:rPr>
        <w:t xml:space="preserve">K, P and S were significantly decreased. Mn oxidation states were not altered. </w:t>
      </w:r>
      <w:r w:rsidR="00227B71" w:rsidRPr="00D71D88">
        <w:rPr>
          <w:rFonts w:ascii="Times New Roman" w:hAnsi="Times New Roman"/>
          <w:sz w:val="24"/>
          <w:szCs w:val="24"/>
        </w:rPr>
        <w:t xml:space="preserve">A strong correlation </w:t>
      </w:r>
      <w:r w:rsidR="007154D1" w:rsidRPr="00D71D88">
        <w:rPr>
          <w:rFonts w:ascii="Times New Roman" w:hAnsi="Times New Roman"/>
          <w:sz w:val="24"/>
          <w:szCs w:val="24"/>
        </w:rPr>
        <w:t>between Cu-/Mn-</w:t>
      </w:r>
      <w:r w:rsidR="00227B71" w:rsidRPr="00D71D88">
        <w:rPr>
          <w:rFonts w:ascii="Times New Roman" w:hAnsi="Times New Roman"/>
          <w:sz w:val="24"/>
          <w:szCs w:val="24"/>
        </w:rPr>
        <w:t xml:space="preserve">levels </w:t>
      </w:r>
      <w:r w:rsidR="007154D1" w:rsidRPr="00D71D88">
        <w:rPr>
          <w:rFonts w:ascii="Times New Roman" w:hAnsi="Times New Roman"/>
          <w:sz w:val="24"/>
          <w:szCs w:val="24"/>
        </w:rPr>
        <w:t xml:space="preserve">as well as Fe-/Mn-levels </w:t>
      </w:r>
      <w:r w:rsidR="00227B71" w:rsidRPr="00D71D88">
        <w:rPr>
          <w:rFonts w:ascii="Times New Roman" w:hAnsi="Times New Roman"/>
          <w:sz w:val="24"/>
          <w:szCs w:val="24"/>
        </w:rPr>
        <w:t xml:space="preserve">was observed </w:t>
      </w:r>
      <w:r w:rsidR="00C763E5" w:rsidRPr="00D71D88">
        <w:rPr>
          <w:rFonts w:ascii="Times New Roman" w:hAnsi="Times New Roman"/>
          <w:sz w:val="24"/>
          <w:szCs w:val="24"/>
        </w:rPr>
        <w:t xml:space="preserve">in </w:t>
      </w:r>
      <w:r w:rsidR="00227B71" w:rsidRPr="00D71D88">
        <w:rPr>
          <w:rFonts w:ascii="Times New Roman" w:hAnsi="Times New Roman"/>
          <w:sz w:val="24"/>
          <w:szCs w:val="24"/>
        </w:rPr>
        <w:t>αSyn-overexpressing</w:t>
      </w:r>
      <w:r w:rsidR="00227B71" w:rsidRPr="00D71D88">
        <w:rPr>
          <w:rFonts w:ascii="Times New Roman" w:hAnsi="Times New Roman"/>
          <w:sz w:val="24"/>
          <w:szCs w:val="24"/>
          <w:lang w:val="en-GB" w:eastAsia="de-DE" w:bidi="hi-IN"/>
        </w:rPr>
        <w:t xml:space="preserve"> cells.</w:t>
      </w:r>
      <w:r w:rsidR="00227B71" w:rsidRPr="00D71D88">
        <w:rPr>
          <w:rFonts w:ascii="Times New Roman" w:hAnsi="Times New Roman"/>
          <w:sz w:val="24"/>
          <w:szCs w:val="24"/>
        </w:rPr>
        <w:t xml:space="preserve"> </w:t>
      </w:r>
      <w:r w:rsidR="00DD1473" w:rsidRPr="00D71D88">
        <w:rPr>
          <w:rFonts w:ascii="Times New Roman" w:hAnsi="Times New Roman"/>
          <w:sz w:val="24"/>
          <w:szCs w:val="24"/>
        </w:rPr>
        <w:t xml:space="preserve">Subcellular resolution revealed </w:t>
      </w:r>
      <w:r w:rsidR="00303A0F" w:rsidRPr="00D71D88">
        <w:rPr>
          <w:rFonts w:ascii="Times New Roman" w:hAnsi="Times New Roman"/>
          <w:sz w:val="24"/>
          <w:szCs w:val="24"/>
        </w:rPr>
        <w:t>a punctate</w:t>
      </w:r>
      <w:r w:rsidR="00C673A1" w:rsidRPr="00D71D88">
        <w:rPr>
          <w:rFonts w:ascii="Times New Roman" w:hAnsi="Times New Roman"/>
          <w:sz w:val="24"/>
          <w:szCs w:val="24"/>
        </w:rPr>
        <w:t xml:space="preserve"> or filament-like</w:t>
      </w:r>
      <w:r w:rsidR="00303A0F" w:rsidRPr="00D71D88">
        <w:rPr>
          <w:rFonts w:ascii="Times New Roman" w:hAnsi="Times New Roman"/>
          <w:sz w:val="24"/>
          <w:szCs w:val="24"/>
        </w:rPr>
        <w:t xml:space="preserve"> perinuclear and neuritic </w:t>
      </w:r>
      <w:r w:rsidR="00C673A1" w:rsidRPr="00D71D88">
        <w:rPr>
          <w:rFonts w:ascii="Times New Roman" w:hAnsi="Times New Roman"/>
          <w:sz w:val="24"/>
          <w:szCs w:val="24"/>
        </w:rPr>
        <w:t xml:space="preserve">distribution of Mn, which resembled the expression of DMT1 and MnSOD. </w:t>
      </w:r>
      <w:r w:rsidR="004E6F04" w:rsidRPr="00D71D88">
        <w:rPr>
          <w:rFonts w:ascii="Times New Roman" w:hAnsi="Times New Roman"/>
          <w:sz w:val="24"/>
          <w:szCs w:val="24"/>
        </w:rPr>
        <w:t xml:space="preserve">Overexpression of αSyn did not </w:t>
      </w:r>
      <w:r w:rsidR="006B03D2" w:rsidRPr="00D71D88">
        <w:rPr>
          <w:rFonts w:ascii="Times New Roman" w:hAnsi="Times New Roman"/>
          <w:sz w:val="24"/>
          <w:szCs w:val="24"/>
        </w:rPr>
        <w:t xml:space="preserve">significantly </w:t>
      </w:r>
      <w:r w:rsidR="004E6F04" w:rsidRPr="00D71D88">
        <w:rPr>
          <w:rFonts w:ascii="Times New Roman" w:hAnsi="Times New Roman"/>
          <w:sz w:val="24"/>
          <w:szCs w:val="24"/>
        </w:rPr>
        <w:t xml:space="preserve">alter the expression patterns of </w:t>
      </w:r>
      <w:r w:rsidR="006B03D2" w:rsidRPr="00D71D88">
        <w:rPr>
          <w:rFonts w:ascii="Times New Roman" w:hAnsi="Times New Roman"/>
          <w:sz w:val="24"/>
          <w:szCs w:val="24"/>
        </w:rPr>
        <w:t xml:space="preserve">the most-expressed </w:t>
      </w:r>
      <w:r w:rsidR="004E6F04" w:rsidRPr="00D71D88">
        <w:rPr>
          <w:rFonts w:ascii="Times New Roman" w:hAnsi="Times New Roman"/>
          <w:sz w:val="24"/>
          <w:szCs w:val="24"/>
        </w:rPr>
        <w:t xml:space="preserve">Mn transport proteins (DMT1, VGCC, Fpn1), but attenuated the Mn release from Mn-treated neurons. </w:t>
      </w:r>
      <w:r w:rsidR="002564D4" w:rsidRPr="00D71D88">
        <w:rPr>
          <w:rFonts w:ascii="Times New Roman" w:hAnsi="Times New Roman"/>
          <w:sz w:val="24"/>
          <w:szCs w:val="24"/>
        </w:rPr>
        <w:t>This data thus suggests</w:t>
      </w:r>
      <w:r w:rsidR="004E6F04" w:rsidRPr="00D71D88">
        <w:rPr>
          <w:rFonts w:ascii="Times New Roman" w:hAnsi="Times New Roman"/>
          <w:sz w:val="24"/>
          <w:szCs w:val="24"/>
        </w:rPr>
        <w:t xml:space="preserve"> that αSyn acts </w:t>
      </w:r>
      <w:r w:rsidR="006B03D2" w:rsidRPr="00D71D88">
        <w:rPr>
          <w:rFonts w:ascii="Times New Roman" w:hAnsi="Times New Roman"/>
          <w:sz w:val="24"/>
          <w:szCs w:val="24"/>
        </w:rPr>
        <w:t xml:space="preserve">as </w:t>
      </w:r>
      <w:r w:rsidR="004E6F04" w:rsidRPr="00D71D88">
        <w:rPr>
          <w:rFonts w:ascii="Times New Roman" w:hAnsi="Times New Roman"/>
          <w:sz w:val="24"/>
          <w:szCs w:val="24"/>
        </w:rPr>
        <w:t xml:space="preserve">an intracellular Mn </w:t>
      </w:r>
      <w:r w:rsidR="006B03D2" w:rsidRPr="00D71D88">
        <w:rPr>
          <w:rFonts w:ascii="Times New Roman" w:hAnsi="Times New Roman"/>
          <w:sz w:val="24"/>
          <w:szCs w:val="24"/>
        </w:rPr>
        <w:t>store</w:t>
      </w:r>
      <w:r w:rsidR="002564D4" w:rsidRPr="00D71D88">
        <w:rPr>
          <w:rFonts w:ascii="Times New Roman" w:hAnsi="Times New Roman"/>
          <w:sz w:val="24"/>
          <w:szCs w:val="24"/>
        </w:rPr>
        <w:t>.</w:t>
      </w:r>
    </w:p>
    <w:p w14:paraId="4B4333FB" w14:textId="77777777" w:rsidR="003C73D7" w:rsidRPr="00D71D88" w:rsidRDefault="003C73D7" w:rsidP="00EC7476">
      <w:pPr>
        <w:spacing w:before="100" w:beforeAutospacing="1" w:after="100" w:afterAutospacing="1" w:line="360" w:lineRule="auto"/>
        <w:jc w:val="both"/>
        <w:rPr>
          <w:rFonts w:ascii="Times New Roman" w:hAnsi="Times New Roman"/>
          <w:sz w:val="24"/>
          <w:szCs w:val="24"/>
        </w:rPr>
      </w:pPr>
      <w:r w:rsidRPr="00D71D88">
        <w:rPr>
          <w:rFonts w:ascii="Times New Roman" w:hAnsi="Times New Roman"/>
          <w:sz w:val="24"/>
          <w:szCs w:val="24"/>
        </w:rPr>
        <w:t xml:space="preserve">Neurotoxicity in PD could thus be mediated </w:t>
      </w:r>
      <w:r w:rsidRPr="00D71D88">
        <w:rPr>
          <w:rFonts w:ascii="Times New Roman" w:hAnsi="Times New Roman"/>
          <w:i/>
          <w:sz w:val="24"/>
          <w:szCs w:val="24"/>
        </w:rPr>
        <w:t>via</w:t>
      </w:r>
      <w:r w:rsidRPr="00D71D88">
        <w:rPr>
          <w:rFonts w:ascii="Times New Roman" w:hAnsi="Times New Roman"/>
          <w:sz w:val="24"/>
          <w:szCs w:val="24"/>
        </w:rPr>
        <w:t xml:space="preserve"> regulation of transition metal levels and the metal-binding capacity of αSyn</w:t>
      </w:r>
      <w:r w:rsidR="00FC7F92" w:rsidRPr="00D71D88">
        <w:rPr>
          <w:rFonts w:ascii="Times New Roman" w:hAnsi="Times New Roman"/>
          <w:sz w:val="24"/>
          <w:szCs w:val="24"/>
        </w:rPr>
        <w:t>, which</w:t>
      </w:r>
      <w:r w:rsidRPr="00D71D88">
        <w:rPr>
          <w:rFonts w:ascii="Times New Roman" w:hAnsi="Times New Roman"/>
          <w:sz w:val="24"/>
          <w:szCs w:val="24"/>
        </w:rPr>
        <w:t xml:space="preserve"> could represent a promising therapeutic target for this neurodegenerative disorder.</w:t>
      </w:r>
    </w:p>
    <w:p w14:paraId="6C2E0118" w14:textId="77777777" w:rsidR="003C73D7" w:rsidRPr="00D71D88" w:rsidRDefault="003C73D7" w:rsidP="000D1D73">
      <w:pPr>
        <w:pStyle w:val="Default"/>
        <w:spacing w:line="360" w:lineRule="auto"/>
        <w:jc w:val="both"/>
        <w:rPr>
          <w:color w:val="auto"/>
        </w:rPr>
      </w:pPr>
    </w:p>
    <w:p w14:paraId="3BECD88D" w14:textId="77777777" w:rsidR="000F6859" w:rsidRPr="00D71D88" w:rsidRDefault="000F6859" w:rsidP="000D1D73">
      <w:pPr>
        <w:pStyle w:val="Default"/>
        <w:spacing w:line="360" w:lineRule="auto"/>
        <w:jc w:val="both"/>
        <w:rPr>
          <w:color w:val="auto"/>
        </w:rPr>
      </w:pPr>
    </w:p>
    <w:p w14:paraId="083C632E" w14:textId="77777777" w:rsidR="003C73D7" w:rsidRPr="00D71D88" w:rsidRDefault="003C73D7" w:rsidP="000D1D73">
      <w:pPr>
        <w:spacing w:before="100" w:beforeAutospacing="1" w:after="100" w:afterAutospacing="1" w:line="360" w:lineRule="auto"/>
        <w:jc w:val="both"/>
        <w:outlineLvl w:val="1"/>
        <w:rPr>
          <w:rFonts w:ascii="Arial" w:hAnsi="Arial" w:cs="Arial"/>
          <w:b/>
          <w:bCs/>
        </w:rPr>
      </w:pPr>
      <w:r w:rsidRPr="00D71D88">
        <w:rPr>
          <w:rFonts w:ascii="Arial" w:hAnsi="Arial" w:cs="Arial"/>
          <w:b/>
          <w:bCs/>
        </w:rPr>
        <w:t>Keywords</w:t>
      </w:r>
      <w:r w:rsidRPr="00D71D88">
        <w:rPr>
          <w:rFonts w:ascii="Arial" w:hAnsi="Arial" w:cs="Arial"/>
        </w:rPr>
        <w:t xml:space="preserve"> </w:t>
      </w:r>
    </w:p>
    <w:p w14:paraId="0FB599E8" w14:textId="77777777" w:rsidR="003C73D7" w:rsidRPr="00D71D88" w:rsidRDefault="003C73D7" w:rsidP="00863098">
      <w:pPr>
        <w:spacing w:before="100" w:beforeAutospacing="1" w:after="100" w:afterAutospacing="1" w:line="360" w:lineRule="auto"/>
        <w:jc w:val="both"/>
        <w:rPr>
          <w:rFonts w:ascii="Times New Roman" w:hAnsi="Times New Roman"/>
          <w:sz w:val="24"/>
          <w:szCs w:val="24"/>
        </w:rPr>
      </w:pPr>
      <w:r w:rsidRPr="00D71D88">
        <w:rPr>
          <w:rFonts w:ascii="Times New Roman" w:hAnsi="Times New Roman"/>
          <w:sz w:val="24"/>
          <w:szCs w:val="24"/>
        </w:rPr>
        <w:t>X-ray fluorescence/XANES spectroscopy/alpha-synuclein/manganese/calcium</w:t>
      </w:r>
    </w:p>
    <w:p w14:paraId="44DE039E" w14:textId="77777777" w:rsidR="003C73D7" w:rsidRPr="00D71D88" w:rsidRDefault="003C73D7" w:rsidP="000D1D73">
      <w:pPr>
        <w:spacing w:line="360" w:lineRule="auto"/>
        <w:jc w:val="both"/>
        <w:rPr>
          <w:rFonts w:ascii="Times New Roman" w:hAnsi="Times New Roman"/>
          <w:sz w:val="24"/>
          <w:szCs w:val="24"/>
        </w:rPr>
      </w:pPr>
      <w:r w:rsidRPr="00D71D88">
        <w:rPr>
          <w:rFonts w:ascii="Times New Roman" w:hAnsi="Times New Roman"/>
          <w:sz w:val="24"/>
          <w:szCs w:val="24"/>
        </w:rPr>
        <w:br w:type="page"/>
      </w:r>
    </w:p>
    <w:p w14:paraId="143D8FEE" w14:textId="67FA7862" w:rsidR="003C73D7" w:rsidRPr="00D71D88" w:rsidRDefault="00A24A80" w:rsidP="00835B34">
      <w:pPr>
        <w:spacing w:line="360" w:lineRule="auto"/>
        <w:jc w:val="both"/>
        <w:rPr>
          <w:rFonts w:ascii="Arial" w:hAnsi="Arial" w:cs="Arial"/>
          <w:b/>
          <w:sz w:val="32"/>
          <w:szCs w:val="32"/>
        </w:rPr>
      </w:pPr>
      <w:r w:rsidRPr="00D71D88">
        <w:rPr>
          <w:rFonts w:ascii="Arial" w:hAnsi="Arial" w:cs="Arial"/>
          <w:b/>
          <w:sz w:val="32"/>
          <w:szCs w:val="32"/>
        </w:rPr>
        <w:lastRenderedPageBreak/>
        <w:t>Introduction</w:t>
      </w:r>
    </w:p>
    <w:p w14:paraId="18C75489" w14:textId="77777777" w:rsidR="003C73D7" w:rsidRPr="00D71D88" w:rsidRDefault="003C73D7" w:rsidP="000D1D73">
      <w:pPr>
        <w:pStyle w:val="StandardWeb"/>
        <w:spacing w:line="360" w:lineRule="auto"/>
        <w:ind w:firstLine="720"/>
        <w:jc w:val="both"/>
      </w:pPr>
      <w:r w:rsidRPr="00D71D88">
        <w:t xml:space="preserve">Manganese (Mn) is an essential element required in trace amounts for proper cell function. It is a cofactor of several enzymes like pyruvate carboxylase, arginase, serine/threonine glutamine synthase, and mitochondrial superoxide dismutase </w:t>
      </w:r>
      <w:r w:rsidRPr="00D71D88">
        <w:fldChar w:fldCharType="begin" w:fldLock="1"/>
      </w:r>
      <w:r w:rsidR="003E3A96" w:rsidRPr="00D71D88">
        <w:instrText>ADDIN CSL_CITATION { "citationItems" : [ { "id" : "ITEM-1", "itemData" : { "ISSN" : "0161-813X", "abstract" : "Manganese intake can vary greatly with food choices, water composition, and supplement use. Thus, individuals consuming Western diets consume from 10 mg Mn/d. The levels of manganese intake associated with adverse effects (both deficient and toxic) are debatable. Moreover, many of the symptoms of manganese deficiency (growth retardation, changes in circulating HDL cholesterol and glucose levels, reproductive failure) and manganese toxicity (growth depression, anemia) are nonspecific. The bone deformities observed in manganese-deficient animals and neurological symptoms of individuals who have inhaled excess manganese are permanent and illustrate the need to identify sensitive biomarkers of manganese status that appear before these symptoms. Manganese balance and excretion data are not useful biomarkers of manganese exposure but demonstrate that the body is protected against manganese toxicity primarily by low absorption and/or rapid presystemic elimination of manganese by the liver. Serum manganese concentrations in combination with lymphocyte manganese-dependent superoxide dismutase (MnSOD) activity and perhaps blood arginase activity, appear to be the best ways to monitor ingestion of insufficient manganese. Serum manganese concentrations in combination with brain MRI (magnetic resonance imaging) scans, and perhaps a battery of neurofunctional tests, appear to be the best ways to monitor excessive exposure to manganese. (C) 1999 Inter Press, Inc.", "author" : [ { "dropping-particle" : "", "family" : "Greger", "given" : "JL", "non-dropping-particle" : "", "parse-names" : false, "suffix" : "" } ], "container-title" : "NEUROTOXICOLOGY", "id" : "ITEM-1", "issue" : "2-3", "issued" : { "date-parts" : [ [ "1999" ] ] }, "page" : "205-212", "publisher" : "INTOX PRESS INC, PO BOX 24865, LITTLE ROCK, AR 72221 USA", "title" : "Nutrition versus toxicology of manganese in humans: Evaluation of potential biomarkers", "type" : "article-journal", "volume" : "20" }, "uris" : [ "http://www.mendeley.com/documents/?uuid=61d05466-605d-4035-ae15-560166b03156" ] } ], "mendeley" : { "previouslyFormattedCitation" : "[1]" }, "properties" : { "noteIndex" : 0 }, "schema" : "https://github.com/citation-style-language/schema/raw/master/csl-citation.json" }</w:instrText>
      </w:r>
      <w:r w:rsidRPr="00D71D88">
        <w:fldChar w:fldCharType="separate"/>
      </w:r>
      <w:r w:rsidR="00EA7311" w:rsidRPr="00D71D88">
        <w:rPr>
          <w:noProof/>
        </w:rPr>
        <w:t>[1]</w:t>
      </w:r>
      <w:r w:rsidRPr="00D71D88">
        <w:fldChar w:fldCharType="end"/>
      </w:r>
      <w:r w:rsidRPr="00D71D88">
        <w:t xml:space="preserve">. Despite its vital role in enzymatic reactions, excessive Mn exposure can induce a neurological syndrome known as manganism, resulting in rigidity and/or dystonia </w:t>
      </w:r>
      <w:r w:rsidRPr="00D71D88">
        <w:fldChar w:fldCharType="begin" w:fldLock="1"/>
      </w:r>
      <w:r w:rsidR="003E3A96" w:rsidRPr="00D71D88">
        <w:instrText>ADDIN CSL_CITATION { "citationItems" : [ { "id" : "ITEM-1", "itemData" : { "DOI" : "10.1289/ehp.0901748", "ISSN" : "1552-9924", "PMID" : "20403794", "abstract" : "BACKGROUND: Excess accumulation of manganese (Mn) in the brain results in a neurological syndrome with cognitive, psychiatric, and movement abnormalities. The highest concentrations of Mn in the brain are achieved in the basal ganglia, which may precipitate a form of parkinsonism with some clinical features that are similar and some that are different to those in Parkinson's disease (PD). Recently, scientists have debated the possibility that Mn may have an etiological role in PD or that it may accelerate the expression of PD.\n\nOBJECTIVE: The goal of this review was to examine whether chronic Mn exposure produces dopamine neuron degeneration and PD or whether it has a distinct neuropathology and clinical presentation.\n\nDATA SOURCE: I reviewed available clinical, neuroimaging, and neuropathological studies in humans and nonhuman primates exposed to Mn or other human conditions that result in elevated brain Mn concentrations.\n\nDATA EXTRACTION: Human and nonhuman primate literature was examined to compare clinical, neuroimaging, and neuropathological changes associated with Mn-induced parkinsonism.\n\nDATA SYNTHESIS: Clinical, neuroimaging, and neuropathological evidence was used to examine whether Mn-induced parkinsonism involves degeneration of the nigrostriatal dopaminergic system as is the case in PD.\n\nCONCLUSIONS: The overwhelming evidence shows that Mn-induced parkinsonism does not involve degeneration of midbrain dopamine neurons and that l-dopa is not an effective therapy. New evidence is presented on a putative mechanism by which Mn may produce movement abnormalities. Confirmation of this hypothesis in humans is essential to make rational decisions about treatment, devise effective therapeutic strategies, and set regulatory guidelines.", "author" : [ { "dropping-particle" : "", "family" : "Guilarte", "given" : "Tom\u00e1s R", "non-dropping-particle" : "", "parse-names" : false, "suffix" : "" } ], "container-title" : "Environmental health perspectives", "id" : "ITEM-1", "issue" : "8", "issued" : { "date-parts" : [ [ "2010", "8" ] ] }, "page" : "1071-80", "title" : "Manganese and Parkinson's disease: a critical review and new findings.", "type" : "article-journal", "volume" : "118" }, "uris" : [ "http://www.mendeley.com/documents/?uuid=29341d63-a875-4b09-a792-8718f53382c9" ] } ], "mendeley" : { "previouslyFormattedCitation" : "[2]" }, "properties" : { "noteIndex" : 0 }, "schema" : "https://github.com/citation-style-language/schema/raw/master/csl-citation.json" }</w:instrText>
      </w:r>
      <w:r w:rsidRPr="00D71D88">
        <w:fldChar w:fldCharType="separate"/>
      </w:r>
      <w:r w:rsidR="00EA7311" w:rsidRPr="00D71D88">
        <w:rPr>
          <w:noProof/>
        </w:rPr>
        <w:t>[2]</w:t>
      </w:r>
      <w:r w:rsidRPr="00D71D88">
        <w:fldChar w:fldCharType="end"/>
      </w:r>
      <w:r w:rsidRPr="00D71D88">
        <w:t xml:space="preserve">. This syndrome is associated with loss of dopamine in the striatum and death of neurons in the striatum and globus pallidus </w:t>
      </w:r>
      <w:r w:rsidRPr="00D71D88">
        <w:fldChar w:fldCharType="begin" w:fldLock="1"/>
      </w:r>
      <w:r w:rsidR="003E3A96" w:rsidRPr="00D71D88">
        <w:instrText>ADDIN CSL_CITATION { "citationItems" : [ { "id" : "ITEM-1", "itemData" : { "ISSN" : "0161-813X", "abstract" : "Manganese intoxication can result in a syndrome of parkinsonism and dystonia. If these extrapyramidal findings are present, they are likely to be irreversible and even progress after termination of the exposure to manganese. Clinical features are usually sufficient to distinguish these patients from those with Parkinson's disease. The neurological syndrome does not respond to levodopa. Imaging of the brain may reveal MRI signal changes in the globus pallidus, striatum, and midbrain. Positron emission tomography reveals normal presynaptic and postsynaptic nigrostriatal dopaminergic function. The primary site of neurological damage has been shown by pathological studies to be the globus pallidus. The mechanism of toxicity is not clear. (C) 1999 Inter Press, Inc.", "author" : [ { "dropping-particle" : "", "family" : "Pal", "given" : "PK", "non-dropping-particle" : "", "parse-names" : false, "suffix" : "" }, { "dropping-particle" : "", "family" : "Samii", "given" : "A", "non-dropping-particle" : "", "parse-names" : false, "suffix" : "" }, { "dropping-particle" : "", "family" : "Calne", "given" : "DB", "non-dropping-particle" : "", "parse-names" : false, "suffix" : "" } ], "container-title" : "NEUROTOXICOLOGY", "id" : "ITEM-1", "issue" : "2-3", "issued" : { "date-parts" : [ [ "1999" ] ] }, "page" : "227-238", "publisher" : "INTOX PRESS INC, PO BOX 24865, LITTLE ROCK, AR 72221 USA", "title" : "Manganese neurotoxicity: A review of clinical features, imaging and pathology", "type" : "article-journal", "volume" : "20" }, "uris" : [ "http://www.mendeley.com/documents/?uuid=62f61bd0-c7c1-4cf2-a4d7-fec71bb60ec0" ] } ], "mendeley" : { "previouslyFormattedCitation" : "[3]" }, "properties" : { "noteIndex" : 0 }, "schema" : "https://github.com/citation-style-language/schema/raw/master/csl-citation.json" }</w:instrText>
      </w:r>
      <w:r w:rsidRPr="00D71D88">
        <w:fldChar w:fldCharType="separate"/>
      </w:r>
      <w:r w:rsidR="00EA7311" w:rsidRPr="00D71D88">
        <w:rPr>
          <w:noProof/>
        </w:rPr>
        <w:t>[3]</w:t>
      </w:r>
      <w:r w:rsidRPr="00D71D88">
        <w:fldChar w:fldCharType="end"/>
      </w:r>
      <w:r w:rsidRPr="00D71D88">
        <w:t xml:space="preserve">, thus sharing several features with idiopathic Parkinson's disease (PD). </w:t>
      </w:r>
    </w:p>
    <w:p w14:paraId="3202D2A7" w14:textId="77777777" w:rsidR="003C73D7" w:rsidRPr="00D71D88" w:rsidRDefault="003C73D7" w:rsidP="00D13F9E">
      <w:pPr>
        <w:pStyle w:val="StandardWeb"/>
        <w:spacing w:line="360" w:lineRule="auto"/>
        <w:ind w:firstLine="720"/>
        <w:jc w:val="both"/>
      </w:pPr>
      <w:r w:rsidRPr="00D71D88">
        <w:t xml:space="preserve">PD is the second most frequent neurodegenerative disease with symptoms such as rigidity, tremor and bradykinesia </w:t>
      </w:r>
      <w:r w:rsidRPr="00D71D88">
        <w:fldChar w:fldCharType="begin" w:fldLock="1"/>
      </w:r>
      <w:r w:rsidR="003E3A96" w:rsidRPr="00D71D88">
        <w:instrText>ADDIN CSL_CITATION { "citationItems" : [ { "id" : "ITEM-1", "itemData" : { "ISSN" : "1088-0224", "abstract" : "Parkinson's disease (PD) is a chronic neurodegenerative disease associated with substantial morbidity, increased mortality, and high economic burden. Of importance to managed care is that the number of cases of PD are on the rise, paralleling the advancing age of the population, and misdiagnosis is common. Effective management of PD can minimize disability and potentially improve long-term outcomes, which would minimize long-term healthcare costs and medical resource utilization. This article provides a brief review of the epidemiology, pathophysiology, clinical course, and burden of PD.", "author" : [ { "dropping-particle" : "", "family" : "Weintraub", "given" : "Daniel", "non-dropping-particle" : "", "parse-names" : false, "suffix" : "" }, { "dropping-particle" : "", "family" : "Comella", "given" : "Cynthia L.", "non-dropping-particle" : "", "parse-names" : false, "suffix" : "" }, { "dropping-particle" : "", "family" : "Horn", "given" : "Stacy", "non-dropping-particle" : "", "parse-names" : false, "suffix" : "" } ], "container-title" : "AMERICAN JOURNAL OF MANAGED CARE", "id" : "ITEM-1", "issue" : "2", "issued" : { "date-parts" : [ [ "2008", "3" ] ] }, "page" : "S40-S48", "publisher" : "AMER MED PUBLISHING, M W C COMPANY, 241 FORSGATE DR, STE 102, JAMESBURG, NJ 08831 USA", "title" : "Parkinson's disease - Part 1: Pathophysiology, symptoms, burden, diagnosis, and assessment", "type" : "article-journal", "volume" : "14" }, "uris" : [ "http://www.mendeley.com/documents/?uuid=406a5797-08df-4b34-94ca-c1a6fc597b54" ] }, { "id" : "ITEM-2", "itemData" : { "abstract" : "Levels of iron, copper, zinc and manganese were measured by inductively coupled plasma spectroscopy in frozen postmortem brain tissue from patients with Parkinson's disease (PD), progressive supranuclear palsy (PSP), multiple system atrophy with strionigral degeneration (MSA), and Huntington's disease (HD) compared with control subjects. Total iron levels were found to be elevated in the areas of basal ganglia showing pathological change in these disorders. In particular, total iron content was increased in substantia nigra in PD, PSP and MSA, but not in HD. Total iron levels in the striatum (putamen and/or caudate nucleus) were increased in PSP, MSA and HD but not in PD. Total iron levels were decreased in the globus pallidus in PD. There were no consistent alterations of manganese levels in basal ganglia structures in any of the diseases studied. Copper levels were decreased in the substantia nigra in PD, and in the cerebellum in PSP, and were elevated in the putamen and possibly substantia nigra in HD. Zinc levels were only increased in PD, in substantia nigra and in caudate nucleus and lateral putamen. Levels of the iron binding protein ferritin were measured in the same patient groups using a radio-immunoassay technique. Increased iron levels in basal ganglia were generally associated with normal or elevated levels of ferritin immunoreactivity, for example, the substantia nigra in PSP and possibly MSA, and in putamen in MSA. The exception was PD where there was a generalized reduction in brain ferritin immunoreactivity, even in the substantia nigra. An increase in total iron content appears to be a response to neurodegeneration in affected basal ganglia regions in a number of movement disorders. However, only in PD was there an increased total iron level, decreased ferritin content, decreased copper content, and an increased zinc concentration in substantia nigra. These findings suggest an alteration of iron handling in the substantia nigra in PD. Depending on the form in which the excess iron load exists in nigra in PD, it may contribute to the neurodegenerative process.", "author" : [ { "dropping-particle" : "", "family" : "Dexter", "given" : "D T", "non-dropping-particle" : "", "parse-names" : false, "suffix" : "" }, { "dropping-particle" : "", "family" : "Carayon", "given" : "A", "non-dropping-particle" : "", "parse-names" : false, "suffix" : "" }, { "dropping-particle" : "", "family" : "Javoy-Agid", "given" : "F", "non-dropping-particle" : "", "parse-names" : false, "suffix" : "" }, { "dropping-particle" : "", "family" : "Agid", "given" : "Y", "non-dropping-particle" : "", "parse-names" : false, "suffix" : "" }, { "dropping-particle" : "", "family" : "Wells", "given" : "F R", "non-dropping-particle" : "", "parse-names" : false, "suffix" : "" }, { "dropping-particle" : "", "family" : "Daniel", "given" : "S E", "non-dropping-particle" : "", "parse-names" : false, "suffix" : "" }, { "dropping-particle" : "", "family" : "Lees", "given" : "A J", "non-dropping-particle" : "", "parse-names" : false, "suffix" : "" }, { "dropping-particle" : "", "family" : "Jenner", "given" : "P", "non-dropping-particle" : "", "parse-names" : false, "suffix" : "" }, { "dropping-particle" : "", "family" : "Marsden", "given" : "C D", "non-dropping-particle" : "", "parse-names" : false, "suffix" : "" } ], "container-title" : "Brain : a journal of neurology", "id" : "ITEM-2", "issued" : { "date-parts" : [ [ "1991" ] ] }, "page" : "1953-1975", "title" : "Alterations in the levels of iron, ferritin and other trace metals in Parkinson's disease and other neurodegenerative diseases affecting the basal ganglia.", "type" : "article-journal", "volume" : "114 ( Pt 4" }, "uris" : [ "http://www.mendeley.com/documents/?uuid=90746bdd-a960-481e-8b98-82f0c95169d7" ] } ], "mendeley" : { "previouslyFormattedCitation" : "[4, 5]" }, "properties" : { "noteIndex" : 0 }, "schema" : "https://github.com/citation-style-language/schema/raw/master/csl-citation.json" }</w:instrText>
      </w:r>
      <w:r w:rsidRPr="00D71D88">
        <w:fldChar w:fldCharType="separate"/>
      </w:r>
      <w:r w:rsidR="003E3A96" w:rsidRPr="00D71D88">
        <w:rPr>
          <w:noProof/>
        </w:rPr>
        <w:t>[4, 5]</w:t>
      </w:r>
      <w:r w:rsidRPr="00D71D88">
        <w:fldChar w:fldCharType="end"/>
      </w:r>
      <w:r w:rsidRPr="00D71D88">
        <w:t>. Its pathological characteristics include the preferential, but not exclusive loss of dopaminergic neurons within the substantia nigra pars compacta and the presence of intracytoplasmic inclusions, Lewy bodies, whose primary components include fibrillar α-synuclein (αSyn). Although αSyn</w:t>
      </w:r>
      <w:r w:rsidRPr="00D71D88" w:rsidDel="008454BE">
        <w:t xml:space="preserve"> </w:t>
      </w:r>
      <w:r w:rsidRPr="00D71D88">
        <w:t xml:space="preserve">in idiopathic PD occurs in its wild-type form, several mutations of the protein are known, which result in familial PD </w:t>
      </w:r>
      <w:r w:rsidRPr="00D71D88">
        <w:fldChar w:fldCharType="begin" w:fldLock="1"/>
      </w:r>
      <w:r w:rsidR="003E3A96" w:rsidRPr="00D71D88">
        <w:instrText>ADDIN CSL_CITATION { "citationItems" : [ { "id" : "ITEM-1", "itemData" : { "DOI" : "10.1002/mds.21676", "ISSN" : "0885-3185", "PMID" : "18175395", "abstract" : "Over the last few years, several genes for monogenic forms of Parkinson's disease (PD) have been mapped and/or cloned. Mutations have been identified in the gene for alpha-synuclein in rare families with dominant PD, indicating that aggregation of this protein in Lewy bodies is probably a crucial step in the molecular pathogenesis of the disorder. A much more common cause for dominant PD, mutations in the gene for leucine-rich repeat kinase 2 (LRRK2), has recently been identified. Mutations in the parkin gene, in DJ-1 and PINK1 all cause autosomal recessive parkinsonism of early onset. These genes have been implicated in the proteasomal protein degradation pathway, in the oxidative stress response and mitochondrial function. Mutations in recessive genes probably are pathogenic through loss-of-function mechanisms, suggesting that their wildtype products protect dopaminergic cells against a variety of insults. Evidence is emerging that at least some of these genes may play a direct role in the etiology of the common sporadic form of PD. Further, it is likely that the cellular pathways identified in rare monogenic variants of the disease also shed light on the molecular pathogenesis in typical sporadic PD.", "author" : [ { "dropping-particle" : "", "family" : "Gasser", "given" : "Thomas", "non-dropping-particle" : "", "parse-names" : false, "suffix" : "" } ], "container-title" : "Movement disorders : official journal of the Movement Disorder Society", "id" : "ITEM-1", "issued" : { "date-parts" : [ [ "2007", "9" ] ] }, "page" : "S343-50", "publisher" : "WILEY-LISS, DIV JOHN WILEY &amp; SONS INC, 111 RIVER ST, HOBOKEN, NJ 07030 USA", "title" : "Update on the genetics of Parkinson's disease.", "type" : "article-journal", "volume" : "22 Suppl 1" }, "uris" : [ "http://www.mendeley.com/documents/?uuid=09dfdbf4-60a6-438e-b5c3-bf049d9184d3" ] } ], "mendeley" : { "previouslyFormattedCitation" : "[6]" }, "properties" : { "noteIndex" : 0 }, "schema" : "https://github.com/citation-style-language/schema/raw/master/csl-citation.json" }</w:instrText>
      </w:r>
      <w:r w:rsidRPr="00D71D88">
        <w:fldChar w:fldCharType="separate"/>
      </w:r>
      <w:r w:rsidR="00EA7311" w:rsidRPr="00D71D88">
        <w:rPr>
          <w:noProof/>
        </w:rPr>
        <w:t>[6]</w:t>
      </w:r>
      <w:r w:rsidRPr="00D71D88">
        <w:fldChar w:fldCharType="end"/>
      </w:r>
      <w:r w:rsidRPr="00D71D88">
        <w:t>. More interestingly, not only mutations, but also duplications and triplications of the αSyn</w:t>
      </w:r>
      <w:r w:rsidRPr="00D71D88" w:rsidDel="008454BE">
        <w:t xml:space="preserve"> </w:t>
      </w:r>
      <w:r w:rsidRPr="00D71D88">
        <w:t xml:space="preserve">gene result in phenotypic PD suggesting a dosage effect of the protein </w:t>
      </w:r>
      <w:r w:rsidRPr="00D71D88">
        <w:fldChar w:fldCharType="begin" w:fldLock="1"/>
      </w:r>
      <w:r w:rsidR="003E3A96" w:rsidRPr="00D71D88">
        <w:instrText>ADDIN CSL_CITATION { "citationItems" : [ { "id" : "ITEM-1", "itemData" : { "ISSN" : "0002-9297", "author" : [ { "dropping-particle" : "", "family" : "Singleton", "given" : "A", "non-dropping-particle" : "", "parse-names" : false, "suffix" : "" }, { "dropping-particle" : "", "family" : "Farrer", "given" : "M", "non-dropping-particle" : "", "parse-names" : false, "suffix" : "" }, { "dropping-particle" : "", "family" : "Johnson", "given" : "J", "non-dropping-particle" : "", "parse-names" : false, "suffix" : "" }, { "dropping-particle" : "", "family" : "Hague", "given" : "S", "non-dropping-particle" : "", "parse-names" : false, "suffix" : "" }, { "dropping-particle" : "", "family" : "Kachergus", "given" : "J", "non-dropping-particle" : "", "parse-names" : false, "suffix" : "" }, { "dropping-particle" : "", "family" : "Hulihan", "given" : "M", "non-dropping-particle" : "", "parse-names" : false, "suffix" : "" }, { "dropping-particle" : "", "family" : "Peuralinna", "given" : "T", "non-dropping-particle" : "", "parse-names" : false, "suffix" : "" }, { "dropping-particle" : "", "family" : "Dutra", "given" : "A", "non-dropping-particle" : "", "parse-names" : false, "suffix" : "" }, { "dropping-particle" : "", "family" : "Lincoln", "given" : "S", "non-dropping-particle" : "", "parse-names" : false, "suffix" : "" }, { "dropping-particle" : "", "family" : "Crawley", "given" : "A", "non-dropping-particle" : "", "parse-names" : false, "suffix" : "" }, { "dropping-particle" : "", "family" : "Hanson", "given" : "M", "non-dropping-particle" : "", "parse-names" : false, "suffix" : "" }, { "dropping-particle" : "", "family" : "Cookson", "given" : "M", "non-dropping-particle" : "", "parse-names" : false, "suffix" : "" }, { "dropping-particle" : "", "family" : "Muenter", "given" : "M", "non-dropping-particle" : "", "parse-names" : false, "suffix" : "" }, { "dropping-particle" : "", "family" : "Baptista", "given" : "M", "non-dropping-particle" : "", "parse-names" : false, "suffix" : "" }, { "dropping-particle" : "", "family" : "Miller", "given" : "D", "non-dropping-particle" : "", "parse-names" : false, "suffix" : "" }, { "dropping-particle" : "", "family" : "Blancato", "given" : "J", "non-dropping-particle" : "", "parse-names" : false, "suffix" : "" }, { "dropping-particle" : "", "family" : "Hardy", "given" : "J", "non-dropping-particle" : "", "parse-names" : false, "suffix" : "" }, { "dropping-particle" : "", "family" : "Gwinn-Hardy", "given" : "K", "non-dropping-particle" : "", "parse-names" : false, "suffix" : "" } ], "container-title" : "AMERICAN JOURNAL OF HUMAN GENETICS", "id" : "ITEM-1", "issue" : "5", "issued" : { "date-parts" : [ [ "2003", "11" ] ] }, "page" : "184-184", "publisher" : "UNIV CHICAGO PRESS, 1427 E 60TH ST, CHICAGO, IL 60637-2954 USA", "title" : "Triplication of the normal alpha synuclein gene is a cause of hereditary Parkinson's disease.", "type" : "article-journal", "volume" : "73" }, "uris" : [ "http://www.mendeley.com/documents/?uuid=96b17be1-7ccb-42a1-918a-cf47a1754aa6" ] } ], "mendeley" : { "previouslyFormattedCitation" : "[7]" }, "properties" : { "noteIndex" : 0 }, "schema" : "https://github.com/citation-style-language/schema/raw/master/csl-citation.json" }</w:instrText>
      </w:r>
      <w:r w:rsidRPr="00D71D88">
        <w:fldChar w:fldCharType="separate"/>
      </w:r>
      <w:r w:rsidR="00EA7311" w:rsidRPr="00D71D88">
        <w:rPr>
          <w:noProof/>
        </w:rPr>
        <w:t>[7]</w:t>
      </w:r>
      <w:r w:rsidRPr="00D71D88">
        <w:fldChar w:fldCharType="end"/>
      </w:r>
      <w:r w:rsidRPr="00D71D88">
        <w:t xml:space="preserve">. </w:t>
      </w:r>
      <w:r w:rsidRPr="00D71D88">
        <w:rPr>
          <w:bCs/>
        </w:rPr>
        <w:t xml:space="preserve">A number of recent studies have shown that </w:t>
      </w:r>
      <w:r w:rsidRPr="00D71D88">
        <w:t>αSyn</w:t>
      </w:r>
      <w:r w:rsidRPr="00D71D88" w:rsidDel="008454BE">
        <w:rPr>
          <w:bCs/>
        </w:rPr>
        <w:t xml:space="preserve"> </w:t>
      </w:r>
      <w:r w:rsidRPr="00D71D88">
        <w:rPr>
          <w:bCs/>
        </w:rPr>
        <w:t>interacts with transition metals, such as Mn, Fe, Cu, and Zn and these interactions can lead to protein aggregation and crosslinking</w:t>
      </w:r>
      <w:r w:rsidRPr="00D71D88">
        <w:t xml:space="preserve"> </w:t>
      </w:r>
      <w:r w:rsidRPr="00D71D88">
        <w:fldChar w:fldCharType="begin" w:fldLock="1"/>
      </w:r>
      <w:r w:rsidR="003E3A96" w:rsidRPr="00D71D88">
        <w:instrText>ADDIN CSL_CITATION { "citationItems" : [ { "id" : "ITEM-1", "itemData" : { "DOI" : "10.1021/cn200074d", "ISSN" : "1948-7193", "PMID" : "22860160", "abstract" : "\u03b1-Synuclein (\u03b1-syn) is a 140-amino acid protein that plays a central role in the pathogenesis of Parkinson's disease (PD) and other synucleinopathies. However, the molecular determinants that are responsible for triggering and/or propagating \u03b1-syn aggregation and toxicity remain poorly understood. Several studies have suggested that there are direct interactions between different metals and \u03b1-syn, but the role of metal ions and \u03b1-syn in the pathogenesis of PD is not firmly established. Interestingly, the majority of disease-associated post-translational modifications (PTMs) (e.g., truncation, phosphorylation, and nitration) of \u03b1-syn occur at residues within the C-terminal region (Y125, S129, Y133, and Y136) and in very close proximity to the putative metal binding sites. Therefore, we hypothesized that phosphorylation within this domain could influence the \u03b1-syn-metal interactions. In this paper, we sought to map the interactions between the di- and trivalent cations, Cu(II), Pb(II), Fe(II), and Fe(III), and the C-terminal region of \u03b1-syn encompassing residues 107-140 and to determine how phosphorylation at S129 or Y125 alters the specificity and binding affinity of metals using electrospray ionization-mass spectrometry (ESI-MS) and fluorescence spectroscopy. We demonstrate that D115-M116 and P128-S129 act as additional Cu(II) binding sites and show for the first time that the residues P128-S129 and D119 are also involved in Pb(II) and Fe(II) coordination, although D119 is not essential for binding to Fe(II) and Pb(II). Furthermore, we demonstrate that phosphorylation at either Y125 or S129 increases the binding affinity of Cu(II), Pb(II), and Fe(II), but not Fe(III). Additionally, we also show that phosphorylations at these residues lead to a shift in the binding sites of metal ions from the N-terminus to the C-teminus. Together, our findings provide critical insight into and expand our understanding of the molecular and structural bases underlying the interactions between \u03b1-syn and metal ions, including the identification of novel metal binding sites, and highlight the potential importance of cross-talk between post-translational modifications and metal ion binding in modulating \u03b1-syn functional and aggregation properties that are regulated by its C-terminal domain.", "author" : [ { "dropping-particle" : "", "family" : "Lu", "given" : "Yu", "non-dropping-particle" : "", "parse-names" : false, "suffix" : "" }, { "dropping-particle" : "", "family" : "Prudent", "given" : "Michel", "non-dropping-particle" : "", "parse-names" : false, "suffix" : "" }, { "dropping-particle" : "", "family" : "Fauvet", "given" : "Bruno", "non-dropping-particle" : "", "parse-names" : false, "suffix" : "" }, { "dropping-particle" : "", "family" : "Lashuel", "given" : "Hilal A", "non-dropping-particle" : "", "parse-names" : false, "suffix" : "" }, { "dropping-particle" : "", "family" : "Girault", "given" : "Hubert H", "non-dropping-particle" : "", "parse-names" : false, "suffix" : "" } ], "container-title" : "ACS chemical neuroscience", "id" : "ITEM-1", "issue" : "11", "issued" : { "date-parts" : [ [ "2011", "11", "16" ] ] }, "page" : "667-75", "publisher" : "AMER CHEMICAL SOC, 1155 16TH ST, NW, WASHINGTON, DC 20036 USA", "title" : "Phosphorylation of \u03b1-Synuclein at Y125 and S129 alters its metal binding properties: implications for understanding the role of \u03b1-Synuclein in the pathogenesis of Parkinson's Disease and related disorders.", "type" : "article-journal", "volume" : "2" }, "uris" : [ "http://www.mendeley.com/documents/?uuid=ab597b87-489e-481f-9366-e77c01e3a614" ] }, { "id" : "ITEM-2", "itemData" : { "DOI" : "10.1074/jbc.M709634200", "ISSN" : "0021-9258", "PMID" : "18258594", "abstract" : "Aggregation of alpha-synuclein is a key event in several neurodegenerative diseases, including Parkinson disease. Recent findings suggest that oligomers represent the principal toxic aggregate species. Using confocal single-molecule fluorescence techniques, such as scanning for intensely fluorescent targets (SIFT) and atomic force microscopy, we monitored alpha-synuclein oligomer formation at the single particle level. Organic solvents were used to trigger aggregation, which resulted in small oligomers (\"intermediate I\"). Under these conditions, Fe(3+) at low micromolar concentrations dramatically increased aggregation and induced formation of larger oligomers (\"intermediate II\"). Both oligomer species were on-pathway to amyloid fibrils and could seed amyloid formation. Notably, only Fe(3+)-induced oligomers were SDS-resistant and could form ion-permeable pores in a planar lipid bilayer, which were inhibited by the oligomer-specific A11 antibody. Moreover, baicalein and N'-benzylidene-benzohydrazide derivatives inhibited oligomer formation. Baicalein also inhibited alpha-synuclein-dependent toxicity in neuronal cells. Our results may provide a potential disease mechanism regarding the role of ferric iron and of toxic oligomer species in Parkinson diseases. Moreover, scanning for intensely fluorescent targets allows high throughput screening for aggregation inhibitors and may provide new approaches for drug development and therapy.", "author" : [ { "dropping-particle" : "", "family" : "Kostka", "given" : "Marcus", "non-dropping-particle" : "", "parse-names" : false, "suffix" : "" }, { "dropping-particle" : "", "family" : "H\u00f6gen", "given" : "Tobias", "non-dropping-particle" : "", "parse-names" : false, "suffix" : "" }, { "dropping-particle" : "", "family" : "Danzer", "given" : "Karin M", "non-dropping-particle" : "", "parse-names" : false, "suffix" : "" }, { "dropping-particle" : "", "family" : "Levin", "given" : "Johannes", "non-dropping-particle" : "", "parse-names" : false, "suffix" : "" }, { "dropping-particle" : "", "family" : "Habeck", "given" : "Matthias", "non-dropping-particle" : "", "parse-names" : false, "suffix" : "" }, { "dropping-particle" : "", "family" : "Wirth", "given" : "Andreas", "non-dropping-particle" : "", "parse-names" : false, "suffix" : "" }, { "dropping-particle" : "", "family" : "Wagner", "given" : "Richard", "non-dropping-particle" : "", "parse-names" : false, "suffix" : "" }, { "dropping-particle" : "", "family" : "Glabe", "given" : "Charles G", "non-dropping-particle" : "", "parse-names" : false, "suffix" : "" }, { "dropping-particle" : "", "family" : "Finger", "given" : "Sabine", "non-dropping-particle" : "", "parse-names" : false, "suffix" : "" }, { "dropping-particle" : "", "family" : "Heinzelmann", "given" : "Udo", "non-dropping-particle" : "", "parse-names" : false, "suffix" : "" }, { "dropping-particle" : "", "family" : "Garidel", "given" : "Patrick", "non-dropping-particle" : "", "parse-names" : false, "suffix" : "" }, { "dropping-particle" : "", "family" : "Duan", "given" : "Wenzhen", "non-dropping-particle" : "", "parse-names" : false, "suffix" : "" }, { "dropping-particle" : "", "family" : "Ross", "given" : "Christopher A", "non-dropping-particle" : "", "parse-names" : false, "suffix" : "" }, { "dropping-particle" : "", "family" : "Kretzschmar", "given" : "Hans", "non-dropping-particle" : "", "parse-names" : false, "suffix" : "" }, { "dropping-particle" : "", "family" : "Giese", "given" : "Armin", "non-dropping-particle" : "", "parse-names" : false, "suffix" : "" } ], "container-title" : "The Journal of biological chemistry", "id" : "ITEM-2", "issue" : "16", "issued" : { "date-parts" : [ [ "2008", "4", "18" ] ] }, "page" : "10992-1003", "publisher" : "AMER SOC BIOCHEMISTRY MOLECULAR BIOLOGY INC, 9650 ROCKVILLE PIKE, BETHESDA, MD 20814-3996 USA", "title" : "Single particle characterization of iron-induced pore-forming alpha-synuclein oligomers.", "type" : "article-journal", "volume" : "283" }, "uris" : [ "http://www.mendeley.com/documents/?uuid=2a024949-2982-40ed-bc4a-2f06211bbd4b" ] } ], "mendeley" : { "previouslyFormattedCitation" : "[8, 9]" }, "properties" : { "noteIndex" : 0 }, "schema" : "https://github.com/citation-style-language/schema/raw/master/csl-citation.json" }</w:instrText>
      </w:r>
      <w:r w:rsidRPr="00D71D88">
        <w:fldChar w:fldCharType="separate"/>
      </w:r>
      <w:r w:rsidR="003E3A96" w:rsidRPr="00D71D88">
        <w:rPr>
          <w:noProof/>
        </w:rPr>
        <w:t>[8, 9]</w:t>
      </w:r>
      <w:r w:rsidRPr="00D71D88">
        <w:fldChar w:fldCharType="end"/>
      </w:r>
      <w:r w:rsidRPr="00D71D88">
        <w:t xml:space="preserve">. Nevertheless, questions still arise as to whether these </w:t>
      </w:r>
      <w:r w:rsidRPr="00D71D88">
        <w:rPr>
          <w:i/>
        </w:rPr>
        <w:t>in vitro</w:t>
      </w:r>
      <w:r w:rsidRPr="00D71D88">
        <w:t xml:space="preserve"> observations are physiologically relevant. It is also unknown, if and how increased levels of αSyn</w:t>
      </w:r>
      <w:r w:rsidRPr="00D71D88" w:rsidDel="008454BE">
        <w:t xml:space="preserve"> </w:t>
      </w:r>
      <w:r w:rsidRPr="00D71D88">
        <w:t xml:space="preserve">regulate intracellular levels of transition metals. </w:t>
      </w:r>
    </w:p>
    <w:p w14:paraId="31582410" w14:textId="77777777" w:rsidR="003C73D7" w:rsidRPr="00D71D88" w:rsidRDefault="003C73D7" w:rsidP="000D1D73">
      <w:pPr>
        <w:pStyle w:val="StandardWeb"/>
        <w:spacing w:line="360" w:lineRule="auto"/>
        <w:ind w:firstLine="720"/>
        <w:jc w:val="both"/>
      </w:pPr>
      <w:r w:rsidRPr="00D71D88">
        <w:t>In addition to the total amount, the valence of metal ions plays a key role in their cellular toxicity. For example, Mn toxicity is conferred by oxidation of important cellular components by Mn</w:t>
      </w:r>
      <w:r w:rsidRPr="00D71D88">
        <w:rPr>
          <w:vertAlign w:val="superscript"/>
        </w:rPr>
        <w:t>3+</w:t>
      </w:r>
      <w:r w:rsidRPr="00D71D88">
        <w:t xml:space="preserve"> </w:t>
      </w:r>
      <w:r w:rsidRPr="00D71D88">
        <w:fldChar w:fldCharType="begin" w:fldLock="1"/>
      </w:r>
      <w:r w:rsidR="003E3A96" w:rsidRPr="00D71D88">
        <w:instrText>ADDIN CSL_CITATION { "citationItems" : [ { "id" : "ITEM-1", "itemData" : { "DOI" : "10.1016/S0197-0186(03)00152-9", "ISBN" : "1949824543", "ISSN" : "01970186", "abstract" : "The neurodegeneration induced by manganese has been attributed to its ability to undergo redox cycling, and catalysis of reactive oxygen species (ROS) formation, as with other transition metals. However, the characterization of manganese as a pro-oxidant is confounded by increasing evidence that the metal may scavenge superoxide anions and protect cells from oxidative damage. The current study was designed to address conflicting reports pertaining to the oxidative capacity of manganese. We found that the metal has distinctive redox dynamics in which the divalent reduced form, unlike iron, possessed no intrinsic oxidative capacity. The apparent ability of Mn2+ to promote the formation of ROS within a cortical mitochondrial-synaptosomal fraction was quenched by the depletion of contaminating nanomolar concentrations of trivalent metals. The addition of manganic ions at trace concentrations dose-dependently restored the oxidative capacity attributed to divalent manganese, whereas the presence of the ferric ion retarded the rate of ROS generation. This result was paralleled by the spectrophotometric demonstration that the kinetics of iron oxidation is accelerated by trivalent but not divalent manganese. The markedly different capacities of the lower and higher valence states of manganese to promote free-radical formation in cortical fractions and to modulate the process of iron oxidation may account for earlier contradictory reports of anti- and pro-oxidant properties of manganese. ?? 2003 Elsevier Ltd. All rights reserved.", "author" : [ { "dropping-particle" : "", "family" : "HaMai", "given" : "Diem", "non-dropping-particle" : "", "parse-names" : false, "suffix" : "" }, { "dropping-particle" : "", "family" : "Bondy", "given" : "Stephen C.", "non-dropping-particle" : "", "parse-names" : false, "suffix" : "" } ], "container-title" : "Neurochemistry International", "id" : "ITEM-1", "issue" : "4", "issued" : { "date-parts" : [ [ "2004", "3" ] ] }, "page" : "223-229", "title" : "Pro- or anti-oxidant manganese: A suggested mechanism for reconciliation", "type" : "article-journal", "volume" : "44" }, "uris" : [ "http://www.mendeley.com/documents/?uuid=21b53f50-6b17-4471-baa0-26153bc995e7" ] } ], "mendeley" : { "previouslyFormattedCitation" : "[10]" }, "properties" : { "noteIndex" : 0 }, "schema" : "https://github.com/citation-style-language/schema/raw/master/csl-citation.json" }</w:instrText>
      </w:r>
      <w:r w:rsidRPr="00D71D88">
        <w:fldChar w:fldCharType="separate"/>
      </w:r>
      <w:r w:rsidR="00EA7311" w:rsidRPr="00D71D88">
        <w:rPr>
          <w:noProof/>
        </w:rPr>
        <w:t>[10]</w:t>
      </w:r>
      <w:r w:rsidRPr="00D71D88">
        <w:fldChar w:fldCharType="end"/>
      </w:r>
      <w:r w:rsidRPr="00D71D88">
        <w:t>. The amount of Mn</w:t>
      </w:r>
      <w:r w:rsidRPr="00D71D88">
        <w:rPr>
          <w:vertAlign w:val="superscript"/>
        </w:rPr>
        <w:t>3+</w:t>
      </w:r>
      <w:r w:rsidRPr="00D71D88">
        <w:t xml:space="preserve"> in neuronal cells can thus be indicative for the extent of oxidative damage induced by Mn</w:t>
      </w:r>
      <w:r w:rsidRPr="00D71D88">
        <w:rPr>
          <w:vertAlign w:val="superscript"/>
        </w:rPr>
        <w:t>3+</w:t>
      </w:r>
      <w:r w:rsidRPr="00D71D88">
        <w:t xml:space="preserve">. </w:t>
      </w:r>
    </w:p>
    <w:p w14:paraId="1D6C5A06" w14:textId="77777777" w:rsidR="003C73D7" w:rsidRPr="00D71D88" w:rsidRDefault="003C73D7" w:rsidP="009E4D9A">
      <w:pPr>
        <w:pStyle w:val="StandardWeb"/>
        <w:spacing w:line="360" w:lineRule="auto"/>
        <w:ind w:firstLine="720"/>
        <w:jc w:val="both"/>
      </w:pPr>
      <w:r w:rsidRPr="00D71D88">
        <w:t>In order to better understand the interplay of αSyn</w:t>
      </w:r>
      <w:r w:rsidRPr="00D71D88" w:rsidDel="00613501">
        <w:rPr>
          <w:bCs/>
        </w:rPr>
        <w:t xml:space="preserve"> </w:t>
      </w:r>
      <w:r w:rsidRPr="00D71D88">
        <w:t>and Mn, we evaluated Mn-treated rat primary midbrain neurons (PMN) overexpressing αSyn</w:t>
      </w:r>
      <w:r w:rsidRPr="00D71D88" w:rsidDel="00613501">
        <w:rPr>
          <w:bCs/>
        </w:rPr>
        <w:t xml:space="preserve"> </w:t>
      </w:r>
      <w:r w:rsidRPr="00D71D88">
        <w:t xml:space="preserve">as a cellular model of PD with XRF imaging methods in this study. To be able to detect elemental changes </w:t>
      </w:r>
      <w:r w:rsidR="00036066" w:rsidRPr="00D71D88">
        <w:rPr>
          <w:i/>
        </w:rPr>
        <w:t>in situ</w:t>
      </w:r>
      <w:r w:rsidR="00036066" w:rsidRPr="00D71D88">
        <w:t xml:space="preserve"> </w:t>
      </w:r>
      <w:r w:rsidRPr="00D71D88">
        <w:t>at highest sensitivity and spatial resolution</w:t>
      </w:r>
      <w:r w:rsidR="007A5BC6" w:rsidRPr="00D71D88">
        <w:t xml:space="preserve"> </w:t>
      </w:r>
      <w:r w:rsidR="007A5BC6" w:rsidRPr="00D71D88">
        <w:fldChar w:fldCharType="begin" w:fldLock="1"/>
      </w:r>
      <w:r w:rsidR="003E3A96" w:rsidRPr="00D71D88">
        <w:instrText>ADDIN CSL_CITATION { "citationItems" : [ { "id" : "ITEM-1", "itemData" : { "ISBN" : "9781627039826", "author" : [ { "dropping-particle" : "", "family" : "Salditt", "given" : "Tim", "non-dropping-particle" : "", "parse-names" : false, "suffix" : "" }, { "dropping-particle" : "", "family" : "Du\u010di\u0107", "given" : "Tanja", "non-dropping-particle" : "", "parse-names" : false, "suffix" : "" } ], "container-title" : "Super-Resolution Microscopy Techniques in the Neurosciences Series", "editor" : [ { "dropping-particle" : "", "family" : "Fornasiero", "given" : "Eugenio", "non-dropping-particle" : "", "parse-names" : false, "suffix" : "" }, { "dropping-particle" : "", "family" : "Silvio", "given" : "Rizzoli", "non-dropping-particle" : "", "parse-names" : false, "suffix" : "" } ], "id" : "ITEM-1", "issued" : { "date-parts" : [ [ "2014" ] ] }, "page" : "257-290", "title" : "X-Ray Microscopy for Neuroscience: Novel Opportunities by Coherent Optics", "type" : "chapter" }, "uris" : [ "http://www.mendeley.com/documents/?uuid=abe46f93-544e-4e66-8ee1-3fa86e470e13" ] } ], "mendeley" : { "previouslyFormattedCitation" : "[11]" }, "properties" : { "noteIndex" : 0 }, "schema" : "https://github.com/citation-style-language/schema/raw/master/csl-citation.json" }</w:instrText>
      </w:r>
      <w:r w:rsidR="007A5BC6" w:rsidRPr="00D71D88">
        <w:fldChar w:fldCharType="separate"/>
      </w:r>
      <w:r w:rsidR="00EA7311" w:rsidRPr="00D71D88">
        <w:rPr>
          <w:noProof/>
        </w:rPr>
        <w:t>[11]</w:t>
      </w:r>
      <w:r w:rsidR="007A5BC6" w:rsidRPr="00D71D88">
        <w:fldChar w:fldCharType="end"/>
      </w:r>
      <w:r w:rsidRPr="00D71D88">
        <w:t xml:space="preserve">, we used a synchrotron-based X-ray microscope, the </w:t>
      </w:r>
      <w:r w:rsidRPr="00D71D88">
        <w:lastRenderedPageBreak/>
        <w:t xml:space="preserve">Bionanoprobe (BNP) at the Advanced Photon Source (APS, Argonne, IL), which has the ability to operate in a cryo-environment, preserving samples at the closest-possible to native physiological conditions, especially regarding to the location and concentration of </w:t>
      </w:r>
      <w:r w:rsidR="00F821FA" w:rsidRPr="00D71D88">
        <w:t xml:space="preserve">fast diffusible </w:t>
      </w:r>
      <w:r w:rsidRPr="00D71D88">
        <w:t xml:space="preserve">elements. This technique also allows visualizing entire intact cells without the need for chemical fixation or sectioning </w:t>
      </w:r>
      <w:r w:rsidRPr="00D71D88">
        <w:fldChar w:fldCharType="begin" w:fldLock="1"/>
      </w:r>
      <w:r w:rsidR="003E3A96" w:rsidRPr="00D71D88">
        <w:instrText>ADDIN CSL_CITATION { "citationItems" : [ { "id" : "ITEM-1", "itemData" : { "DOI" : "10.1016/j.jsb.2010.10.001", "ISSN" : "1095-8657", "PMID" : "20950687", "abstract" : "We report elemental mappings on the sub-cellular level of myelinated sciatic neurons isolated from wild type mice, with high spatial resolution. The distribution of P, S, Cl, Na, K, Fe, Mn, Cu was imaged in freeze-dried as well as cryo-preserved specimen, using the recently developed cryogenic sample environment at beamline ID21 at the European Synchrotron Radiation Facility (ESRF). In addition, synchrotron radiation based Fourier transform infrared (FTIR) spectromicroscopy was used as a chemically sensitive imaging method. Finally single fiber diffraction in highly focused hard X-ray beams, and soft X-ray microscopy and tomography in absorption contrast are demonstrated as novel techniques for the study of single nerve fibers.", "author" : [ { "dropping-particle" : "", "family" : "Du\u010di\u0107", "given" : "Tanja", "non-dropping-particle" : "", "parse-names" : false, "suffix" : "" }, { "dropping-particle" : "", "family" : "Quintes", "given" : "Susanne", "non-dropping-particle" : "", "parse-names" : false, "suffix" : "" }, { "dropping-particle" : "", "family" : "Nave", "given" : "Klaus-Armin", "non-dropping-particle" : "", "parse-names" : false, "suffix" : "" }, { "dropping-particle" : "", "family" : "Susini", "given" : "Jean", "non-dropping-particle" : "", "parse-names" : false, "suffix" : "" }, { "dropping-particle" : "", "family" : "Rak", "given" : "Margaret", "non-dropping-particle" : "", "parse-names" : false, "suffix" : "" }, { "dropping-particle" : "", "family" : "Tucoulou", "given" : "R\u00e9mi", "non-dropping-particle" : "", "parse-names" : false, "suffix" : "" }, { "dropping-particle" : "", "family" : "Alevra", "given" : "Mihai", "non-dropping-particle" : "", "parse-names" : false, "suffix" : "" }, { "dropping-particle" : "", "family" : "Guttmann", "given" : "Peter", "non-dropping-particle" : "", "parse-names" : false, "suffix" : "" }, { "dropping-particle" : "", "family" : "Salditt", "given" : "Tim", "non-dropping-particle" : "", "parse-names" : false, "suffix" : "" } ], "container-title" : "Journal of structural biology", "id" : "ITEM-1", "issue" : "2", "issued" : { "date-parts" : [ [ "2011", "2" ] ] }, "page" : "202-12", "title" : "Structure and composition of myelinated axons: a multimodal synchrotron spectro-microscopy study.", "type" : "article-journal", "volume" : "173" }, "uris" : [ "http://www.mendeley.com/documents/?uuid=9be9278b-d307-44eb-ae25-c33af5bb6fa9" ] } ], "mendeley" : { "previouslyFormattedCitation" : "[12]" }, "properties" : { "noteIndex" : 0 }, "schema" : "https://github.com/citation-style-language/schema/raw/master/csl-citation.json" }</w:instrText>
      </w:r>
      <w:r w:rsidRPr="00D71D88">
        <w:fldChar w:fldCharType="separate"/>
      </w:r>
      <w:r w:rsidR="00EA7311" w:rsidRPr="00D71D88">
        <w:rPr>
          <w:noProof/>
        </w:rPr>
        <w:t>[12]</w:t>
      </w:r>
      <w:r w:rsidRPr="00D71D88">
        <w:fldChar w:fldCharType="end"/>
      </w:r>
      <w:r w:rsidRPr="00D71D88">
        <w:t xml:space="preserve">. After precise elemental mapping, the X-ray absorption near edge structure spectroscopy (XANES) was employed to determine the oxidation states of manganese within the cells </w:t>
      </w:r>
      <w:r w:rsidRPr="00D71D88">
        <w:rPr>
          <w:i/>
        </w:rPr>
        <w:t xml:space="preserve">in situ </w:t>
      </w:r>
      <w:r w:rsidRPr="00D71D88">
        <w:t>at beamline 2-ID-D at the APS</w:t>
      </w:r>
      <w:r w:rsidRPr="00D71D88">
        <w:rPr>
          <w:i/>
        </w:rPr>
        <w:t>.</w:t>
      </w:r>
      <w:r w:rsidRPr="00D71D88">
        <w:t xml:space="preserve"> The aim of our study was to analyze whether and how spatial distribution and concentration of Mn and other elements depend on αSyn</w:t>
      </w:r>
      <w:r w:rsidRPr="00D71D88" w:rsidDel="00613501">
        <w:rPr>
          <w:bCs/>
        </w:rPr>
        <w:t xml:space="preserve"> </w:t>
      </w:r>
      <w:r w:rsidRPr="00D71D88">
        <w:t>levels in PMN. We show that overexpression of αSyn</w:t>
      </w:r>
      <w:r w:rsidRPr="00D71D88" w:rsidDel="00613501">
        <w:rPr>
          <w:bCs/>
        </w:rPr>
        <w:t xml:space="preserve"> </w:t>
      </w:r>
      <w:r w:rsidRPr="00D71D88">
        <w:rPr>
          <w:bCs/>
        </w:rPr>
        <w:t xml:space="preserve">is a significant modulator of Mn and Ca levels and additionally </w:t>
      </w:r>
      <w:r w:rsidR="00F821FA" w:rsidRPr="00D71D88">
        <w:rPr>
          <w:bCs/>
        </w:rPr>
        <w:t xml:space="preserve">alters </w:t>
      </w:r>
      <w:r w:rsidRPr="00D71D88">
        <w:rPr>
          <w:bCs/>
        </w:rPr>
        <w:t>the distribution of other elements suggesting detrimental effects on whole cellular metabolism.</w:t>
      </w:r>
    </w:p>
    <w:p w14:paraId="60C65458" w14:textId="77777777" w:rsidR="003C73D7" w:rsidRPr="00D71D88" w:rsidRDefault="003C73D7" w:rsidP="000D1D73">
      <w:pPr>
        <w:spacing w:line="360" w:lineRule="auto"/>
        <w:jc w:val="both"/>
        <w:rPr>
          <w:rFonts w:ascii="Times New Roman" w:hAnsi="Times New Roman"/>
          <w:sz w:val="24"/>
          <w:szCs w:val="24"/>
        </w:rPr>
      </w:pPr>
    </w:p>
    <w:p w14:paraId="339EAEB4" w14:textId="77777777" w:rsidR="003C73D7" w:rsidRPr="00D71D88" w:rsidRDefault="003C73D7" w:rsidP="00A40842">
      <w:pPr>
        <w:spacing w:line="360" w:lineRule="auto"/>
        <w:jc w:val="both"/>
        <w:rPr>
          <w:rFonts w:ascii="Times New Roman" w:hAnsi="Times New Roman"/>
          <w:sz w:val="24"/>
          <w:szCs w:val="24"/>
        </w:rPr>
      </w:pPr>
    </w:p>
    <w:p w14:paraId="69A0F718" w14:textId="77777777" w:rsidR="003C73D7" w:rsidRPr="00D71D88" w:rsidRDefault="003C73D7" w:rsidP="00D13D1D">
      <w:pPr>
        <w:spacing w:line="360" w:lineRule="auto"/>
        <w:jc w:val="both"/>
        <w:rPr>
          <w:rFonts w:ascii="Arial" w:hAnsi="Arial" w:cs="Arial"/>
          <w:b/>
          <w:sz w:val="32"/>
          <w:szCs w:val="32"/>
        </w:rPr>
      </w:pPr>
      <w:r w:rsidRPr="00D71D88">
        <w:rPr>
          <w:rFonts w:ascii="Arial" w:hAnsi="Arial" w:cs="Arial"/>
          <w:b/>
          <w:sz w:val="32"/>
          <w:szCs w:val="32"/>
        </w:rPr>
        <w:t>Results</w:t>
      </w:r>
    </w:p>
    <w:p w14:paraId="5F344D67" w14:textId="77777777" w:rsidR="003C73D7" w:rsidRPr="00D71D88" w:rsidRDefault="003C73D7" w:rsidP="00D13D1D">
      <w:pPr>
        <w:spacing w:line="360" w:lineRule="auto"/>
        <w:jc w:val="both"/>
        <w:rPr>
          <w:rFonts w:ascii="Arial" w:hAnsi="Arial" w:cs="Arial"/>
          <w:b/>
        </w:rPr>
      </w:pPr>
      <w:r w:rsidRPr="00D71D88">
        <w:rPr>
          <w:rFonts w:ascii="Arial" w:hAnsi="Arial" w:cs="Arial"/>
          <w:b/>
        </w:rPr>
        <w:t>Elemental distribution in untreated control cultures</w:t>
      </w:r>
    </w:p>
    <w:p w14:paraId="748A41A8" w14:textId="24C2E0A9" w:rsidR="003C73D7" w:rsidRPr="00D71D88" w:rsidRDefault="003C73D7" w:rsidP="002B0C14">
      <w:pPr>
        <w:spacing w:line="360" w:lineRule="auto"/>
        <w:ind w:firstLine="720"/>
        <w:jc w:val="both"/>
        <w:rPr>
          <w:rFonts w:ascii="Times New Roman" w:hAnsi="Times New Roman"/>
          <w:sz w:val="24"/>
          <w:szCs w:val="24"/>
        </w:rPr>
      </w:pPr>
      <w:r w:rsidRPr="00D71D88">
        <w:rPr>
          <w:rFonts w:ascii="Times New Roman" w:hAnsi="Times New Roman"/>
          <w:sz w:val="24"/>
          <w:szCs w:val="24"/>
        </w:rPr>
        <w:t>For an assessment of baseline elemental distribution, cryopreserved midbrain cultures, which did not undergo treatment with Mn</w:t>
      </w:r>
      <w:r w:rsidR="00277340" w:rsidRPr="00D71D88">
        <w:rPr>
          <w:rFonts w:ascii="Times New Roman" w:hAnsi="Times New Roman"/>
          <w:sz w:val="24"/>
          <w:szCs w:val="24"/>
        </w:rPr>
        <w:t>,</w:t>
      </w:r>
      <w:r w:rsidRPr="00D71D88">
        <w:rPr>
          <w:rFonts w:ascii="Times New Roman" w:hAnsi="Times New Roman"/>
          <w:sz w:val="24"/>
          <w:szCs w:val="24"/>
        </w:rPr>
        <w:t xml:space="preserve"> were imaged (Fig. 1). Twelve independe</w:t>
      </w:r>
      <w:r w:rsidR="00277340" w:rsidRPr="00D71D88">
        <w:rPr>
          <w:rFonts w:ascii="Times New Roman" w:hAnsi="Times New Roman"/>
          <w:sz w:val="24"/>
          <w:szCs w:val="24"/>
        </w:rPr>
        <w:t>nt cells were studied in detail</w:t>
      </w:r>
      <w:r w:rsidRPr="00D71D88">
        <w:rPr>
          <w:rFonts w:ascii="Times New Roman" w:hAnsi="Times New Roman"/>
          <w:sz w:val="24"/>
          <w:szCs w:val="24"/>
        </w:rPr>
        <w:t>. Only low concentrations of Ca (0.051 ± 0.007 µg/cm</w:t>
      </w:r>
      <w:r w:rsidRPr="00D71D88">
        <w:rPr>
          <w:rFonts w:ascii="Times New Roman" w:hAnsi="Times New Roman"/>
          <w:sz w:val="24"/>
          <w:szCs w:val="24"/>
          <w:vertAlign w:val="superscript"/>
        </w:rPr>
        <w:t>2</w:t>
      </w:r>
      <w:r w:rsidRPr="00D71D88">
        <w:rPr>
          <w:rFonts w:ascii="Times New Roman" w:hAnsi="Times New Roman"/>
          <w:sz w:val="24"/>
          <w:szCs w:val="24"/>
        </w:rPr>
        <w:t>) and Mn (0.0014 ± 0.0001 µg/cm</w:t>
      </w:r>
      <w:r w:rsidRPr="00D71D88">
        <w:rPr>
          <w:rFonts w:ascii="Times New Roman" w:hAnsi="Times New Roman"/>
          <w:sz w:val="24"/>
          <w:szCs w:val="24"/>
          <w:vertAlign w:val="superscript"/>
        </w:rPr>
        <w:t>2</w:t>
      </w:r>
      <w:r w:rsidRPr="00D71D88">
        <w:rPr>
          <w:rFonts w:ascii="Times New Roman" w:hAnsi="Times New Roman"/>
          <w:sz w:val="24"/>
          <w:szCs w:val="24"/>
        </w:rPr>
        <w:t>)</w:t>
      </w:r>
      <w:r w:rsidRPr="00D71D88">
        <w:rPr>
          <w:rFonts w:ascii="Times New Roman" w:hAnsi="Times New Roman"/>
          <w:sz w:val="24"/>
          <w:szCs w:val="24"/>
          <w:vertAlign w:val="superscript"/>
        </w:rPr>
        <w:t xml:space="preserve"> </w:t>
      </w:r>
      <w:r w:rsidRPr="00D71D88">
        <w:rPr>
          <w:rFonts w:ascii="Times New Roman" w:hAnsi="Times New Roman"/>
          <w:sz w:val="24"/>
          <w:szCs w:val="24"/>
        </w:rPr>
        <w:t xml:space="preserve">were measured in control cultures. No compartment-specific distribution of Mn was detected. The distribution of K, S and P was used to define the morphology of the neurons (Fig. 1). </w:t>
      </w:r>
    </w:p>
    <w:p w14:paraId="7705B0AE" w14:textId="77777777" w:rsidR="003C73D7" w:rsidRPr="00D71D88" w:rsidRDefault="003C73D7" w:rsidP="00D13D1D">
      <w:pPr>
        <w:spacing w:line="360" w:lineRule="auto"/>
        <w:jc w:val="both"/>
        <w:rPr>
          <w:rFonts w:ascii="Times New Roman" w:hAnsi="Times New Roman"/>
          <w:sz w:val="24"/>
          <w:szCs w:val="24"/>
        </w:rPr>
      </w:pPr>
    </w:p>
    <w:p w14:paraId="3057FDB8" w14:textId="77777777" w:rsidR="003C73D7" w:rsidRPr="00D71D88" w:rsidRDefault="003C73D7" w:rsidP="00D13D1D">
      <w:pPr>
        <w:spacing w:line="360" w:lineRule="auto"/>
        <w:jc w:val="both"/>
        <w:rPr>
          <w:rFonts w:ascii="Arial" w:hAnsi="Arial" w:cs="Arial"/>
          <w:b/>
        </w:rPr>
      </w:pPr>
      <w:r w:rsidRPr="00D71D88">
        <w:rPr>
          <w:rFonts w:ascii="Arial" w:hAnsi="Arial" w:cs="Arial"/>
          <w:b/>
        </w:rPr>
        <w:t>Overall elemental concentrations in midbrain neurons</w:t>
      </w:r>
    </w:p>
    <w:p w14:paraId="3AAD5516" w14:textId="77777777" w:rsidR="003C73D7" w:rsidRPr="00D71D88" w:rsidRDefault="003C73D7" w:rsidP="00D13D1D">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In order to examine the overall elemental content of αSyn-overexpressing and control midbrain neurons after Mn treatment, we obtained larger overview images. These images contained numerous αSyn-transfected and non-transfected neurons for a quantitative analysis on a sufficiently large number of cells permitting robust statistical evaluation (Fig. 2). We </w:t>
      </w:r>
      <w:r w:rsidRPr="00D71D88">
        <w:rPr>
          <w:rFonts w:ascii="Times New Roman" w:hAnsi="Times New Roman"/>
          <w:sz w:val="24"/>
          <w:szCs w:val="24"/>
        </w:rPr>
        <w:lastRenderedPageBreak/>
        <w:t>quantified the X-ray fluorescence images of 18 cells overexpressing αSyn and 40 control cells. The elemental concentrations for P, S, Ca, K and Zn were significantly decreased, while Mn concentration were significantly elevated in neurons overexpressing αSyn in comparison to control cells (P: 0.818 ± 0.082 vs. 0.919 ± 0.114 µg/cm</w:t>
      </w:r>
      <w:r w:rsidRPr="00D71D88">
        <w:rPr>
          <w:rFonts w:ascii="Times New Roman" w:hAnsi="Times New Roman"/>
          <w:sz w:val="24"/>
          <w:szCs w:val="24"/>
          <w:vertAlign w:val="superscript"/>
        </w:rPr>
        <w:t>2</w:t>
      </w:r>
      <w:r w:rsidRPr="00D71D88">
        <w:rPr>
          <w:rFonts w:ascii="Times New Roman" w:hAnsi="Times New Roman"/>
          <w:sz w:val="24"/>
          <w:szCs w:val="24"/>
        </w:rPr>
        <w:t>; S: 0.531 ± 0.058 vs. 0.585 ± 0.060 µg/cm</w:t>
      </w:r>
      <w:r w:rsidRPr="00D71D88">
        <w:rPr>
          <w:rFonts w:ascii="Times New Roman" w:hAnsi="Times New Roman"/>
          <w:sz w:val="24"/>
          <w:szCs w:val="24"/>
          <w:vertAlign w:val="superscript"/>
        </w:rPr>
        <w:t>2</w:t>
      </w:r>
      <w:r w:rsidRPr="00D71D88">
        <w:rPr>
          <w:rFonts w:ascii="Times New Roman" w:hAnsi="Times New Roman"/>
          <w:sz w:val="24"/>
          <w:szCs w:val="24"/>
        </w:rPr>
        <w:t>; Ca: 0.052 ± 0.009 vs. 0.066 ± 0.037 µg/cm</w:t>
      </w:r>
      <w:r w:rsidRPr="00D71D88">
        <w:rPr>
          <w:rFonts w:ascii="Times New Roman" w:hAnsi="Times New Roman"/>
          <w:sz w:val="24"/>
          <w:szCs w:val="24"/>
          <w:vertAlign w:val="superscript"/>
        </w:rPr>
        <w:t>2</w:t>
      </w:r>
      <w:r w:rsidRPr="00D71D88">
        <w:rPr>
          <w:rFonts w:ascii="Times New Roman" w:hAnsi="Times New Roman"/>
          <w:sz w:val="24"/>
          <w:szCs w:val="24"/>
        </w:rPr>
        <w:t>; K: 1.06 ± 0.34 vs. 2.53 ± 0.50 µg/cm</w:t>
      </w:r>
      <w:r w:rsidRPr="00D71D88">
        <w:rPr>
          <w:rFonts w:ascii="Times New Roman" w:hAnsi="Times New Roman"/>
          <w:sz w:val="24"/>
          <w:szCs w:val="24"/>
          <w:vertAlign w:val="superscript"/>
        </w:rPr>
        <w:t>2</w:t>
      </w:r>
      <w:r w:rsidRPr="00D71D88">
        <w:rPr>
          <w:rFonts w:ascii="Times New Roman" w:hAnsi="Times New Roman"/>
          <w:sz w:val="24"/>
          <w:szCs w:val="24"/>
        </w:rPr>
        <w:t>; Zn: 0.017 ± 0.002 vs. 0.019 ± 0.003 µg/cm</w:t>
      </w:r>
      <w:r w:rsidRPr="00D71D88">
        <w:rPr>
          <w:rFonts w:ascii="Times New Roman" w:hAnsi="Times New Roman"/>
          <w:sz w:val="24"/>
          <w:szCs w:val="24"/>
          <w:vertAlign w:val="superscript"/>
        </w:rPr>
        <w:t>2</w:t>
      </w:r>
      <w:r w:rsidRPr="00D71D88">
        <w:rPr>
          <w:rFonts w:ascii="Times New Roman" w:hAnsi="Times New Roman"/>
          <w:sz w:val="24"/>
          <w:szCs w:val="24"/>
        </w:rPr>
        <w:t xml:space="preserve"> and Mn: 0.053 ± 0.019 vs. 0.039 ± 0.013 µg/cm</w:t>
      </w:r>
      <w:r w:rsidRPr="00D71D88">
        <w:rPr>
          <w:rFonts w:ascii="Times New Roman" w:hAnsi="Times New Roman"/>
          <w:sz w:val="24"/>
          <w:szCs w:val="24"/>
          <w:vertAlign w:val="superscript"/>
        </w:rPr>
        <w:t>2</w:t>
      </w:r>
      <w:r w:rsidRPr="00D71D88">
        <w:rPr>
          <w:rFonts w:ascii="Times New Roman" w:hAnsi="Times New Roman"/>
          <w:sz w:val="24"/>
          <w:szCs w:val="24"/>
        </w:rPr>
        <w:t xml:space="preserve">, respectively). The concentrations of Cl, Cu, and Fe did not significantly differ in the two groups (Fig. 2). </w:t>
      </w:r>
    </w:p>
    <w:p w14:paraId="26A5ED48" w14:textId="3A54B812" w:rsidR="003C73D7" w:rsidRPr="00D71D88" w:rsidRDefault="003C73D7" w:rsidP="00527B6C">
      <w:pPr>
        <w:spacing w:line="360" w:lineRule="auto"/>
        <w:ind w:firstLine="720"/>
        <w:jc w:val="both"/>
        <w:rPr>
          <w:rFonts w:ascii="Times New Roman" w:hAnsi="Times New Roman"/>
          <w:sz w:val="24"/>
          <w:szCs w:val="24"/>
        </w:rPr>
      </w:pPr>
      <w:r w:rsidRPr="00D71D88">
        <w:rPr>
          <w:rFonts w:ascii="Times New Roman" w:hAnsi="Times New Roman"/>
          <w:sz w:val="24"/>
          <w:szCs w:val="24"/>
        </w:rPr>
        <w:t>To analyze whether relationships existed among different element concentrations, correlation analyses were performed (Fig. 3).</w:t>
      </w:r>
      <w:r w:rsidRPr="00D71D88">
        <w:rPr>
          <w:rFonts w:ascii="Times New Roman" w:hAnsi="Times New Roman"/>
          <w:sz w:val="24"/>
          <w:szCs w:val="24"/>
          <w:lang w:val="en-GB" w:eastAsia="de-DE" w:bidi="hi-IN"/>
        </w:rPr>
        <w:t xml:space="preserve"> In control neurons we found only a weak positive correlation between Mn and Ca concentrations (</w:t>
      </w:r>
      <w:r w:rsidRPr="00D71D88">
        <w:rPr>
          <w:rFonts w:ascii="Times New Roman" w:hAnsi="Times New Roman"/>
          <w:sz w:val="24"/>
          <w:szCs w:val="24"/>
        </w:rPr>
        <w:t xml:space="preserve">R=0.41; p=0.01), between </w:t>
      </w:r>
      <w:r w:rsidRPr="00D71D88">
        <w:rPr>
          <w:rFonts w:ascii="Times New Roman" w:hAnsi="Times New Roman"/>
          <w:sz w:val="24"/>
          <w:szCs w:val="24"/>
          <w:lang w:val="en-GB" w:eastAsia="de-DE" w:bidi="hi-IN"/>
        </w:rPr>
        <w:t>Mn and Fe concentrations (</w:t>
      </w:r>
      <w:r w:rsidRPr="00D71D88">
        <w:rPr>
          <w:rFonts w:ascii="Times New Roman" w:hAnsi="Times New Roman"/>
          <w:sz w:val="24"/>
          <w:szCs w:val="24"/>
        </w:rPr>
        <w:t>R=0.45; p=0.004),</w:t>
      </w:r>
      <w:r w:rsidR="004B3716" w:rsidRPr="00D71D88">
        <w:rPr>
          <w:rFonts w:ascii="Times New Roman" w:hAnsi="Times New Roman"/>
          <w:sz w:val="24"/>
          <w:szCs w:val="24"/>
        </w:rPr>
        <w:t xml:space="preserve"> (Fig. 3)</w:t>
      </w:r>
      <w:r w:rsidRPr="00D71D88">
        <w:rPr>
          <w:rFonts w:ascii="Times New Roman" w:hAnsi="Times New Roman"/>
          <w:sz w:val="24"/>
          <w:szCs w:val="24"/>
        </w:rPr>
        <w:t xml:space="preserve"> and a stronger correlation between Ca and Fe (R=0.84 and p=1x10</w:t>
      </w:r>
      <w:r w:rsidRPr="00D71D88">
        <w:rPr>
          <w:rFonts w:ascii="Times New Roman" w:hAnsi="Times New Roman"/>
          <w:sz w:val="24"/>
          <w:szCs w:val="24"/>
          <w:vertAlign w:val="superscript"/>
        </w:rPr>
        <w:t>-11</w:t>
      </w:r>
      <w:r w:rsidRPr="00D71D88">
        <w:rPr>
          <w:rFonts w:ascii="Times New Roman" w:hAnsi="Times New Roman"/>
          <w:sz w:val="24"/>
          <w:szCs w:val="24"/>
        </w:rPr>
        <w:t xml:space="preserve">, data not shown). Interestingly, </w:t>
      </w:r>
      <w:r w:rsidRPr="00D71D88">
        <w:rPr>
          <w:rFonts w:ascii="Times New Roman" w:hAnsi="Times New Roman"/>
          <w:sz w:val="24"/>
          <w:szCs w:val="24"/>
          <w:lang w:val="en-GB" w:eastAsia="de-DE" w:bidi="hi-IN"/>
        </w:rPr>
        <w:t xml:space="preserve">in </w:t>
      </w:r>
      <w:r w:rsidRPr="00D71D88">
        <w:rPr>
          <w:rFonts w:ascii="Times New Roman" w:hAnsi="Times New Roman"/>
          <w:sz w:val="24"/>
          <w:szCs w:val="24"/>
        </w:rPr>
        <w:t>αSyn-overexpressing</w:t>
      </w:r>
      <w:r w:rsidRPr="00D71D88">
        <w:rPr>
          <w:rFonts w:ascii="Times New Roman" w:hAnsi="Times New Roman"/>
          <w:sz w:val="24"/>
          <w:szCs w:val="24"/>
          <w:lang w:val="en-GB" w:eastAsia="de-DE" w:bidi="hi-IN"/>
        </w:rPr>
        <w:t xml:space="preserve"> cells a strong correlation between Mn and Fe concentrations (R=0.75; p=0.0003) and Mn and Cu concentrations (R=0.70; p=0.001) was observed (Fig. 3). Between Cu and Fe the Pearson’s correlation c</w:t>
      </w:r>
      <w:r w:rsidR="00307C51" w:rsidRPr="00D71D88">
        <w:rPr>
          <w:rFonts w:ascii="Times New Roman" w:hAnsi="Times New Roman"/>
          <w:sz w:val="24"/>
          <w:szCs w:val="24"/>
          <w:lang w:val="en-GB" w:eastAsia="de-DE" w:bidi="hi-IN"/>
        </w:rPr>
        <w:t>oefficient R was 0.54 (p=0.02) (</w:t>
      </w:r>
      <w:r w:rsidRPr="00D71D88">
        <w:rPr>
          <w:rFonts w:ascii="Times New Roman" w:hAnsi="Times New Roman"/>
          <w:sz w:val="24"/>
          <w:szCs w:val="24"/>
          <w:lang w:val="en-GB" w:eastAsia="de-DE" w:bidi="hi-IN"/>
        </w:rPr>
        <w:t>not shown</w:t>
      </w:r>
      <w:r w:rsidR="00307C51" w:rsidRPr="00D71D88">
        <w:rPr>
          <w:rFonts w:ascii="Times New Roman" w:hAnsi="Times New Roman"/>
          <w:sz w:val="24"/>
          <w:szCs w:val="24"/>
          <w:lang w:val="en-GB" w:eastAsia="de-DE" w:bidi="hi-IN"/>
        </w:rPr>
        <w:t>)</w:t>
      </w:r>
      <w:r w:rsidRPr="00D71D88">
        <w:rPr>
          <w:rFonts w:ascii="Times New Roman" w:hAnsi="Times New Roman"/>
          <w:sz w:val="24"/>
          <w:szCs w:val="24"/>
          <w:lang w:val="en-GB" w:eastAsia="de-DE" w:bidi="hi-IN"/>
        </w:rPr>
        <w:t>.</w:t>
      </w:r>
    </w:p>
    <w:p w14:paraId="468CB727" w14:textId="77777777" w:rsidR="003C73D7" w:rsidRPr="00D71D88" w:rsidRDefault="003C73D7" w:rsidP="007D167C">
      <w:pPr>
        <w:spacing w:line="360" w:lineRule="auto"/>
        <w:jc w:val="both"/>
        <w:rPr>
          <w:rFonts w:ascii="Times New Roman" w:hAnsi="Times New Roman"/>
          <w:sz w:val="24"/>
          <w:szCs w:val="24"/>
        </w:rPr>
      </w:pPr>
    </w:p>
    <w:p w14:paraId="1F5B1E66" w14:textId="77777777" w:rsidR="003C73D7" w:rsidRPr="00D71D88" w:rsidRDefault="003C73D7" w:rsidP="001C3512">
      <w:pPr>
        <w:spacing w:line="360" w:lineRule="auto"/>
        <w:jc w:val="both"/>
        <w:rPr>
          <w:rFonts w:ascii="Arial" w:hAnsi="Arial" w:cs="Arial"/>
          <w:b/>
        </w:rPr>
      </w:pPr>
      <w:r w:rsidRPr="00D71D88">
        <w:rPr>
          <w:rFonts w:ascii="Arial" w:hAnsi="Arial" w:cs="Arial"/>
          <w:b/>
        </w:rPr>
        <w:t>Subcellular elemental quantification</w:t>
      </w:r>
    </w:p>
    <w:p w14:paraId="05A9F09F" w14:textId="77777777" w:rsidR="003C73D7" w:rsidRPr="00D71D88" w:rsidRDefault="003C73D7" w:rsidP="00347761">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After determination of the overall elemental concentration in primary midbrain neurons, we now focused in more detail on the subcellular distribution of selected elements. Our aim was to analyze, whether transfection with αSyn alters elements distribution and therefore could yield additional information on the pathophysiological function of this protein. </w:t>
      </w:r>
    </w:p>
    <w:p w14:paraId="6380B4C3" w14:textId="59B84799" w:rsidR="003C73D7" w:rsidRPr="00D71D88" w:rsidRDefault="003C73D7" w:rsidP="00806633">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Potassium and sulfur maps were used for the cellular orientation. </w:t>
      </w:r>
      <w:r w:rsidRPr="00D71D88">
        <w:rPr>
          <w:rFonts w:ascii="Times New Roman" w:hAnsi="Times New Roman"/>
          <w:sz w:val="24"/>
          <w:szCs w:val="24"/>
          <w:lang w:val="en-GB" w:eastAsia="de-DE" w:bidi="hi-IN"/>
        </w:rPr>
        <w:t xml:space="preserve">Sulphur as a protein marker is present in the amino acids methionine and cysteine and is therefore distributed throughout the cell in all cellular proteins </w:t>
      </w:r>
      <w:r w:rsidRPr="00D71D88">
        <w:rPr>
          <w:rFonts w:ascii="Times New Roman" w:hAnsi="Times New Roman"/>
          <w:sz w:val="24"/>
          <w:szCs w:val="24"/>
          <w:lang w:val="en-GB" w:eastAsia="de-DE" w:bidi="hi-IN"/>
        </w:rPr>
        <w:fldChar w:fldCharType="begin" w:fldLock="1"/>
      </w:r>
      <w:r w:rsidR="003E3A96" w:rsidRPr="00D71D88">
        <w:rPr>
          <w:rFonts w:ascii="Times New Roman" w:hAnsi="Times New Roman"/>
          <w:sz w:val="24"/>
          <w:szCs w:val="24"/>
          <w:lang w:val="en-GB" w:eastAsia="de-DE" w:bidi="hi-IN"/>
        </w:rPr>
        <w:instrText>ADDIN CSL_CITATION { "citationItems" : [ { "id" : "ITEM-1", "itemData" : { "DOI" : "10.1021/nl0624723", "ISSN" : "1530-6984", "PMID" : "17274661", "abstract" : "Deoxyribonucleic acid (DNA) oligonucleotides hybridize to matching DNA sequences in cells, as established in the literature, depending on active transcription of the target sequence and local molarity of the oligonucleotide. We investigated the intracellular distribution of nanoconjugates composed of DNA oligonucleotides attached to TiO2 nanoparticles, thus creating a locally increased concentration of the oligonucleotide. Two types of nanoconjugates, with oligonucleotides matching mitochondrial or nucleolar DNA, were specifically retained in mitochondria or nucleoli.", "author" : [ { "dropping-particle" : "", "family" : "Paunesku", "given" : "Tatjana", "non-dropping-particle" : "", "parse-names" : false, "suffix" : "" }, { "dropping-particle" : "", "family" : "Vogt", "given" : "Stefan", "non-dropping-particle" : "", "parse-names" : false, "suffix" : "" }, { "dropping-particle" : "", "family" : "Lai", "given" : "Barry", "non-dropping-particle" : "", "parse-names" : false, "suffix" : "" }, { "dropping-particle" : "", "family" : "Maser", "given" : "J\u00f6rg", "non-dropping-particle" : "", "parse-names" : false, "suffix" : "" }, { "dropping-particle" : "", "family" : "Stoji\u0107evi\u0107", "given" : "Natasa", "non-dropping-particle" : "", "parse-names" : false, "suffix" : "" }, { "dropping-particle" : "", "family" : "Thurn", "given" : "Kenneth T", "non-dropping-particle" : "", "parse-names" : false, "suffix" : "" }, { "dropping-particle" : "", "family" : "Osipo", "given" : "Clodia", "non-dropping-particle" : "", "parse-names" : false, "suffix" : "" }, { "dropping-particle" : "", "family" : "Liu", "given" : "Hong", "non-dropping-particle" : "", "parse-names" : false, "suffix" : "" }, { "dropping-particle" : "", "family" : "Legnini", "given" : "Daniel", "non-dropping-particle" : "", "parse-names" : false, "suffix" : "" }, { "dropping-particle" : "", "family" : "Wang", "given" : "Zhou", "non-dropping-particle" : "", "parse-names" : false, "suffix" : "" }, { "dropping-particle" : "", "family" : "Lee", "given" : "Chung", "non-dropping-particle" : "", "parse-names" : false, "suffix" : "" }, { "dropping-particle" : "", "family" : "Woloschak", "given" : "Gayle E", "non-dropping-particle" : "", "parse-names" : false, "suffix" : "" } ], "container-title" : "Nano letters", "id" : "ITEM-1", "issue" : "3", "issued" : { "date-parts" : [ [ "2007", "3" ] ] }, "page" : "596-601", "publisher" : "AMER CHEMICAL SOC, 1155 16TH ST, NW, WASHINGTON, DC 20036 USA", "title" : "Intracellular distribution of TiO2-DNA oligonucleotide nanoconjugates directed to nucleolus and mitochondria indicates sequence specificity.", "type" : "article-journal", "volume" : "7" }, "uris" : [ "http://www.mendeley.com/documents/?uuid=35ab4bea-75ba-463f-99a6-3a3e2a895227" ] }, { "id" : "ITEM-2", "itemData" : { "DOI" : "10.1007/s10534-008-9200-5", "ISSN" : "1572-8773", "PMID" : "19130257", "abstract" : "Metals and other trace elements play an important role in many physiological processes in all biological systems. Characterization of precise metal concentrations, their spatial distribution, and chemical speciation in individual cells and cell compartments will provide much needed information to explore the metallome in health and disease. Synchrotron-based X-ray fluorescent microscopy (SXRF) is the ideal tool to quantitatively measure trace elements with high sensitivity at high resolution. SXRF is based on the intrinsic fluorescent properties of each element and is therefore element specific. Recent advances in synchrotron technology and optimization of sample preparation have made it possible to image metals in mammalian tissue with submicron resolution. In combination with correlative methods, SXRF can now, for example, determine the amount and oxidation state of trace elements in intra-cellular compartments and identify cell-specific changes in the metal ion content during development or disease progression.", "author" : [ { "dropping-particle" : "", "family" : "Ralle", "given" : "Martina", "non-dropping-particle" : "", "parse-names" : false, "suffix" : "" }, { "dropping-particle" : "", "family" : "Lutsenko", "given" : "Svetlana", "non-dropping-particle" : "", "parse-names" : false, "suffix" : "" } ], "container-title" : "Biometals : an international journal on the role of metal ions in biology, biochemistry, and medicine", "id" : "ITEM-2", "issue" : "1", "issued" : { "date-parts" : [ [ "2009", "2" ] ] }, "page" : "197-205", "publisher" : "SPRINGER, VAN GODEWIJCKSTRAAT 30, 3311 GZ DORDRECHT, NETHERLANDS", "title" : "Quantitative imaging of metals in tissues.", "type" : "article-journal", "volume" : "22" }, "uris" : [ "http://www.mendeley.com/documents/?uuid=1dbed753-d3a3-4df0-ab43-b5ea4f7e9f47" ] } ], "mendeley" : { "previouslyFormattedCitation" : "[13, 14]" }, "properties" : { "noteIndex" : 0 }, "schema" : "https://github.com/citation-style-language/schema/raw/master/csl-citation.json" }</w:instrText>
      </w:r>
      <w:r w:rsidRPr="00D71D88">
        <w:rPr>
          <w:rFonts w:ascii="Times New Roman" w:hAnsi="Times New Roman"/>
          <w:sz w:val="24"/>
          <w:szCs w:val="24"/>
          <w:lang w:val="en-GB" w:eastAsia="de-DE" w:bidi="hi-IN"/>
        </w:rPr>
        <w:fldChar w:fldCharType="separate"/>
      </w:r>
      <w:r w:rsidR="003E3A96" w:rsidRPr="00D71D88">
        <w:rPr>
          <w:rFonts w:ascii="Times New Roman" w:hAnsi="Times New Roman"/>
          <w:noProof/>
          <w:sz w:val="24"/>
          <w:szCs w:val="24"/>
          <w:lang w:val="en-GB" w:eastAsia="de-DE" w:bidi="hi-IN"/>
        </w:rPr>
        <w:t>[13, 14]</w:t>
      </w:r>
      <w:r w:rsidRPr="00D71D88">
        <w:rPr>
          <w:rFonts w:ascii="Times New Roman" w:hAnsi="Times New Roman"/>
          <w:sz w:val="24"/>
          <w:szCs w:val="24"/>
          <w:lang w:val="en-GB" w:eastAsia="de-DE" w:bidi="hi-IN"/>
        </w:rPr>
        <w:fldChar w:fldCharType="end"/>
      </w:r>
      <w:r w:rsidRPr="00D71D88">
        <w:rPr>
          <w:rFonts w:ascii="Times New Roman" w:hAnsi="Times New Roman"/>
          <w:sz w:val="24"/>
          <w:szCs w:val="24"/>
          <w:lang w:val="en-GB" w:eastAsia="de-DE" w:bidi="hi-IN"/>
        </w:rPr>
        <w:t xml:space="preserve">. The Zn signal can be used as a proxy for the general size of the nucleus, as Zn content has been shown to be elevated in the nucleus </w:t>
      </w:r>
      <w:r w:rsidRPr="00D71D88">
        <w:rPr>
          <w:rFonts w:ascii="Times New Roman" w:hAnsi="Times New Roman"/>
          <w:sz w:val="24"/>
          <w:szCs w:val="24"/>
          <w:lang w:val="en-GB" w:eastAsia="de-DE" w:bidi="hi-IN"/>
        </w:rPr>
        <w:fldChar w:fldCharType="begin" w:fldLock="1"/>
      </w:r>
      <w:r w:rsidR="003E3A96" w:rsidRPr="00D71D88">
        <w:rPr>
          <w:rFonts w:ascii="Times New Roman" w:hAnsi="Times New Roman"/>
          <w:sz w:val="24"/>
          <w:szCs w:val="24"/>
          <w:lang w:val="en-GB" w:eastAsia="de-DE" w:bidi="hi-IN"/>
        </w:rPr>
        <w:instrText>ADDIN CSL_CITATION { "citationItems" : [ { "id" : "ITEM-1", "itemData" : { "DOI" : "10.1016/j.jsb.2005.09.013", "ISSN" : "1047-8477", "PMID" : "16473527", "abstract" : "Synchrotron-based X-ray fluorescence microscopy (microXRF) is a powerful tool to study the two-dimensional distribution of a wide range of biologically relevant elements in tissues and cells. By growing mouse fibroblast cells directly on formvar-carbon coated electron microscopy grids, microXRF elemental maps with well-defined subcellular resolution were obtained. In order to colocalize the elemental distribution with the location of specific cellular structures and organelles, we explored the application of a commercially available secondary antibody conjugated to FluoroNanogold, a dual-label that combines a regular organic fluorophore with a 1.4 nm Au-cluster as xenobiotic label for microXRF imaging. Adherent mouse fibroblast cells were grown on silicon nitride windows serving as biocompatible XRF support substrate, and labeled with FluoroNanogold in combination with primary antibodies specific for mitochondria or the Golgi apparatus, respectively. Raster scanning of the in-air dried cells with an incident X-ray energy of 11.95 keV, sufficient to ensure excitation of the Au Lalpha line, provided two-dimensional maps with submicron resolution for Au as well as for most biologically relevant elements. MicroXRF proved to be sufficiently sensitive to image the location and structural details of the Au-labeled organelles, which correlated well with the subcellular distribution visualized by means of optical fluorescence microscopy.", "author" : [ { "dropping-particle" : "", "family" : "McRae", "given" : "Reagan", "non-dropping-particle" : "", "parse-names" : false, "suffix" : "" }, { "dropping-particle" : "", "family" : "Lai", "given" : "Barry", "non-dropping-particle" : "", "parse-names" : false, "suffix" : "" }, { "dropping-particle" : "", "family" : "Vogt", "given" : "Stefan", "non-dropping-particle" : "", "parse-names" : false, "suffix" : "" }, { "dropping-particle" : "", "family" : "Fahrni", "given" : "Christoph J", "non-dropping-particle" : "", "parse-names" : false, "suffix" : "" } ], "container-title" : "Journal of structural biology", "id" : "ITEM-1", "issue" : "1", "issued" : { "date-parts" : [ [ "2006", "7" ] ] }, "page" : "22-9", "publisher" : "ACADEMIC PRESS INC ELSEVIER SCIENCE, 525 B ST, STE 1900, SAN DIEGO, CA 92101-4495 USA", "title" : "Correlative microXRF and optical immunofluorescence microscopy of adherent cells labeled with ultrasmall gold particles.", "type" : "article-journal", "volume" : "155" }, "uris" : [ "http://www.mendeley.com/documents/?uuid=91a4828d-571e-442d-add6-6e8541476df4" ] }, { "id" : "ITEM-2", "itemData" : { "DOI" : "10.1021/ac035037r", "ISSN" : "0003-2700", "PMID" : "14719876", "abstract" : "Trace element imaging and speciation analysis in cells and subcellular compartments is a challenging and important objective for modern analytical chemistry in order to better understand the biological chemistry of essential and toxic elements. A focusing system based on Kirkpatrick-Baez design optics mounted on a synchrotron radiation scanning X-ray microscope has been developed at the ESRF and was used for trace element quantitative imaging in single cells. The focused microbeam (1.3 x 3.2 microm(2)) obtained in that way led to a photon flux as bright as 1.5 x 10(11) photons/s at 14 keV. The absolute detection limit of this analytical probe, as measured on standard reference materials, was shown to be 2 x 10(-)(17) g for most elements. Chemical maps of human carcinoma and of Saccharomyces cerevisiae cells were obtained for minor (P, S, Cl, K) and trace elements (Fe, Zn). Within human cancer cells, chemical elements are homogeneously distributed at the current spatial resolution and correlated with the sample's mass, except Fe, which shows micrometer-sized structures around the cell nucleus, and Zn, which slightly concentrates in the nucleus, while chemical maps of S. cerevisiae show homogeneous pattern distribution at the cellular level.", "author" : [ { "dropping-particle" : "", "family" : "Ortega", "given" : "Richard", "non-dropping-particle" : "", "parse-names" : false, "suffix" : "" }, { "dropping-particle" : "", "family" : "Bohic", "given" : "Sylvain", "non-dropping-particle" : "", "parse-names" : false, "suffix" : "" }, { "dropping-particle" : "", "family" : "Tucoulou", "given" : "R\u00e9mi", "non-dropping-particle" : "", "parse-names" : false, "suffix" : "" }, { "dropping-particle" : "", "family" : "Somogyi", "given" : "Andrea", "non-dropping-particle" : "", "parse-names" : false, "suffix" : "" }, { "dropping-particle" : "", "family" : "Dev\u00e8s", "given" : "Guillaume", "non-dropping-particle" : "", "parse-names" : false, "suffix" : "" } ], "container-title" : "Analytical chemistry", "id" : "ITEM-2", "issue" : "2", "issued" : { "date-parts" : [ [ "2004", "1", "15" ] ] }, "page" : "309-14", "publisher" : "AMER CHEMICAL SOC, 1155 16TH ST, NW, WASHINGTON, DC 20036 USA", "title" : "Microchemical element imaging of yeast and human cells using synchrotron X-ray microprobe with Kirkpatrick-Baez optics.", "type" : "article-journal", "volume" : "76" }, "uris" : [ "http://www.mendeley.com/documents/?uuid=54831c50-0f61-46ce-b2ed-587c4e52368b" ] } ], "mendeley" : { "previouslyFormattedCitation" : "[15, 16]" }, "properties" : { "noteIndex" : 0 }, "schema" : "https://github.com/citation-style-language/schema/raw/master/csl-citation.json" }</w:instrText>
      </w:r>
      <w:r w:rsidRPr="00D71D88">
        <w:rPr>
          <w:rFonts w:ascii="Times New Roman" w:hAnsi="Times New Roman"/>
          <w:sz w:val="24"/>
          <w:szCs w:val="24"/>
          <w:lang w:val="en-GB" w:eastAsia="de-DE" w:bidi="hi-IN"/>
        </w:rPr>
        <w:fldChar w:fldCharType="separate"/>
      </w:r>
      <w:r w:rsidR="003E3A96" w:rsidRPr="00D71D88">
        <w:rPr>
          <w:rFonts w:ascii="Times New Roman" w:hAnsi="Times New Roman"/>
          <w:noProof/>
          <w:sz w:val="24"/>
          <w:szCs w:val="24"/>
          <w:lang w:val="en-GB" w:eastAsia="de-DE" w:bidi="hi-IN"/>
        </w:rPr>
        <w:t>[15, 16]</w:t>
      </w:r>
      <w:r w:rsidRPr="00D71D88">
        <w:rPr>
          <w:rFonts w:ascii="Times New Roman" w:hAnsi="Times New Roman"/>
          <w:sz w:val="24"/>
          <w:szCs w:val="24"/>
          <w:lang w:val="en-GB" w:eastAsia="de-DE" w:bidi="hi-IN"/>
        </w:rPr>
        <w:fldChar w:fldCharType="end"/>
      </w:r>
      <w:r w:rsidRPr="00D71D88">
        <w:rPr>
          <w:rFonts w:ascii="Times New Roman" w:hAnsi="Times New Roman"/>
          <w:sz w:val="24"/>
          <w:szCs w:val="24"/>
          <w:lang w:val="en-GB" w:eastAsia="de-DE" w:bidi="hi-IN"/>
        </w:rPr>
        <w:t xml:space="preserve">. </w:t>
      </w:r>
      <w:r w:rsidRPr="00D71D88">
        <w:rPr>
          <w:rFonts w:ascii="Times New Roman" w:hAnsi="Times New Roman"/>
          <w:sz w:val="24"/>
          <w:szCs w:val="24"/>
        </w:rPr>
        <w:t>In native neuronal cells, which were not overexpressing αSyn, Mn was distributed in a non</w:t>
      </w:r>
      <w:r w:rsidR="002B5AA6" w:rsidRPr="00D71D88">
        <w:rPr>
          <w:rFonts w:ascii="Times New Roman" w:hAnsi="Times New Roman"/>
          <w:sz w:val="24"/>
          <w:szCs w:val="24"/>
        </w:rPr>
        <w:t>-</w:t>
      </w:r>
      <w:r w:rsidRPr="00D71D88">
        <w:rPr>
          <w:rFonts w:ascii="Times New Roman" w:hAnsi="Times New Roman"/>
          <w:sz w:val="24"/>
          <w:szCs w:val="24"/>
        </w:rPr>
        <w:t xml:space="preserve">homogeneous, patchy pattern, concentrating in specific areas, projecting mostly to the perinuclear space and less to the nucleus itself (Fig. 4, Mn). The maximum concentration of Mn </w:t>
      </w:r>
      <w:r w:rsidRPr="00D71D88">
        <w:rPr>
          <w:rFonts w:ascii="Times New Roman" w:hAnsi="Times New Roman"/>
          <w:sz w:val="24"/>
          <w:szCs w:val="24"/>
        </w:rPr>
        <w:lastRenderedPageBreak/>
        <w:t>in these spots, not larger than ~1 µm in diameter, reached 215 ng/cm</w:t>
      </w:r>
      <w:r w:rsidRPr="00D71D88">
        <w:rPr>
          <w:rFonts w:ascii="Times New Roman" w:hAnsi="Times New Roman"/>
          <w:sz w:val="24"/>
          <w:szCs w:val="24"/>
          <w:vertAlign w:val="superscript"/>
        </w:rPr>
        <w:t>2</w:t>
      </w:r>
      <w:r w:rsidRPr="00D71D88">
        <w:rPr>
          <w:rFonts w:ascii="Times New Roman" w:hAnsi="Times New Roman"/>
          <w:sz w:val="24"/>
          <w:szCs w:val="24"/>
        </w:rPr>
        <w:t xml:space="preserve">. In some areas Ca distribution was overlapping with Mn. </w:t>
      </w:r>
      <w:r w:rsidRPr="00D71D88">
        <w:rPr>
          <w:rFonts w:ascii="Times New Roman" w:hAnsi="Times New Roman"/>
          <w:sz w:val="24"/>
          <w:szCs w:val="24"/>
          <w:lang w:val="en-GB" w:eastAsia="de-DE" w:bidi="hi-IN"/>
        </w:rPr>
        <w:t xml:space="preserve">Interestingly, Fe was observed in the same perinuclear cytoplasmic compartment as Mn and there was some co-localization of both metals (marked with white arrows in </w:t>
      </w:r>
      <w:r w:rsidRPr="00D71D88">
        <w:rPr>
          <w:rFonts w:ascii="Times New Roman" w:hAnsi="Times New Roman"/>
          <w:sz w:val="24"/>
          <w:szCs w:val="24"/>
        </w:rPr>
        <w:t>Fig. 4).</w:t>
      </w:r>
    </w:p>
    <w:p w14:paraId="5BA39519" w14:textId="45FE848D" w:rsidR="003C73D7" w:rsidRPr="00D71D88" w:rsidRDefault="003C73D7" w:rsidP="000B238F">
      <w:pPr>
        <w:spacing w:line="360" w:lineRule="auto"/>
        <w:ind w:firstLine="720"/>
        <w:jc w:val="both"/>
        <w:rPr>
          <w:rFonts w:ascii="Times New Roman" w:hAnsi="Times New Roman"/>
          <w:sz w:val="24"/>
          <w:szCs w:val="24"/>
          <w:lang w:val="en-GB" w:eastAsia="de-DE" w:bidi="hi-IN"/>
        </w:rPr>
      </w:pPr>
      <w:r w:rsidRPr="00D71D88">
        <w:rPr>
          <w:rFonts w:ascii="Times New Roman" w:hAnsi="Times New Roman"/>
          <w:sz w:val="24"/>
          <w:szCs w:val="24"/>
        </w:rPr>
        <w:t xml:space="preserve">In contrast, primary neurons overexpressing αSyn showed a more compartmentalized distribution of Mn that was clearly localized around the signal for Zn, which is indicative of the nucleus </w:t>
      </w:r>
      <w:r w:rsidRPr="00D71D88">
        <w:rPr>
          <w:rFonts w:ascii="Times New Roman" w:hAnsi="Times New Roman"/>
          <w:sz w:val="24"/>
          <w:szCs w:val="24"/>
          <w:lang w:val="en-GB" w:eastAsia="de-DE" w:bidi="hi-IN"/>
        </w:rPr>
        <w:t xml:space="preserve">(Fig. 5). Similarly to control neurons, a prominent co-localization of Mn with Fe was observed (Fig. 5). Next to cell somata, Mn was also localized in neurites (Fig. 6). Also here, the distribution of Mn was not homogeneous, but followed a patchy structure projecting on to the neurites (Fig. 6). </w:t>
      </w:r>
      <w:r w:rsidR="00F46924" w:rsidRPr="00D71D88">
        <w:rPr>
          <w:rFonts w:ascii="Times New Roman" w:hAnsi="Times New Roman"/>
          <w:sz w:val="24"/>
          <w:szCs w:val="24"/>
          <w:lang w:val="en-GB" w:eastAsia="de-DE" w:bidi="hi-IN"/>
        </w:rPr>
        <w:t>Because o</w:t>
      </w:r>
      <w:r w:rsidR="008C6769" w:rsidRPr="00D71D88">
        <w:rPr>
          <w:rFonts w:ascii="Times New Roman" w:hAnsi="Times New Roman"/>
          <w:sz w:val="24"/>
          <w:szCs w:val="24"/>
          <w:lang w:val="en-GB" w:eastAsia="de-DE" w:bidi="hi-IN"/>
        </w:rPr>
        <w:t xml:space="preserve">verexpression of </w:t>
      </w:r>
      <w:r w:rsidR="008C6769" w:rsidRPr="00D71D88">
        <w:rPr>
          <w:rFonts w:ascii="Times New Roman" w:hAnsi="Times New Roman"/>
          <w:sz w:val="24"/>
          <w:szCs w:val="24"/>
        </w:rPr>
        <w:t>αSyn did not result in formation of aggregates in our experimental paradigm (supplementary Fig</w:t>
      </w:r>
      <w:r w:rsidR="002B5AA6" w:rsidRPr="00D71D88">
        <w:rPr>
          <w:rFonts w:ascii="Times New Roman" w:hAnsi="Times New Roman"/>
          <w:sz w:val="24"/>
          <w:szCs w:val="24"/>
        </w:rPr>
        <w:t>s</w:t>
      </w:r>
      <w:r w:rsidR="008C6769" w:rsidRPr="00D71D88">
        <w:rPr>
          <w:rFonts w:ascii="Times New Roman" w:hAnsi="Times New Roman"/>
          <w:sz w:val="24"/>
          <w:szCs w:val="24"/>
        </w:rPr>
        <w:t xml:space="preserve">. </w:t>
      </w:r>
      <w:r w:rsidR="002B5AA6" w:rsidRPr="00D71D88">
        <w:rPr>
          <w:rFonts w:ascii="Times New Roman" w:hAnsi="Times New Roman"/>
          <w:sz w:val="24"/>
          <w:szCs w:val="24"/>
        </w:rPr>
        <w:t xml:space="preserve">S1 and </w:t>
      </w:r>
      <w:r w:rsidR="00F46924" w:rsidRPr="00D71D88">
        <w:rPr>
          <w:rFonts w:ascii="Times New Roman" w:hAnsi="Times New Roman"/>
          <w:sz w:val="24"/>
          <w:szCs w:val="24"/>
        </w:rPr>
        <w:t xml:space="preserve">S3), the </w:t>
      </w:r>
      <w:r w:rsidR="008C6769" w:rsidRPr="00D71D88">
        <w:rPr>
          <w:rFonts w:ascii="Times New Roman" w:hAnsi="Times New Roman"/>
          <w:sz w:val="24"/>
          <w:szCs w:val="24"/>
        </w:rPr>
        <w:t xml:space="preserve">intracellular Mn accumulations cannot be attributed to binding of Mn to αSyn aggregates. </w:t>
      </w:r>
      <w:r w:rsidR="00F46924" w:rsidRPr="00D71D88">
        <w:rPr>
          <w:rFonts w:ascii="Times New Roman" w:hAnsi="Times New Roman"/>
          <w:sz w:val="24"/>
          <w:szCs w:val="24"/>
          <w:lang w:val="en-GB" w:eastAsia="de-DE" w:bidi="hi-IN"/>
        </w:rPr>
        <w:t>Therefore,</w:t>
      </w:r>
      <w:r w:rsidR="008034F0" w:rsidRPr="00D71D88">
        <w:rPr>
          <w:rFonts w:ascii="Times New Roman" w:hAnsi="Times New Roman"/>
          <w:sz w:val="24"/>
          <w:szCs w:val="24"/>
          <w:lang w:val="en-GB" w:eastAsia="de-DE" w:bidi="hi-IN"/>
        </w:rPr>
        <w:t xml:space="preserve"> we</w:t>
      </w:r>
      <w:r w:rsidRPr="00D71D88">
        <w:rPr>
          <w:rFonts w:ascii="Times New Roman" w:hAnsi="Times New Roman"/>
          <w:sz w:val="24"/>
          <w:szCs w:val="24"/>
          <w:lang w:val="en-GB" w:eastAsia="de-DE" w:bidi="hi-IN"/>
        </w:rPr>
        <w:t xml:space="preserve"> compared the distribution of Mn visualized by X-ray fluorescence with the expression of two important Mn-related proteins, MnSOD and DMT1. While DMT1 is the main Mn importer in the cell and is located in the membrane and in organelles, MnSOD is a major detoxifying enzyme for reactive oxygen species and is located mainly in the mitochondria </w:t>
      </w:r>
      <w:r w:rsidR="001A7AA9" w:rsidRPr="00D71D88">
        <w:rPr>
          <w:rFonts w:ascii="Times New Roman" w:hAnsi="Times New Roman"/>
          <w:sz w:val="24"/>
          <w:szCs w:val="24"/>
          <w:lang w:val="en-GB" w:eastAsia="de-DE" w:bidi="hi-IN"/>
        </w:rPr>
        <w:fldChar w:fldCharType="begin" w:fldLock="1"/>
      </w:r>
      <w:r w:rsidR="003E3A96" w:rsidRPr="00D71D88">
        <w:rPr>
          <w:rFonts w:ascii="Times New Roman" w:hAnsi="Times New Roman"/>
          <w:sz w:val="24"/>
          <w:szCs w:val="24"/>
          <w:lang w:val="en-GB" w:eastAsia="de-DE" w:bidi="hi-IN"/>
        </w:rPr>
        <w:instrText>ADDIN CSL_CITATION { "citationItems" : [ { "id" : "ITEM-1", "itemData" : { "DOI" : "10.1007/978-94-007-5561-1_6", "ISSN" : "1559-0836", "PMID" : "23595673", "abstract" : "The review addresses issues pertinent to Mn accumulation and its mechanisms of transport, its neurotoxicity and mechanisms of neurodegeneration. The role of mitochondria and glia in this process is emphasized. We also discuss gene x environment interactions, focusing on the interplay between genes linked to Parkinson's disease (PD) and sensitivity to Mn.", "author" : [ { "dropping-particle" : "", "family" : "Roth", "given" : "Jerome", "non-dropping-particle" : "", "parse-names" : false, "suffix" : "" }, { "dropping-particle" : "", "family" : "Ponzoni", "given" : "Silvia", "non-dropping-particle" : "", "parse-names" : false, "suffix" : "" }, { "dropping-particle" : "", "family" : "Aschner", "given" : "Michael", "non-dropping-particle" : "", "parse-names" : false, "suffix" : "" } ], "container-title" : "Metal ions in life sciences", "id" : "ITEM-1", "issued" : { "date-parts" : [ [ "2013", "1" ] ] }, "page" : "169-201", "title" : "Manganese homeostasis and transport.", "type" : "article-journal", "volume" : "12" }, "uris" : [ "http://www.mendeley.com/documents/?uuid=a62fa639-7d32-410d-b9ae-54612e1c6935" ] } ], "mendeley" : { "previouslyFormattedCitation" : "[17]" }, "properties" : { "noteIndex" : 0 }, "schema" : "https://github.com/citation-style-language/schema/raw/master/csl-citation.json" }</w:instrText>
      </w:r>
      <w:r w:rsidR="001A7AA9" w:rsidRPr="00D71D88">
        <w:rPr>
          <w:rFonts w:ascii="Times New Roman" w:hAnsi="Times New Roman"/>
          <w:sz w:val="24"/>
          <w:szCs w:val="24"/>
          <w:lang w:val="en-GB" w:eastAsia="de-DE" w:bidi="hi-IN"/>
        </w:rPr>
        <w:fldChar w:fldCharType="separate"/>
      </w:r>
      <w:r w:rsidR="00EA7311" w:rsidRPr="00D71D88">
        <w:rPr>
          <w:rFonts w:ascii="Times New Roman" w:hAnsi="Times New Roman"/>
          <w:noProof/>
          <w:sz w:val="24"/>
          <w:szCs w:val="24"/>
          <w:lang w:val="en-GB" w:eastAsia="de-DE" w:bidi="hi-IN"/>
        </w:rPr>
        <w:t>[17]</w:t>
      </w:r>
      <w:r w:rsidR="001A7AA9" w:rsidRPr="00D71D88">
        <w:rPr>
          <w:rFonts w:ascii="Times New Roman" w:hAnsi="Times New Roman"/>
          <w:sz w:val="24"/>
          <w:szCs w:val="24"/>
          <w:lang w:val="en-GB" w:eastAsia="de-DE" w:bidi="hi-IN"/>
        </w:rPr>
        <w:fldChar w:fldCharType="end"/>
      </w:r>
      <w:r w:rsidR="00EC130F" w:rsidRPr="00D71D88">
        <w:rPr>
          <w:rFonts w:ascii="Times New Roman" w:hAnsi="Times New Roman"/>
          <w:sz w:val="24"/>
          <w:szCs w:val="24"/>
          <w:lang w:val="en-GB" w:eastAsia="de-DE" w:bidi="hi-IN"/>
        </w:rPr>
        <w:t>. Immunocytochemistry for DMT</w:t>
      </w:r>
      <w:r w:rsidRPr="00D71D88">
        <w:rPr>
          <w:rFonts w:ascii="Times New Roman" w:hAnsi="Times New Roman"/>
          <w:sz w:val="24"/>
          <w:szCs w:val="24"/>
          <w:lang w:val="en-GB" w:eastAsia="de-DE" w:bidi="hi-IN"/>
        </w:rPr>
        <w:t xml:space="preserve">1 revealed a rather punctate to patchy distribution in the somatic cytoplasm and also in the neurites, possibly representing organelles (Fig. 7A-C). In contrast, MnSOD presented both in the cytoplasm and in neurites rather as elongated, filament-like structure co-localizing with the mitochondrial marker TOM20 (Fig. 7D-F). Both of these patterns resembled the distribution of Mn observed by high-resolution imaging: the punctate/patchy structure of DMT1 strongly resembled the distribution of Mn observed by X-ray flurescence in Fig. 4 and 5, while the more filament-like localization of Mn in Fig. 6 resembled that of TOM20 and MnSOD. </w:t>
      </w:r>
    </w:p>
    <w:p w14:paraId="2D9BCE61" w14:textId="77777777" w:rsidR="003C73D7" w:rsidRPr="00D71D88" w:rsidRDefault="003C73D7" w:rsidP="004C30A4">
      <w:pPr>
        <w:spacing w:line="360" w:lineRule="auto"/>
        <w:jc w:val="both"/>
        <w:rPr>
          <w:rFonts w:ascii="Times New Roman" w:hAnsi="Times New Roman"/>
          <w:b/>
          <w:sz w:val="24"/>
          <w:szCs w:val="24"/>
        </w:rPr>
      </w:pPr>
    </w:p>
    <w:p w14:paraId="4D49211A" w14:textId="77777777" w:rsidR="003C73D7" w:rsidRPr="00D71D88" w:rsidRDefault="003C73D7" w:rsidP="004C30A4">
      <w:pPr>
        <w:spacing w:line="360" w:lineRule="auto"/>
        <w:jc w:val="both"/>
        <w:rPr>
          <w:rFonts w:ascii="Arial" w:hAnsi="Arial" w:cs="Arial"/>
          <w:b/>
        </w:rPr>
      </w:pPr>
      <w:r w:rsidRPr="00D71D88">
        <w:rPr>
          <w:rFonts w:ascii="Arial" w:hAnsi="Arial" w:cs="Arial"/>
          <w:b/>
        </w:rPr>
        <w:t>XANES</w:t>
      </w:r>
    </w:p>
    <w:p w14:paraId="0987AF53" w14:textId="7F120349" w:rsidR="003C73D7" w:rsidRPr="00D71D88" w:rsidRDefault="003C73D7" w:rsidP="004953F2">
      <w:pPr>
        <w:spacing w:line="360" w:lineRule="auto"/>
        <w:ind w:firstLine="720"/>
        <w:jc w:val="both"/>
        <w:rPr>
          <w:rFonts w:ascii="Times New Roman" w:hAnsi="Times New Roman"/>
          <w:sz w:val="24"/>
          <w:szCs w:val="24"/>
        </w:rPr>
      </w:pPr>
      <w:r w:rsidRPr="00D71D88">
        <w:rPr>
          <w:rFonts w:ascii="Times New Roman" w:hAnsi="Times New Roman"/>
          <w:sz w:val="24"/>
          <w:szCs w:val="24"/>
        </w:rPr>
        <w:t>After cellular Mn mapping, a spectr</w:t>
      </w:r>
      <w:r w:rsidR="004B3716" w:rsidRPr="00D71D88">
        <w:rPr>
          <w:rFonts w:ascii="Times New Roman" w:hAnsi="Times New Roman"/>
          <w:sz w:val="24"/>
          <w:szCs w:val="24"/>
        </w:rPr>
        <w:t>oscopic</w:t>
      </w:r>
      <w:r w:rsidRPr="00D71D88">
        <w:rPr>
          <w:rFonts w:ascii="Times New Roman" w:hAnsi="Times New Roman"/>
          <w:sz w:val="24"/>
          <w:szCs w:val="24"/>
        </w:rPr>
        <w:t xml:space="preserve"> analysis (XANES) was performed to determine the oxidative state of Mn within sub-cellular compartments. </w:t>
      </w:r>
      <w:r w:rsidR="004B3716" w:rsidRPr="00D71D88">
        <w:rPr>
          <w:rFonts w:ascii="Times New Roman" w:hAnsi="Times New Roman"/>
          <w:sz w:val="24"/>
          <w:szCs w:val="24"/>
        </w:rPr>
        <w:t>Near edge absorption</w:t>
      </w:r>
      <w:r w:rsidRPr="00D71D88">
        <w:rPr>
          <w:rFonts w:ascii="Times New Roman" w:hAnsi="Times New Roman"/>
          <w:sz w:val="24"/>
          <w:szCs w:val="24"/>
        </w:rPr>
        <w:t xml:space="preserve"> spectra of three control cells and of two cells overexpressing αSyn were recorded in the areas with the highest Mn concentrations (Fig. 8A). In addition, the reference XANES spectra of Mn</w:t>
      </w:r>
      <w:r w:rsidRPr="00D71D88">
        <w:rPr>
          <w:rFonts w:ascii="Times New Roman" w:hAnsi="Times New Roman"/>
          <w:sz w:val="24"/>
          <w:szCs w:val="24"/>
          <w:vertAlign w:val="superscript"/>
        </w:rPr>
        <w:t>2+</w:t>
      </w:r>
      <w:r w:rsidRPr="00D71D88">
        <w:rPr>
          <w:rFonts w:ascii="Times New Roman" w:hAnsi="Times New Roman"/>
          <w:sz w:val="24"/>
          <w:szCs w:val="24"/>
        </w:rPr>
        <w:t xml:space="preserve"> </w:t>
      </w:r>
      <w:r w:rsidRPr="00D71D88">
        <w:rPr>
          <w:rFonts w:ascii="Times New Roman" w:hAnsi="Times New Roman"/>
          <w:sz w:val="24"/>
          <w:szCs w:val="24"/>
        </w:rPr>
        <w:lastRenderedPageBreak/>
        <w:t>and Mn</w:t>
      </w:r>
      <w:r w:rsidRPr="00D71D88">
        <w:rPr>
          <w:rFonts w:ascii="Times New Roman" w:hAnsi="Times New Roman"/>
          <w:sz w:val="24"/>
          <w:szCs w:val="24"/>
          <w:vertAlign w:val="superscript"/>
        </w:rPr>
        <w:t>4+</w:t>
      </w:r>
      <w:r w:rsidRPr="00D71D88">
        <w:rPr>
          <w:rFonts w:ascii="Times New Roman" w:hAnsi="Times New Roman"/>
          <w:sz w:val="24"/>
          <w:szCs w:val="24"/>
        </w:rPr>
        <w:t xml:space="preserve"> were collected. The analysis of the spectral shape and the edge positions of the XANES spectra revealed that cellular accumulations of Mn correspond to Mn</w:t>
      </w:r>
      <w:r w:rsidRPr="00D71D88">
        <w:rPr>
          <w:rFonts w:ascii="Times New Roman" w:hAnsi="Times New Roman"/>
          <w:sz w:val="24"/>
          <w:szCs w:val="24"/>
          <w:vertAlign w:val="superscript"/>
        </w:rPr>
        <w:t>2+</w:t>
      </w:r>
      <w:r w:rsidRPr="00D71D88">
        <w:rPr>
          <w:rFonts w:ascii="Times New Roman" w:hAnsi="Times New Roman"/>
          <w:sz w:val="24"/>
          <w:szCs w:val="24"/>
        </w:rPr>
        <w:t xml:space="preserve"> (Fig. 8B) and that was the case in control cells as well as in cells overexpressing αSyn. Finally, extended X-ray beam exposure (three times 7 minutes per point during acquisition of XANES spectra) was performed in order to exclude sample degradation or radiation damages</w:t>
      </w:r>
      <w:r w:rsidR="005E67C7" w:rsidRPr="00D71D88">
        <w:rPr>
          <w:rFonts w:ascii="Times New Roman" w:hAnsi="Times New Roman"/>
          <w:sz w:val="24"/>
          <w:szCs w:val="24"/>
        </w:rPr>
        <w:t xml:space="preserve"> under cryogenic conditions</w:t>
      </w:r>
      <w:r w:rsidRPr="00D71D88">
        <w:rPr>
          <w:rFonts w:ascii="Times New Roman" w:hAnsi="Times New Roman"/>
          <w:sz w:val="24"/>
          <w:szCs w:val="24"/>
        </w:rPr>
        <w:t>. This analysis showed no changes of Mn spectra during prolonged X-ray exposition (</w:t>
      </w:r>
      <w:r w:rsidR="00BB70D8" w:rsidRPr="00D71D88">
        <w:rPr>
          <w:rFonts w:ascii="Times New Roman" w:hAnsi="Times New Roman"/>
          <w:sz w:val="24"/>
          <w:szCs w:val="24"/>
        </w:rPr>
        <w:t xml:space="preserve">data </w:t>
      </w:r>
      <w:r w:rsidRPr="00D71D88">
        <w:rPr>
          <w:rFonts w:ascii="Times New Roman" w:hAnsi="Times New Roman"/>
          <w:sz w:val="24"/>
          <w:szCs w:val="24"/>
        </w:rPr>
        <w:t>not shown).</w:t>
      </w:r>
    </w:p>
    <w:p w14:paraId="355DC491" w14:textId="77777777" w:rsidR="003C73D7" w:rsidRPr="00D71D88" w:rsidRDefault="003C73D7" w:rsidP="000D1D73">
      <w:pPr>
        <w:spacing w:line="360" w:lineRule="auto"/>
        <w:jc w:val="both"/>
        <w:rPr>
          <w:rFonts w:ascii="Times New Roman" w:hAnsi="Times New Roman"/>
          <w:sz w:val="24"/>
          <w:szCs w:val="24"/>
          <w:highlight w:val="magenta"/>
        </w:rPr>
      </w:pPr>
    </w:p>
    <w:p w14:paraId="694AB81A" w14:textId="04AD4829" w:rsidR="006250CF" w:rsidRPr="00D71D88" w:rsidRDefault="007631BC" w:rsidP="000D1D73">
      <w:pPr>
        <w:spacing w:line="360" w:lineRule="auto"/>
        <w:jc w:val="both"/>
        <w:rPr>
          <w:rFonts w:ascii="Arial" w:hAnsi="Arial" w:cs="Arial"/>
          <w:b/>
        </w:rPr>
      </w:pPr>
      <w:r w:rsidRPr="00D71D88">
        <w:rPr>
          <w:rFonts w:ascii="Arial" w:hAnsi="Arial" w:cs="Arial"/>
          <w:b/>
        </w:rPr>
        <w:t xml:space="preserve">Analysis of Mn transport proteins and </w:t>
      </w:r>
      <w:r w:rsidR="00B3061B" w:rsidRPr="00D71D88">
        <w:rPr>
          <w:rFonts w:ascii="Arial" w:hAnsi="Arial" w:cs="Arial"/>
          <w:b/>
        </w:rPr>
        <w:t>Mn release</w:t>
      </w:r>
    </w:p>
    <w:p w14:paraId="166B0295" w14:textId="69AF6A29" w:rsidR="00707286" w:rsidRPr="00D71D88" w:rsidRDefault="00B3061B" w:rsidP="000D1D73">
      <w:pPr>
        <w:spacing w:line="360" w:lineRule="auto"/>
        <w:jc w:val="both"/>
        <w:rPr>
          <w:rFonts w:ascii="Times New Roman" w:hAnsi="Times New Roman"/>
          <w:sz w:val="24"/>
          <w:szCs w:val="24"/>
        </w:rPr>
      </w:pPr>
      <w:r w:rsidRPr="00D71D88">
        <w:rPr>
          <w:rFonts w:ascii="Times New Roman" w:hAnsi="Times New Roman"/>
          <w:sz w:val="24"/>
          <w:szCs w:val="24"/>
        </w:rPr>
        <w:tab/>
        <w:t xml:space="preserve">In order to further explore the mechanisms of increased Mn content in </w:t>
      </w:r>
      <w:r w:rsidR="00EB66FF" w:rsidRPr="00D71D88">
        <w:rPr>
          <w:rFonts w:ascii="Times New Roman" w:hAnsi="Times New Roman"/>
          <w:sz w:val="24"/>
          <w:szCs w:val="24"/>
        </w:rPr>
        <w:t xml:space="preserve">αSyn overexpressing </w:t>
      </w:r>
      <w:r w:rsidR="002F5C79" w:rsidRPr="00D71D88">
        <w:rPr>
          <w:rFonts w:ascii="Times New Roman" w:hAnsi="Times New Roman"/>
          <w:sz w:val="24"/>
          <w:szCs w:val="24"/>
        </w:rPr>
        <w:t>PMNs</w:t>
      </w:r>
      <w:r w:rsidR="00EB66FF" w:rsidRPr="00D71D88">
        <w:rPr>
          <w:rFonts w:ascii="Times New Roman" w:hAnsi="Times New Roman"/>
          <w:sz w:val="24"/>
          <w:szCs w:val="24"/>
        </w:rPr>
        <w:t xml:space="preserve">, we analyzed the expression of proteins involved in Mn import (VGCC and DMT1) and export (Fpn1). </w:t>
      </w:r>
      <w:r w:rsidR="00892DBC" w:rsidRPr="00D71D88">
        <w:rPr>
          <w:rFonts w:ascii="Times New Roman" w:hAnsi="Times New Roman"/>
          <w:sz w:val="24"/>
          <w:szCs w:val="24"/>
        </w:rPr>
        <w:t xml:space="preserve">Western blot analyses showed no significant regulation of </w:t>
      </w:r>
      <w:r w:rsidR="00E11251" w:rsidRPr="00D71D88">
        <w:rPr>
          <w:rFonts w:ascii="Times New Roman" w:hAnsi="Times New Roman"/>
          <w:sz w:val="24"/>
          <w:szCs w:val="24"/>
        </w:rPr>
        <w:t xml:space="preserve">VGCC and DMT1, while </w:t>
      </w:r>
      <w:r w:rsidR="000B6A8E" w:rsidRPr="00D71D88">
        <w:rPr>
          <w:rFonts w:ascii="Times New Roman" w:hAnsi="Times New Roman"/>
          <w:sz w:val="24"/>
          <w:szCs w:val="24"/>
        </w:rPr>
        <w:t xml:space="preserve">there was a </w:t>
      </w:r>
      <w:r w:rsidR="002F5C79" w:rsidRPr="00D71D88">
        <w:rPr>
          <w:rFonts w:ascii="Times New Roman" w:hAnsi="Times New Roman"/>
          <w:sz w:val="24"/>
          <w:szCs w:val="24"/>
        </w:rPr>
        <w:t>distinct</w:t>
      </w:r>
      <w:r w:rsidR="000B6A8E" w:rsidRPr="00D71D88">
        <w:rPr>
          <w:rFonts w:ascii="Times New Roman" w:hAnsi="Times New Roman"/>
          <w:sz w:val="24"/>
          <w:szCs w:val="24"/>
        </w:rPr>
        <w:t xml:space="preserve"> trend to decreased Fpn1 levels </w:t>
      </w:r>
      <w:r w:rsidR="00892DBC" w:rsidRPr="00D71D88">
        <w:rPr>
          <w:rFonts w:ascii="Times New Roman" w:hAnsi="Times New Roman"/>
          <w:sz w:val="24"/>
          <w:szCs w:val="24"/>
        </w:rPr>
        <w:t>at 3 days post-transfection</w:t>
      </w:r>
      <w:r w:rsidR="000B6A8E" w:rsidRPr="00D71D88">
        <w:rPr>
          <w:rFonts w:ascii="Times New Roman" w:hAnsi="Times New Roman"/>
          <w:sz w:val="24"/>
          <w:szCs w:val="24"/>
        </w:rPr>
        <w:t>.</w:t>
      </w:r>
      <w:r w:rsidR="00892DBC" w:rsidRPr="00D71D88">
        <w:rPr>
          <w:rFonts w:ascii="Times New Roman" w:hAnsi="Times New Roman"/>
          <w:sz w:val="24"/>
          <w:szCs w:val="24"/>
        </w:rPr>
        <w:t xml:space="preserve"> </w:t>
      </w:r>
      <w:r w:rsidR="000B6A8E" w:rsidRPr="00D71D88">
        <w:rPr>
          <w:rFonts w:ascii="Times New Roman" w:hAnsi="Times New Roman"/>
          <w:sz w:val="24"/>
          <w:szCs w:val="24"/>
        </w:rPr>
        <w:t>T</w:t>
      </w:r>
      <w:r w:rsidR="0068488E" w:rsidRPr="00D71D88">
        <w:rPr>
          <w:rFonts w:ascii="Times New Roman" w:hAnsi="Times New Roman"/>
          <w:sz w:val="24"/>
          <w:szCs w:val="24"/>
        </w:rPr>
        <w:t>hus</w:t>
      </w:r>
      <w:r w:rsidR="002F5C79" w:rsidRPr="00D71D88">
        <w:rPr>
          <w:rFonts w:ascii="Times New Roman" w:hAnsi="Times New Roman"/>
          <w:sz w:val="24"/>
          <w:szCs w:val="24"/>
        </w:rPr>
        <w:t>,</w:t>
      </w:r>
      <w:r w:rsidR="0068488E" w:rsidRPr="00D71D88">
        <w:rPr>
          <w:rFonts w:ascii="Times New Roman" w:hAnsi="Times New Roman"/>
          <w:sz w:val="24"/>
          <w:szCs w:val="24"/>
        </w:rPr>
        <w:t xml:space="preserve"> </w:t>
      </w:r>
      <w:r w:rsidR="000B6A8E" w:rsidRPr="00D71D88">
        <w:rPr>
          <w:rFonts w:ascii="Times New Roman" w:hAnsi="Times New Roman"/>
          <w:sz w:val="24"/>
          <w:szCs w:val="24"/>
        </w:rPr>
        <w:t>αSyn does not alter Mn import proteins</w:t>
      </w:r>
      <w:r w:rsidR="008B01DA" w:rsidRPr="00D71D88">
        <w:rPr>
          <w:rFonts w:ascii="Times New Roman" w:hAnsi="Times New Roman"/>
          <w:sz w:val="24"/>
          <w:szCs w:val="24"/>
        </w:rPr>
        <w:t xml:space="preserve">, but may attenuate Mn export through Fpn1 </w:t>
      </w:r>
      <w:r w:rsidR="0068488E" w:rsidRPr="00D71D88">
        <w:rPr>
          <w:rFonts w:ascii="Times New Roman" w:hAnsi="Times New Roman"/>
          <w:sz w:val="24"/>
          <w:szCs w:val="24"/>
        </w:rPr>
        <w:t xml:space="preserve">(Fig. </w:t>
      </w:r>
      <w:r w:rsidR="001F2C8C" w:rsidRPr="00D71D88">
        <w:rPr>
          <w:rFonts w:ascii="Times New Roman" w:hAnsi="Times New Roman"/>
          <w:sz w:val="24"/>
          <w:szCs w:val="24"/>
        </w:rPr>
        <w:t>9</w:t>
      </w:r>
      <w:r w:rsidR="00E11251" w:rsidRPr="00D71D88">
        <w:rPr>
          <w:rFonts w:ascii="Times New Roman" w:hAnsi="Times New Roman"/>
          <w:sz w:val="24"/>
          <w:szCs w:val="24"/>
        </w:rPr>
        <w:t>A</w:t>
      </w:r>
      <w:r w:rsidR="0068488E" w:rsidRPr="00D71D88">
        <w:rPr>
          <w:rFonts w:ascii="Times New Roman" w:hAnsi="Times New Roman"/>
          <w:sz w:val="24"/>
          <w:szCs w:val="24"/>
        </w:rPr>
        <w:t xml:space="preserve">). On the other hand, αSyn contains at least </w:t>
      </w:r>
      <w:r w:rsidR="00D90A38" w:rsidRPr="00D71D88">
        <w:rPr>
          <w:rFonts w:ascii="Times New Roman" w:hAnsi="Times New Roman"/>
          <w:sz w:val="24"/>
          <w:szCs w:val="24"/>
        </w:rPr>
        <w:t>one C-terminal binding site</w:t>
      </w:r>
      <w:r w:rsidR="0068488E" w:rsidRPr="00D71D88">
        <w:rPr>
          <w:rFonts w:ascii="Times New Roman" w:hAnsi="Times New Roman"/>
          <w:sz w:val="24"/>
          <w:szCs w:val="24"/>
        </w:rPr>
        <w:t xml:space="preserve"> for Mn and therefore </w:t>
      </w:r>
      <w:r w:rsidR="005978F8" w:rsidRPr="00D71D88">
        <w:rPr>
          <w:rFonts w:ascii="Times New Roman" w:hAnsi="Times New Roman"/>
          <w:sz w:val="24"/>
          <w:szCs w:val="24"/>
        </w:rPr>
        <w:t>could act as a</w:t>
      </w:r>
      <w:r w:rsidR="00031676" w:rsidRPr="00D71D88">
        <w:rPr>
          <w:rFonts w:ascii="Times New Roman" w:hAnsi="Times New Roman"/>
          <w:sz w:val="24"/>
          <w:szCs w:val="24"/>
        </w:rPr>
        <w:t>n intracellular</w:t>
      </w:r>
      <w:r w:rsidR="005978F8" w:rsidRPr="00D71D88">
        <w:rPr>
          <w:rFonts w:ascii="Times New Roman" w:hAnsi="Times New Roman"/>
          <w:sz w:val="24"/>
          <w:szCs w:val="24"/>
        </w:rPr>
        <w:t xml:space="preserve"> Mn </w:t>
      </w:r>
      <w:r w:rsidR="00031676" w:rsidRPr="00D71D88">
        <w:rPr>
          <w:rFonts w:ascii="Times New Roman" w:hAnsi="Times New Roman"/>
          <w:sz w:val="24"/>
          <w:szCs w:val="24"/>
        </w:rPr>
        <w:t>store</w:t>
      </w:r>
      <w:r w:rsidR="005978F8" w:rsidRPr="00D71D88">
        <w:rPr>
          <w:rFonts w:ascii="Times New Roman" w:hAnsi="Times New Roman"/>
          <w:sz w:val="24"/>
          <w:szCs w:val="24"/>
        </w:rPr>
        <w:t xml:space="preserve">, hindering Mn from </w:t>
      </w:r>
      <w:r w:rsidR="00163881" w:rsidRPr="00D71D88">
        <w:rPr>
          <w:rFonts w:ascii="Times New Roman" w:hAnsi="Times New Roman"/>
          <w:sz w:val="24"/>
          <w:szCs w:val="24"/>
        </w:rPr>
        <w:t>being exported</w:t>
      </w:r>
      <w:r w:rsidR="00D90A38" w:rsidRPr="00D71D88">
        <w:rPr>
          <w:rFonts w:ascii="Times New Roman" w:hAnsi="Times New Roman"/>
          <w:sz w:val="24"/>
          <w:szCs w:val="24"/>
        </w:rPr>
        <w:t xml:space="preserve"> </w:t>
      </w:r>
      <w:r w:rsidR="0073576D" w:rsidRPr="00D71D88">
        <w:rPr>
          <w:rFonts w:ascii="Times New Roman" w:hAnsi="Times New Roman"/>
          <w:sz w:val="24"/>
          <w:szCs w:val="24"/>
        </w:rPr>
        <w:fldChar w:fldCharType="begin"/>
      </w:r>
      <w:r w:rsidR="0073576D" w:rsidRPr="00D71D88">
        <w:rPr>
          <w:rFonts w:ascii="Times New Roman" w:hAnsi="Times New Roman"/>
          <w:sz w:val="24"/>
          <w:szCs w:val="24"/>
        </w:rPr>
        <w:instrText xml:space="preserve"> ADDIN PAPERS2_CITATIONS &lt;citation&gt;&lt;uuid&gt;48717B7C-904B-49AE-8909-06C293755CA8&lt;/uuid&gt;&lt;priority&gt;0&lt;/priority&gt;&lt;publications&gt;&lt;publication&gt;&lt;uuid&gt;C82ED971-8D3C-48D5-B2E9-BD11213EB07E&lt;/uuid&gt;&lt;volume&gt;128&lt;/volume&gt;&lt;doi&gt;10.1021/ja0618649&lt;/doi&gt;&lt;startpage&gt;9893&lt;/startpage&gt;&lt;publication_date&gt;99200608011200000000222000&lt;/publication_date&gt;&lt;url&gt;http://pubs.acs.org/doi/abs/10.1021/ja0618649&lt;/url&gt;&lt;type&gt;400&lt;/type&gt;&lt;title&gt;Interaction of alpha-synuclein with divalent metal ions reveals key differences: a link between structure, binding specificity and fibrillation enhancement.&lt;/title&gt;&lt;publisher&gt; American Chemical Society&lt;/publisher&gt;&lt;institution&gt;Instituto de Biología Molecular y Celular de Rosario, Consejo Nacional de Investigaciones Científicas y Técnicas, Universidad Nacional de Rosario, Suipacha 531, S2002LRK, Rosario, Argentina.&lt;/institution&gt;&lt;number&gt;30&lt;/number&gt;&lt;subtype&gt;400&lt;/subtype&gt;&lt;endpage&gt;9901&lt;/endpage&gt;&lt;bundle&gt;&lt;publication&gt;&lt;title&gt;Journal of the American Chemical Society&lt;/title&gt;&lt;type&gt;-100&lt;/type&gt;&lt;subtype&gt;-100&lt;/subtype&gt;&lt;uuid&gt;D0DF4732-B9D3-47B6-8DD4-C34A5D7C005C&lt;/uuid&gt;&lt;/publication&gt;&lt;/bundle&gt;&lt;authors&gt;&lt;author&gt;&lt;firstName&gt;Andrés&lt;/firstName&gt;&lt;lastName&gt;Binolfi&lt;/lastName&gt;&lt;/author&gt;&lt;author&gt;&lt;firstName&gt;Rodolfo&lt;/firstName&gt;&lt;middleNames&gt;M&lt;/middleNames&gt;&lt;lastName&gt;Rasia&lt;/lastName&gt;&lt;/author&gt;&lt;author&gt;&lt;firstName&gt;Carlos&lt;/firstName&gt;&lt;middleNames&gt;W&lt;/middleNames&gt;&lt;lastName&gt;Bertoncini&lt;/lastName&gt;&lt;/author&gt;&lt;author&gt;&lt;firstName&gt;Marcelo&lt;/firstName&gt;&lt;lastName&gt;Ceolin&lt;/lastName&gt;&lt;/author&gt;&lt;author&gt;&lt;firstName&gt;Markus&lt;/firstName&gt;&lt;lastName&gt;Zweckstetter&lt;/lastName&gt;&lt;/author&gt;&lt;author&gt;&lt;firstName&gt;Christian&lt;/firstName&gt;&lt;lastName&gt;Griesinger&lt;/lastName&gt;&lt;/author&gt;&lt;author&gt;&lt;firstName&gt;Thomas&lt;/firstName&gt;&lt;middleNames&gt;M&lt;/middleNames&gt;&lt;lastName&gt;Jovin&lt;/lastName&gt;&lt;/author&gt;&lt;author&gt;&lt;firstName&gt;Claudio&lt;/firstName&gt;&lt;middleNames&gt;O&lt;/middleNames&gt;&lt;lastName&gt;Fernandez&lt;/lastName&gt;&lt;/author&gt;&lt;/authors&gt;&lt;/publication&gt;&lt;/publications&gt;&lt;cites&gt;&lt;/cites&gt;&lt;/citation&gt;</w:instrText>
      </w:r>
      <w:r w:rsidR="0073576D" w:rsidRPr="00D71D88">
        <w:rPr>
          <w:rFonts w:ascii="Times New Roman" w:hAnsi="Times New Roman"/>
          <w:sz w:val="24"/>
          <w:szCs w:val="24"/>
        </w:rPr>
        <w:fldChar w:fldCharType="separate"/>
      </w:r>
      <w:r w:rsidR="0073576D" w:rsidRPr="00D71D88">
        <w:rPr>
          <w:rFonts w:ascii="Times New Roman" w:hAnsi="Times New Roman"/>
          <w:sz w:val="24"/>
          <w:szCs w:val="24"/>
          <w:vertAlign w:val="superscript"/>
        </w:rPr>
        <w:t>1</w:t>
      </w:r>
      <w:r w:rsidR="0073576D" w:rsidRPr="00D71D88">
        <w:rPr>
          <w:rFonts w:ascii="Times New Roman" w:hAnsi="Times New Roman"/>
          <w:sz w:val="24"/>
          <w:szCs w:val="24"/>
        </w:rPr>
        <w:fldChar w:fldCharType="end"/>
      </w:r>
      <w:r w:rsidR="00163881" w:rsidRPr="00D71D88">
        <w:rPr>
          <w:rFonts w:ascii="Times New Roman" w:hAnsi="Times New Roman"/>
          <w:sz w:val="24"/>
          <w:szCs w:val="24"/>
        </w:rPr>
        <w:t xml:space="preserve">. </w:t>
      </w:r>
      <w:r w:rsidR="00A3310C" w:rsidRPr="00D71D88">
        <w:rPr>
          <w:rFonts w:ascii="Times New Roman" w:hAnsi="Times New Roman"/>
          <w:sz w:val="24"/>
          <w:szCs w:val="24"/>
        </w:rPr>
        <w:t xml:space="preserve">To explore this hypothesis, </w:t>
      </w:r>
      <w:r w:rsidR="002F5C79" w:rsidRPr="00D71D88">
        <w:rPr>
          <w:rFonts w:ascii="Times New Roman" w:hAnsi="Times New Roman"/>
          <w:sz w:val="24"/>
          <w:szCs w:val="24"/>
        </w:rPr>
        <w:t>PMN</w:t>
      </w:r>
      <w:r w:rsidR="00A3310C" w:rsidRPr="00D71D88">
        <w:rPr>
          <w:rFonts w:ascii="Times New Roman" w:hAnsi="Times New Roman"/>
          <w:sz w:val="24"/>
          <w:szCs w:val="24"/>
        </w:rPr>
        <w:t xml:space="preserve"> cultures, which were transfected to overexpress αSyn</w:t>
      </w:r>
      <w:r w:rsidR="002F5C79" w:rsidRPr="00D71D88">
        <w:rPr>
          <w:rFonts w:ascii="Times New Roman" w:hAnsi="Times New Roman"/>
          <w:sz w:val="24"/>
          <w:szCs w:val="24"/>
        </w:rPr>
        <w:t xml:space="preserve"> or </w:t>
      </w:r>
      <w:r w:rsidR="00A3310C" w:rsidRPr="00D71D88">
        <w:rPr>
          <w:rFonts w:ascii="Times New Roman" w:hAnsi="Times New Roman"/>
          <w:sz w:val="24"/>
          <w:szCs w:val="24"/>
        </w:rPr>
        <w:t xml:space="preserve">GFP, </w:t>
      </w:r>
      <w:r w:rsidR="00FF1ECC" w:rsidRPr="00D71D88">
        <w:rPr>
          <w:rFonts w:ascii="Times New Roman" w:hAnsi="Times New Roman"/>
          <w:sz w:val="24"/>
          <w:szCs w:val="24"/>
        </w:rPr>
        <w:t xml:space="preserve">were treated with excess Mn. Three hours after Mn-treatment, the medium was completely </w:t>
      </w:r>
      <w:r w:rsidR="00FF5284" w:rsidRPr="00D71D88">
        <w:rPr>
          <w:rFonts w:ascii="Times New Roman" w:hAnsi="Times New Roman"/>
          <w:sz w:val="24"/>
          <w:szCs w:val="24"/>
        </w:rPr>
        <w:t>remove</w:t>
      </w:r>
      <w:r w:rsidR="00707286" w:rsidRPr="00D71D88">
        <w:rPr>
          <w:rFonts w:ascii="Times New Roman" w:hAnsi="Times New Roman"/>
          <w:sz w:val="24"/>
          <w:szCs w:val="24"/>
        </w:rPr>
        <w:t>d</w:t>
      </w:r>
      <w:r w:rsidR="00FF5284" w:rsidRPr="00D71D88">
        <w:rPr>
          <w:rFonts w:ascii="Times New Roman" w:hAnsi="Times New Roman"/>
          <w:sz w:val="24"/>
          <w:szCs w:val="24"/>
        </w:rPr>
        <w:t xml:space="preserve">, cultures were </w:t>
      </w:r>
      <w:r w:rsidR="00707286" w:rsidRPr="00D71D88">
        <w:rPr>
          <w:rFonts w:ascii="Times New Roman" w:hAnsi="Times New Roman"/>
          <w:sz w:val="24"/>
          <w:szCs w:val="24"/>
        </w:rPr>
        <w:t xml:space="preserve">gently washed with Mn-free medium </w:t>
      </w:r>
      <w:r w:rsidR="00A40384" w:rsidRPr="00D71D88">
        <w:rPr>
          <w:rFonts w:ascii="Times New Roman" w:hAnsi="Times New Roman"/>
          <w:sz w:val="24"/>
          <w:szCs w:val="24"/>
        </w:rPr>
        <w:t xml:space="preserve">(to remove any excess Mn) </w:t>
      </w:r>
      <w:r w:rsidR="00707286" w:rsidRPr="00D71D88">
        <w:rPr>
          <w:rFonts w:ascii="Times New Roman" w:hAnsi="Times New Roman"/>
          <w:sz w:val="24"/>
          <w:szCs w:val="24"/>
        </w:rPr>
        <w:t xml:space="preserve">and </w:t>
      </w:r>
      <w:r w:rsidR="00FF1ECC" w:rsidRPr="00D71D88">
        <w:rPr>
          <w:rFonts w:ascii="Times New Roman" w:hAnsi="Times New Roman"/>
          <w:sz w:val="24"/>
          <w:szCs w:val="24"/>
        </w:rPr>
        <w:t xml:space="preserve">Mn-free medium was </w:t>
      </w:r>
      <w:r w:rsidR="00707286" w:rsidRPr="00D71D88">
        <w:rPr>
          <w:rFonts w:ascii="Times New Roman" w:hAnsi="Times New Roman"/>
          <w:sz w:val="24"/>
          <w:szCs w:val="24"/>
        </w:rPr>
        <w:t xml:space="preserve">added to the </w:t>
      </w:r>
      <w:r w:rsidR="00FF1ECC" w:rsidRPr="00D71D88">
        <w:rPr>
          <w:rFonts w:ascii="Times New Roman" w:hAnsi="Times New Roman"/>
          <w:sz w:val="24"/>
          <w:szCs w:val="24"/>
        </w:rPr>
        <w:t>cultures.</w:t>
      </w:r>
      <w:r w:rsidR="00707286" w:rsidRPr="00D71D88">
        <w:rPr>
          <w:rFonts w:ascii="Times New Roman" w:hAnsi="Times New Roman"/>
          <w:sz w:val="24"/>
          <w:szCs w:val="24"/>
        </w:rPr>
        <w:t xml:space="preserve"> At 45 and 180 minutes after </w:t>
      </w:r>
      <w:r w:rsidR="00AF42A5" w:rsidRPr="00D71D88">
        <w:rPr>
          <w:rFonts w:ascii="Times New Roman" w:hAnsi="Times New Roman"/>
          <w:sz w:val="24"/>
          <w:szCs w:val="24"/>
        </w:rPr>
        <w:t xml:space="preserve">the Mn-treatment, aliquots of the medium were taken and the Mn concentration was analyzed. </w:t>
      </w:r>
      <w:r w:rsidR="00713F81" w:rsidRPr="00D71D88">
        <w:rPr>
          <w:rFonts w:ascii="Times New Roman" w:hAnsi="Times New Roman"/>
          <w:sz w:val="24"/>
          <w:szCs w:val="24"/>
        </w:rPr>
        <w:t xml:space="preserve">Mn concentrations in the medium of </w:t>
      </w:r>
      <w:r w:rsidR="005A6F49" w:rsidRPr="00D71D88">
        <w:rPr>
          <w:rFonts w:ascii="Times New Roman" w:hAnsi="Times New Roman"/>
          <w:sz w:val="24"/>
          <w:szCs w:val="24"/>
        </w:rPr>
        <w:t>αSyn</w:t>
      </w:r>
      <w:r w:rsidR="00713F81" w:rsidRPr="00D71D88">
        <w:rPr>
          <w:rFonts w:ascii="Times New Roman" w:hAnsi="Times New Roman"/>
          <w:sz w:val="24"/>
          <w:szCs w:val="24"/>
        </w:rPr>
        <w:t xml:space="preserve">-transfected cultures were </w:t>
      </w:r>
      <w:r w:rsidR="000120C6" w:rsidRPr="00D71D88">
        <w:rPr>
          <w:rFonts w:ascii="Times New Roman" w:hAnsi="Times New Roman"/>
          <w:sz w:val="24"/>
          <w:szCs w:val="24"/>
        </w:rPr>
        <w:t xml:space="preserve">significantly </w:t>
      </w:r>
      <w:r w:rsidR="002361CC" w:rsidRPr="00D71D88">
        <w:rPr>
          <w:rFonts w:ascii="Times New Roman" w:hAnsi="Times New Roman"/>
          <w:sz w:val="24"/>
          <w:szCs w:val="24"/>
        </w:rPr>
        <w:t xml:space="preserve">lower by 16.24 </w:t>
      </w:r>
      <w:r w:rsidR="00EF7766" w:rsidRPr="00D71D88">
        <w:rPr>
          <w:rFonts w:ascii="Times New Roman" w:hAnsi="Times New Roman"/>
          <w:sz w:val="24"/>
          <w:szCs w:val="24"/>
        </w:rPr>
        <w:t>± 2.74% (at 45 min) and 15.02 ±</w:t>
      </w:r>
      <w:r w:rsidR="002361CC" w:rsidRPr="00D71D88">
        <w:rPr>
          <w:rFonts w:ascii="Times New Roman" w:hAnsi="Times New Roman"/>
          <w:sz w:val="24"/>
          <w:szCs w:val="24"/>
        </w:rPr>
        <w:t xml:space="preserve"> 1.57 % (at 180 min) </w:t>
      </w:r>
      <w:r w:rsidR="00FB7152" w:rsidRPr="00D71D88">
        <w:rPr>
          <w:rFonts w:ascii="Times New Roman" w:hAnsi="Times New Roman"/>
          <w:sz w:val="24"/>
          <w:szCs w:val="24"/>
        </w:rPr>
        <w:t xml:space="preserve">than in </w:t>
      </w:r>
      <w:r w:rsidR="00A40384" w:rsidRPr="00D71D88">
        <w:rPr>
          <w:rFonts w:ascii="Times New Roman" w:hAnsi="Times New Roman"/>
          <w:sz w:val="24"/>
          <w:szCs w:val="24"/>
        </w:rPr>
        <w:t>GFP-transfected control cultures</w:t>
      </w:r>
      <w:r w:rsidR="00140A35" w:rsidRPr="00D71D88">
        <w:rPr>
          <w:rFonts w:ascii="Times New Roman" w:hAnsi="Times New Roman"/>
          <w:sz w:val="24"/>
          <w:szCs w:val="24"/>
        </w:rPr>
        <w:t xml:space="preserve"> (</w:t>
      </w:r>
      <w:r w:rsidR="00E21C03" w:rsidRPr="00D71D88">
        <w:rPr>
          <w:rFonts w:ascii="Times New Roman" w:hAnsi="Times New Roman"/>
          <w:sz w:val="24"/>
          <w:szCs w:val="24"/>
        </w:rPr>
        <w:t>Fig. 9B</w:t>
      </w:r>
      <w:r w:rsidR="00140A35" w:rsidRPr="00D71D88">
        <w:rPr>
          <w:rFonts w:ascii="Times New Roman" w:hAnsi="Times New Roman"/>
          <w:sz w:val="24"/>
          <w:szCs w:val="24"/>
        </w:rPr>
        <w:t>)</w:t>
      </w:r>
      <w:r w:rsidR="00A40384" w:rsidRPr="00D71D88">
        <w:rPr>
          <w:rFonts w:ascii="Times New Roman" w:hAnsi="Times New Roman"/>
          <w:sz w:val="24"/>
          <w:szCs w:val="24"/>
        </w:rPr>
        <w:t>.</w:t>
      </w:r>
    </w:p>
    <w:p w14:paraId="5D75A0F9" w14:textId="77777777" w:rsidR="00B3061B" w:rsidRPr="00D71D88" w:rsidRDefault="00B3061B" w:rsidP="000D1D73">
      <w:pPr>
        <w:spacing w:line="360" w:lineRule="auto"/>
        <w:jc w:val="both"/>
        <w:rPr>
          <w:rFonts w:ascii="Times New Roman" w:hAnsi="Times New Roman"/>
          <w:sz w:val="24"/>
          <w:szCs w:val="24"/>
        </w:rPr>
      </w:pPr>
    </w:p>
    <w:p w14:paraId="7285BDF2" w14:textId="77777777" w:rsidR="003C73D7" w:rsidRPr="00D71D88" w:rsidRDefault="003C73D7" w:rsidP="004C30A4">
      <w:pPr>
        <w:spacing w:line="360" w:lineRule="auto"/>
        <w:jc w:val="both"/>
        <w:rPr>
          <w:rFonts w:ascii="Arial" w:hAnsi="Arial" w:cs="Arial"/>
          <w:b/>
          <w:sz w:val="32"/>
          <w:szCs w:val="32"/>
        </w:rPr>
      </w:pPr>
      <w:r w:rsidRPr="00D71D88">
        <w:rPr>
          <w:rFonts w:ascii="Arial" w:hAnsi="Arial" w:cs="Arial"/>
          <w:b/>
          <w:sz w:val="32"/>
          <w:szCs w:val="32"/>
        </w:rPr>
        <w:t>Discussion</w:t>
      </w:r>
    </w:p>
    <w:p w14:paraId="0FD4DA76" w14:textId="1556F801" w:rsidR="003C73D7" w:rsidRPr="00D71D88" w:rsidRDefault="003C73D7" w:rsidP="009D0E1B">
      <w:pPr>
        <w:spacing w:line="360" w:lineRule="auto"/>
        <w:ind w:firstLine="720"/>
        <w:jc w:val="both"/>
        <w:rPr>
          <w:rFonts w:ascii="Times New Roman" w:hAnsi="Times New Roman"/>
          <w:sz w:val="24"/>
          <w:szCs w:val="24"/>
        </w:rPr>
      </w:pPr>
      <w:r w:rsidRPr="00D71D88">
        <w:rPr>
          <w:rFonts w:ascii="Times New Roman" w:hAnsi="Times New Roman"/>
          <w:sz w:val="24"/>
          <w:szCs w:val="24"/>
        </w:rPr>
        <w:t>Transition metals are attributed an important role in the pathogenesis of neurodegenerative disorders.</w:t>
      </w:r>
      <w:r w:rsidR="002F2EB5" w:rsidRPr="00D71D88">
        <w:rPr>
          <w:rFonts w:ascii="Times New Roman" w:hAnsi="Times New Roman"/>
          <w:sz w:val="24"/>
          <w:szCs w:val="24"/>
        </w:rPr>
        <w:t xml:space="preserve"> For example,</w:t>
      </w:r>
      <w:r w:rsidRPr="00D71D88">
        <w:rPr>
          <w:rFonts w:ascii="Times New Roman" w:hAnsi="Times New Roman"/>
          <w:sz w:val="24"/>
          <w:szCs w:val="24"/>
        </w:rPr>
        <w:t xml:space="preserve"> accumulation of iron is well known to occur in the substantia nigra</w:t>
      </w:r>
      <w:r w:rsidR="002F2EB5" w:rsidRPr="00D71D88">
        <w:rPr>
          <w:rFonts w:ascii="Times New Roman" w:hAnsi="Times New Roman"/>
          <w:sz w:val="24"/>
          <w:szCs w:val="24"/>
        </w:rPr>
        <w:t xml:space="preserve"> in Parkinson’s disease (PD) and</w:t>
      </w:r>
      <w:r w:rsidR="008C4061" w:rsidRPr="00D71D88">
        <w:rPr>
          <w:rFonts w:ascii="Times New Roman" w:hAnsi="Times New Roman"/>
          <w:sz w:val="24"/>
          <w:szCs w:val="24"/>
        </w:rPr>
        <w:t xml:space="preserve"> </w:t>
      </w:r>
      <w:r w:rsidRPr="00D71D88">
        <w:rPr>
          <w:rFonts w:ascii="Times New Roman" w:hAnsi="Times New Roman"/>
          <w:sz w:val="24"/>
          <w:szCs w:val="24"/>
        </w:rPr>
        <w:t xml:space="preserve">exposure to Mn combined with other genetic </w:t>
      </w:r>
      <w:r w:rsidRPr="00D71D88">
        <w:rPr>
          <w:rFonts w:ascii="Times New Roman" w:hAnsi="Times New Roman"/>
          <w:sz w:val="24"/>
          <w:szCs w:val="24"/>
        </w:rPr>
        <w:lastRenderedPageBreak/>
        <w:t xml:space="preserve">and environmental factors can contribute to the development of Parkinsonism (reviewed by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"10.1007/s00706-011-0478-6", "ISSN" : "0026-9247", "author" : [ { "dropping-particle" : "", "family" : "Paris", "given" : "Irmgard", "non-dropping-particle" : "", "parse-names" : false, "suffix" : "" }, { "dropping-particle" : "", "family" : "Segura-Aguilar", "given" : "Juan", "non-dropping-particle" : "", "parse-names" : false, "suffix" : "" } ], "container-title" : "Monatshefte f\u00fcr Chemie - Chemical Monthly", "id" : "ITEM-1", "issue" : "4", "issued" : { "date-parts" : [ [ "2011", "3", "22" ] ] }, "page" : "365-374", "title" : "The role of metal ions in dopaminergic neuron degeneration in Parkinsonism and Parkinson\u2019s disease", "type" : "article-journal", "volume" : "142" }, "uris" : [ "http://www.mendeley.com/documents/?uuid=5ef0bf23-9ac3-4527-9d3b-eb1600e1a83d" ] } ], "mendeley" : { "previouslyFormattedCitation" : "[18]"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[18]</w:t>
      </w:r>
      <w:r w:rsidRPr="00D71D88">
        <w:rPr>
          <w:rFonts w:ascii="Times New Roman" w:hAnsi="Times New Roman"/>
          <w:sz w:val="24"/>
          <w:szCs w:val="24"/>
        </w:rPr>
        <w:fldChar w:fldCharType="end"/>
      </w:r>
      <w:r w:rsidRPr="00D71D88">
        <w:rPr>
          <w:rFonts w:ascii="Times New Roman" w:hAnsi="Times New Roman"/>
          <w:sz w:val="24"/>
          <w:szCs w:val="24"/>
        </w:rPr>
        <w:t>). Alpha-Synuclein (αSyn) is a natively unfolded protein, which aggregate</w:t>
      </w:r>
      <w:r w:rsidR="00DE16C3" w:rsidRPr="00D71D88">
        <w:rPr>
          <w:rFonts w:ascii="Times New Roman" w:hAnsi="Times New Roman"/>
          <w:sz w:val="24"/>
          <w:szCs w:val="24"/>
        </w:rPr>
        <w:t>s</w:t>
      </w:r>
      <w:r w:rsidRPr="00D71D88">
        <w:rPr>
          <w:rFonts w:ascii="Times New Roman" w:hAnsi="Times New Roman"/>
          <w:sz w:val="24"/>
          <w:szCs w:val="24"/>
        </w:rPr>
        <w:t xml:space="preserve"> and contribute</w:t>
      </w:r>
      <w:r w:rsidR="00DE16C3" w:rsidRPr="00D71D88">
        <w:rPr>
          <w:rFonts w:ascii="Times New Roman" w:hAnsi="Times New Roman"/>
          <w:sz w:val="24"/>
          <w:szCs w:val="24"/>
        </w:rPr>
        <w:t>s</w:t>
      </w:r>
      <w:r w:rsidRPr="00D71D88">
        <w:rPr>
          <w:rFonts w:ascii="Times New Roman" w:hAnsi="Times New Roman"/>
          <w:sz w:val="24"/>
          <w:szCs w:val="24"/>
        </w:rPr>
        <w:t xml:space="preserve"> to the formation of Lewy-bodies in Parkinson’s disease and in addition is known to interact with transition metals, such as Fe and Mn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"10.1021/ic1016752", "ISSN" : "1520-510X", "PMID" : "20964419", "abstract" : "The aggregation of alpha-synuclein (AS) is a critical step in the etiology of Parkinson's disease (PD). A central, unresolved question in the pathophysiology of PD relates to the role of AS-metal interactions in amyloid fibril formation and neurodegeneration. Our previous works established a hierarchy in alpha-synuclein-metal ion interactions, where Cu(II) binds specifically to the protein and triggers its aggregation under conditions that might be relevant for the development of PD. Two independent, non-interacting copper-binding sites were identified at the N-terminal region of AS, with significant difference in their affinities for the metal ion. In this work we have solved unknown details related to the structural binding specificity and aggregation enhancement mediated by Cu(II). The high-resolution structural characterization of the highest affinity N-terminus AS-Cu(II) complex is reported here. Through the measurement of AS aggregation kinetics we proved conclusively that the copper-enhanced AS amyloid formation is a direct consequence of the formation of the AS-Cu(II) complex at the highest affinity binding site. The kinetic behavior was not influenced by the His residue at position 50, arguing against an active role for this residue in the structural and biological events involved in the mechanism of copper-mediated AS aggregation. These new findings are central to elucidate the mechanism through which the metal ion participates in the fibrillization of AS and represent relevant progress in the understanding of the bioinorganic chemistry of PD.", "author" : [ { "dropping-particle" : "", "family" : "Binolfi", "given" : "Andr\u00e9s", "non-dropping-particle" : "", "parse-names" : false, "suffix" : "" }, { "dropping-particle" : "", "family" : "Rodriguez", "given" : "Esa\u00fa E", "non-dropping-particle" : "", "parse-names" : false, "suffix" : "" }, { "dropping-particle" : "", "family" : "Valensin", "given" : "Daniela", "non-dropping-particle" : "", "parse-names" : false, "suffix" : "" }, { "dropping-particle" : "", "family" : "D'Amelio", "given" : "Nicola", "non-dropping-particle" : "", "parse-names" : false, "suffix" : "" }, { "dropping-particle" : "", "family" : "Ippoliti", "given" : "Emiliano", "non-dropping-particle" : "", "parse-names" : false, "suffix" : "" }, { "dropping-particle" : "", "family" : "Obal", "given" : "Gonzalo", "non-dropping-particle" : "", "parse-names" : false, "suffix" : "" }, { "dropping-particle" : "", "family" : "Duran", "given" : "Rosario", "non-dropping-particle" : "", "parse-names" : false, "suffix" : "" }, { "dropping-particle" : "", "family" : "Magistrato", "given" : "Alessandra", "non-dropping-particle" : "", "parse-names" : false, "suffix" : "" }, { "dropping-particle" : "", "family" : "Pritsch", "given" : "Otto", "non-dropping-particle" : "", "parse-names" : false, "suffix" : "" }, { "dropping-particle" : "", "family" : "Zweckstetter", "given" : "Markus", "non-dropping-particle" : "", "parse-names" : false, "suffix" : "" }, { "dropping-particle" : "", "family" : "Valensin", "given" : "Gianni", "non-dropping-particle" : "", "parse-names" : false, "suffix" : "" }, { "dropping-particle" : "", "family" : "Carloni", "given" : "Paolo", "non-dropping-particle" : "", "parse-names" : false, "suffix" : "" }, { "dropping-particle" : "", "family" : "Quintanar", "given" : "Liliana", "non-dropping-particle" : "", "parse-names" : false, "suffix" : "" }, { "dropping-particle" : "", "family" : "Griesinger", "given" : "Christian", "non-dropping-particle" : "", "parse-names" : false, "suffix" : "" }, { "dropping-particle" : "", "family" : "Fern\u00e1ndez", "given" : "Claudio O", "non-dropping-particle" : "", "parse-names" : false, "suffix" : "" } ], "container-title" : "Inorganic chemistry", "id" : "ITEM-1", "issue" : "22", "issued" : { "date-parts" : [ [ "2010", "11", "15" ] ] }, "page" : "10668-79", "publisher" : "AMER CHEMICAL SOC, 1155 16TH ST, NW, WASHINGTON, DC 20036 USA", "title" : "Bioinorganic chemistry of Parkinson's disease: structural determinants for the copper-mediated amyloid formation of alpha-synuclein.", "type" : "article-journal", "volume" : "49" }, "uris" : [ "http://www.mendeley.com/documents/?uuid=258d8ac0-aa44-4cf1-93d9-fb3cb07447f1" ] } ], "mendeley" : { "previouslyFormattedCitation" : "[19]"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[19]</w:t>
      </w:r>
      <w:r w:rsidRPr="00D71D88">
        <w:rPr>
          <w:rFonts w:ascii="Times New Roman" w:hAnsi="Times New Roman"/>
          <w:sz w:val="24"/>
          <w:szCs w:val="24"/>
        </w:rPr>
        <w:fldChar w:fldCharType="end"/>
      </w:r>
      <w:r w:rsidRPr="00D71D88">
        <w:rPr>
          <w:rFonts w:ascii="Times New Roman" w:hAnsi="Times New Roman"/>
          <w:sz w:val="24"/>
          <w:szCs w:val="24"/>
        </w:rPr>
        <w:t>. However, it remains an open question, whether αSyn regulates the levels of transition metals in neuronal cells and if this regulation contributes to pathology observed in aggregopathies, such as PD. In this study, we therefore used synchrotron X-ray fluorescence to determine the spatial and quantitative distribution of Mn in rat primary midbrain neurons overexpressing αSyn. The</w:t>
      </w:r>
      <w:r w:rsidR="00F41242" w:rsidRPr="00D71D88">
        <w:rPr>
          <w:rFonts w:ascii="Times New Roman" w:hAnsi="Times New Roman"/>
          <w:sz w:val="24"/>
          <w:szCs w:val="24"/>
        </w:rPr>
        <w:t>se</w:t>
      </w:r>
      <w:r w:rsidRPr="00D71D88">
        <w:rPr>
          <w:rFonts w:ascii="Times New Roman" w:hAnsi="Times New Roman"/>
          <w:sz w:val="24"/>
          <w:szCs w:val="24"/>
        </w:rPr>
        <w:t xml:space="preserve"> analys</w:t>
      </w:r>
      <w:r w:rsidR="008C4061" w:rsidRPr="00D71D88">
        <w:rPr>
          <w:rFonts w:ascii="Times New Roman" w:hAnsi="Times New Roman"/>
          <w:sz w:val="24"/>
          <w:szCs w:val="24"/>
        </w:rPr>
        <w:t>e</w:t>
      </w:r>
      <w:r w:rsidRPr="00D71D88">
        <w:rPr>
          <w:rFonts w:ascii="Times New Roman" w:hAnsi="Times New Roman"/>
          <w:sz w:val="24"/>
          <w:szCs w:val="24"/>
        </w:rPr>
        <w:t>s take advantage of the nove</w:t>
      </w:r>
      <w:r w:rsidR="00EF7766" w:rsidRPr="00D71D88">
        <w:rPr>
          <w:rFonts w:ascii="Times New Roman" w:hAnsi="Times New Roman"/>
          <w:sz w:val="24"/>
          <w:szCs w:val="24"/>
        </w:rPr>
        <w:t xml:space="preserve">l Bioprobe installed at the APS, which </w:t>
      </w:r>
      <w:r w:rsidRPr="00D71D88">
        <w:rPr>
          <w:rFonts w:ascii="Times New Roman" w:hAnsi="Times New Roman"/>
          <w:sz w:val="24"/>
          <w:szCs w:val="24"/>
        </w:rPr>
        <w:t xml:space="preserve">allows visualizing elemental maps of cryo-preserved specimens at an unprecedented resolution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"author" : [ { "dropping-particle" : "", "family" : "Yuan", "given" : "Ye", "non-dropping-particle" : "", "parse-names" : false, "suffix" : "" }, { "dropping-particle" : "", "family" : "Chen", "given" : "Si", "non-dropping-particle" : "", "parse-names" : false, "suffix" : "" }, { "dropping-particle" : "", "family" : "Paunesku", "given" : "Tatjana", "non-dropping-particle" : "", "parse-names" : false, "suffix" : "" }, { "dropping-particle" : "", "family" : "Gleber", "given" : "Sophie Charlotte", "non-dropping-particle" : "", "parse-names" : false, "suffix" : "" }, { "dropping-particle" : "", "family" : "Liu", "given" : "William C", "non-dropping-particle" : "", "parse-names" : false, "suffix" : "" }, { "dropping-particle" : "", "family" : "Doty", "given" : "Caroline B", "non-dropping-particle" : "", "parse-names" : false, "suffix" : "" }, { "dropping-particle" : "", "family" : "Mak", "given" : "Rachel", "non-dropping-particle" : "", "parse-names" : false, "suffix" : "" }, { "dropping-particle" : "", "family" : "Deng", "given" : "Junjing", "non-dropping-particle" : "", "parse-names" : false, "suffix" : "" }, { "dropping-particle" : "", "family" : "Jin", "given" : "Qiaoling", "non-dropping-particle" : "", "parse-names" : false, "suffix" : "" }, { "dropping-particle" : "", "family" : "Lai", "given" : "Barry", "non-dropping-particle" : "", "parse-names" : false, "suffix" : "" }, { "dropping-particle" : "", "family" : "Brister", "given" : "Keith", "non-dropping-particle" : "", "parse-names" : false, "suffix" : "" }, { "dropping-particle" : "", "family" : "Flachenecker", "given" : "Claus", "non-dropping-particle" : "", "parse-names" : false, "suffix" : "" }, { "dropping-particle" : "", "family" : "Jacobsen", "given" : "Chris", "non-dropping-particle" : "", "parse-names" : false, "suffix" : "" }, { "dropping-particle" : "", "family" : "Vogt", "given" : "Stefan", "non-dropping-particle" : "", "parse-names" : false, "suffix" : "" }, { "dropping-particle" : "", "family" : "Woloschak", "given" : "Gayle E", "non-dropping-particle" : "", "parse-names" : false, "suffix" : "" } ], "id" : "ITEM-1", "issue" : "12", "issued" : { "date-parts" : [ [ "2013" ] ] }, "page" : "10502-10517", "title" : "Targeted Nuclear Delivery and High-Resolution Whole Cell X \u2011 ray in Cancer Cells", "type" : "article-journal" }, "uris" : [ "http://www.mendeley.com/documents/?uuid=8235b769-ffcf-4df5-bbbb-9c3525f2e5a9" ] } ], "mendeley" : { "previouslyFormattedCitation" : "[20]"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[20]</w:t>
      </w:r>
      <w:r w:rsidRPr="00D71D88">
        <w:rPr>
          <w:rFonts w:ascii="Times New Roman" w:hAnsi="Times New Roman"/>
          <w:sz w:val="24"/>
          <w:szCs w:val="24"/>
        </w:rPr>
        <w:fldChar w:fldCharType="end"/>
      </w:r>
      <w:r w:rsidRPr="00D71D88">
        <w:rPr>
          <w:rFonts w:ascii="Times New Roman" w:hAnsi="Times New Roman"/>
          <w:sz w:val="24"/>
          <w:szCs w:val="24"/>
        </w:rPr>
        <w:t xml:space="preserve">. This permitted us to study the subcellular accumulation of Mn with higher spatial and chemical resolution than reported previously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"10.1111/jnc.12073", "ISSN" : "1471-4159", "PMID" : "23106162", "abstract" : "Transition metals have been suggested to play a pivotal role in the pathogenesis of Parkinson's disease. X-ray microscopy combined with a cryogenic setup is a powerful method for elemental imaging in low concentrations and high resolution in intact cells, eliminating the need for fixation and sectioning of the specimen. Here, we performed an elemental distribution analysis in cultured primary midbrain neurons with a step size in the order of 300 nm and ~ 0.1 ppm sensitivity under cryo conditions by using X-ray fluorescence microscopy. We report the elemental mappings on the subcellular level in primary mouse dopaminergic (DAergic) and non-DAergic neurons after treatment with transition metals. Application of Fe(2+) resulted in largely extracellular accumulation of iron without preference for the neuronal transmitter subtype. A quantification of different Fe oxidation states was performed using X-ray absorption near edge structure analysis. After treatment with Mn(2+) , a cytoplasmic/paranuclear localization of Mn was observed preferentially in DAergic neurons, while no prominent signal was detectable after Mn(3+) treatment. Immunocytochemical analysis correlated the preferential Mn uptake to increased expression of voltage-gated calcium channels in DAergic neurons. We discuss the implications of this differential elemental distribution for the selective vulnerability of DAergic neurons and Parkinson's disease pathogenesis.", "author" : [ { "dropping-particle" : "", "family" : "Du\u010di\u0107", "given" : "Tanja", "non-dropping-particle" : "", "parse-names" : false, "suffix" : "" }, { "dropping-particle" : "", "family" : "Barski", "given" : "Elisabeth", "non-dropping-particle" : "", "parse-names" : false, "suffix" : "" }, { "dropping-particle" : "", "family" : "Salome", "given" : "Murielle", "non-dropping-particle" : "", "parse-names" : false, "suffix" : "" }, { "dropping-particle" : "", "family" : "Koch", "given" : "Jan C.", "non-dropping-particle" : "", "parse-names" : false, "suffix" : "" }, { "dropping-particle" : "", "family" : "B\u00e4hr", "given" : "Mathias", "non-dropping-particle" : "", "parse-names" : false, "suffix" : "" }, { "dropping-particle" : "", "family" : "Lingor", "given" : "Paul", "non-dropping-particle" : "", "parse-names" : false, "suffix" : "" } ], "container-title" : "Journal of Neurochemistry", "id" : "ITEM-1", "issue" : "2", "issued" : { "date-parts" : [ [ "2013", "1" ] ] }, "page" : "250-261", "title" : "X-ray fluorescence analysis of iron and manganese distribution in primary dopaminergic neurons", "type" : "article-journal", "volume" : "124" }, "uris" : [ "http://www.mendeley.com/documents/?uuid=ad5bc70a-b8b7-48bd-b7eb-c9631c3e41bd" ] } ], "mendeley" : { "previouslyFormattedCitation" : "[21]"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[21]</w:t>
      </w:r>
      <w:r w:rsidRPr="00D71D88">
        <w:rPr>
          <w:rFonts w:ascii="Times New Roman" w:hAnsi="Times New Roman"/>
          <w:sz w:val="24"/>
          <w:szCs w:val="24"/>
        </w:rPr>
        <w:fldChar w:fldCharType="end"/>
      </w:r>
      <w:r w:rsidRPr="00D71D88">
        <w:rPr>
          <w:rFonts w:ascii="Times New Roman" w:hAnsi="Times New Roman"/>
          <w:sz w:val="24"/>
          <w:szCs w:val="24"/>
        </w:rPr>
        <w:t xml:space="preserve">. </w:t>
      </w:r>
    </w:p>
    <w:p w14:paraId="73CDA9EB" w14:textId="7B54A4BE" w:rsidR="003C73D7" w:rsidRPr="00D71D88" w:rsidRDefault="003C73D7" w:rsidP="009D0E1B">
      <w:pPr>
        <w:spacing w:line="360" w:lineRule="auto"/>
        <w:ind w:firstLine="720"/>
        <w:jc w:val="both"/>
        <w:rPr>
          <w:rFonts w:ascii="Times New Roman" w:hAnsi="Times New Roman"/>
          <w:sz w:val="24"/>
          <w:szCs w:val="24"/>
        </w:rPr>
      </w:pPr>
      <w:r w:rsidRPr="00D71D88">
        <w:rPr>
          <w:rFonts w:ascii="Times New Roman" w:hAnsi="Times New Roman"/>
          <w:sz w:val="24"/>
          <w:szCs w:val="24"/>
        </w:rPr>
        <w:t>Since concentrations of Mn in the culture medium are negligible we supplemented the cell culture with Mn</w:t>
      </w:r>
      <w:r w:rsidRPr="00D71D88">
        <w:rPr>
          <w:rFonts w:ascii="Times New Roman" w:hAnsi="Times New Roman"/>
          <w:sz w:val="24"/>
          <w:szCs w:val="24"/>
          <w:vertAlign w:val="superscript"/>
        </w:rPr>
        <w:t xml:space="preserve">2+ </w:t>
      </w:r>
      <w:r w:rsidRPr="00D71D88">
        <w:rPr>
          <w:rFonts w:ascii="Times New Roman" w:hAnsi="Times New Roman"/>
          <w:sz w:val="24"/>
          <w:szCs w:val="24"/>
        </w:rPr>
        <w:t xml:space="preserve">to mimic environmental exposure to Mn. Control cultures without Mn supplementation showed only a very low intracellular Mn concentration (Fig. 1), as was previously shown by </w:t>
      </w:r>
      <w:r w:rsidR="004B3716" w:rsidRPr="00D71D88">
        <w:rPr>
          <w:rFonts w:ascii="Times New Roman" w:hAnsi="Times New Roman"/>
          <w:sz w:val="24"/>
          <w:szCs w:val="24"/>
        </w:rPr>
        <w:t>our study</w:t>
      </w:r>
      <w:r w:rsidR="0025389C" w:rsidRPr="00D71D88">
        <w:rPr>
          <w:rFonts w:ascii="Times New Roman" w:hAnsi="Times New Roman"/>
          <w:sz w:val="24"/>
          <w:szCs w:val="24"/>
        </w:rPr>
        <w:t xml:space="preserve">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"10.1111/jnc.12073", "ISSN" : "1471-4159", "PMID" : "23106162", "abstract" : "Transition metals have been suggested to play a pivotal role in the pathogenesis of Parkinson's disease. X-ray microscopy combined with a cryogenic setup is a powerful method for elemental imaging in low concentrations and high resolution in intact cells, eliminating the need for fixation and sectioning of the specimen. Here, we performed an elemental distribution analysis in cultured primary midbrain neurons with a step size in the order of 300 nm and ~ 0.1 ppm sensitivity under cryo conditions by using X-ray fluorescence microscopy. We report the elemental mappings on the subcellular level in primary mouse dopaminergic (DAergic) and non-DAergic neurons after treatment with transition metals. Application of Fe(2+) resulted in largely extracellular accumulation of iron without preference for the neuronal transmitter subtype. A quantification of different Fe oxidation states was performed using X-ray absorption near edge structure analysis. After treatment with Mn(2+) , a cytoplasmic/paranuclear localization of Mn was observed preferentially in DAergic neurons, while no prominent signal was detectable after Mn(3+) treatment. Immunocytochemical analysis correlated the preferential Mn uptake to increased expression of voltage-gated calcium channels in DAergic neurons. We discuss the implications of this differential elemental distribution for the selective vulnerability of DAergic neurons and Parkinson's disease pathogenesis.", "author" : [ { "dropping-particle" : "", "family" : "Du\u010di\u0107", "given" : "Tanja", "non-dropping-particle" : "", "parse-names" : false, "suffix" : "" }, { "dropping-particle" : "", "family" : "Barski", "given" : "Elisabeth", "non-dropping-particle" : "", "parse-names" : false, "suffix" : "" }, { "dropping-particle" : "", "family" : "Salome", "given" : "Murielle", "non-dropping-particle" : "", "parse-names" : false, "suffix" : "" }, { "dropping-particle" : "", "family" : "Koch", "given" : "Jan C.", "non-dropping-particle" : "", "parse-names" : false, "suffix" : "" }, { "dropping-particle" : "", "family" : "B\u00e4hr", "given" : "Mathias", "non-dropping-particle" : "", "parse-names" : false, "suffix" : "" }, { "dropping-particle" : "", "family" : "Lingor", "given" : "Paul", "non-dropping-particle" : "", "parse-names" : false, "suffix" : "" } ], "container-title" : "Journal of Neurochemistry", "id" : "ITEM-1", "issue" : "2", "issued" : { "date-parts" : [ [ "2013", "1" ] ] }, "page" : "250-261", "title" : "X-ray fluorescence analysis of iron and manganese distribution in primary dopaminergic neurons", "type" : "article-journal", "volume" : "124" }, "uris" : [ "http://www.mendeley.com/documents/?uuid=ad5bc70a-b8b7-48bd-b7eb-c9631c3e41bd" ] } ], "mendeley" : { "previouslyFormattedCitation" : "[21]"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[21]</w:t>
      </w:r>
      <w:r w:rsidRPr="00D71D88">
        <w:rPr>
          <w:rFonts w:ascii="Times New Roman" w:hAnsi="Times New Roman"/>
          <w:sz w:val="24"/>
          <w:szCs w:val="24"/>
        </w:rPr>
        <w:fldChar w:fldCharType="end"/>
      </w:r>
      <w:r w:rsidRPr="00D71D88">
        <w:rPr>
          <w:rFonts w:ascii="Times New Roman" w:hAnsi="Times New Roman"/>
          <w:sz w:val="24"/>
          <w:szCs w:val="24"/>
        </w:rPr>
        <w:t xml:space="preserve">. In cells, which were not treated with Mn, it was not possible to identify local cellular areas of higher concentrations. </w:t>
      </w:r>
      <w:r w:rsidRPr="00D71D88">
        <w:rPr>
          <w:rFonts w:ascii="Times New Roman" w:hAnsi="Times New Roman"/>
          <w:sz w:val="24"/>
          <w:szCs w:val="24"/>
          <w:lang w:val="en-GB" w:eastAsia="de-DE" w:bidi="hi-IN"/>
        </w:rPr>
        <w:t xml:space="preserve">Several previous reports demonstrate localization of Mn inside of Mn-treated cells mainly focusing on mitochondria, the nucleus or the Golgi apparatus </w:t>
      </w:r>
      <w:r w:rsidRPr="00D71D88">
        <w:rPr>
          <w:rFonts w:ascii="Times New Roman" w:hAnsi="Times New Roman"/>
          <w:sz w:val="24"/>
          <w:szCs w:val="24"/>
          <w:lang w:val="en-GB" w:eastAsia="de-DE" w:bidi="hi-IN"/>
        </w:rPr>
        <w:fldChar w:fldCharType="begin" w:fldLock="1"/>
      </w:r>
      <w:r w:rsidR="003E3A96" w:rsidRPr="00D71D88">
        <w:rPr>
          <w:rFonts w:ascii="Times New Roman" w:hAnsi="Times New Roman"/>
          <w:sz w:val="24"/>
          <w:szCs w:val="24"/>
          <w:lang w:val="en-GB" w:eastAsia="de-DE" w:bidi="hi-IN"/>
        </w:rPr>
        <w:instrText>ADDIN CSL_CITATION { "citationItems" : [ { "id" : "ITEM-1", "itemData" : { "DOI" : "10.1016/j.neuro.2007.09.001", "ISSN" : "0161-813X", "PMID" : "17936361", "abstract" : "We have studied at the ultrastructural level the presence of manganese (Mn) in rat basal ganglia, which are target regions of the brain for Mn toxicity. The rats underwent a moderate level of Mn exposure induced per os for 13 weeks. Mn was detected by means of electron spectroscopy imaging (ESI) and electron energy-loss spectroscopy (EELS) analyses on perfusion fixed samples embedded in resin. While no significant contamination by exogenous Mn occurred during the processing procedures, less than 50% of endogenous Mn was lost during fixation and dehydration of the brain samples. The residual Mn ions in the samples appeared as discrete particles, localized in selected sub-cellular organelles in a cell, suggesting that no significant translocation had occurred in the surrounding area. In control rats, the Mn sub-cellular localization and relative content were the same in neurons and astrocytes of rat striatum and globus pallidus: the Mn level was highest in the heterochromatin and in the nucleolus, intermediate in the cytoplasm, and lowest in the mitochondria (p&lt;0.001). After chronic Mn treatment, while no ultrastructural damage was detected in the neurons and glial cells, the largest rate of Mn increase was noted in the mitochondria of astrocytes (+700%), an intermediate rate in the mitochondria of neurons (+200%), and the lowest rate in the nuclei (+100%) of neurons and astrocytes; the Mn level in the cytoplasm appeared unchanged. EELS analysis detected the specific spectra of Mn L(2,3) (peak at DeltaE = 665 eV) in such organelles, confirming the findings of ESI. Although a consistent loss of Mn occurred during the processing of tissue samples, ESI and EELS can be useful methods for localization of endogenous Mn in embedded tissues. The high rate of Mn sequestration in the mitochondria of astrocytes in vivo may partly explain the outstanding capacity of astrocytes to accumulate Mn, and their early dysfunction in Mn neurotoxicity. The high level of Mn in the heterochromatin and nucleoli of neurons and astrocytes in basal conditions and its further increase after Mn overload should provide insight into new avenues of investigating the role of Mn in the normal brain and a baseline for future Mn toxicity studies.", "author" : [ { "dropping-particle" : "", "family" : "Morello", "given" : "M", "non-dropping-particle" : "", "parse-names" : false, "suffix" : "" }, { "dropping-particle" : "", "family" : "Canini", "given" : "A", "non-dropping-particle" : "", "parse-names" : false, "suffix" : "" }, { "dropping-particle" : "", "family" : "Mattioli", "given" : "P", "non-dropping-particle" : "", "parse-names" : false, "suffix" : "" }, { "dropping-particle" : "", "family" : "Sorge", "given" : "R P", "non-dropping-particle" : "", "parse-names" : false, "suffix" : "" }, { "dropping-particle" : "", "family" : "Alimonti", "given" : "A", "non-dropping-particle" : "", "parse-names" : false, "suffix" : "" }, { "dropping-particle" : "", "family" : "Bocca", "given" : "B", "non-dropping-particle" : "", "parse-names" : false, "suffix" : "" }, { "dropping-particle" : "", "family" : "Forte", "given" : "G", "non-dropping-particle" : "", "parse-names" : false, "suffix" : "" }, { "dropping-particle" : "", "family" : "Martorana", "given" : "A", "non-dropping-particle" : "", "parse-names" : false, "suffix" : "" }, { "dropping-particle" : "", "family" : "Bernardi", "given" : "G", "non-dropping-particle" : "", "parse-names" : false, "suffix" : "" }, { "dropping-particle" : "", "family" : "Sancesario", "given" : "G", "non-dropping-particle" : "", "parse-names" : false, "suffix" : "" } ], "container-title" : "Neurotoxicology", "id" : "ITEM-1", "issue" : "1", "issued" : { "date-parts" : [ [ "2008", "1" ] ] }, "page" : "60-72", "publisher" : "ELSEVIER SCIENCE BV, PO BOX 211, 1000 AE AMSTERDAM, NETHERLANDS", "title" : "Sub-cellular localization of manganese in the basal ganglia of normal and manganese-treated rats An electron spectroscopy imaging and electron energy-loss spectroscopy study.", "type" : "article-journal", "volume" : "29" }, "uris" : [ "http://www.mendeley.com/documents/?uuid=62b742ad-1482-4997-ac01-c7b2a818fce8" ] }, { "id" : "ITEM-2", "itemData" : { "DOI" : "10.1016/j.neuro.2008.02.012", "ISSN" : "0161-813X", "PMID" : "18400301", "abstract" : "Manganese (Mn) is known to pass across the blood-brain barrier and interact with dopaminergic neurons. However, the knowledge on the subcellular distribution of Mn in these cell types upon exposure to Mn remained incomplete. This study was designed to investigate the subcellular distribution of Mn in blood-brain barrier endothelial RBE4 cells, blood-cerebrospinal fluid barrier choroidal epithelial Z310 cells, mesencephalic dopaminergic neuronal N27 cells, and pheochromocytoma dopaminergic PC12 cells. The cells were incubated with 100 microM MnCl(2) with radioactive tracer (54)Mn in the culture media for 24h. The subcellular organelles, i.e., nuclei, mitochondria, microsomes, and cytoplasm, were isolated by centrifugation and verified for their authenticity by determining the markers specific to cellular organelles. Data indicated that maximum Mn accumulation was observed in PC12 cells, which was 2.8, 5.2- and 5.9-fold higher than that in N27, Z310 and RBE4 cells, respectively. Within cells, about 92%, 72%, and 52% of intracellular (54)Mn were found to be present in nuclei of RBE4, Z310, and N27 cells, respectively. The recovery of (54)Mn in nuclei and cytoplasm of PC12 cells were 27% and 69%, respectively. Surprisingly, less than 0.5% and 2.5% of cellular (54)Mn was found in mitochondrial and microsomal fractions, respectively. This study suggests that the nuclei may serve as the primary pool for intracellular Mn; mitochondria and microsomes may play an insignificant role in Mn subcellular distribution.", "author" : [ { "dropping-particle" : "", "family" : "Kalia", "given" : "Kiran", "non-dropping-particle" : "", "parse-names" : false, "suffix" : "" }, { "dropping-particle" : "", "family" : "Jiang", "given" : "Wendy", "non-dropping-particle" : "", "parse-names" : false, "suffix" : "" }, { "dropping-particle" : "", "family" : "Zheng", "given" : "Wei", "non-dropping-particle" : "", "parse-names" : false, "suffix" : "" } ], "container-title" : "Neurotoxicology", "id" : "ITEM-2", "issue" : "3", "issued" : { "date-parts" : [ [ "2008", "5" ] ] }, "page" : "466-70", "publisher" : "ELSEVIER SCIENCE BV, PO BOX 211, 1000 AE AMSTERDAM, NETHERLANDS", "title" : "Manganese accumulates primarily in nuclei of cultured brain cells.", "type" : "article-journal", "volume" : "29" }, "uris" : [ "http://www.mendeley.com/documents/?uuid=d3fc3e4c-a88d-4e46-b99b-fcb104b620e6" ] }, { "id" : "ITEM-3", "itemData" : { "DOI" : "10.1021/cn900021z", "ISSN" : "1948-7193", "PMID" : "22778823", "abstract" : "Chronic exposure to manganese results in neurological symptoms referred to as manganism and is identified as a risk factor for Parkinson's disease. In vitro, manganese induces cell death in the dopaminergic cells, but the mechanisms of manganese cytotoxicity are still unexplained. In particular, the subcellular distribution of manganese and its interaction with other trace elements needed to be assessed. Applying synchrotron X-ray fluorescence nanoimaging, we found that manganese was located within the Golgi apparatus of PC12 dopaminergic cells at physiologic concentrations. At increasing concentrations, manganese accumulates within the Golgi apparatus until cytotoxic concentrations are reached resulting in a higher cytoplasmic content probably after the Golgi apparatus storage capacity is exceeded. Cell exposure to manganese and brefeldin A, a molecule known to specifically cause the collapse of the Golgi apparatus, results in the striking intracellular redistribution of manganese, which accumulates in the cytoplasm and the nucleus. These results indicate that the Golgi apparatus plays an important role in the cellular detoxification of manganese. In addition manganese exposure induces a decrease in total iron content, which could contribute to the overall neurotoxicity.", "author" : [ { "dropping-particle" : "", "family" : "Carmona", "given" : "Asunci\u00f3n", "non-dropping-particle" : "", "parse-names" : false, "suffix" : "" }, { "dropping-particle" : "", "family" : "Dev\u00e8s", "given" : "Guillaume", "non-dropping-particle" : "", "parse-names" : false, "suffix" : "" }, { "dropping-particle" : "", "family" : "Roudeau", "given" : "St\u00e9phane", "non-dropping-particle" : "", "parse-names" : false, "suffix" : "" }, { "dropping-particle" : "", "family" : "Cloetens", "given" : "Peter", "non-dropping-particle" : "", "parse-names" : false, "suffix" : "" }, { "dropping-particle" : "", "family" : "Bohic", "given" : "Sylvain", "non-dropping-particle" : "", "parse-names" : false, "suffix" : "" }, { "dropping-particle" : "", "family" : "Ortega", "given" : "Richard", "non-dropping-particle" : "", "parse-names" : false, "suffix" : "" } ], "container-title" : "ACS chemical neuroscience", "id" : "ITEM-3", "issue" : "3", "issued" : { "date-parts" : [ [ "2010", "3", "17" ] ] }, "page" : "194-203", "title" : "Manganese accumulates within golgi apparatus in dopaminergic cells as revealed by synchrotron X-ray fluorescence nanoimaging.", "type" : "article-journal", "volume" : "1" }, "uris" : [ "http://www.mendeley.com/documents/?uuid=f0d92135-d966-499b-ba1a-11a48a21cacc" ] } ], "mendeley" : { "previouslyFormattedCitation" : "[22\u201324]" }, "properties" : { "noteIndex" : 0 }, "schema" : "https://github.com/citation-style-language/schema/raw/master/csl-citation.json" }</w:instrText>
      </w:r>
      <w:r w:rsidRPr="00D71D88">
        <w:rPr>
          <w:rFonts w:ascii="Times New Roman" w:hAnsi="Times New Roman"/>
          <w:sz w:val="24"/>
          <w:szCs w:val="24"/>
          <w:lang w:val="en-GB" w:eastAsia="de-DE" w:bidi="hi-IN"/>
        </w:rPr>
        <w:fldChar w:fldCharType="separate"/>
      </w:r>
      <w:r w:rsidR="00EA7311" w:rsidRPr="00D71D88">
        <w:rPr>
          <w:rFonts w:ascii="Times New Roman" w:hAnsi="Times New Roman"/>
          <w:noProof/>
          <w:sz w:val="24"/>
          <w:szCs w:val="24"/>
          <w:lang w:val="en-GB" w:eastAsia="de-DE" w:bidi="hi-IN"/>
        </w:rPr>
        <w:t>[22–24]</w:t>
      </w:r>
      <w:r w:rsidRPr="00D71D88">
        <w:rPr>
          <w:rFonts w:ascii="Times New Roman" w:hAnsi="Times New Roman"/>
          <w:sz w:val="24"/>
          <w:szCs w:val="24"/>
          <w:lang w:val="en-GB" w:eastAsia="de-DE" w:bidi="hi-IN"/>
        </w:rPr>
        <w:fldChar w:fldCharType="end"/>
      </w:r>
      <w:r w:rsidRPr="00D71D88">
        <w:rPr>
          <w:rFonts w:ascii="Times New Roman" w:hAnsi="Times New Roman"/>
          <w:sz w:val="24"/>
          <w:szCs w:val="24"/>
        </w:rPr>
        <w:t>, respectively</w:t>
      </w:r>
      <w:r w:rsidRPr="00D71D88">
        <w:rPr>
          <w:rFonts w:ascii="Times New Roman" w:hAnsi="Times New Roman"/>
          <w:sz w:val="24"/>
          <w:szCs w:val="24"/>
          <w:lang w:val="en-GB" w:eastAsia="de-DE" w:bidi="hi-IN"/>
        </w:rPr>
        <w:t xml:space="preserve">. In our </w:t>
      </w:r>
      <w:r w:rsidR="004B3716" w:rsidRPr="00D71D88">
        <w:rPr>
          <w:rFonts w:ascii="Times New Roman" w:hAnsi="Times New Roman"/>
          <w:sz w:val="24"/>
          <w:szCs w:val="24"/>
          <w:lang w:val="en-GB" w:eastAsia="de-DE" w:bidi="hi-IN"/>
        </w:rPr>
        <w:t xml:space="preserve">experiment, </w:t>
      </w:r>
      <w:r w:rsidR="00DD0D41" w:rsidRPr="00D71D88">
        <w:rPr>
          <w:rFonts w:ascii="Times New Roman" w:hAnsi="Times New Roman"/>
          <w:sz w:val="24"/>
          <w:szCs w:val="24"/>
          <w:lang w:val="en-GB" w:eastAsia="de-DE" w:bidi="hi-IN"/>
        </w:rPr>
        <w:t xml:space="preserve">PMN </w:t>
      </w:r>
      <w:r w:rsidR="004B3716" w:rsidRPr="00D71D88">
        <w:rPr>
          <w:rFonts w:ascii="Times New Roman" w:hAnsi="Times New Roman"/>
          <w:sz w:val="24"/>
          <w:szCs w:val="24"/>
          <w:lang w:val="en-GB" w:eastAsia="de-DE" w:bidi="hi-IN"/>
        </w:rPr>
        <w:t xml:space="preserve">cells </w:t>
      </w:r>
      <w:r w:rsidRPr="00D71D88">
        <w:rPr>
          <w:rFonts w:ascii="Times New Roman" w:hAnsi="Times New Roman"/>
          <w:sz w:val="24"/>
          <w:szCs w:val="24"/>
          <w:lang w:val="en-GB" w:eastAsia="de-DE" w:bidi="hi-IN"/>
        </w:rPr>
        <w:t xml:space="preserve">cultures, which were supplemented with Mn, we observed a similar distribution in untransfected cells, where Mn was localized mainly in the cytoplasm in the perinuclear area. Interestingly, transfection with </w:t>
      </w:r>
      <w:r w:rsidRPr="00D71D88">
        <w:rPr>
          <w:rFonts w:ascii="Times New Roman" w:hAnsi="Times New Roman"/>
          <w:sz w:val="24"/>
          <w:szCs w:val="24"/>
        </w:rPr>
        <w:t xml:space="preserve">αSyn increased overall levels of Mn and its localization in the perinuclear area was even more pronounced (Figs. 5, 6). Previous reports showed that Mn treatment resulted in increased expression of αSyn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"10.1016/j.brainres.2010.08.055", "ISSN" : "1872-6240", "PMID" : "20735995", "abstract" : "Manganese has been known to induce neurological disorders. In the present study, we determined the effect of manganese on the expression of \u03b1-synuclein in PC12 cells and its role in manganese-induced cytotoxicity. We also investigated the relationship between \u03b1-synuclein expression and the change of ERK1/2 MAPK activity. In our research, manganese exposure induced the overexpression of \u03b1-synuclein, while siRNA knockdown of \u03b1-synuclein reversed manganese-induced cytotoxicity. Furthermore, manganese induced the activation of ERK1/2 MAPK. The MEK1 inhibitor PD98059, which inhibits the activation of ERK MAPK, attenuated the overexpression of \u03b1-synuclein and the cytotoxicity induced by manganese. In conclusion, our studies show that manganese may induce the overexpression of \u03b1-synuclein via ERK1/2 activation, which may play a role in manganese-induced cytotoxicity.", "author" : [ { "dropping-particle" : "", "family" : "Cai", "given" : "Tongjian", "non-dropping-particle" : "", "parse-names" : false, "suffix" : "" }, { "dropping-particle" : "", "family" : "Yao", "given" : "Ting", "non-dropping-particle" : "", "parse-names" : false, "suffix" : "" }, { "dropping-particle" : "", "family" : "Zheng", "given" : "Gang", "non-dropping-particle" : "", "parse-names" : false, "suffix" : "" }, { "dropping-particle" : "", "family" : "Chen", "given" : "Yaoming", "non-dropping-particle" : "", "parse-names" : false, "suffix" : "" }, { "dropping-particle" : "", "family" : "Du", "given" : "Kejun", "non-dropping-particle" : "", "parse-names" : false, "suffix" : "" }, { "dropping-particle" : "", "family" : "Cao", "given" : "Yunxin", "non-dropping-particle" : "", "parse-names" : false, "suffix" : "" }, { "dropping-particle" : "", "family" : "Shen", "given" : "Xuefeng", "non-dropping-particle" : "", "parse-names" : false, "suffix" : "" }, { "dropping-particle" : "", "family" : "Chen", "given" : "Jingyuan", "non-dropping-particle" : "", "parse-names" : false, "suffix" : "" }, { "dropping-particle" : "", "family" : "Luo", "given" : "Wenjing", "non-dropping-particle" : "", "parse-names" : false, "suffix" : "" } ], "container-title" : "Brain research", "id" : "ITEM-1", "issued" : { "date-parts" : [ [ "2010", "11", "4" ] ] }, "page" : "201-7", "publisher" : "ELSEVIER SCIENCE BV, PO BOX 211, 1000 AE AMSTERDAM, NETHERLANDS", "title" : "Manganese induces the overexpression of \u03b1-synuclein in PC12 cells via ERK activation.", "type" : "article-journal", "volume" : "1359" }, "uris" : [ "http://www.mendeley.com/documents/?uuid=ef3e7125-3f1f-4cf4-9a8c-9b402731c622" ] }, { "id" : "ITEM-2", "itemData" : { "DOI" : "10.1016/j.brainresbull.2009.11.007", "ISSN" : "1873-2747", "PMID" : "19932157", "abstract" : "Chronic inorganic manganese (Mn) exposure has been known to induce neurological disorders similar to Parkinson's disease (PD). Apoptosis has been shown to be involved in manganese-induced neurotoxicity. However, the up-stream molecular mechanisms for cell apoptosis are not established. alpha-Synuclein (alpha-syn) is a major component of intracellular inclusions in PD, Alzheimer's disease (AD), and other neurodegenerative disorders. We investigated the role of alpha-syn in manganese chloride (MnCl(2))-induced apoptosis. Results show that MnCl(2) enhanced transcriptional and translational alpha-syn overexpression, and apoptosis as measured by caspase-3 activity and flow cytometry. Overexpressing alpha-syn exacerbated manganese-induced apoptosis, whereas antisense alpha-syn treatment significantly reversed MnCl(2)-induced apoptosis in human neuroblastoma SH-SY5Y cells. In conclusion, our results imply that intracellular alpha-syn overexpression may be responsible for MnCl(2)-induced apoptosis.", "author" : [ { "dropping-particle" : "", "family" : "Li", "given" : "Yan", "non-dropping-particle" : "", "parse-names" : false, "suffix" : "" }, { "dropping-particle" : "", "family" : "Sun", "given" : "Liguang", "non-dropping-particle" : "", "parse-names" : false, "suffix" : "" }, { "dropping-particle" : "", "family" : "Cai", "given" : "Tongjian", "non-dropping-particle" : "", "parse-names" : false, "suffix" : "" }, { "dropping-particle" : "", "family" : "Zhang", "given" : "Ying", "non-dropping-particle" : "", "parse-names" : false, "suffix" : "" }, { "dropping-particle" : "", "family" : "Lv", "given" : "Shijie", "non-dropping-particle" : "", "parse-names" : false, "suffix" : "" }, { "dropping-particle" : "", "family" : "Wang", "given" : "Yu", "non-dropping-particle" : "", "parse-names" : false, "suffix" : "" }, { "dropping-particle" : "", "family" : "Ye", "given" : "Liping", "non-dropping-particle" : "", "parse-names" : false, "suffix" : "" } ], "container-title" : "Brain research bulletin", "id" : "ITEM-2", "issue" : "4-5", "issued" : { "date-parts" : [ [ "2010", "3", "16" ] ] }, "page" : "428-33", "publisher" : "PERGAMON-ELSEVIER SCIENCE LTD, THE BOULEVARD, LANGFORD LANE, KIDLINGTON, OXFORD OX5 1GB, ENGLAND", "title" : "alpha-Synuclein overexpression during manganese-induced apoptosis in SH-SY5Y neuroblastoma cells.", "type" : "article-journal", "volume" : "81" }, "uris" : [ "http://www.mendeley.com/documents/?uuid=bf2cee26-e0cd-41c2-860b-0a22e5eaedf5" ] } ], "mendeley" : { "previouslyFormattedCitation" : "[25, 26]" }, "properties" : { "noteIndex" : 0 }, "schema" : "https://github.com/citation-style-language/schema/raw/master/csl-citation.json" }</w:instrText>
      </w:r>
      <w:r w:rsidRPr="00D71D88">
        <w:rPr>
          <w:rFonts w:ascii="Times New Roman" w:hAnsi="Times New Roman"/>
          <w:sz w:val="24"/>
          <w:szCs w:val="24"/>
        </w:rPr>
        <w:fldChar w:fldCharType="separate"/>
      </w:r>
      <w:r w:rsidR="003E3A96" w:rsidRPr="00D71D88">
        <w:rPr>
          <w:rFonts w:ascii="Times New Roman" w:hAnsi="Times New Roman"/>
          <w:noProof/>
          <w:sz w:val="24"/>
          <w:szCs w:val="24"/>
        </w:rPr>
        <w:t>[25, 26]</w:t>
      </w:r>
      <w:r w:rsidRPr="00D71D88">
        <w:rPr>
          <w:rFonts w:ascii="Times New Roman" w:hAnsi="Times New Roman"/>
          <w:sz w:val="24"/>
          <w:szCs w:val="24"/>
        </w:rPr>
        <w:fldChar w:fldCharType="end"/>
      </w:r>
      <w:r w:rsidRPr="00D71D88">
        <w:rPr>
          <w:rFonts w:ascii="Times New Roman" w:hAnsi="Times New Roman"/>
          <w:sz w:val="24"/>
          <w:szCs w:val="24"/>
        </w:rPr>
        <w:t xml:space="preserve">. Mn also increases the rate of αSyn </w:t>
      </w:r>
      <w:r w:rsidR="0002781D" w:rsidRPr="00D71D88">
        <w:rPr>
          <w:rFonts w:ascii="Times New Roman" w:hAnsi="Times New Roman"/>
          <w:sz w:val="24"/>
          <w:szCs w:val="24"/>
        </w:rPr>
        <w:t>fibrillation</w:t>
      </w:r>
      <w:r w:rsidRPr="00D71D88">
        <w:rPr>
          <w:rFonts w:ascii="Times New Roman" w:hAnsi="Times New Roman"/>
          <w:sz w:val="24"/>
          <w:szCs w:val="24"/>
        </w:rPr>
        <w:t xml:space="preserve"> </w:t>
      </w:r>
      <w:r w:rsidRPr="00D71D88">
        <w:rPr>
          <w:rFonts w:ascii="Times New Roman" w:hAnsi="Times New Roman"/>
          <w:i/>
          <w:sz w:val="24"/>
          <w:szCs w:val="24"/>
        </w:rPr>
        <w:t>in vitro</w:t>
      </w:r>
      <w:r w:rsidRPr="00D71D88">
        <w:rPr>
          <w:rFonts w:ascii="Times New Roman" w:hAnsi="Times New Roman"/>
          <w:sz w:val="24"/>
          <w:szCs w:val="24"/>
        </w:rPr>
        <w:t xml:space="preserve">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"10.1074/jbc.M105343200", "ISSN" : "0021-9258", "PMID" : "11553618", "abstract" : "Parkinson's disease involves the aggregation of alpha-synuclein to form fibrils, which are the major constituent of intracellular protein inclusions (Lewy bodies and Lewy neurites) in dopaminergic neurons of the substantia nigra. Occupational exposure to specific metals, especially manganese, copper, lead, iron, mercury, zinc, aluminum, appears to be a risk factor for Parkinson's disease based on epidemiological studies. Elevated levels of several of these metals have also been reported in the substantia nigra of Parkinson's disease subjects. We examined the effect of various metals on the kinetics of fibrillation of recombinant alpha-synuclein and in inducing conformational changes, as monitored by biophysical techniques. Several di- and trivalent metal ions caused significant accelerations in the rate of alpha-synuclein fibril formation. Aluminum was the most effective, along with copper(II), iron(III), cobalt(III), and manganese(II). The effectiveness correlated with increasing ion charge density. A correlation was noted between efficiency in stimulating fibrillation and inducing a conformational change, ascribed to formation of a partially folded intermediate. The potential for ligand bridging by polyvalent metal ions is proposed to be an important factor in the metal-induced conformational changes of alpha-synuclein. The results indicate that low concentrations of some metals can directly induce alpha-synuclein fibril formation.", "author" : [ { "dropping-particle" : "", "family" : "Uversky", "given" : "V N", "non-dropping-particle" : "", "parse-names" : false, "suffix" : "" }, { "dropping-particle" : "", "family" : "Li", "given" : "J", "non-dropping-particle" : "", "parse-names" : false, "suffix" : "" }, { "dropping-particle" : "", "family" : "Fink", "given" : "A L", "non-dropping-particle" : "", "parse-names" : false, "suffix" : "" } ], "container-title" : "The Journal of biological chemistry", "id" : "ITEM-1", "issue" : "47", "issued" : { "date-parts" : [ [ "2001", "11", "23" ] ] }, "page" : "44284-96", "publisher" : "AMER SOC BIOCHEMISTRY MOLECULAR BIOLOGY INC, 9650 ROCKVILLE PIKE, BETHESDA, MD 20814 USA", "title" : "Metal-triggered structural transformations, aggregation, and fibrillation of human alpha-synuclein. A possible molecular NK between Parkinson's disease and heavy metal exposure.", "type" : "article-journal", "volume" : "276" }, "uris" : [ "http://www.mendeley.com/documents/?uuid=3c73e99a-6ed0-4497-a6e2-7e9130d20ebd" ] } ], "mendeley" : { "previouslyFormattedCitation" : "[27]"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[27]</w:t>
      </w:r>
      <w:r w:rsidRPr="00D71D88">
        <w:rPr>
          <w:rFonts w:ascii="Times New Roman" w:hAnsi="Times New Roman"/>
          <w:sz w:val="24"/>
          <w:szCs w:val="24"/>
        </w:rPr>
        <w:fldChar w:fldCharType="end"/>
      </w:r>
      <w:r w:rsidRPr="00D71D88">
        <w:rPr>
          <w:rFonts w:ascii="Times New Roman" w:hAnsi="Times New Roman"/>
          <w:sz w:val="24"/>
          <w:szCs w:val="24"/>
        </w:rPr>
        <w:t xml:space="preserve"> and increased αSyn-aggregation was recently observed in the brain of </w:t>
      </w:r>
      <w:r w:rsidRPr="00D71D88">
        <w:rPr>
          <w:rFonts w:ascii="Times New Roman" w:hAnsi="Times New Roman"/>
          <w:i/>
          <w:sz w:val="24"/>
          <w:szCs w:val="24"/>
        </w:rPr>
        <w:t>Cynomolgus macaques</w:t>
      </w:r>
      <w:r w:rsidRPr="00D71D88">
        <w:rPr>
          <w:rFonts w:ascii="Times New Roman" w:hAnsi="Times New Roman"/>
          <w:sz w:val="24"/>
          <w:szCs w:val="24"/>
        </w:rPr>
        <w:t xml:space="preserve"> after exposure to Mn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"10.1016/j.toxlet.2012.12.006", "ISSN" : "1879-3169", "PMID" : "23262390", "abstract" : "Aggregation of \u03b1-synuclein (\u03b1-syn) in the brain is a defining pathological feature of neurodegenerative disorders classified as synucleinopathies. They include Parkinson's disease (PD), dementia with Lewy bodies (DLB), and multiple system atrophy (MSA). Occupational and environmental exposure to manganese (Mn) is associated with a neurological syndrome consisting of psychiatric symptoms, cognitive impairment and parkinsonism. In this study, we examined \u03b1-syn immunoreactivity in the frontal cortex of Cynomolgus macaques as part of a multidisciplinary assessment of the neurological effects produced by exposure to moderate levels of Mn. We found increased \u03b1-syn-positive cells in the gray matter of Mn-exposed animals, typically observed in pyramidal and medium-sized neurons in deep cortical layers. Some of these neurons displayed loss of Nissl staining with \u03b1-syn-positive spherical aggregates. In the white matter we also observed \u03b1-syn-positive glial cells and in some cases \u03b1-syn-positive neurites. These findings suggest that Mn exposure promotes \u03b1-syn aggregation in neuronal and glial cells that may ultimately lead to degeneration in the frontal cortex gray and white matter. To our knowledge, this is the first report of Mn-induced neuronal and glial cell \u03b1-syn accumulation and aggregation in the frontal cortex of non-human primates. \u00a9 2012 Elsevier Ireland Ltd.", "author" : [ { "dropping-particle" : "", "family" : "Verina", "given" : "Tatyana", "non-dropping-particle" : "", "parse-names" : false, "suffix" : "" }, { "dropping-particle" : "", "family" : "Schneider", "given" : "Jay S.", "non-dropping-particle" : "", "parse-names" : false, "suffix" : "" }, { "dropping-particle" : "", "family" : "Guilarte", "given" : "Tom\u00e1s R.", "non-dropping-particle" : "", "parse-names" : false, "suffix" : "" } ], "container-title" : "Toxicology Letters", "id" : "ITEM-1", "issue" : "3", "issued" : { "date-parts" : [ [ "2013", "3", "13" ] ] }, "page" : "177-183", "publisher" : "Elsevier Ireland Ltd", "title" : "Manganese exposure induces \u03b1-synuclein aggregation in the frontal cortex of non-human primates", "type" : "article-journal", "volume" : "217" }, "uris" : [ "http://www.mendeley.com/documents/?uuid=2c47463a-d286-4e62-9391-16a4e8f6ed8a" ] } ], "mendeley" : { "previouslyFormattedCitation" : "[28]"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[28]</w:t>
      </w:r>
      <w:r w:rsidRPr="00D71D88">
        <w:rPr>
          <w:rFonts w:ascii="Times New Roman" w:hAnsi="Times New Roman"/>
          <w:sz w:val="24"/>
          <w:szCs w:val="24"/>
        </w:rPr>
        <w:fldChar w:fldCharType="end"/>
      </w:r>
      <w:r w:rsidRPr="00D71D88">
        <w:rPr>
          <w:rFonts w:ascii="Times New Roman" w:hAnsi="Times New Roman"/>
          <w:sz w:val="24"/>
          <w:szCs w:val="24"/>
        </w:rPr>
        <w:t xml:space="preserve">. Overexpression of αSyn in human cells seems to facilitate Mn-induced neurotoxicity through activation of the transcription factor NF-κB, the p38 MAPK kinase, and apoptotic signaling cascades, thus possibly playing a role in dopaminergic cell death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"10.1016/j.jtemb.2011.08.144", "ISSN" : "1878-3252", "PMID" : "21963226", "abstract" : "Manganese (Mn) is an essential ubiquitous trace element that is required for normal growth, development and cellular homeostasis. Exposure to high Mn levels causes a clinical disease characterized by extrapyramidal symptom resembling idiopathic Parkinson's disease (IPD). The present review focuses on the role of various transporters in maintaining brain Mn homeostasis along with recent methodological advances in real-time measurements of intracellular Mn levels. We also provide an overview on the role for Mn in IPD, discussing the similarities (and differences) between manganism and IPD, and the relationship between \u03b1-synuclein and Mn-related protein aggregation, as well as mitochondrial dysfunction, Mn and PD. Additional sections of the review discuss the link between Mn and Huntington's disease (HD), with emphasis on huntingtin function and the potential role for altered Mn homeostasis and toxicity in HD. We conclude with a brief survey on the potential role of Mn in the etiologies of Alzheimer's disease (AD), amyotrophic lateral sclerosis (ALS) and prion disease. Where possible, we discuss the mechanistic commonalities inherent to Mn-induced neurotoxicity and neurodegenerative disorders.", "author" : [ { "dropping-particle" : "", "family" : "Bowman", "given" : "Aaron B", "non-dropping-particle" : "", "parse-names" : false, "suffix" : "" }, { "dropping-particle" : "", "family" : "Kwakye", "given" : "Gunnar F", "non-dropping-particle" : "", "parse-names" : false, "suffix" : "" }, { "dropping-particle" : "", "family" : "Herrero Hern\u00e1ndez", "given" : "Elena", "non-dropping-particle" : "", "parse-names" : false, "suffix" : "" }, { "dropping-particle" : "", "family" : "Aschner", "given" : "Michael", "non-dropping-particle" : "", "parse-names" : false, "suffix" : "" } ], "container-title" : "Journal of trace elements in medicine and biology : organ of the Society for Minerals and Trace Elements (GMS)", "id" : "ITEM-1", "issue" : "4", "issued" : { "date-parts" : [ [ "2011", "12" ] ] }, "page" : "191-203", "publisher" : "ELSEVIER GMBH, URBAN &amp; FISCHER VERLAG, OFFICE JENA, P O BOX 100537, 07705 JENA, GERMANY", "title" : "Role of manganese in neurodegenerative diseases.", "type" : "article-journal", "volume" : "25" }, "uris" : [ "http://www.mendeley.com/documents/?uuid=ce90bec9-ee7a-47ae-86d2-3efd41098850" ] } ], "mendeley" : { "previouslyFormattedCitation" : "[29]"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[29]</w:t>
      </w:r>
      <w:r w:rsidRPr="00D71D88">
        <w:rPr>
          <w:rFonts w:ascii="Times New Roman" w:hAnsi="Times New Roman"/>
          <w:sz w:val="24"/>
          <w:szCs w:val="24"/>
        </w:rPr>
        <w:fldChar w:fldCharType="end"/>
      </w:r>
      <w:r w:rsidRPr="00D71D88">
        <w:rPr>
          <w:rFonts w:ascii="Times New Roman" w:hAnsi="Times New Roman"/>
          <w:sz w:val="24"/>
          <w:szCs w:val="24"/>
        </w:rPr>
        <w:t>.</w:t>
      </w:r>
      <w:r w:rsidR="00551237" w:rsidRPr="00D71D88">
        <w:rPr>
          <w:rFonts w:ascii="Times New Roman" w:hAnsi="Times New Roman"/>
          <w:sz w:val="24"/>
          <w:szCs w:val="24"/>
        </w:rPr>
        <w:t xml:space="preserve"> Our results </w:t>
      </w:r>
      <w:r w:rsidR="00A33F06" w:rsidRPr="00D71D88">
        <w:rPr>
          <w:rFonts w:ascii="Times New Roman" w:hAnsi="Times New Roman"/>
          <w:sz w:val="24"/>
          <w:szCs w:val="24"/>
        </w:rPr>
        <w:t xml:space="preserve">show a similar increase of cytotoxicity, when </w:t>
      </w:r>
      <w:r w:rsidR="007457A4" w:rsidRPr="00D71D88">
        <w:rPr>
          <w:rFonts w:ascii="Times New Roman" w:hAnsi="Times New Roman"/>
          <w:sz w:val="24"/>
          <w:szCs w:val="24"/>
        </w:rPr>
        <w:t>PMN</w:t>
      </w:r>
      <w:r w:rsidR="00A33F06" w:rsidRPr="00D71D88">
        <w:rPr>
          <w:rFonts w:ascii="Times New Roman" w:hAnsi="Times New Roman"/>
          <w:sz w:val="24"/>
          <w:szCs w:val="24"/>
        </w:rPr>
        <w:t xml:space="preserve"> were both overexpressing αSyn and treated with excess Mn (supplementary Fig. S2).</w:t>
      </w:r>
      <w:r w:rsidRPr="00D71D88">
        <w:rPr>
          <w:rFonts w:ascii="Times New Roman" w:hAnsi="Times New Roman"/>
          <w:sz w:val="24"/>
          <w:szCs w:val="24"/>
        </w:rPr>
        <w:t xml:space="preserve"> Interestingly, overexpression of the PARK9 gene encoding for ATP13A2 protected from toxicity derived from αSyn-overexpression as well as from Mn exposure, thus suggesting a pathophysiological interaction of both factors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"10.1038/ng.300", "ISSN" : "1546-1718", "PMID" : "19182805", "abstract" : "Parkinson's disease (PD), dementia with Lewy bodies and multiple system atrophy, collectively referred to as synucleinopathies, are associated with a diverse group of genetic and environmental susceptibilities. The best studied of these is PD. alpha-Synuclein (alpha-syn) has a key role in the pathogenesis of both familial and sporadic PD, but evidence linking it to other predisposition factors is limited. Here we report a strong genetic interaction between alpha-syn and the yeast ortholog of the PD-linked gene ATP13A2 (also known as PARK9). Dopaminergic neuron loss caused by alpha-syn overexpression in animal and neuronal PD models is rescued by coexpression of PARK9. Further, knockdown of the ATP13A2 ortholog in Caenorhabditis elegans enhances alpha-syn misfolding. These data provide a direct functional connection between alpha-syn and another PD susceptibility locus. Manganese exposure is an environmental risk factor linked to PD and PD-like syndromes. We discovered that yeast PARK9 helps to protect cells from manganese toxicity, revealing a connection between PD genetics (alpha-syn and PARK9) and an environmental risk factor (PARK9 and manganese). Finally, we show that additional genes from our yeast screen, with diverse functions, are potent modifiers of alpha-syn-induced neuron loss in animals, establishing a diverse, highly conserved interaction network for alpha-syn.", "author" : [ { "dropping-particle" : "", "family" : "Gitler", "given" : "Aaron D", "non-dropping-particle" : "", "parse-names" : false, "suffix" : "" }, { "dropping-particle" : "", "family" : "Chesi", "given" : "Alessandra", "non-dropping-particle" : "", "parse-names" : false, "suffix" : "" }, { "dropping-particle" : "", "family" : "Geddie", "given" : "Melissa L", "non-dropping-particle" : "", "parse-names" : false, "suffix" : "" }, { "dropping-particle" : "", "family" : "Strathearn", "given" : "Katherine E", "non-dropping-particle" : "", "parse-names" : false, "suffix" : "" }, { "dropping-particle" : "", "family" : "Hamamichi", "given" : "Shusei", "non-dropping-particle" : "", "parse-names" : false, "suffix" : "" }, { "dropping-particle" : "", "family" : "Hill", "given" : "Kathryn J", "non-dropping-particle" : "", "parse-names" : false, "suffix" : "" }, { "dropping-particle" : "", "family" : "Caldwell", "given" : "Kim A", "non-dropping-particle" : "", "parse-names" : false, "suffix" : "" }, { "dropping-particle" : "", "family" : "Caldwell", "given" : "Guy A", "non-dropping-particle" : "", "parse-names" : false, "suffix" : "" }, { "dropping-particle" : "", "family" : "Cooper", "given" : "Antony A", "non-dropping-particle" : "", "parse-names" : false, "suffix" : "" }, { "dropping-particle" : "", "family" : "Rochet", "given" : "Jean-Christophe", "non-dropping-particle" : "", "parse-names" : false, "suffix" : "" }, { "dropping-particle" : "", "family" : "Lindquist", "given" : "Susan", "non-dropping-particle" : "", "parse-names" : false, "suffix" : "" } ], "container-title" : "Nature genetics", "id" : "ITEM-1", "issue" : "3", "issued" : { "date-parts" : [ [ "2009", "3" ] ] }, "page" : "308-15", "publisher" : "NATURE PUBLISHING GROUP, 75 VARICK ST, 9TH FLR, NEW YORK, NY 10013-1917 USA", "title" : "Alpha-synuclein is part of a diverse and highly conserved interaction network that includes PARK9 and manganese toxicity.", "type" : "article-journal", "volume" : "41" }, "uris" : [ "http://www.mendeley.com/documents/?uuid=9940321b-ea8d-45f1-a787-2f8b3b2ce355" ] } ], "mendeley" : { "previouslyFormattedCitation" : "[30]"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[30]</w:t>
      </w:r>
      <w:r w:rsidRPr="00D71D88">
        <w:rPr>
          <w:rFonts w:ascii="Times New Roman" w:hAnsi="Times New Roman"/>
          <w:sz w:val="24"/>
          <w:szCs w:val="24"/>
        </w:rPr>
        <w:fldChar w:fldCharType="end"/>
      </w:r>
      <w:r w:rsidRPr="00D71D88">
        <w:rPr>
          <w:rFonts w:ascii="Times New Roman" w:hAnsi="Times New Roman"/>
          <w:sz w:val="24"/>
          <w:szCs w:val="24"/>
        </w:rPr>
        <w:t xml:space="preserve">. Here </w:t>
      </w:r>
      <w:r w:rsidRPr="00D71D88">
        <w:rPr>
          <w:rFonts w:ascii="Times New Roman" w:hAnsi="Times New Roman"/>
          <w:sz w:val="24"/>
          <w:szCs w:val="24"/>
        </w:rPr>
        <w:lastRenderedPageBreak/>
        <w:t xml:space="preserve">we show, for the first time to our knowledge, a direct </w:t>
      </w:r>
      <w:r w:rsidRPr="00D71D88">
        <w:rPr>
          <w:rFonts w:ascii="Times New Roman" w:hAnsi="Times New Roman"/>
          <w:i/>
          <w:sz w:val="24"/>
          <w:szCs w:val="24"/>
        </w:rPr>
        <w:t>in situ</w:t>
      </w:r>
      <w:r w:rsidRPr="00D71D88">
        <w:rPr>
          <w:rFonts w:ascii="Times New Roman" w:hAnsi="Times New Roman"/>
          <w:sz w:val="24"/>
          <w:szCs w:val="24"/>
        </w:rPr>
        <w:t xml:space="preserve"> visualization of increased Mn levels by overexpression of αSyn, suggesting that αSyn acts either as manganese </w:t>
      </w:r>
      <w:r w:rsidR="006B774B" w:rsidRPr="00D71D88">
        <w:rPr>
          <w:rFonts w:ascii="Times New Roman" w:hAnsi="Times New Roman"/>
          <w:sz w:val="24"/>
          <w:szCs w:val="24"/>
        </w:rPr>
        <w:t>store</w:t>
      </w:r>
      <w:r w:rsidRPr="00D71D88">
        <w:rPr>
          <w:rFonts w:ascii="Times New Roman" w:hAnsi="Times New Roman"/>
          <w:sz w:val="24"/>
          <w:szCs w:val="24"/>
        </w:rPr>
        <w:t xml:space="preserve"> by binding and retaining the intracellular Mn or that it influences the transport of Mn into the cell. </w:t>
      </w:r>
      <w:r w:rsidR="0069008E" w:rsidRPr="00D71D88">
        <w:rPr>
          <w:rFonts w:ascii="Times New Roman" w:hAnsi="Times New Roman"/>
          <w:sz w:val="24"/>
          <w:szCs w:val="24"/>
        </w:rPr>
        <w:t xml:space="preserve">Consequently, we </w:t>
      </w:r>
      <w:r w:rsidR="008C2FCC" w:rsidRPr="00D71D88">
        <w:rPr>
          <w:rFonts w:ascii="Times New Roman" w:hAnsi="Times New Roman"/>
          <w:sz w:val="24"/>
          <w:szCs w:val="24"/>
        </w:rPr>
        <w:t>have</w:t>
      </w:r>
      <w:r w:rsidR="0069008E" w:rsidRPr="00D71D88">
        <w:rPr>
          <w:rFonts w:ascii="Times New Roman" w:hAnsi="Times New Roman"/>
          <w:sz w:val="24"/>
          <w:szCs w:val="24"/>
        </w:rPr>
        <w:t xml:space="preserve"> show</w:t>
      </w:r>
      <w:r w:rsidR="008C2FCC" w:rsidRPr="00D71D88">
        <w:rPr>
          <w:rFonts w:ascii="Times New Roman" w:hAnsi="Times New Roman"/>
          <w:sz w:val="24"/>
          <w:szCs w:val="24"/>
        </w:rPr>
        <w:t>n</w:t>
      </w:r>
      <w:r w:rsidR="0069008E" w:rsidRPr="00D71D88">
        <w:rPr>
          <w:rFonts w:ascii="Times New Roman" w:hAnsi="Times New Roman"/>
          <w:sz w:val="24"/>
          <w:szCs w:val="24"/>
        </w:rPr>
        <w:t xml:space="preserve"> that </w:t>
      </w:r>
      <w:r w:rsidR="00F15D33" w:rsidRPr="00D71D88">
        <w:rPr>
          <w:rFonts w:ascii="Times New Roman" w:hAnsi="Times New Roman"/>
          <w:sz w:val="24"/>
          <w:szCs w:val="24"/>
        </w:rPr>
        <w:t>although</w:t>
      </w:r>
      <w:r w:rsidR="0069008E" w:rsidRPr="00D71D88">
        <w:rPr>
          <w:rFonts w:ascii="Times New Roman" w:hAnsi="Times New Roman"/>
          <w:sz w:val="24"/>
          <w:szCs w:val="24"/>
        </w:rPr>
        <w:t xml:space="preserve"> overexpression of αSyn </w:t>
      </w:r>
      <w:r w:rsidR="00E03AEE" w:rsidRPr="00D71D88">
        <w:rPr>
          <w:rFonts w:ascii="Times New Roman" w:hAnsi="Times New Roman"/>
          <w:sz w:val="24"/>
          <w:szCs w:val="24"/>
        </w:rPr>
        <w:t>is not accompanied by a</w:t>
      </w:r>
      <w:r w:rsidR="00BA4B15" w:rsidRPr="00D71D88">
        <w:rPr>
          <w:rFonts w:ascii="Times New Roman" w:hAnsi="Times New Roman"/>
          <w:sz w:val="24"/>
          <w:szCs w:val="24"/>
        </w:rPr>
        <w:t xml:space="preserve"> significant </w:t>
      </w:r>
      <w:r w:rsidR="00E03AEE" w:rsidRPr="00D71D88">
        <w:rPr>
          <w:rFonts w:ascii="Times New Roman" w:hAnsi="Times New Roman"/>
          <w:sz w:val="24"/>
          <w:szCs w:val="24"/>
        </w:rPr>
        <w:t>change in the expression of</w:t>
      </w:r>
      <w:r w:rsidR="00FE1D2F" w:rsidRPr="00D71D88">
        <w:rPr>
          <w:rFonts w:ascii="Times New Roman" w:hAnsi="Times New Roman"/>
          <w:sz w:val="24"/>
          <w:szCs w:val="24"/>
        </w:rPr>
        <w:t xml:space="preserve"> the most expressed</w:t>
      </w:r>
      <w:r w:rsidR="00E03AEE" w:rsidRPr="00D71D88">
        <w:rPr>
          <w:rFonts w:ascii="Times New Roman" w:hAnsi="Times New Roman"/>
          <w:sz w:val="24"/>
          <w:szCs w:val="24"/>
        </w:rPr>
        <w:t xml:space="preserve"> proteins involved in Mn </w:t>
      </w:r>
      <w:r w:rsidR="008C2FCC" w:rsidRPr="00D71D88">
        <w:rPr>
          <w:rFonts w:ascii="Times New Roman" w:hAnsi="Times New Roman"/>
          <w:sz w:val="24"/>
          <w:szCs w:val="24"/>
        </w:rPr>
        <w:t>import (DMT1 and</w:t>
      </w:r>
      <w:r w:rsidR="00E03AEE" w:rsidRPr="00D71D88">
        <w:rPr>
          <w:rFonts w:ascii="Times New Roman" w:hAnsi="Times New Roman"/>
          <w:sz w:val="24"/>
          <w:szCs w:val="24"/>
        </w:rPr>
        <w:t xml:space="preserve"> VGCC</w:t>
      </w:r>
      <w:r w:rsidR="008C2FCC" w:rsidRPr="00D71D88">
        <w:rPr>
          <w:rFonts w:ascii="Times New Roman" w:hAnsi="Times New Roman"/>
          <w:sz w:val="24"/>
          <w:szCs w:val="24"/>
        </w:rPr>
        <w:t xml:space="preserve">), </w:t>
      </w:r>
      <w:r w:rsidR="005419EB" w:rsidRPr="00D71D88">
        <w:rPr>
          <w:rFonts w:ascii="Times New Roman" w:hAnsi="Times New Roman"/>
          <w:sz w:val="24"/>
          <w:szCs w:val="24"/>
        </w:rPr>
        <w:t xml:space="preserve">there is a </w:t>
      </w:r>
      <w:r w:rsidR="008C2FCC" w:rsidRPr="00D71D88">
        <w:rPr>
          <w:rFonts w:ascii="Times New Roman" w:hAnsi="Times New Roman"/>
          <w:sz w:val="24"/>
          <w:szCs w:val="24"/>
        </w:rPr>
        <w:t xml:space="preserve">strong trend to less expression of </w:t>
      </w:r>
      <w:r w:rsidR="00E03AEE" w:rsidRPr="00D71D88">
        <w:rPr>
          <w:rFonts w:ascii="Times New Roman" w:hAnsi="Times New Roman"/>
          <w:sz w:val="24"/>
          <w:szCs w:val="24"/>
        </w:rPr>
        <w:t>F</w:t>
      </w:r>
      <w:r w:rsidR="00BA4B15" w:rsidRPr="00D71D88">
        <w:rPr>
          <w:rFonts w:ascii="Times New Roman" w:hAnsi="Times New Roman"/>
          <w:sz w:val="24"/>
          <w:szCs w:val="24"/>
        </w:rPr>
        <w:t>pn</w:t>
      </w:r>
      <w:r w:rsidR="00E03AEE" w:rsidRPr="00D71D88">
        <w:rPr>
          <w:rFonts w:ascii="Times New Roman" w:hAnsi="Times New Roman"/>
          <w:sz w:val="24"/>
          <w:szCs w:val="24"/>
        </w:rPr>
        <w:t xml:space="preserve">1. </w:t>
      </w:r>
      <w:r w:rsidR="005419EB" w:rsidRPr="00D71D88">
        <w:rPr>
          <w:rFonts w:ascii="Times New Roman" w:hAnsi="Times New Roman"/>
          <w:sz w:val="24"/>
          <w:szCs w:val="24"/>
        </w:rPr>
        <w:t>Over time, this could result in increased intracellular Mn levels. Furthermore</w:t>
      </w:r>
      <w:r w:rsidR="00266EDC" w:rsidRPr="00D71D88">
        <w:rPr>
          <w:rFonts w:ascii="Times New Roman" w:hAnsi="Times New Roman"/>
          <w:sz w:val="24"/>
          <w:szCs w:val="24"/>
        </w:rPr>
        <w:t>, Mn release was significantly attenuated by ~20 % in αSyn</w:t>
      </w:r>
      <w:r w:rsidR="004B2E8D" w:rsidRPr="00D71D88">
        <w:rPr>
          <w:rFonts w:ascii="Times New Roman" w:hAnsi="Times New Roman"/>
          <w:sz w:val="24"/>
          <w:szCs w:val="24"/>
        </w:rPr>
        <w:t xml:space="preserve">-overexpressing cultures. Since αSyn </w:t>
      </w:r>
      <w:r w:rsidR="00437BEA" w:rsidRPr="00D71D88">
        <w:rPr>
          <w:rFonts w:ascii="Times New Roman" w:hAnsi="Times New Roman"/>
          <w:sz w:val="24"/>
          <w:szCs w:val="24"/>
        </w:rPr>
        <w:t xml:space="preserve">directly interacts and binds to Mn, we propose that it </w:t>
      </w:r>
      <w:r w:rsidR="00893986" w:rsidRPr="00D71D88">
        <w:rPr>
          <w:rFonts w:ascii="Times New Roman" w:hAnsi="Times New Roman"/>
          <w:sz w:val="24"/>
          <w:szCs w:val="24"/>
        </w:rPr>
        <w:t>can act</w:t>
      </w:r>
      <w:r w:rsidR="00437BEA" w:rsidRPr="00D71D88">
        <w:rPr>
          <w:rFonts w:ascii="Times New Roman" w:hAnsi="Times New Roman"/>
          <w:sz w:val="24"/>
          <w:szCs w:val="24"/>
        </w:rPr>
        <w:t xml:space="preserve"> like an intracellular </w:t>
      </w:r>
      <w:r w:rsidR="00681871" w:rsidRPr="00D71D88">
        <w:rPr>
          <w:rFonts w:ascii="Times New Roman" w:hAnsi="Times New Roman"/>
          <w:sz w:val="24"/>
          <w:szCs w:val="24"/>
        </w:rPr>
        <w:t>store</w:t>
      </w:r>
      <w:r w:rsidR="00CC345C" w:rsidRPr="00D71D88">
        <w:rPr>
          <w:rFonts w:ascii="Times New Roman" w:hAnsi="Times New Roman"/>
          <w:sz w:val="24"/>
          <w:szCs w:val="24"/>
        </w:rPr>
        <w:t xml:space="preserve"> for Mn.</w:t>
      </w:r>
      <w:r w:rsidR="00BA4B15" w:rsidRPr="00D71D88">
        <w:rPr>
          <w:rFonts w:ascii="Times New Roman" w:hAnsi="Times New Roman"/>
          <w:sz w:val="24"/>
          <w:szCs w:val="24"/>
        </w:rPr>
        <w:t xml:space="preserve"> </w:t>
      </w:r>
    </w:p>
    <w:p w14:paraId="33FCA065" w14:textId="77777777" w:rsidR="003C73D7" w:rsidRPr="00D71D88" w:rsidRDefault="003C73D7" w:rsidP="00345107">
      <w:pPr>
        <w:spacing w:line="360" w:lineRule="auto"/>
        <w:ind w:firstLine="720"/>
        <w:jc w:val="both"/>
        <w:rPr>
          <w:rFonts w:ascii="Times New Roman" w:hAnsi="Times New Roman"/>
          <w:sz w:val="24"/>
          <w:szCs w:val="24"/>
        </w:rPr>
      </w:pPr>
      <w:r w:rsidRPr="00D71D88">
        <w:rPr>
          <w:rFonts w:ascii="Times New Roman" w:hAnsi="Times New Roman"/>
          <w:sz w:val="24"/>
          <w:szCs w:val="24"/>
        </w:rPr>
        <w:t>High-resolution</w:t>
      </w:r>
      <w:r w:rsidR="00CC3D94" w:rsidRPr="00D71D88">
        <w:rPr>
          <w:rFonts w:ascii="Times New Roman" w:hAnsi="Times New Roman"/>
          <w:sz w:val="24"/>
          <w:szCs w:val="24"/>
        </w:rPr>
        <w:t xml:space="preserve"> </w:t>
      </w:r>
      <w:r w:rsidR="00B57E2D" w:rsidRPr="00D71D88">
        <w:rPr>
          <w:rFonts w:ascii="Times New Roman" w:hAnsi="Times New Roman"/>
          <w:sz w:val="24"/>
          <w:szCs w:val="24"/>
        </w:rPr>
        <w:t xml:space="preserve">XRF </w:t>
      </w:r>
      <w:r w:rsidRPr="00D71D88">
        <w:rPr>
          <w:rFonts w:ascii="Times New Roman" w:hAnsi="Times New Roman"/>
          <w:sz w:val="24"/>
          <w:szCs w:val="24"/>
        </w:rPr>
        <w:t xml:space="preserve">imaging also permitted us to study the subcellular spatial distribution of all elements. In general, midbrain neurons showed mostly cytoplasmic localization of Mn, often in the perinuclear region with a polarized pattern: in neurons with a clearly identifiable neuritic process Mn was especially prominent in the part of cytoplasm, which was oriented to the neurite. This distribution was previously described, and the Golgi apparatus was proposed as the site of principal Mn accumulation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"10.1111/jnc.12073", "ISSN" : "1471-4159", "PMID" : "23106162", "abstract" : "Transition metals have been suggested to play a pivotal role in the pathogenesis of Parkinson's disease. X-ray microscopy combined with a cryogenic setup is a powerful method for elemental imaging in low concentrations and high resolution in intact cells, eliminating the need for fixation and sectioning of the specimen. Here, we performed an elemental distribution analysis in cultured primary midbrain neurons with a step size in the order of 300 nm and ~ 0.1 ppm sensitivity under cryo conditions by using X-ray fluorescence microscopy. We report the elemental mappings on the subcellular level in primary mouse dopaminergic (DAergic) and non-DAergic neurons after treatment with transition metals. Application of Fe(2+) resulted in largely extracellular accumulation of iron without preference for the neuronal transmitter subtype. A quantification of different Fe oxidation states was performed using X-ray absorption near edge structure analysis. After treatment with Mn(2+) , a cytoplasmic/paranuclear localization of Mn was observed preferentially in DAergic neurons, while no prominent signal was detectable after Mn(3+) treatment. Immunocytochemical analysis correlated the preferential Mn uptake to increased expression of voltage-gated calcium channels in DAergic neurons. We discuss the implications of this differential elemental distribution for the selective vulnerability of DAergic neurons and Parkinson's disease pathogenesis.", "author" : [ { "dropping-particle" : "", "family" : "Du\u010di\u0107", "given" : "Tanja", "non-dropping-particle" : "", "parse-names" : false, "suffix" : "" }, { "dropping-particle" : "", "family" : "Barski", "given" : "Elisabeth", "non-dropping-particle" : "", "parse-names" : false, "suffix" : "" }, { "dropping-particle" : "", "family" : "Salome", "given" : "Murielle", "non-dropping-particle" : "", "parse-names" : false, "suffix" : "" }, { "dropping-particle" : "", "family" : "Koch", "given" : "Jan C.", "non-dropping-particle" : "", "parse-names" : false, "suffix" : "" }, { "dropping-particle" : "", "family" : "B\u00e4hr", "given" : "Mathias", "non-dropping-particle" : "", "parse-names" : false, "suffix" : "" }, { "dropping-particle" : "", "family" : "Lingor", "given" : "Paul", "non-dropping-particle" : "", "parse-names" : false, "suffix" : "" } ], "container-title" : "Journal of Neurochemistry", "id" : "ITEM-1", "issue" : "2", "issued" : { "date-parts" : [ [ "2013", "1" ] ] }, "page" : "250-261", "title" : "X-ray fluorescence analysis of iron and manganese distribution in primary dopaminergic neurons", "type" : "article-journal", "volume" : "124" }, "uris" : [ "http://www.mendeley.com/documents/?uuid=ad5bc70a-b8b7-48bd-b7eb-c9631c3e41bd" ] }, { "id" : "ITEM-2", "itemData" : { "DOI" : "10.1021/cn900021z", "ISSN" : "1948-7193", "PMID" : "22778823", "abstract" : "Chronic exposure to manganese results in neurological symptoms referred to as manganism and is identified as a risk factor for Parkinson's disease. In vitro, manganese induces cell death in the dopaminergic cells, but the mechanisms of manganese cytotoxicity are still unexplained. In particular, the subcellular distribution of manganese and its interaction with other trace elements needed to be assessed. Applying synchrotron X-ray fluorescence nanoimaging, we found that manganese was located within the Golgi apparatus of PC12 dopaminergic cells at physiologic concentrations. At increasing concentrations, manganese accumulates within the Golgi apparatus until cytotoxic concentrations are reached resulting in a higher cytoplasmic content probably after the Golgi apparatus storage capacity is exceeded. Cell exposure to manganese and brefeldin A, a molecule known to specifically cause the collapse of the Golgi apparatus, results in the striking intracellular redistribution of manganese, which accumulates in the cytoplasm and the nucleus. These results indicate that the Golgi apparatus plays an important role in the cellular detoxification of manganese. In addition manganese exposure induces a decrease in total iron content, which could contribute to the overall neurotoxicity.", "author" : [ { "dropping-particle" : "", "family" : "Carmona", "given" : "Asunci\u00f3n", "non-dropping-particle" : "", "parse-names" : false, "suffix" : "" }, { "dropping-particle" : "", "family" : "Dev\u00e8s", "given" : "Guillaume", "non-dropping-particle" : "", "parse-names" : false, "suffix" : "" }, { "dropping-particle" : "", "family" : "Roudeau", "given" : "St\u00e9phane", "non-dropping-particle" : "", "parse-names" : false, "suffix" : "" }, { "dropping-particle" : "", "family" : "Cloetens", "given" : "Peter", "non-dropping-particle" : "", "parse-names" : false, "suffix" : "" }, { "dropping-particle" : "", "family" : "Bohic", "given" : "Sylvain", "non-dropping-particle" : "", "parse-names" : false, "suffix" : "" }, { "dropping-particle" : "", "family" : "Ortega", "given" : "Richard", "non-dropping-particle" : "", "parse-names" : false, "suffix" : "" } ], "container-title" : "ACS chemical neuroscience", "id" : "ITEM-2", "issue" : "3", "issued" : { "date-parts" : [ [ "2010", "3", "17" ] ] }, "page" : "194-203", "title" : "Manganese accumulates within golgi apparatus in dopaminergic cells as revealed by synchrotron X-ray fluorescence nanoimaging.", "type" : "article-journal", "volume" : "1" }, "uris" : [ "http://www.mendeley.com/documents/?uuid=f0d92135-d966-499b-ba1a-11a48a21cacc" ] }, { "id" : "ITEM-3", "itemData" : { "DOI" : "10.1039/c4mt00012a", "ISSN" : "1756-591X", "PMID" : "24549144", "abstract" : "Manganese is a neurotoxic element that leads to severe neurological disorders when excessive exposure occurs, mainly in occupational settings, but that can also lead to more subtle neurological deficits, especially to the dopaminergic system, under lower exposure conditions. Mn exists in a variety of chemical species in the environment but the influence of Mn speciation on its neurotoxicity has not been fully evaluated yet. In this study we compared the cytotoxicity towards dopamine producing cells of environmental Mn compounds with a diversity of physico-chemical forms: inorganic compounds having distinct oxidation states and solubility (MnCl2, MnSO4, and Mn2O3) and organic compounds such as MMT, a gasoline additive, and maneb, a Mn-dithiocarbamate fungicide. We observed that maneb exhibited the highest toxicity, followed by MnCl2, MnSO4 and MMT which resulted in a similar intermediate toxicity, the less toxic compound being the insoluble compound Mn2O3. We combined micro-SXRF (Synchrotron X-Ray Fluorescence) for imaging and micro-XANES (X-ray Absorption Near Edge Structure) to determine the Mn oxidation state at the single cell level. Mn2O3 readily entered the cell but remained in its initial state as Mn(iii) particles within the cytoplasm. The lack of toxicity of Mn2O3 can be explained by its insolubility. For all the other compounds, Mn(ii) was observed and was located mainly in the Golgi apparatus, probably for detoxification purposes via exocytosis. Organic compounds MMT and maneb were degraded releasing Mn and behaved similar to the soluble Mn(ii) inorganic compounds. Maneb cytotoxicity was higher probably because of the combined toxicity due to both Mn and dithiocarbamate residues. Overall these results raise the concern about environmental exposure to Mn since either inhalation of Mn combustion products or ingestion of contaminated food and drinking water will end up in neurotoxic soluble and bioavailable Mn species.", "author" : [ { "dropping-particle" : "", "family" : "Carmona", "given" : "Asuncion", "non-dropping-particle" : "", "parse-names" : false, "suffix" : "" }, { "dropping-particle" : "", "family" : "Roudeau", "given" : "St\u00e9phane", "non-dropping-particle" : "", "parse-names" : false, "suffix" : "" }, { "dropping-particle" : "", "family" : "Perrin", "given" : "Laura", "non-dropping-particle" : "", "parse-names" : false, "suffix" : "" }, { "dropping-particle" : "", "family" : "Veronesi", "given" : "Giulia", "non-dropping-particle" : "", "parse-names" : false, "suffix" : "" }, { "dropping-particle" : "", "family" : "Ortega", "given" : "Richard", "non-dropping-particle" : "", "parse-names" : false, "suffix" : "" } ], "container-title" : "Metallomics : integrated biometal science", "id" : "ITEM-3", "issue" : "4", "issued" : { "date-parts" : [ [ "2014", "4" ] ] }, "page" : "822-32", "title" : "Environmental manganese compounds accumulate as Mn(ii) within the Golgi apparatus of dopamine cells: relationship between speciation, subcellular distribution, and cytotoxicity.", "type" : "article-journal", "volume" : "6" }, "uris" : [ "http://www.mendeley.com/documents/?uuid=4f9ac287-34f1-415a-a08f-547577bb147e" ] } ], "mendeley" : { "previouslyFormattedCitation" : "[21, 24, 31]" }, "properties" : { "noteIndex" : 0 }, "schema" : "https://github.com/citation-style-language/schema/raw/master/csl-citation.json" }</w:instrText>
      </w:r>
      <w:r w:rsidRPr="00D71D88">
        <w:rPr>
          <w:rFonts w:ascii="Times New Roman" w:hAnsi="Times New Roman"/>
          <w:sz w:val="24"/>
          <w:szCs w:val="24"/>
        </w:rPr>
        <w:fldChar w:fldCharType="separate"/>
      </w:r>
      <w:r w:rsidR="003E3A96" w:rsidRPr="00D71D88">
        <w:rPr>
          <w:rFonts w:ascii="Times New Roman" w:hAnsi="Times New Roman"/>
          <w:noProof/>
          <w:sz w:val="24"/>
          <w:szCs w:val="24"/>
        </w:rPr>
        <w:t>[21, 24, 31]</w:t>
      </w:r>
      <w:r w:rsidRPr="00D71D88">
        <w:rPr>
          <w:rFonts w:ascii="Times New Roman" w:hAnsi="Times New Roman"/>
          <w:sz w:val="24"/>
          <w:szCs w:val="24"/>
        </w:rPr>
        <w:fldChar w:fldCharType="end"/>
      </w:r>
      <w:r w:rsidRPr="00D71D88">
        <w:rPr>
          <w:rFonts w:ascii="Times New Roman" w:hAnsi="Times New Roman"/>
          <w:sz w:val="24"/>
          <w:szCs w:val="24"/>
        </w:rPr>
        <w:t>. High levels of Mn were recently shown to exert neurotoxic effects in neurons through inhibition of the secretory pathway Ca</w:t>
      </w:r>
      <w:r w:rsidRPr="00D71D88">
        <w:rPr>
          <w:rFonts w:ascii="Times New Roman" w:hAnsi="Times New Roman"/>
          <w:sz w:val="24"/>
          <w:szCs w:val="24"/>
          <w:vertAlign w:val="superscript"/>
        </w:rPr>
        <w:t>2+</w:t>
      </w:r>
      <w:r w:rsidRPr="00D71D88">
        <w:rPr>
          <w:rFonts w:ascii="Times New Roman" w:hAnsi="Times New Roman"/>
          <w:sz w:val="24"/>
          <w:szCs w:val="24"/>
        </w:rPr>
        <w:t>/Mn</w:t>
      </w:r>
      <w:r w:rsidRPr="00D71D88">
        <w:rPr>
          <w:rFonts w:ascii="Times New Roman" w:hAnsi="Times New Roman"/>
          <w:sz w:val="24"/>
          <w:szCs w:val="24"/>
          <w:vertAlign w:val="superscript"/>
        </w:rPr>
        <w:t>2+</w:t>
      </w:r>
      <w:r w:rsidRPr="00D71D88">
        <w:rPr>
          <w:rFonts w:ascii="Times New Roman" w:hAnsi="Times New Roman"/>
          <w:sz w:val="24"/>
          <w:szCs w:val="24"/>
        </w:rPr>
        <w:t xml:space="preserve">-ATPase (SPCA) in the Golgi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"10.1111/j.1471-4159.2012.07888.x", "ISSN" : "1471-4159", "PMID" : "22845487", "abstract" : "Excess Mn(2+) in humans causes a neurological disorder known as manganism, which shares symptoms with Parkinson's disease. However, the cellular mechanisms underlying Mn(2+) -neurotoxicity and the involvement of Mn(2+) -transporters in cellular homeostasis and repair are poorly understood and require further investigation. In this work, we have analyzed the effect of Mn(2+) on neurons and glia from mice in primary cultures. Mn(2+) overload compromised survival of both cell types, specifically affecting cellular integrity and Golgi organization, where the secretory pathway Ca(2+) /Mn(2+) -ATPase is localized. This ATP-driven Mn(2+) transporter might take part in Mn(2+) accumulation/detoxification at low loads of Mn(2+) , but its ATPase activity is inhibited at high concentration of Mn(2+) . Glial cells appear to be significantly more resistant to this toxicity than neurons and their presence in cocultures provided some protection to neurons against degeneration induced by Mn(2+) . Interestingly, the Mn(2+) toxicity was partially reversed upon Mn(2+) removal by wash out or by the addition of EDTA as a chelating agent, in particular in glial cells. These studies provide data on Mn(2+) neurotoxicity and may contribute to explore new therapeutic approaches for reducing Mn(2+) poisoning.", "author" : [ { "dropping-particle" : "", "family" : "Sep\u00falveda", "given" : "M Rosario", "non-dropping-particle" : "", "parse-names" : false, "suffix" : "" }, { "dropping-particle" : "", "family" : "Wuytack", "given" : "Frank", "non-dropping-particle" : "", "parse-names" : false, "suffix" : "" }, { "dropping-particle" : "", "family" : "Mata", "given" : "Ana M", "non-dropping-particle" : "", "parse-names" : false, "suffix" : "" } ], "container-title" : "Journal of neurochemistry", "id" : "ITEM-1", "issue" : "5", "issued" : { "date-parts" : [ [ "2012", "12" ] ] }, "page" : "824-36", "publisher" : "WILEY-BLACKWELL, 111 RIVER ST, HOBOKEN 07030-577407030-5774, NJ USA", "title" : "High levels of Mn\u00b2\u207a inhibit secretory pathway Ca\u00b2\u207a/Mn\u00b2\u207a-ATPase (SPCA) activity and cause Golgi fragmentation in neurons and glia.", "type" : "article-journal", "volume" : "123" }, "uris" : [ "http://www.mendeley.com/documents/?uuid=0f6befbb-a854-4f76-b01a-87123d1346ab" ] } ], "mendeley" : { "previouslyFormattedCitation" : "[32]"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[32]</w:t>
      </w:r>
      <w:r w:rsidRPr="00D71D88">
        <w:rPr>
          <w:rFonts w:ascii="Times New Roman" w:hAnsi="Times New Roman"/>
          <w:sz w:val="24"/>
          <w:szCs w:val="24"/>
        </w:rPr>
        <w:fldChar w:fldCharType="end"/>
      </w:r>
      <w:r w:rsidRPr="00D71D88">
        <w:rPr>
          <w:rFonts w:ascii="Times New Roman" w:hAnsi="Times New Roman"/>
          <w:sz w:val="24"/>
          <w:szCs w:val="24"/>
        </w:rPr>
        <w:t xml:space="preserve">. Our present examination resolves this distribution in significantly greater detail and also permitted us to clearly visualize Mn-rich foci in neuritic processes. These were of similar size as the Mn-rich areas of the cytoplasm and varied between a punctate/patchy and a filamentous appearance. Although a direct overlay of immunocytochemistry and X-ray fluorescence technically is not feasible, the comparison of Mn distribution and </w:t>
      </w:r>
      <w:r w:rsidR="002E0906" w:rsidRPr="00D71D88">
        <w:rPr>
          <w:rFonts w:ascii="Times New Roman" w:hAnsi="Times New Roman"/>
          <w:sz w:val="24"/>
          <w:szCs w:val="24"/>
        </w:rPr>
        <w:t>divalent metal transporter (</w:t>
      </w:r>
      <w:r w:rsidRPr="00D71D88">
        <w:rPr>
          <w:rFonts w:ascii="Times New Roman" w:hAnsi="Times New Roman"/>
          <w:sz w:val="24"/>
          <w:szCs w:val="24"/>
        </w:rPr>
        <w:t>DMT</w:t>
      </w:r>
      <w:r w:rsidR="002E0906" w:rsidRPr="00D71D88">
        <w:rPr>
          <w:rFonts w:ascii="Times New Roman" w:hAnsi="Times New Roman"/>
          <w:sz w:val="24"/>
          <w:szCs w:val="24"/>
        </w:rPr>
        <w:t>)</w:t>
      </w:r>
      <w:r w:rsidRPr="00D71D88">
        <w:rPr>
          <w:rFonts w:ascii="Times New Roman" w:hAnsi="Times New Roman"/>
          <w:sz w:val="24"/>
          <w:szCs w:val="24"/>
        </w:rPr>
        <w:t>1/</w:t>
      </w:r>
      <w:r w:rsidR="009A3389" w:rsidRPr="00D71D88">
        <w:rPr>
          <w:rFonts w:ascii="Times New Roman" w:hAnsi="Times New Roman"/>
          <w:sz w:val="24"/>
          <w:szCs w:val="24"/>
        </w:rPr>
        <w:t xml:space="preserve"> (</w:t>
      </w:r>
      <w:r w:rsidRPr="00D71D88">
        <w:rPr>
          <w:rFonts w:ascii="Times New Roman" w:hAnsi="Times New Roman"/>
          <w:sz w:val="24"/>
          <w:szCs w:val="24"/>
        </w:rPr>
        <w:t>MnSOD</w:t>
      </w:r>
      <w:r w:rsidR="009A3389" w:rsidRPr="00D71D88">
        <w:rPr>
          <w:rFonts w:ascii="Times New Roman" w:hAnsi="Times New Roman"/>
          <w:sz w:val="24"/>
          <w:szCs w:val="24"/>
        </w:rPr>
        <w:t>)</w:t>
      </w:r>
      <w:r w:rsidRPr="00D71D88">
        <w:rPr>
          <w:rFonts w:ascii="Times New Roman" w:hAnsi="Times New Roman"/>
          <w:sz w:val="24"/>
          <w:szCs w:val="24"/>
        </w:rPr>
        <w:t xml:space="preserve"> expression revealed a remarkable match. Since we did not detect much Mn outside of these structures, it is likely that a majority of the intracellular Mn is localized to cytoplasmic or neuritic DMT1 in organelles </w:t>
      </w:r>
      <w:r w:rsidR="005F412B" w:rsidRPr="00D71D88">
        <w:rPr>
          <w:rFonts w:ascii="Times New Roman" w:hAnsi="Times New Roman"/>
          <w:sz w:val="24"/>
          <w:szCs w:val="24"/>
        </w:rPr>
        <w:t xml:space="preserve">as well as in </w:t>
      </w:r>
      <w:r w:rsidRPr="00D71D88">
        <w:rPr>
          <w:rFonts w:ascii="Times New Roman" w:hAnsi="Times New Roman"/>
          <w:sz w:val="24"/>
          <w:szCs w:val="24"/>
        </w:rPr>
        <w:t>mitochondrial MnSOD. Previous reports demonstrated that Mn</w:t>
      </w:r>
      <w:r w:rsidRPr="00D71D88">
        <w:rPr>
          <w:rFonts w:ascii="Times New Roman" w:hAnsi="Times New Roman"/>
          <w:sz w:val="24"/>
          <w:szCs w:val="24"/>
          <w:vertAlign w:val="superscript"/>
        </w:rPr>
        <w:t>2+</w:t>
      </w:r>
      <w:r w:rsidRPr="00D71D88">
        <w:rPr>
          <w:rFonts w:ascii="Times New Roman" w:hAnsi="Times New Roman"/>
          <w:sz w:val="24"/>
          <w:szCs w:val="24"/>
        </w:rPr>
        <w:t xml:space="preserve"> is sequestered by brain mitochondria </w:t>
      </w:r>
      <w:r w:rsidRPr="00D71D88">
        <w:rPr>
          <w:rFonts w:ascii="Times New Roman" w:hAnsi="Times New Roman"/>
          <w:i/>
          <w:sz w:val="24"/>
          <w:szCs w:val="24"/>
        </w:rPr>
        <w:t>via</w:t>
      </w:r>
      <w:r w:rsidRPr="00D71D88">
        <w:rPr>
          <w:rFonts w:ascii="Times New Roman" w:hAnsi="Times New Roman"/>
          <w:sz w:val="24"/>
          <w:szCs w:val="24"/>
        </w:rPr>
        <w:t xml:space="preserve"> the mitochondrial Ca</w:t>
      </w:r>
      <w:r w:rsidRPr="00D71D88">
        <w:rPr>
          <w:rFonts w:ascii="Times New Roman" w:hAnsi="Times New Roman"/>
          <w:sz w:val="24"/>
          <w:szCs w:val="24"/>
          <w:vertAlign w:val="superscript"/>
        </w:rPr>
        <w:t>2+</w:t>
      </w:r>
      <w:r w:rsidRPr="00D71D88">
        <w:rPr>
          <w:rFonts w:ascii="Times New Roman" w:hAnsi="Times New Roman"/>
          <w:sz w:val="24"/>
          <w:szCs w:val="24"/>
        </w:rPr>
        <w:t xml:space="preserve"> uniporter and is able to interfere there with F1ATPase and complex I-dependent oxidative phosphorylation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"ISSN" : "0161-813X", "abstract" : "Mn2+ is sequestered by liver and brain mitochondria via the mitochondrial Ca2+ uniporter. The mitochondrial Ca2+ uniporter is a cooperative transport mechanism possessing an external activation site and a transport site. Ca2+ binding to the activation site greatly increases the velocity of uptake of both Ca2+ and Mn2+. Electron paramagnetic resonance (EPR) shows that over 97% of the Mn2+ in the mitochondrial matrix is normally bound to the membrane or to matrix proteins. EPR measurements of manganese within living isolated mitochondria can be repeat-ed for hours, and during this time most of the manganese remains in the Mn2+ state. Mn2+ is transported out of mitochondria via the very slow Na+-independent efflux mechanism, which is an active (energy-requiring) mechanism. Mn2+ is not significantly transported over the Na+-dependent efflux mechanism, which is the dominant efflux mechanism in heart and brain mitochondria. Mn2+ inhibits the efflux of Ca2+ through both of these efflux mechanisms, having an apparent K-i of 7.9 nmol/mg protein on the Na+-independent efflux mechanism and an apparent K-i of 5.1 nmol/mg on the Na+-dependent efflux mechanism. Mn2+ inhibition of Ca2+ efflux may increase the probability of the mitochondria undergoing the mitochondrial permeability transition (MPT). Intramitochondrial Mn2+ also inhibits State 3 mitochondrial respiration using either succinate or malate plus glutamate as substrate. The data suggest that Mn2+ depletes cellular energy supplies by interfering with oxidative phosphorylation at the level of the F(1)ATPase and at much higher concentrations, at Complex I. Effects such as these could lead to apoptosis in active neurons. (C) 1999 Inter Press, Inc.", "author" : [ { "dropping-particle" : "", "family" : "Gavin", "given" : "CE", "non-dropping-particle" : "", "parse-names" : false, "suffix" : "" }, { "dropping-particle" : "", "family" : "Gunter", "given" : "KK", "non-dropping-particle" : "", "parse-names" : false, "suffix" : "" }, { "dropping-particle" : "", "family" : "Gunter", "given" : "TE", "non-dropping-particle" : "", "parse-names" : false, "suffix" : "" } ], "container-title" : "NEUROTOXICOLOGY", "id" : "ITEM-1", "issue" : "2-3", "issued" : { "date-parts" : [ [ "0" ] ] }, "page" : "445-453", "publisher" : "INTOX PRESS INC, PO BOX 24865, LITTLE ROCK, AR 72221 USA", "title" : "Manganese and calcium transport in mitochondria: Implications for manganese toxicity", "type" : "article-journal", "volume" : "20" }, "uris" : [ "http://www.mendeley.com/documents/?uuid=b845c5d3-dc2f-46c4-94d1-37c766b74eb6" ] } ], "mendeley" : { "previouslyFormattedCitation" : "[33]"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[33]</w:t>
      </w:r>
      <w:r w:rsidRPr="00D71D88">
        <w:rPr>
          <w:rFonts w:ascii="Times New Roman" w:hAnsi="Times New Roman"/>
          <w:sz w:val="24"/>
          <w:szCs w:val="24"/>
        </w:rPr>
        <w:fldChar w:fldCharType="end"/>
      </w:r>
      <w:r w:rsidRPr="00D71D88">
        <w:rPr>
          <w:rFonts w:ascii="Times New Roman" w:hAnsi="Times New Roman"/>
          <w:sz w:val="24"/>
          <w:szCs w:val="24"/>
        </w:rPr>
        <w:t>. This could result in a reduction of cellular viability and it is striking that in our measurements we find a significant and marked reduction of K</w:t>
      </w:r>
      <w:r w:rsidR="00DD0D41" w:rsidRPr="00D71D88">
        <w:rPr>
          <w:rFonts w:ascii="Times New Roman" w:hAnsi="Times New Roman"/>
          <w:sz w:val="24"/>
          <w:szCs w:val="24"/>
        </w:rPr>
        <w:t xml:space="preserve"> in cells transfected with αSyn</w:t>
      </w:r>
      <w:r w:rsidRPr="00D71D88">
        <w:rPr>
          <w:rFonts w:ascii="Times New Roman" w:hAnsi="Times New Roman"/>
          <w:sz w:val="24"/>
          <w:szCs w:val="24"/>
        </w:rPr>
        <w:t xml:space="preserve">, which is an established finding in cells undergoing apoptosis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"abstract" : "Recent data suggest that changes in ionic content, primarily potassium, play a pivotal role in the progression of apoptosis. However, the changes in total element content, i.e., sodium (Na), magnesium (Mg), phosphorous (P), chlorine (Cl), potassium (K), and calcium (Ca), during apoptosis have not been evaluated. Electron probe X-ray microanalysis (EPXMA) was used to measure total element content in U937 cells before and after the induction of apoptosis. As an experimental model we used U937 cells irradiated with ultraviolet (UV) light. Apoptosis was evaluated with phase-contrast microscopy, with scanning and transmission electron microscopy, and with the fluorescent dye bisbenzimide (Hoechst 33342). Plasma membrane permeability as a measure of cell death was determined by trypan blue dye exclusion. To investigate element content with EPXMA, cells were cryoprepared, i.e., cryofixed and freeze-dried, and analyzed as whole cells using a scanning electron microscope. We found that the UV irradiation induced rapid (within 2 h) morphological changes associated with apoptosis, such as plasma membrane blebbing, condensation of the chromatin, and the formation of membrane-bound apoptotic bodies. At this time, 95% of the apoptotic cells excluded trypan blue dye. EPXMA results demonstrated that UV light-irradiated apoptotic cells (cells with membrane-bound apoptotic bodies) had a lower Cl content (P &lt; 0.001) and K content (P &lt; 0.001) and a higher Na content (P &lt; 0.001) in comparison with nonirradiated control cells. Also, P and Ca content was higher in apoptotic cells than in control cells, but this difference did not reach statistical significance. No differences were found in Mg. These data indicated that morphological changes characteristic of apoptotic cell death are related with significant changes in sodium, chlorine, and potassium content. In addition, we demonstrated that these changes in elemental composition were not associated with loss of cell membrane integrity.", "author" : [ { "dropping-particle" : "", "family" : "Fern\u00e1ndez-Segura", "given" : "E", "non-dropping-particle" : "", "parse-names" : false, "suffix" : "" }, { "dropping-particle" : "", "family" : "Ca\u00f1izares", "given" : "F J", "non-dropping-particle" : "", "parse-names" : false, "suffix" : "" }, { "dropping-particle" : "", "family" : "Cubero", "given" : "M a", "non-dropping-particle" : "", "parse-names" : false, "suffix" : "" }, { "dropping-particle" : "", "family" : "Warley", "given" : "a", "non-dropping-particle" : "", "parse-names" : false, "suffix" : "" }, { "dropping-particle" : "", "family" : "Campos", "given" : "a", "non-dropping-particle" : "", "parse-names" : false, "suffix" : "" } ], "container-title" : "Experimental cell research", "id" : "ITEM-1", "issue" : "2", "issued" : { "date-parts" : [ [ "1999" ] ] }, "page" : "454-462", "title" : "Changes in elemental content during apoptotic cell death studied by electron probe X-ray microanalysis.", "type" : "article-journal", "volume" : "253" }, "uris" : [ "http://www.mendeley.com/documents/?uuid=a080331f-de9b-4a55-96ba-554ec4ce50c9" ] }, { "id" : "ITEM-2", "itemData" : { "ISSN" : "0213-3911", "abstract" : "Several lines of evidence suggest that cisplatin-induced cell death is not always the result of apoptosis. A distinctive feature between apoptosis and necrosis is the alteration in cell volume regulation and ion homeostasis. Here we analyzed the changes in intracellular element content during cell death induced by exposure to therapeutic concentrations of cisplatin in the PC12 cell line. To quantitate Na, Cl and K content, electron probe X-ray microanalysis (EPXMA) was performed in whole freeze-dried cells. We also traced the alterations in morphological features with fluorescence and transmission electron microscopy. EPXMA demonstrated progressive derangement of the absolute intracellular Na, Cl and K contents. Cisplatin-treated cells showed two microanalytical patterns: 1) cells with alterations in elemental content typical of apoptosis, i.e., an increase in intracellular Na and a decrease in intracellular Cl and K, and 2) cells characterized by an increase in Na content and a decrease in K content, with no changes in Cl content. This intracellular profile for Na, Cl, and K was not typical of necrosis or apoptosis. Morphological analysis revealed two cellular phenotypes: 1) cells characterized by a phenotype typical of apoptosis, and 2) cells characterized by a hybrid phenotype combining variable features of apoptosis and necrosis. Taken together, our findings suggest that therapeutic concentrations of cisplatin may cause a hybrid type of cell death characterized by concurrent apoptosis and necrosis in the same individual PC12 cell.", "author" : [ { "dropping-particle" : "", "family" : "Ramos", "given" : "Juan M.", "non-dropping-particle" : "", "parse-names" : false, "suffix" : "" }, { "dropping-particle" : "", "family" : "Arrebola", "given" : "Francisco", "non-dropping-particle" : "", "parse-names" : false, "suffix" : "" }, { "dropping-particle" : "", "family" : "Fernandez-Cervilla", "given" : "Francisco J.", "non-dropping-particle" : "", "parse-names" : false, "suffix" : "" }, { "dropping-particle" : "", "family" : "Crespo", "given" : "Vicente", "non-dropping-particle" : "", "parse-names" : false, "suffix" : "" }, { "dropping-particle" : "", "family" : "Fernandez-Segura", "given" : "Eduardo", "non-dropping-particle" : "", "parse-names" : false, "suffix" : "" } ], "container-title" : "HISTOLOGY AND HISTOPATHOLOGY", "id" : "ITEM-2", "issue" : "3", "issued" : { "date-parts" : [ [ "2011", "3" ] ] }, "page" : "333-342", "publisher" : "F HERNANDEZ, PLAZA FUENSANTA 2-7 C, 30008 MURCIA, SPAIN", "title" : "Electron probe X-ray microanalysis of cisplatin-induced cell death in rat pheochromocytoma PC12 cells", "type" : "article-journal", "volume" : "26" }, "uris" : [ "http://www.mendeley.com/documents/?uuid=a3bba793-26c7-4836-b371-8de290c66d78" ] } ], "mendeley" : { "previouslyFormattedCitation" : "[34, 35]" }, "properties" : { "noteIndex" : 0 }, "schema" : "https://github.com/citation-style-language/schema/raw/master/csl-citation.json" }</w:instrText>
      </w:r>
      <w:r w:rsidRPr="00D71D88">
        <w:rPr>
          <w:rFonts w:ascii="Times New Roman" w:hAnsi="Times New Roman"/>
          <w:sz w:val="24"/>
          <w:szCs w:val="24"/>
        </w:rPr>
        <w:fldChar w:fldCharType="separate"/>
      </w:r>
      <w:r w:rsidR="003E3A96" w:rsidRPr="00D71D88">
        <w:rPr>
          <w:rFonts w:ascii="Times New Roman" w:hAnsi="Times New Roman"/>
          <w:noProof/>
          <w:sz w:val="24"/>
          <w:szCs w:val="24"/>
        </w:rPr>
        <w:t>[34, 35]</w:t>
      </w:r>
      <w:r w:rsidRPr="00D71D88">
        <w:rPr>
          <w:rFonts w:ascii="Times New Roman" w:hAnsi="Times New Roman"/>
          <w:sz w:val="24"/>
          <w:szCs w:val="24"/>
        </w:rPr>
        <w:fldChar w:fldCharType="end"/>
      </w:r>
      <w:r w:rsidRPr="00D71D88">
        <w:rPr>
          <w:rFonts w:ascii="Times New Roman" w:hAnsi="Times New Roman"/>
          <w:sz w:val="24"/>
          <w:szCs w:val="24"/>
        </w:rPr>
        <w:t>.</w:t>
      </w:r>
    </w:p>
    <w:p w14:paraId="7DA21EA0" w14:textId="77777777" w:rsidR="003C73D7" w:rsidRPr="00D71D88" w:rsidRDefault="003C73D7" w:rsidP="00383F6D">
      <w:pPr>
        <w:spacing w:line="360" w:lineRule="auto"/>
        <w:ind w:firstLine="720"/>
        <w:jc w:val="both"/>
        <w:rPr>
          <w:rFonts w:ascii="Times New Roman" w:hAnsi="Times New Roman"/>
          <w:sz w:val="24"/>
          <w:szCs w:val="24"/>
        </w:rPr>
      </w:pPr>
      <w:r w:rsidRPr="00D71D88">
        <w:rPr>
          <w:rFonts w:ascii="Times New Roman" w:hAnsi="Times New Roman"/>
          <w:sz w:val="24"/>
          <w:szCs w:val="24"/>
        </w:rPr>
        <w:lastRenderedPageBreak/>
        <w:t>The levels of calcium in the cell are pivotal and tightly regulated since excess calcium may result in excitotoxicity and the induction of cell death. Our measurements show significant lower calcium levels in neurons transfected with αSyn (Fig. 2). It has recently been shown that exposure to Mn</w:t>
      </w:r>
      <w:r w:rsidRPr="00D71D88">
        <w:rPr>
          <w:rFonts w:ascii="Times New Roman" w:hAnsi="Times New Roman"/>
          <w:sz w:val="24"/>
          <w:szCs w:val="24"/>
          <w:vertAlign w:val="superscript"/>
        </w:rPr>
        <w:t>2+</w:t>
      </w:r>
      <w:r w:rsidRPr="00D71D88">
        <w:rPr>
          <w:rFonts w:ascii="Times New Roman" w:hAnsi="Times New Roman"/>
          <w:sz w:val="24"/>
          <w:szCs w:val="24"/>
        </w:rPr>
        <w:t xml:space="preserve"> inhibits ATP-induced Ca entry into the cell by inhibition of the receptor-operated cation channel TRPC3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"10.1016/j.neuro.2012.10.014", "ISSN" : "1872-9711", "PMID" : "23131343", "abstract" : "Chronic exposure to elevated levels of manganese (Mn(2+)) causes neuronal injury and inflammatory activation of glia. Astrocytes selectively accumulate Mn(2+), which inhibits mitochondrial respiration and increases production of reactive oxygen species. We previously reported that sub-acute exposure to low micromolar levels of Mn(2+) in primary astrocytes inhibited ATP-induced calcium (Ca(2+)) signaling, associated with decreased levels of endoplasmic reticulum Ca(2+) and increased mitochondrial Ca(2+) loads. In the present studies, we postulated that the mechanism underlying the capacity of Mn(2+) to inhibit these purinergic signals in astrocytes could be due to competition with Ca(2+) for entry through a plasma membrane channel. These data demonstrate that acutely applied Mn(2+) rapidly inhibited ATP-induced Ca(2+) waves and transients in primary striatal astrocytes. Mn(2+) also decreased influx of extracellular Ca(2+) induced by 1-oleoyl-2-acetyl-sn-glycerol (OAG), a direct activator of the transient receptor potential channel, TRPC3. The TRPC3 inhibitor, pyrazole-3, prevented ATP- and OAG-dependent transport of Mn(2+) from extracellular stores, demonstrated by a dramatic reduction in the rate of fluorescence quenching of Fura-2. These data indicate that Mn(2+) can acutely inhibit ATP-dependent Ca(2+) signaling in astrocytes by blocking Ca(2+) entry through the receptor-operated cation channel, TRPC3. Loss of normal astrocytic responses to purinergic signals due to accumulation of Mn(2+) could therefore comprise critical homeostatic functions necessary for metabolic and trophic support of neurons.", "author" : [ { "dropping-particle" : "", "family" : "Streifel", "given" : "Karin M", "non-dropping-particle" : "", "parse-names" : false, "suffix" : "" }, { "dropping-particle" : "", "family" : "Miller", "given" : "James", "non-dropping-particle" : "", "parse-names" : false, "suffix" : "" }, { "dropping-particle" : "", "family" : "Mouneimne", "given" : "Rola", "non-dropping-particle" : "", "parse-names" : false, "suffix" : "" }, { "dropping-particle" : "", "family" : "Tjalkens", "given" : "Ronald B", "non-dropping-particle" : "", "parse-names" : false, "suffix" : "" } ], "container-title" : "Neurotoxicology", "id" : "ITEM-1", "issued" : { "date-parts" : [ [ "2013", "1" ] ] }, "page" : "160-6", "publisher" : "ELSEVIER SCIENCE BV, PO BOX 211, 1000 AE AMSTERDAM, NETHERLANDS", "title" : "Manganese inhibits ATP-induced calcium entry through the transient receptor potential channel TRPC3 in astrocytes.", "type" : "article-journal", "volume" : "34" }, "uris" : [ "http://www.mendeley.com/documents/?uuid=6714fa60-2929-4565-833d-2bd3ee5719f2" ] } ], "mendeley" : { "previouslyFormattedCitation" : "[36]"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[36]</w:t>
      </w:r>
      <w:r w:rsidRPr="00D71D88">
        <w:rPr>
          <w:rFonts w:ascii="Times New Roman" w:hAnsi="Times New Roman"/>
          <w:sz w:val="24"/>
          <w:szCs w:val="24"/>
        </w:rPr>
        <w:fldChar w:fldCharType="end"/>
      </w:r>
      <w:r w:rsidRPr="00D71D88">
        <w:rPr>
          <w:rFonts w:ascii="Times New Roman" w:hAnsi="Times New Roman"/>
          <w:sz w:val="24"/>
          <w:szCs w:val="24"/>
        </w:rPr>
        <w:t xml:space="preserve">. Since αSyn increases intracellular levels of Mn, this effect could be more pronounced resulting in lower Ca concentrations. On the other hand, Mn and Ca compete for the same channels, e.g. voltage-gated Ca-channels (VGCC)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"10.1016/0006-8993(90)91379-U", "ISSN" : "00068993", "author" : [ { "dropping-particle" : "", "family" : "Narita", "given" : "Kazuhiko", "non-dropping-particle" : "", "parse-names" : false, "suffix" : "" }, { "dropping-particle" : "", "family" : "Kawasaki", "given" : "Fumiko", "non-dropping-particle" : "", "parse-names" : false, "suffix" : "" }, { "dropping-particle" : "", "family" : "Kita", "given" : "Hiroshi", "non-dropping-particle" : "", "parse-names" : false, "suffix" : "" } ], "container-title" : "Brain Research", "id" : "ITEM-1", "issue" : "2", "issued" : { "date-parts" : [ [ "1990", "3" ] ] }, "page" : "289-295", "publisher" : "ELSEVIER SCIENCE BV, PO BOX 211, 1000 AE AMSTERDAM, NETHERLANDS", "title" : "Mn and Mg influxes through Ca channels of motor nerve terminals are prevented by verapamil in frogs", "type" : "article-journal", "volume" : "510" }, "uris" : [ "http://www.mendeley.com/documents/?uuid=e6c41fef-cbc0-4b1b-adb6-12c8f375c871" ] } ], "mendeley" : { "previouslyFormattedCitation" : "[37]"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[37]</w:t>
      </w:r>
      <w:r w:rsidRPr="00D71D88">
        <w:rPr>
          <w:rFonts w:ascii="Times New Roman" w:hAnsi="Times New Roman"/>
          <w:sz w:val="24"/>
          <w:szCs w:val="24"/>
        </w:rPr>
        <w:fldChar w:fldCharType="end"/>
      </w:r>
      <w:r w:rsidRPr="00D71D88">
        <w:rPr>
          <w:rFonts w:ascii="Times New Roman" w:hAnsi="Times New Roman"/>
          <w:sz w:val="24"/>
          <w:szCs w:val="24"/>
        </w:rPr>
        <w:t xml:space="preserve">, and an increased Mn influx could thus attenuate Ca entry by competition at these channels. As we previously showed, the expression of VGCC is higher in dopaminergic neurons of the midbrain, which could contribute to their selective vulnerability induced by Mn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"10.1111/jnc.12073", "ISSN" : "1471-4159", "PMID" : "23106162", "abstract" : "Transition metals have been suggested to play a pivotal role in the pathogenesis of Parkinson's disease. X-ray microscopy combined with a cryogenic setup is a powerful method for elemental imaging in low concentrations and high resolution in intact cells, eliminating the need for fixation and sectioning of the specimen. Here, we performed an elemental distribution analysis in cultured primary midbrain neurons with a step size in the order of 300 nm and ~ 0.1 ppm sensitivity under cryo conditions by using X-ray fluorescence microscopy. We report the elemental mappings on the subcellular level in primary mouse dopaminergic (DAergic) and non-DAergic neurons after treatment with transition metals. Application of Fe(2+) resulted in largely extracellular accumulation of iron without preference for the neuronal transmitter subtype. A quantification of different Fe oxidation states was performed using X-ray absorption near edge structure analysis. After treatment with Mn(2+) , a cytoplasmic/paranuclear localization of Mn was observed preferentially in DAergic neurons, while no prominent signal was detectable after Mn(3+) treatment. Immunocytochemical analysis correlated the preferential Mn uptake to increased expression of voltage-gated calcium channels in DAergic neurons. We discuss the implications of this differential elemental distribution for the selective vulnerability of DAergic neurons and Parkinson's disease pathogenesis.", "author" : [ { "dropping-particle" : "", "family" : "Du\u010di\u0107", "given" : "Tanja", "non-dropping-particle" : "", "parse-names" : false, "suffix" : "" }, { "dropping-particle" : "", "family" : "Barski", "given" : "Elisabeth", "non-dropping-particle" : "", "parse-names" : false, "suffix" : "" }, { "dropping-particle" : "", "family" : "Salome", "given" : "Murielle", "non-dropping-particle" : "", "parse-names" : false, "suffix" : "" }, { "dropping-particle" : "", "family" : "Koch", "given" : "Jan C.", "non-dropping-particle" : "", "parse-names" : false, "suffix" : "" }, { "dropping-particle" : "", "family" : "B\u00e4hr", "given" : "Mathias", "non-dropping-particle" : "", "parse-names" : false, "suffix" : "" }, { "dropping-particle" : "", "family" : "Lingor", "given" : "Paul", "non-dropping-particle" : "", "parse-names" : false, "suffix" : "" } ], "container-title" : "Journal of Neurochemistry", "id" : "ITEM-1", "issue" : "2", "issued" : { "date-parts" : [ [ "2013", "1" ] ] }, "page" : "250-261", "title" : "X-ray fluorescence analysis of iron and manganese distribution in primary dopaminergic neurons", "type" : "article-journal", "volume" : "124" }, "uris" : [ "http://www.mendeley.com/documents/?uuid=ad5bc70a-b8b7-48bd-b7eb-c9631c3e41bd" ] } ], "mendeley" : { "previouslyFormattedCitation" : "[21]"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[21]</w:t>
      </w:r>
      <w:r w:rsidRPr="00D71D88">
        <w:rPr>
          <w:rFonts w:ascii="Times New Roman" w:hAnsi="Times New Roman"/>
          <w:sz w:val="24"/>
          <w:szCs w:val="24"/>
        </w:rPr>
        <w:fldChar w:fldCharType="end"/>
      </w:r>
      <w:r w:rsidRPr="00D71D88">
        <w:rPr>
          <w:rFonts w:ascii="Times New Roman" w:hAnsi="Times New Roman"/>
          <w:sz w:val="24"/>
          <w:szCs w:val="24"/>
        </w:rPr>
        <w:t>.</w:t>
      </w:r>
    </w:p>
    <w:p w14:paraId="4F7DDB75" w14:textId="441C8DF2" w:rsidR="003C73D7" w:rsidRPr="00D71D88" w:rsidRDefault="003C73D7" w:rsidP="00BE1511">
      <w:pPr>
        <w:autoSpaceDE w:val="0"/>
        <w:autoSpaceDN w:val="0"/>
        <w:adjustRightInd w:val="0"/>
        <w:spacing w:after="0" w:line="360" w:lineRule="auto"/>
        <w:ind w:firstLine="720"/>
        <w:jc w:val="both"/>
        <w:rPr>
          <w:rFonts w:ascii="Times New Roman" w:hAnsi="Times New Roman"/>
          <w:sz w:val="24"/>
          <w:szCs w:val="24"/>
        </w:rPr>
      </w:pPr>
      <w:r w:rsidRPr="00D71D88">
        <w:rPr>
          <w:rFonts w:ascii="Times New Roman" w:hAnsi="Times New Roman"/>
          <w:sz w:val="24"/>
          <w:szCs w:val="24"/>
        </w:rPr>
        <w:t>Correlati</w:t>
      </w:r>
      <w:r w:rsidR="00DD0D41" w:rsidRPr="00D71D88">
        <w:rPr>
          <w:rFonts w:ascii="Times New Roman" w:hAnsi="Times New Roman"/>
          <w:sz w:val="24"/>
          <w:szCs w:val="24"/>
        </w:rPr>
        <w:t>ve</w:t>
      </w:r>
      <w:r w:rsidRPr="00D71D88">
        <w:rPr>
          <w:rFonts w:ascii="Times New Roman" w:hAnsi="Times New Roman"/>
          <w:sz w:val="24"/>
          <w:szCs w:val="24"/>
        </w:rPr>
        <w:t xml:space="preserve"> studies of elemental levels can yield information on similarities in metabolism of specific elements. </w:t>
      </w:r>
      <w:r w:rsidR="00337A85" w:rsidRPr="00D71D88">
        <w:rPr>
          <w:rFonts w:ascii="Times New Roman" w:hAnsi="Times New Roman"/>
          <w:sz w:val="24"/>
          <w:szCs w:val="24"/>
        </w:rPr>
        <w:t xml:space="preserve">Because </w:t>
      </w:r>
      <w:r w:rsidR="00CD3148" w:rsidRPr="00D71D88">
        <w:rPr>
          <w:rFonts w:ascii="Times New Roman" w:hAnsi="Times New Roman"/>
          <w:sz w:val="24"/>
          <w:szCs w:val="24"/>
        </w:rPr>
        <w:t>Mn, Ca, Mg, Fe</w:t>
      </w:r>
      <w:r w:rsidR="00C433FA" w:rsidRPr="00D71D88">
        <w:rPr>
          <w:rFonts w:ascii="Times New Roman" w:hAnsi="Times New Roman"/>
          <w:sz w:val="24"/>
          <w:szCs w:val="24"/>
        </w:rPr>
        <w:t>,</w:t>
      </w:r>
      <w:r w:rsidR="00CD3148" w:rsidRPr="00D71D88">
        <w:rPr>
          <w:rFonts w:ascii="Times New Roman" w:hAnsi="Times New Roman"/>
          <w:sz w:val="24"/>
          <w:szCs w:val="24"/>
        </w:rPr>
        <w:t xml:space="preserve"> Cu and Zn </w:t>
      </w:r>
      <w:r w:rsidR="00337A85" w:rsidRPr="00D71D88">
        <w:rPr>
          <w:rFonts w:ascii="Times New Roman" w:hAnsi="Times New Roman"/>
          <w:sz w:val="24"/>
          <w:szCs w:val="24"/>
        </w:rPr>
        <w:t>have a similar molecular weight, they are known to mutually interact with each other</w:t>
      </w:r>
      <w:r w:rsidR="00E82B6C" w:rsidRPr="00D71D88">
        <w:rPr>
          <w:rFonts w:ascii="Times New Roman" w:hAnsi="Times New Roman"/>
          <w:sz w:val="24"/>
          <w:szCs w:val="24"/>
        </w:rPr>
        <w:t>’s metabolic pathways (Drapeau and Nachshen, 1984; Fitsanakis et al., 2010; Kwik-Uribe et al.,2003)</w:t>
      </w:r>
      <w:r w:rsidR="00337A85" w:rsidRPr="00D71D88">
        <w:rPr>
          <w:rFonts w:ascii="Times New Roman" w:hAnsi="Times New Roman"/>
          <w:sz w:val="24"/>
          <w:szCs w:val="24"/>
        </w:rPr>
        <w:t xml:space="preserve">. </w:t>
      </w:r>
      <w:r w:rsidRPr="00D71D88">
        <w:rPr>
          <w:rFonts w:ascii="Times New Roman" w:hAnsi="Times New Roman"/>
          <w:sz w:val="24"/>
          <w:szCs w:val="24"/>
        </w:rPr>
        <w:t xml:space="preserve">Strikingly, we observed a strong correlation between Mn and Fe as well as Mn and Cu in αSyn-overexpressing neurons, i.e. neurons with high concentrations of Mn also contained higher concentrations of Cu and Fe than neurons with lower Mn concentrations. Since an increase in intracellular Cu and Fe can be toxic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"10.1007/s11010-010-0563-x", "ISSN" : "1573-4919", "PMID" : "20730621", "abstract" : "The neurodegenerative diseases, Alzheimer's disease (AD) and Parkinson's disease (PD), are age-related disorders characterized by the deposition of abnormal forms of specific proteins in the brain. AD is characterized by the presence of extracellular amyloid plaques and intraneuronal neurofibrillary tangles in the brain. Biochemical analysis of amyloid plaques revealed that the main constituent is fibrillar aggregates of a 39-42 residue peptide referred to as the amyloid-\u03b2 protein (A\u03b2). PD is associated with the degeneration of dopaminergic neurons in the substantia nigra pars compacta. One of the pathological hallmarks of PD is the presence of intracellular inclusions called Lewy bodies that consist of aggregates of the presynaptic soluble protein called \u03b1-synuclein. There are various factors influencing the pathological depositions, and in general, the cause of neuronal death in neurological disorders appears to be multifactorial. However, it is clear, that the underlying factor in the neurological disorders is increased oxidative stress substantiated by the findings that the protein side-chains are modified either directly by reactive oxygen species (ROS) or reactive nitrogen species (RNS), or indirectly, by the products of lipid peroxidation. The increased level of oxidative stress in AD brain is reflected by the increased brain content of iron (Fe) and copper (Cu) both capable of stimulating free radical formation (e.g. hydroxyl radicals via Fenton reaction), increased protein and DNA oxidation in the AD brain, enhanced lipid peroxidation, decreased level of cytochrome c oxidase and advanced glycation end products (AGEs), carbonyls, malondialdehyde (MDA), peroxynitrite, and heme oxygenase-1 (HO-1). AGEs, mainly through their interaction with receptors for advanced glycation end products (RAGEs), further activate signaling pathways, inducing formation of proinflammatory cytokines such as interleukin-6 (IL-6). The conjugated aromatic ring of tyrosine residues is a target for free-radical attack, and accumulation of dityrosine and 3-nitrotyrosine has also been reported in AD brain. The oxidative stress linked with PD is supported by both postmortem studies and by studies showing the increased level of oxidative stress in the substantia nigra pars compacta, demonstrating thus the capacity of oxidative stress to induce nigral cell degeneration. Markers of lipid peroxidation include 4-hydroxy-trans-2-nonenal (HNE), 4-oxo-trans-2-nonenal (4-ONE), acrolein\u2026", "author" : [ { "dropping-particle" : "", "family" : "Jomova", "given" : "Klaudia", "non-dropping-particle" : "", "parse-names" : false, "suffix" : "" }, { "dropping-particle" : "", "family" : "Vondrakova", "given" : "Dagmar", "non-dropping-particle" : "", "parse-names" : false, "suffix" : "" }, { "dropping-particle" : "", "family" : "Lawson", "given" : "Michael", "non-dropping-particle" : "", "parse-names" : false, "suffix" : "" }, { "dropping-particle" : "", "family" : "Valko", "given" : "Marian", "non-dropping-particle" : "", "parse-names" : false, "suffix" : "" } ], "container-title" : "Molecular and cellular biochemistry", "id" : "ITEM-1", "issue" : "1-2", "issued" : { "date-parts" : [ [ "2010", "12" ] ] }, "page" : "91-104", "title" : "Metals, oxidative stress and neurodegenerative disorders.", "type" : "article-journal", "volume" : "345" }, "uris" : [ "http://www.mendeley.com/documents/?uuid=0557ef0e-dd33-4117-89c4-41bd49eca7b1" ] } ], "mendeley" : { "previouslyFormattedCitation" : "[38]"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[38]</w:t>
      </w:r>
      <w:r w:rsidRPr="00D71D88">
        <w:rPr>
          <w:rFonts w:ascii="Times New Roman" w:hAnsi="Times New Roman"/>
          <w:sz w:val="24"/>
          <w:szCs w:val="24"/>
        </w:rPr>
        <w:fldChar w:fldCharType="end"/>
      </w:r>
      <w:r w:rsidRPr="00D71D88">
        <w:rPr>
          <w:rFonts w:ascii="Times New Roman" w:hAnsi="Times New Roman"/>
          <w:sz w:val="24"/>
          <w:szCs w:val="24"/>
        </w:rPr>
        <w:t xml:space="preserve">, increased levels of αSyn can by these means contribute to additional toxicity. In fact, the effect of Mn on Fe homeostasis has been previously implicated as one possible mechanism of Mn induced neurotoxicity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"10.1039/c4mt00022f", "ISSN" : "1756-591X", "PMID" : "24599255", "abstract" : "Occupationally or environmentally caused chronic exposure to Manganese (Mn) can lead to a degeneration of dopaminergic neurons inducing a Parkinson-like complaint called manganism. Deciphering the ongoing neurodegenerative mechanisms in the affected brain is still a major task for understanding the complex modes of action. Therefore, we applied a non-toxic, oral feeding in rats simulating a chronic exposure to Mn. Analysis of brain extracts by electrospray ionization Fourier transform resonance mass spectrometry (ESI-FT-ICR-MS) revealed an increase in markers of oxidative stress like glutathione disulfide (GSSG), prostaglandins, and 15(S)-HETE, a marker of lipid peroxidation. Furthermore, acetylcholinesterase (AchE) activity and glutamate concentrations were elevated in brain samples of Mn-supplemented rats, suggesting oxidative stress in the brain tissue. Application of ion chromatography coupled to inductively coupled plasma-optical emission spectrometry (IC-ICP-OES) further showed a shift of Fe(III) towards Fe(II) in the brain samples enabling for example the action of the Fenton reaction. This is the first time that changes in the Fe-species distribution could be related to Mn-induced neuroinflammation and is therefore enlarging the knowledge of this complex neurodegenerative condition. The combination of our findings provides substantial evidence that Mn-induced neuroinflammation leads to oxidative stress triggered by multifactorial pathophysiological processes.", "author" : [ { "dropping-particle" : "", "family" : "Fernsebner", "given" : "Katharina", "non-dropping-particle" : "", "parse-names" : false, "suffix" : "" }, { "dropping-particle" : "", "family" : "Zorn", "given" : "Julia", "non-dropping-particle" : "", "parse-names" : false, "suffix" : "" }, { "dropping-particle" : "", "family" : "Kanawati", "given" : "Basem", "non-dropping-particle" : "", "parse-names" : false, "suffix" : "" }, { "dropping-particle" : "", "family" : "Walker", "given" : "Alesia", "non-dropping-particle" : "", "parse-names" : false, "suffix" : "" }, { "dropping-particle" : "", "family" : "Michalke", "given" : "Bernhard", "non-dropping-particle" : "", "parse-names" : false, "suffix" : "" } ], "container-title" : "Metallomics : integrated biometal science", "id" : "ITEM-1", "issue" : "4", "issued" : { "date-parts" : [ [ "2014", "4" ] ] }, "page" : "921-31", "publisher" : "ROYAL SOC CHEMISTRY, THOMAS GRAHAM HOUSE, SCIENCE PARK, MILTON RD, CAMBRIDGE CB4 0WF, CAMBS, ENGLAND", "title" : "Manganese leads to an increase in markers of oxidative stress as well as to a shift in the ratio of Fe(II)/(III) in rat brain tissue.", "type" : "article-journal", "volume" : "6" }, "uris" : [ "http://www.mendeley.com/documents/?uuid=a269c920-64a7-4618-9901-a944acd5e330" ] } ], "mendeley" : { "previouslyFormattedCitation" : "[39]"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[39]</w:t>
      </w:r>
      <w:r w:rsidRPr="00D71D88">
        <w:rPr>
          <w:rFonts w:ascii="Times New Roman" w:hAnsi="Times New Roman"/>
          <w:sz w:val="24"/>
          <w:szCs w:val="24"/>
        </w:rPr>
        <w:fldChar w:fldCharType="end"/>
      </w:r>
      <w:r w:rsidRPr="00D71D88">
        <w:rPr>
          <w:rFonts w:ascii="Times New Roman" w:hAnsi="Times New Roman"/>
          <w:sz w:val="24"/>
          <w:szCs w:val="24"/>
        </w:rPr>
        <w:t xml:space="preserve">. Our data also supports the idea, that Mn, Cu and Fe employ similar entry mechanisms into the cell: one candidate could be the </w:t>
      </w:r>
      <w:r w:rsidR="0069171E" w:rsidRPr="00D71D88">
        <w:rPr>
          <w:rFonts w:ascii="Times New Roman" w:hAnsi="Times New Roman"/>
          <w:sz w:val="24"/>
          <w:szCs w:val="24"/>
        </w:rPr>
        <w:t>DMT</w:t>
      </w:r>
      <w:r w:rsidRPr="00D71D88">
        <w:rPr>
          <w:rFonts w:ascii="Times New Roman" w:hAnsi="Times New Roman"/>
          <w:sz w:val="24"/>
          <w:szCs w:val="24"/>
        </w:rPr>
        <w:t>1, which mediates the entry of a number of different divalent ions, i.e. Mn, Fe, Cu, Zn, Pb and Co.</w:t>
      </w:r>
      <w:r w:rsidR="0069171E" w:rsidRPr="00D71D88">
        <w:rPr>
          <w:rFonts w:ascii="Times New Roman" w:hAnsi="Times New Roman"/>
          <w:sz w:val="24"/>
          <w:szCs w:val="24"/>
        </w:rPr>
        <w:t xml:space="preserve"> In dopaminergic neurons, DMT</w:t>
      </w:r>
      <w:r w:rsidRPr="00D71D88">
        <w:rPr>
          <w:rFonts w:ascii="Times New Roman" w:hAnsi="Times New Roman"/>
          <w:sz w:val="24"/>
          <w:szCs w:val="24"/>
        </w:rPr>
        <w:t>1 mediates Fe up</w:t>
      </w:r>
      <w:r w:rsidR="0069171E" w:rsidRPr="00D71D88">
        <w:rPr>
          <w:rFonts w:ascii="Times New Roman" w:hAnsi="Times New Roman"/>
          <w:sz w:val="24"/>
          <w:szCs w:val="24"/>
        </w:rPr>
        <w:t>take and rats deficient for DMT</w:t>
      </w:r>
      <w:r w:rsidRPr="00D71D88">
        <w:rPr>
          <w:rFonts w:ascii="Times New Roman" w:hAnsi="Times New Roman"/>
          <w:sz w:val="24"/>
          <w:szCs w:val="24"/>
        </w:rPr>
        <w:t xml:space="preserve">1 are protected against iron-mediated neurotoxicity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"10.1073/pnas.0804373105", "ISSN" : "1091-6490", "PMID" : "19011085", "abstract" : "Dopaminergic cell death in the substantia nigra (SN) is central to Parkinson's disease (PD), but the neurodegenerative mechanisms have not been completely elucidated. Iron accumulation in dopaminergic and glial cells in the SN of PD patients may contribute to the generation of oxidative stress, protein aggregation, and neuronal death. The mechanisms involved in iron accumulation also remain unclear. Here, we describe an increase in the expression of an isoform of the divalent metal transporter 1 (DMT1/Nramp2/Slc11a2) in the SN of PD patients. Using the PD animal model of 1-methyl-4-phenyl-1,2,3,6-tetrahydropyridine (MPTP) intoxication in mice, we showed that DMT1 expression increases in the ventral mesencephalon of intoxicated animals, concomitant with iron accumulation, oxidative stress, and dopaminergic cell loss. In addition, we report that a mutation in DMT1 that impairs iron transport protects rodents against parkinsonism-inducing neurotoxins MPTP and 6-hydroxydopamine. This study supports a critical role for DMT1 in iron-mediated neurodegeneration in PD.", "author" : [ { "dropping-particle" : "", "family" : "Salazar", "given" : "Julio", "non-dropping-particle" : "", "parse-names" : false, "suffix" : "" }, { "dropping-particle" : "", "family" : "Mena", "given" : "Natalia", "non-dropping-particle" : "", "parse-names" : false, "suffix" : "" }, { "dropping-particle" : "", "family" : "Hunot", "given" : "Stephane", "non-dropping-particle" : "", "parse-names" : false, "suffix" : "" }, { "dropping-particle" : "", "family" : "Prigent", "given" : "Annick", "non-dropping-particle" : "", "parse-names" : false, "suffix" : "" }, { "dropping-particle" : "", "family" : "Alvarez-Fischer", "given" : "Daniel", "non-dropping-particle" : "", "parse-names" : false, "suffix" : "" }, { "dropping-particle" : "", "family" : "Arredondo", "given" : "Miguel", "non-dropping-particle" : "", "parse-names" : false, "suffix" : "" }, { "dropping-particle" : "", "family" : "Duyckaerts", "given" : "Charles", "non-dropping-particle" : "", "parse-names" : false, "suffix" : "" }, { "dropping-particle" : "", "family" : "Sazdovitch", "given" : "Veronique", "non-dropping-particle" : "", "parse-names" : false, "suffix" : "" }, { "dropping-particle" : "", "family" : "Zhao", "given" : "Lin", "non-dropping-particle" : "", "parse-names" : false, "suffix" : "" }, { "dropping-particle" : "", "family" : "Garrick", "given" : "Laura M", "non-dropping-particle" : "", "parse-names" : false, "suffix" : "" }, { "dropping-particle" : "", "family" : "Nu\u00f1ez", "given" : "Marco T", "non-dropping-particle" : "", "parse-names" : false, "suffix" : "" }, { "dropping-particle" : "", "family" : "Garrick", "given" : "Michael D", "non-dropping-particle" : "", "parse-names" : false, "suffix" : "" }, { "dropping-particle" : "", "family" : "Raisman-Vozari", "given" : "Rita", "non-dropping-particle" : "", "parse-names" : false, "suffix" : "" }, { "dropping-particle" : "", "family" : "Hirsch", "given" : "Etienne C", "non-dropping-particle" : "", "parse-names" : false, "suffix" : "" } ], "container-title" : "Proceedings of the National Academy of Sciences of the United States of America", "id" : "ITEM-1", "issue" : "47", "issued" : { "date-parts" : [ [ "2008", "11", "25" ] ] }, "page" : "18578-83", "publisher" : "NATL ACAD SCIENCES, 2101 CONSTITUTION AVE NW, WASHINGTON, DC 20418 USA", "title" : "Divalent metal transporter 1 (DMT1) contributes to neurodegeneration in animal models of Parkinson's disease.", "type" : "article-journal", "volume" : "105" }, "uris" : [ "http://www.mendeley.com/documents/?uuid=9b83086e-81f1-48a4-a467-2b722a14cc91" ] } ], "mendeley" : { "previouslyFormattedCitation" : "[40]"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[40]</w:t>
      </w:r>
      <w:r w:rsidRPr="00D71D88">
        <w:rPr>
          <w:rFonts w:ascii="Times New Roman" w:hAnsi="Times New Roman"/>
          <w:sz w:val="24"/>
          <w:szCs w:val="24"/>
        </w:rPr>
        <w:fldChar w:fldCharType="end"/>
      </w:r>
      <w:r w:rsidRPr="00D71D88">
        <w:rPr>
          <w:rFonts w:ascii="Times New Roman" w:hAnsi="Times New Roman"/>
          <w:sz w:val="24"/>
          <w:szCs w:val="24"/>
        </w:rPr>
        <w:t xml:space="preserve">. Interestingly, over-expression </w:t>
      </w:r>
      <w:r w:rsidR="0069171E" w:rsidRPr="00D71D88">
        <w:rPr>
          <w:rFonts w:ascii="Times New Roman" w:hAnsi="Times New Roman"/>
          <w:sz w:val="24"/>
          <w:szCs w:val="24"/>
        </w:rPr>
        <w:t>of DMT</w:t>
      </w:r>
      <w:r w:rsidRPr="00D71D88">
        <w:rPr>
          <w:rFonts w:ascii="Times New Roman" w:hAnsi="Times New Roman"/>
          <w:sz w:val="24"/>
          <w:szCs w:val="24"/>
        </w:rPr>
        <w:t xml:space="preserve">1 leads to increased dopaminergic cell death that is further aggravated by mutant αSyn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"10.1074/jbc.M111.268409", "ISSN" : "1083-351X", "PMID" : "21795716", "abstract" : "Parkinson disease (PD), a prevalent neurodegenerative motor disorder, is characterized by the rather selective loss of dopaminergic neurons and the presence of \u03b1-synuclein-enriched Lewy body inclusions in the substantia nigra of the midbrain. Although the etiology of PD remains incompletely understood, emerging evidence suggests that dysregulated iron homeostasis may be involved. Notably, nigral dopaminergic neurons are enriched in iron, the uptake of which is facilitated by the divalent metal ion transporter DMT1. To clarify the role of iron in PD, we generated SH-SY5Y cells stably expressing DMT1 either singly or in combination with wild type or mutant \u03b1-synuclein. We found that DMT1 overexpression dramatically enhances Fe(2+) uptake, which concomitantly promotes cell death. This Fe(2+)-mediated toxicity is aggravated by the presence of mutant \u03b1-synuclein expression, resulting in increased oxidative stress and DNA damage. Curiously, Fe(2+)-mediated cell death does not appear to involve apoptosis. Instead, the phenomenon seems to occur as a result of excessive autophagic activity. Accordingly, pharmacological inhibition of autophagy reverses cell death mediated by Fe(2+) overloading. Taken together, our results suggest a role for iron in PD pathogenesis and provide a mechanism underlying Fe(2+)-mediated cell death.", "author" : [ { "dropping-particle" : "", "family" : "Chew", "given" : "Katherine C M", "non-dropping-particle" : "", "parse-names" : false, "suffix" : "" }, { "dropping-particle" : "", "family" : "Ang", "given" : "Eng-Tat", "non-dropping-particle" : "", "parse-names" : false, "suffix" : "" }, { "dropping-particle" : "", "family" : "Tai", "given" : "Yee Kit", "non-dropping-particle" : "", "parse-names" : false, "suffix" : "" }, { "dropping-particle" : "", "family" : "Tsang", "given" : "Fai", "non-dropping-particle" : "", "parse-names" : false, "suffix" : "" }, { "dropping-particle" : "", "family" : "Lo", "given" : "Shun Qiang", "non-dropping-particle" : "", "parse-names" : false, "suffix" : "" }, { "dropping-particle" : "", "family" : "Ong", "given" : "Elijah", "non-dropping-particle" : "", "parse-names" : false, "suffix" : "" }, { "dropping-particle" : "", "family" : "Ong", "given" : "Wei-Yi", "non-dropping-particle" : "", "parse-names" : false, "suffix" : "" }, { "dropping-particle" : "", "family" : "Shen", "given" : "Han-Ming", "non-dropping-particle" : "", "parse-names" : false, "suffix" : "" }, { "dropping-particle" : "", "family" : "Lim", "given" : "Kah-Leong", "non-dropping-particle" : "", "parse-names" : false, "suffix" : "" }, { "dropping-particle" : "", "family" : "Dawson", "given" : "Valina L", "non-dropping-particle" : "", "parse-names" : false, "suffix" : "" }, { "dropping-particle" : "", "family" : "Dawson", "given" : "Ted M", "non-dropping-particle" : "", "parse-names" : false, "suffix" : "" }, { "dropping-particle" : "", "family" : "Soong", "given" : "Tuck Wah", "non-dropping-particle" : "", "parse-names" : false, "suffix" : "" } ], "container-title" : "The Journal of biological chemistry", "id" : "ITEM-1", "issue" : "38", "issued" : { "date-parts" : [ [ "2011", "9", "23" ] ] }, "page" : "33380-9", "publisher" : "AMER SOC BIOCHEMISTRY MOLECULAR BIOLOGY INC, 9650 ROCKVILLE PIKE, BETHESDA, MD 20814-3996 USA", "title" : "Enhanced autophagy from chronic toxicity of iron and mutant A53T \u03b1-synuclein: implications for neuronal cell death in Parkinson disease.", "type" : "article-journal", "volume" : "286" }, "uris" : [ "http://www.mendeley.com/documents/?uuid=70748059-1839-423d-98e6-0bd8159a2482" ] } ], "mendeley" : { "previouslyFormattedCitation" : "[41]"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[41]</w:t>
      </w:r>
      <w:r w:rsidRPr="00D71D88">
        <w:rPr>
          <w:rFonts w:ascii="Times New Roman" w:hAnsi="Times New Roman"/>
          <w:sz w:val="24"/>
          <w:szCs w:val="24"/>
        </w:rPr>
        <w:fldChar w:fldCharType="end"/>
      </w:r>
      <w:r w:rsidRPr="00D71D88">
        <w:rPr>
          <w:rFonts w:ascii="Times New Roman" w:hAnsi="Times New Roman"/>
          <w:sz w:val="24"/>
          <w:szCs w:val="24"/>
        </w:rPr>
        <w:t xml:space="preserve">, which is supported by our data of increased Mn levels in αSyn overexpressing neurons. </w:t>
      </w:r>
      <w:r w:rsidR="00BB6D2A" w:rsidRPr="00D71D88">
        <w:rPr>
          <w:rFonts w:ascii="Times New Roman" w:hAnsi="Times New Roman"/>
          <w:sz w:val="24"/>
          <w:szCs w:val="24"/>
        </w:rPr>
        <w:t>Based on the fact that aSyn has multiple binding sites for transition metals</w:t>
      </w:r>
      <w:r w:rsidR="003275EA" w:rsidRPr="00D71D88">
        <w:rPr>
          <w:rFonts w:ascii="Times New Roman" w:hAnsi="Times New Roman"/>
          <w:sz w:val="24"/>
          <w:szCs w:val="24"/>
        </w:rPr>
        <w:t xml:space="preserve"> (reviewed in Carboni et al 2015)</w:t>
      </w:r>
      <w:r w:rsidR="00BB6D2A" w:rsidRPr="00D71D88">
        <w:rPr>
          <w:rFonts w:ascii="Times New Roman" w:hAnsi="Times New Roman"/>
          <w:sz w:val="24"/>
          <w:szCs w:val="24"/>
        </w:rPr>
        <w:t xml:space="preserve">, our correlation analysis as well as the results from the Mn uptake and release studies suggest that aSyn acts as a molecular </w:t>
      </w:r>
      <w:r w:rsidR="001320E7" w:rsidRPr="00D71D88">
        <w:rPr>
          <w:rFonts w:ascii="Times New Roman" w:hAnsi="Times New Roman"/>
          <w:sz w:val="24"/>
          <w:szCs w:val="24"/>
        </w:rPr>
        <w:t>store</w:t>
      </w:r>
      <w:r w:rsidR="00BB6D2A" w:rsidRPr="00D71D88">
        <w:rPr>
          <w:rFonts w:ascii="Times New Roman" w:hAnsi="Times New Roman"/>
          <w:sz w:val="24"/>
          <w:szCs w:val="24"/>
        </w:rPr>
        <w:t xml:space="preserve"> for metals in the cell.  </w:t>
      </w:r>
      <w:r w:rsidRPr="00D71D88">
        <w:rPr>
          <w:rFonts w:ascii="Times New Roman" w:hAnsi="Times New Roman"/>
          <w:sz w:val="24"/>
          <w:szCs w:val="24"/>
        </w:rPr>
        <w:t xml:space="preserve">Overexpression of αSyn did not seem to affect the levels of Cu, Cl, and Fe and this stability underlines the differential regulation of Mn and Ca as specific effect induced by αSyn overexpression. </w:t>
      </w:r>
    </w:p>
    <w:p w14:paraId="179C30B3" w14:textId="4B3754FD" w:rsidR="00B408D3" w:rsidRPr="00D71D88" w:rsidRDefault="003C73D7" w:rsidP="00431653">
      <w:pPr>
        <w:autoSpaceDE w:val="0"/>
        <w:autoSpaceDN w:val="0"/>
        <w:adjustRightInd w:val="0"/>
        <w:spacing w:after="0" w:line="360" w:lineRule="auto"/>
        <w:ind w:firstLine="720"/>
        <w:jc w:val="both"/>
        <w:rPr>
          <w:rFonts w:ascii="Times New Roman" w:hAnsi="Times New Roman"/>
          <w:sz w:val="24"/>
          <w:szCs w:val="24"/>
        </w:rPr>
      </w:pPr>
      <w:r w:rsidRPr="00D71D88">
        <w:rPr>
          <w:rFonts w:ascii="Times New Roman" w:hAnsi="Times New Roman"/>
          <w:sz w:val="24"/>
          <w:szCs w:val="24"/>
        </w:rPr>
        <w:lastRenderedPageBreak/>
        <w:t>Our XANES results confirm that Mn is present in Mn</w:t>
      </w:r>
      <w:r w:rsidRPr="00D71D88">
        <w:rPr>
          <w:rFonts w:ascii="Times New Roman" w:hAnsi="Times New Roman"/>
          <w:sz w:val="24"/>
          <w:szCs w:val="24"/>
          <w:vertAlign w:val="superscript"/>
        </w:rPr>
        <w:t>+2</w:t>
      </w:r>
      <w:r w:rsidRPr="00D71D88">
        <w:rPr>
          <w:rFonts w:ascii="Times New Roman" w:hAnsi="Times New Roman"/>
          <w:sz w:val="24"/>
          <w:szCs w:val="24"/>
        </w:rPr>
        <w:t xml:space="preserve"> oxidation state and that this does not depend on αSyn expression. Since Mn</w:t>
      </w:r>
      <w:r w:rsidRPr="00D71D88">
        <w:rPr>
          <w:rFonts w:ascii="Times New Roman" w:hAnsi="Times New Roman"/>
          <w:sz w:val="24"/>
          <w:szCs w:val="24"/>
          <w:vertAlign w:val="superscript"/>
        </w:rPr>
        <w:t>3+</w:t>
      </w:r>
      <w:r w:rsidRPr="00D71D88">
        <w:rPr>
          <w:rFonts w:ascii="Times New Roman" w:hAnsi="Times New Roman"/>
          <w:sz w:val="24"/>
          <w:szCs w:val="24"/>
        </w:rPr>
        <w:t xml:space="preserve"> is unstable in aqueous solutions at pH&gt; ~2 (unless stabilized by formation of stable complexes) and Mn</w:t>
      </w:r>
      <w:r w:rsidRPr="00D71D88">
        <w:rPr>
          <w:rFonts w:ascii="Times New Roman" w:hAnsi="Times New Roman"/>
          <w:sz w:val="24"/>
          <w:szCs w:val="24"/>
          <w:vertAlign w:val="superscript"/>
        </w:rPr>
        <w:t>4+</w:t>
      </w:r>
      <w:r w:rsidRPr="00D71D88">
        <w:rPr>
          <w:rFonts w:ascii="Times New Roman" w:hAnsi="Times New Roman"/>
          <w:sz w:val="24"/>
          <w:szCs w:val="24"/>
        </w:rPr>
        <w:t xml:space="preserve"> is usually encountered in insoluble complexes and particulate matter, Mn is likely to be present in this oxidation state (reviewed by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"10.1016/j.freeradbiomed.2013.01.032", "ISSN" : "1873-4596", "PMID" : "23395780", "abstract" : "Manganese (Mn) is an essential dietary nutrient, but an excess or accumulation can be toxic. Disease states, such as manganism, are associated with overexposure or accumulation of Mn and are due to the production of reactive oxygen species, free radicals, and toxic metabolites; alteration of mitochondrial function and ATP production; and depletion of cellular antioxidant defense mechanisms. This review focuses on all of the preceding mechanisms and the scientific studies that support them as well as providing an overview of the absorption, distribution, and excretion of Mn and the stability and transport of Mn compounds in the body.", "author" : [ { "dropping-particle" : "", "family" : "Martinez-Finley", "given" : "Ebany J", "non-dropping-particle" : "", "parse-names" : false, "suffix" : "" }, { "dropping-particle" : "", "family" : "Gavin", "given" : "Claire E", "non-dropping-particle" : "", "parse-names" : false, "suffix" : "" }, { "dropping-particle" : "", "family" : "Aschner", "given" : "Michael", "non-dropping-particle" : "", "parse-names" : false, "suffix" : "" }, { "dropping-particle" : "", "family" : "Gunter", "given" : "Thomas E", "non-dropping-particle" : "", "parse-names" : false, "suffix" : "" } ], "container-title" : "Free radical biology &amp; medicine", "id" : "ITEM-1", "issued" : { "date-parts" : [ [ "2013", "9" ] ] }, "page" : "65-75", "publisher" : "Elsevier", "title" : "Manganese neurotoxicity and the role of reactive oxygen species.", "type" : "article-journal", "volume" : "62" }, "uris" : [ "http://www.mendeley.com/documents/?uuid=5db545a0-e647-4b3d-af4c-c7beb99fe281" ] } ], "mendeley" : { "previouslyFormattedCitation" : "[42]"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[42]</w:t>
      </w:r>
      <w:r w:rsidRPr="00D71D88">
        <w:rPr>
          <w:rFonts w:ascii="Times New Roman" w:hAnsi="Times New Roman"/>
          <w:sz w:val="24"/>
          <w:szCs w:val="24"/>
        </w:rPr>
        <w:fldChar w:fldCharType="end"/>
      </w:r>
      <w:r w:rsidRPr="00D71D88">
        <w:rPr>
          <w:rFonts w:ascii="Times New Roman" w:hAnsi="Times New Roman"/>
          <w:sz w:val="24"/>
          <w:szCs w:val="24"/>
        </w:rPr>
        <w:t xml:space="preserve">). Overexpression of αSyn does not alter the redox state of Mn. Previous studies using XANES to determine the oxidation state of Mn complexes in brain mitochondria and neuron-like cells detected did not </w:t>
      </w:r>
      <w:r w:rsidR="00F601FC" w:rsidRPr="00D71D88">
        <w:rPr>
          <w:rFonts w:ascii="Times New Roman" w:hAnsi="Times New Roman"/>
          <w:sz w:val="24"/>
          <w:szCs w:val="24"/>
        </w:rPr>
        <w:t xml:space="preserve">provide </w:t>
      </w:r>
      <w:r w:rsidRPr="00D71D88">
        <w:rPr>
          <w:rFonts w:ascii="Times New Roman" w:hAnsi="Times New Roman"/>
          <w:sz w:val="24"/>
          <w:szCs w:val="24"/>
        </w:rPr>
        <w:t>evidence for accumulation of any Mn</w:t>
      </w:r>
      <w:r w:rsidRPr="00D71D88">
        <w:rPr>
          <w:rFonts w:ascii="Times New Roman" w:hAnsi="Times New Roman"/>
          <w:sz w:val="24"/>
          <w:szCs w:val="24"/>
          <w:vertAlign w:val="superscript"/>
        </w:rPr>
        <w:t>3+</w:t>
      </w:r>
      <w:r w:rsidRPr="00D71D88">
        <w:rPr>
          <w:rFonts w:ascii="Times New Roman" w:hAnsi="Times New Roman"/>
          <w:sz w:val="24"/>
          <w:szCs w:val="24"/>
        </w:rPr>
        <w:t xml:space="preserve"> complex derived from oxidation of Mn</w:t>
      </w:r>
      <w:r w:rsidRPr="00D71D88">
        <w:rPr>
          <w:rFonts w:ascii="Times New Roman" w:hAnsi="Times New Roman"/>
          <w:sz w:val="24"/>
          <w:szCs w:val="24"/>
          <w:vertAlign w:val="superscript"/>
        </w:rPr>
        <w:t xml:space="preserve">2+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"10.1016/j.neurobiolaging.2005.10.003", "ISSN" : "1558-1497", "PMID" : "16290323", "abstract" : "Excessive brain manganese (Mn) can produce a syndrome called \"manganism\", which correlates with loss of striatal dopamine and cell death in the striatum and globus pallidus. The prevalent hypothesis for the cause of this syndrome has been oxidation of cell components by the strong oxidizing agent, Mn3+, either formed by oxidation of intracellular Mn2+ or transported into the cell as Mn3+. We have recently used X-ray absorption near edge structure spectroscopy (XANES) to determine the oxidation states of manganese complexes in brain and liver mitochondria and in nerve growth factor (NGF)-induced and non-induced PC12 cells. No evidence was found for stabilization or accumulation of Mn3+ complexes because of oxidation of Mn2+ by reactive oxygen species in these tissues. Here we extend these studies of manganese oxidation state to cells of brain origin, human neuroteratocarcinoma (NT2) cells and primary cultures of rat astrocytes. Again we find no evidence for stabilization or accumulation of any Mn3+ complex derived from oxidation of Mn2+ under a range of conditions. ?? 2005 Elsevier Inc. All rights reserved.", "author" : [ { "dropping-particle" : "", "family" : "Gunter", "given" : "Karlene K.", "non-dropping-particle" : "", "parse-names" : false, "suffix" : "" }, { "dropping-particle" : "", "family" : "Aschner", "given" : "Michael", "non-dropping-particle" : "", "parse-names" : false, "suffix" : "" }, { "dropping-particle" : "", "family" : "Miller", "given" : "Lisa M.", "non-dropping-particle" : "", "parse-names" : false, "suffix" : "" }, { "dropping-particle" : "", "family" : "Eliseev", "given" : "Roman", "non-dropping-particle" : "", "parse-names" : false, "suffix" : "" }, { "dropping-particle" : "", "family" : "Salter", "given" : "Jason", "non-dropping-particle" : "", "parse-names" : false, "suffix" : "" }, { "dropping-particle" : "", "family" : "Anderson", "given" : "Katie", "non-dropping-particle" : "", "parse-names" : false, "suffix" : "" }, { "dropping-particle" : "", "family" : "Gunter", "given" : "Thomas E.", "non-dropping-particle" : "", "parse-names" : false, "suffix" : "" } ], "container-title" : "Neurobiology of Aging", "id" : "ITEM-1", "issue" : "12", "issued" : { "date-parts" : [ [ "2006", "12" ] ] }, "page" : "1816-1826", "title" : "Determining the oxidation states of manganese in NT2 cells and cultured astrocytes", "type" : "article-journal", "volume" : "27" }, "uris" : [ "http://www.mendeley.com/documents/?uuid=ea4452ab-95dd-43fd-82d8-8a7cfc2783c1" ] } ], "mendeley" : { "previouslyFormattedCitation" : "[43]"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[43]</w:t>
      </w:r>
      <w:r w:rsidRPr="00D71D88">
        <w:rPr>
          <w:rFonts w:ascii="Times New Roman" w:hAnsi="Times New Roman"/>
          <w:sz w:val="24"/>
          <w:szCs w:val="24"/>
        </w:rPr>
        <w:fldChar w:fldCharType="end"/>
      </w:r>
      <w:r w:rsidRPr="00D71D88">
        <w:rPr>
          <w:rFonts w:ascii="Times New Roman" w:hAnsi="Times New Roman"/>
          <w:sz w:val="24"/>
          <w:szCs w:val="24"/>
        </w:rPr>
        <w:t>. However the authors estimated that only small amounts of Mn</w:t>
      </w:r>
      <w:r w:rsidRPr="00D71D88">
        <w:rPr>
          <w:rFonts w:ascii="Times New Roman" w:hAnsi="Times New Roman"/>
          <w:sz w:val="24"/>
          <w:szCs w:val="24"/>
          <w:vertAlign w:val="superscript"/>
        </w:rPr>
        <w:t>3+</w:t>
      </w:r>
      <w:r w:rsidRPr="00D71D88">
        <w:rPr>
          <w:rFonts w:ascii="Times New Roman" w:hAnsi="Times New Roman"/>
          <w:sz w:val="24"/>
          <w:szCs w:val="24"/>
        </w:rPr>
        <w:t xml:space="preserve"> likely corresponding to spectra from Mn superoxide dismutase known to contain both Mn</w:t>
      </w:r>
      <w:r w:rsidRPr="00D71D88">
        <w:rPr>
          <w:rFonts w:ascii="Times New Roman" w:hAnsi="Times New Roman"/>
          <w:sz w:val="24"/>
          <w:szCs w:val="24"/>
          <w:vertAlign w:val="superscript"/>
        </w:rPr>
        <w:t>2+</w:t>
      </w:r>
      <w:r w:rsidRPr="00D71D88">
        <w:rPr>
          <w:rFonts w:ascii="Times New Roman" w:hAnsi="Times New Roman"/>
          <w:sz w:val="24"/>
          <w:szCs w:val="24"/>
        </w:rPr>
        <w:t xml:space="preserve"> and Mn</w:t>
      </w:r>
      <w:r w:rsidRPr="00D71D88">
        <w:rPr>
          <w:rFonts w:ascii="Times New Roman" w:hAnsi="Times New Roman"/>
          <w:sz w:val="24"/>
          <w:szCs w:val="24"/>
          <w:vertAlign w:val="superscript"/>
        </w:rPr>
        <w:t>3+</w:t>
      </w:r>
      <w:r w:rsidRPr="00D71D88">
        <w:rPr>
          <w:rFonts w:ascii="Times New Roman" w:hAnsi="Times New Roman"/>
          <w:sz w:val="24"/>
          <w:szCs w:val="24"/>
        </w:rPr>
        <w:t xml:space="preserve">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"10.1016/j.neurobiolaging.2005.10.003", "ISSN" : "1558-1497", "PMID" : "16290323", "abstract" : "Excessive brain manganese (Mn) can produce a syndrome called \"manganism\", which correlates with loss of striatal dopamine and cell death in the striatum and globus pallidus. The prevalent hypothesis for the cause of this syndrome has been oxidation of cell components by the strong oxidizing agent, Mn3+, either formed by oxidation of intracellular Mn2+ or transported into the cell as Mn3+. We have recently used X-ray absorption near edge structure spectroscopy (XANES) to determine the oxidation states of manganese complexes in brain and liver mitochondria and in nerve growth factor (NGF)-induced and non-induced PC12 cells. No evidence was found for stabilization or accumulation of Mn3+ complexes because of oxidation of Mn2+ by reactive oxygen species in these tissues. Here we extend these studies of manganese oxidation state to cells of brain origin, human neuroteratocarcinoma (NT2) cells and primary cultures of rat astrocytes. Again we find no evidence for stabilization or accumulation of any Mn3+ complex derived from oxidation of Mn2+ under a range of conditions. ?? 2005 Elsevier Inc. All rights reserved.", "author" : [ { "dropping-particle" : "", "family" : "Gunter", "given" : "Karlene K.", "non-dropping-particle" : "", "parse-names" : false, "suffix" : "" }, { "dropping-particle" : "", "family" : "Aschner", "given" : "Michael", "non-dropping-particle" : "", "parse-names" : false, "suffix" : "" }, { "dropping-particle" : "", "family" : "Miller", "given" : "Lisa M.", "non-dropping-particle" : "", "parse-names" : false, "suffix" : "" }, { "dropping-particle" : "", "family" : "Eliseev", "given" : "Roman", "non-dropping-particle" : "", "parse-names" : false, "suffix" : "" }, { "dropping-particle" : "", "family" : "Salter", "given" : "Jason", "non-dropping-particle" : "", "parse-names" : false, "suffix" : "" }, { "dropping-particle" : "", "family" : "Anderson", "given" : "Katie", "non-dropping-particle" : "", "parse-names" : false, "suffix" : "" }, { "dropping-particle" : "", "family" : "Gunter", "given" : "Thomas E.", "non-dropping-particle" : "", "parse-names" : false, "suffix" : "" } ], "container-title" : "Neurobiology of Aging", "id" : "ITEM-1", "issue" : "12", "issued" : { "date-parts" : [ [ "2006", "12" ] ] }, "page" : "1816-1826", "title" : "Determining the oxidation states of manganese in NT2 cells and cultured astrocytes", "type" : "article-journal", "volume" : "27" }, "uris" : [ "http://www.mendeley.com/documents/?uuid=ea4452ab-95dd-43fd-82d8-8a7cfc2783c1" ] } ], "mendeley" : { "previouslyFormattedCitation" : "[43]"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[43]</w:t>
      </w:r>
      <w:r w:rsidRPr="00D71D88">
        <w:rPr>
          <w:rFonts w:ascii="Times New Roman" w:hAnsi="Times New Roman"/>
          <w:sz w:val="24"/>
          <w:szCs w:val="24"/>
        </w:rPr>
        <w:fldChar w:fldCharType="end"/>
      </w:r>
      <w:r w:rsidRPr="00D71D88">
        <w:rPr>
          <w:rFonts w:ascii="Times New Roman" w:hAnsi="Times New Roman"/>
          <w:sz w:val="24"/>
          <w:szCs w:val="24"/>
        </w:rPr>
        <w:t>.</w:t>
      </w:r>
    </w:p>
    <w:p w14:paraId="5E050497" w14:textId="1D4F08DC" w:rsidR="003C73D7" w:rsidRPr="00D71D88" w:rsidRDefault="00431653" w:rsidP="00083EFB">
      <w:pPr>
        <w:autoSpaceDE w:val="0"/>
        <w:autoSpaceDN w:val="0"/>
        <w:adjustRightInd w:val="0"/>
        <w:spacing w:after="0" w:line="360" w:lineRule="auto"/>
        <w:ind w:firstLine="720"/>
        <w:jc w:val="both"/>
        <w:rPr>
          <w:rFonts w:ascii="Times New Roman" w:hAnsi="Times New Roman"/>
          <w:sz w:val="24"/>
          <w:szCs w:val="24"/>
        </w:rPr>
      </w:pPr>
      <w:r w:rsidRPr="00D71D88">
        <w:rPr>
          <w:rFonts w:ascii="Times New Roman" w:hAnsi="Times New Roman"/>
          <w:sz w:val="24"/>
          <w:szCs w:val="24"/>
        </w:rPr>
        <w:t xml:space="preserve">In conclusion, our </w:t>
      </w:r>
      <w:r w:rsidR="005712A3" w:rsidRPr="00D71D88">
        <w:rPr>
          <w:rFonts w:ascii="Times New Roman" w:hAnsi="Times New Roman"/>
          <w:sz w:val="24"/>
          <w:szCs w:val="24"/>
        </w:rPr>
        <w:t xml:space="preserve">analysis </w:t>
      </w:r>
      <w:r w:rsidR="003C73D7" w:rsidRPr="00D71D88">
        <w:rPr>
          <w:rFonts w:ascii="Times New Roman" w:hAnsi="Times New Roman"/>
          <w:sz w:val="24"/>
          <w:szCs w:val="24"/>
        </w:rPr>
        <w:t>demonstrate</w:t>
      </w:r>
      <w:r w:rsidR="005712A3" w:rsidRPr="00D71D88">
        <w:rPr>
          <w:rFonts w:ascii="Times New Roman" w:hAnsi="Times New Roman"/>
          <w:sz w:val="24"/>
          <w:szCs w:val="24"/>
        </w:rPr>
        <w:t>s</w:t>
      </w:r>
      <w:r w:rsidR="003C73D7" w:rsidRPr="00D71D88">
        <w:rPr>
          <w:rFonts w:ascii="Times New Roman" w:hAnsi="Times New Roman"/>
          <w:sz w:val="24"/>
          <w:szCs w:val="24"/>
        </w:rPr>
        <w:t xml:space="preserve"> the distribution of Mn and other elements in primary midbrain neurons at a </w:t>
      </w:r>
      <w:r w:rsidR="00DD0D41" w:rsidRPr="00D71D88">
        <w:rPr>
          <w:rFonts w:ascii="Times New Roman" w:hAnsi="Times New Roman"/>
          <w:sz w:val="24"/>
          <w:szCs w:val="24"/>
        </w:rPr>
        <w:t>high</w:t>
      </w:r>
      <w:r w:rsidR="007E0607" w:rsidRPr="00D71D88">
        <w:rPr>
          <w:rFonts w:ascii="Times New Roman" w:hAnsi="Times New Roman"/>
          <w:sz w:val="24"/>
          <w:szCs w:val="24"/>
        </w:rPr>
        <w:t xml:space="preserve"> spatial and chemical</w:t>
      </w:r>
      <w:r w:rsidR="00DD0D41" w:rsidRPr="00D71D88">
        <w:rPr>
          <w:rFonts w:ascii="Times New Roman" w:hAnsi="Times New Roman"/>
          <w:sz w:val="24"/>
          <w:szCs w:val="24"/>
        </w:rPr>
        <w:t xml:space="preserve"> </w:t>
      </w:r>
      <w:r w:rsidR="003C73D7" w:rsidRPr="00D71D88">
        <w:rPr>
          <w:rFonts w:ascii="Times New Roman" w:hAnsi="Times New Roman"/>
          <w:sz w:val="24"/>
          <w:szCs w:val="24"/>
        </w:rPr>
        <w:t xml:space="preserve">resolution. We </w:t>
      </w:r>
      <w:r w:rsidR="005712A3" w:rsidRPr="00D71D88">
        <w:rPr>
          <w:rFonts w:ascii="Times New Roman" w:hAnsi="Times New Roman"/>
          <w:sz w:val="24"/>
          <w:szCs w:val="24"/>
        </w:rPr>
        <w:t>demonstrate</w:t>
      </w:r>
      <w:r w:rsidR="003C73D7" w:rsidRPr="00D71D88">
        <w:rPr>
          <w:rFonts w:ascii="Times New Roman" w:hAnsi="Times New Roman"/>
          <w:sz w:val="24"/>
          <w:szCs w:val="24"/>
        </w:rPr>
        <w:t xml:space="preserve">, that αSyn </w:t>
      </w:r>
      <w:r w:rsidR="006E6137" w:rsidRPr="00D71D88">
        <w:rPr>
          <w:rFonts w:ascii="Times New Roman" w:hAnsi="Times New Roman"/>
          <w:sz w:val="24"/>
          <w:szCs w:val="24"/>
        </w:rPr>
        <w:t xml:space="preserve">acts like an intracellular Mn </w:t>
      </w:r>
      <w:r w:rsidR="007E0607" w:rsidRPr="00D71D88">
        <w:rPr>
          <w:rFonts w:ascii="Times New Roman" w:hAnsi="Times New Roman"/>
          <w:sz w:val="24"/>
          <w:szCs w:val="24"/>
        </w:rPr>
        <w:t>store</w:t>
      </w:r>
      <w:r w:rsidR="006E6137" w:rsidRPr="00D71D88">
        <w:rPr>
          <w:rFonts w:ascii="Times New Roman" w:hAnsi="Times New Roman"/>
          <w:sz w:val="24"/>
          <w:szCs w:val="24"/>
        </w:rPr>
        <w:t xml:space="preserve"> and </w:t>
      </w:r>
      <w:r w:rsidR="003C73D7" w:rsidRPr="00D71D88">
        <w:rPr>
          <w:rFonts w:ascii="Times New Roman" w:hAnsi="Times New Roman"/>
          <w:sz w:val="24"/>
          <w:szCs w:val="24"/>
        </w:rPr>
        <w:t>alters the levels of intracellular Mn, Ca and other elements</w:t>
      </w:r>
      <w:r w:rsidR="006E6137" w:rsidRPr="00D71D88">
        <w:rPr>
          <w:rFonts w:ascii="Times New Roman" w:hAnsi="Times New Roman"/>
          <w:sz w:val="24"/>
          <w:szCs w:val="24"/>
        </w:rPr>
        <w:t xml:space="preserve">. On a longer time scale, similar </w:t>
      </w:r>
      <w:r w:rsidR="00C9724B" w:rsidRPr="00D71D88">
        <w:rPr>
          <w:rFonts w:ascii="Times New Roman" w:hAnsi="Times New Roman"/>
          <w:sz w:val="24"/>
          <w:szCs w:val="24"/>
        </w:rPr>
        <w:t>alterations</w:t>
      </w:r>
      <w:r w:rsidR="006E6137" w:rsidRPr="00D71D88">
        <w:rPr>
          <w:rFonts w:ascii="Times New Roman" w:hAnsi="Times New Roman"/>
          <w:sz w:val="24"/>
          <w:szCs w:val="24"/>
        </w:rPr>
        <w:t xml:space="preserve"> may contribute to chronic </w:t>
      </w:r>
      <w:r w:rsidR="00C9724B" w:rsidRPr="00D71D88">
        <w:rPr>
          <w:rFonts w:ascii="Times New Roman" w:hAnsi="Times New Roman"/>
          <w:sz w:val="24"/>
          <w:szCs w:val="24"/>
        </w:rPr>
        <w:t>neuro</w:t>
      </w:r>
      <w:r w:rsidR="006E6137" w:rsidRPr="00D71D88">
        <w:rPr>
          <w:rFonts w:ascii="Times New Roman" w:hAnsi="Times New Roman"/>
          <w:sz w:val="24"/>
          <w:szCs w:val="24"/>
        </w:rPr>
        <w:t xml:space="preserve">degeneration </w:t>
      </w:r>
      <w:r w:rsidR="006E6137" w:rsidRPr="00D71D88">
        <w:rPr>
          <w:rFonts w:ascii="Times New Roman" w:hAnsi="Times New Roman"/>
          <w:i/>
          <w:sz w:val="24"/>
          <w:szCs w:val="24"/>
        </w:rPr>
        <w:t>in vivo</w:t>
      </w:r>
      <w:r w:rsidR="00C9724B" w:rsidRPr="00D71D88">
        <w:rPr>
          <w:rFonts w:ascii="Times New Roman" w:hAnsi="Times New Roman"/>
          <w:sz w:val="24"/>
          <w:szCs w:val="24"/>
        </w:rPr>
        <w:t xml:space="preserve">. </w:t>
      </w:r>
      <w:r w:rsidR="003C73D7" w:rsidRPr="00D71D88">
        <w:rPr>
          <w:rFonts w:ascii="Times New Roman" w:hAnsi="Times New Roman"/>
          <w:sz w:val="24"/>
          <w:szCs w:val="24"/>
        </w:rPr>
        <w:t xml:space="preserve">Therefore, therapeutic strategies targeting Mn import and regulating its homeostasis could represent an interesting therapeutic </w:t>
      </w:r>
      <w:r w:rsidR="00404D0F" w:rsidRPr="00D71D88">
        <w:rPr>
          <w:rFonts w:ascii="Times New Roman" w:hAnsi="Times New Roman"/>
          <w:sz w:val="24"/>
          <w:szCs w:val="24"/>
        </w:rPr>
        <w:t>approach</w:t>
      </w:r>
      <w:r w:rsidR="003C73D7" w:rsidRPr="00D71D88">
        <w:rPr>
          <w:rFonts w:ascii="Times New Roman" w:hAnsi="Times New Roman"/>
          <w:sz w:val="24"/>
          <w:szCs w:val="24"/>
        </w:rPr>
        <w:t xml:space="preserve"> for future treatments of neurodegenerative disorders.</w:t>
      </w:r>
    </w:p>
    <w:p w14:paraId="018DEC3A" w14:textId="77777777" w:rsidR="006250CF" w:rsidRPr="00D71D88" w:rsidRDefault="006250CF">
      <w:pPr>
        <w:spacing w:after="0" w:line="240" w:lineRule="auto"/>
        <w:rPr>
          <w:rFonts w:ascii="Times New Roman" w:hAnsi="Times New Roman"/>
          <w:sz w:val="24"/>
          <w:szCs w:val="24"/>
        </w:rPr>
      </w:pPr>
    </w:p>
    <w:p w14:paraId="3CAC189B" w14:textId="77777777" w:rsidR="006250CF" w:rsidRPr="00D71D88" w:rsidRDefault="006250CF">
      <w:pPr>
        <w:spacing w:after="0" w:line="240" w:lineRule="auto"/>
        <w:rPr>
          <w:rFonts w:ascii="Times New Roman" w:hAnsi="Times New Roman"/>
          <w:sz w:val="24"/>
          <w:szCs w:val="24"/>
        </w:rPr>
      </w:pPr>
    </w:p>
    <w:p w14:paraId="3138BA3E" w14:textId="3A00E456" w:rsidR="006250CF" w:rsidRPr="00D71D88" w:rsidRDefault="00E9213B" w:rsidP="006250CF">
      <w:pPr>
        <w:spacing w:line="360" w:lineRule="auto"/>
        <w:jc w:val="both"/>
        <w:rPr>
          <w:rFonts w:ascii="Arial" w:hAnsi="Arial" w:cs="Arial"/>
          <w:b/>
          <w:sz w:val="32"/>
          <w:szCs w:val="32"/>
        </w:rPr>
      </w:pPr>
      <w:r w:rsidRPr="00D71D88">
        <w:rPr>
          <w:rFonts w:ascii="Arial" w:hAnsi="Arial" w:cs="Arial"/>
          <w:b/>
          <w:sz w:val="32"/>
          <w:szCs w:val="32"/>
        </w:rPr>
        <w:t>Methods</w:t>
      </w:r>
    </w:p>
    <w:p w14:paraId="684DA9D9" w14:textId="77777777" w:rsidR="006250CF" w:rsidRPr="00D71D88" w:rsidRDefault="006250CF" w:rsidP="006250CF">
      <w:pPr>
        <w:spacing w:line="360" w:lineRule="auto"/>
        <w:jc w:val="both"/>
        <w:rPr>
          <w:rFonts w:ascii="Arial" w:hAnsi="Arial" w:cs="Arial"/>
          <w:b/>
        </w:rPr>
      </w:pPr>
      <w:r w:rsidRPr="00D71D88">
        <w:rPr>
          <w:rFonts w:ascii="Arial" w:hAnsi="Arial" w:cs="Arial"/>
          <w:b/>
        </w:rPr>
        <w:t>Primary midbrain neuron (PMN) culture, transfection and Mn treatment</w:t>
      </w:r>
    </w:p>
    <w:p w14:paraId="0679D50F" w14:textId="77777777" w:rsidR="006250CF" w:rsidRPr="00D71D88" w:rsidRDefault="006250CF" w:rsidP="006250CF">
      <w:pPr>
        <w:spacing w:line="360" w:lineRule="auto"/>
        <w:ind w:firstLine="720"/>
        <w:jc w:val="both"/>
        <w:rPr>
          <w:rFonts w:ascii="Times New Roman" w:hAnsi="Times New Roman"/>
          <w:sz w:val="24"/>
          <w:szCs w:val="24"/>
          <w:lang w:val="en-GB"/>
        </w:rPr>
      </w:pPr>
      <w:r w:rsidRPr="00D71D88">
        <w:rPr>
          <w:rFonts w:ascii="Times New Roman" w:hAnsi="Times New Roman"/>
          <w:sz w:val="24"/>
          <w:szCs w:val="24"/>
          <w:lang w:val="en-GB"/>
        </w:rPr>
        <w:t xml:space="preserve">The mesencephalon floor of embryonic day 14 Wistar rats (bred in the central animal facility of the University of Göttingen) was dissected and dissociated for a primary cell culture as previously described </w:t>
      </w:r>
      <w:r w:rsidRPr="00D71D88">
        <w:rPr>
          <w:rFonts w:ascii="Times New Roman" w:hAnsi="Times New Roman"/>
          <w:sz w:val="24"/>
          <w:szCs w:val="24"/>
          <w:lang w:val="en-GB"/>
        </w:rPr>
        <w:fldChar w:fldCharType="begin" w:fldLock="1"/>
      </w:r>
      <w:r w:rsidR="003E3A96" w:rsidRPr="00D71D88">
        <w:rPr>
          <w:rFonts w:ascii="Times New Roman" w:hAnsi="Times New Roman"/>
          <w:sz w:val="24"/>
          <w:szCs w:val="24"/>
          <w:lang w:val="en-GB"/>
        </w:rPr>
        <w:instrText>ADDIN CSL_CITATION { "citationItems" : [ { "id" : "ITEM-1", "itemData" : { "DOI" : "10.1016/j.nbd.2010.02.011", "ISSN" : "1095-953X", "PMID" : "20211260", "abstract" : "Malfunction of the ubiquitin-proteasome system has been implicated as a causal factor in the pathogenesis of aggregation-related disorders, e.g. Parkinson's disease. We show here that Transforming growth factor-beta 1 (TGF-beta), a multifunctional cytokine and trophic factor for dopaminergic (DAergic) neurons modulates proteasome function in primary midbrain neurons. TGF-beta differentially inhibited proteasomal subactivities with a most pronounced time-dependent inhibition of the peptidyl-glutamyl peptide hydrolyzing-like and chymotrypsin-like subactivity. Regulation of proteasomal activity could be specifically quantified in the DAergic subpopulation. Protein blot analysis revealed an accumulation of ubiquitinated proteins after TGF-beta treatment. The identity of these enriched proteins was further analyzed by 2D-gel electrophoresis and mass spectrometry. We found epidermal fatty acid binding protein (EFABP) to be strongly increased and ubiquitinated after TGF-beta treatment and confirmed this finding by co-immunoprecipitation. While application of TGF-beta increased neurite regeneration in a scratch lesion model, downregulation of EFABP by siRNA significantly decreased this effect. We thus postulate that a differential regulation of proteasomal function, as demonstrated for TGF-beta, can result in an enrichment of proteins, such as EFABP, that mediate physiological functions, such as neurite regeneration.", "author" : [ { "dropping-particle" : "", "family" : "Kn\u00f6ferle", "given" : "Johanna", "non-dropping-particle" : "", "parse-names" : false, "suffix" : "" }, { "dropping-particle" : "", "family" : "Ramljak", "given" : "Sanja", "non-dropping-particle" : "", "parse-names" : false, "suffix" : "" }, { "dropping-particle" : "", "family" : "Koch", "given" : "Jan C", "non-dropping-particle" : "", "parse-names" : false, "suffix" : "" }, { "dropping-particle" : "", "family" : "T\u00f6nges", "given" : "Lars", "non-dropping-particle" : "", "parse-names" : false, "suffix" : "" }, { "dropping-particle" : "", "family" : "Asif", "given" : "Abdul R", "non-dropping-particle" : "", "parse-names" : false, "suffix" : "" }, { "dropping-particle" : "", "family" : "Michel", "given" : "Uwe", "non-dropping-particle" : "", "parse-names" : false, "suffix" : "" }, { "dropping-particle" : "", "family" : "Wouters", "given" : "Fred S", "non-dropping-particle" : "", "parse-names" : false, "suffix" : "" }, { "dropping-particle" : "", "family" : "Heermann", "given" : "Stephan", "non-dropping-particle" : "", "parse-names" : false, "suffix" : "" }, { "dropping-particle" : "", "family" : "Krieglstein", "given" : "Kerstin", "non-dropping-particle" : "", "parse-names" : false, "suffix" : "" }, { "dropping-particle" : "", "family" : "Zerr", "given" : "Inga", "non-dropping-particle" : "", "parse-names" : false, "suffix" : "" }, { "dropping-particle" : "", "family" : "B\u00e4hr", "given" : "Mathias", "non-dropping-particle" : "", "parse-names" : false, "suffix" : "" }, { "dropping-particle" : "", "family" : "Lingor", "given" : "Paul", "non-dropping-particle" : "", "parse-names" : false, "suffix" : "" } ], "container-title" : "Neurobiology of disease", "id" : "ITEM-1", "issue" : "3", "issued" : { "date-parts" : [ [ "2010", "6" ] ] }, "page" : "395-404", "publisher" : "ACADEMIC PRESS INC ELSEVIER SCIENCE, 525 B ST, STE 1900, SAN DIEGO, CA 92101-4495 USA", "title" : "TGF-beta 1 enhances neurite outgrowth via regulation of proteasome function and EFABP.", "type" : "article-journal", "volume" : "38" }, "uris" : [ "http://www.mendeley.com/documents/?uuid=2925c571-2c25-430e-9d89-1de64dfd452d" ] }, { "id" : "ITEM-2", "itemData" : { "DOI" : "10.1016/0006-8993(92)91642-R", "ISSN" : "00068993", "abstract" : "In the ventral mesencephalon of the E14 rat fetus, 90% of the dopaminergic, tyrosine hydroxylase positive (TH+) cells are localized in 1.0 mm3 of tissue. This same ventral mesencephalic region also contains 90% of the dopamine content of the E14 ventral brainstem (2.2+/-0.3 nmol/mg protein). When cells were prepared for culturing from this localized area, and plated at a density of 2.5 x 10(5) cells/cm2, 17-21% of the cells were TH+, at 4 and 12 h, and at 1, 5, 7 and 10 days after plating. The percentage of TH + cells was also 17-21% when examined at 4 h, 12 h or 5 days after plating at densities ranging from 7.8 x 10(3) to 2.5 x 10(5) cells/cm  2. However, cell survival at a density of &lt; 6.2 x 10(4) cells/cm2 was poor after 5 days in culture. Based on the degree of neurite elongation and complexity, cell maturation appeared to be complete at 5 days in culture (DIV5), and appeared to be maintained at this level up to DIV10. By DIV14, neurite retraction was evident, and the cells were more rounded. These signs may indicate the inception of senescence in the cultures. A benztropine-sensitive, concentration-dependent dopamine uptake mechanism was demonstrated in the cultures at DIV7, and DA could be released from preloaded cells using 50 mM K+. Five morphological subtypes of TH+ cells were identified in the cultures. This primary culture of the ventral mesencephalic, dopaminergic area, with a high percentage of TH+ cells, is suitable for use in acute biochemical and cellular studies, between DIV5 and DIV10.", "author" : [ { "dropping-particle" : "", "family" : "Shimoda", "given" : "K.", "non-dropping-particle" : "", "parse-names" : false, "suffix" : "" }, { "dropping-particle" : "", "family" : "Sauve", "given" : "Y.", "non-dropping-particle" : "", "parse-names" : false, "suffix" : "" }, { "dropping-particle" : "", "family" : "Marini", "given" : "A.", "non-dropping-particle" : "", "parse-names" : false, "suffix" : "" }, { "dropping-particle" : "", "family" : "Schwartz", "given" : "J.P.", "non-dropping-particle" : "", "parse-names" : false, "suffix" : "" }, { "dropping-particle" : "", "family" : "Commissiong", "given" : "J.W.", "non-dropping-particle" : "", "parse-names" : false, "suffix" : "" } ], "container-title" : "Brain Research", "id" : "ITEM-2", "issue" : "2", "issued" : { "date-parts" : [ [ "1992", "7" ] ] }, "page" : "319-331", "publisher" : "ELSEVIER SCIENCE BV, PO BOX 211, 1000 AE AMSTERDAM, NETHERLANDS", "title" : "A high percentage yield of tyrosine hydroxylase-positive cells from rat E14 mesencephalic cell culture", "type" : "article-journal", "volume" : "586" }, "uris" : [ "http://www.mendeley.com/documents/?uuid=bc016fb3-a6cf-4844-8503-9ffad6270244" ] } ], "mendeley" : { "previouslyFormattedCitation" : "[44, 45]" }, "properties" : { "noteIndex" : 0 }, "schema" : "https://github.com/citation-style-language/schema/raw/master/csl-citation.json" }</w:instrText>
      </w:r>
      <w:r w:rsidRPr="00D71D88">
        <w:rPr>
          <w:rFonts w:ascii="Times New Roman" w:hAnsi="Times New Roman"/>
          <w:sz w:val="24"/>
          <w:szCs w:val="24"/>
          <w:lang w:val="en-GB"/>
        </w:rPr>
        <w:fldChar w:fldCharType="separate"/>
      </w:r>
      <w:r w:rsidR="003E3A96" w:rsidRPr="00D71D88">
        <w:rPr>
          <w:rFonts w:ascii="Times New Roman" w:hAnsi="Times New Roman"/>
          <w:noProof/>
          <w:sz w:val="24"/>
          <w:szCs w:val="24"/>
          <w:lang w:val="en-GB"/>
        </w:rPr>
        <w:t>[44, 45]</w:t>
      </w:r>
      <w:r w:rsidRPr="00D71D88">
        <w:rPr>
          <w:rFonts w:ascii="Times New Roman" w:hAnsi="Times New Roman"/>
          <w:sz w:val="24"/>
          <w:szCs w:val="24"/>
          <w:lang w:val="en-GB"/>
        </w:rPr>
        <w:fldChar w:fldCharType="end"/>
      </w:r>
      <w:r w:rsidRPr="00D71D88">
        <w:rPr>
          <w:rFonts w:ascii="Times New Roman" w:hAnsi="Times New Roman"/>
          <w:sz w:val="24"/>
          <w:szCs w:val="24"/>
          <w:lang w:val="en-GB"/>
        </w:rPr>
        <w:t>. Briefly, the brainstem was isolated and the meninges were removed. A medial incision was made at the ventricular opening of the tectum. The rostral parts of the ventral brainstem and of the tectum were cut away. The dissected tissue pieces were collected in ice-cold calcium–magnesium-free medium and centrifuged at 1.5 g for 4 min. Trypsin (750 µl, 0.25%, Sigma, Taufkirchen, Germany) was added to the tissue pellet, and after 15 min of incubation at 37°C was inactivated with 750 µl cold fetal calf serum. Dissociation of tissue fragments was achieved by gentle trituration using a fire-polished Pasteur pipette. The cell suspension was centrifuged at 73 g for 4 min and resuspended in culture medium.</w:t>
      </w:r>
    </w:p>
    <w:p w14:paraId="0AEF5128" w14:textId="77777777" w:rsidR="006250CF" w:rsidRPr="00D71D88" w:rsidRDefault="006250CF" w:rsidP="006250CF">
      <w:pPr>
        <w:spacing w:line="360" w:lineRule="auto"/>
        <w:ind w:firstLine="720"/>
        <w:jc w:val="both"/>
        <w:rPr>
          <w:rFonts w:ascii="Times New Roman" w:hAnsi="Times New Roman"/>
          <w:sz w:val="24"/>
          <w:szCs w:val="24"/>
          <w:lang w:val="en-GB"/>
        </w:rPr>
      </w:pPr>
      <w:r w:rsidRPr="00D71D88">
        <w:rPr>
          <w:rFonts w:ascii="Times New Roman" w:hAnsi="Times New Roman"/>
          <w:sz w:val="24"/>
          <w:szCs w:val="24"/>
        </w:rPr>
        <w:lastRenderedPageBreak/>
        <w:t xml:space="preserve">The cell suspension was then co-transfected with two plasmids, </w:t>
      </w:r>
      <w:r w:rsidRPr="00D71D88">
        <w:rPr>
          <w:rFonts w:ascii="Times New Roman" w:hAnsi="Times New Roman"/>
          <w:bCs/>
          <w:sz w:val="24"/>
          <w:szCs w:val="24"/>
        </w:rPr>
        <w:t>p.EGFP</w:t>
      </w:r>
      <w:r w:rsidRPr="00D71D88">
        <w:rPr>
          <w:rFonts w:ascii="Times New Roman" w:hAnsi="Times New Roman"/>
          <w:sz w:val="24"/>
          <w:szCs w:val="24"/>
        </w:rPr>
        <w:t xml:space="preserve"> and </w:t>
      </w:r>
      <w:r w:rsidRPr="00D71D88">
        <w:rPr>
          <w:rFonts w:ascii="Times New Roman" w:hAnsi="Times New Roman"/>
          <w:bCs/>
          <w:sz w:val="24"/>
          <w:szCs w:val="24"/>
        </w:rPr>
        <w:t xml:space="preserve">p.αSyn-WT, which were previously described </w:t>
      </w:r>
      <w:r w:rsidRPr="00D71D88">
        <w:rPr>
          <w:rFonts w:ascii="Times New Roman" w:hAnsi="Times New Roman"/>
          <w:bCs/>
          <w:sz w:val="24"/>
          <w:szCs w:val="24"/>
        </w:rPr>
        <w:fldChar w:fldCharType="begin" w:fldLock="1"/>
      </w:r>
      <w:r w:rsidR="003E3A96" w:rsidRPr="00D71D88">
        <w:rPr>
          <w:rFonts w:ascii="Times New Roman" w:hAnsi="Times New Roman"/>
          <w:bCs/>
          <w:sz w:val="24"/>
          <w:szCs w:val="24"/>
        </w:rPr>
        <w:instrText>ADDIN CSL_CITATION { "citationItems" : [ { "id" : "ITEM-1", "itemData" : { "DOI" : "10.1007/s00401-011-0926-8", "ISSN" : "1432-0533", "PMID" : "22167382", "abstract" : "Fibrillar \u03b1Synuclein is the major constituent of Lewy bodies and Lewy neurites, the protein deposits characteristic for Parkinson's disease (PD). Multiplications of the \u03b1Synuclein gene, as well as point mutations cause familial PD. However, the exact role of \u03b1Synuclein in neurodegeneration remains uncertain. Recent research in invertebrates has suggested that oligomeric rather than fibrillizing \u03b1Synuclein mediates neurotoxicity. To investigate the impact of \u03b1Synuclein aggregation on the progression of neurodegeneration, we expressed variants with different fibrillation propensities in the rat substantia nigra (SN) by means of recombinant adeno-associated viral (AAV) vectors. The formation of proteinase K-resistant \u03b1Synuclein aggregates was correlated to the loss of nigral dopaminergic (DA) neurons and striatal fibers. Expression of two prefibrillar, structure-based design mutants of \u03b1Synuclein (i.e., A56P and A30P/A56P/A76P) resulted in less aggregate formation in nigral DA neurons as compared to human wild-type (WT) or the inherited A30P mutation. However, only the \u03b1Synuclein variants capable of forming fibrils (WT/A30P), but not the oligomeric \u03b1Synuclein species induced a sustained progressive loss of adult nigral DA neurons. These results demonstrate that divergent modes of \u03b1Synuclein neurotoxicity exist in invertebrate and mammalian DA neurons in vivo and suggest that fibrillation of \u03b1Synuclein promotes the progressive degeneration of nigral DA neurons as found in PD patients.", "author" : [ { "dropping-particle" : "", "family" : "Taschenberger", "given" : "Grit", "non-dropping-particle" : "", "parse-names" : false, "suffix" : "" }, { "dropping-particle" : "", "family" : "Garrido", "given" : "Manuel", "non-dropping-particle" : "", "parse-names" : false, "suffix" : "" }, { "dropping-particle" : "", "family" : "Tereshchenko", "given" : "Yuliya", "non-dropping-particle" : "", "parse-names" : false, "suffix" : "" }, { "dropping-particle" : "", "family" : "B\u00e4hr", "given" : "Mathias", "non-dropping-particle" : "", "parse-names" : false, "suffix" : "" }, { "dropping-particle" : "", "family" : "Zweckstetter", "given" : "Markus", "non-dropping-particle" : "", "parse-names" : false, "suffix" : "" }, { "dropping-particle" : "", "family" : "K\u00fcgler", "given" : "Sebastian", "non-dropping-particle" : "", "parse-names" : false, "suffix" : "" } ], "container-title" : "Acta neuropathologica", "id" : "ITEM-1", "issue" : "5", "issued" : { "date-parts" : [ [ "2012", "5" ] ] }, "page" : "671-83", "publisher" : "SPRINGER, 233 SPRING ST, NEW YORK, NY 10013 USA", "title" : "Aggregation of \u03b1Synuclein promotes progressive in vivo neurotoxicity in adult rat dopaminergic neurons.", "type" : "article-journal", "volume" : "123" }, "uris" : [ "http://www.mendeley.com/documents/?uuid=be005b00-b44c-4858-9807-ab6bbcf5fb64" ] }, { "id" : "ITEM-2", "itemData" : { "DOI" : "10.1111/j.1742-4658.2011.08269.x", "ISSN" : "1742-4658", "PMID" : "21790997", "abstract" : "Repressor element-1 silencing transcription factor (REST) is a transcriptional repressor of neuron-specific genes that binds to a conserved DNA element, the neuron restrictive silencer element (NRSE/RE1). Interestingly, increased REST activity is found in several neurological diseases like Huntington's disease and cerebral ischemia. Recently, it was shown that NRSE dsRNA, a double-stranded non-coding RNA can bind to REST during a defined period of neuronal differentiation, and thereby changes REST from a transcriptional repressor to an activator of neuron-specific genes. Here, we analyzed the effects of NRSE dsRNA expression in primary retinal ganglion cells. We found that NRSE dsRNA expression vectors significantly enhance neurite outgrowth even when axonal degeneration is induced by neurotrophin deprivation. Transfection of HEK cells with NRSE dsRNA-expressing vectors altered their morphology leading to the formation of thin processes and induced the expression of neurofilament-68. Surprisingly, control vectors containing REST-binding sites, but not expressing NRSE dsRNA, resulted in the same effects, also in the retinal ganglion cell model. Reporter assays and retention of REST in the cytoplasm with a labeled NRSE/RE1-containing plasmid incapable of entering the nucleus suggest that sequestration of REST in the cytoplasm is the reason for the observed effects. No evidence for a biological function of NRSE dsRNA could be found in these models. We conclude that sequestration of REST leads to enhanced neurite outgrowth in retinal ganglion cells and that an increased activity of REST, as it is found in several neurodegenerative diseases, can be effectively modulated by sequestration of REST with plasmids containing NRSE/RE1 sites.", "author" : [ { "dropping-particle" : "", "family" : "Koch", "given" : "Jan C", "non-dropping-particle" : "", "parse-names" : false, "suffix" : "" }, { "dropping-particle" : "", "family" : "Barski", "given" : "Elisabeth", "non-dropping-particle" : "", "parse-names" : false, "suffix" : "" }, { "dropping-particle" : "", "family" : "Lingor", "given" : "Paul", "non-dropping-particle" : "", "parse-names" : false, "suffix" : "" }, { "dropping-particle" : "", "family" : "B\u00e4hr", "given" : "Mathias", "non-dropping-particle" : "", "parse-names" : false, "suffix" : "" }, { "dropping-particle" : "", "family" : "Michel", "given" : "Uwe", "non-dropping-particle" : "", "parse-names" : false, "suffix" : "" } ], "container-title" : "The FEBS journal", "id" : "ITEM-2", "issue" : "18", "issued" : { "date-parts" : [ [ "2011", "9" ] ] }, "page" : "3472-83", "publisher" : "WILEY-BLACKWELL, COMMERCE PLACE, 350 MAIN ST, MALDEN 02148, MA USA", "title" : "Plasmids containing NRSE/RE1 sites enhance neurite outgrowth of retinal ganglion cells via sequestration of REST independent of NRSE dsRNA expression.", "type" : "article-journal", "volume" : "278" }, "uris" : [ "http://www.mendeley.com/documents/?uuid=cd53545a-c912-425c-9eaf-2c4d9c2f8f15" ] } ], "mendeley" : { "previouslyFormattedCitation" : "[46, 47]" }, "properties" : { "noteIndex" : 0 }, "schema" : "https://github.com/citation-style-language/schema/raw/master/csl-citation.json" }</w:instrText>
      </w:r>
      <w:r w:rsidRPr="00D71D88">
        <w:rPr>
          <w:rFonts w:ascii="Times New Roman" w:hAnsi="Times New Roman"/>
          <w:bCs/>
          <w:sz w:val="24"/>
          <w:szCs w:val="24"/>
        </w:rPr>
        <w:fldChar w:fldCharType="separate"/>
      </w:r>
      <w:r w:rsidR="003E3A96" w:rsidRPr="00D71D88">
        <w:rPr>
          <w:rFonts w:ascii="Times New Roman" w:hAnsi="Times New Roman"/>
          <w:bCs/>
          <w:noProof/>
          <w:sz w:val="24"/>
          <w:szCs w:val="24"/>
        </w:rPr>
        <w:t>[46, 47]</w:t>
      </w:r>
      <w:r w:rsidRPr="00D71D88">
        <w:rPr>
          <w:rFonts w:ascii="Times New Roman" w:hAnsi="Times New Roman"/>
          <w:bCs/>
          <w:sz w:val="24"/>
          <w:szCs w:val="24"/>
        </w:rPr>
        <w:fldChar w:fldCharType="end"/>
      </w:r>
      <w:r w:rsidRPr="00D71D88">
        <w:rPr>
          <w:rFonts w:ascii="Times New Roman" w:hAnsi="Times New Roman"/>
          <w:bCs/>
          <w:sz w:val="24"/>
          <w:szCs w:val="24"/>
        </w:rPr>
        <w:t>,</w:t>
      </w:r>
      <w:r w:rsidRPr="00D71D88">
        <w:rPr>
          <w:rFonts w:ascii="Times New Roman" w:hAnsi="Times New Roman"/>
          <w:sz w:val="24"/>
          <w:szCs w:val="24"/>
        </w:rPr>
        <w:t xml:space="preserve"> using nucleofection (Nucleofector™ II Device and Basic Primary Neurons Nucleofector Kit (VPI-1003), Lonza).</w:t>
      </w:r>
      <w:r w:rsidRPr="00D71D88">
        <w:rPr>
          <w:rFonts w:ascii="Times New Roman" w:hAnsi="Times New Roman"/>
          <w:sz w:val="24"/>
          <w:szCs w:val="24"/>
          <w:vertAlign w:val="superscript"/>
        </w:rPr>
        <w:t xml:space="preserve"> </w:t>
      </w:r>
      <w:r w:rsidRPr="00D71D88">
        <w:rPr>
          <w:rFonts w:ascii="Times New Roman" w:hAnsi="Times New Roman"/>
          <w:sz w:val="24"/>
          <w:szCs w:val="24"/>
        </w:rPr>
        <w:t>For each experimental condition, a 90 µl cell suspension containing ~4.0 x 10</w:t>
      </w:r>
      <w:r w:rsidRPr="00D71D88">
        <w:rPr>
          <w:rFonts w:ascii="Times New Roman" w:hAnsi="Times New Roman"/>
          <w:sz w:val="24"/>
          <w:szCs w:val="24"/>
          <w:vertAlign w:val="superscript"/>
        </w:rPr>
        <w:t>6</w:t>
      </w:r>
      <w:r w:rsidRPr="00D71D88">
        <w:rPr>
          <w:rFonts w:ascii="Times New Roman" w:hAnsi="Times New Roman"/>
          <w:sz w:val="24"/>
          <w:szCs w:val="24"/>
        </w:rPr>
        <w:t xml:space="preserve"> neurons was nucleofected with 5 µg plasmid DNA using the program O-05. Cells were then resuspended in culture medium containing </w:t>
      </w:r>
      <w:r w:rsidRPr="00D71D88">
        <w:rPr>
          <w:rFonts w:ascii="Times New Roman" w:hAnsi="Times New Roman"/>
          <w:sz w:val="24"/>
          <w:szCs w:val="24"/>
          <w:lang w:val="en-GB"/>
        </w:rPr>
        <w:t>DMEM-F12 (Invitrogen, Darmstadt, Germany) supplemented with 2.5 mg/ml BSA (35%), 0.9% D-(+)-glucose solution (45%), 2 mM L-glutamine (PAA Laboratories, Pasching, Austria), 5 μg/ml insulin, 1:100 N1 medium supplement and 1:100 PSN antibiotic mixture (Invitrogen, Scotland, UK) and then plated at a density of 400,000/well on silicon nitride membranes (1.5 x 1.5 x 2 * 10</w:t>
      </w:r>
      <w:r w:rsidRPr="00D71D88">
        <w:rPr>
          <w:rFonts w:ascii="Times New Roman" w:hAnsi="Times New Roman"/>
          <w:sz w:val="24"/>
          <w:szCs w:val="24"/>
          <w:vertAlign w:val="superscript"/>
          <w:lang w:val="en-GB"/>
        </w:rPr>
        <w:t>-4</w:t>
      </w:r>
      <w:r w:rsidRPr="00D71D88">
        <w:rPr>
          <w:rFonts w:ascii="Times New Roman" w:hAnsi="Times New Roman"/>
          <w:sz w:val="24"/>
          <w:szCs w:val="24"/>
          <w:lang w:val="en-GB"/>
        </w:rPr>
        <w:t xml:space="preserve"> mm, Silson, UK) coated with poly-L-ornithine and laminin. Membranes were then transferred to </w:t>
      </w:r>
      <w:r w:rsidRPr="00D71D88">
        <w:rPr>
          <w:rFonts w:ascii="Times New Roman" w:hAnsi="Times New Roman"/>
          <w:sz w:val="24"/>
          <w:szCs w:val="24"/>
        </w:rPr>
        <w:t>24-well plates (Saarstedt) and cells were kept in 500 µl culture medium per well at 37°C und 5% CO</w:t>
      </w:r>
      <w:r w:rsidRPr="00D71D88">
        <w:rPr>
          <w:rFonts w:ascii="Times New Roman" w:hAnsi="Times New Roman"/>
          <w:sz w:val="24"/>
          <w:szCs w:val="24"/>
          <w:vertAlign w:val="subscript"/>
        </w:rPr>
        <w:t>2</w:t>
      </w:r>
      <w:r w:rsidRPr="00D71D88">
        <w:rPr>
          <w:rFonts w:ascii="Times New Roman" w:hAnsi="Times New Roman"/>
          <w:sz w:val="24"/>
          <w:szCs w:val="24"/>
          <w:lang w:val="en-GB"/>
        </w:rPr>
        <w:t xml:space="preserve"> in a humidified atmosphere</w:t>
      </w:r>
      <w:r w:rsidRPr="00D71D88">
        <w:rPr>
          <w:rFonts w:ascii="Times New Roman" w:hAnsi="Times New Roman"/>
          <w:sz w:val="24"/>
          <w:szCs w:val="24"/>
        </w:rPr>
        <w:t xml:space="preserve">. At 3 h after nucleofection, 2/3 of the medium was exchanged to discard toxic substances from the nucleofection procedure and ½ of the medium was exchanged again 48 hours after plating. </w:t>
      </w:r>
      <w:r w:rsidRPr="00D71D88">
        <w:rPr>
          <w:rFonts w:ascii="Times New Roman" w:hAnsi="Times New Roman"/>
          <w:sz w:val="24"/>
          <w:szCs w:val="24"/>
          <w:lang w:val="en-GB"/>
        </w:rPr>
        <w:t xml:space="preserve">This midbrain culture contained ~5–10 % dopaminergic neurons and ~90–95 % GABAergic neurons with only single glial fibrillary acidic protein-positive cells being detectable </w:t>
      </w:r>
      <w:r w:rsidRPr="00D71D88">
        <w:rPr>
          <w:rFonts w:ascii="Times New Roman" w:hAnsi="Times New Roman"/>
          <w:sz w:val="24"/>
          <w:szCs w:val="24"/>
          <w:lang w:val="en-GB"/>
        </w:rPr>
        <w:fldChar w:fldCharType="begin" w:fldLock="1"/>
      </w:r>
      <w:r w:rsidR="003E3A96" w:rsidRPr="00D71D88">
        <w:rPr>
          <w:rFonts w:ascii="Times New Roman" w:hAnsi="Times New Roman"/>
          <w:sz w:val="24"/>
          <w:szCs w:val="24"/>
          <w:lang w:val="en-GB"/>
        </w:rPr>
        <w:instrText>ADDIN CSL_CITATION { "citationItems" : [ { "id" : "ITEM-1", "itemData" : { "DOI" : "10.1006/exnr.2000.7339", "ISSN" : "0014-4886", "PMID" : "10785444", "abstract" : "Free radical formation is considered to be a major cause of dopaminergic (DAergic) cell death in the substantia nigra leading to Parkinson's disease (PD). In this study we employed several radical donors including iron and sodium nitroprusside to induce toxic effects on DAergic neurons cultured from the embryonic rat midbrain floor. Overall cell survival was assessed by assaying LDH, and DAergic neuron survival was monitored by counting tyrosine hydroxylase-positive cells. Our data suggest that the DAergic neuron population is about fourfold more susceptible to free-radical-mediated damage than the total population of midbrain neurons. Application of the neurotrophic factors GDNF and NT-4, for which DAergic neurons have specific receptors, prior to toxin administration protected these neurons from toxin-mediated death, which, fully or in part, occurs under the signs of apoptosis. These findings underscore the importance of GDNF and NT-4 in designing future therapeutical concepts for PD.", "author" : [ { "dropping-particle" : "", "family" : "Lingor", "given" : "P", "non-dropping-particle" : "", "parse-names" : false, "suffix" : "" }, { "dropping-particle" : "", "family" : "Unsicker", "given" : "K", "non-dropping-particle" : "", "parse-names" : false, "suffix" : "" }, { "dropping-particle" : "", "family" : "Krieglstein", "given" : "K", "non-dropping-particle" : "", "parse-names" : false, "suffix" : "" } ], "container-title" : "Experimental neurology", "id" : "ITEM-1", "issue" : "1", "issued" : { "date-parts" : [ [ "2000", "5" ] ] }, "page" : "55-62", "publisher" : "ACADEMIC PRESS INC, 525 B ST, STE 1900, SAN DIEGO, CA 92101-4495 USA", "title" : "GDNF and NT-4 protect midbrain dopaminergic neurons from toxic damage by iron and nitric oxide.", "type" : "article-journal", "volume" : "163" }, "uris" : [ "http://www.mendeley.com/documents/?uuid=fa3d2f05-d1dc-4a87-8697-3bbe1ab271a9" ] } ], "mendeley" : { "previouslyFormattedCitation" : "[48]" }, "properties" : { "noteIndex" : 0 }, "schema" : "https://github.com/citation-style-language/schema/raw/master/csl-citation.json" }</w:instrText>
      </w:r>
      <w:r w:rsidRPr="00D71D88">
        <w:rPr>
          <w:rFonts w:ascii="Times New Roman" w:hAnsi="Times New Roman"/>
          <w:sz w:val="24"/>
          <w:szCs w:val="24"/>
          <w:lang w:val="en-GB"/>
        </w:rPr>
        <w:fldChar w:fldCharType="separate"/>
      </w:r>
      <w:r w:rsidR="00EA7311" w:rsidRPr="00D71D88">
        <w:rPr>
          <w:rFonts w:ascii="Times New Roman" w:hAnsi="Times New Roman"/>
          <w:noProof/>
          <w:sz w:val="24"/>
          <w:szCs w:val="24"/>
          <w:lang w:val="en-GB"/>
        </w:rPr>
        <w:t>[48]</w:t>
      </w:r>
      <w:r w:rsidRPr="00D71D88">
        <w:rPr>
          <w:rFonts w:ascii="Times New Roman" w:hAnsi="Times New Roman"/>
          <w:sz w:val="24"/>
          <w:szCs w:val="24"/>
          <w:lang w:val="en-GB"/>
        </w:rPr>
        <w:fldChar w:fldCharType="end"/>
      </w:r>
      <w:r w:rsidRPr="00D71D88">
        <w:rPr>
          <w:rFonts w:ascii="Times New Roman" w:hAnsi="Times New Roman"/>
          <w:sz w:val="24"/>
          <w:szCs w:val="24"/>
          <w:lang w:val="en-GB"/>
        </w:rPr>
        <w:t xml:space="preserve">. </w:t>
      </w:r>
    </w:p>
    <w:p w14:paraId="1A09218F" w14:textId="77777777" w:rsidR="006250CF" w:rsidRPr="00D71D88" w:rsidRDefault="006250CF" w:rsidP="006250CF">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On day 3 </w:t>
      </w:r>
      <w:r w:rsidRPr="00D71D88">
        <w:rPr>
          <w:rFonts w:ascii="Times New Roman" w:hAnsi="Times New Roman"/>
          <w:i/>
          <w:sz w:val="24"/>
          <w:szCs w:val="24"/>
        </w:rPr>
        <w:t>in vitro</w:t>
      </w:r>
      <w:r w:rsidRPr="00D71D88">
        <w:rPr>
          <w:rFonts w:ascii="Times New Roman" w:hAnsi="Times New Roman"/>
          <w:sz w:val="24"/>
          <w:szCs w:val="24"/>
        </w:rPr>
        <w:t xml:space="preserve"> cultures were treated with Mn</w:t>
      </w:r>
      <w:r w:rsidRPr="00D71D88">
        <w:rPr>
          <w:rFonts w:ascii="Times New Roman" w:hAnsi="Times New Roman"/>
          <w:sz w:val="24"/>
          <w:szCs w:val="24"/>
          <w:vertAlign w:val="superscript"/>
        </w:rPr>
        <w:t>2+</w:t>
      </w:r>
      <w:r w:rsidRPr="00D71D88">
        <w:rPr>
          <w:rFonts w:ascii="Times New Roman" w:hAnsi="Times New Roman"/>
          <w:sz w:val="24"/>
          <w:szCs w:val="24"/>
        </w:rPr>
        <w:t xml:space="preserve"> (by supplementation with 500 µM MnCl</w:t>
      </w:r>
      <w:r w:rsidRPr="00D71D88">
        <w:rPr>
          <w:rFonts w:ascii="Times New Roman" w:hAnsi="Times New Roman"/>
          <w:sz w:val="24"/>
          <w:szCs w:val="24"/>
          <w:vertAlign w:val="subscript"/>
        </w:rPr>
        <w:t>2</w:t>
      </w:r>
      <w:r w:rsidRPr="00D71D88">
        <w:rPr>
          <w:rFonts w:ascii="Times New Roman" w:hAnsi="Times New Roman"/>
          <w:sz w:val="24"/>
          <w:szCs w:val="24"/>
        </w:rPr>
        <w:t xml:space="preserve">; Sigma-Aldrich) for 2h in cell culture medium. </w:t>
      </w:r>
    </w:p>
    <w:p w14:paraId="6B591D00" w14:textId="77777777" w:rsidR="006250CF" w:rsidRPr="00D71D88" w:rsidRDefault="006250CF" w:rsidP="006250CF">
      <w:pPr>
        <w:spacing w:line="360" w:lineRule="auto"/>
        <w:jc w:val="both"/>
        <w:rPr>
          <w:rFonts w:ascii="Times New Roman" w:hAnsi="Times New Roman"/>
          <w:sz w:val="24"/>
          <w:szCs w:val="24"/>
        </w:rPr>
      </w:pPr>
    </w:p>
    <w:p w14:paraId="54BA6FBA" w14:textId="77777777" w:rsidR="006250CF" w:rsidRPr="00D71D88" w:rsidRDefault="006250CF" w:rsidP="006250CF">
      <w:pPr>
        <w:pStyle w:val="MediumShading1-Accent11"/>
        <w:spacing w:line="360" w:lineRule="auto"/>
        <w:jc w:val="both"/>
        <w:rPr>
          <w:rStyle w:val="Fett"/>
          <w:rFonts w:ascii="Arial" w:hAnsi="Arial" w:cs="Arial"/>
        </w:rPr>
      </w:pPr>
      <w:r w:rsidRPr="00D71D88">
        <w:rPr>
          <w:rStyle w:val="Fett"/>
          <w:rFonts w:ascii="Arial" w:hAnsi="Arial" w:cs="Arial"/>
        </w:rPr>
        <w:t>Fluorescence light microscopy in vivo</w:t>
      </w:r>
    </w:p>
    <w:p w14:paraId="0F5D0D9D" w14:textId="77777777" w:rsidR="006250CF" w:rsidRPr="00D71D88" w:rsidRDefault="006250CF" w:rsidP="006250CF">
      <w:pPr>
        <w:pStyle w:val="p"/>
        <w:spacing w:line="360" w:lineRule="auto"/>
        <w:ind w:firstLine="720"/>
        <w:jc w:val="both"/>
      </w:pPr>
      <w:r w:rsidRPr="00D71D88">
        <w:t>All cultures were completely imaged using a visible light microscopy (Axiovert; Zeiss), to create a localization map of the cells on the silicon nitride membrane and to identify GFP-positive DAergic neurons for subsequent X-ray imaging. Photomicrographs were taken using an inverted fluorescence microscope while the culture was kept in a heated (37°C) imaging chamber under controlled atmosphere (5% CO</w:t>
      </w:r>
      <w:r w:rsidRPr="00D71D88">
        <w:rPr>
          <w:vertAlign w:val="subscript"/>
        </w:rPr>
        <w:t>2</w:t>
      </w:r>
      <w:r w:rsidRPr="00D71D88">
        <w:t xml:space="preserve">). For each visual field, images at 10 × magnification were taken using phase contrast and EGFP filter. </w:t>
      </w:r>
    </w:p>
    <w:p w14:paraId="7FDFE7BE" w14:textId="77777777" w:rsidR="006250CF" w:rsidRPr="00D71D88" w:rsidRDefault="006250CF" w:rsidP="006250CF">
      <w:pPr>
        <w:spacing w:line="360" w:lineRule="auto"/>
        <w:ind w:firstLine="720"/>
        <w:jc w:val="both"/>
        <w:rPr>
          <w:rFonts w:ascii="Times New Roman" w:hAnsi="Times New Roman"/>
          <w:sz w:val="24"/>
          <w:szCs w:val="24"/>
        </w:rPr>
      </w:pPr>
    </w:p>
    <w:p w14:paraId="4BCA6E91" w14:textId="77777777" w:rsidR="006250CF" w:rsidRPr="00D71D88" w:rsidRDefault="006250CF" w:rsidP="006250CF">
      <w:pPr>
        <w:spacing w:line="360" w:lineRule="auto"/>
        <w:jc w:val="both"/>
        <w:rPr>
          <w:rFonts w:ascii="Arial" w:hAnsi="Arial" w:cs="Arial"/>
          <w:b/>
        </w:rPr>
      </w:pPr>
      <w:r w:rsidRPr="00D71D88">
        <w:rPr>
          <w:rFonts w:ascii="Arial" w:hAnsi="Arial" w:cs="Arial"/>
          <w:b/>
        </w:rPr>
        <w:t>Sample preparation for X-ray microscopy</w:t>
      </w:r>
    </w:p>
    <w:p w14:paraId="300084F9" w14:textId="77777777" w:rsidR="006250CF" w:rsidRPr="00D71D88" w:rsidRDefault="006250CF" w:rsidP="006250CF">
      <w:pPr>
        <w:spacing w:line="360" w:lineRule="auto"/>
        <w:ind w:firstLine="720"/>
        <w:jc w:val="both"/>
        <w:rPr>
          <w:rFonts w:ascii="Times New Roman" w:hAnsi="Times New Roman"/>
          <w:sz w:val="24"/>
          <w:szCs w:val="24"/>
        </w:rPr>
      </w:pPr>
      <w:r w:rsidRPr="00D71D88">
        <w:rPr>
          <w:rFonts w:ascii="Times New Roman" w:hAnsi="Times New Roman"/>
          <w:sz w:val="24"/>
          <w:szCs w:val="24"/>
        </w:rPr>
        <w:lastRenderedPageBreak/>
        <w:t xml:space="preserve">The sample preparation included preservation of the primary neurons by plunge freezing in liquid ethane. Samples were kept under cryogenic conditions and used for performing XRF and XANES measurements without freeze-drying. Previous experiments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"10.1111/jnc.12073", "ISSN" : "1471-4159", "PMID" : "23106162", "abstract" : "Transition metals have been suggested to play a pivotal role in the pathogenesis of Parkinson's disease. X-ray microscopy combined with a cryogenic setup is a powerful method for elemental imaging in low concentrations and high resolution in intact cells, eliminating the need for fixation and sectioning of the specimen. Here, we performed an elemental distribution analysis in cultured primary midbrain neurons with a step size in the order of 300 nm and ~ 0.1 ppm sensitivity under cryo conditions by using X-ray fluorescence microscopy. We report the elemental mappings on the subcellular level in primary mouse dopaminergic (DAergic) and non-DAergic neurons after treatment with transition metals. Application of Fe(2+) resulted in largely extracellular accumulation of iron without preference for the neuronal transmitter subtype. A quantification of different Fe oxidation states was performed using X-ray absorption near edge structure analysis. After treatment with Mn(2+) , a cytoplasmic/paranuclear localization of Mn was observed preferentially in DAergic neurons, while no prominent signal was detectable after Mn(3+) treatment. Immunocytochemical analysis correlated the preferential Mn uptake to increased expression of voltage-gated calcium channels in DAergic neurons. We discuss the implications of this differential elemental distribution for the selective vulnerability of DAergic neurons and Parkinson's disease pathogenesis.", "author" : [ { "dropping-particle" : "", "family" : "Du\u010di\u0107", "given" : "Tanja", "non-dropping-particle" : "", "parse-names" : false, "suffix" : "" }, { "dropping-particle" : "", "family" : "Barski", "given" : "Elisabeth", "non-dropping-particle" : "", "parse-names" : false, "suffix" : "" }, { "dropping-particle" : "", "family" : "Salome", "given" : "Murielle", "non-dropping-particle" : "", "parse-names" : false, "suffix" : "" }, { "dropping-particle" : "", "family" : "Koch", "given" : "Jan C.", "non-dropping-particle" : "", "parse-names" : false, "suffix" : "" }, { "dropping-particle" : "", "family" : "B\u00e4hr", "given" : "Mathias", "non-dropping-particle" : "", "parse-names" : false, "suffix" : "" }, { "dropping-particle" : "", "family" : "Lingor", "given" : "Paul", "non-dropping-particle" : "", "parse-names" : false, "suffix" : "" } ], "container-title" : "Journal of Neurochemistry", "id" : "ITEM-1", "issue" : "2", "issued" : { "date-parts" : [ [ "2013", "1" ] ] }, "page" : "250-261", "title" : "X-ray fluorescence analysis of iron and manganese distribution in primary dopaminergic neurons", "type" : "article-journal", "volume" : "124" }, "uris" : [ "http://www.mendeley.com/documents/?uuid=ad5bc70a-b8b7-48bd-b7eb-c9631c3e41bd" ] } ], "mendeley" : { "previouslyFormattedCitation" : "[21]"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[21]</w:t>
      </w:r>
      <w:r w:rsidRPr="00D71D88">
        <w:rPr>
          <w:rFonts w:ascii="Times New Roman" w:hAnsi="Times New Roman"/>
          <w:sz w:val="24"/>
          <w:szCs w:val="24"/>
        </w:rPr>
        <w:fldChar w:fldCharType="end"/>
      </w:r>
      <w:r w:rsidRPr="00D71D88">
        <w:rPr>
          <w:rFonts w:ascii="Times New Roman" w:hAnsi="Times New Roman"/>
          <w:sz w:val="24"/>
          <w:szCs w:val="24"/>
        </w:rPr>
        <w:t xml:space="preserve"> have shown (i) best reproducibility and sensitivity of XRF, (ii) best preservation of elemental oxidation state by XANES and (iii) minimal beam damage when cells were analyzed in a frozen hydrated state. </w:t>
      </w:r>
      <w:r w:rsidRPr="00D71D88">
        <w:rPr>
          <w:rFonts w:ascii="Times New Roman" w:hAnsi="Times New Roman"/>
          <w:sz w:val="24"/>
          <w:szCs w:val="24"/>
          <w:lang w:val="en-GB" w:eastAsia="de-DE" w:bidi="hi-IN"/>
        </w:rPr>
        <w:t xml:space="preserve">Imaging of frozen-hydrated cells under cryogenic conditions is a reliable way to preserve the structure of the cell and minimize rearrangement or loss of diffusible ions </w:t>
      </w:r>
      <w:r w:rsidRPr="00D71D88">
        <w:rPr>
          <w:rFonts w:ascii="Times New Roman" w:hAnsi="Times New Roman"/>
          <w:sz w:val="24"/>
          <w:szCs w:val="24"/>
          <w:lang w:val="en-GB" w:eastAsia="de-DE" w:bidi="hi-IN"/>
        </w:rPr>
        <w:fldChar w:fldCharType="begin" w:fldLock="1"/>
      </w:r>
      <w:r w:rsidR="003E3A96" w:rsidRPr="00D71D88">
        <w:rPr>
          <w:rFonts w:ascii="Times New Roman" w:hAnsi="Times New Roman"/>
          <w:sz w:val="24"/>
          <w:szCs w:val="24"/>
          <w:lang w:val="en-GB" w:eastAsia="de-DE" w:bidi="hi-IN"/>
        </w:rPr>
        <w:instrText>ADDIN CSL_CITATION { "citationItems" : [ { "id" : "ITEM-1", "itemData" : { "DOI" : "10.1007/978-3-642-72815-0", "ISBN" : "978-3-642-72817-4", "author" : [ { "dropping-particle" : "", "family" : "Zierold", "given" : "K.", "non-dropping-particle" : "", "parse-names" : false, "suffix" : "" }, { "dropping-particle" : "", "family" : "Steinbrecht R. A.", "given" : "", "non-dropping-particle" : "", "parse-names" : false, "suffix" : "" } ], "editor" : [ { "dropping-particle" : "", "family" : "Steinbrecht", "given" : "Rudolf Alexander", "non-dropping-particle" : "", "parse-names" : false, "suffix" : "" }, { "dropping-particle" : "", "family" : "Zierold", "given" : "Karl", "non-dropping-particle" : "", "parse-names" : false, "suffix" : "" } ], "id" : "ITEM-1", "issued" : { "date-parts" : [ [ "1987" ] ] }, "publisher" : "Springer Berlin Heidelberg", "publisher-place" : "Berlin, Heidelberg", "title" : "Cryotechniques in Biological Electron Microscopy", "type" : "book" }, "uris" : [ "http://www.mendeley.com/documents/?uuid=e9c26e54-ea45-4e6e-be59-fa9bdbeb9b4f" ] } ], "mendeley" : { "previouslyFormattedCitation" : "[49]" }, "properties" : { "noteIndex" : 0 }, "schema" : "https://github.com/citation-style-language/schema/raw/master/csl-citation.json" }</w:instrText>
      </w:r>
      <w:r w:rsidRPr="00D71D88">
        <w:rPr>
          <w:rFonts w:ascii="Times New Roman" w:hAnsi="Times New Roman"/>
          <w:sz w:val="24"/>
          <w:szCs w:val="24"/>
          <w:lang w:val="en-GB" w:eastAsia="de-DE" w:bidi="hi-IN"/>
        </w:rPr>
        <w:fldChar w:fldCharType="separate"/>
      </w:r>
      <w:r w:rsidR="00EA7311" w:rsidRPr="00D71D88">
        <w:rPr>
          <w:rFonts w:ascii="Times New Roman" w:hAnsi="Times New Roman"/>
          <w:noProof/>
          <w:sz w:val="24"/>
          <w:szCs w:val="24"/>
          <w:lang w:val="en-GB" w:eastAsia="de-DE" w:bidi="hi-IN"/>
        </w:rPr>
        <w:t>[49]</w:t>
      </w:r>
      <w:r w:rsidRPr="00D71D88">
        <w:rPr>
          <w:rFonts w:ascii="Times New Roman" w:hAnsi="Times New Roman"/>
          <w:sz w:val="24"/>
          <w:szCs w:val="24"/>
          <w:lang w:val="en-GB" w:eastAsia="de-DE" w:bidi="hi-IN"/>
        </w:rPr>
        <w:fldChar w:fldCharType="end"/>
      </w:r>
      <w:r w:rsidRPr="00D71D88">
        <w:rPr>
          <w:rFonts w:ascii="Times New Roman" w:hAnsi="Times New Roman"/>
          <w:sz w:val="24"/>
          <w:szCs w:val="24"/>
          <w:lang w:val="en-GB" w:eastAsia="de-DE" w:bidi="hi-IN"/>
        </w:rPr>
        <w:t xml:space="preserve"> as well as to minimize radiation damage.</w:t>
      </w:r>
    </w:p>
    <w:p w14:paraId="1EFA0533" w14:textId="77777777" w:rsidR="006250CF" w:rsidRPr="00D71D88" w:rsidRDefault="006250CF" w:rsidP="006250CF">
      <w:pPr>
        <w:spacing w:line="360" w:lineRule="auto"/>
        <w:ind w:firstLine="720"/>
        <w:jc w:val="both"/>
        <w:rPr>
          <w:rFonts w:ascii="Times New Roman" w:hAnsi="Times New Roman"/>
          <w:sz w:val="24"/>
          <w:szCs w:val="24"/>
          <w:lang w:val="en-GB"/>
        </w:rPr>
      </w:pPr>
      <w:r w:rsidRPr="00D71D88">
        <w:rPr>
          <w:rFonts w:ascii="Times New Roman" w:hAnsi="Times New Roman"/>
          <w:sz w:val="24"/>
          <w:szCs w:val="24"/>
        </w:rPr>
        <w:t xml:space="preserve">Prior to plunge freezing live-cells were thoroughly washed with fresh PBS buffer pH7.4 in order to remove excess extracellular metal ions. Subsequently, just prior to blotting, they </w:t>
      </w:r>
      <w:r w:rsidRPr="00D71D88">
        <w:rPr>
          <w:rFonts w:ascii="Times New Roman" w:hAnsi="Times New Roman"/>
          <w:sz w:val="24"/>
          <w:szCs w:val="24"/>
          <w:lang w:val="en-GB"/>
        </w:rPr>
        <w:t>were washed for 1s in demineralised water to eliminate the PBS buffer. This method was chosen to remove the traces of inorganic ions. The cells prepared in this way were checked again under a visible light microscope to assure that the morphology did not change after rinsing. Samples were quickly blotted for 1s with fine filter paper and immediately rapidly plunged in liquid ethane cooled with liquid nitrogen and subsequently stored under liquid nitrogen until imaging.</w:t>
      </w:r>
    </w:p>
    <w:p w14:paraId="78A6269A" w14:textId="77777777" w:rsidR="006250CF" w:rsidRPr="00D71D88" w:rsidRDefault="006250CF" w:rsidP="006250CF">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Prior to XRF imaging, frozen samples were examined under cryogenic conditions by using an optical fluorescence microscope (Nikon 50i) at the APS. The cryo-stage CLM77K (Instec, Inc. USA) mounted on the optical microscope allowed us to work at temperature of liquid nitrogen and to choose only those cells that are of highest interest for imaging with the X-ray microprobe. Detection of GFP-expressing cells helps to orient samples and later to identify the same transfected cells in the X-ray microscope for XRF and XANES measurements. </w:t>
      </w:r>
    </w:p>
    <w:p w14:paraId="1923E12D" w14:textId="77777777" w:rsidR="006250CF" w:rsidRPr="00D71D88" w:rsidRDefault="006250CF" w:rsidP="006250CF">
      <w:pPr>
        <w:spacing w:line="360" w:lineRule="auto"/>
        <w:ind w:firstLine="720"/>
        <w:jc w:val="both"/>
        <w:rPr>
          <w:rFonts w:ascii="Times New Roman" w:hAnsi="Times New Roman"/>
          <w:sz w:val="24"/>
          <w:szCs w:val="24"/>
        </w:rPr>
      </w:pPr>
    </w:p>
    <w:p w14:paraId="10823F50" w14:textId="77777777" w:rsidR="006250CF" w:rsidRPr="00D71D88" w:rsidRDefault="006250CF" w:rsidP="006250CF">
      <w:pPr>
        <w:spacing w:line="360" w:lineRule="auto"/>
        <w:jc w:val="both"/>
        <w:rPr>
          <w:rFonts w:ascii="Arial" w:hAnsi="Arial" w:cs="Arial"/>
          <w:b/>
        </w:rPr>
      </w:pPr>
      <w:r w:rsidRPr="00D71D88">
        <w:rPr>
          <w:rFonts w:ascii="Arial" w:hAnsi="Arial" w:cs="Arial"/>
          <w:b/>
        </w:rPr>
        <w:t>X-ray microscopy</w:t>
      </w:r>
    </w:p>
    <w:p w14:paraId="6FC389DF" w14:textId="77777777" w:rsidR="006250CF" w:rsidRPr="00D71D88" w:rsidRDefault="006250CF" w:rsidP="006250CF">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X-ray microscopy was performed at two instruments at the Advanced Photon Source (APS) at the Argonne National Laboratory. The X-ray fluorescence microscope at 2-ID-D is an instrument that allows cryogenic XANES and XRM studies at the K-absorption edge of Mn at 6539 eV combined with spatial resolution better than 200 nm and spectral resolution of 0.5 eV.. In addition, the 2-ID-D beam-line allows imaging and spectroscopy measurements on frozen </w:t>
      </w:r>
      <w:r w:rsidRPr="00D71D88">
        <w:rPr>
          <w:rFonts w:ascii="Times New Roman" w:hAnsi="Times New Roman"/>
          <w:sz w:val="24"/>
          <w:szCs w:val="24"/>
        </w:rPr>
        <w:lastRenderedPageBreak/>
        <w:t xml:space="preserve">hydrated samples cooled by a cryojet (Oxford Instruments, UK), which preserves the physiological sample environment. </w:t>
      </w:r>
    </w:p>
    <w:p w14:paraId="3B8D177D" w14:textId="77777777" w:rsidR="006250CF" w:rsidRPr="00D71D88" w:rsidRDefault="006250CF" w:rsidP="006250CF">
      <w:pPr>
        <w:spacing w:line="360" w:lineRule="auto"/>
        <w:ind w:firstLine="720"/>
        <w:jc w:val="both"/>
        <w:rPr>
          <w:rFonts w:ascii="Times New Roman" w:hAnsi="Times New Roman"/>
          <w:sz w:val="24"/>
          <w:szCs w:val="24"/>
        </w:rPr>
      </w:pPr>
      <w:r w:rsidRPr="00D71D88">
        <w:rPr>
          <w:rFonts w:ascii="Times New Roman" w:hAnsi="Times New Roman"/>
          <w:sz w:val="24"/>
          <w:szCs w:val="24"/>
          <w:lang w:val="en-GB" w:eastAsia="de-DE" w:bidi="hi-IN"/>
        </w:rPr>
        <w:t xml:space="preserve">Furthermore, to determine the distribution of Mn within cells with the best possible sensitivity, we used the recently installed Bionanoprobe instrument located at APS-ANL at the Life Sciences-Collaborative Access Team sector 21-ID-D. The Bionanoprobe </w:t>
      </w:r>
      <w:r w:rsidRPr="00D71D88">
        <w:rPr>
          <w:rFonts w:ascii="Times New Roman" w:hAnsi="Times New Roman"/>
          <w:sz w:val="24"/>
          <w:szCs w:val="24"/>
        </w:rPr>
        <w:t xml:space="preserve">(BNP) </w:t>
      </w:r>
      <w:r w:rsidRPr="00D71D88">
        <w:rPr>
          <w:rFonts w:ascii="Times New Roman" w:hAnsi="Times New Roman"/>
          <w:sz w:val="24"/>
          <w:szCs w:val="24"/>
          <w:lang w:val="en-GB" w:eastAsia="de-DE" w:bidi="hi-IN"/>
        </w:rPr>
        <w:t xml:space="preserve">is the first and only XFM instrument that allows imaging of frozen-hydrated biological samples up to 10-20 µm thickness, with an X-ray beam that can be focused to 30 nm </w:t>
      </w:r>
      <w:r w:rsidRPr="00D71D88">
        <w:rPr>
          <w:rFonts w:ascii="Times New Roman" w:hAnsi="Times New Roman"/>
          <w:sz w:val="24"/>
          <w:szCs w:val="24"/>
          <w:lang w:val="en-GB" w:eastAsia="de-DE" w:bidi="hi-IN"/>
        </w:rPr>
        <w:fldChar w:fldCharType="begin" w:fldLock="1"/>
      </w:r>
      <w:r w:rsidR="003E3A96" w:rsidRPr="00D71D88">
        <w:rPr>
          <w:rFonts w:ascii="Times New Roman" w:hAnsi="Times New Roman"/>
          <w:sz w:val="24"/>
          <w:szCs w:val="24"/>
          <w:lang w:val="en-GB" w:eastAsia="de-DE" w:bidi="hi-IN"/>
        </w:rPr>
        <w:instrText>ADDIN CSL_CITATION { "citationItems" : [ { "id" : "ITEM-1", "itemData" : { "author" : [ { "dropping-particle" : "", "family" : "Yuan", "given" : "Ye", "non-dropping-particle" : "", "parse-names" : false, "suffix" : "" }, { "dropping-particle" : "", "family" : "Chen", "given" : "Si", "non-dropping-particle" : "", "parse-names" : false, "suffix" : "" }, { "dropping-particle" : "", "family" : "Paunesku", "given" : "Tatjana", "non-dropping-particle" : "", "parse-names" : false, "suffix" : "" }, { "dropping-particle" : "", "family" : "Gleber", "given" : "Sophie Charlotte", "non-dropping-particle" : "", "parse-names" : false, "suffix" : "" }, { "dropping-particle" : "", "family" : "Liu", "given" : "William C", "non-dropping-particle" : "", "parse-names" : false, "suffix" : "" }, { "dropping-particle" : "", "family" : "Doty", "given" : "Caroline B", "non-dropping-particle" : "", "parse-names" : false, "suffix" : "" }, { "dropping-particle" : "", "family" : "Mak", "given" : "Rachel", "non-dropping-particle" : "", "parse-names" : false, "suffix" : "" }, { "dropping-particle" : "", "family" : "Deng", "given" : "Junjing", "non-dropping-particle" : "", "parse-names" : false, "suffix" : "" }, { "dropping-particle" : "", "family" : "Jin", "given" : "Qiaoling", "non-dropping-particle" : "", "parse-names" : false, "suffix" : "" }, { "dropping-particle" : "", "family" : "Lai", "given" : "Barry", "non-dropping-particle" : "", "parse-names" : false, "suffix" : "" }, { "dropping-particle" : "", "family" : "Brister", "given" : "Keith", "non-dropping-particle" : "", "parse-names" : false, "suffix" : "" }, { "dropping-particle" : "", "family" : "Flachenecker", "given" : "Claus", "non-dropping-particle" : "", "parse-names" : false, "suffix" : "" }, { "dropping-particle" : "", "family" : "Jacobsen", "given" : "Chris", "non-dropping-particle" : "", "parse-names" : false, "suffix" : "" }, { "dropping-particle" : "", "family" : "Vogt", "given" : "Stefan", "non-dropping-particle" : "", "parse-names" : false, "suffix" : "" }, { "dropping-particle" : "", "family" : "Woloschak", "given" : "Gayle E", "non-dropping-particle" : "", "parse-names" : false, "suffix" : "" } ], "id" : "ITEM-1", "issue" : "12", "issued" : { "date-parts" : [ [ "2013" ] ] }, "page" : "10502-10517", "title" : "Targeted Nuclear Delivery and High-Resolution Whole Cell X \u2011 ray in Cancer Cells", "type" : "article-journal" }, "uris" : [ "http://www.mendeley.com/documents/?uuid=8235b769-ffcf-4df5-bbbb-9c3525f2e5a9" ] }, { "id" : "ITEM-2", "itemData" : { "DOI" : "10.1107/S1600577513029676", "ISSN" : "1600-5775", "PMID" : "24365918", "abstract" : "Hard X-ray fluorescence microscopy is one of the most sensitive techniques for performing trace elemental analysis of biological samples such as whole cells and tissues. Conventional sample preparation methods usually involve dehydration, which removes cellular water and may consequently cause structural collapse, or invasive processes such as embedding. Radiation-induced artifacts may also become an issue, particularly as the spatial resolution increases beyond the sub-micrometer scale. To allow imaging under hydrated conditions, close to the `natural state', as well as to reduce structural radiation damage, the Bionanoprobe (BNP) has been developed, a hard X-ray fluorescence nanoprobe with cryogenic sample environment and cryo transfer capabilities, dedicated to studying trace elements in frozen-hydrated biological systems. The BNP is installed at an undulator beamline at sector 21 of the Advanced Photon Source. It provides a spatial resolution of 30\u2005nm for two-dimensional fluorescence imaging. In this first demonstration the instrument design and motion control principles are described, the instrument performance is quantified, and the first results obtained with the BNP on frozen-hydrated whole cells are reported.", "author" : [ { "dropping-particle" : "", "family" : "Chen", "given" : "S.", "non-dropping-particle" : "", "parse-names" : false, "suffix" : "" }, { "dropping-particle" : "", "family" : "Deng", "given" : "J.", "non-dropping-particle" : "", "parse-names" : false, "suffix" : "" }, { "dropping-particle" : "", "family" : "Yuan", "given" : "Y.", "non-dropping-particle" : "", "parse-names" : false, "suffix" : "" }, { "dropping-particle" : "", "family" : "Flachenecker", "given" : "C.", "non-dropping-particle" : "", "parse-names" : false, "suffix" : "" }, { "dropping-particle" : "", "family" : "Mak", "given" : "R.", "non-dropping-particle" : "", "parse-names" : false, "suffix" : "" }, { "dropping-particle" : "", "family" : "Hornberger", "given" : "B.", "non-dropping-particle" : "", "parse-names" : false, "suffix" : "" }, { "dropping-particle" : "", "family" : "Jin", "given" : "Q.", "non-dropping-particle" : "", "parse-names" : false, "suffix" : "" }, { "dropping-particle" : "", "family" : "Shu", "given" : "D.", "non-dropping-particle" : "", "parse-names" : false, "suffix" : "" }, { "dropping-particle" : "", "family" : "Lai", "given" : "B.", "non-dropping-particle" : "", "parse-names" : false, "suffix" : "" }, { "dropping-particle" : "", "family" : "Maser", "given" : "J.", "non-dropping-particle" : "", "parse-names" : false, "suffix" : "" }, { "dropping-particle" : "", "family" : "Roehrig", "given" : "C.", "non-dropping-particle" : "", "parse-names" : false, "suffix" : "" }, { "dropping-particle" : "", "family" : "Paunesku", "given" : "T.", "non-dropping-particle" : "", "parse-names" : false, "suffix" : "" }, { "dropping-particle" : "", "family" : "Gleber", "given" : "S. C.", "non-dropping-particle" : "", "parse-names" : false, "suffix" : "" }, { "dropping-particle" : "", "family" : "Vine", "given" : "D. J.", "non-dropping-particle" : "", "parse-names" : false, "suffix" : "" }, { "dropping-particle" : "", "family" : "Finney", "given" : "L.", "non-dropping-particle" : "", "parse-names" : false, "suffix" : "" }, { "dropping-particle" : "", "family" : "Vonosinski", "given" : "J.", "non-dropping-particle" : "", "parse-names" : false, "suffix" : "" }, { "dropping-particle" : "", "family" : "Bolbat", "given" : "M.", "non-dropping-particle" : "", "parse-names" : false, "suffix" : "" }, { "dropping-particle" : "", "family" : "Spink", "given" : "I.", "non-dropping-particle" : "", "parse-names" : false, "suffix" : "" }, { "dropping-particle" : "", "family" : "Chen", "given" : "Z.", "non-dropping-particle" : "", "parse-names" : false, "suffix" : "" }, { "dropping-particle" : "", "family" : "Steele", "given" : "J.", "non-dropping-particle" : "", "parse-names" : false, "suffix" : "" }, { "dropping-particle" : "", "family" : "Trapp", "given" : "D.", "non-dropping-particle" : "", "parse-names" : false, "suffix" : "" }, { "dropping-particle" : "", "family" : "Irwin", "given" : "J.", "non-dropping-particle" : "", "parse-names" : false, "suffix" : "" }, { "dropping-particle" : "", "family" : "Feser", "given" : "M.", "non-dropping-particle" : "", "parse-names" : false, "suffix" : "" }, { "dropping-particle" : "", "family" : "Snyder", "given" : "E.", "non-dropping-particle" : "", "parse-names" : false, "suffix" : "" }, { "dropping-particle" : "", "family" : "Brister", "given" : "K.", "non-dropping-particle" : "", "parse-names" : false, "suffix" : "" }, { "dropping-particle" : "", "family" : "Jacobsen", "given" : "C.", "non-dropping-particle" : "", "parse-names" : false, "suffix" : "" }, { "dropping-particle" : "", "family" : "Woloschak", "given" : "G.", "non-dropping-particle" : "", "parse-names" : false, "suffix" : "" }, { "dropping-particle" : "", "family" : "Vogt", "given" : "S.", "non-dropping-particle" : "", "parse-names" : false, "suffix" : "" } ], "container-title" : "Journal of Synchrotron Radiation", "id" : "ITEM-2", "issue" : "1", "issued" : { "date-parts" : [ [ "2014", "1" ] ] }, "page" : "66-75", "title" : "The Bionanoprobe: Hard X-ray fluorescence nanoprobe with cryogenic capabilities", "type" : "article-journal", "volume" : "21" }, "uris" : [ "http://www.mendeley.com/documents/?uuid=9a4934ce-a8d8-430a-b1cd-9dab8c82a010" ] } ], "mendeley" : { "previouslyFormattedCitation" : "[20, 50]" }, "properties" : { "noteIndex" : 0 }, "schema" : "https://github.com/citation-style-language/schema/raw/master/csl-citation.json" }</w:instrText>
      </w:r>
      <w:r w:rsidRPr="00D71D88">
        <w:rPr>
          <w:rFonts w:ascii="Times New Roman" w:hAnsi="Times New Roman"/>
          <w:sz w:val="24"/>
          <w:szCs w:val="24"/>
          <w:lang w:val="en-GB" w:eastAsia="de-DE" w:bidi="hi-IN"/>
        </w:rPr>
        <w:fldChar w:fldCharType="separate"/>
      </w:r>
      <w:r w:rsidR="003E3A96" w:rsidRPr="00D71D88">
        <w:rPr>
          <w:rFonts w:ascii="Times New Roman" w:hAnsi="Times New Roman"/>
          <w:noProof/>
          <w:sz w:val="24"/>
          <w:szCs w:val="24"/>
          <w:lang w:val="en-GB" w:eastAsia="de-DE" w:bidi="hi-IN"/>
        </w:rPr>
        <w:t>[20, 50]</w:t>
      </w:r>
      <w:r w:rsidRPr="00D71D88">
        <w:rPr>
          <w:rFonts w:ascii="Times New Roman" w:hAnsi="Times New Roman"/>
          <w:sz w:val="24"/>
          <w:szCs w:val="24"/>
          <w:lang w:val="en-GB" w:eastAsia="de-DE" w:bidi="hi-IN"/>
        </w:rPr>
        <w:fldChar w:fldCharType="end"/>
      </w:r>
      <w:r w:rsidRPr="00D71D88">
        <w:rPr>
          <w:rFonts w:ascii="Times New Roman" w:hAnsi="Times New Roman"/>
          <w:sz w:val="24"/>
          <w:szCs w:val="24"/>
          <w:lang w:val="en-GB" w:eastAsia="de-DE" w:bidi="hi-IN"/>
        </w:rPr>
        <w:t xml:space="preserve">. </w:t>
      </w:r>
      <w:r w:rsidRPr="00D71D88">
        <w:rPr>
          <w:rFonts w:ascii="Times New Roman" w:hAnsi="Times New Roman"/>
          <w:sz w:val="24"/>
          <w:szCs w:val="24"/>
        </w:rPr>
        <w:t>The BNP is equipped with cryogenic capabilities and a robotic sample loading mechanism, which enables frozen-hydrated biological samples and other organic samples to be studied at ~77 K. In this experiment, we used the nano-fluorescence imaging to obtain distribution of trace metals with high spatial and chemical resolution at 10 keV, as well as to determine the co-localization of Mn with other trace elements such as Fe, Cu and Zn. Usually the step size was 100 nm during the scanning, and dwell time 250 ms, with the focused beam flux of 3.5 x 10</w:t>
      </w:r>
      <w:r w:rsidRPr="00D71D88">
        <w:rPr>
          <w:rFonts w:ascii="Times New Roman" w:hAnsi="Times New Roman"/>
          <w:sz w:val="24"/>
          <w:szCs w:val="24"/>
          <w:vertAlign w:val="superscript"/>
        </w:rPr>
        <w:t>9</w:t>
      </w:r>
      <w:r w:rsidRPr="00D71D88">
        <w:rPr>
          <w:rFonts w:ascii="Times New Roman" w:hAnsi="Times New Roman"/>
          <w:sz w:val="24"/>
          <w:szCs w:val="24"/>
        </w:rPr>
        <w:t xml:space="preserve"> photons/s. Spectra were collected on a pixel by pixel basis at 10 keV incident energy at the BNP, and 6.57 keV at 2-ID-D. The MAPS program was used for fitting and elements concentration analysis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"10.1051/jp4:20030160", "ISSN" : "1155-4339", "abstract" : "X-ray fluorescence (XRF) imaging of biological cells typically involves the creation (and subsequent analysis) of 3-dimensional (313) data sets, where at each scan position the full spectrum is recorded. This allows one to later process the data in a variety of different approaches, e.g., by spectral region of interest (ROIE) summation with or without background subtraction, principal component analysis, or fitting. Additionally, it is possible to sum up the per pixel spectra over selected spatial ROIs so as to improve the photon statistics in such a spectrum. A software package is presented here that implements these functions to provide a toolset for the analysis of 3D XRF data sets.", "author" : [ { "dropping-particle" : "", "family" : "Vogt", "given" : "S.", "non-dropping-particle" : "", "parse-names" : false, "suffix" : "" } ], "container-title" : "Journal de Physique IV (Proceedings)", "id" : "ITEM-1", "issued" : { "date-parts" : [ [ "2003", "3" ] ] }, "page" : "635-638", "publisher" : "E D P SCIENCES, 7, AVE DU HOGGAR, PARC D ACTIVITES COURTABOEUF, BP 112, F-91944 LES ULIS CEDEXA, FRANCE", "title" : "MAPS : A set of software tools for analysis and visualization of 3D X-ray fluorescence data sets", "type" : "article-journal", "volume" : "104" }, "uris" : [ "http://www.mendeley.com/documents/?uuid=0395d3ce-cad4-4c98-90db-48c807660d58" ] } ], "mendeley" : { "previouslyFormattedCitation" : "[51]"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[51]</w:t>
      </w:r>
      <w:r w:rsidRPr="00D71D88">
        <w:rPr>
          <w:rFonts w:ascii="Times New Roman" w:hAnsi="Times New Roman"/>
          <w:sz w:val="24"/>
          <w:szCs w:val="24"/>
        </w:rPr>
        <w:fldChar w:fldCharType="end"/>
      </w:r>
      <w:r w:rsidRPr="00D71D88">
        <w:rPr>
          <w:rFonts w:ascii="Times New Roman" w:hAnsi="Times New Roman"/>
          <w:sz w:val="24"/>
          <w:szCs w:val="24"/>
        </w:rPr>
        <w:t xml:space="preserve">. Thin film standards (NBS-1832/33) (The National Institute of Standards and Technology, USA) and RF8-200-S2453 (AXO DRESDEN GmbH, Germany) were used at the 2-ID-D and the BNP, respectively, allowed for elemental quantification. </w:t>
      </w:r>
    </w:p>
    <w:p w14:paraId="2ECAEA68" w14:textId="77777777" w:rsidR="006250CF" w:rsidRPr="00D71D88" w:rsidRDefault="006250CF" w:rsidP="006250CF">
      <w:pPr>
        <w:spacing w:line="360" w:lineRule="auto"/>
        <w:ind w:firstLine="720"/>
        <w:jc w:val="both"/>
        <w:rPr>
          <w:rFonts w:ascii="Times New Roman" w:hAnsi="Times New Roman"/>
          <w:sz w:val="24"/>
          <w:szCs w:val="24"/>
        </w:rPr>
      </w:pPr>
    </w:p>
    <w:p w14:paraId="398F6303" w14:textId="77777777" w:rsidR="006250CF" w:rsidRPr="00D71D88" w:rsidRDefault="006250CF" w:rsidP="006250CF">
      <w:pPr>
        <w:spacing w:line="360" w:lineRule="auto"/>
        <w:jc w:val="both"/>
        <w:rPr>
          <w:rFonts w:ascii="Arial" w:hAnsi="Arial" w:cs="Arial"/>
          <w:b/>
        </w:rPr>
      </w:pPr>
      <w:r w:rsidRPr="00D71D88">
        <w:rPr>
          <w:rFonts w:ascii="Arial" w:hAnsi="Arial" w:cs="Arial"/>
          <w:b/>
        </w:rPr>
        <w:t xml:space="preserve">Immunohistochemistry for confocal and epifluorescence microscopy </w:t>
      </w:r>
    </w:p>
    <w:p w14:paraId="4CD62BA7" w14:textId="77777777" w:rsidR="006250CF" w:rsidRPr="00D71D88" w:rsidRDefault="006250CF" w:rsidP="006250CF">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Coverslips with PMNs were fixed using 4% PFA for 10 min at 37°C on DIV3. Permeabilization was performed using a solution of 0.3% Triton X-100 in PBS for 5 min followed by blocking with antibody diluent (Dako) for 20 min. For DMT1 staining, the coverslips were incubated with a primary DMT1 antibody (#NRAMP21-A, ADI) using a dilution of 1:100 in antibody diluent at 4°C overnight. The secondary antibody, donkey-anti-rabbit IgG conjugated with Alexa fluor 546 (#A10040, Invitrogen) diluted 1:1000 in antibody diluent, was applied for 15 min at 37°C. For manganese superoxide dismutase (MnSOD) staining, a primary antibody against MnSOD (#06-984, Millipore) was applied at 4°C overnight, the secondary antibody was a donkey-anti-rabbit conjugated with Alexa fluor 680 (#A10043, </w:t>
      </w:r>
      <w:r w:rsidRPr="00D71D88">
        <w:rPr>
          <w:rFonts w:ascii="Times New Roman" w:hAnsi="Times New Roman"/>
          <w:sz w:val="24"/>
          <w:szCs w:val="24"/>
        </w:rPr>
        <w:lastRenderedPageBreak/>
        <w:t>Invitrogen) applied for 15 min at 37°C. Then the primary antibody was saturated with fab fragment donkey anti-rabbit IgG (H+L) diluted 1:50 for two hours (#711-007-003, Jackson lab). Subsequently a primary antibody against TOM20 (#ab78547, abcam) diluted 1:50 was applied overnight at 4°C, the secondary antibody was donkey-anti-rabbit IgG conjugated with Alexa fluor 546 (#A10040, Invitrogen) diluted 1:1000 in antibody diluent. Nuclei were stained using 4′,6-Diamidine-2-phenylindole (DAPI; Sigma-Aldrich) for 5-10 min with a concentration of 1μg/mL in PBS. Coverslips were mounted in Mowiol (Sigma-Aldrich) and confocal images were taken on a Leica TCS SP5.</w:t>
      </w:r>
    </w:p>
    <w:p w14:paraId="4F557D09" w14:textId="77777777" w:rsidR="006250CF" w:rsidRPr="00D71D88" w:rsidRDefault="006250CF" w:rsidP="006250CF">
      <w:pPr>
        <w:spacing w:line="360" w:lineRule="auto"/>
        <w:ind w:firstLine="720"/>
        <w:jc w:val="both"/>
        <w:rPr>
          <w:rFonts w:ascii="Times New Roman" w:hAnsi="Times New Roman"/>
          <w:sz w:val="24"/>
          <w:szCs w:val="24"/>
        </w:rPr>
      </w:pPr>
      <w:r w:rsidRPr="00D71D88">
        <w:rPr>
          <w:rFonts w:ascii="Times New Roman" w:hAnsi="Times New Roman"/>
          <w:sz w:val="24"/>
          <w:szCs w:val="24"/>
          <w:shd w:val="clear" w:color="auto" w:fill="FFFFFF"/>
        </w:rPr>
        <w:t xml:space="preserve">For confirmation of </w:t>
      </w:r>
      <w:r w:rsidRPr="00D71D88">
        <w:rPr>
          <w:rFonts w:ascii="Times New Roman" w:hAnsi="Times New Roman"/>
          <w:sz w:val="24"/>
          <w:szCs w:val="24"/>
        </w:rPr>
        <w:t>αSyn-overexpression, we used a primary α-synuclein antibody (#</w:t>
      </w:r>
      <w:r w:rsidRPr="00D71D88">
        <w:rPr>
          <w:rFonts w:ascii="Times New Roman" w:hAnsi="Times New Roman"/>
          <w:sz w:val="24"/>
          <w:szCs w:val="24"/>
          <w:shd w:val="clear" w:color="auto" w:fill="FFFFFF"/>
        </w:rPr>
        <w:t>610786, BD bioscience)</w:t>
      </w:r>
      <w:r w:rsidRPr="00D71D88">
        <w:rPr>
          <w:rFonts w:ascii="Times New Roman" w:hAnsi="Times New Roman"/>
          <w:sz w:val="24"/>
          <w:szCs w:val="24"/>
        </w:rPr>
        <w:t xml:space="preserve"> at a dilution of 1:200 in antibody diluent at 4°C overnight. The secondary antibody was a fab fragment goat-anti-mouse conjugated with Cy3 (#115165006, Dianova) using a dilution of 1:1000 in antibody diluent for 2 h. DAPI was then added for 5 min.</w:t>
      </w:r>
    </w:p>
    <w:p w14:paraId="1DAA942B" w14:textId="77777777" w:rsidR="006250CF" w:rsidRPr="00D71D88" w:rsidRDefault="006250CF" w:rsidP="006250CF">
      <w:pPr>
        <w:spacing w:line="360" w:lineRule="auto"/>
        <w:jc w:val="both"/>
        <w:rPr>
          <w:rFonts w:ascii="Times New Roman" w:hAnsi="Times New Roman"/>
          <w:i/>
          <w:sz w:val="24"/>
          <w:szCs w:val="24"/>
        </w:rPr>
      </w:pPr>
    </w:p>
    <w:p w14:paraId="3402FD8E" w14:textId="7D10104D" w:rsidR="006250CF" w:rsidRPr="00D71D88" w:rsidRDefault="006250CF" w:rsidP="006250CF">
      <w:pPr>
        <w:spacing w:line="360" w:lineRule="auto"/>
        <w:jc w:val="both"/>
        <w:rPr>
          <w:rFonts w:ascii="Arial" w:hAnsi="Arial" w:cs="Arial"/>
          <w:b/>
        </w:rPr>
      </w:pPr>
      <w:r w:rsidRPr="00D71D88">
        <w:rPr>
          <w:rFonts w:ascii="Arial" w:hAnsi="Arial" w:cs="Arial"/>
          <w:b/>
        </w:rPr>
        <w:t>Western blot</w:t>
      </w:r>
      <w:r w:rsidR="004B75F5" w:rsidRPr="00D71D88">
        <w:rPr>
          <w:rFonts w:ascii="Arial" w:hAnsi="Arial" w:cs="Arial"/>
          <w:b/>
        </w:rPr>
        <w:t xml:space="preserve"> and solubility assay</w:t>
      </w:r>
    </w:p>
    <w:p w14:paraId="09E8BABB" w14:textId="603E3287" w:rsidR="004B75F5" w:rsidRPr="00D71D88" w:rsidRDefault="004B75F5" w:rsidP="004B75F5">
      <w:pPr>
        <w:spacing w:line="360" w:lineRule="auto"/>
        <w:ind w:firstLine="720"/>
        <w:jc w:val="both"/>
        <w:rPr>
          <w:rFonts w:ascii="Times New Roman" w:hAnsi="Times New Roman"/>
          <w:sz w:val="24"/>
          <w:szCs w:val="24"/>
          <w:shd w:val="clear" w:color="auto" w:fill="FFFFFF"/>
        </w:rPr>
      </w:pPr>
      <w:r w:rsidRPr="00D71D88">
        <w:rPr>
          <w:rFonts w:ascii="Times New Roman" w:hAnsi="Times New Roman"/>
          <w:sz w:val="24"/>
          <w:szCs w:val="24"/>
        </w:rPr>
        <w:t xml:space="preserve">Western blots: Briefly, PMNs were lysed in ice-cold lysis buffer (10 mM HEPES, 142 mM KCl, 5 mM MgCl, 2.1 mM EGTA, IGEPAL, protease and phosphatase inhibitor and dithiothreitol) on DIV 3. Then samples were sonicated (Biorad) at 40% power for 15 s for 3 cycles on ice. Protein quantification was performed using a commercial BCA assay (Biorad) on a 96-well plate. Protein lysates were resolved on a 10% SDS-page and subsequently blotted on a polyvinylidene difluoride membrane. Aspecific binding was saturated by a solution of 5% non-fat </w:t>
      </w:r>
      <w:r w:rsidRPr="00D71D88">
        <w:rPr>
          <w:rFonts w:ascii="Times New Roman" w:hAnsi="Times New Roman"/>
          <w:sz w:val="24"/>
          <w:szCs w:val="24"/>
          <w:shd w:val="clear" w:color="auto" w:fill="FFFFFF"/>
        </w:rPr>
        <w:t xml:space="preserve">powdered milk </w:t>
      </w:r>
      <w:r w:rsidRPr="00D71D88">
        <w:rPr>
          <w:rFonts w:ascii="Times New Roman" w:hAnsi="Times New Roman"/>
          <w:sz w:val="24"/>
          <w:szCs w:val="24"/>
        </w:rPr>
        <w:t>(Sigma-Aldrich) in TBS-Tween (50 mM Tris.HCl, pH 7.4, 150 mM NaCl, 0.1% Tween 20) at room temperature for 1 h. Incubation</w:t>
      </w:r>
      <w:r w:rsidR="000939D6" w:rsidRPr="00D71D88">
        <w:rPr>
          <w:rFonts w:ascii="Times New Roman" w:hAnsi="Times New Roman"/>
          <w:sz w:val="24"/>
          <w:szCs w:val="24"/>
        </w:rPr>
        <w:t>s</w:t>
      </w:r>
      <w:r w:rsidRPr="00D71D88">
        <w:rPr>
          <w:rFonts w:ascii="Times New Roman" w:hAnsi="Times New Roman"/>
          <w:sz w:val="24"/>
          <w:szCs w:val="24"/>
        </w:rPr>
        <w:t xml:space="preserve"> with primary </w:t>
      </w:r>
      <w:r w:rsidRPr="00D71D88">
        <w:rPr>
          <w:rFonts w:ascii="Times New Roman" w:hAnsi="Times New Roman" w:hint="eastAsia"/>
          <w:sz w:val="24"/>
          <w:szCs w:val="24"/>
        </w:rPr>
        <w:t>anti-</w:t>
      </w:r>
      <w:r w:rsidRPr="00D71D88">
        <w:rPr>
          <w:rFonts w:ascii="Times New Roman" w:hAnsi="Times New Roman" w:hint="eastAsia"/>
          <w:sz w:val="24"/>
          <w:szCs w:val="24"/>
        </w:rPr>
        <w:t>α</w:t>
      </w:r>
      <w:r w:rsidRPr="00D71D88">
        <w:rPr>
          <w:rFonts w:ascii="Times New Roman" w:hAnsi="Times New Roman" w:hint="eastAsia"/>
          <w:sz w:val="24"/>
          <w:szCs w:val="24"/>
        </w:rPr>
        <w:t>-synuclein</w:t>
      </w:r>
      <w:r w:rsidRPr="00D71D88">
        <w:rPr>
          <w:rFonts w:ascii="Times New Roman" w:hAnsi="Times New Roman"/>
          <w:sz w:val="24"/>
          <w:szCs w:val="24"/>
        </w:rPr>
        <w:t xml:space="preserve"> antibody (#</w:t>
      </w:r>
      <w:r w:rsidRPr="00D71D88">
        <w:rPr>
          <w:rFonts w:ascii="Times New Roman" w:hAnsi="Times New Roman"/>
          <w:sz w:val="24"/>
          <w:szCs w:val="24"/>
          <w:shd w:val="clear" w:color="auto" w:fill="FFFFFF"/>
        </w:rPr>
        <w:t>610786, BD bioscience) dilution of 1:500, anti-DMT1 antibody (#NRAMP24-A, ADI) dilution of 1:100, anti-VGCC antibody (#C1103, Sigma) dilution of 1:200; anti-Fpn1 antibody (#M</w:t>
      </w:r>
      <w:r w:rsidR="00F552EE" w:rsidRPr="00D71D88">
        <w:rPr>
          <w:rFonts w:ascii="Times New Roman" w:hAnsi="Times New Roman"/>
          <w:sz w:val="24"/>
          <w:szCs w:val="24"/>
          <w:shd w:val="clear" w:color="auto" w:fill="FFFFFF"/>
        </w:rPr>
        <w:t>TP11-S, ADI) dilution of 1:500,</w:t>
      </w:r>
      <w:r w:rsidRPr="00D71D88">
        <w:rPr>
          <w:rFonts w:ascii="Times New Roman" w:hAnsi="Times New Roman"/>
          <w:sz w:val="24"/>
          <w:szCs w:val="24"/>
          <w:shd w:val="clear" w:color="auto" w:fill="FFFFFF"/>
        </w:rPr>
        <w:t xml:space="preserve"> were  performed overnight in 2,5% non-fat powdered milk. </w:t>
      </w:r>
      <w:r w:rsidRPr="00D71D88">
        <w:rPr>
          <w:rFonts w:ascii="Times New Roman" w:hAnsi="Times New Roman"/>
          <w:sz w:val="24"/>
          <w:szCs w:val="24"/>
        </w:rPr>
        <w:t xml:space="preserve">Incubation with primary </w:t>
      </w:r>
      <w:r w:rsidRPr="00D71D88">
        <w:rPr>
          <w:rFonts w:ascii="Times New Roman" w:hAnsi="Times New Roman" w:hint="eastAsia"/>
          <w:sz w:val="24"/>
          <w:szCs w:val="24"/>
        </w:rPr>
        <w:t>anti-</w:t>
      </w:r>
      <w:r w:rsidRPr="00D71D88">
        <w:rPr>
          <w:rFonts w:ascii="Times New Roman" w:hAnsi="Times New Roman" w:hint="eastAsia"/>
          <w:sz w:val="24"/>
          <w:szCs w:val="24"/>
        </w:rPr>
        <w:t>β</w:t>
      </w:r>
      <w:r w:rsidRPr="00D71D88">
        <w:rPr>
          <w:rFonts w:ascii="Times New Roman" w:hAnsi="Times New Roman" w:hint="eastAsia"/>
          <w:sz w:val="24"/>
          <w:szCs w:val="24"/>
        </w:rPr>
        <w:t>-tubulin</w:t>
      </w:r>
      <w:r w:rsidRPr="00D71D88">
        <w:rPr>
          <w:rFonts w:ascii="Times New Roman" w:hAnsi="Times New Roman"/>
          <w:sz w:val="24"/>
          <w:szCs w:val="24"/>
        </w:rPr>
        <w:t xml:space="preserve"> antibody (T4026, Sigma) and primary anti-GAPDH (#G9545, Sigma) both diluted 1:5000 </w:t>
      </w:r>
      <w:r w:rsidRPr="00D71D88">
        <w:rPr>
          <w:rFonts w:ascii="Times New Roman" w:hAnsi="Times New Roman"/>
          <w:sz w:val="24"/>
          <w:szCs w:val="24"/>
          <w:shd w:val="clear" w:color="auto" w:fill="FFFFFF"/>
        </w:rPr>
        <w:t xml:space="preserve">in 2,5% non-fat powdered milk for 1 h. The secondary antibody was a horseradish peroxidase-coupled IgG (Dianova, Hamburg, Germany) for both </w:t>
      </w:r>
      <w:r w:rsidR="00EB28CA" w:rsidRPr="00D71D88">
        <w:rPr>
          <w:rFonts w:ascii="Times New Roman" w:hAnsi="Times New Roman"/>
          <w:sz w:val="24"/>
          <w:szCs w:val="24"/>
          <w:shd w:val="clear" w:color="auto" w:fill="FFFFFF"/>
        </w:rPr>
        <w:t xml:space="preserve">in </w:t>
      </w:r>
      <w:r w:rsidRPr="00D71D88">
        <w:rPr>
          <w:rFonts w:ascii="Times New Roman" w:hAnsi="Times New Roman"/>
          <w:sz w:val="24"/>
          <w:szCs w:val="24"/>
          <w:shd w:val="clear" w:color="auto" w:fill="FFFFFF"/>
        </w:rPr>
        <w:t xml:space="preserve">a dilution </w:t>
      </w:r>
      <w:r w:rsidR="00EB28CA" w:rsidRPr="00D71D88">
        <w:rPr>
          <w:rFonts w:ascii="Times New Roman" w:hAnsi="Times New Roman"/>
          <w:sz w:val="24"/>
          <w:szCs w:val="24"/>
          <w:shd w:val="clear" w:color="auto" w:fill="FFFFFF"/>
        </w:rPr>
        <w:t xml:space="preserve">of </w:t>
      </w:r>
      <w:r w:rsidRPr="00D71D88">
        <w:rPr>
          <w:rFonts w:ascii="Times New Roman" w:hAnsi="Times New Roman"/>
          <w:sz w:val="24"/>
          <w:szCs w:val="24"/>
        </w:rPr>
        <w:t xml:space="preserve">1:5000 </w:t>
      </w:r>
      <w:r w:rsidRPr="00D71D88">
        <w:rPr>
          <w:rFonts w:ascii="Times New Roman" w:hAnsi="Times New Roman"/>
          <w:sz w:val="24"/>
          <w:szCs w:val="24"/>
          <w:shd w:val="clear" w:color="auto" w:fill="FFFFFF"/>
        </w:rPr>
        <w:t xml:space="preserve">in 2,5% non-fat powdered milk </w:t>
      </w:r>
      <w:r w:rsidR="002057DC" w:rsidRPr="00D71D88">
        <w:rPr>
          <w:rFonts w:ascii="Times New Roman" w:hAnsi="Times New Roman"/>
          <w:sz w:val="24"/>
          <w:szCs w:val="24"/>
          <w:shd w:val="clear" w:color="auto" w:fill="FFFFFF"/>
        </w:rPr>
        <w:t xml:space="preserve">and </w:t>
      </w:r>
      <w:r w:rsidRPr="00D71D88">
        <w:rPr>
          <w:rFonts w:ascii="Times New Roman" w:hAnsi="Times New Roman"/>
          <w:sz w:val="24"/>
          <w:szCs w:val="24"/>
          <w:shd w:val="clear" w:color="auto" w:fill="FFFFFF"/>
        </w:rPr>
        <w:t xml:space="preserve">was </w:t>
      </w:r>
      <w:r w:rsidR="002057DC" w:rsidRPr="00D71D88">
        <w:rPr>
          <w:rFonts w:ascii="Times New Roman" w:hAnsi="Times New Roman"/>
          <w:sz w:val="24"/>
          <w:szCs w:val="24"/>
          <w:shd w:val="clear" w:color="auto" w:fill="FFFFFF"/>
        </w:rPr>
        <w:t xml:space="preserve">applied </w:t>
      </w:r>
      <w:r w:rsidRPr="00D71D88">
        <w:rPr>
          <w:rFonts w:ascii="Times New Roman" w:hAnsi="Times New Roman"/>
          <w:sz w:val="24"/>
          <w:szCs w:val="24"/>
          <w:shd w:val="clear" w:color="auto" w:fill="FFFFFF"/>
        </w:rPr>
        <w:t>for 1 h. For visualization</w:t>
      </w:r>
      <w:r w:rsidR="002057DC" w:rsidRPr="00D71D88">
        <w:rPr>
          <w:rFonts w:ascii="Times New Roman" w:hAnsi="Times New Roman"/>
          <w:sz w:val="24"/>
          <w:szCs w:val="24"/>
          <w:shd w:val="clear" w:color="auto" w:fill="FFFFFF"/>
        </w:rPr>
        <w:t>,</w:t>
      </w:r>
      <w:r w:rsidRPr="00D71D88">
        <w:rPr>
          <w:rFonts w:ascii="Times New Roman" w:hAnsi="Times New Roman"/>
          <w:sz w:val="24"/>
          <w:szCs w:val="24"/>
          <w:shd w:val="clear" w:color="auto" w:fill="FFFFFF"/>
        </w:rPr>
        <w:t xml:space="preserve"> enhanced </w:t>
      </w:r>
      <w:r w:rsidRPr="00D71D88">
        <w:rPr>
          <w:rFonts w:ascii="Times New Roman" w:hAnsi="Times New Roman"/>
          <w:sz w:val="24"/>
          <w:szCs w:val="24"/>
          <w:shd w:val="clear" w:color="auto" w:fill="FFFFFF"/>
        </w:rPr>
        <w:lastRenderedPageBreak/>
        <w:t xml:space="preserve">chemiluminescence (ECL-solution: 250 mM luminol, 90 mM p-coumaric acid, 1 M Tris/HCl, 30% hydrogen peroxide) was used. Blots were analyzed with ImageJ software (open freeware provided by the NIH, Bethesda, MD, USA; http://imagej.nih.gov/ij/). </w:t>
      </w:r>
    </w:p>
    <w:p w14:paraId="40504CFC" w14:textId="0219F2D8" w:rsidR="004B75F5" w:rsidRPr="00D71D88" w:rsidRDefault="004B75F5" w:rsidP="004B75F5">
      <w:pPr>
        <w:spacing w:line="360" w:lineRule="auto"/>
        <w:ind w:firstLine="720"/>
        <w:jc w:val="both"/>
        <w:rPr>
          <w:rFonts w:ascii="Times New Roman" w:eastAsia="Times New Roman" w:hAnsi="Times New Roman"/>
          <w:sz w:val="24"/>
          <w:szCs w:val="24"/>
          <w:lang w:eastAsia="en-US"/>
        </w:rPr>
      </w:pPr>
      <w:r w:rsidRPr="00D71D88">
        <w:rPr>
          <w:rFonts w:ascii="Times New Roman" w:hAnsi="Times New Roman"/>
          <w:sz w:val="24"/>
          <w:szCs w:val="24"/>
          <w:shd w:val="clear" w:color="auto" w:fill="FFFFFF"/>
        </w:rPr>
        <w:t xml:space="preserve">Solubility assay: </w:t>
      </w:r>
      <w:r w:rsidRPr="00D71D88">
        <w:rPr>
          <w:rFonts w:ascii="Times New Roman" w:hAnsi="Times New Roman" w:hint="eastAsia"/>
          <w:sz w:val="24"/>
          <w:szCs w:val="24"/>
        </w:rPr>
        <w:t>α</w:t>
      </w:r>
      <w:r w:rsidRPr="00D71D88">
        <w:rPr>
          <w:rFonts w:ascii="Times New Roman" w:hAnsi="Times New Roman" w:hint="eastAsia"/>
          <w:sz w:val="24"/>
          <w:szCs w:val="24"/>
        </w:rPr>
        <w:t>Syn</w:t>
      </w:r>
      <w:r w:rsidRPr="00D71D88">
        <w:rPr>
          <w:rFonts w:ascii="Times New Roman" w:hAnsi="Times New Roman"/>
          <w:sz w:val="24"/>
          <w:szCs w:val="24"/>
          <w:shd w:val="clear" w:color="auto" w:fill="FFFFFF"/>
        </w:rPr>
        <w:t xml:space="preserve"> solubility was assessed as </w:t>
      </w:r>
      <w:r w:rsidR="008F69F5" w:rsidRPr="00D71D88">
        <w:rPr>
          <w:rFonts w:ascii="Times New Roman" w:hAnsi="Times New Roman"/>
          <w:sz w:val="24"/>
          <w:szCs w:val="24"/>
          <w:shd w:val="clear" w:color="auto" w:fill="FFFFFF"/>
        </w:rPr>
        <w:t xml:space="preserve">previously </w:t>
      </w:r>
      <w:r w:rsidRPr="00D71D88">
        <w:rPr>
          <w:rFonts w:ascii="Times New Roman" w:hAnsi="Times New Roman"/>
          <w:sz w:val="24"/>
          <w:szCs w:val="24"/>
          <w:shd w:val="clear" w:color="auto" w:fill="FFFFFF"/>
        </w:rPr>
        <w:t xml:space="preserve">described </w:t>
      </w:r>
      <w:r w:rsidR="0073576D" w:rsidRPr="00D71D88">
        <w:rPr>
          <w:rFonts w:ascii="Times New Roman" w:hAnsi="Times New Roman"/>
          <w:sz w:val="24"/>
          <w:szCs w:val="24"/>
          <w:shd w:val="clear" w:color="auto" w:fill="FFFFFF"/>
        </w:rPr>
        <w:fldChar w:fldCharType="begin"/>
      </w:r>
      <w:r w:rsidR="0073576D" w:rsidRPr="00D71D88">
        <w:rPr>
          <w:rFonts w:ascii="Times New Roman" w:hAnsi="Times New Roman"/>
          <w:sz w:val="24"/>
          <w:szCs w:val="24"/>
          <w:shd w:val="clear" w:color="auto" w:fill="FFFFFF"/>
        </w:rPr>
        <w:instrText xml:space="preserve"> ADDIN PAPERS2_CITATIONS &lt;citation&gt;&lt;uuid&gt;38BF2850-2AA7-4218-8949-85522004BB93&lt;/uuid&gt;&lt;priority&gt;1&lt;/priority&gt;&lt;publications&gt;&lt;publication&gt;&lt;uuid&gt;7DE79D15-AC77-4A5C-82F4-99112FDBC964&lt;/uuid&gt;&lt;volume&gt;10&lt;/volume&gt;&lt;accepted_date&gt;99201409091200000000222000&lt;/accepted_date&gt;&lt;doi&gt;10.1371/journal.pgen.1004741&lt;/doi&gt;&lt;startpage&gt;e1004741&lt;/startpage&gt;&lt;publication_date&gt;99201410311200000000222000&lt;/publication_date&gt;&lt;url&gt;http://dx.plos.org/10.1371/journal.pgen.1004741&lt;/url&gt;&lt;type&gt;400&lt;/type&gt;&lt;title&gt;Systematic comparison of the effects of alpha-synuclein mutations on its oligomerization and aggregation.&lt;/title&gt;&lt;publisher&gt;Public Library of Science&lt;/publisher&gt;&lt;submission_date&gt;99201405271200000000222000&lt;/submission_date&gt;&lt;number&gt;11&lt;/number&gt;&lt;institution&gt;Department of NeuroDegeneration and Restorative Research, Center for Nanoscale Microscopy and Molecular Physiology of the Brain University Medical Goettingen, Goettingen, Germany.&lt;/institution&gt;&lt;subtype&gt;400&lt;/subtype&gt;&lt;endpage&gt;e1004741&lt;/endpage&gt;&lt;bundle&gt;&lt;publication&gt;&lt;title&gt;PLoS genetics&lt;/title&gt;&lt;type&gt;-100&lt;/type&gt;&lt;subtype&gt;-100&lt;/subtype&gt;&lt;uuid&gt;6F375BB8-15B8-415D-A1CC-2D0163A6A820&lt;/uuid&gt;&lt;/publication&gt;&lt;/bundle&gt;&lt;authors&gt;&lt;author&gt;&lt;firstName&gt;Diana&lt;/firstName&gt;&lt;middleNames&gt;F&lt;/middleNames&gt;&lt;lastName&gt;Lázaro&lt;/lastName&gt;&lt;/author&gt;&lt;author&gt;&lt;firstName&gt;Eva&lt;/firstName&gt;&lt;middleNames&gt;F&lt;/middleNames&gt;&lt;lastName&gt;Rodrigues&lt;/lastName&gt;&lt;/author&gt;&lt;author&gt;&lt;firstName&gt;Ramona&lt;/firstName&gt;&lt;lastName&gt;Langohr&lt;/lastName&gt;&lt;/author&gt;&lt;author&gt;&lt;firstName&gt;Hedieh&lt;/firstName&gt;&lt;lastName&gt;Shahpasandzadeh&lt;/lastName&gt;&lt;/author&gt;&lt;author&gt;&lt;firstName&gt;Thales&lt;/firstName&gt;&lt;lastName&gt;Ribeiro&lt;/lastName&gt;&lt;/author&gt;&lt;author&gt;&lt;firstName&gt;Patrícia&lt;/firstName&gt;&lt;lastName&gt;Guerreiro&lt;/lastName&gt;&lt;/author&gt;&lt;author&gt;&lt;firstName&gt;Ellen&lt;/firstName&gt;&lt;lastName&gt;Gerhardt&lt;/lastName&gt;&lt;/author&gt;&lt;author&gt;&lt;firstName&gt;Katharina&lt;/firstName&gt;&lt;lastName&gt;Kröhnert&lt;/lastName&gt;&lt;/author&gt;&lt;author&gt;&lt;firstName&gt;Jochen&lt;/firstName&gt;&lt;lastName&gt;Klucken&lt;/lastName&gt;&lt;/author&gt;&lt;author&gt;&lt;firstName&gt;Marcos&lt;/firstName&gt;&lt;middleNames&gt;D&lt;/middleNames&gt;&lt;lastName&gt;Pereira&lt;/lastName&gt;&lt;/author&gt;&lt;author&gt;&lt;firstName&gt;Blagovesta&lt;/firstName&gt;&lt;lastName&gt;Popova&lt;/lastName&gt;&lt;/author&gt;&lt;author&gt;&lt;firstName&gt;Niels&lt;/firstName&gt;&lt;lastName&gt;Kruse&lt;/lastName&gt;&lt;/author&gt;&lt;author&gt;&lt;firstName&gt;Brit&lt;/firstName&gt;&lt;lastName&gt;Mollenhauer&lt;/lastName&gt;&lt;/author&gt;&lt;author&gt;&lt;firstName&gt;Silvio&lt;/firstName&gt;&lt;middleNames&gt;O&lt;/middleNames&gt;&lt;lastName&gt;Rizzoli&lt;/lastName&gt;&lt;/author&gt;&lt;author&gt;&lt;firstName&gt;Gerhard&lt;/firstName&gt;&lt;middleNames&gt;H&lt;/middleNames&gt;&lt;lastName&gt;Braus&lt;/lastName&gt;&lt;/author&gt;&lt;author&gt;&lt;firstName&gt;Karin&lt;/firstName&gt;&lt;middleNames&gt;M&lt;/middleNames&gt;&lt;lastName&gt;Danzer&lt;/lastName&gt;&lt;/author&gt;&lt;author&gt;&lt;firstName&gt;Tiago&lt;/firstName&gt;&lt;middleNames&gt;F&lt;/middleNames&gt;&lt;lastName&gt;Outeiro&lt;/lastName&gt;&lt;/author&gt;&lt;/authors&gt;&lt;editors&gt;&lt;author&gt;&lt;firstName&gt;Daniel&lt;/firstName&gt;&lt;lastName&gt;Kaganovich&lt;/lastName&gt;&lt;/author&gt;&lt;/editors&gt;&lt;/publication&gt;&lt;/publications&gt;&lt;cites&gt;&lt;/cites&gt;&lt;/citation&gt;</w:instrText>
      </w:r>
      <w:r w:rsidR="0073576D" w:rsidRPr="00D71D88">
        <w:rPr>
          <w:rFonts w:ascii="Times New Roman" w:hAnsi="Times New Roman"/>
          <w:sz w:val="24"/>
          <w:szCs w:val="24"/>
          <w:shd w:val="clear" w:color="auto" w:fill="FFFFFF"/>
        </w:rPr>
        <w:fldChar w:fldCharType="separate"/>
      </w:r>
      <w:r w:rsidR="0073576D" w:rsidRPr="00D71D88">
        <w:rPr>
          <w:rFonts w:ascii="Times New Roman" w:hAnsi="Times New Roman"/>
          <w:sz w:val="24"/>
          <w:szCs w:val="24"/>
          <w:vertAlign w:val="superscript"/>
        </w:rPr>
        <w:t>2</w:t>
      </w:r>
      <w:r w:rsidR="0073576D" w:rsidRPr="00D71D88">
        <w:rPr>
          <w:rFonts w:ascii="Times New Roman" w:hAnsi="Times New Roman"/>
          <w:sz w:val="24"/>
          <w:szCs w:val="24"/>
          <w:shd w:val="clear" w:color="auto" w:fill="FFFFFF"/>
        </w:rPr>
        <w:fldChar w:fldCharType="end"/>
      </w:r>
      <w:r w:rsidRPr="00D71D88">
        <w:rPr>
          <w:rFonts w:ascii="Times New Roman" w:hAnsi="Times New Roman"/>
          <w:sz w:val="24"/>
          <w:szCs w:val="24"/>
          <w:shd w:val="clear" w:color="auto" w:fill="FFFFFF"/>
        </w:rPr>
        <w:t>. For our experiments</w:t>
      </w:r>
      <w:r w:rsidR="00181EE3" w:rsidRPr="00D71D88">
        <w:rPr>
          <w:rFonts w:ascii="Times New Roman" w:hAnsi="Times New Roman"/>
          <w:sz w:val="24"/>
          <w:szCs w:val="24"/>
          <w:shd w:val="clear" w:color="auto" w:fill="FFFFFF"/>
        </w:rPr>
        <w:t>,</w:t>
      </w:r>
      <w:r w:rsidRPr="00D71D88">
        <w:rPr>
          <w:rFonts w:ascii="Times New Roman" w:hAnsi="Times New Roman"/>
          <w:sz w:val="24"/>
          <w:szCs w:val="24"/>
          <w:shd w:val="clear" w:color="auto" w:fill="FFFFFF"/>
        </w:rPr>
        <w:t xml:space="preserve"> H4 cells transfected with Sy</w:t>
      </w:r>
      <w:r w:rsidR="00181EE3" w:rsidRPr="00D71D88">
        <w:rPr>
          <w:rFonts w:ascii="Times New Roman" w:hAnsi="Times New Roman"/>
          <w:sz w:val="24"/>
          <w:szCs w:val="24"/>
          <w:shd w:val="clear" w:color="auto" w:fill="FFFFFF"/>
        </w:rPr>
        <w:t>n</w:t>
      </w:r>
      <w:r w:rsidRPr="00D71D88">
        <w:rPr>
          <w:rFonts w:ascii="Times New Roman" w:hAnsi="Times New Roman"/>
          <w:sz w:val="24"/>
          <w:szCs w:val="24"/>
          <w:shd w:val="clear" w:color="auto" w:fill="FFFFFF"/>
        </w:rPr>
        <w:t xml:space="preserve">ph-1/SynT were used as a positive control for aggregation. In short: cells </w:t>
      </w:r>
      <w:r w:rsidR="00181EE3" w:rsidRPr="00D71D88">
        <w:rPr>
          <w:rFonts w:ascii="Times New Roman" w:hAnsi="Times New Roman"/>
          <w:sz w:val="24"/>
          <w:szCs w:val="24"/>
          <w:shd w:val="clear" w:color="auto" w:fill="FFFFFF"/>
        </w:rPr>
        <w:t>were lysed</w:t>
      </w:r>
      <w:r w:rsidRPr="00D71D88">
        <w:rPr>
          <w:rFonts w:ascii="Times New Roman" w:hAnsi="Times New Roman"/>
          <w:sz w:val="24"/>
          <w:szCs w:val="24"/>
          <w:shd w:val="clear" w:color="auto" w:fill="FFFFFF"/>
        </w:rPr>
        <w:t xml:space="preserve"> </w:t>
      </w:r>
      <w:r w:rsidR="00181EE3" w:rsidRPr="00D71D88">
        <w:rPr>
          <w:rFonts w:ascii="Times New Roman" w:hAnsi="Times New Roman"/>
          <w:sz w:val="24"/>
          <w:szCs w:val="24"/>
          <w:shd w:val="clear" w:color="auto" w:fill="FFFFFF"/>
        </w:rPr>
        <w:t xml:space="preserve">in </w:t>
      </w:r>
      <w:r w:rsidRPr="00D71D88">
        <w:rPr>
          <w:rFonts w:ascii="Times New Roman" w:hAnsi="Times New Roman"/>
          <w:sz w:val="24"/>
          <w:szCs w:val="24"/>
          <w:shd w:val="clear" w:color="auto" w:fill="FFFFFF"/>
        </w:rPr>
        <w:t>a lysis buffer (</w:t>
      </w:r>
      <w:r w:rsidRPr="00D71D88">
        <w:rPr>
          <w:rFonts w:ascii="Times New Roman" w:eastAsia="Times New Roman" w:hAnsi="Times New Roman"/>
          <w:sz w:val="24"/>
          <w:szCs w:val="24"/>
          <w:lang w:eastAsia="en-US"/>
        </w:rPr>
        <w:t>25 mM Tris pH 7.5, 150 mM NaCl, 1 mM EDTA and cocktail of protease inhibitors) and sonicated 3 times for 30 sec in ice. Subsequently 300 µg of total cell extracts were incubated with Triton X-100 (final concentration 1%) for 30 min. Then the soluble fraction was separated from the insoluble fraction by centrifuging for 1h at 15,000 g at 4°C. The insoluble fraction was resuspended in the resuspension buffer (75 mM Tris</w:t>
      </w:r>
      <w:r w:rsidR="00181EE3" w:rsidRPr="00D71D88">
        <w:rPr>
          <w:rFonts w:ascii="Times New Roman" w:eastAsia="Times New Roman" w:hAnsi="Times New Roman"/>
          <w:sz w:val="24"/>
          <w:szCs w:val="24"/>
          <w:lang w:eastAsia="en-US"/>
        </w:rPr>
        <w:t>,</w:t>
      </w:r>
      <w:r w:rsidRPr="00D71D88">
        <w:rPr>
          <w:rFonts w:ascii="Times New Roman" w:eastAsia="Times New Roman" w:hAnsi="Times New Roman"/>
          <w:sz w:val="24"/>
          <w:szCs w:val="24"/>
          <w:lang w:eastAsia="en-US"/>
        </w:rPr>
        <w:t xml:space="preserve"> pH 6.8, 3% SDS, 15% Glycerin, 3.75 mM EDTA pH 7.4 and </w:t>
      </w:r>
      <w:r w:rsidR="00181EE3" w:rsidRPr="00D71D88">
        <w:rPr>
          <w:rFonts w:ascii="Times New Roman" w:eastAsia="Times New Roman" w:hAnsi="Times New Roman"/>
          <w:sz w:val="24"/>
          <w:szCs w:val="24"/>
          <w:lang w:eastAsia="en-US"/>
        </w:rPr>
        <w:t xml:space="preserve">a </w:t>
      </w:r>
      <w:r w:rsidRPr="00D71D88">
        <w:rPr>
          <w:rFonts w:ascii="Times New Roman" w:eastAsia="Times New Roman" w:hAnsi="Times New Roman"/>
          <w:sz w:val="24"/>
          <w:szCs w:val="24"/>
          <w:lang w:eastAsia="en-US"/>
        </w:rPr>
        <w:t xml:space="preserve">cocktail of protease inhibitors) and sonicated again for 15 seconds. Finally western blot were performed as described above. </w:t>
      </w:r>
    </w:p>
    <w:p w14:paraId="63A62A19" w14:textId="77777777" w:rsidR="004B75F5" w:rsidRPr="00D71D88" w:rsidRDefault="004B75F5" w:rsidP="004B75F5">
      <w:pPr>
        <w:spacing w:line="360" w:lineRule="auto"/>
        <w:ind w:firstLine="720"/>
        <w:jc w:val="both"/>
        <w:rPr>
          <w:rFonts w:ascii="Times New Roman" w:eastAsia="Times New Roman" w:hAnsi="Times New Roman"/>
          <w:sz w:val="24"/>
          <w:szCs w:val="24"/>
          <w:lang w:eastAsia="en-US"/>
        </w:rPr>
      </w:pPr>
    </w:p>
    <w:p w14:paraId="78A9F704" w14:textId="77777777" w:rsidR="004B75F5" w:rsidRPr="00D71D88" w:rsidRDefault="004B75F5" w:rsidP="004B75F5">
      <w:pPr>
        <w:spacing w:line="360" w:lineRule="auto"/>
        <w:jc w:val="both"/>
        <w:rPr>
          <w:rFonts w:ascii="Arial" w:hAnsi="Arial" w:cs="Arial"/>
          <w:b/>
        </w:rPr>
      </w:pPr>
      <w:r w:rsidRPr="00D71D88">
        <w:rPr>
          <w:rFonts w:ascii="Arial" w:hAnsi="Arial" w:cs="Arial"/>
          <w:b/>
        </w:rPr>
        <w:t>Viability test</w:t>
      </w:r>
    </w:p>
    <w:p w14:paraId="2B7650E9" w14:textId="0F3D97C9" w:rsidR="004B75F5" w:rsidRPr="00D71D88" w:rsidRDefault="004B75F5" w:rsidP="004B75F5">
      <w:pPr>
        <w:spacing w:line="360" w:lineRule="auto"/>
        <w:ind w:firstLine="720"/>
        <w:jc w:val="both"/>
        <w:rPr>
          <w:rFonts w:ascii="Times New Roman" w:hAnsi="Times New Roman"/>
          <w:sz w:val="24"/>
          <w:szCs w:val="24"/>
          <w:shd w:val="clear" w:color="auto" w:fill="FFFFFF"/>
        </w:rPr>
      </w:pPr>
      <w:r w:rsidRPr="00D71D88">
        <w:rPr>
          <w:rFonts w:ascii="Times New Roman" w:hAnsi="Times New Roman"/>
          <w:sz w:val="24"/>
          <w:szCs w:val="24"/>
        </w:rPr>
        <w:t>A commercial kit (ToxiLigh</w:t>
      </w:r>
      <w:r w:rsidR="00173AA3" w:rsidRPr="00D71D88">
        <w:rPr>
          <w:rFonts w:ascii="Times New Roman" w:hAnsi="Times New Roman"/>
          <w:sz w:val="24"/>
          <w:szCs w:val="24"/>
        </w:rPr>
        <w:t>t</w:t>
      </w:r>
      <w:r w:rsidRPr="00D71D88">
        <w:rPr>
          <w:rFonts w:ascii="Times New Roman" w:hAnsi="Times New Roman"/>
          <w:sz w:val="24"/>
          <w:szCs w:val="24"/>
        </w:rPr>
        <w:t xml:space="preserve"> BioAssay Kit by Lonza) was used for measuring the release of adenylate kinase from dead cells. At DIV3 after 3 h of Mn</w:t>
      </w:r>
      <w:r w:rsidRPr="00D71D88">
        <w:rPr>
          <w:rFonts w:ascii="Times New Roman" w:hAnsi="Times New Roman"/>
          <w:sz w:val="24"/>
          <w:szCs w:val="24"/>
          <w:vertAlign w:val="superscript"/>
        </w:rPr>
        <w:t>2</w:t>
      </w:r>
      <w:r w:rsidR="00173AA3" w:rsidRPr="00D71D88">
        <w:rPr>
          <w:rFonts w:ascii="Times New Roman" w:hAnsi="Times New Roman"/>
          <w:sz w:val="24"/>
          <w:szCs w:val="24"/>
          <w:vertAlign w:val="superscript"/>
        </w:rPr>
        <w:t>+</w:t>
      </w:r>
      <w:r w:rsidRPr="00D71D88">
        <w:rPr>
          <w:rFonts w:ascii="Times New Roman" w:hAnsi="Times New Roman"/>
          <w:sz w:val="24"/>
          <w:szCs w:val="24"/>
        </w:rPr>
        <w:t xml:space="preserve"> incubation, an aliquot of cell medium for each condition was collected. Then the substrate was added to the 96-well</w:t>
      </w:r>
      <w:r w:rsidR="004B5C71" w:rsidRPr="00D71D88">
        <w:rPr>
          <w:rFonts w:ascii="Times New Roman" w:hAnsi="Times New Roman"/>
          <w:sz w:val="24"/>
          <w:szCs w:val="24"/>
        </w:rPr>
        <w:t xml:space="preserve"> plate and read with </w:t>
      </w:r>
      <w:r w:rsidR="00574DE7" w:rsidRPr="00D71D88">
        <w:rPr>
          <w:rFonts w:ascii="Times New Roman" w:hAnsi="Times New Roman"/>
          <w:sz w:val="24"/>
          <w:szCs w:val="24"/>
        </w:rPr>
        <w:t xml:space="preserve">a Wallac </w:t>
      </w:r>
      <w:r w:rsidR="004B5C71" w:rsidRPr="00D71D88">
        <w:rPr>
          <w:rFonts w:ascii="Times New Roman" w:hAnsi="Times New Roman"/>
          <w:sz w:val="24"/>
          <w:szCs w:val="24"/>
        </w:rPr>
        <w:t>1450 MicroB</w:t>
      </w:r>
      <w:r w:rsidRPr="00D71D88">
        <w:rPr>
          <w:rFonts w:ascii="Times New Roman" w:hAnsi="Times New Roman"/>
          <w:sz w:val="24"/>
          <w:szCs w:val="24"/>
        </w:rPr>
        <w:t>eta Tri</w:t>
      </w:r>
      <w:r w:rsidR="004B5C71" w:rsidRPr="00D71D88">
        <w:rPr>
          <w:rFonts w:ascii="Times New Roman" w:hAnsi="Times New Roman"/>
          <w:sz w:val="24"/>
          <w:szCs w:val="24"/>
        </w:rPr>
        <w:t>L</w:t>
      </w:r>
      <w:r w:rsidRPr="00D71D88">
        <w:rPr>
          <w:rFonts w:ascii="Times New Roman" w:hAnsi="Times New Roman"/>
          <w:sz w:val="24"/>
          <w:szCs w:val="24"/>
        </w:rPr>
        <w:t xml:space="preserve">ux </w:t>
      </w:r>
      <w:r w:rsidR="001208B1" w:rsidRPr="00D71D88">
        <w:rPr>
          <w:rFonts w:ascii="Times New Roman" w:hAnsi="Times New Roman"/>
          <w:sz w:val="24"/>
          <w:szCs w:val="24"/>
        </w:rPr>
        <w:t>(</w:t>
      </w:r>
      <w:r w:rsidR="00574DE7" w:rsidRPr="00D71D88">
        <w:rPr>
          <w:rFonts w:ascii="Times New Roman" w:hAnsi="Times New Roman"/>
          <w:sz w:val="24"/>
          <w:szCs w:val="24"/>
        </w:rPr>
        <w:t>Perkin Elmer, Waltham, MA, USA)</w:t>
      </w:r>
      <w:r w:rsidRPr="00D71D88">
        <w:rPr>
          <w:rFonts w:ascii="Times New Roman" w:hAnsi="Times New Roman"/>
          <w:sz w:val="24"/>
          <w:szCs w:val="24"/>
        </w:rPr>
        <w:t xml:space="preserve">. </w:t>
      </w:r>
    </w:p>
    <w:p w14:paraId="51F2F2A7" w14:textId="77777777" w:rsidR="006250CF" w:rsidRPr="00D71D88" w:rsidRDefault="006250CF" w:rsidP="006250CF">
      <w:pPr>
        <w:ind w:firstLine="720"/>
        <w:jc w:val="both"/>
        <w:rPr>
          <w:rFonts w:ascii="Times New Roman" w:hAnsi="Times New Roman"/>
          <w:i/>
          <w:sz w:val="24"/>
          <w:szCs w:val="24"/>
        </w:rPr>
      </w:pPr>
    </w:p>
    <w:p w14:paraId="7053D897" w14:textId="77777777" w:rsidR="006250CF" w:rsidRPr="00D71D88" w:rsidRDefault="006250CF" w:rsidP="006250CF">
      <w:pPr>
        <w:spacing w:line="360" w:lineRule="auto"/>
        <w:jc w:val="both"/>
        <w:rPr>
          <w:rFonts w:ascii="Arial" w:hAnsi="Arial" w:cs="Arial"/>
          <w:b/>
        </w:rPr>
      </w:pPr>
      <w:r w:rsidRPr="00D71D88">
        <w:rPr>
          <w:rFonts w:ascii="Arial" w:hAnsi="Arial" w:cs="Arial"/>
          <w:b/>
        </w:rPr>
        <w:t>Statistical analysis</w:t>
      </w:r>
    </w:p>
    <w:p w14:paraId="00D44A8B" w14:textId="4B379AAD" w:rsidR="006250CF" w:rsidRPr="00D71D88" w:rsidRDefault="006250CF" w:rsidP="006A614D">
      <w:pPr>
        <w:spacing w:line="360" w:lineRule="auto"/>
        <w:ind w:firstLine="720"/>
        <w:jc w:val="both"/>
        <w:rPr>
          <w:rFonts w:ascii="Times New Roman" w:hAnsi="Times New Roman"/>
          <w:sz w:val="24"/>
          <w:szCs w:val="24"/>
        </w:rPr>
      </w:pPr>
      <w:r w:rsidRPr="00D71D88">
        <w:rPr>
          <w:rFonts w:ascii="Times New Roman" w:hAnsi="Times New Roman"/>
          <w:sz w:val="24"/>
          <w:szCs w:val="24"/>
        </w:rPr>
        <w:t xml:space="preserve">For image and spectra analysis we used MAPS, a freely available software for X-ray fluorescence analysis developed at the APS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"10.1051/jp4:20030160", "ISSN" : "1155-4339", "abstract" : "X-ray fluorescence (XRF) imaging of biological cells typically involves the creation (and subsequent analysis) of 3-dimensional (313) data sets, where at each scan position the full spectrum is recorded. This allows one to later process the data in a variety of different approaches, e.g., by spectral region of interest (ROIE) summation with or without background subtraction, principal component analysis, or fitting. Additionally, it is possible to sum up the per pixel spectra over selected spatial ROIs so as to improve the photon statistics in such a spectrum. A software package is presented here that implements these functions to provide a toolset for the analysis of 3D XRF data sets.", "author" : [ { "dropping-particle" : "", "family" : "Vogt", "given" : "S.", "non-dropping-particle" : "", "parse-names" : false, "suffix" : "" } ], "container-title" : "Journal de Physique IV (Proceedings)", "id" : "ITEM-1", "issued" : { "date-parts" : [ [ "2003", "3" ] ] }, "page" : "635-638", "publisher" : "E D P SCIENCES, 7, AVE DU HOGGAR, PARC D ACTIVITES COURTABOEUF, BP 112, F-91944 LES ULIS CEDEXA, FRANCE", "title" : "MAPS : A set of software tools for analysis and visualization of 3D X-ray fluorescence data sets", "type" : "article-journal", "volume" : "104" }, "uris" : [ "http://www.mendeley.com/documents/?uuid=0395d3ce-cad4-4c98-90db-48c807660d58" ] } ], "mendeley" : { "previouslyFormattedCitation" : "[51]"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[51]</w:t>
      </w:r>
      <w:r w:rsidRPr="00D71D88">
        <w:rPr>
          <w:rFonts w:ascii="Times New Roman" w:hAnsi="Times New Roman"/>
          <w:sz w:val="24"/>
          <w:szCs w:val="24"/>
        </w:rPr>
        <w:fldChar w:fldCharType="end"/>
      </w:r>
      <w:r w:rsidRPr="00D71D88">
        <w:rPr>
          <w:rFonts w:ascii="Times New Roman" w:hAnsi="Times New Roman"/>
          <w:sz w:val="24"/>
          <w:szCs w:val="24"/>
        </w:rPr>
        <w:t xml:space="preserve">. The algorithms employed are described in detail elsewhere </w:t>
      </w:r>
      <w:r w:rsidRPr="00D71D88">
        <w:rPr>
          <w:rFonts w:ascii="Times New Roman" w:hAnsi="Times New Roman"/>
          <w:sz w:val="24"/>
          <w:szCs w:val="24"/>
        </w:rPr>
        <w:fldChar w:fldCharType="begin" w:fldLock="1"/>
      </w:r>
      <w:r w:rsidR="003E3A96" w:rsidRPr="00D71D88">
        <w:rPr>
          <w:rFonts w:ascii="Times New Roman" w:hAnsi="Times New Roman"/>
          <w:sz w:val="24"/>
          <w:szCs w:val="24"/>
        </w:rPr>
        <w:instrText>ADDIN CSL_CITATION { "citationItems" : [ { "id" : "ITEM-1", "itemData" : { "DOI" : "10.1051/jp4:20030156", "ISSN" : "1155-4339", "abstract" : "X-ray-microprobe-based X-ray fluorescence (XRF) scanning microscopy is a powerful technique to map and quantify element distributions in biological specimens, such as cells and bacteria. Principal component analysis (PCA) provides a method to correlate an XRF data set with full spectra at each scan point and to weigh each component of the spectrum, and its corresponding eigenimage, according to its respective significance in the data set. In particular, photon noise is not correlated among pixels and therefore does not contribute to the principal components. We show that, by fitting the eigenspectra of the principal components, one can then generate maps of fitted elemental components with high accuracy, without the need to fit the spectra of single pixels. Additionally, the correlation of elemental distributions can be used to reveal information about the number and composition of the different major constituents of a cell. We also demonstrate that cluster analysis can be used to classify the sample into spatially separate regions of characteristic elemental compositions, for example nucleus, cytoplasm, and vesicles.", "author" : [ { "dropping-particle" : "", "family" : "Vogt", "given" : "S.", "non-dropping-particle" : "", "parse-names" : false, "suffix" : "" }, { "dropping-particle" : "", "family" : "Maser", "given" : "J.", "non-dropping-particle" : "", "parse-names" : false, "suffix" : "" }, { "dropping-particle" : "", "family" : "Jacobsen", "given" : "C.", "non-dropping-particle" : "", "parse-names" : false, "suffix" : "" } ], "container-title" : "Journal de Physique IV (Proceedings)", "id" : "ITEM-1", "issued" : { "date-parts" : [ [ "2003", "3" ] ] }, "page" : "617-622", "publisher" : "E D P SCIENCES, 7, AVE DU HOGGAR, PARC D ACTIVITES COURTABOEUF, BP 112, F-91944 LES ULIS CEDEXA, FRANCE", "title" : "Data analysis for X-ray fluorescence imaging", "type" : "article-journal", "volume" : "104" }, "uris" : [ "http://www.mendeley.com/documents/?uuid=2231c54e-a3f0-40f4-bdfd-c4568356499d" ] } ], "mendeley" : { "previouslyFormattedCitation" : "[52]" }, "properties" : { "noteIndex" : 0 }, "schema" : "https://github.com/citation-style-language/schema/raw/master/csl-citation.json" }</w:instrText>
      </w:r>
      <w:r w:rsidRPr="00D71D88">
        <w:rPr>
          <w:rFonts w:ascii="Times New Roman" w:hAnsi="Times New Roman"/>
          <w:sz w:val="24"/>
          <w:szCs w:val="24"/>
        </w:rPr>
        <w:fldChar w:fldCharType="separate"/>
      </w:r>
      <w:r w:rsidR="00EA7311" w:rsidRPr="00D71D88">
        <w:rPr>
          <w:rFonts w:ascii="Times New Roman" w:hAnsi="Times New Roman"/>
          <w:noProof/>
          <w:sz w:val="24"/>
          <w:szCs w:val="24"/>
        </w:rPr>
        <w:t>[52]</w:t>
      </w:r>
      <w:r w:rsidRPr="00D71D88">
        <w:rPr>
          <w:rFonts w:ascii="Times New Roman" w:hAnsi="Times New Roman"/>
          <w:sz w:val="24"/>
          <w:szCs w:val="24"/>
        </w:rPr>
        <w:fldChar w:fldCharType="end"/>
      </w:r>
      <w:r w:rsidRPr="00D71D88">
        <w:rPr>
          <w:rFonts w:ascii="Times New Roman" w:hAnsi="Times New Roman"/>
          <w:sz w:val="24"/>
          <w:szCs w:val="24"/>
        </w:rPr>
        <w:t>.</w:t>
      </w:r>
      <w:r w:rsidR="006A614D" w:rsidRPr="00D71D88">
        <w:rPr>
          <w:rFonts w:ascii="Times New Roman" w:hAnsi="Times New Roman"/>
          <w:sz w:val="24"/>
          <w:szCs w:val="24"/>
        </w:rPr>
        <w:t xml:space="preserve"> </w:t>
      </w:r>
      <w:r w:rsidRPr="00D71D88">
        <w:rPr>
          <w:rFonts w:ascii="Times New Roman" w:hAnsi="Times New Roman"/>
          <w:sz w:val="24"/>
          <w:szCs w:val="24"/>
        </w:rPr>
        <w:t xml:space="preserve">Average of cellular element concentration was used after definition of single cell region of interest (ROIs) by using potassium map in the MAPS software. Data of elements concentration per cell are presented as means (±SE) of 18 transfected and 40 control cells, respectively. Statistical analyses of the data were performed using multivariate analysis of variance (ANOVA) and Pearson’s correlative analysis in OriginLab 8-6 Pro software </w:t>
      </w:r>
      <w:r w:rsidRPr="00D71D88">
        <w:rPr>
          <w:rFonts w:ascii="Times New Roman" w:hAnsi="Times New Roman"/>
          <w:sz w:val="24"/>
          <w:szCs w:val="24"/>
        </w:rPr>
        <w:lastRenderedPageBreak/>
        <w:t xml:space="preserve">(Northampton, MA, USA). Differences were considered significant with </w:t>
      </w:r>
      <w:r w:rsidRPr="00D71D88">
        <w:rPr>
          <w:rFonts w:ascii="Times New Roman" w:hAnsi="Times New Roman"/>
          <w:i/>
          <w:iCs/>
          <w:sz w:val="24"/>
          <w:szCs w:val="24"/>
        </w:rPr>
        <w:t>P</w:t>
      </w:r>
      <w:r w:rsidRPr="00D71D88">
        <w:rPr>
          <w:rFonts w:ascii="Times New Roman" w:hAnsi="Times New Roman"/>
          <w:sz w:val="24"/>
          <w:szCs w:val="24"/>
        </w:rPr>
        <w:t> ≤ 0.05.</w:t>
      </w:r>
      <w:r w:rsidR="00FA5203" w:rsidRPr="00D71D88">
        <w:rPr>
          <w:rFonts w:ascii="Times New Roman" w:hAnsi="Times New Roman"/>
          <w:sz w:val="24"/>
          <w:szCs w:val="24"/>
        </w:rPr>
        <w:t xml:space="preserve"> For Western blot analyses, solubility assays and viability tests, at least three </w:t>
      </w:r>
      <w:r w:rsidR="00524945" w:rsidRPr="00D71D88">
        <w:rPr>
          <w:rFonts w:ascii="Times New Roman" w:hAnsi="Times New Roman"/>
          <w:sz w:val="24"/>
          <w:szCs w:val="24"/>
        </w:rPr>
        <w:t xml:space="preserve">independent </w:t>
      </w:r>
      <w:r w:rsidR="00FA5203" w:rsidRPr="00D71D88">
        <w:rPr>
          <w:rFonts w:ascii="Times New Roman" w:hAnsi="Times New Roman"/>
          <w:sz w:val="24"/>
          <w:szCs w:val="24"/>
        </w:rPr>
        <w:t xml:space="preserve">replicates were performed. </w:t>
      </w:r>
      <w:r w:rsidR="00524945" w:rsidRPr="00D71D88">
        <w:rPr>
          <w:rFonts w:ascii="Times New Roman" w:hAnsi="Times New Roman"/>
          <w:sz w:val="24"/>
          <w:szCs w:val="24"/>
        </w:rPr>
        <w:t>A one-way ANOVA followed by a Tukey post</w:t>
      </w:r>
      <w:r w:rsidR="008E7469" w:rsidRPr="00D71D88">
        <w:rPr>
          <w:rFonts w:ascii="Times New Roman" w:hAnsi="Times New Roman"/>
          <w:sz w:val="24"/>
          <w:szCs w:val="24"/>
        </w:rPr>
        <w:t>-</w:t>
      </w:r>
      <w:r w:rsidR="00524945" w:rsidRPr="00D71D88">
        <w:rPr>
          <w:rFonts w:ascii="Times New Roman" w:hAnsi="Times New Roman"/>
          <w:sz w:val="24"/>
          <w:szCs w:val="24"/>
        </w:rPr>
        <w:t xml:space="preserve">hoc test were then used to determine significances. </w:t>
      </w:r>
      <w:r w:rsidR="000E6FBA" w:rsidRPr="00D71D88">
        <w:rPr>
          <w:rFonts w:ascii="Times New Roman" w:hAnsi="Times New Roman"/>
          <w:sz w:val="24"/>
          <w:szCs w:val="24"/>
        </w:rPr>
        <w:t>For Mn release experiment analysis, we used a one-sample t-test, assuming Mn-release of EGFP-transfected cells as 100%.</w:t>
      </w:r>
    </w:p>
    <w:p w14:paraId="6B3C6600" w14:textId="77777777" w:rsidR="00A0300B" w:rsidRPr="00D71D88" w:rsidRDefault="00A0300B" w:rsidP="006250CF">
      <w:pPr>
        <w:spacing w:before="100" w:beforeAutospacing="1" w:after="100" w:afterAutospacing="1" w:line="360" w:lineRule="auto"/>
        <w:jc w:val="both"/>
        <w:rPr>
          <w:rFonts w:ascii="Times New Roman" w:hAnsi="Times New Roman"/>
          <w:b/>
          <w:sz w:val="24"/>
          <w:szCs w:val="24"/>
        </w:rPr>
      </w:pPr>
    </w:p>
    <w:p w14:paraId="0721EDFD" w14:textId="77777777" w:rsidR="005D7387" w:rsidRPr="00D71D88" w:rsidRDefault="005D7387" w:rsidP="006250CF">
      <w:pPr>
        <w:spacing w:before="100" w:beforeAutospacing="1" w:after="100" w:afterAutospacing="1" w:line="360" w:lineRule="auto"/>
        <w:jc w:val="both"/>
        <w:rPr>
          <w:rFonts w:ascii="Arial" w:hAnsi="Arial" w:cs="Arial"/>
          <w:b/>
        </w:rPr>
      </w:pPr>
      <w:r w:rsidRPr="00D71D88">
        <w:rPr>
          <w:rFonts w:ascii="Arial" w:hAnsi="Arial" w:cs="Arial"/>
          <w:b/>
        </w:rPr>
        <w:t xml:space="preserve">Abbreviations </w:t>
      </w:r>
    </w:p>
    <w:p w14:paraId="3BB3B5C9" w14:textId="033913E0" w:rsidR="005D7387" w:rsidRPr="00D71D88" w:rsidRDefault="005B68B0" w:rsidP="006250CF">
      <w:pPr>
        <w:spacing w:before="100" w:beforeAutospacing="1" w:after="100" w:afterAutospacing="1" w:line="360" w:lineRule="auto"/>
        <w:jc w:val="both"/>
        <w:rPr>
          <w:rFonts w:ascii="Times New Roman" w:hAnsi="Times New Roman"/>
          <w:sz w:val="24"/>
          <w:szCs w:val="24"/>
        </w:rPr>
      </w:pPr>
      <w:r w:rsidRPr="00D71D88">
        <w:rPr>
          <w:rFonts w:ascii="Times New Roman" w:hAnsi="Times New Roman"/>
          <w:sz w:val="24"/>
          <w:szCs w:val="24"/>
        </w:rPr>
        <w:t>αSyn: alpha synuclein; PD: Parkinson’s disease</w:t>
      </w:r>
      <w:r w:rsidR="00777527" w:rsidRPr="00D71D88">
        <w:rPr>
          <w:rFonts w:ascii="Times New Roman" w:hAnsi="Times New Roman"/>
          <w:sz w:val="24"/>
          <w:szCs w:val="24"/>
        </w:rPr>
        <w:t>;</w:t>
      </w:r>
      <w:r w:rsidRPr="00D71D88">
        <w:rPr>
          <w:rFonts w:ascii="Times New Roman" w:hAnsi="Times New Roman"/>
          <w:sz w:val="24"/>
          <w:szCs w:val="24"/>
        </w:rPr>
        <w:t xml:space="preserve"> </w:t>
      </w:r>
      <w:r w:rsidR="00777527" w:rsidRPr="00D71D88">
        <w:rPr>
          <w:rFonts w:ascii="Times New Roman" w:hAnsi="Times New Roman"/>
          <w:sz w:val="24"/>
          <w:szCs w:val="24"/>
        </w:rPr>
        <w:t xml:space="preserve">XRF: X-ray fluorescence; </w:t>
      </w:r>
      <w:r w:rsidRPr="00D71D88">
        <w:rPr>
          <w:rFonts w:ascii="Times New Roman" w:hAnsi="Times New Roman"/>
          <w:sz w:val="24"/>
          <w:szCs w:val="24"/>
        </w:rPr>
        <w:t xml:space="preserve">XANES: </w:t>
      </w:r>
      <w:r w:rsidR="00777527" w:rsidRPr="00D71D88">
        <w:rPr>
          <w:rFonts w:ascii="Times New Roman" w:hAnsi="Times New Roman"/>
          <w:sz w:val="24"/>
          <w:szCs w:val="24"/>
        </w:rPr>
        <w:t>X-ray absorption n</w:t>
      </w:r>
      <w:r w:rsidR="00AB708B" w:rsidRPr="00D71D88">
        <w:rPr>
          <w:rFonts w:ascii="Times New Roman" w:hAnsi="Times New Roman"/>
          <w:sz w:val="24"/>
          <w:szCs w:val="24"/>
        </w:rPr>
        <w:t xml:space="preserve">ear edge structure spectroscopy; PMN: primary midbrain neurons; </w:t>
      </w:r>
      <w:r w:rsidR="00BC5A10" w:rsidRPr="00D71D88">
        <w:rPr>
          <w:rFonts w:ascii="Times New Roman" w:hAnsi="Times New Roman"/>
          <w:sz w:val="24"/>
          <w:szCs w:val="24"/>
        </w:rPr>
        <w:t xml:space="preserve">BNP: Bionanoprobe; APS: </w:t>
      </w:r>
      <w:r w:rsidR="00906EA7" w:rsidRPr="00D71D88">
        <w:rPr>
          <w:rFonts w:ascii="Times New Roman" w:hAnsi="Times New Roman"/>
          <w:sz w:val="24"/>
          <w:szCs w:val="24"/>
        </w:rPr>
        <w:t xml:space="preserve">Advanced Photon Source; </w:t>
      </w:r>
      <w:r w:rsidR="0002781D" w:rsidRPr="00D71D88">
        <w:rPr>
          <w:rFonts w:ascii="Times New Roman" w:hAnsi="Times New Roman"/>
          <w:sz w:val="24"/>
          <w:szCs w:val="24"/>
          <w:lang w:val="en-GB" w:eastAsia="de-DE" w:bidi="hi-IN"/>
        </w:rPr>
        <w:t xml:space="preserve">MnSOD: manganese superoxide dismutase; DMT1: </w:t>
      </w:r>
      <w:r w:rsidR="0002781D" w:rsidRPr="00D71D88">
        <w:rPr>
          <w:rFonts w:ascii="Times New Roman" w:hAnsi="Times New Roman"/>
          <w:sz w:val="24"/>
          <w:szCs w:val="24"/>
        </w:rPr>
        <w:t>divalent metal transporter;</w:t>
      </w:r>
      <w:r w:rsidR="00781AFD" w:rsidRPr="00D71D88">
        <w:rPr>
          <w:rFonts w:ascii="Times New Roman" w:hAnsi="Times New Roman"/>
          <w:sz w:val="24"/>
          <w:szCs w:val="24"/>
        </w:rPr>
        <w:t xml:space="preserve"> Fpn1: Ferroportin 1,</w:t>
      </w:r>
      <w:r w:rsidR="0002781D" w:rsidRPr="00D71D88">
        <w:rPr>
          <w:rFonts w:ascii="Times New Roman" w:hAnsi="Times New Roman"/>
          <w:sz w:val="24"/>
          <w:szCs w:val="24"/>
        </w:rPr>
        <w:t xml:space="preserve"> </w:t>
      </w:r>
      <w:r w:rsidR="004F0389" w:rsidRPr="00D71D88">
        <w:rPr>
          <w:rFonts w:ascii="Times New Roman" w:hAnsi="Times New Roman"/>
          <w:sz w:val="24"/>
          <w:szCs w:val="24"/>
        </w:rPr>
        <w:t>VGCC : voltage-gated Ca-channels.</w:t>
      </w:r>
    </w:p>
    <w:p w14:paraId="7851C6AB" w14:textId="77777777" w:rsidR="00BC5A10" w:rsidRPr="00D71D88" w:rsidRDefault="00BC5A10" w:rsidP="006250CF">
      <w:pPr>
        <w:spacing w:before="100" w:beforeAutospacing="1" w:after="100" w:afterAutospacing="1" w:line="360" w:lineRule="auto"/>
        <w:jc w:val="both"/>
        <w:rPr>
          <w:rFonts w:ascii="Times New Roman" w:hAnsi="Times New Roman"/>
          <w:sz w:val="24"/>
          <w:szCs w:val="24"/>
        </w:rPr>
      </w:pPr>
    </w:p>
    <w:p w14:paraId="743F887A" w14:textId="77777777" w:rsidR="00BC5A10" w:rsidRPr="00D71D88" w:rsidRDefault="00BC5A10" w:rsidP="006250CF">
      <w:pPr>
        <w:spacing w:before="100" w:beforeAutospacing="1" w:after="100" w:afterAutospacing="1" w:line="360" w:lineRule="auto"/>
        <w:jc w:val="both"/>
        <w:rPr>
          <w:rFonts w:ascii="Times New Roman" w:hAnsi="Times New Roman"/>
          <w:b/>
          <w:sz w:val="24"/>
          <w:szCs w:val="24"/>
        </w:rPr>
      </w:pPr>
    </w:p>
    <w:p w14:paraId="4463A1FD" w14:textId="77777777" w:rsidR="00105C95" w:rsidRPr="00D71D88" w:rsidRDefault="00105C95" w:rsidP="00E20B8E">
      <w:pPr>
        <w:spacing w:before="100" w:beforeAutospacing="1" w:after="100" w:afterAutospacing="1" w:line="360" w:lineRule="auto"/>
        <w:jc w:val="both"/>
        <w:rPr>
          <w:rFonts w:ascii="Arial" w:hAnsi="Arial" w:cs="Arial"/>
          <w:b/>
        </w:rPr>
      </w:pPr>
      <w:r w:rsidRPr="00D71D88">
        <w:rPr>
          <w:rFonts w:ascii="Arial" w:hAnsi="Arial" w:cs="Arial"/>
          <w:b/>
        </w:rPr>
        <w:t>Competing interests</w:t>
      </w:r>
    </w:p>
    <w:p w14:paraId="3D4A2F84" w14:textId="77777777" w:rsidR="00E20B8E" w:rsidRPr="00D71D88" w:rsidRDefault="00E20B8E" w:rsidP="00E20B8E">
      <w:pPr>
        <w:spacing w:before="100" w:beforeAutospacing="1" w:after="100" w:afterAutospacing="1" w:line="360" w:lineRule="auto"/>
        <w:jc w:val="both"/>
        <w:rPr>
          <w:rFonts w:ascii="Times New Roman" w:hAnsi="Times New Roman"/>
          <w:sz w:val="24"/>
          <w:szCs w:val="24"/>
        </w:rPr>
      </w:pPr>
      <w:r w:rsidRPr="00D71D88">
        <w:rPr>
          <w:rFonts w:ascii="Times New Roman" w:hAnsi="Times New Roman"/>
          <w:sz w:val="24"/>
          <w:szCs w:val="24"/>
        </w:rPr>
        <w:t xml:space="preserve">The authors declare that they have no </w:t>
      </w:r>
      <w:r w:rsidR="00105C95" w:rsidRPr="00D71D88">
        <w:rPr>
          <w:rFonts w:ascii="Times New Roman" w:hAnsi="Times New Roman"/>
          <w:sz w:val="24"/>
          <w:szCs w:val="24"/>
        </w:rPr>
        <w:t>competing interests.</w:t>
      </w:r>
    </w:p>
    <w:p w14:paraId="620DB52A" w14:textId="77777777" w:rsidR="00A0300B" w:rsidRPr="00D71D88" w:rsidRDefault="00A0300B" w:rsidP="006250CF">
      <w:pPr>
        <w:spacing w:before="100" w:beforeAutospacing="1" w:after="100" w:afterAutospacing="1" w:line="360" w:lineRule="auto"/>
        <w:jc w:val="both"/>
        <w:rPr>
          <w:rFonts w:ascii="Times New Roman" w:hAnsi="Times New Roman"/>
          <w:b/>
          <w:sz w:val="24"/>
          <w:szCs w:val="24"/>
        </w:rPr>
      </w:pPr>
    </w:p>
    <w:p w14:paraId="42EC00C5" w14:textId="77777777" w:rsidR="00E20B8E" w:rsidRPr="00D71D88" w:rsidRDefault="00E20B8E" w:rsidP="006250CF">
      <w:pPr>
        <w:spacing w:before="100" w:beforeAutospacing="1" w:after="100" w:afterAutospacing="1" w:line="360" w:lineRule="auto"/>
        <w:jc w:val="both"/>
        <w:rPr>
          <w:rFonts w:ascii="Times New Roman" w:hAnsi="Times New Roman"/>
          <w:b/>
          <w:sz w:val="24"/>
          <w:szCs w:val="24"/>
        </w:rPr>
      </w:pPr>
    </w:p>
    <w:p w14:paraId="72E670B6" w14:textId="77777777" w:rsidR="00A0300B" w:rsidRPr="00D71D88" w:rsidRDefault="00A0300B" w:rsidP="006250CF">
      <w:pPr>
        <w:spacing w:before="100" w:beforeAutospacing="1" w:after="100" w:afterAutospacing="1" w:line="360" w:lineRule="auto"/>
        <w:jc w:val="both"/>
        <w:rPr>
          <w:rFonts w:ascii="Arial" w:hAnsi="Arial" w:cs="Arial"/>
          <w:b/>
        </w:rPr>
      </w:pPr>
      <w:r w:rsidRPr="00D71D88">
        <w:rPr>
          <w:rFonts w:ascii="Arial" w:hAnsi="Arial" w:cs="Arial"/>
          <w:b/>
        </w:rPr>
        <w:t xml:space="preserve">Authors’ contribution </w:t>
      </w:r>
    </w:p>
    <w:p w14:paraId="0D7EEC95" w14:textId="6BB70C3A" w:rsidR="00A0300B" w:rsidRPr="00D71D88" w:rsidRDefault="00A0300B" w:rsidP="00A0300B">
      <w:pPr>
        <w:pStyle w:val="StandardWeb"/>
        <w:spacing w:line="384" w:lineRule="auto"/>
        <w:jc w:val="both"/>
      </w:pPr>
      <w:r w:rsidRPr="00D71D88">
        <w:t>TD and PL were involved with the conception, design</w:t>
      </w:r>
      <w:r w:rsidR="00BB0A01" w:rsidRPr="00D71D88">
        <w:t xml:space="preserve"> of experiments</w:t>
      </w:r>
      <w:r w:rsidRPr="00D71D88">
        <w:t>, and interpretation of data. TD, PL, BL and SC performed the experiments</w:t>
      </w:r>
      <w:r w:rsidR="00781AFD" w:rsidRPr="00D71D88">
        <w:t xml:space="preserve"> at the synchrotron</w:t>
      </w:r>
      <w:r w:rsidRPr="00D71D88">
        <w:t xml:space="preserve">. TD and BL were involved with data analysis. </w:t>
      </w:r>
      <w:r w:rsidR="00E20B8E" w:rsidRPr="00D71D88">
        <w:t xml:space="preserve">EC </w:t>
      </w:r>
      <w:r w:rsidR="00781AFD" w:rsidRPr="00D71D88">
        <w:t>performed</w:t>
      </w:r>
      <w:r w:rsidR="00E20B8E" w:rsidRPr="00D71D88">
        <w:t xml:space="preserve"> confocal imaging</w:t>
      </w:r>
      <w:r w:rsidR="00912EB0" w:rsidRPr="00D71D88">
        <w:t xml:space="preserve">, </w:t>
      </w:r>
      <w:r w:rsidR="00781AFD" w:rsidRPr="00D71D88">
        <w:t>Western Blot analysis</w:t>
      </w:r>
      <w:r w:rsidR="00912EB0" w:rsidRPr="00D71D88">
        <w:t xml:space="preserve"> and Mn release experiments</w:t>
      </w:r>
      <w:r w:rsidR="00E20B8E" w:rsidRPr="00D71D88">
        <w:t xml:space="preserve">. </w:t>
      </w:r>
      <w:r w:rsidRPr="00D71D88">
        <w:t>EB prepared cell culture</w:t>
      </w:r>
      <w:r w:rsidR="00FD0B36" w:rsidRPr="00D71D88">
        <w:t>s</w:t>
      </w:r>
      <w:r w:rsidR="00E20B8E" w:rsidRPr="00D71D88">
        <w:t xml:space="preserve"> for all</w:t>
      </w:r>
      <w:r w:rsidR="00FD0B36" w:rsidRPr="00D71D88">
        <w:t xml:space="preserve"> analyse</w:t>
      </w:r>
      <w:r w:rsidRPr="00D71D88">
        <w:t xml:space="preserve">s. </w:t>
      </w:r>
      <w:r w:rsidR="00FD0B36" w:rsidRPr="00D71D88">
        <w:t xml:space="preserve">BM performed the mass spectrometry analysis for the Mn release experiment. </w:t>
      </w:r>
      <w:r w:rsidR="00912EB0" w:rsidRPr="00D71D88">
        <w:t xml:space="preserve">DL and TO supplied the protocol for solubility analyses as well as H4 cell cultures. </w:t>
      </w:r>
      <w:r w:rsidRPr="00D71D88">
        <w:t xml:space="preserve">MB was overall supervising the </w:t>
      </w:r>
      <w:r w:rsidR="00912EB0" w:rsidRPr="00D71D88">
        <w:t xml:space="preserve">research </w:t>
      </w:r>
      <w:r w:rsidR="00E20B8E" w:rsidRPr="00D71D88">
        <w:t xml:space="preserve">at </w:t>
      </w:r>
      <w:r w:rsidR="004B740F" w:rsidRPr="00D71D88">
        <w:t xml:space="preserve">the </w:t>
      </w:r>
      <w:r w:rsidR="00E20B8E" w:rsidRPr="00D71D88">
        <w:t>CNMPB</w:t>
      </w:r>
      <w:r w:rsidRPr="00D71D88">
        <w:t xml:space="preserve">. All authors </w:t>
      </w:r>
      <w:r w:rsidRPr="00D71D88">
        <w:lastRenderedPageBreak/>
        <w:t xml:space="preserve">contributed to the drafting and critical revision of the manuscript and have given final approval </w:t>
      </w:r>
      <w:r w:rsidR="00912EB0" w:rsidRPr="00D71D88">
        <w:t xml:space="preserve">to </w:t>
      </w:r>
      <w:r w:rsidRPr="00D71D88">
        <w:t xml:space="preserve">the </w:t>
      </w:r>
      <w:r w:rsidR="00912EB0" w:rsidRPr="00D71D88">
        <w:t xml:space="preserve">published </w:t>
      </w:r>
      <w:r w:rsidRPr="00D71D88">
        <w:t xml:space="preserve">version. </w:t>
      </w:r>
    </w:p>
    <w:p w14:paraId="5946CA59" w14:textId="77777777" w:rsidR="003C73D7" w:rsidRPr="00D71D88" w:rsidRDefault="003C73D7" w:rsidP="00083EFB">
      <w:pPr>
        <w:spacing w:line="360" w:lineRule="auto"/>
        <w:jc w:val="both"/>
        <w:rPr>
          <w:rFonts w:ascii="Times New Roman" w:hAnsi="Times New Roman"/>
          <w:sz w:val="24"/>
          <w:szCs w:val="24"/>
        </w:rPr>
      </w:pPr>
    </w:p>
    <w:p w14:paraId="0BCD9758" w14:textId="77777777" w:rsidR="00A835F7" w:rsidRPr="00D71D88" w:rsidRDefault="00A835F7" w:rsidP="00083EFB">
      <w:pPr>
        <w:spacing w:line="360" w:lineRule="auto"/>
        <w:jc w:val="both"/>
        <w:rPr>
          <w:rFonts w:ascii="Times New Roman" w:hAnsi="Times New Roman"/>
          <w:sz w:val="24"/>
          <w:szCs w:val="24"/>
        </w:rPr>
      </w:pPr>
    </w:p>
    <w:p w14:paraId="6933CABB" w14:textId="77777777" w:rsidR="003C73D7" w:rsidRPr="00D71D88" w:rsidRDefault="003C73D7" w:rsidP="004C30A4">
      <w:pPr>
        <w:spacing w:line="360" w:lineRule="auto"/>
        <w:jc w:val="both"/>
        <w:rPr>
          <w:rFonts w:ascii="Arial" w:hAnsi="Arial" w:cs="Arial"/>
          <w:b/>
        </w:rPr>
      </w:pPr>
      <w:r w:rsidRPr="00D71D88">
        <w:rPr>
          <w:rFonts w:ascii="Arial" w:hAnsi="Arial" w:cs="Arial"/>
          <w:b/>
        </w:rPr>
        <w:t>Acknowledgements</w:t>
      </w:r>
    </w:p>
    <w:p w14:paraId="02F557E1" w14:textId="09E8C535" w:rsidR="003C73D7" w:rsidRPr="00D71D88" w:rsidRDefault="003C73D7" w:rsidP="000D1D73">
      <w:pPr>
        <w:spacing w:before="100" w:beforeAutospacing="1" w:after="100" w:afterAutospacing="1" w:line="360" w:lineRule="auto"/>
        <w:ind w:firstLine="720"/>
        <w:jc w:val="both"/>
        <w:rPr>
          <w:rFonts w:ascii="Times New Roman" w:hAnsi="Times New Roman"/>
          <w:sz w:val="24"/>
          <w:szCs w:val="24"/>
        </w:rPr>
      </w:pPr>
      <w:r w:rsidRPr="00D71D88">
        <w:rPr>
          <w:rFonts w:ascii="Times New Roman" w:hAnsi="Times New Roman"/>
          <w:sz w:val="24"/>
          <w:szCs w:val="24"/>
        </w:rPr>
        <w:t xml:space="preserve">We thank the Advanced Photon Source </w:t>
      </w:r>
      <w:r w:rsidR="00C62B50" w:rsidRPr="00D71D88">
        <w:rPr>
          <w:rFonts w:ascii="Times New Roman" w:hAnsi="Times New Roman"/>
          <w:sz w:val="24"/>
          <w:szCs w:val="24"/>
        </w:rPr>
        <w:t xml:space="preserve">(APS) </w:t>
      </w:r>
      <w:r w:rsidRPr="00D71D88">
        <w:rPr>
          <w:rFonts w:ascii="Times New Roman" w:hAnsi="Times New Roman"/>
          <w:sz w:val="24"/>
          <w:szCs w:val="24"/>
        </w:rPr>
        <w:t xml:space="preserve">facility </w:t>
      </w:r>
      <w:r w:rsidR="00C62B50" w:rsidRPr="00D71D88">
        <w:rPr>
          <w:rFonts w:ascii="Times New Roman" w:hAnsi="Times New Roman"/>
          <w:sz w:val="24"/>
          <w:szCs w:val="24"/>
        </w:rPr>
        <w:t xml:space="preserve">at the </w:t>
      </w:r>
      <w:r w:rsidRPr="00D71D88">
        <w:rPr>
          <w:rFonts w:ascii="Times New Roman" w:hAnsi="Times New Roman"/>
          <w:sz w:val="24"/>
          <w:szCs w:val="24"/>
        </w:rPr>
        <w:t xml:space="preserve">Argonne </w:t>
      </w:r>
      <w:r w:rsidR="002F3DC5" w:rsidRPr="00D71D88">
        <w:rPr>
          <w:rFonts w:ascii="Times New Roman" w:hAnsi="Times New Roman"/>
          <w:sz w:val="24"/>
          <w:szCs w:val="24"/>
        </w:rPr>
        <w:t xml:space="preserve">National Laboratory </w:t>
      </w:r>
      <w:r w:rsidRPr="00D71D88">
        <w:rPr>
          <w:rFonts w:ascii="Times New Roman" w:hAnsi="Times New Roman"/>
          <w:sz w:val="24"/>
          <w:szCs w:val="24"/>
        </w:rPr>
        <w:t xml:space="preserve">for beam time allocation (Proposal Id </w:t>
      </w:r>
      <w:r w:rsidRPr="00D71D88">
        <w:rPr>
          <w:rFonts w:ascii="Times New Roman" w:hAnsi="Times New Roman"/>
          <w:sz w:val="24"/>
          <w:szCs w:val="24"/>
          <w:lang w:eastAsia="de-DE"/>
        </w:rPr>
        <w:t>29882)</w:t>
      </w:r>
      <w:r w:rsidRPr="00D71D88">
        <w:rPr>
          <w:rFonts w:ascii="Times New Roman" w:hAnsi="Times New Roman"/>
          <w:sz w:val="24"/>
          <w:szCs w:val="24"/>
        </w:rPr>
        <w:t xml:space="preserve"> and excellent working conditions. </w:t>
      </w:r>
      <w:r w:rsidR="002E57E9" w:rsidRPr="00D71D88">
        <w:rPr>
          <w:rFonts w:ascii="Times New Roman" w:hAnsi="Times New Roman"/>
          <w:sz w:val="24"/>
          <w:szCs w:val="24"/>
        </w:rPr>
        <w:t xml:space="preserve">Use of the Advanced Photon Source, an Office of Science User Facility operated for the U.S. Department of Energy (DOE) Office of Science by Argonne National Laboratory, was supported by the U.S. DOE under Contract No. DE-AC02-06CH11357. </w:t>
      </w:r>
      <w:r w:rsidRPr="00D71D88">
        <w:rPr>
          <w:rFonts w:ascii="Times New Roman" w:hAnsi="Times New Roman"/>
          <w:sz w:val="24"/>
          <w:szCs w:val="24"/>
        </w:rPr>
        <w:t xml:space="preserve">The </w:t>
      </w:r>
      <w:r w:rsidR="002F3DC5" w:rsidRPr="00D71D88">
        <w:rPr>
          <w:rFonts w:ascii="Times New Roman" w:hAnsi="Times New Roman"/>
          <w:bCs/>
          <w:sz w:val="24"/>
          <w:szCs w:val="24"/>
        </w:rPr>
        <w:t xml:space="preserve">Cluster of Excellence and DFG Research Center for Nanoscale Microscopy and Molecular Physiology of the Brain </w:t>
      </w:r>
      <w:r w:rsidRPr="00D71D88">
        <w:rPr>
          <w:rFonts w:ascii="Times New Roman" w:hAnsi="Times New Roman"/>
          <w:sz w:val="24"/>
          <w:szCs w:val="24"/>
        </w:rPr>
        <w:t xml:space="preserve">(CNMPB) and the Deutsche Akademische Auslandsdienst (DAAD; PROCOPE program 2011) </w:t>
      </w:r>
      <w:r w:rsidR="002E57E9" w:rsidRPr="00D71D88">
        <w:rPr>
          <w:rFonts w:ascii="Times New Roman" w:hAnsi="Times New Roman"/>
          <w:sz w:val="24"/>
          <w:szCs w:val="24"/>
        </w:rPr>
        <w:t>are</w:t>
      </w:r>
      <w:r w:rsidRPr="00D71D88">
        <w:rPr>
          <w:rFonts w:ascii="Times New Roman" w:hAnsi="Times New Roman"/>
          <w:sz w:val="24"/>
          <w:szCs w:val="24"/>
        </w:rPr>
        <w:t xml:space="preserve"> acknowledged for financial support. </w:t>
      </w:r>
      <w:r w:rsidR="00C62B50" w:rsidRPr="00D71D88">
        <w:rPr>
          <w:rFonts w:ascii="Times New Roman" w:hAnsi="Times New Roman"/>
          <w:sz w:val="24"/>
          <w:szCs w:val="24"/>
        </w:rPr>
        <w:t xml:space="preserve">PL’s work </w:t>
      </w:r>
      <w:r w:rsidR="005C53C9" w:rsidRPr="00D71D88">
        <w:rPr>
          <w:rFonts w:ascii="Times New Roman" w:hAnsi="Times New Roman"/>
          <w:sz w:val="24"/>
          <w:szCs w:val="24"/>
        </w:rPr>
        <w:t>was</w:t>
      </w:r>
      <w:r w:rsidR="00C62B50" w:rsidRPr="00D71D88">
        <w:rPr>
          <w:rFonts w:ascii="Times New Roman" w:hAnsi="Times New Roman"/>
          <w:sz w:val="24"/>
          <w:szCs w:val="24"/>
        </w:rPr>
        <w:t xml:space="preserve"> funded by the Else Kröner-Fresenius-Stiftung. </w:t>
      </w:r>
    </w:p>
    <w:p w14:paraId="19391474" w14:textId="77777777" w:rsidR="003C73D7" w:rsidRPr="00D71D88" w:rsidRDefault="003C73D7" w:rsidP="007D6BC7">
      <w:pPr>
        <w:spacing w:line="360" w:lineRule="auto"/>
        <w:jc w:val="both"/>
        <w:rPr>
          <w:rFonts w:ascii="Times New Roman" w:hAnsi="Times New Roman"/>
          <w:sz w:val="24"/>
          <w:szCs w:val="24"/>
        </w:rPr>
      </w:pPr>
    </w:p>
    <w:p w14:paraId="3DD26515" w14:textId="77777777" w:rsidR="003C73D7" w:rsidRPr="00D71D88" w:rsidRDefault="003C73D7" w:rsidP="00EC1080">
      <w:pPr>
        <w:spacing w:before="100" w:beforeAutospacing="1" w:after="100" w:afterAutospacing="1" w:line="360" w:lineRule="auto"/>
        <w:jc w:val="both"/>
        <w:rPr>
          <w:rFonts w:ascii="Arial" w:hAnsi="Arial" w:cs="Arial"/>
          <w:b/>
          <w:sz w:val="32"/>
          <w:szCs w:val="32"/>
        </w:rPr>
      </w:pPr>
      <w:r w:rsidRPr="00D71D88">
        <w:rPr>
          <w:rFonts w:ascii="Times New Roman" w:hAnsi="Times New Roman"/>
          <w:sz w:val="24"/>
          <w:szCs w:val="24"/>
        </w:rPr>
        <w:br w:type="page"/>
      </w:r>
      <w:r w:rsidR="00A95F5C" w:rsidRPr="00D71D88">
        <w:rPr>
          <w:rFonts w:ascii="Arial" w:hAnsi="Arial" w:cs="Arial"/>
          <w:b/>
          <w:sz w:val="32"/>
          <w:szCs w:val="32"/>
        </w:rPr>
        <w:lastRenderedPageBreak/>
        <w:t>Figures</w:t>
      </w:r>
    </w:p>
    <w:p w14:paraId="4B7CB749" w14:textId="77777777" w:rsidR="00E56853" w:rsidRPr="00D71D88" w:rsidRDefault="003C73D7" w:rsidP="00E56853">
      <w:pPr>
        <w:pStyle w:val="Stylev"/>
      </w:pPr>
      <w:r w:rsidRPr="00D71D88">
        <w:t>Figure 1: Elemental maps of control primary midbrain neurons.</w:t>
      </w:r>
    </w:p>
    <w:p w14:paraId="0A905180" w14:textId="77777777" w:rsidR="00545909" w:rsidRDefault="00214F59" w:rsidP="00563004">
      <w:pPr>
        <w:spacing w:line="360" w:lineRule="auto"/>
        <w:jc w:val="both"/>
        <w:rPr>
          <w:rFonts w:ascii="Times New Roman" w:hAnsi="Times New Roman"/>
          <w:sz w:val="24"/>
          <w:szCs w:val="24"/>
        </w:rPr>
      </w:pPr>
      <w:r w:rsidRPr="00D71D88">
        <w:rPr>
          <w:rFonts w:ascii="Times New Roman" w:hAnsi="Times New Roman"/>
          <w:sz w:val="24"/>
          <w:szCs w:val="24"/>
        </w:rPr>
        <w:t xml:space="preserve">X-ray fluorescence images </w:t>
      </w:r>
      <w:r w:rsidR="003C73D7" w:rsidRPr="00D71D88">
        <w:rPr>
          <w:rFonts w:ascii="Times New Roman" w:hAnsi="Times New Roman"/>
          <w:sz w:val="24"/>
          <w:szCs w:val="24"/>
        </w:rPr>
        <w:t xml:space="preserve">of K, P, S, Ca and Mn </w:t>
      </w:r>
      <w:r w:rsidRPr="00D71D88">
        <w:rPr>
          <w:rFonts w:ascii="Times New Roman" w:hAnsi="Times New Roman"/>
          <w:sz w:val="24"/>
          <w:szCs w:val="24"/>
        </w:rPr>
        <w:t xml:space="preserve">maps </w:t>
      </w:r>
      <w:r w:rsidR="003C73D7" w:rsidRPr="00D71D88">
        <w:rPr>
          <w:rFonts w:ascii="Times New Roman" w:hAnsi="Times New Roman"/>
          <w:sz w:val="24"/>
          <w:szCs w:val="24"/>
        </w:rPr>
        <w:t xml:space="preserve">measured at </w:t>
      </w:r>
      <w:r w:rsidR="007846BC" w:rsidRPr="00D71D88">
        <w:rPr>
          <w:rFonts w:ascii="Times New Roman" w:hAnsi="Times New Roman"/>
          <w:sz w:val="24"/>
          <w:szCs w:val="24"/>
        </w:rPr>
        <w:t xml:space="preserve">photon energy </w:t>
      </w:r>
      <w:r w:rsidR="003C73D7" w:rsidRPr="00D71D88">
        <w:rPr>
          <w:rFonts w:ascii="Times New Roman" w:hAnsi="Times New Roman"/>
          <w:sz w:val="24"/>
          <w:szCs w:val="24"/>
        </w:rPr>
        <w:t>6.57 keV. Image size 60 x 55 µm, pixel size 250 nm, dwell time 300 ms. Rainbow color scale corresponds to elemental concentrations in the range given below each map. Mean elemental concentrations for single cells in µg/cm</w:t>
      </w:r>
      <w:r w:rsidR="003C73D7" w:rsidRPr="00D71D88">
        <w:rPr>
          <w:rFonts w:ascii="Times New Roman" w:hAnsi="Times New Roman"/>
          <w:sz w:val="24"/>
          <w:szCs w:val="24"/>
          <w:vertAlign w:val="superscript"/>
        </w:rPr>
        <w:t xml:space="preserve">2 </w:t>
      </w:r>
      <w:r w:rsidR="003C73D7" w:rsidRPr="00D71D88">
        <w:rPr>
          <w:rFonts w:ascii="Times New Roman" w:hAnsi="Times New Roman"/>
          <w:sz w:val="24"/>
          <w:szCs w:val="24"/>
        </w:rPr>
        <w:t>are given in the table</w:t>
      </w:r>
      <w:r w:rsidR="00DD0D41" w:rsidRPr="00D71D88">
        <w:rPr>
          <w:rFonts w:ascii="Times New Roman" w:hAnsi="Times New Roman"/>
          <w:sz w:val="24"/>
          <w:szCs w:val="24"/>
        </w:rPr>
        <w:t xml:space="preserve"> (n=12)</w:t>
      </w:r>
      <w:r w:rsidR="003C73D7" w:rsidRPr="00D71D88">
        <w:rPr>
          <w:rFonts w:ascii="Times New Roman" w:hAnsi="Times New Roman"/>
          <w:sz w:val="24"/>
          <w:szCs w:val="24"/>
        </w:rPr>
        <w:t>. Scale bar: 20 µm.</w:t>
      </w:r>
    </w:p>
    <w:p w14:paraId="18D5FEE3" w14:textId="666F9479" w:rsidR="007A60CE" w:rsidRPr="00D71D88" w:rsidRDefault="007A60CE" w:rsidP="00563004">
      <w:pPr>
        <w:spacing w:line="360" w:lineRule="auto"/>
        <w:jc w:val="both"/>
        <w:rPr>
          <w:rFonts w:ascii="Times New Roman" w:hAnsi="Times New Roman"/>
          <w:sz w:val="24"/>
          <w:szCs w:val="24"/>
        </w:rPr>
      </w:pPr>
      <w:r>
        <w:rPr>
          <w:rFonts w:ascii="Times New Roman" w:hAnsi="Times New Roman"/>
          <w:noProof/>
          <w:sz w:val="24"/>
          <w:szCs w:val="24"/>
          <w:lang w:val="de-DE" w:eastAsia="de-DE"/>
        </w:rPr>
        <w:drawing>
          <wp:inline distT="0" distB="0" distL="0" distR="0" wp14:anchorId="53C1377F" wp14:editId="0D74E79A">
            <wp:extent cx="5943600" cy="415985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159859"/>
                    </a:xfrm>
                    <a:prstGeom prst="rect">
                      <a:avLst/>
                    </a:prstGeom>
                    <a:noFill/>
                    <a:ln>
                      <a:noFill/>
                    </a:ln>
                  </pic:spPr>
                </pic:pic>
              </a:graphicData>
            </a:graphic>
          </wp:inline>
        </w:drawing>
      </w:r>
    </w:p>
    <w:p w14:paraId="5D935724" w14:textId="77777777" w:rsidR="00E56853" w:rsidRPr="00D71D88" w:rsidRDefault="003C73D7" w:rsidP="00E56853">
      <w:pPr>
        <w:pStyle w:val="Stylev"/>
      </w:pPr>
      <w:r w:rsidRPr="00D71D88">
        <w:t xml:space="preserve">Figure 2: Quantification of elemental concentrations in alpha-synuclein overexpressing neurons and controls. </w:t>
      </w:r>
    </w:p>
    <w:p w14:paraId="7882F064" w14:textId="77777777" w:rsidR="00545909" w:rsidRDefault="003C73D7" w:rsidP="001B7B5A">
      <w:pPr>
        <w:spacing w:line="360" w:lineRule="auto"/>
        <w:jc w:val="both"/>
        <w:rPr>
          <w:rFonts w:ascii="Times New Roman" w:hAnsi="Times New Roman"/>
          <w:sz w:val="24"/>
          <w:szCs w:val="24"/>
        </w:rPr>
      </w:pPr>
      <w:r w:rsidRPr="00D71D88">
        <w:rPr>
          <w:rFonts w:ascii="Times New Roman" w:hAnsi="Times New Roman"/>
          <w:b/>
          <w:sz w:val="24"/>
          <w:szCs w:val="24"/>
        </w:rPr>
        <w:t xml:space="preserve">A. </w:t>
      </w:r>
      <w:r w:rsidRPr="00D71D88">
        <w:rPr>
          <w:rFonts w:ascii="Times New Roman" w:hAnsi="Times New Roman"/>
          <w:sz w:val="24"/>
          <w:szCs w:val="24"/>
        </w:rPr>
        <w:t>Representative photo-micrographs of the primary midbrain neuron culture treated with 500 µM Mn</w:t>
      </w:r>
      <w:r w:rsidRPr="00D71D88">
        <w:rPr>
          <w:rFonts w:ascii="Times New Roman" w:hAnsi="Times New Roman"/>
          <w:sz w:val="24"/>
          <w:szCs w:val="24"/>
          <w:vertAlign w:val="superscript"/>
        </w:rPr>
        <w:t>2+</w:t>
      </w:r>
      <w:r w:rsidRPr="00D71D88">
        <w:rPr>
          <w:rFonts w:ascii="Times New Roman" w:hAnsi="Times New Roman"/>
          <w:sz w:val="24"/>
          <w:szCs w:val="24"/>
        </w:rPr>
        <w:t xml:space="preserve">. Phase contrast image (PhC), GFP fluorescence representing neurons overexpressing αSyn (GFP) and merged image (PhC/GFP). X-ray fluorescence maps show the same cells culture area imaged at cryogenic conditions at photon energy of 10 keV: Zn (green), Mn (red), K (blue) </w:t>
      </w:r>
      <w:r w:rsidRPr="00D71D88">
        <w:rPr>
          <w:rFonts w:ascii="Times New Roman" w:hAnsi="Times New Roman"/>
          <w:sz w:val="24"/>
          <w:szCs w:val="24"/>
        </w:rPr>
        <w:lastRenderedPageBreak/>
        <w:t xml:space="preserve">and a merged map of Zn, Mn and K are shown. Image size 240 x 81 µm, pixel size 1 </w:t>
      </w:r>
      <w:r w:rsidRPr="00D71D88">
        <w:rPr>
          <w:rFonts w:ascii="Times New Roman" w:hAnsi="Times New Roman"/>
          <w:sz w:val="24"/>
          <w:szCs w:val="24"/>
          <w:lang w:val="el-GR"/>
        </w:rPr>
        <w:t>μ</w:t>
      </w:r>
      <w:r w:rsidRPr="00D71D88">
        <w:rPr>
          <w:rFonts w:ascii="Times New Roman" w:hAnsi="Times New Roman"/>
          <w:sz w:val="24"/>
          <w:szCs w:val="24"/>
        </w:rPr>
        <w:t xml:space="preserve">m, dwell time 250 ms. Color scales correspond to elemental concentrations in the ranges given below each map. Arrows point to GFP-positive (αSyn-overexpressing) neurons. </w:t>
      </w:r>
      <w:r w:rsidRPr="00D71D88">
        <w:rPr>
          <w:rFonts w:ascii="Times New Roman" w:hAnsi="Times New Roman"/>
          <w:b/>
          <w:sz w:val="24"/>
          <w:szCs w:val="24"/>
        </w:rPr>
        <w:t xml:space="preserve">B. </w:t>
      </w:r>
      <w:r w:rsidRPr="00D71D88">
        <w:rPr>
          <w:rFonts w:ascii="Times New Roman" w:hAnsi="Times New Roman"/>
          <w:sz w:val="24"/>
          <w:szCs w:val="24"/>
        </w:rPr>
        <w:t>Diagram summarizing elemental concentrations in control neurons (n=40; grey bars) and αSyn-overexpressing neurons (n=18; black bars) in µg/cm</w:t>
      </w:r>
      <w:r w:rsidRPr="00D71D88">
        <w:rPr>
          <w:rFonts w:ascii="Times New Roman" w:hAnsi="Times New Roman"/>
          <w:sz w:val="24"/>
          <w:szCs w:val="24"/>
          <w:vertAlign w:val="superscript"/>
        </w:rPr>
        <w:t>2</w:t>
      </w:r>
      <w:r w:rsidRPr="00D71D88">
        <w:rPr>
          <w:rFonts w:ascii="Times New Roman" w:hAnsi="Times New Roman"/>
          <w:sz w:val="24"/>
          <w:szCs w:val="24"/>
        </w:rPr>
        <w:t xml:space="preserve">. Values are given as means ± S.E. * P&lt;0.05; ** P&lt;0.01; *** P&lt;0.001 according to two-sided Student’s t-test. </w:t>
      </w:r>
    </w:p>
    <w:p w14:paraId="58E5BC29" w14:textId="70F270EE" w:rsidR="007A60CE" w:rsidRPr="00D71D88" w:rsidRDefault="007A60CE" w:rsidP="001B7B5A">
      <w:pPr>
        <w:spacing w:line="360" w:lineRule="auto"/>
        <w:jc w:val="both"/>
        <w:rPr>
          <w:rFonts w:ascii="Times New Roman" w:hAnsi="Times New Roman"/>
          <w:sz w:val="24"/>
          <w:szCs w:val="24"/>
        </w:rPr>
      </w:pPr>
      <w:r>
        <w:rPr>
          <w:rFonts w:ascii="Times New Roman" w:hAnsi="Times New Roman"/>
          <w:noProof/>
          <w:sz w:val="24"/>
          <w:szCs w:val="24"/>
          <w:lang w:val="de-DE" w:eastAsia="de-DE"/>
        </w:rPr>
        <w:lastRenderedPageBreak/>
        <w:drawing>
          <wp:inline distT="0" distB="0" distL="0" distR="0" wp14:anchorId="2D1A0CC8" wp14:editId="741CFBD9">
            <wp:extent cx="5943600" cy="7253618"/>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253618"/>
                    </a:xfrm>
                    <a:prstGeom prst="rect">
                      <a:avLst/>
                    </a:prstGeom>
                    <a:noFill/>
                    <a:ln>
                      <a:noFill/>
                    </a:ln>
                  </pic:spPr>
                </pic:pic>
              </a:graphicData>
            </a:graphic>
          </wp:inline>
        </w:drawing>
      </w:r>
    </w:p>
    <w:p w14:paraId="524D373F" w14:textId="77777777" w:rsidR="00E56853" w:rsidRPr="00D71D88" w:rsidRDefault="003C73D7" w:rsidP="00E56853">
      <w:pPr>
        <w:pStyle w:val="Stylev"/>
      </w:pPr>
      <w:r w:rsidRPr="00D71D88">
        <w:t>Figure 3: Correlation plots of intracellular elemental concentrations.</w:t>
      </w:r>
    </w:p>
    <w:p w14:paraId="774D3CBB" w14:textId="77777777" w:rsidR="003C73D7" w:rsidRDefault="003C73D7" w:rsidP="00EC1080">
      <w:pPr>
        <w:spacing w:line="360" w:lineRule="auto"/>
        <w:jc w:val="both"/>
        <w:rPr>
          <w:rFonts w:ascii="Times New Roman" w:hAnsi="Times New Roman"/>
          <w:sz w:val="24"/>
          <w:szCs w:val="24"/>
        </w:rPr>
      </w:pPr>
      <w:r w:rsidRPr="00D71D88">
        <w:rPr>
          <w:rFonts w:ascii="Times New Roman" w:hAnsi="Times New Roman"/>
          <w:sz w:val="24"/>
          <w:szCs w:val="24"/>
        </w:rPr>
        <w:lastRenderedPageBreak/>
        <w:t>Control neurons (n=40) show a significant correlation between concentrations of Mn and Ca as well as Mn and Fe. Neurons overexpressing</w:t>
      </w:r>
      <w:r w:rsidRPr="00D71D88">
        <w:rPr>
          <w:rFonts w:ascii="Times New Roman" w:hAnsi="Times New Roman"/>
          <w:b/>
          <w:sz w:val="24"/>
          <w:szCs w:val="24"/>
        </w:rPr>
        <w:t xml:space="preserve"> </w:t>
      </w:r>
      <w:r w:rsidRPr="00D71D88">
        <w:rPr>
          <w:rFonts w:ascii="Times New Roman" w:hAnsi="Times New Roman"/>
          <w:sz w:val="24"/>
          <w:szCs w:val="24"/>
        </w:rPr>
        <w:t>αSyn (n=18) show strong correlation between Mn and Cu as well as Mn and Fe. The Pearson’s correlation coefficients (R) and P-values are given for each plot.</w:t>
      </w:r>
    </w:p>
    <w:p w14:paraId="16F6B157" w14:textId="64C7B5EF" w:rsidR="007A60CE" w:rsidRPr="00D71D88" w:rsidRDefault="007A60CE" w:rsidP="00EC1080">
      <w:pPr>
        <w:spacing w:line="360" w:lineRule="auto"/>
        <w:jc w:val="both"/>
        <w:rPr>
          <w:rFonts w:ascii="Times New Roman" w:hAnsi="Times New Roman"/>
          <w:sz w:val="24"/>
          <w:szCs w:val="24"/>
        </w:rPr>
      </w:pPr>
      <w:r>
        <w:rPr>
          <w:rFonts w:ascii="Times New Roman" w:hAnsi="Times New Roman"/>
          <w:noProof/>
          <w:sz w:val="24"/>
          <w:szCs w:val="24"/>
          <w:lang w:val="de-DE" w:eastAsia="de-DE"/>
        </w:rPr>
        <w:drawing>
          <wp:inline distT="0" distB="0" distL="0" distR="0" wp14:anchorId="147AF00B" wp14:editId="0810F8A7">
            <wp:extent cx="5943600" cy="5007613"/>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07613"/>
                    </a:xfrm>
                    <a:prstGeom prst="rect">
                      <a:avLst/>
                    </a:prstGeom>
                    <a:noFill/>
                    <a:ln>
                      <a:noFill/>
                    </a:ln>
                  </pic:spPr>
                </pic:pic>
              </a:graphicData>
            </a:graphic>
          </wp:inline>
        </w:drawing>
      </w:r>
    </w:p>
    <w:p w14:paraId="691FD1C2" w14:textId="77777777" w:rsidR="00E56853" w:rsidRPr="00D71D88" w:rsidRDefault="003C73D7" w:rsidP="00E56853">
      <w:pPr>
        <w:pStyle w:val="Stylev"/>
      </w:pPr>
      <w:r w:rsidRPr="00D71D88">
        <w:t>Figure 4: Elemental maps of control primary midbrain neurons treated with 500 µM Mn</w:t>
      </w:r>
      <w:r w:rsidRPr="00D71D88">
        <w:rPr>
          <w:vertAlign w:val="superscript"/>
        </w:rPr>
        <w:t>2+</w:t>
      </w:r>
      <w:r w:rsidRPr="00D71D88">
        <w:t>.</w:t>
      </w:r>
    </w:p>
    <w:p w14:paraId="04BEFB30" w14:textId="77777777" w:rsidR="00545909" w:rsidRDefault="003C73D7" w:rsidP="000D1D73">
      <w:pPr>
        <w:spacing w:line="360" w:lineRule="auto"/>
        <w:jc w:val="both"/>
        <w:rPr>
          <w:rFonts w:ascii="Times New Roman" w:hAnsi="Times New Roman"/>
          <w:sz w:val="24"/>
          <w:szCs w:val="24"/>
        </w:rPr>
      </w:pPr>
      <w:r w:rsidRPr="00D71D88">
        <w:rPr>
          <w:rFonts w:ascii="Times New Roman" w:hAnsi="Times New Roman"/>
          <w:sz w:val="24"/>
          <w:szCs w:val="24"/>
        </w:rPr>
        <w:t xml:space="preserve">Representative XRF </w:t>
      </w:r>
      <w:r w:rsidR="00545909" w:rsidRPr="00D71D88">
        <w:rPr>
          <w:rFonts w:ascii="Times New Roman" w:hAnsi="Times New Roman"/>
          <w:sz w:val="24"/>
          <w:szCs w:val="24"/>
        </w:rPr>
        <w:t xml:space="preserve">elemental </w:t>
      </w:r>
      <w:r w:rsidRPr="00D71D88">
        <w:rPr>
          <w:rFonts w:ascii="Times New Roman" w:hAnsi="Times New Roman"/>
          <w:sz w:val="24"/>
          <w:szCs w:val="24"/>
        </w:rPr>
        <w:t>maps of P, S, K, Ca, Fe, Mn, Zn and a merged map of Mn/Zn/K imaged at cryogenic conditions by using photon energy of 10 keV. Arrows point Mn-rich areas, partially enriched in Ca and/or Fe. Image size 29 x 17 µm, pixel size 100 nm, dwell time 250 ms. Rainbow scale corresponds to elemental concentrations in the ranges given below each scan. Scale bar: 10 µm.</w:t>
      </w:r>
    </w:p>
    <w:p w14:paraId="0E1FD90A" w14:textId="76A5447F" w:rsidR="007A60CE" w:rsidRPr="00D71D88" w:rsidRDefault="007A60CE" w:rsidP="000D1D73">
      <w:pPr>
        <w:spacing w:line="360" w:lineRule="auto"/>
        <w:jc w:val="both"/>
        <w:rPr>
          <w:rFonts w:ascii="Times New Roman" w:hAnsi="Times New Roman"/>
          <w:sz w:val="24"/>
          <w:szCs w:val="24"/>
        </w:rPr>
      </w:pPr>
      <w:r>
        <w:rPr>
          <w:rFonts w:ascii="Times New Roman" w:hAnsi="Times New Roman"/>
          <w:noProof/>
          <w:sz w:val="24"/>
          <w:szCs w:val="24"/>
          <w:lang w:val="de-DE" w:eastAsia="de-DE"/>
        </w:rPr>
        <w:lastRenderedPageBreak/>
        <w:drawing>
          <wp:inline distT="0" distB="0" distL="0" distR="0" wp14:anchorId="26CC07BA" wp14:editId="60DF76F3">
            <wp:extent cx="5943600" cy="839123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391238"/>
                    </a:xfrm>
                    <a:prstGeom prst="rect">
                      <a:avLst/>
                    </a:prstGeom>
                    <a:noFill/>
                    <a:ln>
                      <a:noFill/>
                    </a:ln>
                  </pic:spPr>
                </pic:pic>
              </a:graphicData>
            </a:graphic>
          </wp:inline>
        </w:drawing>
      </w:r>
    </w:p>
    <w:p w14:paraId="2DB70FA5" w14:textId="77777777" w:rsidR="00E56853" w:rsidRPr="00D71D88" w:rsidRDefault="003C73D7" w:rsidP="00E56853">
      <w:pPr>
        <w:pStyle w:val="Stylev"/>
      </w:pPr>
      <w:r w:rsidRPr="00D71D88">
        <w:lastRenderedPageBreak/>
        <w:t>Figure 5: Elemental maps of primary midbrain neurons over-expressing αSyn treated with 500 µM Mn</w:t>
      </w:r>
      <w:r w:rsidRPr="00D71D88">
        <w:rPr>
          <w:vertAlign w:val="superscript"/>
        </w:rPr>
        <w:t>2+</w:t>
      </w:r>
      <w:r w:rsidRPr="00D71D88">
        <w:t xml:space="preserve">. </w:t>
      </w:r>
    </w:p>
    <w:p w14:paraId="62DFF10D" w14:textId="77777777" w:rsidR="00545909" w:rsidRDefault="003C73D7" w:rsidP="00175E79">
      <w:pPr>
        <w:spacing w:line="360" w:lineRule="auto"/>
        <w:jc w:val="both"/>
        <w:rPr>
          <w:rFonts w:ascii="Times New Roman" w:hAnsi="Times New Roman"/>
          <w:sz w:val="24"/>
          <w:szCs w:val="24"/>
        </w:rPr>
      </w:pPr>
      <w:r w:rsidRPr="00D71D88">
        <w:rPr>
          <w:rFonts w:ascii="Times New Roman" w:hAnsi="Times New Roman"/>
          <w:sz w:val="24"/>
          <w:szCs w:val="24"/>
        </w:rPr>
        <w:t xml:space="preserve">Representative XRF </w:t>
      </w:r>
      <w:r w:rsidR="00545909" w:rsidRPr="00D71D88">
        <w:rPr>
          <w:rFonts w:ascii="Times New Roman" w:hAnsi="Times New Roman"/>
          <w:sz w:val="24"/>
          <w:szCs w:val="24"/>
        </w:rPr>
        <w:t xml:space="preserve">elemental </w:t>
      </w:r>
      <w:r w:rsidRPr="00D71D88">
        <w:rPr>
          <w:rFonts w:ascii="Times New Roman" w:hAnsi="Times New Roman"/>
          <w:sz w:val="24"/>
          <w:szCs w:val="24"/>
        </w:rPr>
        <w:t>maps of P, S, K, Ca, Fe, Mn, Zn and a merged map of Mn/Zn/K imaged at cryogenic conditions and photon energy of 10 keV. Arrows point to Mn-rich areas, which partially are also enriched in Ca and/or Fe. Image size 25 x 19 µm, pixel size 150 nm, dwell time 250 ms. Rainbow scale corresponds to elemental concentrations in the ranges given below each scan. Scale bar: 10 µm.</w:t>
      </w:r>
    </w:p>
    <w:p w14:paraId="77E32E54" w14:textId="640D54F0" w:rsidR="007A60CE" w:rsidRPr="00D71D88" w:rsidRDefault="007A60CE" w:rsidP="00175E79">
      <w:pPr>
        <w:spacing w:line="360" w:lineRule="auto"/>
        <w:jc w:val="both"/>
        <w:rPr>
          <w:rFonts w:ascii="Times New Roman" w:hAnsi="Times New Roman"/>
          <w:sz w:val="24"/>
          <w:szCs w:val="24"/>
        </w:rPr>
      </w:pPr>
      <w:r>
        <w:rPr>
          <w:rFonts w:ascii="Times New Roman" w:hAnsi="Times New Roman"/>
          <w:noProof/>
          <w:sz w:val="24"/>
          <w:szCs w:val="24"/>
          <w:lang w:val="de-DE" w:eastAsia="de-DE"/>
        </w:rPr>
        <w:lastRenderedPageBreak/>
        <w:drawing>
          <wp:inline distT="0" distB="0" distL="0" distR="0" wp14:anchorId="2CECC63A" wp14:editId="7014ABBD">
            <wp:extent cx="5172075" cy="935355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2075" cy="9353550"/>
                    </a:xfrm>
                    <a:prstGeom prst="rect">
                      <a:avLst/>
                    </a:prstGeom>
                    <a:noFill/>
                    <a:ln>
                      <a:noFill/>
                    </a:ln>
                  </pic:spPr>
                </pic:pic>
              </a:graphicData>
            </a:graphic>
          </wp:inline>
        </w:drawing>
      </w:r>
    </w:p>
    <w:p w14:paraId="442F5DD5" w14:textId="77777777" w:rsidR="00E56853" w:rsidRPr="00D71D88" w:rsidRDefault="003C73D7" w:rsidP="00E56853">
      <w:pPr>
        <w:pStyle w:val="Stylev"/>
      </w:pPr>
      <w:r w:rsidRPr="00D71D88">
        <w:lastRenderedPageBreak/>
        <w:t>Figure 6: Elemental maps of primary midbrain neurons over-expressing αSyn treated with 500 µM Mn</w:t>
      </w:r>
      <w:r w:rsidRPr="00D71D88">
        <w:rPr>
          <w:vertAlign w:val="superscript"/>
        </w:rPr>
        <w:t>2+</w:t>
      </w:r>
      <w:r w:rsidRPr="00D71D88">
        <w:t>.</w:t>
      </w:r>
    </w:p>
    <w:p w14:paraId="682F939C" w14:textId="77777777" w:rsidR="00545909" w:rsidRDefault="003C73D7" w:rsidP="00175E79">
      <w:pPr>
        <w:spacing w:line="360" w:lineRule="auto"/>
        <w:jc w:val="both"/>
        <w:rPr>
          <w:rFonts w:ascii="Times New Roman" w:hAnsi="Times New Roman"/>
          <w:sz w:val="24"/>
          <w:szCs w:val="24"/>
        </w:rPr>
      </w:pPr>
      <w:r w:rsidRPr="00D71D88">
        <w:rPr>
          <w:rFonts w:ascii="Times New Roman" w:hAnsi="Times New Roman"/>
          <w:sz w:val="24"/>
          <w:szCs w:val="24"/>
        </w:rPr>
        <w:t xml:space="preserve">Representative XRF </w:t>
      </w:r>
      <w:r w:rsidR="00545909" w:rsidRPr="00D71D88">
        <w:rPr>
          <w:rFonts w:ascii="Times New Roman" w:hAnsi="Times New Roman"/>
          <w:sz w:val="24"/>
          <w:szCs w:val="24"/>
        </w:rPr>
        <w:t xml:space="preserve">elemental </w:t>
      </w:r>
      <w:r w:rsidRPr="00D71D88">
        <w:rPr>
          <w:rFonts w:ascii="Times New Roman" w:hAnsi="Times New Roman"/>
          <w:sz w:val="24"/>
          <w:szCs w:val="24"/>
        </w:rPr>
        <w:t>maps of P, S, K, Ca, Fe, Mn, Zn and a merged map of Mn/Zn/K imaged at cryogenic conditions at photon energy of 10 keV. Arrows point to Mn-rich foci, which partially are also enriched in Ca and/or Fe, in a clearly visualized neurite. Image size 41 x 32 µm, pixel size 150 nm, dwell time 250 ms. Rainbow scale corresponds to elemental concentrations in the ranges given below each scan. Asterisks (*) indicate two cells, which overexpress αSyn. Scale bar: 10 µm.</w:t>
      </w:r>
    </w:p>
    <w:p w14:paraId="6E806EF3" w14:textId="037D32F3" w:rsidR="007A60CE" w:rsidRPr="00D71D88" w:rsidRDefault="007A60CE" w:rsidP="00175E79">
      <w:pPr>
        <w:spacing w:line="360" w:lineRule="auto"/>
        <w:jc w:val="both"/>
        <w:rPr>
          <w:rFonts w:ascii="Times New Roman" w:hAnsi="Times New Roman"/>
          <w:sz w:val="24"/>
          <w:szCs w:val="24"/>
        </w:rPr>
      </w:pPr>
      <w:r>
        <w:rPr>
          <w:rFonts w:ascii="Times New Roman" w:hAnsi="Times New Roman"/>
          <w:noProof/>
          <w:sz w:val="24"/>
          <w:szCs w:val="24"/>
          <w:lang w:val="de-DE" w:eastAsia="de-DE"/>
        </w:rPr>
        <w:lastRenderedPageBreak/>
        <w:drawing>
          <wp:inline distT="0" distB="0" distL="0" distR="0" wp14:anchorId="4CFC507C" wp14:editId="2DA73A88">
            <wp:extent cx="5095875" cy="9289415"/>
            <wp:effectExtent l="0" t="0" r="9525"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9289415"/>
                    </a:xfrm>
                    <a:prstGeom prst="rect">
                      <a:avLst/>
                    </a:prstGeom>
                    <a:noFill/>
                    <a:ln>
                      <a:noFill/>
                    </a:ln>
                  </pic:spPr>
                </pic:pic>
              </a:graphicData>
            </a:graphic>
          </wp:inline>
        </w:drawing>
      </w:r>
    </w:p>
    <w:p w14:paraId="043EC2B5" w14:textId="77777777" w:rsidR="00E56853" w:rsidRPr="00D71D88" w:rsidRDefault="003C73D7" w:rsidP="00E56853">
      <w:pPr>
        <w:pStyle w:val="Stylev"/>
      </w:pPr>
      <w:r w:rsidRPr="00D71D88">
        <w:lastRenderedPageBreak/>
        <w:t>Figure 7: Subcellular distribution of DMT1 and MnS</w:t>
      </w:r>
      <w:r w:rsidR="00E56853" w:rsidRPr="00D71D88">
        <w:t>OD in primary midbrain neurons.</w:t>
      </w:r>
    </w:p>
    <w:p w14:paraId="76C056F8" w14:textId="77777777" w:rsidR="003C73D7" w:rsidRDefault="003C73D7" w:rsidP="00EC1080">
      <w:pPr>
        <w:spacing w:line="360" w:lineRule="auto"/>
        <w:jc w:val="both"/>
        <w:rPr>
          <w:rFonts w:ascii="Times New Roman" w:hAnsi="Times New Roman"/>
          <w:sz w:val="24"/>
          <w:szCs w:val="24"/>
        </w:rPr>
      </w:pPr>
      <w:r w:rsidRPr="00D71D88">
        <w:rPr>
          <w:rFonts w:ascii="Times New Roman" w:hAnsi="Times New Roman"/>
          <w:sz w:val="24"/>
          <w:szCs w:val="24"/>
        </w:rPr>
        <w:t>Representative confocal microscopy image of a primary midbrain culture (immuno)stained for DAPI (</w:t>
      </w:r>
      <w:r w:rsidRPr="00D71D88">
        <w:rPr>
          <w:rFonts w:ascii="Times New Roman" w:hAnsi="Times New Roman"/>
          <w:b/>
          <w:sz w:val="24"/>
          <w:szCs w:val="24"/>
        </w:rPr>
        <w:t>A</w:t>
      </w:r>
      <w:r w:rsidRPr="00D71D88">
        <w:rPr>
          <w:rFonts w:ascii="Times New Roman" w:hAnsi="Times New Roman"/>
          <w:sz w:val="24"/>
          <w:szCs w:val="24"/>
        </w:rPr>
        <w:t>), DMT1 (</w:t>
      </w:r>
      <w:r w:rsidRPr="00D71D88">
        <w:rPr>
          <w:rFonts w:ascii="Times New Roman" w:hAnsi="Times New Roman"/>
          <w:b/>
          <w:sz w:val="24"/>
          <w:szCs w:val="24"/>
        </w:rPr>
        <w:t>B</w:t>
      </w:r>
      <w:r w:rsidRPr="00D71D88">
        <w:rPr>
          <w:rFonts w:ascii="Times New Roman" w:hAnsi="Times New Roman"/>
          <w:sz w:val="24"/>
          <w:szCs w:val="24"/>
        </w:rPr>
        <w:t>) and merge (</w:t>
      </w:r>
      <w:r w:rsidRPr="00D71D88">
        <w:rPr>
          <w:rFonts w:ascii="Times New Roman" w:hAnsi="Times New Roman"/>
          <w:b/>
          <w:sz w:val="24"/>
          <w:szCs w:val="24"/>
        </w:rPr>
        <w:t>C</w:t>
      </w:r>
      <w:r w:rsidRPr="00D71D88">
        <w:rPr>
          <w:rFonts w:ascii="Times New Roman" w:hAnsi="Times New Roman"/>
          <w:sz w:val="24"/>
          <w:szCs w:val="24"/>
        </w:rPr>
        <w:t xml:space="preserve">). Inset in </w:t>
      </w:r>
      <w:r w:rsidRPr="00D71D88">
        <w:rPr>
          <w:rFonts w:ascii="Times New Roman" w:hAnsi="Times New Roman"/>
          <w:b/>
          <w:sz w:val="24"/>
          <w:szCs w:val="24"/>
        </w:rPr>
        <w:t>C</w:t>
      </w:r>
      <w:r w:rsidRPr="00D71D88">
        <w:rPr>
          <w:rFonts w:ascii="Times New Roman" w:hAnsi="Times New Roman"/>
          <w:sz w:val="24"/>
          <w:szCs w:val="24"/>
        </w:rPr>
        <w:t xml:space="preserve"> shows a magnification of DMT1 distribution in a neurite. Representative confocal microscopy image of a primary midbrain culture (immuno)stained for TOM20 (</w:t>
      </w:r>
      <w:r w:rsidRPr="00D71D88">
        <w:rPr>
          <w:rFonts w:ascii="Times New Roman" w:hAnsi="Times New Roman"/>
          <w:b/>
          <w:sz w:val="24"/>
          <w:szCs w:val="24"/>
        </w:rPr>
        <w:t>D</w:t>
      </w:r>
      <w:r w:rsidRPr="00D71D88">
        <w:rPr>
          <w:rFonts w:ascii="Times New Roman" w:hAnsi="Times New Roman"/>
          <w:sz w:val="24"/>
          <w:szCs w:val="24"/>
        </w:rPr>
        <w:t>), MnSOD (</w:t>
      </w:r>
      <w:r w:rsidRPr="00D71D88">
        <w:rPr>
          <w:rFonts w:ascii="Times New Roman" w:hAnsi="Times New Roman"/>
          <w:b/>
          <w:sz w:val="24"/>
          <w:szCs w:val="24"/>
        </w:rPr>
        <w:t>E</w:t>
      </w:r>
      <w:r w:rsidRPr="00D71D88">
        <w:rPr>
          <w:rFonts w:ascii="Times New Roman" w:hAnsi="Times New Roman"/>
          <w:sz w:val="24"/>
          <w:szCs w:val="24"/>
        </w:rPr>
        <w:t>) and merge of both with DAPI (</w:t>
      </w:r>
      <w:r w:rsidRPr="00D71D88">
        <w:rPr>
          <w:rFonts w:ascii="Times New Roman" w:hAnsi="Times New Roman"/>
          <w:b/>
          <w:sz w:val="24"/>
          <w:szCs w:val="24"/>
        </w:rPr>
        <w:t>F</w:t>
      </w:r>
      <w:r w:rsidRPr="00D71D88">
        <w:rPr>
          <w:rFonts w:ascii="Times New Roman" w:hAnsi="Times New Roman"/>
          <w:sz w:val="24"/>
          <w:szCs w:val="24"/>
        </w:rPr>
        <w:t>). Insets show a magnification of DMT1 (</w:t>
      </w:r>
      <w:r w:rsidRPr="00D71D88">
        <w:rPr>
          <w:rFonts w:ascii="Times New Roman" w:hAnsi="Times New Roman"/>
          <w:b/>
          <w:sz w:val="24"/>
          <w:szCs w:val="24"/>
        </w:rPr>
        <w:t>C</w:t>
      </w:r>
      <w:r w:rsidRPr="00D71D88">
        <w:rPr>
          <w:rFonts w:ascii="Times New Roman" w:hAnsi="Times New Roman"/>
          <w:sz w:val="24"/>
          <w:szCs w:val="24"/>
        </w:rPr>
        <w:t>) and TOM20/MnSOD (</w:t>
      </w:r>
      <w:r w:rsidRPr="00D71D88">
        <w:rPr>
          <w:rFonts w:ascii="Times New Roman" w:hAnsi="Times New Roman"/>
          <w:b/>
          <w:sz w:val="24"/>
          <w:szCs w:val="24"/>
        </w:rPr>
        <w:t>F</w:t>
      </w:r>
      <w:r w:rsidRPr="00D71D88">
        <w:rPr>
          <w:rFonts w:ascii="Times New Roman" w:hAnsi="Times New Roman"/>
          <w:sz w:val="24"/>
          <w:szCs w:val="24"/>
        </w:rPr>
        <w:t>) in a neurite. Scale bar: 5μm.</w:t>
      </w:r>
    </w:p>
    <w:p w14:paraId="751848F3" w14:textId="3CE8BF00" w:rsidR="007A60CE" w:rsidRPr="00D71D88" w:rsidRDefault="007A60CE" w:rsidP="00EC1080">
      <w:pPr>
        <w:spacing w:line="360" w:lineRule="auto"/>
        <w:jc w:val="both"/>
        <w:rPr>
          <w:rFonts w:ascii="Times New Roman" w:hAnsi="Times New Roman"/>
          <w:sz w:val="24"/>
          <w:szCs w:val="24"/>
        </w:rPr>
      </w:pPr>
      <w:r>
        <w:rPr>
          <w:rFonts w:ascii="Times New Roman" w:hAnsi="Times New Roman"/>
          <w:noProof/>
          <w:sz w:val="24"/>
          <w:szCs w:val="24"/>
          <w:lang w:val="de-DE" w:eastAsia="de-DE"/>
        </w:rPr>
        <w:drawing>
          <wp:inline distT="0" distB="0" distL="0" distR="0" wp14:anchorId="58B3002B" wp14:editId="1EF068B5">
            <wp:extent cx="5943600" cy="3675369"/>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75369"/>
                    </a:xfrm>
                    <a:prstGeom prst="rect">
                      <a:avLst/>
                    </a:prstGeom>
                    <a:noFill/>
                    <a:ln>
                      <a:noFill/>
                    </a:ln>
                  </pic:spPr>
                </pic:pic>
              </a:graphicData>
            </a:graphic>
          </wp:inline>
        </w:drawing>
      </w:r>
    </w:p>
    <w:p w14:paraId="4BD5514B" w14:textId="77777777" w:rsidR="00E56853" w:rsidRPr="00D71D88" w:rsidRDefault="003C73D7" w:rsidP="00E56853">
      <w:pPr>
        <w:pStyle w:val="Stylev"/>
      </w:pPr>
      <w:r w:rsidRPr="00D71D88">
        <w:t>Figure 8: Determination of Mn oxidation states by XANES analysis.</w:t>
      </w:r>
    </w:p>
    <w:p w14:paraId="519C84FC" w14:textId="77777777" w:rsidR="00C35EE9" w:rsidRDefault="003C73D7" w:rsidP="00C35EE9">
      <w:pPr>
        <w:spacing w:line="360" w:lineRule="auto"/>
        <w:jc w:val="both"/>
        <w:rPr>
          <w:rFonts w:ascii="Times New Roman" w:hAnsi="Times New Roman"/>
          <w:sz w:val="24"/>
          <w:szCs w:val="24"/>
        </w:rPr>
      </w:pPr>
      <w:r w:rsidRPr="00D71D88">
        <w:rPr>
          <w:rFonts w:ascii="Times New Roman" w:hAnsi="Times New Roman"/>
          <w:b/>
          <w:sz w:val="24"/>
          <w:szCs w:val="24"/>
        </w:rPr>
        <w:t xml:space="preserve">A. </w:t>
      </w:r>
      <w:r w:rsidRPr="00D71D88">
        <w:rPr>
          <w:rFonts w:ascii="Times New Roman" w:hAnsi="Times New Roman"/>
          <w:sz w:val="24"/>
          <w:szCs w:val="24"/>
        </w:rPr>
        <w:t>Representative XRF maps of three typical primary midbrain neurons treated with 500 µM Mn</w:t>
      </w:r>
      <w:r w:rsidRPr="00D71D88">
        <w:rPr>
          <w:rFonts w:ascii="Times New Roman" w:hAnsi="Times New Roman"/>
          <w:sz w:val="24"/>
          <w:szCs w:val="24"/>
          <w:vertAlign w:val="superscript"/>
        </w:rPr>
        <w:t>2+</w:t>
      </w:r>
      <w:r w:rsidRPr="00D71D88">
        <w:rPr>
          <w:rFonts w:ascii="Times New Roman" w:hAnsi="Times New Roman"/>
          <w:sz w:val="24"/>
          <w:szCs w:val="24"/>
        </w:rPr>
        <w:t xml:space="preserve">. Cells marked with an asterisk (*) overexpress αSyn. XRF maps of Mn (red), K (green), P (blue) and a merged map at 6.57 keV are shown. Image size 33 x 33 µm, pixel size 250 nm, dwell time 500 ms. The color scales correspond to elemental concentrations in the ranges given below each scan. </w:t>
      </w:r>
      <w:r w:rsidRPr="00D71D88">
        <w:rPr>
          <w:rFonts w:ascii="Times New Roman" w:hAnsi="Times New Roman"/>
          <w:b/>
          <w:sz w:val="24"/>
          <w:szCs w:val="24"/>
        </w:rPr>
        <w:t xml:space="preserve">B. </w:t>
      </w:r>
      <w:r w:rsidRPr="00D71D88">
        <w:rPr>
          <w:rFonts w:ascii="Times New Roman" w:hAnsi="Times New Roman"/>
          <w:sz w:val="24"/>
          <w:szCs w:val="24"/>
        </w:rPr>
        <w:t>X-ray absorption near edge structure (XANES) analysis of Mn accumulates in neurons overexpressing αSyn (n=2; green line</w:t>
      </w:r>
      <w:r w:rsidR="00D74223" w:rsidRPr="00D71D88">
        <w:rPr>
          <w:rFonts w:ascii="Times New Roman" w:hAnsi="Times New Roman"/>
          <w:sz w:val="24"/>
          <w:szCs w:val="24"/>
        </w:rPr>
        <w:t>s</w:t>
      </w:r>
      <w:r w:rsidRPr="00D71D88">
        <w:rPr>
          <w:rFonts w:ascii="Times New Roman" w:hAnsi="Times New Roman"/>
          <w:sz w:val="24"/>
          <w:szCs w:val="24"/>
        </w:rPr>
        <w:t xml:space="preserve"> spectra) and control neurons (n=3; black line</w:t>
      </w:r>
      <w:r w:rsidR="00D74223" w:rsidRPr="00D71D88">
        <w:rPr>
          <w:rFonts w:ascii="Times New Roman" w:hAnsi="Times New Roman"/>
          <w:sz w:val="24"/>
          <w:szCs w:val="24"/>
        </w:rPr>
        <w:t>s</w:t>
      </w:r>
      <w:r w:rsidRPr="00D71D88">
        <w:rPr>
          <w:rFonts w:ascii="Times New Roman" w:hAnsi="Times New Roman"/>
          <w:sz w:val="24"/>
          <w:szCs w:val="24"/>
        </w:rPr>
        <w:t xml:space="preserve"> spectra). Spectra were acquired around the Mn edge at 6.545 keV in a typical Mn-rich area as shown in A. Scans were performed with 0.5 eV steps with 3 s per point. Absorption spectra are </w:t>
      </w:r>
      <w:r w:rsidRPr="00D71D88">
        <w:rPr>
          <w:rFonts w:ascii="Times New Roman" w:hAnsi="Times New Roman"/>
          <w:sz w:val="24"/>
          <w:szCs w:val="24"/>
        </w:rPr>
        <w:lastRenderedPageBreak/>
        <w:t>shown as normalized absorption in arbitrary units. Reference spectra for Mn</w:t>
      </w:r>
      <w:r w:rsidRPr="00D71D88">
        <w:rPr>
          <w:rFonts w:ascii="Times New Roman" w:hAnsi="Times New Roman"/>
          <w:sz w:val="24"/>
          <w:szCs w:val="24"/>
          <w:vertAlign w:val="superscript"/>
        </w:rPr>
        <w:t>2+</w:t>
      </w:r>
      <w:r w:rsidRPr="00D71D88">
        <w:rPr>
          <w:rFonts w:ascii="Times New Roman" w:hAnsi="Times New Roman"/>
          <w:sz w:val="24"/>
          <w:szCs w:val="24"/>
        </w:rPr>
        <w:t xml:space="preserve"> (red line spectrum) and Mn</w:t>
      </w:r>
      <w:r w:rsidRPr="00D71D88">
        <w:rPr>
          <w:rFonts w:ascii="Times New Roman" w:hAnsi="Times New Roman"/>
          <w:sz w:val="24"/>
          <w:szCs w:val="24"/>
          <w:vertAlign w:val="superscript"/>
        </w:rPr>
        <w:t>4+</w:t>
      </w:r>
      <w:r w:rsidRPr="00D71D88">
        <w:rPr>
          <w:rFonts w:ascii="Times New Roman" w:hAnsi="Times New Roman"/>
          <w:sz w:val="24"/>
          <w:szCs w:val="24"/>
        </w:rPr>
        <w:t xml:space="preserve"> (blue line spectrum) are shown. </w:t>
      </w:r>
    </w:p>
    <w:p w14:paraId="07EDAF64" w14:textId="25167B8D" w:rsidR="007A60CE" w:rsidRPr="00D71D88" w:rsidRDefault="007A60CE" w:rsidP="00C35EE9">
      <w:pPr>
        <w:spacing w:line="360" w:lineRule="auto"/>
        <w:jc w:val="both"/>
        <w:rPr>
          <w:rFonts w:ascii="Times New Roman" w:hAnsi="Times New Roman"/>
          <w:sz w:val="24"/>
          <w:szCs w:val="24"/>
        </w:rPr>
      </w:pPr>
      <w:r>
        <w:rPr>
          <w:rFonts w:ascii="Times New Roman" w:hAnsi="Times New Roman"/>
          <w:noProof/>
          <w:sz w:val="24"/>
          <w:szCs w:val="24"/>
          <w:lang w:val="de-DE" w:eastAsia="de-DE"/>
        </w:rPr>
        <w:lastRenderedPageBreak/>
        <w:drawing>
          <wp:inline distT="0" distB="0" distL="0" distR="0" wp14:anchorId="24A259E5" wp14:editId="0961E5C8">
            <wp:extent cx="4476397" cy="8846723"/>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555" cy="8847034"/>
                    </a:xfrm>
                    <a:prstGeom prst="rect">
                      <a:avLst/>
                    </a:prstGeom>
                    <a:noFill/>
                    <a:ln>
                      <a:noFill/>
                    </a:ln>
                  </pic:spPr>
                </pic:pic>
              </a:graphicData>
            </a:graphic>
          </wp:inline>
        </w:drawing>
      </w:r>
    </w:p>
    <w:p w14:paraId="683D2B4D" w14:textId="32B36869" w:rsidR="00D41991" w:rsidRPr="00D71D88" w:rsidRDefault="00D41991" w:rsidP="00D41991">
      <w:pPr>
        <w:pStyle w:val="Stylev"/>
      </w:pPr>
      <w:r w:rsidRPr="00D71D88">
        <w:lastRenderedPageBreak/>
        <w:t>Figure 9: Analysis of Mn transport and Mn release.</w:t>
      </w:r>
    </w:p>
    <w:p w14:paraId="65EEC075" w14:textId="1C45B7C8" w:rsidR="000353C5" w:rsidRPr="00D71D88" w:rsidRDefault="005E1254" w:rsidP="005E1254">
      <w:pPr>
        <w:pStyle w:val="Beschriftung"/>
        <w:spacing w:line="360" w:lineRule="auto"/>
        <w:jc w:val="both"/>
        <w:rPr>
          <w:rFonts w:ascii="Times New Roman" w:eastAsia="SimSun" w:hAnsi="Times New Roman" w:cs="Times New Roman"/>
          <w:b w:val="0"/>
          <w:bCs w:val="0"/>
          <w:color w:val="auto"/>
          <w:sz w:val="24"/>
          <w:szCs w:val="24"/>
          <w:lang w:eastAsia="zh-CN"/>
        </w:rPr>
      </w:pPr>
      <w:r w:rsidRPr="00D71D88">
        <w:rPr>
          <w:rFonts w:ascii="Times New Roman" w:eastAsia="SimSun" w:hAnsi="Times New Roman" w:cs="Times New Roman"/>
          <w:bCs w:val="0"/>
          <w:color w:val="auto"/>
          <w:sz w:val="24"/>
          <w:szCs w:val="24"/>
          <w:lang w:eastAsia="zh-CN"/>
        </w:rPr>
        <w:t>A.</w:t>
      </w:r>
      <w:r w:rsidR="00672E73" w:rsidRPr="00D71D88">
        <w:rPr>
          <w:rFonts w:ascii="Times New Roman" w:eastAsia="SimSun" w:hAnsi="Times New Roman" w:cs="Times New Roman"/>
          <w:b w:val="0"/>
          <w:bCs w:val="0"/>
          <w:color w:val="auto"/>
          <w:sz w:val="24"/>
          <w:szCs w:val="24"/>
          <w:lang w:eastAsia="zh-CN"/>
        </w:rPr>
        <w:t xml:space="preserve"> WB analysis and quantification</w:t>
      </w:r>
      <w:r w:rsidRPr="00D71D88">
        <w:rPr>
          <w:rFonts w:ascii="Times New Roman" w:eastAsia="SimSun" w:hAnsi="Times New Roman" w:cs="Times New Roman"/>
          <w:b w:val="0"/>
          <w:bCs w:val="0"/>
          <w:color w:val="auto"/>
          <w:sz w:val="24"/>
          <w:szCs w:val="24"/>
          <w:lang w:eastAsia="zh-CN"/>
        </w:rPr>
        <w:t xml:space="preserve"> of the most expressed proteins</w:t>
      </w:r>
      <w:r w:rsidR="00FC1764" w:rsidRPr="00D71D88">
        <w:rPr>
          <w:rFonts w:ascii="Times New Roman" w:eastAsia="SimSun" w:hAnsi="Times New Roman" w:cs="Times New Roman"/>
          <w:b w:val="0"/>
          <w:bCs w:val="0"/>
          <w:color w:val="auto"/>
          <w:sz w:val="24"/>
          <w:szCs w:val="24"/>
          <w:lang w:eastAsia="zh-CN"/>
        </w:rPr>
        <w:t xml:space="preserve"> for cellular trafficking of Mn </w:t>
      </w:r>
      <w:r w:rsidRPr="00D71D88">
        <w:rPr>
          <w:rFonts w:ascii="Times New Roman" w:eastAsia="SimSun" w:hAnsi="Times New Roman" w:cs="Times New Roman"/>
          <w:b w:val="0"/>
          <w:bCs w:val="0"/>
          <w:color w:val="auto"/>
          <w:sz w:val="24"/>
          <w:szCs w:val="24"/>
          <w:lang w:eastAsia="zh-CN"/>
        </w:rPr>
        <w:t xml:space="preserve"> </w:t>
      </w:r>
      <w:r w:rsidR="00FC1764" w:rsidRPr="00D71D88">
        <w:rPr>
          <w:rFonts w:ascii="Times New Roman" w:eastAsia="SimSun" w:hAnsi="Times New Roman" w:cs="Times New Roman"/>
          <w:b w:val="0"/>
          <w:bCs w:val="0"/>
          <w:color w:val="auto"/>
          <w:sz w:val="24"/>
          <w:szCs w:val="24"/>
          <w:lang w:eastAsia="zh-CN"/>
        </w:rPr>
        <w:t>(</w:t>
      </w:r>
      <w:r w:rsidRPr="00D71D88">
        <w:rPr>
          <w:rFonts w:ascii="Times New Roman" w:eastAsia="SimSun" w:hAnsi="Times New Roman" w:cs="Times New Roman"/>
          <w:b w:val="0"/>
          <w:bCs w:val="0"/>
          <w:color w:val="auto"/>
          <w:sz w:val="24"/>
          <w:szCs w:val="24"/>
          <w:lang w:eastAsia="zh-CN"/>
        </w:rPr>
        <w:t xml:space="preserve">DMT1 and VGCC </w:t>
      </w:r>
      <w:r w:rsidR="00FC1764" w:rsidRPr="00D71D88">
        <w:rPr>
          <w:rFonts w:ascii="Times New Roman" w:eastAsia="SimSun" w:hAnsi="Times New Roman" w:cs="Times New Roman"/>
          <w:b w:val="0"/>
          <w:bCs w:val="0"/>
          <w:color w:val="auto"/>
          <w:sz w:val="24"/>
          <w:szCs w:val="24"/>
          <w:lang w:eastAsia="zh-CN"/>
        </w:rPr>
        <w:t xml:space="preserve">as </w:t>
      </w:r>
      <w:r w:rsidRPr="00D71D88">
        <w:rPr>
          <w:rFonts w:ascii="Times New Roman" w:eastAsia="SimSun" w:hAnsi="Times New Roman" w:cs="Times New Roman"/>
          <w:b w:val="0"/>
          <w:bCs w:val="0"/>
          <w:color w:val="auto"/>
          <w:sz w:val="24"/>
          <w:szCs w:val="24"/>
          <w:lang w:eastAsia="zh-CN"/>
        </w:rPr>
        <w:t>Mn importers and Fpn1 as Mn exporter</w:t>
      </w:r>
      <w:r w:rsidR="00FC1764" w:rsidRPr="00D71D88">
        <w:rPr>
          <w:rFonts w:ascii="Times New Roman" w:eastAsia="SimSun" w:hAnsi="Times New Roman" w:cs="Times New Roman"/>
          <w:b w:val="0"/>
          <w:bCs w:val="0"/>
          <w:color w:val="auto"/>
          <w:sz w:val="24"/>
          <w:szCs w:val="24"/>
          <w:lang w:eastAsia="zh-CN"/>
        </w:rPr>
        <w:t>)</w:t>
      </w:r>
      <w:r w:rsidRPr="00D71D88">
        <w:rPr>
          <w:rFonts w:ascii="Times New Roman" w:eastAsia="SimSun" w:hAnsi="Times New Roman" w:cs="Times New Roman"/>
          <w:b w:val="0"/>
          <w:bCs w:val="0"/>
          <w:color w:val="auto"/>
          <w:sz w:val="24"/>
          <w:szCs w:val="24"/>
          <w:lang w:eastAsia="zh-CN"/>
        </w:rPr>
        <w:t xml:space="preserve">. </w:t>
      </w:r>
      <w:r w:rsidR="00656B42" w:rsidRPr="00D71D88">
        <w:rPr>
          <w:rFonts w:ascii="Times New Roman" w:eastAsia="SimSun" w:hAnsi="Times New Roman" w:cs="Times New Roman"/>
          <w:b w:val="0"/>
          <w:bCs w:val="0"/>
          <w:color w:val="auto"/>
          <w:sz w:val="24"/>
          <w:szCs w:val="24"/>
          <w:lang w:eastAsia="zh-CN"/>
        </w:rPr>
        <w:t xml:space="preserve">One-way ANOVA did not reveal any significant differences between the different groups, but there was a clear trend for less Fpn1 expression in </w:t>
      </w:r>
      <w:r w:rsidRPr="00D71D88">
        <w:rPr>
          <w:rFonts w:ascii="Times New Roman" w:eastAsia="SimSun" w:hAnsi="Times New Roman" w:cs="Times New Roman"/>
          <w:b w:val="0"/>
          <w:bCs w:val="0"/>
          <w:color w:val="auto"/>
          <w:sz w:val="24"/>
          <w:szCs w:val="24"/>
          <w:lang w:eastAsia="zh-CN"/>
        </w:rPr>
        <w:t>αSyn</w:t>
      </w:r>
      <w:r w:rsidR="00656B42" w:rsidRPr="00D71D88">
        <w:rPr>
          <w:rFonts w:ascii="Times New Roman" w:eastAsia="SimSun" w:hAnsi="Times New Roman" w:cs="Times New Roman"/>
          <w:b w:val="0"/>
          <w:bCs w:val="0"/>
          <w:color w:val="auto"/>
          <w:sz w:val="24"/>
          <w:szCs w:val="24"/>
          <w:lang w:eastAsia="zh-CN"/>
        </w:rPr>
        <w:t>-treated cultures</w:t>
      </w:r>
      <w:r w:rsidRPr="00D71D88">
        <w:rPr>
          <w:rFonts w:ascii="Times New Roman" w:eastAsia="SimSun" w:hAnsi="Times New Roman" w:cs="Times New Roman"/>
          <w:b w:val="0"/>
          <w:bCs w:val="0"/>
          <w:color w:val="auto"/>
          <w:sz w:val="24"/>
          <w:szCs w:val="24"/>
          <w:lang w:eastAsia="zh-CN"/>
        </w:rPr>
        <w:t xml:space="preserve">. </w:t>
      </w:r>
      <w:r w:rsidRPr="00D71D88">
        <w:rPr>
          <w:rFonts w:ascii="Times New Roman" w:eastAsia="SimSun" w:hAnsi="Times New Roman" w:cs="Times New Roman"/>
          <w:bCs w:val="0"/>
          <w:color w:val="auto"/>
          <w:sz w:val="24"/>
          <w:szCs w:val="24"/>
          <w:lang w:eastAsia="zh-CN"/>
        </w:rPr>
        <w:t>B.</w:t>
      </w:r>
      <w:r w:rsidRPr="00D71D88">
        <w:rPr>
          <w:rFonts w:ascii="Times New Roman" w:eastAsia="SimSun" w:hAnsi="Times New Roman" w:cs="Times New Roman"/>
          <w:b w:val="0"/>
          <w:bCs w:val="0"/>
          <w:color w:val="auto"/>
          <w:sz w:val="24"/>
          <w:szCs w:val="24"/>
          <w:lang w:eastAsia="zh-CN"/>
        </w:rPr>
        <w:t xml:space="preserve"> </w:t>
      </w:r>
      <w:r w:rsidR="00220DA1" w:rsidRPr="00D71D88">
        <w:rPr>
          <w:rFonts w:ascii="Times New Roman" w:eastAsia="SimSun" w:hAnsi="Times New Roman" w:cs="Times New Roman"/>
          <w:b w:val="0"/>
          <w:bCs w:val="0"/>
          <w:color w:val="auto"/>
          <w:sz w:val="24"/>
          <w:szCs w:val="24"/>
          <w:lang w:eastAsia="zh-CN"/>
        </w:rPr>
        <w:t>Left: Setup of Mn release experiment</w:t>
      </w:r>
      <w:r w:rsidR="007576C5" w:rsidRPr="00D71D88">
        <w:rPr>
          <w:rFonts w:ascii="Times New Roman" w:eastAsia="SimSun" w:hAnsi="Times New Roman" w:cs="Times New Roman"/>
          <w:b w:val="0"/>
          <w:bCs w:val="0"/>
          <w:color w:val="auto"/>
          <w:sz w:val="24"/>
          <w:szCs w:val="24"/>
          <w:lang w:eastAsia="zh-CN"/>
        </w:rPr>
        <w:t xml:space="preserve">. Right: </w:t>
      </w:r>
      <w:r w:rsidRPr="00D71D88">
        <w:rPr>
          <w:rFonts w:ascii="Times New Roman" w:eastAsia="SimSun" w:hAnsi="Times New Roman" w:cs="Times New Roman"/>
          <w:b w:val="0"/>
          <w:bCs w:val="0"/>
          <w:color w:val="auto"/>
          <w:sz w:val="24"/>
          <w:szCs w:val="24"/>
          <w:lang w:eastAsia="zh-CN"/>
        </w:rPr>
        <w:t xml:space="preserve">percentage of change in the release of Mn between cells transfected with αSyn </w:t>
      </w:r>
      <w:r w:rsidR="007576C5" w:rsidRPr="00D71D88">
        <w:rPr>
          <w:rFonts w:ascii="Times New Roman" w:eastAsia="SimSun" w:hAnsi="Times New Roman" w:cs="Times New Roman"/>
          <w:b w:val="0"/>
          <w:bCs w:val="0"/>
          <w:color w:val="auto"/>
          <w:sz w:val="24"/>
          <w:szCs w:val="24"/>
          <w:lang w:eastAsia="zh-CN"/>
        </w:rPr>
        <w:t>and</w:t>
      </w:r>
      <w:r w:rsidRPr="00D71D88">
        <w:rPr>
          <w:rFonts w:ascii="Times New Roman" w:eastAsia="SimSun" w:hAnsi="Times New Roman" w:cs="Times New Roman"/>
          <w:b w:val="0"/>
          <w:bCs w:val="0"/>
          <w:color w:val="auto"/>
          <w:sz w:val="24"/>
          <w:szCs w:val="24"/>
          <w:lang w:eastAsia="zh-CN"/>
        </w:rPr>
        <w:t xml:space="preserve"> GFP</w:t>
      </w:r>
      <w:r w:rsidR="007576C5" w:rsidRPr="00D71D88">
        <w:rPr>
          <w:rFonts w:ascii="Times New Roman" w:eastAsia="SimSun" w:hAnsi="Times New Roman" w:cs="Times New Roman"/>
          <w:b w:val="0"/>
          <w:bCs w:val="0"/>
          <w:color w:val="auto"/>
          <w:sz w:val="24"/>
          <w:szCs w:val="24"/>
          <w:lang w:eastAsia="zh-CN"/>
        </w:rPr>
        <w:t xml:space="preserve"> (control)</w:t>
      </w:r>
      <w:r w:rsidRPr="00D71D88">
        <w:rPr>
          <w:rFonts w:ascii="Times New Roman" w:eastAsia="SimSun" w:hAnsi="Times New Roman" w:cs="Times New Roman"/>
          <w:b w:val="0"/>
          <w:bCs w:val="0"/>
          <w:color w:val="auto"/>
          <w:sz w:val="24"/>
          <w:szCs w:val="24"/>
          <w:lang w:eastAsia="zh-CN"/>
        </w:rPr>
        <w:t xml:space="preserve">. </w:t>
      </w:r>
      <w:r w:rsidR="00E124CC" w:rsidRPr="00D71D88">
        <w:rPr>
          <w:rFonts w:ascii="Times New Roman" w:eastAsia="SimSun" w:hAnsi="Times New Roman" w:cs="Times New Roman"/>
          <w:b w:val="0"/>
          <w:bCs w:val="0"/>
          <w:color w:val="auto"/>
          <w:sz w:val="24"/>
          <w:szCs w:val="24"/>
          <w:lang w:eastAsia="zh-CN"/>
        </w:rPr>
        <w:t xml:space="preserve">In </w:t>
      </w:r>
      <w:r w:rsidRPr="00D71D88">
        <w:rPr>
          <w:rFonts w:ascii="Times New Roman" w:eastAsia="SimSun" w:hAnsi="Times New Roman" w:cs="Times New Roman"/>
          <w:b w:val="0"/>
          <w:bCs w:val="0"/>
          <w:color w:val="auto"/>
          <w:sz w:val="24"/>
          <w:szCs w:val="24"/>
          <w:lang w:eastAsia="zh-CN"/>
        </w:rPr>
        <w:t>αSyn</w:t>
      </w:r>
      <w:r w:rsidR="00E124CC" w:rsidRPr="00D71D88">
        <w:rPr>
          <w:rFonts w:ascii="Times New Roman" w:eastAsia="SimSun" w:hAnsi="Times New Roman" w:cs="Times New Roman"/>
          <w:b w:val="0"/>
          <w:bCs w:val="0"/>
          <w:color w:val="auto"/>
          <w:sz w:val="24"/>
          <w:szCs w:val="24"/>
          <w:lang w:eastAsia="zh-CN"/>
        </w:rPr>
        <w:t>-overexpressing cultures</w:t>
      </w:r>
      <w:r w:rsidR="001219C4" w:rsidRPr="00D71D88">
        <w:rPr>
          <w:rFonts w:ascii="Times New Roman" w:eastAsia="SimSun" w:hAnsi="Times New Roman" w:cs="Times New Roman"/>
          <w:b w:val="0"/>
          <w:bCs w:val="0"/>
          <w:color w:val="auto"/>
          <w:sz w:val="24"/>
          <w:szCs w:val="24"/>
          <w:lang w:eastAsia="zh-CN"/>
        </w:rPr>
        <w:t>,</w:t>
      </w:r>
      <w:r w:rsidRPr="00D71D88">
        <w:rPr>
          <w:rFonts w:ascii="Times New Roman" w:eastAsia="SimSun" w:hAnsi="Times New Roman" w:cs="Times New Roman"/>
          <w:b w:val="0"/>
          <w:bCs w:val="0"/>
          <w:color w:val="auto"/>
          <w:sz w:val="24"/>
          <w:szCs w:val="24"/>
          <w:lang w:eastAsia="zh-CN"/>
        </w:rPr>
        <w:t xml:space="preserve"> the release of Mn in</w:t>
      </w:r>
      <w:r w:rsidR="00E124CC" w:rsidRPr="00D71D88">
        <w:rPr>
          <w:rFonts w:ascii="Times New Roman" w:eastAsia="SimSun" w:hAnsi="Times New Roman" w:cs="Times New Roman"/>
          <w:b w:val="0"/>
          <w:bCs w:val="0"/>
          <w:color w:val="auto"/>
          <w:sz w:val="24"/>
          <w:szCs w:val="24"/>
          <w:lang w:eastAsia="zh-CN"/>
        </w:rPr>
        <w:t>to</w:t>
      </w:r>
      <w:r w:rsidRPr="00D71D88">
        <w:rPr>
          <w:rFonts w:ascii="Times New Roman" w:eastAsia="SimSun" w:hAnsi="Times New Roman" w:cs="Times New Roman"/>
          <w:b w:val="0"/>
          <w:bCs w:val="0"/>
          <w:color w:val="auto"/>
          <w:sz w:val="24"/>
          <w:szCs w:val="24"/>
          <w:lang w:eastAsia="zh-CN"/>
        </w:rPr>
        <w:t xml:space="preserve"> the culture medium was reduced </w:t>
      </w:r>
      <w:r w:rsidR="001219C4" w:rsidRPr="00D71D88">
        <w:rPr>
          <w:rFonts w:ascii="Times New Roman" w:eastAsia="SimSun" w:hAnsi="Times New Roman" w:cs="Times New Roman"/>
          <w:b w:val="0"/>
          <w:bCs w:val="0"/>
          <w:color w:val="auto"/>
          <w:sz w:val="24"/>
          <w:szCs w:val="24"/>
          <w:lang w:eastAsia="zh-CN"/>
        </w:rPr>
        <w:t xml:space="preserve">as compared to </w:t>
      </w:r>
      <w:r w:rsidR="00E124CC" w:rsidRPr="00D71D88">
        <w:rPr>
          <w:rFonts w:ascii="Times New Roman" w:eastAsia="SimSun" w:hAnsi="Times New Roman" w:cs="Times New Roman"/>
          <w:b w:val="0"/>
          <w:bCs w:val="0"/>
          <w:color w:val="auto"/>
          <w:sz w:val="24"/>
          <w:szCs w:val="24"/>
          <w:lang w:eastAsia="zh-CN"/>
        </w:rPr>
        <w:t>GFP control transfected cells</w:t>
      </w:r>
      <w:r w:rsidRPr="00D71D88">
        <w:rPr>
          <w:rFonts w:ascii="Times New Roman" w:eastAsia="SimSun" w:hAnsi="Times New Roman" w:cs="Times New Roman"/>
          <w:b w:val="0"/>
          <w:bCs w:val="0"/>
          <w:color w:val="auto"/>
          <w:sz w:val="24"/>
          <w:szCs w:val="24"/>
          <w:lang w:eastAsia="zh-CN"/>
        </w:rPr>
        <w:t>.</w:t>
      </w:r>
      <w:r w:rsidR="00A81E17" w:rsidRPr="00D71D88">
        <w:rPr>
          <w:rFonts w:ascii="Times New Roman" w:eastAsia="SimSun" w:hAnsi="Times New Roman" w:cs="Times New Roman"/>
          <w:b w:val="0"/>
          <w:bCs w:val="0"/>
          <w:color w:val="auto"/>
          <w:sz w:val="24"/>
          <w:szCs w:val="24"/>
          <w:lang w:eastAsia="zh-CN"/>
        </w:rPr>
        <w:t xml:space="preserve"> ** P&lt; 0.01 according to </w:t>
      </w:r>
      <w:r w:rsidR="00C95C1D" w:rsidRPr="00D71D88">
        <w:rPr>
          <w:rFonts w:ascii="Times New Roman" w:eastAsia="SimSun" w:hAnsi="Times New Roman" w:cs="Times New Roman"/>
          <w:b w:val="0"/>
          <w:bCs w:val="0"/>
          <w:color w:val="auto"/>
          <w:sz w:val="24"/>
          <w:szCs w:val="24"/>
          <w:lang w:eastAsia="zh-CN"/>
        </w:rPr>
        <w:t xml:space="preserve">a </w:t>
      </w:r>
      <w:r w:rsidR="00A81E17" w:rsidRPr="00D71D88">
        <w:rPr>
          <w:rFonts w:ascii="Times New Roman" w:eastAsia="SimSun" w:hAnsi="Times New Roman" w:cs="Times New Roman"/>
          <w:b w:val="0"/>
          <w:bCs w:val="0"/>
          <w:color w:val="auto"/>
          <w:sz w:val="24"/>
          <w:szCs w:val="24"/>
          <w:lang w:eastAsia="zh-CN"/>
        </w:rPr>
        <w:t>one-sample t-test</w:t>
      </w:r>
      <w:r w:rsidR="00C95C1D" w:rsidRPr="00D71D88">
        <w:rPr>
          <w:rFonts w:ascii="Times New Roman" w:eastAsia="SimSun" w:hAnsi="Times New Roman" w:cs="Times New Roman"/>
          <w:b w:val="0"/>
          <w:bCs w:val="0"/>
          <w:color w:val="auto"/>
          <w:sz w:val="24"/>
          <w:szCs w:val="24"/>
          <w:lang w:eastAsia="zh-CN"/>
        </w:rPr>
        <w:t>.</w:t>
      </w:r>
    </w:p>
    <w:p w14:paraId="5EEA9403" w14:textId="1D06CE9C" w:rsidR="00D41991" w:rsidRPr="00D71D88" w:rsidRDefault="007A60CE" w:rsidP="00C35EE9">
      <w:pPr>
        <w:spacing w:line="360" w:lineRule="auto"/>
        <w:jc w:val="both"/>
        <w:rPr>
          <w:rFonts w:ascii="Times New Roman" w:hAnsi="Times New Roman"/>
          <w:sz w:val="24"/>
          <w:szCs w:val="24"/>
        </w:rPr>
      </w:pPr>
      <w:r>
        <w:rPr>
          <w:rFonts w:ascii="Times New Roman" w:hAnsi="Times New Roman"/>
          <w:noProof/>
          <w:sz w:val="24"/>
          <w:szCs w:val="24"/>
          <w:lang w:val="de-DE" w:eastAsia="de-DE"/>
        </w:rPr>
        <w:drawing>
          <wp:inline distT="0" distB="0" distL="0" distR="0" wp14:anchorId="38D76B0E" wp14:editId="4AA15912">
            <wp:extent cx="5943600" cy="3896975"/>
            <wp:effectExtent l="0" t="0" r="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96975"/>
                    </a:xfrm>
                    <a:prstGeom prst="rect">
                      <a:avLst/>
                    </a:prstGeom>
                    <a:noFill/>
                    <a:ln>
                      <a:noFill/>
                    </a:ln>
                  </pic:spPr>
                </pic:pic>
              </a:graphicData>
            </a:graphic>
          </wp:inline>
        </w:drawing>
      </w:r>
    </w:p>
    <w:p w14:paraId="1CF376D6" w14:textId="66A7F793" w:rsidR="00BD107F" w:rsidRPr="00D71D88" w:rsidRDefault="00BD107F" w:rsidP="00C35EE9">
      <w:pPr>
        <w:spacing w:after="0" w:line="360" w:lineRule="auto"/>
        <w:jc w:val="both"/>
        <w:rPr>
          <w:rFonts w:ascii="Arial" w:hAnsi="Arial" w:cs="Arial"/>
          <w:b/>
          <w:sz w:val="32"/>
          <w:szCs w:val="32"/>
        </w:rPr>
      </w:pPr>
      <w:r w:rsidRPr="00D71D88">
        <w:rPr>
          <w:rFonts w:ascii="Arial" w:hAnsi="Arial" w:cs="Arial"/>
          <w:b/>
          <w:sz w:val="32"/>
          <w:szCs w:val="32"/>
        </w:rPr>
        <w:t>Additional file</w:t>
      </w:r>
      <w:r w:rsidR="006847D1" w:rsidRPr="00D71D88">
        <w:rPr>
          <w:rFonts w:ascii="Arial" w:hAnsi="Arial" w:cs="Arial"/>
          <w:b/>
          <w:sz w:val="32"/>
          <w:szCs w:val="32"/>
        </w:rPr>
        <w:t>s</w:t>
      </w:r>
    </w:p>
    <w:p w14:paraId="4322C28A" w14:textId="77777777" w:rsidR="00BD107F" w:rsidRPr="00D71D88" w:rsidRDefault="00BD107F" w:rsidP="00BD107F">
      <w:pPr>
        <w:pStyle w:val="Stylev"/>
      </w:pPr>
      <w:r w:rsidRPr="00D71D88">
        <w:t xml:space="preserve">Additional </w:t>
      </w:r>
      <w:r w:rsidR="003C73D7" w:rsidRPr="00D71D88">
        <w:t>Figure S1: Over-expression of αSyn in pr</w:t>
      </w:r>
      <w:r w:rsidRPr="00D71D88">
        <w:t>imary midbrain neuron cultures.</w:t>
      </w:r>
    </w:p>
    <w:p w14:paraId="278DF6F6" w14:textId="77777777" w:rsidR="003C73D7" w:rsidRPr="00D71D88" w:rsidRDefault="003C73D7" w:rsidP="00C35EE9">
      <w:pPr>
        <w:spacing w:after="0" w:line="360" w:lineRule="auto"/>
        <w:jc w:val="both"/>
        <w:rPr>
          <w:rFonts w:ascii="Times New Roman" w:hAnsi="Times New Roman"/>
          <w:sz w:val="24"/>
          <w:szCs w:val="24"/>
        </w:rPr>
      </w:pPr>
      <w:r w:rsidRPr="00D71D88">
        <w:rPr>
          <w:rFonts w:ascii="Times New Roman" w:hAnsi="Times New Roman"/>
          <w:sz w:val="24"/>
          <w:szCs w:val="24"/>
        </w:rPr>
        <w:t xml:space="preserve">PMN cultures were transfected with </w:t>
      </w:r>
      <w:r w:rsidRPr="00D71D88">
        <w:rPr>
          <w:rFonts w:ascii="Times New Roman" w:hAnsi="Times New Roman"/>
          <w:bCs/>
          <w:sz w:val="24"/>
          <w:szCs w:val="24"/>
        </w:rPr>
        <w:t>p.αSyn-WT</w:t>
      </w:r>
      <w:r w:rsidRPr="00D71D88">
        <w:rPr>
          <w:rFonts w:ascii="Times New Roman" w:hAnsi="Times New Roman"/>
          <w:sz w:val="24"/>
          <w:szCs w:val="24"/>
        </w:rPr>
        <w:t xml:space="preserve"> while control cultures were transfected with </w:t>
      </w:r>
      <w:r w:rsidRPr="00D71D88">
        <w:rPr>
          <w:rFonts w:ascii="Times New Roman" w:hAnsi="Times New Roman"/>
          <w:bCs/>
          <w:sz w:val="24"/>
          <w:szCs w:val="24"/>
        </w:rPr>
        <w:t>p.EGFP</w:t>
      </w:r>
      <w:r w:rsidRPr="00D71D88">
        <w:rPr>
          <w:rFonts w:ascii="Times New Roman" w:hAnsi="Times New Roman"/>
          <w:sz w:val="24"/>
          <w:szCs w:val="24"/>
        </w:rPr>
        <w:t>. The protein blot detection was made with a pan-α-synuclein antibody showing that transfected cells had a significantly higher α-synuclein expression (</w:t>
      </w:r>
      <w:r w:rsidRPr="00D71D88">
        <w:rPr>
          <w:rFonts w:ascii="Times New Roman" w:hAnsi="Times New Roman"/>
          <w:b/>
          <w:sz w:val="24"/>
          <w:szCs w:val="24"/>
        </w:rPr>
        <w:t>A</w:t>
      </w:r>
      <w:r w:rsidRPr="00D71D88">
        <w:rPr>
          <w:rFonts w:ascii="Times New Roman" w:hAnsi="Times New Roman"/>
          <w:sz w:val="24"/>
          <w:szCs w:val="24"/>
        </w:rPr>
        <w:t xml:space="preserve">). Representative images of a PMN culture transfected with </w:t>
      </w:r>
      <w:r w:rsidRPr="00D71D88">
        <w:rPr>
          <w:rFonts w:ascii="Times New Roman" w:hAnsi="Times New Roman"/>
          <w:bCs/>
          <w:sz w:val="24"/>
          <w:szCs w:val="24"/>
        </w:rPr>
        <w:t>p.αSyn-WT</w:t>
      </w:r>
      <w:r w:rsidRPr="00D71D88">
        <w:rPr>
          <w:rFonts w:ascii="Times New Roman" w:hAnsi="Times New Roman"/>
          <w:sz w:val="24"/>
          <w:szCs w:val="24"/>
        </w:rPr>
        <w:t xml:space="preserve"> immunostained with a pan-α-synuclein antibody. </w:t>
      </w:r>
      <w:r w:rsidRPr="00D71D88">
        <w:rPr>
          <w:rFonts w:ascii="Times New Roman" w:hAnsi="Times New Roman"/>
          <w:sz w:val="24"/>
          <w:szCs w:val="24"/>
        </w:rPr>
        <w:lastRenderedPageBreak/>
        <w:t xml:space="preserve">EGFP fluorescence (co-expressed by the </w:t>
      </w:r>
      <w:r w:rsidRPr="00D71D88">
        <w:rPr>
          <w:rFonts w:ascii="Times New Roman" w:hAnsi="Times New Roman"/>
          <w:bCs/>
          <w:sz w:val="24"/>
          <w:szCs w:val="24"/>
        </w:rPr>
        <w:t>p.αSyn-WT)</w:t>
      </w:r>
      <w:r w:rsidRPr="00D71D88">
        <w:rPr>
          <w:rFonts w:ascii="Times New Roman" w:hAnsi="Times New Roman"/>
          <w:sz w:val="24"/>
          <w:szCs w:val="24"/>
        </w:rPr>
        <w:t xml:space="preserve"> confirms transfection. Scale bars: 20 μm (</w:t>
      </w:r>
      <w:r w:rsidRPr="00D71D88">
        <w:rPr>
          <w:rFonts w:ascii="Times New Roman" w:hAnsi="Times New Roman"/>
          <w:b/>
          <w:sz w:val="24"/>
          <w:szCs w:val="24"/>
        </w:rPr>
        <w:t>B</w:t>
      </w:r>
      <w:r w:rsidRPr="00D71D88">
        <w:rPr>
          <w:rFonts w:ascii="Times New Roman" w:hAnsi="Times New Roman"/>
          <w:sz w:val="24"/>
          <w:szCs w:val="24"/>
        </w:rPr>
        <w:t xml:space="preserve">). </w:t>
      </w:r>
    </w:p>
    <w:p w14:paraId="62C1C364" w14:textId="0C38F5CC" w:rsidR="00B21697" w:rsidRPr="00D71D88" w:rsidRDefault="007A60CE" w:rsidP="00C35EE9">
      <w:pPr>
        <w:spacing w:after="0" w:line="360" w:lineRule="auto"/>
        <w:jc w:val="both"/>
        <w:rPr>
          <w:rFonts w:ascii="Times New Roman" w:hAnsi="Times New Roman"/>
          <w:b/>
          <w:sz w:val="24"/>
          <w:szCs w:val="24"/>
        </w:rPr>
      </w:pPr>
      <w:r>
        <w:rPr>
          <w:rFonts w:ascii="Times New Roman" w:hAnsi="Times New Roman"/>
          <w:b/>
          <w:noProof/>
          <w:sz w:val="24"/>
          <w:szCs w:val="24"/>
          <w:lang w:val="de-DE" w:eastAsia="de-DE"/>
        </w:rPr>
        <w:drawing>
          <wp:inline distT="0" distB="0" distL="0" distR="0" wp14:anchorId="5C9D8C85" wp14:editId="7070A097">
            <wp:extent cx="5943600" cy="25601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60150"/>
                    </a:xfrm>
                    <a:prstGeom prst="rect">
                      <a:avLst/>
                    </a:prstGeom>
                    <a:noFill/>
                    <a:ln>
                      <a:noFill/>
                    </a:ln>
                  </pic:spPr>
                </pic:pic>
              </a:graphicData>
            </a:graphic>
          </wp:inline>
        </w:drawing>
      </w:r>
    </w:p>
    <w:p w14:paraId="15406725" w14:textId="0406C4D7" w:rsidR="00B21697" w:rsidRPr="00D71D88" w:rsidRDefault="00B21697" w:rsidP="00B21697">
      <w:pPr>
        <w:pStyle w:val="Stylev"/>
      </w:pPr>
      <w:r w:rsidRPr="00D71D88">
        <w:t>Additional Figure S2: Cytotoxicity of αSyn overexpression and Mn treatment.</w:t>
      </w:r>
    </w:p>
    <w:p w14:paraId="14E2A890" w14:textId="124E530D" w:rsidR="006847D1" w:rsidRPr="00D71D88" w:rsidRDefault="006847D1" w:rsidP="006847D1">
      <w:pPr>
        <w:spacing w:after="0" w:line="360" w:lineRule="auto"/>
        <w:jc w:val="both"/>
        <w:rPr>
          <w:rFonts w:ascii="Times New Roman" w:hAnsi="Times New Roman"/>
          <w:sz w:val="24"/>
          <w:szCs w:val="24"/>
        </w:rPr>
      </w:pPr>
      <w:r w:rsidRPr="00D71D88">
        <w:rPr>
          <w:rFonts w:ascii="Times New Roman" w:hAnsi="Times New Roman"/>
          <w:sz w:val="24"/>
          <w:szCs w:val="24"/>
        </w:rPr>
        <w:t xml:space="preserve">Cytotoxicity </w:t>
      </w:r>
      <w:r w:rsidR="002B09E9" w:rsidRPr="00D71D88">
        <w:rPr>
          <w:rFonts w:ascii="Times New Roman" w:hAnsi="Times New Roman"/>
          <w:sz w:val="24"/>
          <w:szCs w:val="24"/>
        </w:rPr>
        <w:t xml:space="preserve">was quantified by assessment of adenylate kinase release. </w:t>
      </w:r>
      <w:r w:rsidRPr="00D71D88">
        <w:rPr>
          <w:rFonts w:ascii="Times New Roman" w:hAnsi="Times New Roman"/>
          <w:sz w:val="24"/>
          <w:szCs w:val="24"/>
        </w:rPr>
        <w:t xml:space="preserve">Values are shown as </w:t>
      </w:r>
      <w:r w:rsidR="002B09E9" w:rsidRPr="00D71D88">
        <w:rPr>
          <w:rFonts w:ascii="Times New Roman" w:hAnsi="Times New Roman"/>
          <w:sz w:val="24"/>
          <w:szCs w:val="24"/>
        </w:rPr>
        <w:t xml:space="preserve">arbitrary unites </w:t>
      </w:r>
      <w:r w:rsidRPr="00D71D88">
        <w:rPr>
          <w:rFonts w:ascii="Times New Roman" w:hAnsi="Times New Roman"/>
          <w:sz w:val="24"/>
          <w:szCs w:val="24"/>
        </w:rPr>
        <w:t xml:space="preserve">relative to GFP </w:t>
      </w:r>
      <w:r w:rsidR="002B09E9" w:rsidRPr="00D71D88">
        <w:rPr>
          <w:rFonts w:ascii="Times New Roman" w:hAnsi="Times New Roman"/>
          <w:sz w:val="24"/>
          <w:szCs w:val="24"/>
        </w:rPr>
        <w:t>(+</w:t>
      </w:r>
      <w:r w:rsidRPr="00D71D88">
        <w:rPr>
          <w:rFonts w:ascii="Times New Roman" w:hAnsi="Times New Roman"/>
          <w:sz w:val="24"/>
          <w:szCs w:val="24"/>
        </w:rPr>
        <w:t>SEM</w:t>
      </w:r>
      <w:r w:rsidR="002B09E9" w:rsidRPr="00D71D88">
        <w:rPr>
          <w:rFonts w:ascii="Times New Roman" w:hAnsi="Times New Roman"/>
          <w:sz w:val="24"/>
          <w:szCs w:val="24"/>
        </w:rPr>
        <w:t>)</w:t>
      </w:r>
      <w:r w:rsidRPr="00D71D88">
        <w:rPr>
          <w:rFonts w:ascii="Times New Roman" w:hAnsi="Times New Roman"/>
          <w:sz w:val="24"/>
          <w:szCs w:val="24"/>
        </w:rPr>
        <w:t>. One way</w:t>
      </w:r>
      <w:r w:rsidR="004C1108" w:rsidRPr="00D71D88">
        <w:rPr>
          <w:rFonts w:ascii="Times New Roman" w:hAnsi="Times New Roman"/>
          <w:sz w:val="24"/>
          <w:szCs w:val="24"/>
        </w:rPr>
        <w:t>-</w:t>
      </w:r>
      <w:r w:rsidR="002B09E9" w:rsidRPr="00D71D88">
        <w:rPr>
          <w:rFonts w:ascii="Times New Roman" w:hAnsi="Times New Roman"/>
          <w:sz w:val="24"/>
          <w:szCs w:val="24"/>
        </w:rPr>
        <w:t>ANOVA</w:t>
      </w:r>
      <w:r w:rsidRPr="00D71D88">
        <w:rPr>
          <w:rFonts w:ascii="Times New Roman" w:hAnsi="Times New Roman"/>
          <w:sz w:val="24"/>
          <w:szCs w:val="24"/>
        </w:rPr>
        <w:t xml:space="preserve"> and Tukey post</w:t>
      </w:r>
      <w:r w:rsidR="004C1108" w:rsidRPr="00D71D88">
        <w:rPr>
          <w:rFonts w:ascii="Times New Roman" w:hAnsi="Times New Roman"/>
          <w:sz w:val="24"/>
          <w:szCs w:val="24"/>
        </w:rPr>
        <w:t>-</w:t>
      </w:r>
      <w:r w:rsidRPr="00D71D88">
        <w:rPr>
          <w:rFonts w:ascii="Times New Roman" w:hAnsi="Times New Roman"/>
          <w:sz w:val="24"/>
          <w:szCs w:val="24"/>
        </w:rPr>
        <w:t xml:space="preserve">hoc test </w:t>
      </w:r>
      <w:r w:rsidR="004C1108" w:rsidRPr="00D71D88">
        <w:rPr>
          <w:rFonts w:ascii="Times New Roman" w:hAnsi="Times New Roman"/>
          <w:sz w:val="24"/>
          <w:szCs w:val="24"/>
        </w:rPr>
        <w:t xml:space="preserve">reveal </w:t>
      </w:r>
      <w:r w:rsidRPr="00D71D88">
        <w:rPr>
          <w:rFonts w:ascii="Times New Roman" w:hAnsi="Times New Roman"/>
          <w:sz w:val="24"/>
          <w:szCs w:val="24"/>
        </w:rPr>
        <w:t>that the presence of Mn in cells overexpressing αSyn lead to a</w:t>
      </w:r>
      <w:r w:rsidR="004C1108" w:rsidRPr="00D71D88">
        <w:rPr>
          <w:rFonts w:ascii="Times New Roman" w:hAnsi="Times New Roman"/>
          <w:sz w:val="24"/>
          <w:szCs w:val="24"/>
        </w:rPr>
        <w:t>n increased adenylate kinase release compared to αSyn-treatment alone</w:t>
      </w:r>
      <w:r w:rsidRPr="00D71D88">
        <w:rPr>
          <w:rFonts w:ascii="Times New Roman" w:hAnsi="Times New Roman"/>
          <w:sz w:val="24"/>
          <w:szCs w:val="24"/>
        </w:rPr>
        <w:t xml:space="preserve"> (</w:t>
      </w:r>
      <w:r w:rsidR="004C1108" w:rsidRPr="00D71D88">
        <w:rPr>
          <w:rFonts w:ascii="Times New Roman" w:hAnsi="Times New Roman"/>
          <w:sz w:val="24"/>
          <w:szCs w:val="24"/>
        </w:rPr>
        <w:t>* P</w:t>
      </w:r>
      <w:r w:rsidRPr="00D71D88">
        <w:rPr>
          <w:rFonts w:ascii="Times New Roman" w:hAnsi="Times New Roman"/>
          <w:sz w:val="24"/>
          <w:szCs w:val="24"/>
        </w:rPr>
        <w:t xml:space="preserve">=0.03).  </w:t>
      </w:r>
    </w:p>
    <w:p w14:paraId="09F0765A" w14:textId="4A4B27DD" w:rsidR="006847D1" w:rsidRPr="00D71D88" w:rsidRDefault="007A60CE" w:rsidP="00B21697">
      <w:pPr>
        <w:pStyle w:val="Stylev"/>
      </w:pPr>
      <w:r>
        <w:rPr>
          <w:noProof/>
          <w:lang w:val="de-DE" w:eastAsia="de-DE"/>
        </w:rPr>
        <w:lastRenderedPageBreak/>
        <w:drawing>
          <wp:inline distT="0" distB="0" distL="0" distR="0" wp14:anchorId="481F1C4C" wp14:editId="130FE3E9">
            <wp:extent cx="5943600" cy="4947278"/>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947278"/>
                    </a:xfrm>
                    <a:prstGeom prst="rect">
                      <a:avLst/>
                    </a:prstGeom>
                    <a:noFill/>
                    <a:ln>
                      <a:noFill/>
                    </a:ln>
                  </pic:spPr>
                </pic:pic>
              </a:graphicData>
            </a:graphic>
          </wp:inline>
        </w:drawing>
      </w:r>
    </w:p>
    <w:p w14:paraId="11810102" w14:textId="45CEEECD" w:rsidR="000353C5" w:rsidRPr="00D71D88" w:rsidRDefault="000353C5" w:rsidP="000353C5">
      <w:pPr>
        <w:pStyle w:val="Stylev"/>
      </w:pPr>
      <w:r w:rsidRPr="00D71D88">
        <w:t xml:space="preserve">Additional Figure S3: Analysis of the </w:t>
      </w:r>
      <w:r w:rsidR="008845EA" w:rsidRPr="00D71D88">
        <w:t>solubility</w:t>
      </w:r>
      <w:r w:rsidRPr="00D71D88">
        <w:t xml:space="preserve"> state of αSyn </w:t>
      </w:r>
    </w:p>
    <w:p w14:paraId="45E19445" w14:textId="0D88F73C" w:rsidR="00C43FE0" w:rsidRDefault="00411ACC" w:rsidP="00C43FE0">
      <w:pPr>
        <w:spacing w:before="100" w:beforeAutospacing="1" w:after="100" w:afterAutospacing="1" w:line="360" w:lineRule="auto"/>
        <w:jc w:val="both"/>
        <w:rPr>
          <w:rFonts w:ascii="Times New Roman" w:hAnsi="Times New Roman"/>
          <w:bCs/>
          <w:sz w:val="24"/>
          <w:szCs w:val="24"/>
        </w:rPr>
      </w:pPr>
      <w:r w:rsidRPr="00D71D88">
        <w:rPr>
          <w:rFonts w:ascii="Times New Roman" w:hAnsi="Times New Roman"/>
          <w:b/>
          <w:bCs/>
          <w:sz w:val="24"/>
          <w:szCs w:val="24"/>
        </w:rPr>
        <w:t xml:space="preserve">A: </w:t>
      </w:r>
      <w:r w:rsidR="003D1296" w:rsidRPr="00D71D88">
        <w:rPr>
          <w:rFonts w:ascii="Times New Roman" w:hAnsi="Times New Roman"/>
          <w:bCs/>
          <w:sz w:val="24"/>
          <w:szCs w:val="24"/>
        </w:rPr>
        <w:t>R</w:t>
      </w:r>
      <w:r w:rsidR="00C43FE0" w:rsidRPr="00D71D88">
        <w:rPr>
          <w:rFonts w:ascii="Times New Roman" w:hAnsi="Times New Roman"/>
          <w:bCs/>
          <w:sz w:val="24"/>
          <w:szCs w:val="24"/>
        </w:rPr>
        <w:t xml:space="preserve">epresentative image of </w:t>
      </w:r>
      <w:r w:rsidR="00833290" w:rsidRPr="00D71D88">
        <w:rPr>
          <w:rFonts w:ascii="Times New Roman" w:hAnsi="Times New Roman"/>
          <w:bCs/>
          <w:sz w:val="24"/>
          <w:szCs w:val="24"/>
        </w:rPr>
        <w:t xml:space="preserve">the Triton X-100 solubility assay in PMNs overexpressing αSyn for 3 DIV. </w:t>
      </w:r>
      <w:r w:rsidR="00671EC7" w:rsidRPr="00D71D88">
        <w:rPr>
          <w:rFonts w:ascii="Times New Roman" w:hAnsi="Times New Roman"/>
          <w:bCs/>
          <w:sz w:val="24"/>
          <w:szCs w:val="24"/>
        </w:rPr>
        <w:t xml:space="preserve">In </w:t>
      </w:r>
      <w:r w:rsidR="00C43FE0" w:rsidRPr="00D71D88">
        <w:rPr>
          <w:rFonts w:ascii="Times New Roman" w:hAnsi="Times New Roman"/>
          <w:bCs/>
          <w:sz w:val="24"/>
          <w:szCs w:val="24"/>
        </w:rPr>
        <w:t>PMNs overexpressing αSyn 100% of the protein is</w:t>
      </w:r>
      <w:r w:rsidR="00671EC7" w:rsidRPr="00D71D88">
        <w:rPr>
          <w:rFonts w:ascii="Times New Roman" w:hAnsi="Times New Roman"/>
          <w:bCs/>
          <w:sz w:val="24"/>
          <w:szCs w:val="24"/>
        </w:rPr>
        <w:t xml:space="preserve"> in the</w:t>
      </w:r>
      <w:r w:rsidR="00C43FE0" w:rsidRPr="00D71D88">
        <w:rPr>
          <w:rFonts w:ascii="Times New Roman" w:hAnsi="Times New Roman"/>
          <w:bCs/>
          <w:sz w:val="24"/>
          <w:szCs w:val="24"/>
        </w:rPr>
        <w:t xml:space="preserve"> soluble fraction</w:t>
      </w:r>
      <w:r w:rsidR="00671EC7" w:rsidRPr="00D71D88">
        <w:rPr>
          <w:rFonts w:ascii="Times New Roman" w:hAnsi="Times New Roman"/>
          <w:bCs/>
          <w:sz w:val="24"/>
          <w:szCs w:val="24"/>
        </w:rPr>
        <w:t xml:space="preserve">, which does not depend on the presence of Mn. </w:t>
      </w:r>
      <w:r w:rsidRPr="00D71D88">
        <w:rPr>
          <w:rFonts w:ascii="Times New Roman" w:hAnsi="Times New Roman"/>
          <w:b/>
          <w:bCs/>
          <w:sz w:val="24"/>
          <w:szCs w:val="24"/>
        </w:rPr>
        <w:t>B:</w:t>
      </w:r>
      <w:r w:rsidRPr="00D71D88">
        <w:rPr>
          <w:rFonts w:ascii="Times New Roman" w:hAnsi="Times New Roman"/>
          <w:bCs/>
          <w:sz w:val="24"/>
          <w:szCs w:val="24"/>
        </w:rPr>
        <w:t xml:space="preserve"> The p</w:t>
      </w:r>
      <w:r w:rsidR="00C43FE0" w:rsidRPr="00D71D88">
        <w:rPr>
          <w:rFonts w:ascii="Times New Roman" w:hAnsi="Times New Roman"/>
          <w:bCs/>
          <w:sz w:val="24"/>
          <w:szCs w:val="24"/>
        </w:rPr>
        <w:t>ositive control (H4 cells transfected with SynT/Sy</w:t>
      </w:r>
      <w:r w:rsidRPr="00D71D88">
        <w:rPr>
          <w:rFonts w:ascii="Times New Roman" w:hAnsi="Times New Roman"/>
          <w:bCs/>
          <w:sz w:val="24"/>
          <w:szCs w:val="24"/>
        </w:rPr>
        <w:t>n</w:t>
      </w:r>
      <w:r w:rsidR="00C43FE0" w:rsidRPr="00D71D88">
        <w:rPr>
          <w:rFonts w:ascii="Times New Roman" w:hAnsi="Times New Roman"/>
          <w:bCs/>
          <w:sz w:val="24"/>
          <w:szCs w:val="24"/>
        </w:rPr>
        <w:t xml:space="preserve">ph-1 plasmids) </w:t>
      </w:r>
      <w:r w:rsidRPr="00D71D88">
        <w:rPr>
          <w:rFonts w:ascii="Times New Roman" w:hAnsi="Times New Roman"/>
          <w:bCs/>
          <w:sz w:val="24"/>
          <w:szCs w:val="24"/>
        </w:rPr>
        <w:t>shows that ~</w:t>
      </w:r>
      <w:r w:rsidR="00C43FE0" w:rsidRPr="00D71D88">
        <w:rPr>
          <w:rFonts w:ascii="Times New Roman" w:hAnsi="Times New Roman"/>
          <w:bCs/>
          <w:sz w:val="24"/>
          <w:szCs w:val="24"/>
        </w:rPr>
        <w:t xml:space="preserve">32% of the total αSyn </w:t>
      </w:r>
      <w:r w:rsidRPr="00D71D88">
        <w:rPr>
          <w:rFonts w:ascii="Times New Roman" w:hAnsi="Times New Roman"/>
          <w:bCs/>
          <w:sz w:val="24"/>
          <w:szCs w:val="24"/>
        </w:rPr>
        <w:t xml:space="preserve">is present in the </w:t>
      </w:r>
      <w:r w:rsidR="00C43FE0" w:rsidRPr="00D71D88">
        <w:rPr>
          <w:rFonts w:ascii="Times New Roman" w:hAnsi="Times New Roman"/>
          <w:bCs/>
          <w:sz w:val="24"/>
          <w:szCs w:val="24"/>
        </w:rPr>
        <w:t xml:space="preserve">insoluble fraction. </w:t>
      </w:r>
    </w:p>
    <w:p w14:paraId="63A71C63" w14:textId="10F5FD33" w:rsidR="007A60CE" w:rsidRPr="00D71D88" w:rsidRDefault="007A60CE" w:rsidP="00C43FE0">
      <w:pPr>
        <w:spacing w:before="100" w:beforeAutospacing="1" w:after="100" w:afterAutospacing="1" w:line="360" w:lineRule="auto"/>
        <w:jc w:val="both"/>
        <w:rPr>
          <w:rFonts w:ascii="Times New Roman" w:hAnsi="Times New Roman"/>
          <w:bCs/>
          <w:sz w:val="24"/>
          <w:szCs w:val="24"/>
        </w:rPr>
      </w:pPr>
      <w:r>
        <w:rPr>
          <w:rFonts w:ascii="Times New Roman" w:hAnsi="Times New Roman"/>
          <w:bCs/>
          <w:noProof/>
          <w:sz w:val="24"/>
          <w:szCs w:val="24"/>
          <w:lang w:val="de-DE" w:eastAsia="de-DE"/>
        </w:rPr>
        <w:lastRenderedPageBreak/>
        <w:drawing>
          <wp:inline distT="0" distB="0" distL="0" distR="0" wp14:anchorId="481E66CC" wp14:editId="3018360F">
            <wp:extent cx="5943600" cy="1846606"/>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846606"/>
                    </a:xfrm>
                    <a:prstGeom prst="rect">
                      <a:avLst/>
                    </a:prstGeom>
                    <a:noFill/>
                    <a:ln>
                      <a:noFill/>
                    </a:ln>
                  </pic:spPr>
                </pic:pic>
              </a:graphicData>
            </a:graphic>
          </wp:inline>
        </w:drawing>
      </w:r>
    </w:p>
    <w:p w14:paraId="3F212073" w14:textId="77777777" w:rsidR="00C35EE9" w:rsidRPr="00D71D88" w:rsidRDefault="00C35EE9" w:rsidP="00EC1080">
      <w:pPr>
        <w:spacing w:before="100" w:beforeAutospacing="1" w:after="100" w:afterAutospacing="1" w:line="360" w:lineRule="auto"/>
        <w:jc w:val="both"/>
        <w:rPr>
          <w:rFonts w:ascii="Times New Roman" w:hAnsi="Times New Roman"/>
          <w:b/>
          <w:sz w:val="24"/>
          <w:szCs w:val="24"/>
        </w:rPr>
      </w:pPr>
    </w:p>
    <w:p w14:paraId="74E6BFA7" w14:textId="77777777" w:rsidR="00EC1080" w:rsidRPr="00D71D88" w:rsidRDefault="00C35EE9" w:rsidP="00EC1080">
      <w:pPr>
        <w:spacing w:before="100" w:beforeAutospacing="1" w:after="100" w:afterAutospacing="1" w:line="360" w:lineRule="auto"/>
        <w:jc w:val="both"/>
        <w:rPr>
          <w:rFonts w:ascii="Arial" w:hAnsi="Arial" w:cs="Arial"/>
          <w:b/>
          <w:sz w:val="32"/>
          <w:szCs w:val="32"/>
        </w:rPr>
      </w:pPr>
      <w:r w:rsidRPr="00D71D88">
        <w:rPr>
          <w:rFonts w:ascii="Arial" w:hAnsi="Arial" w:cs="Arial"/>
          <w:b/>
          <w:sz w:val="32"/>
          <w:szCs w:val="32"/>
        </w:rPr>
        <w:t>References</w:t>
      </w:r>
    </w:p>
    <w:p w14:paraId="53536EBD" w14:textId="77777777" w:rsidR="003E3A96" w:rsidRPr="00D71D88" w:rsidRDefault="003C73D7">
      <w:pPr>
        <w:pStyle w:val="StandardWeb"/>
        <w:divId w:val="1890651620"/>
        <w:rPr>
          <w:rFonts w:eastAsiaTheme="minorEastAsia"/>
          <w:noProof/>
        </w:rPr>
      </w:pPr>
      <w:r w:rsidRPr="00D71D88">
        <w:fldChar w:fldCharType="begin" w:fldLock="1"/>
      </w:r>
      <w:r w:rsidR="00195021" w:rsidRPr="00D71D88">
        <w:instrText>ADDIN</w:instrText>
      </w:r>
      <w:r w:rsidRPr="00D71D88">
        <w:instrText xml:space="preserve"> Mendeley Bibliography CSL_BIBLIOGRAPHY </w:instrText>
      </w:r>
      <w:r w:rsidRPr="00D71D88">
        <w:fldChar w:fldCharType="separate"/>
      </w:r>
      <w:r w:rsidR="003E3A96" w:rsidRPr="00D71D88">
        <w:rPr>
          <w:noProof/>
        </w:rPr>
        <w:t xml:space="preserve">1. Greger J: </w:t>
      </w:r>
      <w:r w:rsidR="003E3A96" w:rsidRPr="00D71D88">
        <w:rPr>
          <w:bCs/>
          <w:noProof/>
        </w:rPr>
        <w:t>Nutrition versus toxicology of manganese in humans: Evaluation of potential biomarkers</w:t>
      </w:r>
      <w:r w:rsidR="003E3A96" w:rsidRPr="00D71D88">
        <w:rPr>
          <w:noProof/>
        </w:rPr>
        <w:t xml:space="preserve">. </w:t>
      </w:r>
      <w:r w:rsidR="003E3A96" w:rsidRPr="00D71D88">
        <w:rPr>
          <w:i/>
          <w:iCs/>
          <w:noProof/>
        </w:rPr>
        <w:t>Neurotoxicology</w:t>
      </w:r>
      <w:r w:rsidR="003E3A96" w:rsidRPr="00D71D88">
        <w:rPr>
          <w:noProof/>
        </w:rPr>
        <w:t xml:space="preserve"> 1999, </w:t>
      </w:r>
      <w:r w:rsidR="003E3A96" w:rsidRPr="00D71D88">
        <w:rPr>
          <w:bCs/>
          <w:noProof/>
        </w:rPr>
        <w:t>20</w:t>
      </w:r>
      <w:r w:rsidR="003E3A96" w:rsidRPr="00D71D88">
        <w:rPr>
          <w:noProof/>
        </w:rPr>
        <w:t>:205–212.</w:t>
      </w:r>
    </w:p>
    <w:p w14:paraId="42CC3947" w14:textId="77777777" w:rsidR="003E3A96" w:rsidRPr="00D71D88" w:rsidRDefault="003E3A96">
      <w:pPr>
        <w:pStyle w:val="StandardWeb"/>
        <w:divId w:val="1890651620"/>
        <w:rPr>
          <w:noProof/>
        </w:rPr>
      </w:pPr>
      <w:r w:rsidRPr="00D71D88">
        <w:rPr>
          <w:noProof/>
        </w:rPr>
        <w:t xml:space="preserve">2. Guilarte TR: </w:t>
      </w:r>
      <w:r w:rsidRPr="00D71D88">
        <w:rPr>
          <w:bCs/>
          <w:noProof/>
        </w:rPr>
        <w:t>Manganese and Parkinson’s disease: a critical review and new findings.</w:t>
      </w:r>
      <w:r w:rsidRPr="00D71D88">
        <w:rPr>
          <w:noProof/>
        </w:rPr>
        <w:t xml:space="preserve"> </w:t>
      </w:r>
      <w:r w:rsidRPr="00D71D88">
        <w:rPr>
          <w:i/>
          <w:iCs/>
          <w:noProof/>
        </w:rPr>
        <w:t>Environ Health Perspect</w:t>
      </w:r>
      <w:r w:rsidRPr="00D71D88">
        <w:rPr>
          <w:noProof/>
        </w:rPr>
        <w:t xml:space="preserve"> 2010, </w:t>
      </w:r>
      <w:r w:rsidRPr="00D71D88">
        <w:rPr>
          <w:bCs/>
          <w:noProof/>
        </w:rPr>
        <w:t>118</w:t>
      </w:r>
      <w:r w:rsidRPr="00D71D88">
        <w:rPr>
          <w:noProof/>
        </w:rPr>
        <w:t>:1071–80.</w:t>
      </w:r>
    </w:p>
    <w:p w14:paraId="2FBE32DC" w14:textId="77777777" w:rsidR="003E3A96" w:rsidRPr="00D71D88" w:rsidRDefault="003E3A96">
      <w:pPr>
        <w:pStyle w:val="StandardWeb"/>
        <w:divId w:val="1890651620"/>
        <w:rPr>
          <w:noProof/>
        </w:rPr>
      </w:pPr>
      <w:r w:rsidRPr="00D71D88">
        <w:rPr>
          <w:noProof/>
        </w:rPr>
        <w:t xml:space="preserve">3. Pal P, Samii A, Calne D: </w:t>
      </w:r>
      <w:r w:rsidRPr="00D71D88">
        <w:rPr>
          <w:bCs/>
          <w:noProof/>
        </w:rPr>
        <w:t>Manganese neurotoxicity: A review of clinical features, imaging and pathology</w:t>
      </w:r>
      <w:r w:rsidRPr="00D71D88">
        <w:rPr>
          <w:noProof/>
        </w:rPr>
        <w:t xml:space="preserve">. </w:t>
      </w:r>
      <w:r w:rsidRPr="00D71D88">
        <w:rPr>
          <w:i/>
          <w:iCs/>
          <w:noProof/>
        </w:rPr>
        <w:t>Neurotoxicology</w:t>
      </w:r>
      <w:r w:rsidRPr="00D71D88">
        <w:rPr>
          <w:noProof/>
        </w:rPr>
        <w:t xml:space="preserve"> 1999, </w:t>
      </w:r>
      <w:r w:rsidRPr="00D71D88">
        <w:rPr>
          <w:bCs/>
          <w:noProof/>
        </w:rPr>
        <w:t>20</w:t>
      </w:r>
      <w:r w:rsidRPr="00D71D88">
        <w:rPr>
          <w:noProof/>
        </w:rPr>
        <w:t>:227–238.</w:t>
      </w:r>
    </w:p>
    <w:p w14:paraId="2EB1E223" w14:textId="77777777" w:rsidR="003E3A96" w:rsidRPr="00D71D88" w:rsidRDefault="003E3A96">
      <w:pPr>
        <w:pStyle w:val="StandardWeb"/>
        <w:divId w:val="1890651620"/>
        <w:rPr>
          <w:noProof/>
        </w:rPr>
      </w:pPr>
      <w:r w:rsidRPr="00D71D88">
        <w:rPr>
          <w:noProof/>
        </w:rPr>
        <w:t xml:space="preserve">4. Weintraub D, Comella CL, Horn S: </w:t>
      </w:r>
      <w:r w:rsidRPr="00D71D88">
        <w:rPr>
          <w:bCs/>
          <w:noProof/>
        </w:rPr>
        <w:t>Parkinson’s disease - Part 1: Pathophysiology, symptoms, burden, diagnosis, and assessment</w:t>
      </w:r>
      <w:r w:rsidRPr="00D71D88">
        <w:rPr>
          <w:noProof/>
        </w:rPr>
        <w:t xml:space="preserve">. </w:t>
      </w:r>
      <w:r w:rsidRPr="00D71D88">
        <w:rPr>
          <w:i/>
          <w:iCs/>
          <w:noProof/>
        </w:rPr>
        <w:t>Am J Manag Care</w:t>
      </w:r>
      <w:r w:rsidRPr="00D71D88">
        <w:rPr>
          <w:noProof/>
        </w:rPr>
        <w:t xml:space="preserve"> 2008, </w:t>
      </w:r>
      <w:r w:rsidRPr="00D71D88">
        <w:rPr>
          <w:bCs/>
          <w:noProof/>
        </w:rPr>
        <w:t>14</w:t>
      </w:r>
      <w:r w:rsidRPr="00D71D88">
        <w:rPr>
          <w:noProof/>
        </w:rPr>
        <w:t>:S40–S48.</w:t>
      </w:r>
    </w:p>
    <w:p w14:paraId="793D25BD" w14:textId="77777777" w:rsidR="003E3A96" w:rsidRPr="00D71D88" w:rsidRDefault="003E3A96">
      <w:pPr>
        <w:pStyle w:val="StandardWeb"/>
        <w:divId w:val="1890651620"/>
        <w:rPr>
          <w:noProof/>
        </w:rPr>
      </w:pPr>
      <w:r w:rsidRPr="00D71D88">
        <w:rPr>
          <w:noProof/>
        </w:rPr>
        <w:t xml:space="preserve">5. Dexter DT, Carayon A, Javoy-Agid F, Agid Y, Wells FR, Daniel SE, Lees AJ, Jenner P, Marsden CD: </w:t>
      </w:r>
      <w:r w:rsidRPr="00D71D88">
        <w:rPr>
          <w:bCs/>
          <w:noProof/>
        </w:rPr>
        <w:t>Alterations in the levels of iron, ferritin and other trace metals in Parkinson’s disease and other neurodegenerative diseases affecting the basal ganglia.</w:t>
      </w:r>
      <w:r w:rsidRPr="00D71D88">
        <w:rPr>
          <w:noProof/>
        </w:rPr>
        <w:t xml:space="preserve"> </w:t>
      </w:r>
      <w:r w:rsidRPr="00D71D88">
        <w:rPr>
          <w:i/>
          <w:iCs/>
          <w:noProof/>
        </w:rPr>
        <w:t>Brain</w:t>
      </w:r>
      <w:r w:rsidRPr="00D71D88">
        <w:rPr>
          <w:noProof/>
        </w:rPr>
        <w:t xml:space="preserve"> 1991, </w:t>
      </w:r>
      <w:r w:rsidRPr="00D71D88">
        <w:rPr>
          <w:bCs/>
          <w:noProof/>
        </w:rPr>
        <w:t>114 Pt 4</w:t>
      </w:r>
      <w:r w:rsidRPr="00D71D88">
        <w:rPr>
          <w:noProof/>
        </w:rPr>
        <w:t>:1953–1975.</w:t>
      </w:r>
    </w:p>
    <w:p w14:paraId="39DDB960" w14:textId="77777777" w:rsidR="003E3A96" w:rsidRPr="00D71D88" w:rsidRDefault="003E3A96">
      <w:pPr>
        <w:pStyle w:val="StandardWeb"/>
        <w:divId w:val="1890651620"/>
        <w:rPr>
          <w:noProof/>
        </w:rPr>
      </w:pPr>
      <w:r w:rsidRPr="00D71D88">
        <w:rPr>
          <w:noProof/>
        </w:rPr>
        <w:t xml:space="preserve">6. Gasser T: </w:t>
      </w:r>
      <w:r w:rsidRPr="00D71D88">
        <w:rPr>
          <w:bCs/>
          <w:noProof/>
        </w:rPr>
        <w:t>Update on the genetics of Parkinson’s disease.</w:t>
      </w:r>
      <w:r w:rsidRPr="00D71D88">
        <w:rPr>
          <w:noProof/>
        </w:rPr>
        <w:t xml:space="preserve"> </w:t>
      </w:r>
      <w:r w:rsidRPr="00D71D88">
        <w:rPr>
          <w:i/>
          <w:iCs/>
          <w:noProof/>
        </w:rPr>
        <w:t>Mov Disord</w:t>
      </w:r>
      <w:r w:rsidRPr="00D71D88">
        <w:rPr>
          <w:noProof/>
        </w:rPr>
        <w:t xml:space="preserve"> 2007, </w:t>
      </w:r>
      <w:r w:rsidRPr="00D71D88">
        <w:rPr>
          <w:bCs/>
          <w:noProof/>
        </w:rPr>
        <w:t>22 Suppl 1</w:t>
      </w:r>
      <w:r w:rsidRPr="00D71D88">
        <w:rPr>
          <w:noProof/>
        </w:rPr>
        <w:t>:S343–50.</w:t>
      </w:r>
    </w:p>
    <w:p w14:paraId="0A1D5924" w14:textId="77777777" w:rsidR="003E3A96" w:rsidRPr="00D71D88" w:rsidRDefault="003E3A96">
      <w:pPr>
        <w:pStyle w:val="StandardWeb"/>
        <w:divId w:val="1890651620"/>
        <w:rPr>
          <w:noProof/>
        </w:rPr>
      </w:pPr>
      <w:r w:rsidRPr="00D71D88">
        <w:rPr>
          <w:noProof/>
        </w:rPr>
        <w:t xml:space="preserve">7. Singleton A, Farrer M, Johnson J, Hague S, Kachergus J, Hulihan M, Peuralinna T, Dutra A, Lincoln S, Crawley A, Hanson M, Cookson M, Muenter M, Baptista M, Miller D, Blancato J, Hardy J, Gwinn-Hardy K: </w:t>
      </w:r>
      <w:r w:rsidRPr="00D71D88">
        <w:rPr>
          <w:bCs/>
          <w:noProof/>
        </w:rPr>
        <w:t>Triplication of the normal alpha synuclein gene is a cause of hereditary Parkinson’s disease.</w:t>
      </w:r>
      <w:r w:rsidRPr="00D71D88">
        <w:rPr>
          <w:noProof/>
        </w:rPr>
        <w:t xml:space="preserve"> </w:t>
      </w:r>
      <w:r w:rsidRPr="00D71D88">
        <w:rPr>
          <w:i/>
          <w:iCs/>
          <w:noProof/>
        </w:rPr>
        <w:t>Am J Hum Genet</w:t>
      </w:r>
      <w:r w:rsidRPr="00D71D88">
        <w:rPr>
          <w:noProof/>
        </w:rPr>
        <w:t xml:space="preserve"> 2003, </w:t>
      </w:r>
      <w:r w:rsidRPr="00D71D88">
        <w:rPr>
          <w:bCs/>
          <w:noProof/>
        </w:rPr>
        <w:t>73</w:t>
      </w:r>
      <w:r w:rsidRPr="00D71D88">
        <w:rPr>
          <w:noProof/>
        </w:rPr>
        <w:t>:184–184.</w:t>
      </w:r>
    </w:p>
    <w:p w14:paraId="22F17593" w14:textId="77777777" w:rsidR="003E3A96" w:rsidRPr="00D71D88" w:rsidRDefault="003E3A96">
      <w:pPr>
        <w:pStyle w:val="StandardWeb"/>
        <w:divId w:val="1890651620"/>
        <w:rPr>
          <w:noProof/>
        </w:rPr>
      </w:pPr>
      <w:r w:rsidRPr="00D71D88">
        <w:rPr>
          <w:noProof/>
        </w:rPr>
        <w:t xml:space="preserve">8. Lu Y, Prudent M, Fauvet B, Lashuel HA, Girault HH: </w:t>
      </w:r>
      <w:r w:rsidRPr="00D71D88">
        <w:rPr>
          <w:bCs/>
          <w:noProof/>
        </w:rPr>
        <w:t>Phosphorylation of α-Synuclein at Y125 and S129 alters its metal binding properties: implications for understanding the role of α-Synuclein in the pathogenesis of Parkinson’s Disease and related disorders.</w:t>
      </w:r>
      <w:r w:rsidRPr="00D71D88">
        <w:rPr>
          <w:noProof/>
        </w:rPr>
        <w:t xml:space="preserve"> </w:t>
      </w:r>
      <w:r w:rsidRPr="00D71D88">
        <w:rPr>
          <w:i/>
          <w:iCs/>
          <w:noProof/>
        </w:rPr>
        <w:t>ACS Chem Neurosci</w:t>
      </w:r>
      <w:r w:rsidRPr="00D71D88">
        <w:rPr>
          <w:noProof/>
        </w:rPr>
        <w:t xml:space="preserve"> 2011, </w:t>
      </w:r>
      <w:r w:rsidRPr="00D71D88">
        <w:rPr>
          <w:bCs/>
          <w:noProof/>
        </w:rPr>
        <w:t>2</w:t>
      </w:r>
      <w:r w:rsidRPr="00D71D88">
        <w:rPr>
          <w:noProof/>
        </w:rPr>
        <w:t>:667–75.</w:t>
      </w:r>
    </w:p>
    <w:p w14:paraId="2438446C" w14:textId="77777777" w:rsidR="003E3A96" w:rsidRPr="00D71D88" w:rsidRDefault="003E3A96">
      <w:pPr>
        <w:pStyle w:val="StandardWeb"/>
        <w:divId w:val="1890651620"/>
        <w:rPr>
          <w:noProof/>
        </w:rPr>
      </w:pPr>
      <w:r w:rsidRPr="00D71D88">
        <w:rPr>
          <w:noProof/>
        </w:rPr>
        <w:lastRenderedPageBreak/>
        <w:t xml:space="preserve">9. Kostka M, Högen T, Danzer KM, Levin J, Habeck M, Wirth A, Wagner R, Glabe CG, Finger S, Heinzelmann U, Garidel P, Duan W, Ross CA, Kretzschmar H, Giese A: </w:t>
      </w:r>
      <w:r w:rsidRPr="00D71D88">
        <w:rPr>
          <w:bCs/>
          <w:noProof/>
        </w:rPr>
        <w:t>Single particle characterization of iron-induced pore-forming alpha-synuclein oligomers.</w:t>
      </w:r>
      <w:r w:rsidRPr="00D71D88">
        <w:rPr>
          <w:noProof/>
        </w:rPr>
        <w:t xml:space="preserve"> </w:t>
      </w:r>
      <w:r w:rsidRPr="00D71D88">
        <w:rPr>
          <w:i/>
          <w:iCs/>
          <w:noProof/>
        </w:rPr>
        <w:t>J Biol Chem</w:t>
      </w:r>
      <w:r w:rsidRPr="00D71D88">
        <w:rPr>
          <w:noProof/>
        </w:rPr>
        <w:t xml:space="preserve"> 2008, </w:t>
      </w:r>
      <w:r w:rsidRPr="00D71D88">
        <w:rPr>
          <w:bCs/>
          <w:noProof/>
        </w:rPr>
        <w:t>283</w:t>
      </w:r>
      <w:r w:rsidRPr="00D71D88">
        <w:rPr>
          <w:noProof/>
        </w:rPr>
        <w:t>:10992–1003.</w:t>
      </w:r>
    </w:p>
    <w:p w14:paraId="1DA5A9AB" w14:textId="77777777" w:rsidR="003E3A96" w:rsidRPr="00D71D88" w:rsidRDefault="003E3A96">
      <w:pPr>
        <w:pStyle w:val="StandardWeb"/>
        <w:divId w:val="1890651620"/>
        <w:rPr>
          <w:noProof/>
        </w:rPr>
      </w:pPr>
      <w:r w:rsidRPr="00D71D88">
        <w:rPr>
          <w:noProof/>
        </w:rPr>
        <w:t xml:space="preserve">10. HaMai D, Bondy SC: </w:t>
      </w:r>
      <w:r w:rsidRPr="00D71D88">
        <w:rPr>
          <w:bCs/>
          <w:noProof/>
        </w:rPr>
        <w:t>Pro- or anti-oxidant manganese: A suggested mechanism for reconciliation</w:t>
      </w:r>
      <w:r w:rsidRPr="00D71D88">
        <w:rPr>
          <w:noProof/>
        </w:rPr>
        <w:t xml:space="preserve">. </w:t>
      </w:r>
      <w:r w:rsidRPr="00D71D88">
        <w:rPr>
          <w:i/>
          <w:iCs/>
          <w:noProof/>
        </w:rPr>
        <w:t>Neurochem Int</w:t>
      </w:r>
      <w:r w:rsidRPr="00D71D88">
        <w:rPr>
          <w:noProof/>
        </w:rPr>
        <w:t xml:space="preserve"> 2004, </w:t>
      </w:r>
      <w:r w:rsidRPr="00D71D88">
        <w:rPr>
          <w:bCs/>
          <w:noProof/>
        </w:rPr>
        <w:t>44</w:t>
      </w:r>
      <w:r w:rsidRPr="00D71D88">
        <w:rPr>
          <w:noProof/>
        </w:rPr>
        <w:t>:223–229.</w:t>
      </w:r>
    </w:p>
    <w:p w14:paraId="776AD511" w14:textId="77777777" w:rsidR="003E3A96" w:rsidRPr="00D71D88" w:rsidRDefault="003E3A96">
      <w:pPr>
        <w:pStyle w:val="StandardWeb"/>
        <w:divId w:val="1890651620"/>
        <w:rPr>
          <w:noProof/>
        </w:rPr>
      </w:pPr>
      <w:r w:rsidRPr="00D71D88">
        <w:rPr>
          <w:noProof/>
        </w:rPr>
        <w:t xml:space="preserve">11. Salditt T, Dučić T: </w:t>
      </w:r>
      <w:r w:rsidRPr="00D71D88">
        <w:rPr>
          <w:bCs/>
          <w:noProof/>
        </w:rPr>
        <w:t>X-Ray Microscopy for Neuroscience: Novel Opportunities by Coherent Optics</w:t>
      </w:r>
      <w:r w:rsidRPr="00D71D88">
        <w:rPr>
          <w:noProof/>
        </w:rPr>
        <w:t xml:space="preserve">. In </w:t>
      </w:r>
      <w:r w:rsidRPr="00D71D88">
        <w:rPr>
          <w:i/>
          <w:iCs/>
          <w:noProof/>
        </w:rPr>
        <w:t>Super-Resolution Microscopy Techniques in the Neurosciences Series</w:t>
      </w:r>
      <w:r w:rsidRPr="00D71D88">
        <w:rPr>
          <w:noProof/>
        </w:rPr>
        <w:t>. Edited by Fornasiero E, Silvio R.; 2014:257–290.</w:t>
      </w:r>
    </w:p>
    <w:p w14:paraId="587CE61C" w14:textId="77777777" w:rsidR="003E3A96" w:rsidRPr="00D71D88" w:rsidRDefault="003E3A96">
      <w:pPr>
        <w:pStyle w:val="StandardWeb"/>
        <w:divId w:val="1890651620"/>
        <w:rPr>
          <w:noProof/>
        </w:rPr>
      </w:pPr>
      <w:r w:rsidRPr="00D71D88">
        <w:rPr>
          <w:noProof/>
        </w:rPr>
        <w:t xml:space="preserve">12. Dučić T, Quintes S, Nave K-A, Susini J, Rak M, Tucoulou R, Alevra M, Guttmann P, Salditt T: </w:t>
      </w:r>
      <w:r w:rsidRPr="00D71D88">
        <w:rPr>
          <w:bCs/>
          <w:noProof/>
        </w:rPr>
        <w:t>Structure and composition of myelinated axons: a multimodal synchrotron spectro-microscopy study.</w:t>
      </w:r>
      <w:r w:rsidRPr="00D71D88">
        <w:rPr>
          <w:noProof/>
        </w:rPr>
        <w:t xml:space="preserve"> </w:t>
      </w:r>
      <w:r w:rsidRPr="00D71D88">
        <w:rPr>
          <w:i/>
          <w:iCs/>
          <w:noProof/>
        </w:rPr>
        <w:t>J Struct Biol</w:t>
      </w:r>
      <w:r w:rsidRPr="00D71D88">
        <w:rPr>
          <w:noProof/>
        </w:rPr>
        <w:t xml:space="preserve"> 2011, </w:t>
      </w:r>
      <w:r w:rsidRPr="00D71D88">
        <w:rPr>
          <w:bCs/>
          <w:noProof/>
        </w:rPr>
        <w:t>173</w:t>
      </w:r>
      <w:r w:rsidRPr="00D71D88">
        <w:rPr>
          <w:noProof/>
        </w:rPr>
        <w:t>:202–12.</w:t>
      </w:r>
    </w:p>
    <w:p w14:paraId="4A94A09B" w14:textId="77777777" w:rsidR="003E3A96" w:rsidRPr="00D71D88" w:rsidRDefault="003E3A96">
      <w:pPr>
        <w:pStyle w:val="StandardWeb"/>
        <w:divId w:val="1890651620"/>
        <w:rPr>
          <w:noProof/>
        </w:rPr>
      </w:pPr>
      <w:r w:rsidRPr="00D71D88">
        <w:rPr>
          <w:noProof/>
        </w:rPr>
        <w:t xml:space="preserve">13. Paunesku T, Vogt S, Lai B, Maser J, Stojićević N, Thurn KT, Osipo C, Liu H, Legnini D, Wang Z, Lee C, Woloschak GE: </w:t>
      </w:r>
      <w:r w:rsidRPr="00D71D88">
        <w:rPr>
          <w:bCs/>
          <w:noProof/>
        </w:rPr>
        <w:t>Intracellular distribution of TiO2-DNA oligonucleotide nanoconjugates directed to nucleolus and mitochondria indicates sequence specificity.</w:t>
      </w:r>
      <w:r w:rsidRPr="00D71D88">
        <w:rPr>
          <w:noProof/>
        </w:rPr>
        <w:t xml:space="preserve"> </w:t>
      </w:r>
      <w:r w:rsidRPr="00D71D88">
        <w:rPr>
          <w:i/>
          <w:iCs/>
          <w:noProof/>
        </w:rPr>
        <w:t>Nano Lett</w:t>
      </w:r>
      <w:r w:rsidRPr="00D71D88">
        <w:rPr>
          <w:noProof/>
        </w:rPr>
        <w:t xml:space="preserve"> 2007, </w:t>
      </w:r>
      <w:r w:rsidRPr="00D71D88">
        <w:rPr>
          <w:bCs/>
          <w:noProof/>
        </w:rPr>
        <w:t>7</w:t>
      </w:r>
      <w:r w:rsidRPr="00D71D88">
        <w:rPr>
          <w:noProof/>
        </w:rPr>
        <w:t>:596–601.</w:t>
      </w:r>
    </w:p>
    <w:p w14:paraId="42E22B62" w14:textId="77777777" w:rsidR="003E3A96" w:rsidRPr="00D71D88" w:rsidRDefault="003E3A96">
      <w:pPr>
        <w:pStyle w:val="StandardWeb"/>
        <w:divId w:val="1890651620"/>
        <w:rPr>
          <w:noProof/>
        </w:rPr>
      </w:pPr>
      <w:r w:rsidRPr="00D71D88">
        <w:rPr>
          <w:noProof/>
        </w:rPr>
        <w:t xml:space="preserve">14. Ralle M, Lutsenko S: </w:t>
      </w:r>
      <w:r w:rsidRPr="00D71D88">
        <w:rPr>
          <w:bCs/>
          <w:noProof/>
        </w:rPr>
        <w:t>Quantitative imaging of metals in tissues.</w:t>
      </w:r>
      <w:r w:rsidRPr="00D71D88">
        <w:rPr>
          <w:noProof/>
        </w:rPr>
        <w:t xml:space="preserve"> </w:t>
      </w:r>
      <w:r w:rsidRPr="00D71D88">
        <w:rPr>
          <w:i/>
          <w:iCs/>
          <w:noProof/>
        </w:rPr>
        <w:t>Biometals</w:t>
      </w:r>
      <w:r w:rsidRPr="00D71D88">
        <w:rPr>
          <w:noProof/>
        </w:rPr>
        <w:t xml:space="preserve"> 2009, </w:t>
      </w:r>
      <w:r w:rsidRPr="00D71D88">
        <w:rPr>
          <w:bCs/>
          <w:noProof/>
        </w:rPr>
        <w:t>22</w:t>
      </w:r>
      <w:r w:rsidRPr="00D71D88">
        <w:rPr>
          <w:noProof/>
        </w:rPr>
        <w:t>:197–205.</w:t>
      </w:r>
    </w:p>
    <w:p w14:paraId="79A7169B" w14:textId="77777777" w:rsidR="003E3A96" w:rsidRPr="00D71D88" w:rsidRDefault="003E3A96">
      <w:pPr>
        <w:pStyle w:val="StandardWeb"/>
        <w:divId w:val="1890651620"/>
        <w:rPr>
          <w:noProof/>
        </w:rPr>
      </w:pPr>
      <w:r w:rsidRPr="00D71D88">
        <w:rPr>
          <w:noProof/>
        </w:rPr>
        <w:t xml:space="preserve">15. McRae R, Lai B, Vogt S, Fahrni CJ: </w:t>
      </w:r>
      <w:r w:rsidRPr="00D71D88">
        <w:rPr>
          <w:bCs/>
          <w:noProof/>
        </w:rPr>
        <w:t>Correlative microXRF and optical immunofluorescence microscopy of adherent cells labeled with ultrasmall gold particles.</w:t>
      </w:r>
      <w:r w:rsidRPr="00D71D88">
        <w:rPr>
          <w:noProof/>
        </w:rPr>
        <w:t xml:space="preserve"> </w:t>
      </w:r>
      <w:r w:rsidRPr="00D71D88">
        <w:rPr>
          <w:i/>
          <w:iCs/>
          <w:noProof/>
        </w:rPr>
        <w:t>J Struct Biol</w:t>
      </w:r>
      <w:r w:rsidRPr="00D71D88">
        <w:rPr>
          <w:noProof/>
        </w:rPr>
        <w:t xml:space="preserve"> 2006, </w:t>
      </w:r>
      <w:r w:rsidRPr="00D71D88">
        <w:rPr>
          <w:bCs/>
          <w:noProof/>
        </w:rPr>
        <w:t>155</w:t>
      </w:r>
      <w:r w:rsidRPr="00D71D88">
        <w:rPr>
          <w:noProof/>
        </w:rPr>
        <w:t>:22–9.</w:t>
      </w:r>
    </w:p>
    <w:p w14:paraId="1A1B2781" w14:textId="77777777" w:rsidR="003E3A96" w:rsidRPr="00D71D88" w:rsidRDefault="003E3A96">
      <w:pPr>
        <w:pStyle w:val="StandardWeb"/>
        <w:divId w:val="1890651620"/>
        <w:rPr>
          <w:noProof/>
        </w:rPr>
      </w:pPr>
      <w:r w:rsidRPr="00D71D88">
        <w:rPr>
          <w:noProof/>
        </w:rPr>
        <w:t xml:space="preserve">16. Ortega R, Bohic S, Tucoulou R, Somogyi A, Devès G: </w:t>
      </w:r>
      <w:r w:rsidRPr="00D71D88">
        <w:rPr>
          <w:bCs/>
          <w:noProof/>
        </w:rPr>
        <w:t>Microchemical element imaging of yeast and human cells using synchrotron X-ray microprobe with Kirkpatrick-Baez optics.</w:t>
      </w:r>
      <w:r w:rsidRPr="00D71D88">
        <w:rPr>
          <w:noProof/>
        </w:rPr>
        <w:t xml:space="preserve"> </w:t>
      </w:r>
      <w:r w:rsidRPr="00D71D88">
        <w:rPr>
          <w:i/>
          <w:iCs/>
          <w:noProof/>
        </w:rPr>
        <w:t>Anal Chem</w:t>
      </w:r>
      <w:r w:rsidRPr="00D71D88">
        <w:rPr>
          <w:noProof/>
        </w:rPr>
        <w:t xml:space="preserve"> 2004, </w:t>
      </w:r>
      <w:r w:rsidRPr="00D71D88">
        <w:rPr>
          <w:bCs/>
          <w:noProof/>
        </w:rPr>
        <w:t>76</w:t>
      </w:r>
      <w:r w:rsidRPr="00D71D88">
        <w:rPr>
          <w:noProof/>
        </w:rPr>
        <w:t>:309–14.</w:t>
      </w:r>
    </w:p>
    <w:p w14:paraId="1EC7489F" w14:textId="77777777" w:rsidR="003E3A96" w:rsidRPr="00D71D88" w:rsidRDefault="003E3A96">
      <w:pPr>
        <w:pStyle w:val="StandardWeb"/>
        <w:divId w:val="1890651620"/>
        <w:rPr>
          <w:noProof/>
        </w:rPr>
      </w:pPr>
      <w:r w:rsidRPr="00D71D88">
        <w:rPr>
          <w:noProof/>
        </w:rPr>
        <w:t xml:space="preserve">17. Roth J, Ponzoni S, Aschner M: </w:t>
      </w:r>
      <w:r w:rsidRPr="00D71D88">
        <w:rPr>
          <w:bCs/>
          <w:noProof/>
        </w:rPr>
        <w:t>Manganese homeostasis and transport.</w:t>
      </w:r>
      <w:r w:rsidRPr="00D71D88">
        <w:rPr>
          <w:noProof/>
        </w:rPr>
        <w:t xml:space="preserve"> </w:t>
      </w:r>
      <w:r w:rsidRPr="00D71D88">
        <w:rPr>
          <w:i/>
          <w:iCs/>
          <w:noProof/>
        </w:rPr>
        <w:t>Met Ions Life Sci</w:t>
      </w:r>
      <w:r w:rsidRPr="00D71D88">
        <w:rPr>
          <w:noProof/>
        </w:rPr>
        <w:t xml:space="preserve"> 2013, </w:t>
      </w:r>
      <w:r w:rsidRPr="00D71D88">
        <w:rPr>
          <w:bCs/>
          <w:noProof/>
        </w:rPr>
        <w:t>12</w:t>
      </w:r>
      <w:r w:rsidRPr="00D71D88">
        <w:rPr>
          <w:noProof/>
        </w:rPr>
        <w:t>:169–201.</w:t>
      </w:r>
    </w:p>
    <w:p w14:paraId="5E39BD8C" w14:textId="77777777" w:rsidR="003E3A96" w:rsidRPr="00D71D88" w:rsidRDefault="003E3A96">
      <w:pPr>
        <w:pStyle w:val="StandardWeb"/>
        <w:divId w:val="1890651620"/>
        <w:rPr>
          <w:noProof/>
        </w:rPr>
      </w:pPr>
      <w:r w:rsidRPr="00D71D88">
        <w:rPr>
          <w:noProof/>
        </w:rPr>
        <w:t xml:space="preserve">18. Paris I, Segura-Aguilar J: </w:t>
      </w:r>
      <w:r w:rsidRPr="00D71D88">
        <w:rPr>
          <w:bCs/>
          <w:noProof/>
        </w:rPr>
        <w:t>The role of metal ions in dopaminergic neuron degeneration in Parkinsonism and Parkinson’s disease</w:t>
      </w:r>
      <w:r w:rsidRPr="00D71D88">
        <w:rPr>
          <w:noProof/>
        </w:rPr>
        <w:t xml:space="preserve">. </w:t>
      </w:r>
      <w:r w:rsidRPr="00D71D88">
        <w:rPr>
          <w:i/>
          <w:iCs/>
          <w:noProof/>
        </w:rPr>
        <w:t>Monatshefte für Chemie - Chem Mon</w:t>
      </w:r>
      <w:r w:rsidRPr="00D71D88">
        <w:rPr>
          <w:noProof/>
        </w:rPr>
        <w:t xml:space="preserve"> 2011, </w:t>
      </w:r>
      <w:r w:rsidRPr="00D71D88">
        <w:rPr>
          <w:bCs/>
          <w:noProof/>
        </w:rPr>
        <w:t>142</w:t>
      </w:r>
      <w:r w:rsidRPr="00D71D88">
        <w:rPr>
          <w:noProof/>
        </w:rPr>
        <w:t>:365–374.</w:t>
      </w:r>
    </w:p>
    <w:p w14:paraId="68299021" w14:textId="77777777" w:rsidR="003E3A96" w:rsidRPr="00D71D88" w:rsidRDefault="003E3A96">
      <w:pPr>
        <w:pStyle w:val="StandardWeb"/>
        <w:divId w:val="1890651620"/>
        <w:rPr>
          <w:noProof/>
        </w:rPr>
      </w:pPr>
      <w:r w:rsidRPr="00D71D88">
        <w:rPr>
          <w:noProof/>
        </w:rPr>
        <w:t xml:space="preserve">19. Binolfi A, Rodriguez EE, Valensin D, D’Amelio N, Ippoliti E, Obal G, Duran R, Magistrato A, Pritsch O, Zweckstetter M, Valensin G, Carloni P, Quintanar L, Griesinger C, Fernández CO: </w:t>
      </w:r>
      <w:r w:rsidRPr="00D71D88">
        <w:rPr>
          <w:bCs/>
          <w:noProof/>
        </w:rPr>
        <w:t>Bioinorganic chemistry of Parkinson’s disease: structural determinants for the copper-mediated amyloid formation of alpha-synuclein.</w:t>
      </w:r>
      <w:r w:rsidRPr="00D71D88">
        <w:rPr>
          <w:noProof/>
        </w:rPr>
        <w:t xml:space="preserve"> </w:t>
      </w:r>
      <w:r w:rsidRPr="00D71D88">
        <w:rPr>
          <w:i/>
          <w:iCs/>
          <w:noProof/>
        </w:rPr>
        <w:t>Inorg Chem</w:t>
      </w:r>
      <w:r w:rsidRPr="00D71D88">
        <w:rPr>
          <w:noProof/>
        </w:rPr>
        <w:t xml:space="preserve"> 2010, </w:t>
      </w:r>
      <w:r w:rsidRPr="00D71D88">
        <w:rPr>
          <w:bCs/>
          <w:noProof/>
        </w:rPr>
        <w:t>49</w:t>
      </w:r>
      <w:r w:rsidRPr="00D71D88">
        <w:rPr>
          <w:noProof/>
        </w:rPr>
        <w:t>:10668–79.</w:t>
      </w:r>
    </w:p>
    <w:p w14:paraId="1D8B2DE3" w14:textId="77777777" w:rsidR="003E3A96" w:rsidRPr="00D71D88" w:rsidRDefault="003E3A96">
      <w:pPr>
        <w:pStyle w:val="StandardWeb"/>
        <w:divId w:val="1890651620"/>
        <w:rPr>
          <w:noProof/>
        </w:rPr>
      </w:pPr>
      <w:r w:rsidRPr="00D71D88">
        <w:rPr>
          <w:noProof/>
        </w:rPr>
        <w:t xml:space="preserve">20. Yuan Y, Chen S, Paunesku T, Gleber SC, Liu WC, Doty CB, Mak R, Deng J, Jin Q, Lai B, Brister K, Flachenecker C, Jacobsen C, Vogt S, Woloschak GE: </w:t>
      </w:r>
      <w:r w:rsidRPr="00D71D88">
        <w:rPr>
          <w:bCs/>
          <w:noProof/>
        </w:rPr>
        <w:t xml:space="preserve">Targeted Nuclear Delivery and High-Resolution Whole Cell X </w:t>
      </w:r>
      <w:r w:rsidRPr="00D71D88">
        <w:rPr>
          <w:bCs/>
          <w:noProof/>
        </w:rPr>
        <w:noBreakHyphen/>
        <w:t xml:space="preserve"> ray in Cancer Cells</w:t>
      </w:r>
      <w:r w:rsidRPr="00D71D88">
        <w:rPr>
          <w:noProof/>
        </w:rPr>
        <w:t>. 2013:10502–10517.</w:t>
      </w:r>
    </w:p>
    <w:p w14:paraId="7F6C2684" w14:textId="77777777" w:rsidR="003E3A96" w:rsidRPr="00D71D88" w:rsidRDefault="003E3A96">
      <w:pPr>
        <w:pStyle w:val="StandardWeb"/>
        <w:divId w:val="1890651620"/>
        <w:rPr>
          <w:noProof/>
        </w:rPr>
      </w:pPr>
      <w:r w:rsidRPr="00D71D88">
        <w:rPr>
          <w:noProof/>
        </w:rPr>
        <w:lastRenderedPageBreak/>
        <w:t xml:space="preserve">21. Dučić T, Barski E, Salome M, Koch JC, Bähr M, Lingor P: </w:t>
      </w:r>
      <w:r w:rsidRPr="00D71D88">
        <w:rPr>
          <w:bCs/>
          <w:noProof/>
        </w:rPr>
        <w:t>X-ray fluorescence analysis of iron and manganese distribution in primary dopaminergic neurons</w:t>
      </w:r>
      <w:r w:rsidRPr="00D71D88">
        <w:rPr>
          <w:noProof/>
        </w:rPr>
        <w:t xml:space="preserve">. </w:t>
      </w:r>
      <w:r w:rsidRPr="00D71D88">
        <w:rPr>
          <w:i/>
          <w:iCs/>
          <w:noProof/>
        </w:rPr>
        <w:t>J Neurochem</w:t>
      </w:r>
      <w:r w:rsidRPr="00D71D88">
        <w:rPr>
          <w:noProof/>
        </w:rPr>
        <w:t xml:space="preserve"> 2013, </w:t>
      </w:r>
      <w:r w:rsidRPr="00D71D88">
        <w:rPr>
          <w:bCs/>
          <w:noProof/>
        </w:rPr>
        <w:t>124</w:t>
      </w:r>
      <w:r w:rsidRPr="00D71D88">
        <w:rPr>
          <w:noProof/>
        </w:rPr>
        <w:t>:250–261.</w:t>
      </w:r>
    </w:p>
    <w:p w14:paraId="730E99F9" w14:textId="77777777" w:rsidR="003E3A96" w:rsidRPr="00D71D88" w:rsidRDefault="003E3A96">
      <w:pPr>
        <w:pStyle w:val="StandardWeb"/>
        <w:divId w:val="1890651620"/>
        <w:rPr>
          <w:noProof/>
        </w:rPr>
      </w:pPr>
      <w:r w:rsidRPr="00D71D88">
        <w:rPr>
          <w:noProof/>
        </w:rPr>
        <w:t xml:space="preserve">22. Morello M, Canini A, Mattioli P, Sorge RP, Alimonti A, Bocca B, Forte G, Martorana A, Bernardi G, Sancesario G: </w:t>
      </w:r>
      <w:r w:rsidRPr="00D71D88">
        <w:rPr>
          <w:bCs/>
          <w:noProof/>
        </w:rPr>
        <w:t>Sub-cellular localization of manganese in the basal ganglia of normal and manganese-treated rats An electron spectroscopy imaging and electron energy-loss spectroscopy study.</w:t>
      </w:r>
      <w:r w:rsidRPr="00D71D88">
        <w:rPr>
          <w:noProof/>
        </w:rPr>
        <w:t xml:space="preserve"> </w:t>
      </w:r>
      <w:r w:rsidRPr="00D71D88">
        <w:rPr>
          <w:i/>
          <w:iCs/>
          <w:noProof/>
        </w:rPr>
        <w:t>Neurotoxicology</w:t>
      </w:r>
      <w:r w:rsidRPr="00D71D88">
        <w:rPr>
          <w:noProof/>
        </w:rPr>
        <w:t xml:space="preserve"> 2008, </w:t>
      </w:r>
      <w:r w:rsidRPr="00D71D88">
        <w:rPr>
          <w:bCs/>
          <w:noProof/>
        </w:rPr>
        <w:t>29</w:t>
      </w:r>
      <w:r w:rsidRPr="00D71D88">
        <w:rPr>
          <w:noProof/>
        </w:rPr>
        <w:t>:60–72.</w:t>
      </w:r>
    </w:p>
    <w:p w14:paraId="1235E7C3" w14:textId="77777777" w:rsidR="003E3A96" w:rsidRPr="00D71D88" w:rsidRDefault="003E3A96">
      <w:pPr>
        <w:pStyle w:val="StandardWeb"/>
        <w:divId w:val="1890651620"/>
        <w:rPr>
          <w:noProof/>
        </w:rPr>
      </w:pPr>
      <w:r w:rsidRPr="00D71D88">
        <w:rPr>
          <w:noProof/>
        </w:rPr>
        <w:t xml:space="preserve">23. Kalia K, Jiang W, Zheng W: </w:t>
      </w:r>
      <w:r w:rsidRPr="00D71D88">
        <w:rPr>
          <w:bCs/>
          <w:noProof/>
        </w:rPr>
        <w:t>Manganese accumulates primarily in nuclei of cultured brain cells.</w:t>
      </w:r>
      <w:r w:rsidRPr="00D71D88">
        <w:rPr>
          <w:noProof/>
        </w:rPr>
        <w:t xml:space="preserve"> </w:t>
      </w:r>
      <w:r w:rsidRPr="00D71D88">
        <w:rPr>
          <w:i/>
          <w:iCs/>
          <w:noProof/>
        </w:rPr>
        <w:t>Neurotoxicology</w:t>
      </w:r>
      <w:r w:rsidRPr="00D71D88">
        <w:rPr>
          <w:noProof/>
        </w:rPr>
        <w:t xml:space="preserve"> 2008, </w:t>
      </w:r>
      <w:r w:rsidRPr="00D71D88">
        <w:rPr>
          <w:bCs/>
          <w:noProof/>
        </w:rPr>
        <w:t>29</w:t>
      </w:r>
      <w:r w:rsidRPr="00D71D88">
        <w:rPr>
          <w:noProof/>
        </w:rPr>
        <w:t>:466–70.</w:t>
      </w:r>
    </w:p>
    <w:p w14:paraId="3908D285" w14:textId="77777777" w:rsidR="003E3A96" w:rsidRPr="00D71D88" w:rsidRDefault="003E3A96">
      <w:pPr>
        <w:pStyle w:val="StandardWeb"/>
        <w:divId w:val="1890651620"/>
        <w:rPr>
          <w:noProof/>
        </w:rPr>
      </w:pPr>
      <w:r w:rsidRPr="00D71D88">
        <w:rPr>
          <w:noProof/>
        </w:rPr>
        <w:t xml:space="preserve">24. Carmona A, Devès G, Roudeau S, Cloetens P, Bohic S, Ortega R: </w:t>
      </w:r>
      <w:r w:rsidRPr="00D71D88">
        <w:rPr>
          <w:bCs/>
          <w:noProof/>
        </w:rPr>
        <w:t>Manganese accumulates within golgi apparatus in dopaminergic cells as revealed by synchrotron X-ray fluorescence nanoimaging.</w:t>
      </w:r>
      <w:r w:rsidRPr="00D71D88">
        <w:rPr>
          <w:noProof/>
        </w:rPr>
        <w:t xml:space="preserve"> </w:t>
      </w:r>
      <w:r w:rsidRPr="00D71D88">
        <w:rPr>
          <w:i/>
          <w:iCs/>
          <w:noProof/>
        </w:rPr>
        <w:t>ACS Chem Neurosci</w:t>
      </w:r>
      <w:r w:rsidRPr="00D71D88">
        <w:rPr>
          <w:noProof/>
        </w:rPr>
        <w:t xml:space="preserve"> 2010, </w:t>
      </w:r>
      <w:r w:rsidRPr="00D71D88">
        <w:rPr>
          <w:bCs/>
          <w:noProof/>
        </w:rPr>
        <w:t>1</w:t>
      </w:r>
      <w:r w:rsidRPr="00D71D88">
        <w:rPr>
          <w:noProof/>
        </w:rPr>
        <w:t>:194–203.</w:t>
      </w:r>
    </w:p>
    <w:p w14:paraId="22811860" w14:textId="77777777" w:rsidR="003E3A96" w:rsidRPr="00D71D88" w:rsidRDefault="003E3A96">
      <w:pPr>
        <w:pStyle w:val="StandardWeb"/>
        <w:divId w:val="1890651620"/>
        <w:rPr>
          <w:noProof/>
        </w:rPr>
      </w:pPr>
      <w:r w:rsidRPr="00D71D88">
        <w:rPr>
          <w:noProof/>
        </w:rPr>
        <w:t xml:space="preserve">25. Cai T, Yao T, Zheng G, Chen Y, Du K, Cao Y, Shen X, Chen J, Luo W: </w:t>
      </w:r>
      <w:r w:rsidRPr="00D71D88">
        <w:rPr>
          <w:bCs/>
          <w:noProof/>
        </w:rPr>
        <w:t>Manganese induces the overexpression of α-synuclein in PC12 cells via ERK activation.</w:t>
      </w:r>
      <w:r w:rsidRPr="00D71D88">
        <w:rPr>
          <w:noProof/>
        </w:rPr>
        <w:t xml:space="preserve"> </w:t>
      </w:r>
      <w:r w:rsidRPr="00D71D88">
        <w:rPr>
          <w:i/>
          <w:iCs/>
          <w:noProof/>
        </w:rPr>
        <w:t>Brain Res</w:t>
      </w:r>
      <w:r w:rsidRPr="00D71D88">
        <w:rPr>
          <w:noProof/>
        </w:rPr>
        <w:t xml:space="preserve"> 2010, </w:t>
      </w:r>
      <w:r w:rsidRPr="00D71D88">
        <w:rPr>
          <w:bCs/>
          <w:noProof/>
        </w:rPr>
        <w:t>1359</w:t>
      </w:r>
      <w:r w:rsidRPr="00D71D88">
        <w:rPr>
          <w:noProof/>
        </w:rPr>
        <w:t>:201–7.</w:t>
      </w:r>
    </w:p>
    <w:p w14:paraId="4D90EF78" w14:textId="77777777" w:rsidR="003E3A96" w:rsidRPr="00D71D88" w:rsidRDefault="003E3A96">
      <w:pPr>
        <w:pStyle w:val="StandardWeb"/>
        <w:divId w:val="1890651620"/>
        <w:rPr>
          <w:noProof/>
        </w:rPr>
      </w:pPr>
      <w:r w:rsidRPr="00D71D88">
        <w:rPr>
          <w:noProof/>
        </w:rPr>
        <w:t xml:space="preserve">26. Li Y, Sun L, Cai T, Zhang Y, Lv S, Wang Y, Ye L: </w:t>
      </w:r>
      <w:r w:rsidRPr="00D71D88">
        <w:rPr>
          <w:bCs/>
          <w:noProof/>
        </w:rPr>
        <w:t>alpha-Synuclein overexpression during manganese-induced apoptosis in SH-SY5Y neuroblastoma cells.</w:t>
      </w:r>
      <w:r w:rsidRPr="00D71D88">
        <w:rPr>
          <w:noProof/>
        </w:rPr>
        <w:t xml:space="preserve"> </w:t>
      </w:r>
      <w:r w:rsidRPr="00D71D88">
        <w:rPr>
          <w:i/>
          <w:iCs/>
          <w:noProof/>
        </w:rPr>
        <w:t>Brain Res Bull</w:t>
      </w:r>
      <w:r w:rsidRPr="00D71D88">
        <w:rPr>
          <w:noProof/>
        </w:rPr>
        <w:t xml:space="preserve"> 2010, </w:t>
      </w:r>
      <w:r w:rsidRPr="00D71D88">
        <w:rPr>
          <w:bCs/>
          <w:noProof/>
        </w:rPr>
        <w:t>81</w:t>
      </w:r>
      <w:r w:rsidRPr="00D71D88">
        <w:rPr>
          <w:noProof/>
        </w:rPr>
        <w:t>:428–33.</w:t>
      </w:r>
    </w:p>
    <w:p w14:paraId="4C3FAB34" w14:textId="77777777" w:rsidR="003E3A96" w:rsidRPr="00D71D88" w:rsidRDefault="003E3A96">
      <w:pPr>
        <w:pStyle w:val="StandardWeb"/>
        <w:divId w:val="1890651620"/>
        <w:rPr>
          <w:noProof/>
        </w:rPr>
      </w:pPr>
      <w:r w:rsidRPr="00D71D88">
        <w:rPr>
          <w:noProof/>
        </w:rPr>
        <w:t xml:space="preserve">27. Uversky VN, Li J, Fink AL: </w:t>
      </w:r>
      <w:r w:rsidRPr="00D71D88">
        <w:rPr>
          <w:bCs/>
          <w:noProof/>
        </w:rPr>
        <w:t>Metal-triggered structural transformations, aggregation, and fibrillation of human alpha-synuclein. A possible molecular NK between Parkinson’s disease and heavy metal exposure.</w:t>
      </w:r>
      <w:r w:rsidRPr="00D71D88">
        <w:rPr>
          <w:noProof/>
        </w:rPr>
        <w:t xml:space="preserve"> </w:t>
      </w:r>
      <w:r w:rsidRPr="00D71D88">
        <w:rPr>
          <w:i/>
          <w:iCs/>
          <w:noProof/>
        </w:rPr>
        <w:t>J Biol Chem</w:t>
      </w:r>
      <w:r w:rsidRPr="00D71D88">
        <w:rPr>
          <w:noProof/>
        </w:rPr>
        <w:t xml:space="preserve"> 2001, </w:t>
      </w:r>
      <w:r w:rsidRPr="00D71D88">
        <w:rPr>
          <w:bCs/>
          <w:noProof/>
        </w:rPr>
        <w:t>276</w:t>
      </w:r>
      <w:r w:rsidRPr="00D71D88">
        <w:rPr>
          <w:noProof/>
        </w:rPr>
        <w:t>:44284–96.</w:t>
      </w:r>
    </w:p>
    <w:p w14:paraId="4197D736" w14:textId="77777777" w:rsidR="003E3A96" w:rsidRPr="00D71D88" w:rsidRDefault="003E3A96">
      <w:pPr>
        <w:pStyle w:val="StandardWeb"/>
        <w:divId w:val="1890651620"/>
        <w:rPr>
          <w:noProof/>
        </w:rPr>
      </w:pPr>
      <w:r w:rsidRPr="00D71D88">
        <w:rPr>
          <w:noProof/>
        </w:rPr>
        <w:t xml:space="preserve">28. Verina T, Schneider JS, Guilarte TR: </w:t>
      </w:r>
      <w:r w:rsidRPr="00D71D88">
        <w:rPr>
          <w:bCs/>
          <w:noProof/>
        </w:rPr>
        <w:t>Manganese exposure induces α-synuclein aggregation in the frontal cortex of non-human primates</w:t>
      </w:r>
      <w:r w:rsidRPr="00D71D88">
        <w:rPr>
          <w:noProof/>
        </w:rPr>
        <w:t xml:space="preserve">. </w:t>
      </w:r>
      <w:r w:rsidRPr="00D71D88">
        <w:rPr>
          <w:i/>
          <w:iCs/>
          <w:noProof/>
        </w:rPr>
        <w:t>Toxicol Lett</w:t>
      </w:r>
      <w:r w:rsidRPr="00D71D88">
        <w:rPr>
          <w:noProof/>
        </w:rPr>
        <w:t xml:space="preserve"> 2013, </w:t>
      </w:r>
      <w:r w:rsidRPr="00D71D88">
        <w:rPr>
          <w:bCs/>
          <w:noProof/>
        </w:rPr>
        <w:t>217</w:t>
      </w:r>
      <w:r w:rsidRPr="00D71D88">
        <w:rPr>
          <w:noProof/>
        </w:rPr>
        <w:t>:177–183.</w:t>
      </w:r>
    </w:p>
    <w:p w14:paraId="79280CFA" w14:textId="77777777" w:rsidR="003E3A96" w:rsidRPr="00D71D88" w:rsidRDefault="003E3A96">
      <w:pPr>
        <w:pStyle w:val="StandardWeb"/>
        <w:divId w:val="1890651620"/>
        <w:rPr>
          <w:noProof/>
        </w:rPr>
      </w:pPr>
      <w:r w:rsidRPr="00D71D88">
        <w:rPr>
          <w:noProof/>
        </w:rPr>
        <w:t xml:space="preserve">29. Bowman AB, Kwakye GF, Herrero Hernández E, Aschner M: </w:t>
      </w:r>
      <w:r w:rsidRPr="00D71D88">
        <w:rPr>
          <w:bCs/>
          <w:noProof/>
        </w:rPr>
        <w:t>Role of manganese in neurodegenerative diseases.</w:t>
      </w:r>
      <w:r w:rsidRPr="00D71D88">
        <w:rPr>
          <w:noProof/>
        </w:rPr>
        <w:t xml:space="preserve"> </w:t>
      </w:r>
      <w:r w:rsidRPr="00D71D88">
        <w:rPr>
          <w:i/>
          <w:iCs/>
          <w:noProof/>
        </w:rPr>
        <w:t>J Trace Elem Med Biol</w:t>
      </w:r>
      <w:r w:rsidRPr="00D71D88">
        <w:rPr>
          <w:noProof/>
        </w:rPr>
        <w:t xml:space="preserve"> 2011, </w:t>
      </w:r>
      <w:r w:rsidRPr="00D71D88">
        <w:rPr>
          <w:bCs/>
          <w:noProof/>
        </w:rPr>
        <w:t>25</w:t>
      </w:r>
      <w:r w:rsidRPr="00D71D88">
        <w:rPr>
          <w:noProof/>
        </w:rPr>
        <w:t>:191–203.</w:t>
      </w:r>
    </w:p>
    <w:p w14:paraId="1086D546" w14:textId="77777777" w:rsidR="003E3A96" w:rsidRPr="00D71D88" w:rsidRDefault="003E3A96">
      <w:pPr>
        <w:pStyle w:val="StandardWeb"/>
        <w:divId w:val="1890651620"/>
        <w:rPr>
          <w:noProof/>
        </w:rPr>
      </w:pPr>
      <w:r w:rsidRPr="00D71D88">
        <w:rPr>
          <w:noProof/>
        </w:rPr>
        <w:t xml:space="preserve">30. Gitler AD, Chesi A, Geddie ML, Strathearn KE, Hamamichi S, Hill KJ, Caldwell KA, Caldwell GA, Cooper AA, Rochet J-C, Lindquist S: </w:t>
      </w:r>
      <w:r w:rsidRPr="00D71D88">
        <w:rPr>
          <w:bCs/>
          <w:noProof/>
        </w:rPr>
        <w:t>Alpha-synuclein is part of a diverse and highly conserved interaction network that includes PARK9 and manganese toxicity.</w:t>
      </w:r>
      <w:r w:rsidRPr="00D71D88">
        <w:rPr>
          <w:noProof/>
        </w:rPr>
        <w:t xml:space="preserve"> </w:t>
      </w:r>
      <w:r w:rsidRPr="00D71D88">
        <w:rPr>
          <w:i/>
          <w:iCs/>
          <w:noProof/>
        </w:rPr>
        <w:t>Nat Genet</w:t>
      </w:r>
      <w:r w:rsidRPr="00D71D88">
        <w:rPr>
          <w:noProof/>
        </w:rPr>
        <w:t xml:space="preserve"> 2009, </w:t>
      </w:r>
      <w:r w:rsidRPr="00D71D88">
        <w:rPr>
          <w:bCs/>
          <w:noProof/>
        </w:rPr>
        <w:t>41</w:t>
      </w:r>
      <w:r w:rsidRPr="00D71D88">
        <w:rPr>
          <w:noProof/>
        </w:rPr>
        <w:t>:308–15.</w:t>
      </w:r>
    </w:p>
    <w:p w14:paraId="1FB09B0D" w14:textId="77777777" w:rsidR="003E3A96" w:rsidRPr="00D71D88" w:rsidRDefault="003E3A96">
      <w:pPr>
        <w:pStyle w:val="StandardWeb"/>
        <w:divId w:val="1890651620"/>
        <w:rPr>
          <w:noProof/>
        </w:rPr>
      </w:pPr>
      <w:r w:rsidRPr="00D71D88">
        <w:rPr>
          <w:noProof/>
        </w:rPr>
        <w:t xml:space="preserve">31. Carmona A, Roudeau S, Perrin L, Veronesi G, Ortega R: </w:t>
      </w:r>
      <w:r w:rsidRPr="00D71D88">
        <w:rPr>
          <w:bCs/>
          <w:noProof/>
        </w:rPr>
        <w:t>Environmental manganese compounds accumulate as Mn(ii) within the Golgi apparatus of dopamine cells: relationship between speciation, subcellular distribution, and cytotoxicity.</w:t>
      </w:r>
      <w:r w:rsidRPr="00D71D88">
        <w:rPr>
          <w:noProof/>
        </w:rPr>
        <w:t xml:space="preserve"> </w:t>
      </w:r>
      <w:r w:rsidRPr="00D71D88">
        <w:rPr>
          <w:i/>
          <w:iCs/>
          <w:noProof/>
        </w:rPr>
        <w:t>Metallomics</w:t>
      </w:r>
      <w:r w:rsidRPr="00D71D88">
        <w:rPr>
          <w:noProof/>
        </w:rPr>
        <w:t xml:space="preserve"> 2014, </w:t>
      </w:r>
      <w:r w:rsidRPr="00D71D88">
        <w:rPr>
          <w:bCs/>
          <w:noProof/>
        </w:rPr>
        <w:t>6</w:t>
      </w:r>
      <w:r w:rsidRPr="00D71D88">
        <w:rPr>
          <w:noProof/>
        </w:rPr>
        <w:t>:822–32.</w:t>
      </w:r>
    </w:p>
    <w:p w14:paraId="5538F32D" w14:textId="77777777" w:rsidR="003E3A96" w:rsidRPr="00D71D88" w:rsidRDefault="003E3A96">
      <w:pPr>
        <w:pStyle w:val="StandardWeb"/>
        <w:divId w:val="1890651620"/>
        <w:rPr>
          <w:noProof/>
        </w:rPr>
      </w:pPr>
      <w:r w:rsidRPr="00D71D88">
        <w:rPr>
          <w:noProof/>
        </w:rPr>
        <w:t xml:space="preserve">32. Sepúlveda MR, Wuytack F, Mata AM: </w:t>
      </w:r>
      <w:r w:rsidRPr="00D71D88">
        <w:rPr>
          <w:bCs/>
          <w:noProof/>
        </w:rPr>
        <w:t>High levels of Mn</w:t>
      </w:r>
      <w:r w:rsidRPr="00D71D88">
        <w:rPr>
          <w:bCs/>
          <w:noProof/>
          <w:vertAlign w:val="superscript"/>
        </w:rPr>
        <w:t>2+</w:t>
      </w:r>
      <w:r w:rsidRPr="00D71D88">
        <w:rPr>
          <w:bCs/>
          <w:noProof/>
        </w:rPr>
        <w:t xml:space="preserve"> inhibit secretory pathway Ca</w:t>
      </w:r>
      <w:r w:rsidRPr="00D71D88">
        <w:rPr>
          <w:bCs/>
          <w:noProof/>
          <w:vertAlign w:val="superscript"/>
        </w:rPr>
        <w:t>2+</w:t>
      </w:r>
      <w:r w:rsidRPr="00D71D88">
        <w:rPr>
          <w:bCs/>
          <w:noProof/>
        </w:rPr>
        <w:t>/Mn</w:t>
      </w:r>
      <w:r w:rsidRPr="00D71D88">
        <w:rPr>
          <w:bCs/>
          <w:noProof/>
          <w:vertAlign w:val="superscript"/>
        </w:rPr>
        <w:t>2+</w:t>
      </w:r>
      <w:r w:rsidRPr="00D71D88">
        <w:rPr>
          <w:bCs/>
          <w:noProof/>
        </w:rPr>
        <w:t>-ATPase (SPCA) activity and cause Golgi fragmentation in neurons and glia.</w:t>
      </w:r>
      <w:r w:rsidRPr="00D71D88">
        <w:rPr>
          <w:noProof/>
        </w:rPr>
        <w:t xml:space="preserve"> </w:t>
      </w:r>
      <w:r w:rsidRPr="00D71D88">
        <w:rPr>
          <w:i/>
          <w:iCs/>
          <w:noProof/>
        </w:rPr>
        <w:t>J Neurochem</w:t>
      </w:r>
      <w:r w:rsidRPr="00D71D88">
        <w:rPr>
          <w:noProof/>
        </w:rPr>
        <w:t xml:space="preserve"> 2012, </w:t>
      </w:r>
      <w:r w:rsidRPr="00D71D88">
        <w:rPr>
          <w:bCs/>
          <w:noProof/>
        </w:rPr>
        <w:t>123</w:t>
      </w:r>
      <w:r w:rsidRPr="00D71D88">
        <w:rPr>
          <w:noProof/>
        </w:rPr>
        <w:t>:824–36.</w:t>
      </w:r>
    </w:p>
    <w:p w14:paraId="04D5DAB2" w14:textId="77777777" w:rsidR="003E3A96" w:rsidRPr="00D71D88" w:rsidRDefault="003E3A96">
      <w:pPr>
        <w:pStyle w:val="StandardWeb"/>
        <w:divId w:val="1890651620"/>
        <w:rPr>
          <w:noProof/>
        </w:rPr>
      </w:pPr>
      <w:r w:rsidRPr="00D71D88">
        <w:rPr>
          <w:noProof/>
        </w:rPr>
        <w:lastRenderedPageBreak/>
        <w:t xml:space="preserve">33. Gavin C, Gunter K, Gunter T: </w:t>
      </w:r>
      <w:r w:rsidRPr="00D71D88">
        <w:rPr>
          <w:bCs/>
          <w:noProof/>
        </w:rPr>
        <w:t>Manganese and calcium transport in mitochondria: Implications for manganese toxicity</w:t>
      </w:r>
      <w:r w:rsidRPr="00D71D88">
        <w:rPr>
          <w:noProof/>
        </w:rPr>
        <w:t xml:space="preserve">. </w:t>
      </w:r>
      <w:r w:rsidRPr="00D71D88">
        <w:rPr>
          <w:i/>
          <w:iCs/>
          <w:noProof/>
        </w:rPr>
        <w:t>Neurotoxicology</w:t>
      </w:r>
      <w:r w:rsidRPr="00D71D88">
        <w:rPr>
          <w:noProof/>
        </w:rPr>
        <w:t xml:space="preserve"> , </w:t>
      </w:r>
      <w:r w:rsidRPr="00D71D88">
        <w:rPr>
          <w:bCs/>
          <w:noProof/>
        </w:rPr>
        <w:t>20</w:t>
      </w:r>
      <w:r w:rsidRPr="00D71D88">
        <w:rPr>
          <w:noProof/>
        </w:rPr>
        <w:t>:445–453.</w:t>
      </w:r>
    </w:p>
    <w:p w14:paraId="1B338DDF" w14:textId="77777777" w:rsidR="003E3A96" w:rsidRPr="00D71D88" w:rsidRDefault="003E3A96">
      <w:pPr>
        <w:pStyle w:val="StandardWeb"/>
        <w:divId w:val="1890651620"/>
        <w:rPr>
          <w:noProof/>
        </w:rPr>
      </w:pPr>
      <w:r w:rsidRPr="00D71D88">
        <w:rPr>
          <w:noProof/>
        </w:rPr>
        <w:t xml:space="preserve">34. Fernández-Segura E, Cañizares FJ, Cubero M a, Warley a, Campos a: </w:t>
      </w:r>
      <w:r w:rsidRPr="00D71D88">
        <w:rPr>
          <w:bCs/>
          <w:noProof/>
        </w:rPr>
        <w:t>Changes in elemental content during apoptotic cell death studied by electron probe X-ray microanalysis.</w:t>
      </w:r>
      <w:r w:rsidRPr="00D71D88">
        <w:rPr>
          <w:noProof/>
        </w:rPr>
        <w:t xml:space="preserve"> </w:t>
      </w:r>
      <w:r w:rsidRPr="00D71D88">
        <w:rPr>
          <w:i/>
          <w:iCs/>
          <w:noProof/>
        </w:rPr>
        <w:t>Exp Cell Res</w:t>
      </w:r>
      <w:r w:rsidRPr="00D71D88">
        <w:rPr>
          <w:noProof/>
        </w:rPr>
        <w:t xml:space="preserve"> 1999, </w:t>
      </w:r>
      <w:r w:rsidRPr="00D71D88">
        <w:rPr>
          <w:bCs/>
          <w:noProof/>
        </w:rPr>
        <w:t>253</w:t>
      </w:r>
      <w:r w:rsidRPr="00D71D88">
        <w:rPr>
          <w:noProof/>
        </w:rPr>
        <w:t>:454–462.</w:t>
      </w:r>
    </w:p>
    <w:p w14:paraId="23D66820" w14:textId="77777777" w:rsidR="003E3A96" w:rsidRPr="00D71D88" w:rsidRDefault="003E3A96">
      <w:pPr>
        <w:pStyle w:val="StandardWeb"/>
        <w:divId w:val="1890651620"/>
        <w:rPr>
          <w:noProof/>
        </w:rPr>
      </w:pPr>
      <w:r w:rsidRPr="00D71D88">
        <w:rPr>
          <w:noProof/>
        </w:rPr>
        <w:t xml:space="preserve">35. Ramos JM, Arrebola F, Fernandez-Cervilla FJ, Crespo V, Fernandez-Segura E: </w:t>
      </w:r>
      <w:r w:rsidRPr="00D71D88">
        <w:rPr>
          <w:bCs/>
          <w:noProof/>
        </w:rPr>
        <w:t>Electron probe X-ray microanalysis of cisplatin-induced cell death in rat pheochromocytoma PC12 cells</w:t>
      </w:r>
      <w:r w:rsidRPr="00D71D88">
        <w:rPr>
          <w:noProof/>
        </w:rPr>
        <w:t xml:space="preserve">. </w:t>
      </w:r>
      <w:r w:rsidRPr="00D71D88">
        <w:rPr>
          <w:i/>
          <w:iCs/>
          <w:noProof/>
        </w:rPr>
        <w:t>Histol Histopathol</w:t>
      </w:r>
      <w:r w:rsidRPr="00D71D88">
        <w:rPr>
          <w:noProof/>
        </w:rPr>
        <w:t xml:space="preserve"> 2011, </w:t>
      </w:r>
      <w:r w:rsidRPr="00D71D88">
        <w:rPr>
          <w:bCs/>
          <w:noProof/>
        </w:rPr>
        <w:t>26</w:t>
      </w:r>
      <w:r w:rsidRPr="00D71D88">
        <w:rPr>
          <w:noProof/>
        </w:rPr>
        <w:t>:333–342.</w:t>
      </w:r>
    </w:p>
    <w:p w14:paraId="73654B5E" w14:textId="77777777" w:rsidR="003E3A96" w:rsidRPr="00D71D88" w:rsidRDefault="003E3A96">
      <w:pPr>
        <w:pStyle w:val="StandardWeb"/>
        <w:divId w:val="1890651620"/>
        <w:rPr>
          <w:noProof/>
        </w:rPr>
      </w:pPr>
      <w:r w:rsidRPr="00D71D88">
        <w:rPr>
          <w:noProof/>
        </w:rPr>
        <w:t xml:space="preserve">36. Streifel KM, Miller J, Mouneimne R, Tjalkens RB: </w:t>
      </w:r>
      <w:r w:rsidRPr="00D71D88">
        <w:rPr>
          <w:bCs/>
          <w:noProof/>
        </w:rPr>
        <w:t>Manganese inhibits ATP-induced calcium entry through the transient receptor potential channel TRPC3 in astrocytes.</w:t>
      </w:r>
      <w:r w:rsidRPr="00D71D88">
        <w:rPr>
          <w:noProof/>
        </w:rPr>
        <w:t xml:space="preserve"> </w:t>
      </w:r>
      <w:r w:rsidRPr="00D71D88">
        <w:rPr>
          <w:i/>
          <w:iCs/>
          <w:noProof/>
        </w:rPr>
        <w:t>Neurotoxicology</w:t>
      </w:r>
      <w:r w:rsidRPr="00D71D88">
        <w:rPr>
          <w:noProof/>
        </w:rPr>
        <w:t xml:space="preserve"> 2013, </w:t>
      </w:r>
      <w:r w:rsidRPr="00D71D88">
        <w:rPr>
          <w:bCs/>
          <w:noProof/>
        </w:rPr>
        <w:t>34</w:t>
      </w:r>
      <w:r w:rsidRPr="00D71D88">
        <w:rPr>
          <w:noProof/>
        </w:rPr>
        <w:t>:160–6.</w:t>
      </w:r>
    </w:p>
    <w:p w14:paraId="10095AC0" w14:textId="77777777" w:rsidR="003E3A96" w:rsidRPr="00D71D88" w:rsidRDefault="003E3A96">
      <w:pPr>
        <w:pStyle w:val="StandardWeb"/>
        <w:divId w:val="1890651620"/>
        <w:rPr>
          <w:noProof/>
        </w:rPr>
      </w:pPr>
      <w:r w:rsidRPr="00D71D88">
        <w:rPr>
          <w:noProof/>
        </w:rPr>
        <w:t xml:space="preserve">37. Narita K, Kawasaki F, Kita H: </w:t>
      </w:r>
      <w:r w:rsidRPr="00D71D88">
        <w:rPr>
          <w:bCs/>
          <w:noProof/>
        </w:rPr>
        <w:t>Mn and Mg influxes through Ca channels of motor nerve terminals are prevented by verapamil in frogs</w:t>
      </w:r>
      <w:r w:rsidRPr="00D71D88">
        <w:rPr>
          <w:noProof/>
        </w:rPr>
        <w:t xml:space="preserve">. </w:t>
      </w:r>
      <w:r w:rsidRPr="00D71D88">
        <w:rPr>
          <w:i/>
          <w:iCs/>
          <w:noProof/>
        </w:rPr>
        <w:t>Brain Res</w:t>
      </w:r>
      <w:r w:rsidRPr="00D71D88">
        <w:rPr>
          <w:noProof/>
        </w:rPr>
        <w:t xml:space="preserve"> 1990, </w:t>
      </w:r>
      <w:r w:rsidRPr="00D71D88">
        <w:rPr>
          <w:bCs/>
          <w:noProof/>
        </w:rPr>
        <w:t>510</w:t>
      </w:r>
      <w:r w:rsidRPr="00D71D88">
        <w:rPr>
          <w:noProof/>
        </w:rPr>
        <w:t>:289–295.</w:t>
      </w:r>
    </w:p>
    <w:p w14:paraId="51EB2621" w14:textId="77777777" w:rsidR="003E3A96" w:rsidRPr="00D71D88" w:rsidRDefault="003E3A96">
      <w:pPr>
        <w:pStyle w:val="StandardWeb"/>
        <w:divId w:val="1890651620"/>
        <w:rPr>
          <w:noProof/>
        </w:rPr>
      </w:pPr>
      <w:r w:rsidRPr="00D71D88">
        <w:rPr>
          <w:noProof/>
        </w:rPr>
        <w:t xml:space="preserve">38. Jomova K, Vondrakova D, Lawson M, Valko M: </w:t>
      </w:r>
      <w:r w:rsidRPr="00D71D88">
        <w:rPr>
          <w:bCs/>
          <w:noProof/>
        </w:rPr>
        <w:t>Metals, oxidative stress and neurodegenerative disorders.</w:t>
      </w:r>
      <w:r w:rsidRPr="00D71D88">
        <w:rPr>
          <w:noProof/>
        </w:rPr>
        <w:t xml:space="preserve"> </w:t>
      </w:r>
      <w:r w:rsidRPr="00D71D88">
        <w:rPr>
          <w:i/>
          <w:iCs/>
          <w:noProof/>
        </w:rPr>
        <w:t>Mol Cell Biochem</w:t>
      </w:r>
      <w:r w:rsidRPr="00D71D88">
        <w:rPr>
          <w:noProof/>
        </w:rPr>
        <w:t xml:space="preserve"> 2010, </w:t>
      </w:r>
      <w:r w:rsidRPr="00D71D88">
        <w:rPr>
          <w:bCs/>
          <w:noProof/>
        </w:rPr>
        <w:t>345</w:t>
      </w:r>
      <w:r w:rsidRPr="00D71D88">
        <w:rPr>
          <w:noProof/>
        </w:rPr>
        <w:t>:91–104.</w:t>
      </w:r>
    </w:p>
    <w:p w14:paraId="4522AA89" w14:textId="77777777" w:rsidR="003E3A96" w:rsidRPr="00D71D88" w:rsidRDefault="003E3A96">
      <w:pPr>
        <w:pStyle w:val="StandardWeb"/>
        <w:divId w:val="1890651620"/>
        <w:rPr>
          <w:noProof/>
        </w:rPr>
      </w:pPr>
      <w:r w:rsidRPr="00D71D88">
        <w:rPr>
          <w:noProof/>
        </w:rPr>
        <w:t xml:space="preserve">39. Fernsebner K, Zorn J, Kanawati B, Walker A, Michalke B: </w:t>
      </w:r>
      <w:r w:rsidRPr="00D71D88">
        <w:rPr>
          <w:bCs/>
          <w:noProof/>
        </w:rPr>
        <w:t>Manganese leads to an increase in markers of oxidative stress as well as to a shift in the ratio of Fe(II)/(III) in rat brain tissue.</w:t>
      </w:r>
      <w:r w:rsidRPr="00D71D88">
        <w:rPr>
          <w:noProof/>
        </w:rPr>
        <w:t xml:space="preserve"> </w:t>
      </w:r>
      <w:r w:rsidRPr="00D71D88">
        <w:rPr>
          <w:i/>
          <w:iCs/>
          <w:noProof/>
        </w:rPr>
        <w:t>Metallomics</w:t>
      </w:r>
      <w:r w:rsidRPr="00D71D88">
        <w:rPr>
          <w:noProof/>
        </w:rPr>
        <w:t xml:space="preserve"> 2014, </w:t>
      </w:r>
      <w:r w:rsidRPr="00D71D88">
        <w:rPr>
          <w:bCs/>
          <w:noProof/>
        </w:rPr>
        <w:t>6</w:t>
      </w:r>
      <w:r w:rsidRPr="00D71D88">
        <w:rPr>
          <w:noProof/>
        </w:rPr>
        <w:t>:921–31.</w:t>
      </w:r>
    </w:p>
    <w:p w14:paraId="5DF52ED9" w14:textId="77777777" w:rsidR="003E3A96" w:rsidRPr="00D71D88" w:rsidRDefault="003E3A96">
      <w:pPr>
        <w:pStyle w:val="StandardWeb"/>
        <w:divId w:val="1890651620"/>
        <w:rPr>
          <w:noProof/>
        </w:rPr>
      </w:pPr>
      <w:r w:rsidRPr="00D71D88">
        <w:rPr>
          <w:noProof/>
        </w:rPr>
        <w:t xml:space="preserve">40. Salazar J, Mena N, Hunot S, Prigent A, Alvarez-Fischer D, Arredondo M, Duyckaerts C, Sazdovitch V, Zhao L, Garrick LM, Nuñez MT, Garrick MD, Raisman-Vozari R, Hirsch EC: </w:t>
      </w:r>
      <w:r w:rsidRPr="00D71D88">
        <w:rPr>
          <w:bCs/>
          <w:noProof/>
        </w:rPr>
        <w:t>Divalent metal transporter 1 (DMT1) contributes to neurodegeneration in animal models of Parkinson’s disease.</w:t>
      </w:r>
      <w:r w:rsidRPr="00D71D88">
        <w:rPr>
          <w:noProof/>
        </w:rPr>
        <w:t xml:space="preserve"> </w:t>
      </w:r>
      <w:r w:rsidRPr="00D71D88">
        <w:rPr>
          <w:i/>
          <w:iCs/>
          <w:noProof/>
        </w:rPr>
        <w:t>Proc Natl Acad Sci U S A</w:t>
      </w:r>
      <w:r w:rsidRPr="00D71D88">
        <w:rPr>
          <w:noProof/>
        </w:rPr>
        <w:t xml:space="preserve"> 2008, </w:t>
      </w:r>
      <w:r w:rsidRPr="00D71D88">
        <w:rPr>
          <w:bCs/>
          <w:noProof/>
        </w:rPr>
        <w:t>105</w:t>
      </w:r>
      <w:r w:rsidRPr="00D71D88">
        <w:rPr>
          <w:noProof/>
        </w:rPr>
        <w:t>:18578–83.</w:t>
      </w:r>
    </w:p>
    <w:p w14:paraId="221315F2" w14:textId="77777777" w:rsidR="003E3A96" w:rsidRPr="00D71D88" w:rsidRDefault="003E3A96">
      <w:pPr>
        <w:pStyle w:val="StandardWeb"/>
        <w:divId w:val="1890651620"/>
        <w:rPr>
          <w:noProof/>
        </w:rPr>
      </w:pPr>
      <w:r w:rsidRPr="00D71D88">
        <w:rPr>
          <w:noProof/>
        </w:rPr>
        <w:t xml:space="preserve">41. Chew KCM, Ang E-T, Tai YK, Tsang F, Lo SQ, Ong E, Ong W-Y, Shen H-M, Lim K-L, Dawson VL, Dawson TM, Soong TW: </w:t>
      </w:r>
      <w:r w:rsidRPr="00D71D88">
        <w:rPr>
          <w:bCs/>
          <w:noProof/>
        </w:rPr>
        <w:t>Enhanced autophagy from chronic toxicity of iron and mutant A53T α-synuclein: implications for neuronal cell death in Parkinson disease.</w:t>
      </w:r>
      <w:r w:rsidRPr="00D71D88">
        <w:rPr>
          <w:noProof/>
        </w:rPr>
        <w:t xml:space="preserve"> </w:t>
      </w:r>
      <w:r w:rsidRPr="00D71D88">
        <w:rPr>
          <w:i/>
          <w:iCs/>
          <w:noProof/>
        </w:rPr>
        <w:t>J Biol Chem</w:t>
      </w:r>
      <w:r w:rsidRPr="00D71D88">
        <w:rPr>
          <w:noProof/>
        </w:rPr>
        <w:t xml:space="preserve"> 2011, </w:t>
      </w:r>
      <w:r w:rsidRPr="00D71D88">
        <w:rPr>
          <w:bCs/>
          <w:noProof/>
        </w:rPr>
        <w:t>286</w:t>
      </w:r>
      <w:r w:rsidRPr="00D71D88">
        <w:rPr>
          <w:noProof/>
        </w:rPr>
        <w:t>:33380–9.</w:t>
      </w:r>
    </w:p>
    <w:p w14:paraId="513DB9F5" w14:textId="77777777" w:rsidR="003E3A96" w:rsidRPr="00D71D88" w:rsidRDefault="003E3A96">
      <w:pPr>
        <w:pStyle w:val="StandardWeb"/>
        <w:divId w:val="1890651620"/>
        <w:rPr>
          <w:noProof/>
        </w:rPr>
      </w:pPr>
      <w:r w:rsidRPr="00D71D88">
        <w:rPr>
          <w:noProof/>
        </w:rPr>
        <w:t xml:space="preserve">42. Martinez-Finley EJ, Gavin CE, Aschner M, Gunter TE: </w:t>
      </w:r>
      <w:r w:rsidRPr="00D71D88">
        <w:rPr>
          <w:bCs/>
          <w:noProof/>
        </w:rPr>
        <w:t>Manganese neurotoxicity and the role of reactive oxygen species.</w:t>
      </w:r>
      <w:r w:rsidRPr="00D71D88">
        <w:rPr>
          <w:noProof/>
        </w:rPr>
        <w:t xml:space="preserve"> </w:t>
      </w:r>
      <w:r w:rsidRPr="00D71D88">
        <w:rPr>
          <w:i/>
          <w:iCs/>
          <w:noProof/>
        </w:rPr>
        <w:t>Free Radic Biol Med</w:t>
      </w:r>
      <w:r w:rsidRPr="00D71D88">
        <w:rPr>
          <w:noProof/>
        </w:rPr>
        <w:t xml:space="preserve"> 2013, </w:t>
      </w:r>
      <w:r w:rsidRPr="00D71D88">
        <w:rPr>
          <w:bCs/>
          <w:noProof/>
        </w:rPr>
        <w:t>62</w:t>
      </w:r>
      <w:r w:rsidRPr="00D71D88">
        <w:rPr>
          <w:noProof/>
        </w:rPr>
        <w:t>:65–75.</w:t>
      </w:r>
    </w:p>
    <w:p w14:paraId="4813CC10" w14:textId="77777777" w:rsidR="003E3A96" w:rsidRPr="00D71D88" w:rsidRDefault="003E3A96">
      <w:pPr>
        <w:pStyle w:val="StandardWeb"/>
        <w:divId w:val="1890651620"/>
        <w:rPr>
          <w:noProof/>
        </w:rPr>
      </w:pPr>
      <w:r w:rsidRPr="00D71D88">
        <w:rPr>
          <w:noProof/>
        </w:rPr>
        <w:t xml:space="preserve">43. Gunter KK, Aschner M, Miller LM, Eliseev R, Salter J, Anderson K, Gunter TE: </w:t>
      </w:r>
      <w:r w:rsidRPr="00D71D88">
        <w:rPr>
          <w:bCs/>
          <w:noProof/>
        </w:rPr>
        <w:t>Determining the oxidation states of manganese in NT2 cells and cultured astrocytes</w:t>
      </w:r>
      <w:r w:rsidRPr="00D71D88">
        <w:rPr>
          <w:noProof/>
        </w:rPr>
        <w:t xml:space="preserve">. </w:t>
      </w:r>
      <w:r w:rsidRPr="00D71D88">
        <w:rPr>
          <w:i/>
          <w:iCs/>
          <w:noProof/>
        </w:rPr>
        <w:t>Neurobiol Aging</w:t>
      </w:r>
      <w:r w:rsidRPr="00D71D88">
        <w:rPr>
          <w:noProof/>
        </w:rPr>
        <w:t xml:space="preserve"> 2006, </w:t>
      </w:r>
      <w:r w:rsidRPr="00D71D88">
        <w:rPr>
          <w:bCs/>
          <w:noProof/>
        </w:rPr>
        <w:t>27</w:t>
      </w:r>
      <w:r w:rsidRPr="00D71D88">
        <w:rPr>
          <w:noProof/>
        </w:rPr>
        <w:t>:1816–1826.</w:t>
      </w:r>
    </w:p>
    <w:p w14:paraId="3A885668" w14:textId="77777777" w:rsidR="003E3A96" w:rsidRPr="00D71D88" w:rsidRDefault="003E3A96">
      <w:pPr>
        <w:pStyle w:val="StandardWeb"/>
        <w:divId w:val="1890651620"/>
        <w:rPr>
          <w:noProof/>
        </w:rPr>
      </w:pPr>
      <w:r w:rsidRPr="00D71D88">
        <w:rPr>
          <w:noProof/>
        </w:rPr>
        <w:t xml:space="preserve">44. Knöferle J, Ramljak S, Koch JC, Tönges L, Asif AR, Michel U, Wouters FS, Heermann S, Krieglstein K, Zerr I, Bähr M, Lingor P: </w:t>
      </w:r>
      <w:r w:rsidRPr="00D71D88">
        <w:rPr>
          <w:bCs/>
          <w:noProof/>
        </w:rPr>
        <w:t>TGF-beta 1 enhances neurite outgrowth via regulation of proteasome function and EFABP.</w:t>
      </w:r>
      <w:r w:rsidRPr="00D71D88">
        <w:rPr>
          <w:noProof/>
        </w:rPr>
        <w:t xml:space="preserve"> </w:t>
      </w:r>
      <w:r w:rsidRPr="00D71D88">
        <w:rPr>
          <w:i/>
          <w:iCs/>
          <w:noProof/>
        </w:rPr>
        <w:t>Neurobiol Dis</w:t>
      </w:r>
      <w:r w:rsidRPr="00D71D88">
        <w:rPr>
          <w:noProof/>
        </w:rPr>
        <w:t xml:space="preserve"> 2010, </w:t>
      </w:r>
      <w:r w:rsidRPr="00D71D88">
        <w:rPr>
          <w:bCs/>
          <w:noProof/>
        </w:rPr>
        <w:t>38</w:t>
      </w:r>
      <w:r w:rsidRPr="00D71D88">
        <w:rPr>
          <w:noProof/>
        </w:rPr>
        <w:t>:395–404.</w:t>
      </w:r>
    </w:p>
    <w:p w14:paraId="1B67B065" w14:textId="77777777" w:rsidR="003E3A96" w:rsidRPr="00D71D88" w:rsidRDefault="003E3A96">
      <w:pPr>
        <w:pStyle w:val="StandardWeb"/>
        <w:divId w:val="1890651620"/>
        <w:rPr>
          <w:noProof/>
        </w:rPr>
      </w:pPr>
      <w:r w:rsidRPr="00D71D88">
        <w:rPr>
          <w:noProof/>
        </w:rPr>
        <w:lastRenderedPageBreak/>
        <w:t xml:space="preserve">45. Shimoda K, Sauve Y, Marini A, Schwartz JP, Commissiong JW: </w:t>
      </w:r>
      <w:r w:rsidRPr="00D71D88">
        <w:rPr>
          <w:bCs/>
          <w:noProof/>
        </w:rPr>
        <w:t>A high percentage yield of tyrosine hydroxylase-positive cells from rat E14 mesencephalic cell culture</w:t>
      </w:r>
      <w:r w:rsidRPr="00D71D88">
        <w:rPr>
          <w:noProof/>
        </w:rPr>
        <w:t xml:space="preserve">. </w:t>
      </w:r>
      <w:r w:rsidRPr="00D71D88">
        <w:rPr>
          <w:i/>
          <w:iCs/>
          <w:noProof/>
        </w:rPr>
        <w:t>Brain Res</w:t>
      </w:r>
      <w:r w:rsidRPr="00D71D88">
        <w:rPr>
          <w:noProof/>
        </w:rPr>
        <w:t xml:space="preserve"> 1992, </w:t>
      </w:r>
      <w:r w:rsidRPr="00D71D88">
        <w:rPr>
          <w:bCs/>
          <w:noProof/>
        </w:rPr>
        <w:t>586</w:t>
      </w:r>
      <w:r w:rsidRPr="00D71D88">
        <w:rPr>
          <w:noProof/>
        </w:rPr>
        <w:t>:319–331.</w:t>
      </w:r>
    </w:p>
    <w:p w14:paraId="73E6D9A5" w14:textId="77777777" w:rsidR="003E3A96" w:rsidRPr="00D71D88" w:rsidRDefault="003E3A96">
      <w:pPr>
        <w:pStyle w:val="StandardWeb"/>
        <w:divId w:val="1890651620"/>
        <w:rPr>
          <w:noProof/>
        </w:rPr>
      </w:pPr>
      <w:r w:rsidRPr="00D71D88">
        <w:rPr>
          <w:noProof/>
        </w:rPr>
        <w:t xml:space="preserve">46. Taschenberger G, Garrido M, Tereshchenko Y, Bähr M, Zweckstetter M, Kügler S: </w:t>
      </w:r>
      <w:r w:rsidRPr="00D71D88">
        <w:rPr>
          <w:bCs/>
          <w:noProof/>
        </w:rPr>
        <w:t>Aggregation of αSynuclein promotes progressive in vivo neurotoxicity in adult rat dopaminergic neurons.</w:t>
      </w:r>
      <w:r w:rsidRPr="00D71D88">
        <w:rPr>
          <w:noProof/>
        </w:rPr>
        <w:t xml:space="preserve"> </w:t>
      </w:r>
      <w:r w:rsidRPr="00D71D88">
        <w:rPr>
          <w:i/>
          <w:iCs/>
          <w:noProof/>
        </w:rPr>
        <w:t>Acta Neuropathol</w:t>
      </w:r>
      <w:r w:rsidRPr="00D71D88">
        <w:rPr>
          <w:noProof/>
        </w:rPr>
        <w:t xml:space="preserve"> 2012, </w:t>
      </w:r>
      <w:r w:rsidRPr="00D71D88">
        <w:rPr>
          <w:bCs/>
          <w:noProof/>
        </w:rPr>
        <w:t>123</w:t>
      </w:r>
      <w:r w:rsidRPr="00D71D88">
        <w:rPr>
          <w:noProof/>
        </w:rPr>
        <w:t>:671–83.</w:t>
      </w:r>
    </w:p>
    <w:p w14:paraId="7A388FAA" w14:textId="77777777" w:rsidR="003E3A96" w:rsidRPr="00D71D88" w:rsidRDefault="003E3A96">
      <w:pPr>
        <w:pStyle w:val="StandardWeb"/>
        <w:divId w:val="1890651620"/>
        <w:rPr>
          <w:noProof/>
        </w:rPr>
      </w:pPr>
      <w:r w:rsidRPr="00D71D88">
        <w:rPr>
          <w:noProof/>
        </w:rPr>
        <w:t xml:space="preserve">47. Koch JC, Barski E, Lingor P, Bähr M, Michel U: </w:t>
      </w:r>
      <w:r w:rsidRPr="00D71D88">
        <w:rPr>
          <w:bCs/>
          <w:noProof/>
        </w:rPr>
        <w:t>Plasmids containing NRSE/RE1 sites enhance neurite outgrowth of retinal ganglion cells via sequestration of REST independent of NRSE dsRNA expression.</w:t>
      </w:r>
      <w:r w:rsidRPr="00D71D88">
        <w:rPr>
          <w:noProof/>
        </w:rPr>
        <w:t xml:space="preserve"> </w:t>
      </w:r>
      <w:r w:rsidRPr="00D71D88">
        <w:rPr>
          <w:i/>
          <w:iCs/>
          <w:noProof/>
        </w:rPr>
        <w:t>FEBS J</w:t>
      </w:r>
      <w:r w:rsidRPr="00D71D88">
        <w:rPr>
          <w:noProof/>
        </w:rPr>
        <w:t xml:space="preserve"> 2011, </w:t>
      </w:r>
      <w:r w:rsidRPr="00D71D88">
        <w:rPr>
          <w:bCs/>
          <w:noProof/>
        </w:rPr>
        <w:t>278</w:t>
      </w:r>
      <w:r w:rsidRPr="00D71D88">
        <w:rPr>
          <w:noProof/>
        </w:rPr>
        <w:t>:3472–83.</w:t>
      </w:r>
    </w:p>
    <w:p w14:paraId="66EC6F5B" w14:textId="77777777" w:rsidR="003E3A96" w:rsidRPr="00D71D88" w:rsidRDefault="003E3A96">
      <w:pPr>
        <w:pStyle w:val="StandardWeb"/>
        <w:divId w:val="1890651620"/>
        <w:rPr>
          <w:noProof/>
        </w:rPr>
      </w:pPr>
      <w:r w:rsidRPr="00D71D88">
        <w:rPr>
          <w:noProof/>
        </w:rPr>
        <w:t xml:space="preserve">48. Lingor P, Unsicker K, Krieglstein K: </w:t>
      </w:r>
      <w:r w:rsidRPr="00D71D88">
        <w:rPr>
          <w:bCs/>
          <w:noProof/>
        </w:rPr>
        <w:t>GDNF and NT-4 protect midbrain dopaminergic neurons from toxic damage by iron and nitric oxide.</w:t>
      </w:r>
      <w:r w:rsidRPr="00D71D88">
        <w:rPr>
          <w:noProof/>
        </w:rPr>
        <w:t xml:space="preserve"> </w:t>
      </w:r>
      <w:r w:rsidRPr="00D71D88">
        <w:rPr>
          <w:i/>
          <w:iCs/>
          <w:noProof/>
        </w:rPr>
        <w:t>Exp Neurol</w:t>
      </w:r>
      <w:r w:rsidRPr="00D71D88">
        <w:rPr>
          <w:noProof/>
        </w:rPr>
        <w:t xml:space="preserve"> 2000, </w:t>
      </w:r>
      <w:r w:rsidRPr="00D71D88">
        <w:rPr>
          <w:bCs/>
          <w:noProof/>
        </w:rPr>
        <w:t>163</w:t>
      </w:r>
      <w:r w:rsidRPr="00D71D88">
        <w:rPr>
          <w:noProof/>
        </w:rPr>
        <w:t>:55–62.</w:t>
      </w:r>
    </w:p>
    <w:p w14:paraId="1778E6FA" w14:textId="77777777" w:rsidR="003E3A96" w:rsidRPr="00D71D88" w:rsidRDefault="003E3A96">
      <w:pPr>
        <w:pStyle w:val="StandardWeb"/>
        <w:divId w:val="1890651620"/>
        <w:rPr>
          <w:noProof/>
        </w:rPr>
      </w:pPr>
      <w:r w:rsidRPr="00D71D88">
        <w:rPr>
          <w:noProof/>
        </w:rPr>
        <w:t xml:space="preserve">49. Zierold K, Steinbrecht R. A.: </w:t>
      </w:r>
      <w:r w:rsidRPr="00D71D88">
        <w:rPr>
          <w:i/>
          <w:iCs/>
          <w:noProof/>
        </w:rPr>
        <w:t>Cryotechniques in Biological Electron Microscopy</w:t>
      </w:r>
      <w:r w:rsidRPr="00D71D88">
        <w:rPr>
          <w:noProof/>
        </w:rPr>
        <w:t>. Berlin, Heidelberg: Springer Berlin Heidelberg; 1987.</w:t>
      </w:r>
    </w:p>
    <w:p w14:paraId="1441D466" w14:textId="77777777" w:rsidR="003E3A96" w:rsidRPr="00D71D88" w:rsidRDefault="003E3A96">
      <w:pPr>
        <w:pStyle w:val="StandardWeb"/>
        <w:divId w:val="1890651620"/>
        <w:rPr>
          <w:noProof/>
        </w:rPr>
      </w:pPr>
      <w:r w:rsidRPr="00D71D88">
        <w:rPr>
          <w:noProof/>
        </w:rPr>
        <w:t xml:space="preserve">50. Chen S, Deng J, Yuan Y, Flachenecker C, Mak R, Hornberger B, Jin Q, Shu D, Lai B, Maser J, Roehrig C, Paunesku T, Gleber SC, Vine DJ, Finney L, Vonosinski J, Bolbat M, Spink I, Chen Z, Steele J, Trapp D, Irwin J, Feser M, Snyder E, Brister K, Jacobsen C, Woloschak G, Vogt S: </w:t>
      </w:r>
      <w:r w:rsidRPr="00D71D88">
        <w:rPr>
          <w:bCs/>
          <w:noProof/>
        </w:rPr>
        <w:t>The Bionanoprobe: Hard X-ray fluorescence nanoprobe with cryogenic capabilities</w:t>
      </w:r>
      <w:r w:rsidRPr="00D71D88">
        <w:rPr>
          <w:noProof/>
        </w:rPr>
        <w:t xml:space="preserve">. </w:t>
      </w:r>
      <w:r w:rsidRPr="00D71D88">
        <w:rPr>
          <w:i/>
          <w:iCs/>
          <w:noProof/>
        </w:rPr>
        <w:t>J Synchrotron Radiat</w:t>
      </w:r>
      <w:r w:rsidRPr="00D71D88">
        <w:rPr>
          <w:noProof/>
        </w:rPr>
        <w:t xml:space="preserve"> 2014, </w:t>
      </w:r>
      <w:r w:rsidRPr="00D71D88">
        <w:rPr>
          <w:bCs/>
          <w:noProof/>
        </w:rPr>
        <w:t>21</w:t>
      </w:r>
      <w:r w:rsidRPr="00D71D88">
        <w:rPr>
          <w:noProof/>
        </w:rPr>
        <w:t>:66–75.</w:t>
      </w:r>
    </w:p>
    <w:p w14:paraId="3C7DFCC9" w14:textId="77777777" w:rsidR="003E3A96" w:rsidRPr="00D71D88" w:rsidRDefault="003E3A96">
      <w:pPr>
        <w:pStyle w:val="StandardWeb"/>
        <w:divId w:val="1890651620"/>
        <w:rPr>
          <w:noProof/>
        </w:rPr>
      </w:pPr>
      <w:r w:rsidRPr="00D71D88">
        <w:rPr>
          <w:noProof/>
        </w:rPr>
        <w:t xml:space="preserve">51. Vogt S: </w:t>
      </w:r>
      <w:r w:rsidRPr="00D71D88">
        <w:rPr>
          <w:bCs/>
          <w:noProof/>
        </w:rPr>
        <w:t>MAPS : A set of software tools for analysis and visualization of 3D X-ray fluorescence data sets</w:t>
      </w:r>
      <w:r w:rsidRPr="00D71D88">
        <w:rPr>
          <w:noProof/>
        </w:rPr>
        <w:t xml:space="preserve">. </w:t>
      </w:r>
      <w:r w:rsidRPr="00D71D88">
        <w:rPr>
          <w:i/>
          <w:iCs/>
          <w:noProof/>
        </w:rPr>
        <w:t>J Phys IV</w:t>
      </w:r>
      <w:r w:rsidRPr="00D71D88">
        <w:rPr>
          <w:noProof/>
        </w:rPr>
        <w:t xml:space="preserve"> 2003, </w:t>
      </w:r>
      <w:r w:rsidRPr="00D71D88">
        <w:rPr>
          <w:bCs/>
          <w:noProof/>
        </w:rPr>
        <w:t>104</w:t>
      </w:r>
      <w:r w:rsidRPr="00D71D88">
        <w:rPr>
          <w:noProof/>
        </w:rPr>
        <w:t>:635–638.</w:t>
      </w:r>
    </w:p>
    <w:p w14:paraId="2C97E7B0" w14:textId="39A82F3A" w:rsidR="0073576D" w:rsidRPr="00D71D88" w:rsidRDefault="003E3A96" w:rsidP="003E3A96">
      <w:pPr>
        <w:pStyle w:val="StandardWeb"/>
        <w:divId w:val="634874256"/>
      </w:pPr>
      <w:r w:rsidRPr="00D71D88">
        <w:rPr>
          <w:noProof/>
        </w:rPr>
        <w:t xml:space="preserve">52. Vogt S, Maser J, Jacobsen C: </w:t>
      </w:r>
      <w:r w:rsidRPr="00D71D88">
        <w:rPr>
          <w:bCs/>
          <w:noProof/>
        </w:rPr>
        <w:t>Data analysis for X-ray fluorescence imaging</w:t>
      </w:r>
      <w:r w:rsidRPr="00D71D88">
        <w:rPr>
          <w:noProof/>
        </w:rPr>
        <w:t xml:space="preserve">. </w:t>
      </w:r>
      <w:r w:rsidRPr="00D71D88">
        <w:rPr>
          <w:i/>
          <w:iCs/>
          <w:noProof/>
        </w:rPr>
        <w:t>J Phys IV</w:t>
      </w:r>
      <w:r w:rsidRPr="00D71D88">
        <w:rPr>
          <w:noProof/>
        </w:rPr>
        <w:t xml:space="preserve"> 2003, </w:t>
      </w:r>
      <w:r w:rsidRPr="00D71D88">
        <w:rPr>
          <w:bCs/>
          <w:noProof/>
        </w:rPr>
        <w:t>104</w:t>
      </w:r>
      <w:r w:rsidRPr="00D71D88">
        <w:rPr>
          <w:noProof/>
        </w:rPr>
        <w:t xml:space="preserve">:617–622. </w:t>
      </w:r>
      <w:r w:rsidR="003C73D7" w:rsidRPr="00D71D88">
        <w:fldChar w:fldCharType="end"/>
      </w:r>
    </w:p>
    <w:p w14:paraId="7E5618CB" w14:textId="77777777" w:rsidR="0073576D" w:rsidRPr="00D71D88" w:rsidRDefault="0073576D" w:rsidP="00735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divId w:val="634874256"/>
        <w:rPr>
          <w:rFonts w:ascii="Times New Roman" w:hAnsi="Times New Roman"/>
          <w:sz w:val="24"/>
          <w:szCs w:val="24"/>
        </w:rPr>
      </w:pPr>
      <w:r w:rsidRPr="00D71D88">
        <w:fldChar w:fldCharType="begin"/>
      </w:r>
      <w:r w:rsidRPr="00D71D88">
        <w:instrText xml:space="preserve"> ADDIN PAPERS2_CITATIONS &lt;papers2_bibliography/&gt;</w:instrText>
      </w:r>
      <w:r w:rsidRPr="00D71D88">
        <w:fldChar w:fldCharType="separate"/>
      </w:r>
      <w:r w:rsidRPr="00D71D88">
        <w:rPr>
          <w:rFonts w:ascii="Times New Roman" w:hAnsi="Times New Roman"/>
          <w:sz w:val="24"/>
          <w:szCs w:val="24"/>
        </w:rPr>
        <w:t xml:space="preserve">(1) Binolfi, A., Rasia, R. M., Bertoncini, C. W., Ceolin, M., Zweckstetter, M., Griesinger, C., Jovin, T. M., and Fernandez, C. O. (2006) Interaction of alpha-synuclein with divalent metal ions reveals key differences: a link between structure, binding specificity and fibrillation enhancement. </w:t>
      </w:r>
      <w:r w:rsidRPr="00D71D88">
        <w:rPr>
          <w:rFonts w:ascii="Times New Roman" w:hAnsi="Times New Roman"/>
          <w:i/>
          <w:iCs/>
          <w:sz w:val="24"/>
          <w:szCs w:val="24"/>
        </w:rPr>
        <w:t>J. Am. Chem. Soc.</w:t>
      </w:r>
      <w:r w:rsidRPr="00D71D88">
        <w:rPr>
          <w:rFonts w:ascii="Times New Roman" w:hAnsi="Times New Roman"/>
          <w:sz w:val="24"/>
          <w:szCs w:val="24"/>
        </w:rPr>
        <w:t xml:space="preserve"> </w:t>
      </w:r>
      <w:r w:rsidRPr="00D71D88">
        <w:rPr>
          <w:rFonts w:ascii="Times New Roman" w:hAnsi="Times New Roman"/>
          <w:i/>
          <w:iCs/>
          <w:sz w:val="24"/>
          <w:szCs w:val="24"/>
        </w:rPr>
        <w:t>128</w:t>
      </w:r>
      <w:r w:rsidRPr="00D71D88">
        <w:rPr>
          <w:rFonts w:ascii="Times New Roman" w:hAnsi="Times New Roman"/>
          <w:sz w:val="24"/>
          <w:szCs w:val="24"/>
        </w:rPr>
        <w:t>, 9893–9901.</w:t>
      </w:r>
    </w:p>
    <w:p w14:paraId="5C7188C2" w14:textId="77777777" w:rsidR="00777D44" w:rsidRPr="00D71D88" w:rsidRDefault="00777D44" w:rsidP="00735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divId w:val="634874256"/>
        <w:rPr>
          <w:rFonts w:ascii="Times New Roman" w:hAnsi="Times New Roman"/>
          <w:sz w:val="24"/>
          <w:szCs w:val="24"/>
        </w:rPr>
      </w:pPr>
    </w:p>
    <w:p w14:paraId="48022CA4" w14:textId="77777777" w:rsidR="0073576D" w:rsidRPr="00D71D88" w:rsidRDefault="0073576D" w:rsidP="00735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divId w:val="634874256"/>
        <w:rPr>
          <w:rFonts w:ascii="Times New Roman" w:hAnsi="Times New Roman"/>
          <w:sz w:val="24"/>
          <w:szCs w:val="24"/>
          <w:lang w:val="de-DE"/>
        </w:rPr>
      </w:pPr>
      <w:r w:rsidRPr="00D71D88">
        <w:rPr>
          <w:rFonts w:ascii="Times New Roman" w:hAnsi="Times New Roman"/>
          <w:sz w:val="24"/>
          <w:szCs w:val="24"/>
        </w:rPr>
        <w:t xml:space="preserve">(2) Lázaro, D. F., Rodrigues, E. F., Langohr, R., Shahpasandzadeh, H., Ribeiro, T., Guerreiro, P., Gerhardt, E., Kröhnert, K., Klucken, J., Pereira, M. D., Popova, B., Kruse, N., Mollenhauer, B., Rizzoli, S. O., Braus, G. H., Danzer, K. M., and Outeiro, T. F. (2014) Systematic comparison of the effects of alpha-synuclein mutations on its oligomerization and aggregation. </w:t>
      </w:r>
      <w:r w:rsidRPr="00D71D88">
        <w:rPr>
          <w:rFonts w:ascii="Times New Roman" w:hAnsi="Times New Roman"/>
          <w:i/>
          <w:iCs/>
          <w:sz w:val="24"/>
          <w:szCs w:val="24"/>
          <w:lang w:val="de-DE"/>
        </w:rPr>
        <w:t>PLoS Genet.</w:t>
      </w:r>
      <w:r w:rsidRPr="00D71D88">
        <w:rPr>
          <w:rFonts w:ascii="Times New Roman" w:hAnsi="Times New Roman"/>
          <w:sz w:val="24"/>
          <w:szCs w:val="24"/>
          <w:lang w:val="de-DE"/>
        </w:rPr>
        <w:t xml:space="preserve"> (Kaganovich, D., Ed.) </w:t>
      </w:r>
      <w:r w:rsidRPr="00D71D88">
        <w:rPr>
          <w:rFonts w:ascii="Times New Roman" w:hAnsi="Times New Roman"/>
          <w:i/>
          <w:iCs/>
          <w:sz w:val="24"/>
          <w:szCs w:val="24"/>
          <w:lang w:val="de-DE"/>
        </w:rPr>
        <w:t>10</w:t>
      </w:r>
      <w:r w:rsidRPr="00D71D88">
        <w:rPr>
          <w:rFonts w:ascii="Times New Roman" w:hAnsi="Times New Roman"/>
          <w:sz w:val="24"/>
          <w:szCs w:val="24"/>
          <w:lang w:val="de-DE"/>
        </w:rPr>
        <w:t>, e1004741–e1004741.</w:t>
      </w:r>
    </w:p>
    <w:p w14:paraId="4857798B" w14:textId="5362664B" w:rsidR="003C73D7" w:rsidRPr="00D71D88" w:rsidRDefault="0073576D" w:rsidP="003E3A96">
      <w:pPr>
        <w:pStyle w:val="StandardWeb"/>
        <w:divId w:val="634874256"/>
      </w:pPr>
      <w:r w:rsidRPr="00D71D88">
        <w:fldChar w:fldCharType="end"/>
      </w:r>
    </w:p>
    <w:sectPr w:rsidR="003C73D7" w:rsidRPr="00D71D88" w:rsidSect="008008BF">
      <w:headerReference w:type="default" r:id="rId30"/>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8E57D" w14:textId="77777777" w:rsidR="00B81A4B" w:rsidRDefault="00B81A4B" w:rsidP="003E74E3">
      <w:pPr>
        <w:spacing w:after="0" w:line="240" w:lineRule="auto"/>
      </w:pPr>
      <w:r>
        <w:separator/>
      </w:r>
    </w:p>
  </w:endnote>
  <w:endnote w:type="continuationSeparator" w:id="0">
    <w:p w14:paraId="4E45A07E" w14:textId="77777777" w:rsidR="00B81A4B" w:rsidRDefault="00B81A4B" w:rsidP="003E74E3">
      <w:pPr>
        <w:spacing w:after="0" w:line="240" w:lineRule="auto"/>
      </w:pPr>
      <w:r>
        <w:continuationSeparator/>
      </w:r>
    </w:p>
  </w:endnote>
  <w:endnote w:type="continuationNotice" w:id="1">
    <w:p w14:paraId="66DBEBD8" w14:textId="77777777" w:rsidR="00B81A4B" w:rsidRDefault="00B81A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New York">
    <w:panose1 w:val="0202050206030506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B142E" w14:textId="77777777" w:rsidR="00404D0F" w:rsidRDefault="00404D0F">
    <w:pPr>
      <w:pStyle w:val="Fuzeile"/>
      <w:jc w:val="right"/>
    </w:pPr>
    <w:r>
      <w:fldChar w:fldCharType="begin"/>
    </w:r>
    <w:r>
      <w:instrText xml:space="preserve"> PAGE   \* MERGEFORMAT </w:instrText>
    </w:r>
    <w:r>
      <w:fldChar w:fldCharType="separate"/>
    </w:r>
    <w:r w:rsidR="006129FE">
      <w:rPr>
        <w:noProof/>
      </w:rPr>
      <w:t>1</w:t>
    </w:r>
    <w:r>
      <w:fldChar w:fldCharType="end"/>
    </w:r>
  </w:p>
  <w:p w14:paraId="7C622803" w14:textId="77777777" w:rsidR="00404D0F" w:rsidRDefault="00404D0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7401B" w14:textId="77777777" w:rsidR="00B81A4B" w:rsidRDefault="00B81A4B" w:rsidP="003E74E3">
      <w:pPr>
        <w:spacing w:after="0" w:line="240" w:lineRule="auto"/>
      </w:pPr>
      <w:r>
        <w:separator/>
      </w:r>
    </w:p>
  </w:footnote>
  <w:footnote w:type="continuationSeparator" w:id="0">
    <w:p w14:paraId="44BCFEC4" w14:textId="77777777" w:rsidR="00B81A4B" w:rsidRDefault="00B81A4B" w:rsidP="003E74E3">
      <w:pPr>
        <w:spacing w:after="0" w:line="240" w:lineRule="auto"/>
      </w:pPr>
      <w:r>
        <w:continuationSeparator/>
      </w:r>
    </w:p>
  </w:footnote>
  <w:footnote w:type="continuationNotice" w:id="1">
    <w:p w14:paraId="3F40609E" w14:textId="77777777" w:rsidR="00B81A4B" w:rsidRDefault="00B81A4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D5E0E" w14:textId="77777777" w:rsidR="00404D0F" w:rsidRDefault="00404D0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46ED9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72605E"/>
    <w:multiLevelType w:val="multilevel"/>
    <w:tmpl w:val="CD84F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72664D"/>
    <w:multiLevelType w:val="hybridMultilevel"/>
    <w:tmpl w:val="D3865C06"/>
    <w:lvl w:ilvl="0" w:tplc="68A4EF1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7D614F87"/>
    <w:multiLevelType w:val="multilevel"/>
    <w:tmpl w:val="4F64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B43"/>
    <w:rsid w:val="00000176"/>
    <w:rsid w:val="00002B0A"/>
    <w:rsid w:val="00003CF1"/>
    <w:rsid w:val="00004997"/>
    <w:rsid w:val="00006D83"/>
    <w:rsid w:val="00007D27"/>
    <w:rsid w:val="000120C6"/>
    <w:rsid w:val="0001236A"/>
    <w:rsid w:val="00014920"/>
    <w:rsid w:val="0001517F"/>
    <w:rsid w:val="00015F12"/>
    <w:rsid w:val="000218F6"/>
    <w:rsid w:val="0002215D"/>
    <w:rsid w:val="000221C7"/>
    <w:rsid w:val="00022825"/>
    <w:rsid w:val="00024AE4"/>
    <w:rsid w:val="00025B9F"/>
    <w:rsid w:val="000271A8"/>
    <w:rsid w:val="0002781D"/>
    <w:rsid w:val="00027ED6"/>
    <w:rsid w:val="00031676"/>
    <w:rsid w:val="00035364"/>
    <w:rsid w:val="000353C5"/>
    <w:rsid w:val="00036066"/>
    <w:rsid w:val="00042574"/>
    <w:rsid w:val="00050920"/>
    <w:rsid w:val="00052234"/>
    <w:rsid w:val="00057024"/>
    <w:rsid w:val="0006193B"/>
    <w:rsid w:val="000624D2"/>
    <w:rsid w:val="00062DF0"/>
    <w:rsid w:val="00064EA8"/>
    <w:rsid w:val="0006591A"/>
    <w:rsid w:val="00070FD7"/>
    <w:rsid w:val="000802F4"/>
    <w:rsid w:val="00083EFB"/>
    <w:rsid w:val="0008559B"/>
    <w:rsid w:val="000877AC"/>
    <w:rsid w:val="000902D2"/>
    <w:rsid w:val="000939D6"/>
    <w:rsid w:val="00093E48"/>
    <w:rsid w:val="0009451C"/>
    <w:rsid w:val="00094F59"/>
    <w:rsid w:val="00096E24"/>
    <w:rsid w:val="00097D74"/>
    <w:rsid w:val="000A1577"/>
    <w:rsid w:val="000A3D97"/>
    <w:rsid w:val="000A5575"/>
    <w:rsid w:val="000A738D"/>
    <w:rsid w:val="000B17FB"/>
    <w:rsid w:val="000B1DBB"/>
    <w:rsid w:val="000B238F"/>
    <w:rsid w:val="000B2EB2"/>
    <w:rsid w:val="000B34F7"/>
    <w:rsid w:val="000B4227"/>
    <w:rsid w:val="000B48E9"/>
    <w:rsid w:val="000B4FA1"/>
    <w:rsid w:val="000B6A8E"/>
    <w:rsid w:val="000B7E16"/>
    <w:rsid w:val="000C1735"/>
    <w:rsid w:val="000C1E88"/>
    <w:rsid w:val="000C2AB0"/>
    <w:rsid w:val="000C7C2D"/>
    <w:rsid w:val="000D1D73"/>
    <w:rsid w:val="000D34C6"/>
    <w:rsid w:val="000D7B7A"/>
    <w:rsid w:val="000D7EB9"/>
    <w:rsid w:val="000E0762"/>
    <w:rsid w:val="000E09EB"/>
    <w:rsid w:val="000E1D09"/>
    <w:rsid w:val="000E26E1"/>
    <w:rsid w:val="000E39D2"/>
    <w:rsid w:val="000E6FBA"/>
    <w:rsid w:val="000E7BEC"/>
    <w:rsid w:val="000F2729"/>
    <w:rsid w:val="000F3753"/>
    <w:rsid w:val="000F57D9"/>
    <w:rsid w:val="000F63A6"/>
    <w:rsid w:val="000F6859"/>
    <w:rsid w:val="001009AF"/>
    <w:rsid w:val="00100D8F"/>
    <w:rsid w:val="00101460"/>
    <w:rsid w:val="001025A6"/>
    <w:rsid w:val="00103593"/>
    <w:rsid w:val="00105402"/>
    <w:rsid w:val="00105C95"/>
    <w:rsid w:val="001062AC"/>
    <w:rsid w:val="00107422"/>
    <w:rsid w:val="00107D04"/>
    <w:rsid w:val="001111C6"/>
    <w:rsid w:val="001115F2"/>
    <w:rsid w:val="001139A9"/>
    <w:rsid w:val="00114114"/>
    <w:rsid w:val="00114905"/>
    <w:rsid w:val="00115C94"/>
    <w:rsid w:val="001208B1"/>
    <w:rsid w:val="001219C4"/>
    <w:rsid w:val="00121EEE"/>
    <w:rsid w:val="0012292B"/>
    <w:rsid w:val="00123E33"/>
    <w:rsid w:val="001263C6"/>
    <w:rsid w:val="00126C3C"/>
    <w:rsid w:val="00127506"/>
    <w:rsid w:val="001278CC"/>
    <w:rsid w:val="00130A27"/>
    <w:rsid w:val="001320E7"/>
    <w:rsid w:val="00136417"/>
    <w:rsid w:val="00137A19"/>
    <w:rsid w:val="00137A35"/>
    <w:rsid w:val="001406C1"/>
    <w:rsid w:val="00140A35"/>
    <w:rsid w:val="0014125D"/>
    <w:rsid w:val="00141C01"/>
    <w:rsid w:val="0014317A"/>
    <w:rsid w:val="00143549"/>
    <w:rsid w:val="00144B96"/>
    <w:rsid w:val="00144BB0"/>
    <w:rsid w:val="00145BD9"/>
    <w:rsid w:val="00145F36"/>
    <w:rsid w:val="00145F3E"/>
    <w:rsid w:val="00146B13"/>
    <w:rsid w:val="00147CEE"/>
    <w:rsid w:val="00147E7B"/>
    <w:rsid w:val="00150206"/>
    <w:rsid w:val="001534A1"/>
    <w:rsid w:val="0016210D"/>
    <w:rsid w:val="00163881"/>
    <w:rsid w:val="00167E99"/>
    <w:rsid w:val="00173AA3"/>
    <w:rsid w:val="00174C25"/>
    <w:rsid w:val="00175E79"/>
    <w:rsid w:val="00176344"/>
    <w:rsid w:val="00181CAC"/>
    <w:rsid w:val="00181EE3"/>
    <w:rsid w:val="0018252C"/>
    <w:rsid w:val="001904EF"/>
    <w:rsid w:val="001928DE"/>
    <w:rsid w:val="00193806"/>
    <w:rsid w:val="00195021"/>
    <w:rsid w:val="001957FE"/>
    <w:rsid w:val="00195B60"/>
    <w:rsid w:val="00195C52"/>
    <w:rsid w:val="001968DA"/>
    <w:rsid w:val="00196D7A"/>
    <w:rsid w:val="001A4DCD"/>
    <w:rsid w:val="001A7035"/>
    <w:rsid w:val="001A7672"/>
    <w:rsid w:val="001A7AA9"/>
    <w:rsid w:val="001B20AD"/>
    <w:rsid w:val="001B5C03"/>
    <w:rsid w:val="001B7B5A"/>
    <w:rsid w:val="001C1EC9"/>
    <w:rsid w:val="001C2440"/>
    <w:rsid w:val="001C3512"/>
    <w:rsid w:val="001C3937"/>
    <w:rsid w:val="001C4577"/>
    <w:rsid w:val="001C5FBF"/>
    <w:rsid w:val="001D059E"/>
    <w:rsid w:val="001D1033"/>
    <w:rsid w:val="001D270F"/>
    <w:rsid w:val="001D2D38"/>
    <w:rsid w:val="001D373F"/>
    <w:rsid w:val="001D42A4"/>
    <w:rsid w:val="001D5715"/>
    <w:rsid w:val="001D6173"/>
    <w:rsid w:val="001E03A6"/>
    <w:rsid w:val="001E2E5C"/>
    <w:rsid w:val="001E3644"/>
    <w:rsid w:val="001E50C2"/>
    <w:rsid w:val="001E5727"/>
    <w:rsid w:val="001F0E39"/>
    <w:rsid w:val="001F1568"/>
    <w:rsid w:val="001F18EC"/>
    <w:rsid w:val="001F2C8C"/>
    <w:rsid w:val="001F3903"/>
    <w:rsid w:val="001F5838"/>
    <w:rsid w:val="001F6092"/>
    <w:rsid w:val="001F6887"/>
    <w:rsid w:val="001F6EE0"/>
    <w:rsid w:val="002007F2"/>
    <w:rsid w:val="00201791"/>
    <w:rsid w:val="00203ED8"/>
    <w:rsid w:val="00204F39"/>
    <w:rsid w:val="002057DC"/>
    <w:rsid w:val="00207845"/>
    <w:rsid w:val="002113B9"/>
    <w:rsid w:val="00213634"/>
    <w:rsid w:val="00214F59"/>
    <w:rsid w:val="00215320"/>
    <w:rsid w:val="00216206"/>
    <w:rsid w:val="00220C0F"/>
    <w:rsid w:val="00220DA1"/>
    <w:rsid w:val="00222F25"/>
    <w:rsid w:val="00225870"/>
    <w:rsid w:val="00225BD6"/>
    <w:rsid w:val="00227B71"/>
    <w:rsid w:val="002301EB"/>
    <w:rsid w:val="00231C01"/>
    <w:rsid w:val="00232026"/>
    <w:rsid w:val="00232A86"/>
    <w:rsid w:val="002361CC"/>
    <w:rsid w:val="00240FE9"/>
    <w:rsid w:val="002476BA"/>
    <w:rsid w:val="00253280"/>
    <w:rsid w:val="00253417"/>
    <w:rsid w:val="0025389C"/>
    <w:rsid w:val="00255A6B"/>
    <w:rsid w:val="00255CB4"/>
    <w:rsid w:val="002564D4"/>
    <w:rsid w:val="002614F1"/>
    <w:rsid w:val="002622CB"/>
    <w:rsid w:val="002623AE"/>
    <w:rsid w:val="002647C5"/>
    <w:rsid w:val="00264B36"/>
    <w:rsid w:val="0026577C"/>
    <w:rsid w:val="00266EDC"/>
    <w:rsid w:val="00267720"/>
    <w:rsid w:val="002701A7"/>
    <w:rsid w:val="00272376"/>
    <w:rsid w:val="00273910"/>
    <w:rsid w:val="00273CD9"/>
    <w:rsid w:val="002757E4"/>
    <w:rsid w:val="00276BFD"/>
    <w:rsid w:val="00277340"/>
    <w:rsid w:val="00277E3A"/>
    <w:rsid w:val="00286092"/>
    <w:rsid w:val="002866D1"/>
    <w:rsid w:val="002873A0"/>
    <w:rsid w:val="00290C68"/>
    <w:rsid w:val="002916EB"/>
    <w:rsid w:val="002959F3"/>
    <w:rsid w:val="002960DA"/>
    <w:rsid w:val="002962DA"/>
    <w:rsid w:val="002A1A6B"/>
    <w:rsid w:val="002A2973"/>
    <w:rsid w:val="002A39E2"/>
    <w:rsid w:val="002A4B1C"/>
    <w:rsid w:val="002A4D48"/>
    <w:rsid w:val="002A69D1"/>
    <w:rsid w:val="002B0000"/>
    <w:rsid w:val="002B00D6"/>
    <w:rsid w:val="002B09E9"/>
    <w:rsid w:val="002B0C14"/>
    <w:rsid w:val="002B373D"/>
    <w:rsid w:val="002B3F1D"/>
    <w:rsid w:val="002B4FF2"/>
    <w:rsid w:val="002B5AA6"/>
    <w:rsid w:val="002C19EB"/>
    <w:rsid w:val="002C1BEB"/>
    <w:rsid w:val="002C2219"/>
    <w:rsid w:val="002C28BB"/>
    <w:rsid w:val="002C69F0"/>
    <w:rsid w:val="002C7326"/>
    <w:rsid w:val="002D06E0"/>
    <w:rsid w:val="002D1083"/>
    <w:rsid w:val="002D12B3"/>
    <w:rsid w:val="002D1D2C"/>
    <w:rsid w:val="002D30B0"/>
    <w:rsid w:val="002D339B"/>
    <w:rsid w:val="002D4172"/>
    <w:rsid w:val="002E0906"/>
    <w:rsid w:val="002E57E9"/>
    <w:rsid w:val="002F07AC"/>
    <w:rsid w:val="002F0FD4"/>
    <w:rsid w:val="002F1B7C"/>
    <w:rsid w:val="002F2EB5"/>
    <w:rsid w:val="002F3493"/>
    <w:rsid w:val="002F3DC5"/>
    <w:rsid w:val="002F4D2F"/>
    <w:rsid w:val="002F569E"/>
    <w:rsid w:val="002F5C79"/>
    <w:rsid w:val="002F689D"/>
    <w:rsid w:val="002F6B55"/>
    <w:rsid w:val="002F7972"/>
    <w:rsid w:val="002F7E31"/>
    <w:rsid w:val="00303636"/>
    <w:rsid w:val="00303A0F"/>
    <w:rsid w:val="003042D7"/>
    <w:rsid w:val="00305A64"/>
    <w:rsid w:val="00306616"/>
    <w:rsid w:val="00307C51"/>
    <w:rsid w:val="00313154"/>
    <w:rsid w:val="00314D82"/>
    <w:rsid w:val="003220C3"/>
    <w:rsid w:val="00324B23"/>
    <w:rsid w:val="00326886"/>
    <w:rsid w:val="003275EA"/>
    <w:rsid w:val="00327738"/>
    <w:rsid w:val="0033111A"/>
    <w:rsid w:val="003313B4"/>
    <w:rsid w:val="00331511"/>
    <w:rsid w:val="0033479E"/>
    <w:rsid w:val="00335B90"/>
    <w:rsid w:val="0033725D"/>
    <w:rsid w:val="003373E9"/>
    <w:rsid w:val="00337A85"/>
    <w:rsid w:val="0034440D"/>
    <w:rsid w:val="00345107"/>
    <w:rsid w:val="003464AC"/>
    <w:rsid w:val="00346514"/>
    <w:rsid w:val="00347761"/>
    <w:rsid w:val="00351C30"/>
    <w:rsid w:val="003569F3"/>
    <w:rsid w:val="00357A64"/>
    <w:rsid w:val="00357D38"/>
    <w:rsid w:val="003624B2"/>
    <w:rsid w:val="0036283D"/>
    <w:rsid w:val="0036373C"/>
    <w:rsid w:val="003652BA"/>
    <w:rsid w:val="00367255"/>
    <w:rsid w:val="00367D10"/>
    <w:rsid w:val="00371384"/>
    <w:rsid w:val="003738BC"/>
    <w:rsid w:val="003751A6"/>
    <w:rsid w:val="00376261"/>
    <w:rsid w:val="00376269"/>
    <w:rsid w:val="00377E93"/>
    <w:rsid w:val="0038079F"/>
    <w:rsid w:val="00383F6D"/>
    <w:rsid w:val="00384337"/>
    <w:rsid w:val="00386824"/>
    <w:rsid w:val="003877C6"/>
    <w:rsid w:val="00392298"/>
    <w:rsid w:val="00394F67"/>
    <w:rsid w:val="0039650D"/>
    <w:rsid w:val="00396B61"/>
    <w:rsid w:val="00396B75"/>
    <w:rsid w:val="003A1D3B"/>
    <w:rsid w:val="003A32C1"/>
    <w:rsid w:val="003A35A8"/>
    <w:rsid w:val="003A4472"/>
    <w:rsid w:val="003A7D48"/>
    <w:rsid w:val="003B3713"/>
    <w:rsid w:val="003B6C6E"/>
    <w:rsid w:val="003B7893"/>
    <w:rsid w:val="003B79FD"/>
    <w:rsid w:val="003C5DA6"/>
    <w:rsid w:val="003C73D7"/>
    <w:rsid w:val="003C764E"/>
    <w:rsid w:val="003D1296"/>
    <w:rsid w:val="003D319E"/>
    <w:rsid w:val="003D6821"/>
    <w:rsid w:val="003D6BA0"/>
    <w:rsid w:val="003E200C"/>
    <w:rsid w:val="003E3442"/>
    <w:rsid w:val="003E3A96"/>
    <w:rsid w:val="003E74E3"/>
    <w:rsid w:val="003F074A"/>
    <w:rsid w:val="003F08A5"/>
    <w:rsid w:val="003F10E7"/>
    <w:rsid w:val="003F4C5A"/>
    <w:rsid w:val="003F4F58"/>
    <w:rsid w:val="003F67A2"/>
    <w:rsid w:val="0040247A"/>
    <w:rsid w:val="00403BA5"/>
    <w:rsid w:val="00404D0F"/>
    <w:rsid w:val="00410A3B"/>
    <w:rsid w:val="00411ACC"/>
    <w:rsid w:val="00412AAE"/>
    <w:rsid w:val="004167E7"/>
    <w:rsid w:val="00422328"/>
    <w:rsid w:val="004253E8"/>
    <w:rsid w:val="00426CC9"/>
    <w:rsid w:val="00427839"/>
    <w:rsid w:val="00427B6E"/>
    <w:rsid w:val="0043086D"/>
    <w:rsid w:val="00431653"/>
    <w:rsid w:val="0043225B"/>
    <w:rsid w:val="00436094"/>
    <w:rsid w:val="00437BEA"/>
    <w:rsid w:val="0044054A"/>
    <w:rsid w:val="00440FF6"/>
    <w:rsid w:val="0044420E"/>
    <w:rsid w:val="004456E2"/>
    <w:rsid w:val="004457B4"/>
    <w:rsid w:val="00446875"/>
    <w:rsid w:val="00450935"/>
    <w:rsid w:val="00451D4B"/>
    <w:rsid w:val="00453A15"/>
    <w:rsid w:val="00455A5A"/>
    <w:rsid w:val="0046105E"/>
    <w:rsid w:val="00461313"/>
    <w:rsid w:val="00463F36"/>
    <w:rsid w:val="004671F5"/>
    <w:rsid w:val="00473FA8"/>
    <w:rsid w:val="00474BEA"/>
    <w:rsid w:val="004758AD"/>
    <w:rsid w:val="00475913"/>
    <w:rsid w:val="0047662F"/>
    <w:rsid w:val="0048052E"/>
    <w:rsid w:val="004814E6"/>
    <w:rsid w:val="004816C3"/>
    <w:rsid w:val="0048200B"/>
    <w:rsid w:val="00482958"/>
    <w:rsid w:val="00483564"/>
    <w:rsid w:val="00483A46"/>
    <w:rsid w:val="0048581B"/>
    <w:rsid w:val="00487203"/>
    <w:rsid w:val="004903E0"/>
    <w:rsid w:val="0049253D"/>
    <w:rsid w:val="004935E9"/>
    <w:rsid w:val="00493E1B"/>
    <w:rsid w:val="004953F2"/>
    <w:rsid w:val="0049663F"/>
    <w:rsid w:val="00496D0F"/>
    <w:rsid w:val="004A3C34"/>
    <w:rsid w:val="004A4A06"/>
    <w:rsid w:val="004A7E0A"/>
    <w:rsid w:val="004B0DA6"/>
    <w:rsid w:val="004B2E8D"/>
    <w:rsid w:val="004B3716"/>
    <w:rsid w:val="004B5218"/>
    <w:rsid w:val="004B5C71"/>
    <w:rsid w:val="004B61CA"/>
    <w:rsid w:val="004B620B"/>
    <w:rsid w:val="004B740F"/>
    <w:rsid w:val="004B75F5"/>
    <w:rsid w:val="004B75FB"/>
    <w:rsid w:val="004C1108"/>
    <w:rsid w:val="004C1E99"/>
    <w:rsid w:val="004C30A4"/>
    <w:rsid w:val="004C3CB0"/>
    <w:rsid w:val="004C40BC"/>
    <w:rsid w:val="004C6874"/>
    <w:rsid w:val="004C751E"/>
    <w:rsid w:val="004C76FA"/>
    <w:rsid w:val="004C7E92"/>
    <w:rsid w:val="004D0297"/>
    <w:rsid w:val="004D12AC"/>
    <w:rsid w:val="004D3462"/>
    <w:rsid w:val="004D67C8"/>
    <w:rsid w:val="004E2711"/>
    <w:rsid w:val="004E35E3"/>
    <w:rsid w:val="004E676F"/>
    <w:rsid w:val="004E6F04"/>
    <w:rsid w:val="004E7683"/>
    <w:rsid w:val="004E7718"/>
    <w:rsid w:val="004F0389"/>
    <w:rsid w:val="004F2695"/>
    <w:rsid w:val="004F490D"/>
    <w:rsid w:val="004F4D87"/>
    <w:rsid w:val="004F5820"/>
    <w:rsid w:val="004F6A69"/>
    <w:rsid w:val="004F6C55"/>
    <w:rsid w:val="004F6D11"/>
    <w:rsid w:val="004F7288"/>
    <w:rsid w:val="005019C7"/>
    <w:rsid w:val="00503474"/>
    <w:rsid w:val="0051099F"/>
    <w:rsid w:val="00511782"/>
    <w:rsid w:val="00512C9D"/>
    <w:rsid w:val="00513095"/>
    <w:rsid w:val="005130FE"/>
    <w:rsid w:val="00513D79"/>
    <w:rsid w:val="00516AF2"/>
    <w:rsid w:val="00524945"/>
    <w:rsid w:val="00525CDF"/>
    <w:rsid w:val="00525FC9"/>
    <w:rsid w:val="00527A7F"/>
    <w:rsid w:val="00527B6C"/>
    <w:rsid w:val="00532910"/>
    <w:rsid w:val="00532D2B"/>
    <w:rsid w:val="00533B50"/>
    <w:rsid w:val="00537450"/>
    <w:rsid w:val="00537E2F"/>
    <w:rsid w:val="005419EB"/>
    <w:rsid w:val="00541E6E"/>
    <w:rsid w:val="005448FF"/>
    <w:rsid w:val="005449D8"/>
    <w:rsid w:val="00545909"/>
    <w:rsid w:val="00551237"/>
    <w:rsid w:val="00552F35"/>
    <w:rsid w:val="00552F53"/>
    <w:rsid w:val="0055329D"/>
    <w:rsid w:val="00554EA6"/>
    <w:rsid w:val="00555DA5"/>
    <w:rsid w:val="005601EF"/>
    <w:rsid w:val="005612C0"/>
    <w:rsid w:val="005615A4"/>
    <w:rsid w:val="00563004"/>
    <w:rsid w:val="005633B6"/>
    <w:rsid w:val="005663AE"/>
    <w:rsid w:val="005712A3"/>
    <w:rsid w:val="00574884"/>
    <w:rsid w:val="00574DE7"/>
    <w:rsid w:val="00575D95"/>
    <w:rsid w:val="00575DD0"/>
    <w:rsid w:val="00582E79"/>
    <w:rsid w:val="00582F40"/>
    <w:rsid w:val="00584096"/>
    <w:rsid w:val="00584568"/>
    <w:rsid w:val="00587BC6"/>
    <w:rsid w:val="005978F8"/>
    <w:rsid w:val="005A026E"/>
    <w:rsid w:val="005A3539"/>
    <w:rsid w:val="005A6F49"/>
    <w:rsid w:val="005B0C08"/>
    <w:rsid w:val="005B0E83"/>
    <w:rsid w:val="005B369B"/>
    <w:rsid w:val="005B68B0"/>
    <w:rsid w:val="005B73D6"/>
    <w:rsid w:val="005C14AF"/>
    <w:rsid w:val="005C1677"/>
    <w:rsid w:val="005C2594"/>
    <w:rsid w:val="005C29B5"/>
    <w:rsid w:val="005C5347"/>
    <w:rsid w:val="005C53C9"/>
    <w:rsid w:val="005D5588"/>
    <w:rsid w:val="005D63AA"/>
    <w:rsid w:val="005D7387"/>
    <w:rsid w:val="005E049D"/>
    <w:rsid w:val="005E1254"/>
    <w:rsid w:val="005E2E70"/>
    <w:rsid w:val="005E45F4"/>
    <w:rsid w:val="005E52F7"/>
    <w:rsid w:val="005E67C7"/>
    <w:rsid w:val="005F126F"/>
    <w:rsid w:val="005F22F5"/>
    <w:rsid w:val="005F412B"/>
    <w:rsid w:val="005F4241"/>
    <w:rsid w:val="005F4D36"/>
    <w:rsid w:val="005F66AF"/>
    <w:rsid w:val="005F6E77"/>
    <w:rsid w:val="006001DC"/>
    <w:rsid w:val="006038CB"/>
    <w:rsid w:val="00604DD7"/>
    <w:rsid w:val="0060636D"/>
    <w:rsid w:val="00606ED0"/>
    <w:rsid w:val="00607BE6"/>
    <w:rsid w:val="00610746"/>
    <w:rsid w:val="006129FE"/>
    <w:rsid w:val="00613501"/>
    <w:rsid w:val="00614DFC"/>
    <w:rsid w:val="006157F9"/>
    <w:rsid w:val="006165C1"/>
    <w:rsid w:val="00617378"/>
    <w:rsid w:val="0061746D"/>
    <w:rsid w:val="00624910"/>
    <w:rsid w:val="006250CF"/>
    <w:rsid w:val="006333A6"/>
    <w:rsid w:val="00633A1C"/>
    <w:rsid w:val="006357C9"/>
    <w:rsid w:val="00635D97"/>
    <w:rsid w:val="00635E40"/>
    <w:rsid w:val="006360E2"/>
    <w:rsid w:val="0064416F"/>
    <w:rsid w:val="00644260"/>
    <w:rsid w:val="00647A26"/>
    <w:rsid w:val="00647B12"/>
    <w:rsid w:val="00647B57"/>
    <w:rsid w:val="00650076"/>
    <w:rsid w:val="00650E57"/>
    <w:rsid w:val="00651A92"/>
    <w:rsid w:val="00651D45"/>
    <w:rsid w:val="00653661"/>
    <w:rsid w:val="006545AB"/>
    <w:rsid w:val="00654BB6"/>
    <w:rsid w:val="006554A7"/>
    <w:rsid w:val="00656B42"/>
    <w:rsid w:val="006629E9"/>
    <w:rsid w:val="00663E45"/>
    <w:rsid w:val="00667A20"/>
    <w:rsid w:val="006705E7"/>
    <w:rsid w:val="00671706"/>
    <w:rsid w:val="00671C8E"/>
    <w:rsid w:val="00671EC7"/>
    <w:rsid w:val="00672017"/>
    <w:rsid w:val="00672934"/>
    <w:rsid w:val="00672E73"/>
    <w:rsid w:val="00675385"/>
    <w:rsid w:val="0067729B"/>
    <w:rsid w:val="006773AA"/>
    <w:rsid w:val="006777B3"/>
    <w:rsid w:val="00677C5E"/>
    <w:rsid w:val="00681871"/>
    <w:rsid w:val="00681B27"/>
    <w:rsid w:val="006826CC"/>
    <w:rsid w:val="006843F6"/>
    <w:rsid w:val="006847D1"/>
    <w:rsid w:val="0068488E"/>
    <w:rsid w:val="00684AC3"/>
    <w:rsid w:val="00684E94"/>
    <w:rsid w:val="00686845"/>
    <w:rsid w:val="00686F33"/>
    <w:rsid w:val="0069008E"/>
    <w:rsid w:val="0069171E"/>
    <w:rsid w:val="00691C80"/>
    <w:rsid w:val="0069368C"/>
    <w:rsid w:val="006953AA"/>
    <w:rsid w:val="00695E7A"/>
    <w:rsid w:val="006A2385"/>
    <w:rsid w:val="006A2587"/>
    <w:rsid w:val="006A2A2B"/>
    <w:rsid w:val="006A2EE6"/>
    <w:rsid w:val="006A3522"/>
    <w:rsid w:val="006A3606"/>
    <w:rsid w:val="006A3649"/>
    <w:rsid w:val="006A51A0"/>
    <w:rsid w:val="006A614D"/>
    <w:rsid w:val="006A645E"/>
    <w:rsid w:val="006A79A2"/>
    <w:rsid w:val="006B03D2"/>
    <w:rsid w:val="006B1F53"/>
    <w:rsid w:val="006B6F84"/>
    <w:rsid w:val="006B774B"/>
    <w:rsid w:val="006C0052"/>
    <w:rsid w:val="006C06A0"/>
    <w:rsid w:val="006C24F0"/>
    <w:rsid w:val="006C2F08"/>
    <w:rsid w:val="006C445D"/>
    <w:rsid w:val="006C4E82"/>
    <w:rsid w:val="006C65A2"/>
    <w:rsid w:val="006C7854"/>
    <w:rsid w:val="006D16E0"/>
    <w:rsid w:val="006D1CF6"/>
    <w:rsid w:val="006D25B7"/>
    <w:rsid w:val="006D585D"/>
    <w:rsid w:val="006D739E"/>
    <w:rsid w:val="006D73C5"/>
    <w:rsid w:val="006D78E9"/>
    <w:rsid w:val="006E0733"/>
    <w:rsid w:val="006E6137"/>
    <w:rsid w:val="006E7ED2"/>
    <w:rsid w:val="006F1ADF"/>
    <w:rsid w:val="006F3433"/>
    <w:rsid w:val="006F3CA0"/>
    <w:rsid w:val="006F4104"/>
    <w:rsid w:val="006F58CC"/>
    <w:rsid w:val="006F7041"/>
    <w:rsid w:val="006F771A"/>
    <w:rsid w:val="00700B43"/>
    <w:rsid w:val="00701400"/>
    <w:rsid w:val="0070338A"/>
    <w:rsid w:val="00703469"/>
    <w:rsid w:val="00704BE3"/>
    <w:rsid w:val="00705D5E"/>
    <w:rsid w:val="007060E3"/>
    <w:rsid w:val="00706B59"/>
    <w:rsid w:val="00706E63"/>
    <w:rsid w:val="00707286"/>
    <w:rsid w:val="00710A9F"/>
    <w:rsid w:val="00710CD8"/>
    <w:rsid w:val="00711FD0"/>
    <w:rsid w:val="00713333"/>
    <w:rsid w:val="00713F81"/>
    <w:rsid w:val="0071414B"/>
    <w:rsid w:val="0071420F"/>
    <w:rsid w:val="007143A2"/>
    <w:rsid w:val="007154D1"/>
    <w:rsid w:val="007155FF"/>
    <w:rsid w:val="0072040D"/>
    <w:rsid w:val="00724E7E"/>
    <w:rsid w:val="00725862"/>
    <w:rsid w:val="0072602D"/>
    <w:rsid w:val="007264C5"/>
    <w:rsid w:val="007310A5"/>
    <w:rsid w:val="007313E1"/>
    <w:rsid w:val="0073164F"/>
    <w:rsid w:val="007316E2"/>
    <w:rsid w:val="00733ABE"/>
    <w:rsid w:val="0073576D"/>
    <w:rsid w:val="007457A4"/>
    <w:rsid w:val="007465FF"/>
    <w:rsid w:val="00746D8A"/>
    <w:rsid w:val="0075350A"/>
    <w:rsid w:val="00753B78"/>
    <w:rsid w:val="00753C7D"/>
    <w:rsid w:val="00753FCB"/>
    <w:rsid w:val="00754477"/>
    <w:rsid w:val="007545C9"/>
    <w:rsid w:val="00755DE5"/>
    <w:rsid w:val="00757657"/>
    <w:rsid w:val="007576C5"/>
    <w:rsid w:val="00761D9E"/>
    <w:rsid w:val="007625C1"/>
    <w:rsid w:val="007631BC"/>
    <w:rsid w:val="007631EB"/>
    <w:rsid w:val="00764087"/>
    <w:rsid w:val="0076441F"/>
    <w:rsid w:val="007664B6"/>
    <w:rsid w:val="007678D3"/>
    <w:rsid w:val="007679C5"/>
    <w:rsid w:val="0077551B"/>
    <w:rsid w:val="00777527"/>
    <w:rsid w:val="00777D44"/>
    <w:rsid w:val="00780762"/>
    <w:rsid w:val="00781AFD"/>
    <w:rsid w:val="007846BC"/>
    <w:rsid w:val="00785046"/>
    <w:rsid w:val="00790116"/>
    <w:rsid w:val="0079048E"/>
    <w:rsid w:val="00790878"/>
    <w:rsid w:val="0079101C"/>
    <w:rsid w:val="00795185"/>
    <w:rsid w:val="00795C3E"/>
    <w:rsid w:val="007978CC"/>
    <w:rsid w:val="007A0FF3"/>
    <w:rsid w:val="007A23DC"/>
    <w:rsid w:val="007A5BC6"/>
    <w:rsid w:val="007A60CE"/>
    <w:rsid w:val="007A71AB"/>
    <w:rsid w:val="007A75A3"/>
    <w:rsid w:val="007B13BD"/>
    <w:rsid w:val="007B140F"/>
    <w:rsid w:val="007B1FE6"/>
    <w:rsid w:val="007B34F4"/>
    <w:rsid w:val="007B6A50"/>
    <w:rsid w:val="007B6BBF"/>
    <w:rsid w:val="007C46DB"/>
    <w:rsid w:val="007C4897"/>
    <w:rsid w:val="007C523D"/>
    <w:rsid w:val="007C58CB"/>
    <w:rsid w:val="007C600A"/>
    <w:rsid w:val="007C7B1E"/>
    <w:rsid w:val="007D0BB3"/>
    <w:rsid w:val="007D0DE3"/>
    <w:rsid w:val="007D167C"/>
    <w:rsid w:val="007D2415"/>
    <w:rsid w:val="007D45AD"/>
    <w:rsid w:val="007D6BC7"/>
    <w:rsid w:val="007D708D"/>
    <w:rsid w:val="007E0607"/>
    <w:rsid w:val="007E0871"/>
    <w:rsid w:val="007E6956"/>
    <w:rsid w:val="007E6F60"/>
    <w:rsid w:val="007F1EF3"/>
    <w:rsid w:val="007F274C"/>
    <w:rsid w:val="007F367D"/>
    <w:rsid w:val="007F3C43"/>
    <w:rsid w:val="007F3FB4"/>
    <w:rsid w:val="007F69A9"/>
    <w:rsid w:val="008008BF"/>
    <w:rsid w:val="00800DB9"/>
    <w:rsid w:val="008030AD"/>
    <w:rsid w:val="008033EF"/>
    <w:rsid w:val="008034F0"/>
    <w:rsid w:val="008049B3"/>
    <w:rsid w:val="00804C8C"/>
    <w:rsid w:val="00805DEF"/>
    <w:rsid w:val="00806633"/>
    <w:rsid w:val="00806933"/>
    <w:rsid w:val="00806B94"/>
    <w:rsid w:val="00806F06"/>
    <w:rsid w:val="00807C25"/>
    <w:rsid w:val="008105D7"/>
    <w:rsid w:val="008136E8"/>
    <w:rsid w:val="00813A09"/>
    <w:rsid w:val="00817605"/>
    <w:rsid w:val="00821992"/>
    <w:rsid w:val="008263CB"/>
    <w:rsid w:val="008267D0"/>
    <w:rsid w:val="00826AD7"/>
    <w:rsid w:val="00826C89"/>
    <w:rsid w:val="00827942"/>
    <w:rsid w:val="0083029E"/>
    <w:rsid w:val="00830C03"/>
    <w:rsid w:val="00831D52"/>
    <w:rsid w:val="00832091"/>
    <w:rsid w:val="00833290"/>
    <w:rsid w:val="00833479"/>
    <w:rsid w:val="00833EF3"/>
    <w:rsid w:val="008354AF"/>
    <w:rsid w:val="00835B34"/>
    <w:rsid w:val="008369FA"/>
    <w:rsid w:val="0084067F"/>
    <w:rsid w:val="00841088"/>
    <w:rsid w:val="00841133"/>
    <w:rsid w:val="00843308"/>
    <w:rsid w:val="008442B7"/>
    <w:rsid w:val="008454BE"/>
    <w:rsid w:val="008502C4"/>
    <w:rsid w:val="0085108D"/>
    <w:rsid w:val="00852D38"/>
    <w:rsid w:val="00854131"/>
    <w:rsid w:val="0085500E"/>
    <w:rsid w:val="008555D0"/>
    <w:rsid w:val="00856461"/>
    <w:rsid w:val="0085748A"/>
    <w:rsid w:val="00857495"/>
    <w:rsid w:val="00863098"/>
    <w:rsid w:val="008714BF"/>
    <w:rsid w:val="00873424"/>
    <w:rsid w:val="00875148"/>
    <w:rsid w:val="0087611A"/>
    <w:rsid w:val="0087670F"/>
    <w:rsid w:val="00876AEA"/>
    <w:rsid w:val="00877714"/>
    <w:rsid w:val="00883C5C"/>
    <w:rsid w:val="008845EA"/>
    <w:rsid w:val="00884F98"/>
    <w:rsid w:val="00886E55"/>
    <w:rsid w:val="00891374"/>
    <w:rsid w:val="00891674"/>
    <w:rsid w:val="008924FB"/>
    <w:rsid w:val="00892DBC"/>
    <w:rsid w:val="00893986"/>
    <w:rsid w:val="00897826"/>
    <w:rsid w:val="008A1757"/>
    <w:rsid w:val="008A3CFE"/>
    <w:rsid w:val="008A49A4"/>
    <w:rsid w:val="008A71BF"/>
    <w:rsid w:val="008B013F"/>
    <w:rsid w:val="008B01DA"/>
    <w:rsid w:val="008B17E9"/>
    <w:rsid w:val="008B2C25"/>
    <w:rsid w:val="008B375F"/>
    <w:rsid w:val="008B7D33"/>
    <w:rsid w:val="008B7FD0"/>
    <w:rsid w:val="008C2FCC"/>
    <w:rsid w:val="008C4061"/>
    <w:rsid w:val="008C6769"/>
    <w:rsid w:val="008D00C9"/>
    <w:rsid w:val="008D2F87"/>
    <w:rsid w:val="008D2F96"/>
    <w:rsid w:val="008D4A00"/>
    <w:rsid w:val="008D5447"/>
    <w:rsid w:val="008D5D64"/>
    <w:rsid w:val="008E5650"/>
    <w:rsid w:val="008E6BBE"/>
    <w:rsid w:val="008E7278"/>
    <w:rsid w:val="008E7469"/>
    <w:rsid w:val="008F154F"/>
    <w:rsid w:val="008F423D"/>
    <w:rsid w:val="008F6215"/>
    <w:rsid w:val="008F69F5"/>
    <w:rsid w:val="008F73F7"/>
    <w:rsid w:val="0090049E"/>
    <w:rsid w:val="009019DB"/>
    <w:rsid w:val="00902AFC"/>
    <w:rsid w:val="00902C03"/>
    <w:rsid w:val="009042BE"/>
    <w:rsid w:val="0090546B"/>
    <w:rsid w:val="0090674C"/>
    <w:rsid w:val="00906EA7"/>
    <w:rsid w:val="0091181E"/>
    <w:rsid w:val="00912EB0"/>
    <w:rsid w:val="009158A7"/>
    <w:rsid w:val="00915C20"/>
    <w:rsid w:val="009174EB"/>
    <w:rsid w:val="009232FD"/>
    <w:rsid w:val="009241CC"/>
    <w:rsid w:val="009247A8"/>
    <w:rsid w:val="00925A8E"/>
    <w:rsid w:val="009268F9"/>
    <w:rsid w:val="009347EB"/>
    <w:rsid w:val="0094012B"/>
    <w:rsid w:val="009422EC"/>
    <w:rsid w:val="009430B7"/>
    <w:rsid w:val="00943274"/>
    <w:rsid w:val="0094411A"/>
    <w:rsid w:val="00945A51"/>
    <w:rsid w:val="00951340"/>
    <w:rsid w:val="00952A5B"/>
    <w:rsid w:val="00957DE5"/>
    <w:rsid w:val="00962E2E"/>
    <w:rsid w:val="00974182"/>
    <w:rsid w:val="009758D6"/>
    <w:rsid w:val="00977088"/>
    <w:rsid w:val="00977530"/>
    <w:rsid w:val="00977759"/>
    <w:rsid w:val="009778F2"/>
    <w:rsid w:val="00980B9D"/>
    <w:rsid w:val="0098182B"/>
    <w:rsid w:val="00981A29"/>
    <w:rsid w:val="0098277D"/>
    <w:rsid w:val="0098312D"/>
    <w:rsid w:val="00984E61"/>
    <w:rsid w:val="00985BEC"/>
    <w:rsid w:val="00986890"/>
    <w:rsid w:val="00987636"/>
    <w:rsid w:val="00992C38"/>
    <w:rsid w:val="00994622"/>
    <w:rsid w:val="00994B50"/>
    <w:rsid w:val="00995B9B"/>
    <w:rsid w:val="0099723C"/>
    <w:rsid w:val="009979AE"/>
    <w:rsid w:val="00997B80"/>
    <w:rsid w:val="00997FFA"/>
    <w:rsid w:val="009A293C"/>
    <w:rsid w:val="009A3389"/>
    <w:rsid w:val="009A3759"/>
    <w:rsid w:val="009B2AE4"/>
    <w:rsid w:val="009C15F3"/>
    <w:rsid w:val="009C4A4A"/>
    <w:rsid w:val="009C510C"/>
    <w:rsid w:val="009D02FF"/>
    <w:rsid w:val="009D0E1B"/>
    <w:rsid w:val="009D253F"/>
    <w:rsid w:val="009E0C48"/>
    <w:rsid w:val="009E3262"/>
    <w:rsid w:val="009E34D8"/>
    <w:rsid w:val="009E4D9A"/>
    <w:rsid w:val="009E648A"/>
    <w:rsid w:val="009E77B8"/>
    <w:rsid w:val="009F0B60"/>
    <w:rsid w:val="009F1E47"/>
    <w:rsid w:val="009F2F4A"/>
    <w:rsid w:val="009F455C"/>
    <w:rsid w:val="009F4B18"/>
    <w:rsid w:val="009F56C7"/>
    <w:rsid w:val="009F6326"/>
    <w:rsid w:val="00A017C9"/>
    <w:rsid w:val="00A0300B"/>
    <w:rsid w:val="00A05160"/>
    <w:rsid w:val="00A056F7"/>
    <w:rsid w:val="00A06E00"/>
    <w:rsid w:val="00A11BF6"/>
    <w:rsid w:val="00A14581"/>
    <w:rsid w:val="00A14FB3"/>
    <w:rsid w:val="00A15114"/>
    <w:rsid w:val="00A153D0"/>
    <w:rsid w:val="00A17C21"/>
    <w:rsid w:val="00A22441"/>
    <w:rsid w:val="00A2436E"/>
    <w:rsid w:val="00A24A80"/>
    <w:rsid w:val="00A30530"/>
    <w:rsid w:val="00A313FE"/>
    <w:rsid w:val="00A330C4"/>
    <w:rsid w:val="00A3310C"/>
    <w:rsid w:val="00A33A8F"/>
    <w:rsid w:val="00A33F06"/>
    <w:rsid w:val="00A3475D"/>
    <w:rsid w:val="00A35B26"/>
    <w:rsid w:val="00A36388"/>
    <w:rsid w:val="00A363CE"/>
    <w:rsid w:val="00A4033E"/>
    <w:rsid w:val="00A40384"/>
    <w:rsid w:val="00A40842"/>
    <w:rsid w:val="00A42C8C"/>
    <w:rsid w:val="00A42E0C"/>
    <w:rsid w:val="00A43254"/>
    <w:rsid w:val="00A43775"/>
    <w:rsid w:val="00A44039"/>
    <w:rsid w:val="00A45884"/>
    <w:rsid w:val="00A46231"/>
    <w:rsid w:val="00A50859"/>
    <w:rsid w:val="00A51F86"/>
    <w:rsid w:val="00A53C09"/>
    <w:rsid w:val="00A545C7"/>
    <w:rsid w:val="00A552ED"/>
    <w:rsid w:val="00A60D1D"/>
    <w:rsid w:val="00A64306"/>
    <w:rsid w:val="00A64FC3"/>
    <w:rsid w:val="00A65256"/>
    <w:rsid w:val="00A732BB"/>
    <w:rsid w:val="00A735BC"/>
    <w:rsid w:val="00A7367D"/>
    <w:rsid w:val="00A74C68"/>
    <w:rsid w:val="00A765A6"/>
    <w:rsid w:val="00A81D9B"/>
    <w:rsid w:val="00A81E17"/>
    <w:rsid w:val="00A81FE1"/>
    <w:rsid w:val="00A830F5"/>
    <w:rsid w:val="00A8343F"/>
    <w:rsid w:val="00A835F7"/>
    <w:rsid w:val="00A837D9"/>
    <w:rsid w:val="00A8460E"/>
    <w:rsid w:val="00A86CB5"/>
    <w:rsid w:val="00A87976"/>
    <w:rsid w:val="00A87A02"/>
    <w:rsid w:val="00A9071F"/>
    <w:rsid w:val="00A90BCF"/>
    <w:rsid w:val="00A92491"/>
    <w:rsid w:val="00A9442E"/>
    <w:rsid w:val="00A95357"/>
    <w:rsid w:val="00A95F5C"/>
    <w:rsid w:val="00A973C3"/>
    <w:rsid w:val="00A97412"/>
    <w:rsid w:val="00A97593"/>
    <w:rsid w:val="00AA025F"/>
    <w:rsid w:val="00AA0E35"/>
    <w:rsid w:val="00AA2D6B"/>
    <w:rsid w:val="00AA32E8"/>
    <w:rsid w:val="00AA43A3"/>
    <w:rsid w:val="00AA48F0"/>
    <w:rsid w:val="00AA7005"/>
    <w:rsid w:val="00AA74DC"/>
    <w:rsid w:val="00AB102B"/>
    <w:rsid w:val="00AB14D4"/>
    <w:rsid w:val="00AB4E4C"/>
    <w:rsid w:val="00AB708B"/>
    <w:rsid w:val="00AB7EDF"/>
    <w:rsid w:val="00AC0511"/>
    <w:rsid w:val="00AC149E"/>
    <w:rsid w:val="00AC314A"/>
    <w:rsid w:val="00AD083B"/>
    <w:rsid w:val="00AD0EA3"/>
    <w:rsid w:val="00AD102C"/>
    <w:rsid w:val="00AD2E21"/>
    <w:rsid w:val="00AD32B8"/>
    <w:rsid w:val="00AD409B"/>
    <w:rsid w:val="00AD4676"/>
    <w:rsid w:val="00AE09A4"/>
    <w:rsid w:val="00AE20A7"/>
    <w:rsid w:val="00AE2111"/>
    <w:rsid w:val="00AE28BF"/>
    <w:rsid w:val="00AE2DB5"/>
    <w:rsid w:val="00AE4213"/>
    <w:rsid w:val="00AE65A0"/>
    <w:rsid w:val="00AF42A5"/>
    <w:rsid w:val="00B0079A"/>
    <w:rsid w:val="00B03455"/>
    <w:rsid w:val="00B05FF1"/>
    <w:rsid w:val="00B067C9"/>
    <w:rsid w:val="00B06DD3"/>
    <w:rsid w:val="00B07BF9"/>
    <w:rsid w:val="00B07D55"/>
    <w:rsid w:val="00B1079B"/>
    <w:rsid w:val="00B16399"/>
    <w:rsid w:val="00B20E2D"/>
    <w:rsid w:val="00B21005"/>
    <w:rsid w:val="00B21697"/>
    <w:rsid w:val="00B219D9"/>
    <w:rsid w:val="00B22A09"/>
    <w:rsid w:val="00B234FF"/>
    <w:rsid w:val="00B23E61"/>
    <w:rsid w:val="00B24A22"/>
    <w:rsid w:val="00B24EC5"/>
    <w:rsid w:val="00B27328"/>
    <w:rsid w:val="00B3061B"/>
    <w:rsid w:val="00B30ABA"/>
    <w:rsid w:val="00B34CCE"/>
    <w:rsid w:val="00B36F3D"/>
    <w:rsid w:val="00B408D3"/>
    <w:rsid w:val="00B40E40"/>
    <w:rsid w:val="00B41898"/>
    <w:rsid w:val="00B41D3B"/>
    <w:rsid w:val="00B42707"/>
    <w:rsid w:val="00B43A42"/>
    <w:rsid w:val="00B45E2F"/>
    <w:rsid w:val="00B51564"/>
    <w:rsid w:val="00B547C9"/>
    <w:rsid w:val="00B549FB"/>
    <w:rsid w:val="00B566A5"/>
    <w:rsid w:val="00B56B64"/>
    <w:rsid w:val="00B57E2D"/>
    <w:rsid w:val="00B601A2"/>
    <w:rsid w:val="00B61A59"/>
    <w:rsid w:val="00B6387E"/>
    <w:rsid w:val="00B63D46"/>
    <w:rsid w:val="00B64244"/>
    <w:rsid w:val="00B658C1"/>
    <w:rsid w:val="00B716E6"/>
    <w:rsid w:val="00B7580B"/>
    <w:rsid w:val="00B76055"/>
    <w:rsid w:val="00B76E8A"/>
    <w:rsid w:val="00B801F1"/>
    <w:rsid w:val="00B809B9"/>
    <w:rsid w:val="00B81A4B"/>
    <w:rsid w:val="00B83433"/>
    <w:rsid w:val="00B841EA"/>
    <w:rsid w:val="00B84902"/>
    <w:rsid w:val="00B8494A"/>
    <w:rsid w:val="00B85BE4"/>
    <w:rsid w:val="00B90159"/>
    <w:rsid w:val="00B9085A"/>
    <w:rsid w:val="00B9152E"/>
    <w:rsid w:val="00B91FF7"/>
    <w:rsid w:val="00B927D1"/>
    <w:rsid w:val="00B937FE"/>
    <w:rsid w:val="00B94380"/>
    <w:rsid w:val="00B97B91"/>
    <w:rsid w:val="00BA0DAF"/>
    <w:rsid w:val="00BA3590"/>
    <w:rsid w:val="00BA4B15"/>
    <w:rsid w:val="00BA62E9"/>
    <w:rsid w:val="00BA635D"/>
    <w:rsid w:val="00BA6847"/>
    <w:rsid w:val="00BB0858"/>
    <w:rsid w:val="00BB0A01"/>
    <w:rsid w:val="00BB35F5"/>
    <w:rsid w:val="00BB5491"/>
    <w:rsid w:val="00BB6D2A"/>
    <w:rsid w:val="00BB70D8"/>
    <w:rsid w:val="00BC01DD"/>
    <w:rsid w:val="00BC1913"/>
    <w:rsid w:val="00BC1E14"/>
    <w:rsid w:val="00BC5A10"/>
    <w:rsid w:val="00BC5B40"/>
    <w:rsid w:val="00BD0B39"/>
    <w:rsid w:val="00BD1043"/>
    <w:rsid w:val="00BD107F"/>
    <w:rsid w:val="00BD1E4A"/>
    <w:rsid w:val="00BD2D22"/>
    <w:rsid w:val="00BD4BF8"/>
    <w:rsid w:val="00BD5692"/>
    <w:rsid w:val="00BE1511"/>
    <w:rsid w:val="00BE15B5"/>
    <w:rsid w:val="00BE19FB"/>
    <w:rsid w:val="00BE2A2C"/>
    <w:rsid w:val="00BE403D"/>
    <w:rsid w:val="00BE5968"/>
    <w:rsid w:val="00BE7247"/>
    <w:rsid w:val="00C00091"/>
    <w:rsid w:val="00C0559D"/>
    <w:rsid w:val="00C06277"/>
    <w:rsid w:val="00C06F85"/>
    <w:rsid w:val="00C118D9"/>
    <w:rsid w:val="00C131AC"/>
    <w:rsid w:val="00C201E0"/>
    <w:rsid w:val="00C2385A"/>
    <w:rsid w:val="00C23A84"/>
    <w:rsid w:val="00C24F17"/>
    <w:rsid w:val="00C3099A"/>
    <w:rsid w:val="00C320D3"/>
    <w:rsid w:val="00C35EE9"/>
    <w:rsid w:val="00C3664C"/>
    <w:rsid w:val="00C368CC"/>
    <w:rsid w:val="00C3726B"/>
    <w:rsid w:val="00C37A9C"/>
    <w:rsid w:val="00C41545"/>
    <w:rsid w:val="00C433FA"/>
    <w:rsid w:val="00C43FE0"/>
    <w:rsid w:val="00C46BF0"/>
    <w:rsid w:val="00C47829"/>
    <w:rsid w:val="00C47957"/>
    <w:rsid w:val="00C52A35"/>
    <w:rsid w:val="00C55548"/>
    <w:rsid w:val="00C556DB"/>
    <w:rsid w:val="00C56562"/>
    <w:rsid w:val="00C6004C"/>
    <w:rsid w:val="00C62357"/>
    <w:rsid w:val="00C62B50"/>
    <w:rsid w:val="00C6565E"/>
    <w:rsid w:val="00C6585D"/>
    <w:rsid w:val="00C66E21"/>
    <w:rsid w:val="00C673A1"/>
    <w:rsid w:val="00C675D0"/>
    <w:rsid w:val="00C67CB0"/>
    <w:rsid w:val="00C7202B"/>
    <w:rsid w:val="00C72093"/>
    <w:rsid w:val="00C7495C"/>
    <w:rsid w:val="00C75561"/>
    <w:rsid w:val="00C763E5"/>
    <w:rsid w:val="00C8046F"/>
    <w:rsid w:val="00C81032"/>
    <w:rsid w:val="00C8224B"/>
    <w:rsid w:val="00C82F0A"/>
    <w:rsid w:val="00C83673"/>
    <w:rsid w:val="00C85B24"/>
    <w:rsid w:val="00C860E8"/>
    <w:rsid w:val="00C90A68"/>
    <w:rsid w:val="00C914F5"/>
    <w:rsid w:val="00C947DB"/>
    <w:rsid w:val="00C95C1D"/>
    <w:rsid w:val="00C96C2B"/>
    <w:rsid w:val="00C96F7D"/>
    <w:rsid w:val="00C9724B"/>
    <w:rsid w:val="00CA3D1C"/>
    <w:rsid w:val="00CB02B7"/>
    <w:rsid w:val="00CB370D"/>
    <w:rsid w:val="00CB3E3B"/>
    <w:rsid w:val="00CB3EEA"/>
    <w:rsid w:val="00CB43EF"/>
    <w:rsid w:val="00CB51F0"/>
    <w:rsid w:val="00CB55ED"/>
    <w:rsid w:val="00CB63F8"/>
    <w:rsid w:val="00CB712B"/>
    <w:rsid w:val="00CC0A2A"/>
    <w:rsid w:val="00CC345C"/>
    <w:rsid w:val="00CC3D94"/>
    <w:rsid w:val="00CC418A"/>
    <w:rsid w:val="00CC5842"/>
    <w:rsid w:val="00CD2C91"/>
    <w:rsid w:val="00CD3148"/>
    <w:rsid w:val="00CD475E"/>
    <w:rsid w:val="00CD77AB"/>
    <w:rsid w:val="00CE1266"/>
    <w:rsid w:val="00CE5806"/>
    <w:rsid w:val="00CE5D92"/>
    <w:rsid w:val="00CE7854"/>
    <w:rsid w:val="00CF01CD"/>
    <w:rsid w:val="00CF0879"/>
    <w:rsid w:val="00CF0BC8"/>
    <w:rsid w:val="00CF1A28"/>
    <w:rsid w:val="00CF24AB"/>
    <w:rsid w:val="00CF271C"/>
    <w:rsid w:val="00CF31B6"/>
    <w:rsid w:val="00CF342D"/>
    <w:rsid w:val="00CF3A65"/>
    <w:rsid w:val="00CF5CC8"/>
    <w:rsid w:val="00D00854"/>
    <w:rsid w:val="00D030F4"/>
    <w:rsid w:val="00D063A1"/>
    <w:rsid w:val="00D069C3"/>
    <w:rsid w:val="00D07B0F"/>
    <w:rsid w:val="00D10115"/>
    <w:rsid w:val="00D13B54"/>
    <w:rsid w:val="00D13D1D"/>
    <w:rsid w:val="00D13F9E"/>
    <w:rsid w:val="00D1460E"/>
    <w:rsid w:val="00D16C81"/>
    <w:rsid w:val="00D16E3F"/>
    <w:rsid w:val="00D1754B"/>
    <w:rsid w:val="00D212A7"/>
    <w:rsid w:val="00D30AB7"/>
    <w:rsid w:val="00D30EF2"/>
    <w:rsid w:val="00D32CEA"/>
    <w:rsid w:val="00D33701"/>
    <w:rsid w:val="00D34E7F"/>
    <w:rsid w:val="00D3502D"/>
    <w:rsid w:val="00D412EE"/>
    <w:rsid w:val="00D41991"/>
    <w:rsid w:val="00D420A6"/>
    <w:rsid w:val="00D453FA"/>
    <w:rsid w:val="00D4566A"/>
    <w:rsid w:val="00D460F2"/>
    <w:rsid w:val="00D469D2"/>
    <w:rsid w:val="00D50166"/>
    <w:rsid w:val="00D5192D"/>
    <w:rsid w:val="00D51AFA"/>
    <w:rsid w:val="00D522AA"/>
    <w:rsid w:val="00D543F9"/>
    <w:rsid w:val="00D57A90"/>
    <w:rsid w:val="00D60BF5"/>
    <w:rsid w:val="00D632D8"/>
    <w:rsid w:val="00D65370"/>
    <w:rsid w:val="00D702C9"/>
    <w:rsid w:val="00D71D88"/>
    <w:rsid w:val="00D7280F"/>
    <w:rsid w:val="00D73314"/>
    <w:rsid w:val="00D74223"/>
    <w:rsid w:val="00D7600D"/>
    <w:rsid w:val="00D7627E"/>
    <w:rsid w:val="00D76978"/>
    <w:rsid w:val="00D77FEE"/>
    <w:rsid w:val="00D8201B"/>
    <w:rsid w:val="00D847C9"/>
    <w:rsid w:val="00D85745"/>
    <w:rsid w:val="00D85F8E"/>
    <w:rsid w:val="00D908C9"/>
    <w:rsid w:val="00D90A38"/>
    <w:rsid w:val="00D930CD"/>
    <w:rsid w:val="00D93D91"/>
    <w:rsid w:val="00D95787"/>
    <w:rsid w:val="00D9650D"/>
    <w:rsid w:val="00D965D3"/>
    <w:rsid w:val="00D96FF4"/>
    <w:rsid w:val="00DA2E3E"/>
    <w:rsid w:val="00DA4BD3"/>
    <w:rsid w:val="00DA5AEC"/>
    <w:rsid w:val="00DA5EB6"/>
    <w:rsid w:val="00DA648D"/>
    <w:rsid w:val="00DA7794"/>
    <w:rsid w:val="00DB1581"/>
    <w:rsid w:val="00DB18C4"/>
    <w:rsid w:val="00DB2279"/>
    <w:rsid w:val="00DB29C8"/>
    <w:rsid w:val="00DB38BE"/>
    <w:rsid w:val="00DB3EAA"/>
    <w:rsid w:val="00DB4CEE"/>
    <w:rsid w:val="00DB6643"/>
    <w:rsid w:val="00DC3C9D"/>
    <w:rsid w:val="00DD0D41"/>
    <w:rsid w:val="00DD1473"/>
    <w:rsid w:val="00DD154D"/>
    <w:rsid w:val="00DD15E7"/>
    <w:rsid w:val="00DD1BDF"/>
    <w:rsid w:val="00DD1D9A"/>
    <w:rsid w:val="00DD30F7"/>
    <w:rsid w:val="00DD6AD1"/>
    <w:rsid w:val="00DE08EB"/>
    <w:rsid w:val="00DE16C3"/>
    <w:rsid w:val="00DE1EE9"/>
    <w:rsid w:val="00DE261C"/>
    <w:rsid w:val="00DE4C56"/>
    <w:rsid w:val="00DE4F51"/>
    <w:rsid w:val="00DE5FFF"/>
    <w:rsid w:val="00DF05F3"/>
    <w:rsid w:val="00DF0FD2"/>
    <w:rsid w:val="00DF310F"/>
    <w:rsid w:val="00DF36AE"/>
    <w:rsid w:val="00DF3936"/>
    <w:rsid w:val="00DF755E"/>
    <w:rsid w:val="00DF7CA0"/>
    <w:rsid w:val="00E00921"/>
    <w:rsid w:val="00E00E13"/>
    <w:rsid w:val="00E010AA"/>
    <w:rsid w:val="00E02E9A"/>
    <w:rsid w:val="00E03AEE"/>
    <w:rsid w:val="00E0670D"/>
    <w:rsid w:val="00E11251"/>
    <w:rsid w:val="00E124CC"/>
    <w:rsid w:val="00E1363A"/>
    <w:rsid w:val="00E13894"/>
    <w:rsid w:val="00E142C6"/>
    <w:rsid w:val="00E1639C"/>
    <w:rsid w:val="00E16D46"/>
    <w:rsid w:val="00E17BCC"/>
    <w:rsid w:val="00E20B8E"/>
    <w:rsid w:val="00E20BB7"/>
    <w:rsid w:val="00E20BE3"/>
    <w:rsid w:val="00E20F37"/>
    <w:rsid w:val="00E21C03"/>
    <w:rsid w:val="00E22704"/>
    <w:rsid w:val="00E24DBD"/>
    <w:rsid w:val="00E26DBB"/>
    <w:rsid w:val="00E27FE0"/>
    <w:rsid w:val="00E3020F"/>
    <w:rsid w:val="00E30DF3"/>
    <w:rsid w:val="00E31B88"/>
    <w:rsid w:val="00E338F3"/>
    <w:rsid w:val="00E33B66"/>
    <w:rsid w:val="00E4167D"/>
    <w:rsid w:val="00E418A1"/>
    <w:rsid w:val="00E41D5C"/>
    <w:rsid w:val="00E43254"/>
    <w:rsid w:val="00E4391F"/>
    <w:rsid w:val="00E44AF9"/>
    <w:rsid w:val="00E45C39"/>
    <w:rsid w:val="00E474BA"/>
    <w:rsid w:val="00E523EA"/>
    <w:rsid w:val="00E52E3F"/>
    <w:rsid w:val="00E56853"/>
    <w:rsid w:val="00E56A96"/>
    <w:rsid w:val="00E60984"/>
    <w:rsid w:val="00E637CE"/>
    <w:rsid w:val="00E6467F"/>
    <w:rsid w:val="00E64AB2"/>
    <w:rsid w:val="00E64B53"/>
    <w:rsid w:val="00E651F4"/>
    <w:rsid w:val="00E655DC"/>
    <w:rsid w:val="00E657AA"/>
    <w:rsid w:val="00E66DEF"/>
    <w:rsid w:val="00E704B0"/>
    <w:rsid w:val="00E70C96"/>
    <w:rsid w:val="00E75563"/>
    <w:rsid w:val="00E76551"/>
    <w:rsid w:val="00E76CED"/>
    <w:rsid w:val="00E76F2F"/>
    <w:rsid w:val="00E8245A"/>
    <w:rsid w:val="00E82B6C"/>
    <w:rsid w:val="00E84ADB"/>
    <w:rsid w:val="00E86F45"/>
    <w:rsid w:val="00E87154"/>
    <w:rsid w:val="00E9083E"/>
    <w:rsid w:val="00E9213B"/>
    <w:rsid w:val="00E930E3"/>
    <w:rsid w:val="00E95624"/>
    <w:rsid w:val="00E97ED6"/>
    <w:rsid w:val="00EA12E2"/>
    <w:rsid w:val="00EA27B4"/>
    <w:rsid w:val="00EA2852"/>
    <w:rsid w:val="00EA5735"/>
    <w:rsid w:val="00EA5E56"/>
    <w:rsid w:val="00EA71C8"/>
    <w:rsid w:val="00EA7311"/>
    <w:rsid w:val="00EB102B"/>
    <w:rsid w:val="00EB157C"/>
    <w:rsid w:val="00EB28CA"/>
    <w:rsid w:val="00EB50C6"/>
    <w:rsid w:val="00EB5895"/>
    <w:rsid w:val="00EB589C"/>
    <w:rsid w:val="00EB62F3"/>
    <w:rsid w:val="00EB66FF"/>
    <w:rsid w:val="00EC0B6B"/>
    <w:rsid w:val="00EC1080"/>
    <w:rsid w:val="00EC130F"/>
    <w:rsid w:val="00EC29B0"/>
    <w:rsid w:val="00EC2CFF"/>
    <w:rsid w:val="00EC384A"/>
    <w:rsid w:val="00EC7476"/>
    <w:rsid w:val="00EC7987"/>
    <w:rsid w:val="00ED0369"/>
    <w:rsid w:val="00ED1D76"/>
    <w:rsid w:val="00ED52B3"/>
    <w:rsid w:val="00ED5878"/>
    <w:rsid w:val="00EE0566"/>
    <w:rsid w:val="00EE2F8F"/>
    <w:rsid w:val="00EE400D"/>
    <w:rsid w:val="00EE45F3"/>
    <w:rsid w:val="00EE4DAC"/>
    <w:rsid w:val="00EE787A"/>
    <w:rsid w:val="00EE7FC2"/>
    <w:rsid w:val="00EF0AE5"/>
    <w:rsid w:val="00EF215A"/>
    <w:rsid w:val="00EF3E51"/>
    <w:rsid w:val="00EF6742"/>
    <w:rsid w:val="00EF7457"/>
    <w:rsid w:val="00EF7766"/>
    <w:rsid w:val="00F00C7F"/>
    <w:rsid w:val="00F0115C"/>
    <w:rsid w:val="00F0281F"/>
    <w:rsid w:val="00F03273"/>
    <w:rsid w:val="00F05A13"/>
    <w:rsid w:val="00F06681"/>
    <w:rsid w:val="00F066CA"/>
    <w:rsid w:val="00F10BFE"/>
    <w:rsid w:val="00F119B4"/>
    <w:rsid w:val="00F11E57"/>
    <w:rsid w:val="00F12A83"/>
    <w:rsid w:val="00F1420A"/>
    <w:rsid w:val="00F15D33"/>
    <w:rsid w:val="00F15E63"/>
    <w:rsid w:val="00F16C82"/>
    <w:rsid w:val="00F16FA3"/>
    <w:rsid w:val="00F175B7"/>
    <w:rsid w:val="00F21724"/>
    <w:rsid w:val="00F230EC"/>
    <w:rsid w:val="00F23535"/>
    <w:rsid w:val="00F2602E"/>
    <w:rsid w:val="00F338D0"/>
    <w:rsid w:val="00F34765"/>
    <w:rsid w:val="00F41242"/>
    <w:rsid w:val="00F44114"/>
    <w:rsid w:val="00F444B6"/>
    <w:rsid w:val="00F4575C"/>
    <w:rsid w:val="00F46257"/>
    <w:rsid w:val="00F46924"/>
    <w:rsid w:val="00F51826"/>
    <w:rsid w:val="00F528D3"/>
    <w:rsid w:val="00F52F51"/>
    <w:rsid w:val="00F53B2A"/>
    <w:rsid w:val="00F53FB3"/>
    <w:rsid w:val="00F552EE"/>
    <w:rsid w:val="00F57257"/>
    <w:rsid w:val="00F600E0"/>
    <w:rsid w:val="00F601FC"/>
    <w:rsid w:val="00F63F8A"/>
    <w:rsid w:val="00F66211"/>
    <w:rsid w:val="00F66305"/>
    <w:rsid w:val="00F67194"/>
    <w:rsid w:val="00F671DC"/>
    <w:rsid w:val="00F72F79"/>
    <w:rsid w:val="00F73049"/>
    <w:rsid w:val="00F821FA"/>
    <w:rsid w:val="00F84C88"/>
    <w:rsid w:val="00F87E00"/>
    <w:rsid w:val="00F87FD0"/>
    <w:rsid w:val="00F90FB9"/>
    <w:rsid w:val="00F911EE"/>
    <w:rsid w:val="00F92A16"/>
    <w:rsid w:val="00F93768"/>
    <w:rsid w:val="00F9447C"/>
    <w:rsid w:val="00F94783"/>
    <w:rsid w:val="00F9512B"/>
    <w:rsid w:val="00F95CAA"/>
    <w:rsid w:val="00FA1561"/>
    <w:rsid w:val="00FA5203"/>
    <w:rsid w:val="00FB1D2B"/>
    <w:rsid w:val="00FB3959"/>
    <w:rsid w:val="00FB61F9"/>
    <w:rsid w:val="00FB6CF9"/>
    <w:rsid w:val="00FB7152"/>
    <w:rsid w:val="00FB78C1"/>
    <w:rsid w:val="00FC1764"/>
    <w:rsid w:val="00FC2FFB"/>
    <w:rsid w:val="00FC36B4"/>
    <w:rsid w:val="00FC37AA"/>
    <w:rsid w:val="00FC4497"/>
    <w:rsid w:val="00FC56CE"/>
    <w:rsid w:val="00FC6940"/>
    <w:rsid w:val="00FC6F2D"/>
    <w:rsid w:val="00FC7C22"/>
    <w:rsid w:val="00FC7F92"/>
    <w:rsid w:val="00FD0B36"/>
    <w:rsid w:val="00FD2683"/>
    <w:rsid w:val="00FD57F0"/>
    <w:rsid w:val="00FD59A5"/>
    <w:rsid w:val="00FE13B2"/>
    <w:rsid w:val="00FE1658"/>
    <w:rsid w:val="00FE1D2F"/>
    <w:rsid w:val="00FE1D69"/>
    <w:rsid w:val="00FE2907"/>
    <w:rsid w:val="00FE3BC7"/>
    <w:rsid w:val="00FE4634"/>
    <w:rsid w:val="00FE4FF1"/>
    <w:rsid w:val="00FE599D"/>
    <w:rsid w:val="00FE7478"/>
    <w:rsid w:val="00FE7EE7"/>
    <w:rsid w:val="00FF1369"/>
    <w:rsid w:val="00FF1ECC"/>
    <w:rsid w:val="00FF320D"/>
    <w:rsid w:val="00FF49B8"/>
    <w:rsid w:val="00FF4C2E"/>
    <w:rsid w:val="00FF5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36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3E3B"/>
    <w:pPr>
      <w:spacing w:after="200" w:line="276" w:lineRule="auto"/>
    </w:pPr>
    <w:rPr>
      <w:sz w:val="22"/>
      <w:szCs w:val="22"/>
    </w:rPr>
  </w:style>
  <w:style w:type="paragraph" w:styleId="berschrift1">
    <w:name w:val="heading 1"/>
    <w:basedOn w:val="Standard"/>
    <w:next w:val="Standard"/>
    <w:link w:val="berschrift1Zchn"/>
    <w:uiPriority w:val="9"/>
    <w:qFormat/>
    <w:locked/>
    <w:rsid w:val="004F6A69"/>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link w:val="berschrift2Zchn"/>
    <w:uiPriority w:val="99"/>
    <w:qFormat/>
    <w:rsid w:val="00821992"/>
    <w:pPr>
      <w:spacing w:before="100" w:beforeAutospacing="1" w:after="100" w:afterAutospacing="1" w:line="240" w:lineRule="auto"/>
      <w:outlineLvl w:val="1"/>
    </w:pPr>
    <w:rPr>
      <w:rFonts w:ascii="Times New Roman" w:hAnsi="Times New Roman"/>
      <w:b/>
      <w:bCs/>
      <w:sz w:val="36"/>
      <w:szCs w:val="36"/>
    </w:rPr>
  </w:style>
  <w:style w:type="paragraph" w:styleId="berschrift3">
    <w:name w:val="heading 3"/>
    <w:basedOn w:val="Standard"/>
    <w:next w:val="Standard"/>
    <w:link w:val="berschrift3Zchn"/>
    <w:uiPriority w:val="99"/>
    <w:qFormat/>
    <w:rsid w:val="00A43254"/>
    <w:pPr>
      <w:keepNext/>
      <w:keepLines/>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4F6A69"/>
    <w:rPr>
      <w:rFonts w:ascii="Cambria" w:eastAsia="Times New Roman" w:hAnsi="Cambria" w:cs="Times New Roman"/>
      <w:b/>
      <w:bCs/>
      <w:color w:val="365F91"/>
      <w:sz w:val="28"/>
      <w:szCs w:val="28"/>
      <w:lang w:val="en-US" w:eastAsia="zh-CN"/>
    </w:rPr>
  </w:style>
  <w:style w:type="character" w:customStyle="1" w:styleId="berschrift2Zchn">
    <w:name w:val="Überschrift 2 Zchn"/>
    <w:link w:val="berschrift2"/>
    <w:uiPriority w:val="99"/>
    <w:locked/>
    <w:rsid w:val="00821992"/>
    <w:rPr>
      <w:rFonts w:ascii="Times New Roman" w:hAnsi="Times New Roman" w:cs="Times New Roman"/>
      <w:b/>
      <w:bCs/>
      <w:sz w:val="36"/>
      <w:szCs w:val="36"/>
    </w:rPr>
  </w:style>
  <w:style w:type="character" w:customStyle="1" w:styleId="berschrift3Zchn">
    <w:name w:val="Überschrift 3 Zchn"/>
    <w:link w:val="berschrift3"/>
    <w:uiPriority w:val="99"/>
    <w:semiHidden/>
    <w:locked/>
    <w:rsid w:val="00A43254"/>
    <w:rPr>
      <w:rFonts w:ascii="Cambria" w:hAnsi="Cambria" w:cs="Times New Roman"/>
      <w:b/>
      <w:bCs/>
      <w:color w:val="4F81BD"/>
      <w:sz w:val="22"/>
      <w:szCs w:val="22"/>
    </w:rPr>
  </w:style>
  <w:style w:type="paragraph" w:styleId="StandardWeb">
    <w:name w:val="Normal (Web)"/>
    <w:basedOn w:val="Standard"/>
    <w:uiPriority w:val="99"/>
    <w:rsid w:val="00F119B4"/>
    <w:pPr>
      <w:spacing w:before="100" w:beforeAutospacing="1" w:after="100" w:afterAutospacing="1" w:line="240" w:lineRule="auto"/>
    </w:pPr>
    <w:rPr>
      <w:rFonts w:ascii="Times New Roman" w:hAnsi="Times New Roman"/>
      <w:sz w:val="24"/>
      <w:szCs w:val="24"/>
    </w:rPr>
  </w:style>
  <w:style w:type="paragraph" w:customStyle="1" w:styleId="svarticle">
    <w:name w:val="svarticle"/>
    <w:basedOn w:val="Standard"/>
    <w:uiPriority w:val="99"/>
    <w:rsid w:val="00821992"/>
    <w:pPr>
      <w:spacing w:before="100" w:beforeAutospacing="1" w:after="100" w:afterAutospacing="1" w:line="240" w:lineRule="auto"/>
    </w:pPr>
    <w:rPr>
      <w:rFonts w:ascii="Times New Roman" w:hAnsi="Times New Roman"/>
      <w:sz w:val="24"/>
      <w:szCs w:val="24"/>
    </w:rPr>
  </w:style>
  <w:style w:type="character" w:styleId="Hyperlink">
    <w:name w:val="Hyperlink"/>
    <w:uiPriority w:val="99"/>
    <w:semiHidden/>
    <w:rsid w:val="00821992"/>
    <w:rPr>
      <w:rFonts w:cs="Times New Roman"/>
      <w:color w:val="0000FF"/>
      <w:u w:val="single"/>
    </w:rPr>
  </w:style>
  <w:style w:type="character" w:customStyle="1" w:styleId="smallcaps">
    <w:name w:val="smallcaps"/>
    <w:uiPriority w:val="99"/>
    <w:rsid w:val="00821992"/>
    <w:rPr>
      <w:rFonts w:cs="Times New Roman"/>
    </w:rPr>
  </w:style>
  <w:style w:type="paragraph" w:customStyle="1" w:styleId="Default">
    <w:name w:val="Default"/>
    <w:uiPriority w:val="99"/>
    <w:rsid w:val="00B24A22"/>
    <w:pPr>
      <w:autoSpaceDE w:val="0"/>
      <w:autoSpaceDN w:val="0"/>
      <w:adjustRightInd w:val="0"/>
    </w:pPr>
    <w:rPr>
      <w:rFonts w:ascii="Times New Roman" w:hAnsi="Times New Roman"/>
      <w:color w:val="000000"/>
      <w:sz w:val="24"/>
      <w:szCs w:val="24"/>
      <w:lang w:val="en-GB" w:eastAsia="en-GB"/>
    </w:rPr>
  </w:style>
  <w:style w:type="paragraph" w:styleId="HTMLVorformatiert">
    <w:name w:val="HTML Preformatted"/>
    <w:basedOn w:val="Standard"/>
    <w:link w:val="HTMLVorformatiertZchn"/>
    <w:uiPriority w:val="99"/>
    <w:rsid w:val="00B2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VorformatiertZchn">
    <w:name w:val="HTML Vorformatiert Zchn"/>
    <w:link w:val="HTMLVorformatiert"/>
    <w:uiPriority w:val="99"/>
    <w:locked/>
    <w:rsid w:val="00B24A22"/>
    <w:rPr>
      <w:rFonts w:ascii="Courier New" w:hAnsi="Courier New" w:cs="Courier New"/>
      <w:sz w:val="20"/>
      <w:szCs w:val="20"/>
    </w:rPr>
  </w:style>
  <w:style w:type="paragraph" w:styleId="Kopfzeile">
    <w:name w:val="header"/>
    <w:basedOn w:val="Standard"/>
    <w:link w:val="KopfzeileZchn"/>
    <w:uiPriority w:val="99"/>
    <w:rsid w:val="003E74E3"/>
    <w:pPr>
      <w:tabs>
        <w:tab w:val="center" w:pos="4680"/>
        <w:tab w:val="right" w:pos="9360"/>
      </w:tabs>
      <w:spacing w:after="0" w:line="240" w:lineRule="auto"/>
    </w:pPr>
  </w:style>
  <w:style w:type="character" w:customStyle="1" w:styleId="KopfzeileZchn">
    <w:name w:val="Kopfzeile Zchn"/>
    <w:link w:val="Kopfzeile"/>
    <w:uiPriority w:val="99"/>
    <w:locked/>
    <w:rsid w:val="003E74E3"/>
    <w:rPr>
      <w:rFonts w:cs="Times New Roman"/>
    </w:rPr>
  </w:style>
  <w:style w:type="paragraph" w:styleId="Fuzeile">
    <w:name w:val="footer"/>
    <w:basedOn w:val="Standard"/>
    <w:link w:val="FuzeileZchn"/>
    <w:uiPriority w:val="99"/>
    <w:rsid w:val="003E74E3"/>
    <w:pPr>
      <w:tabs>
        <w:tab w:val="center" w:pos="4680"/>
        <w:tab w:val="right" w:pos="9360"/>
      </w:tabs>
      <w:spacing w:after="0" w:line="240" w:lineRule="auto"/>
    </w:pPr>
  </w:style>
  <w:style w:type="character" w:customStyle="1" w:styleId="FuzeileZchn">
    <w:name w:val="Fußzeile Zchn"/>
    <w:link w:val="Fuzeile"/>
    <w:uiPriority w:val="99"/>
    <w:locked/>
    <w:rsid w:val="003E74E3"/>
    <w:rPr>
      <w:rFonts w:cs="Times New Roman"/>
    </w:rPr>
  </w:style>
  <w:style w:type="paragraph" w:customStyle="1" w:styleId="MediumGrid1-Accent21">
    <w:name w:val="Medium Grid 1 - Accent 21"/>
    <w:basedOn w:val="Standard"/>
    <w:uiPriority w:val="99"/>
    <w:qFormat/>
    <w:rsid w:val="00231C01"/>
    <w:pPr>
      <w:ind w:left="720"/>
      <w:contextualSpacing/>
    </w:pPr>
  </w:style>
  <w:style w:type="paragraph" w:styleId="Sprechblasentext">
    <w:name w:val="Balloon Text"/>
    <w:basedOn w:val="Standard"/>
    <w:link w:val="SprechblasentextZchn"/>
    <w:uiPriority w:val="99"/>
    <w:semiHidden/>
    <w:rsid w:val="00335B9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335B90"/>
    <w:rPr>
      <w:rFonts w:ascii="Tahoma" w:hAnsi="Tahoma" w:cs="Tahoma"/>
      <w:sz w:val="16"/>
      <w:szCs w:val="16"/>
    </w:rPr>
  </w:style>
  <w:style w:type="character" w:styleId="Hervorhebung">
    <w:name w:val="Emphasis"/>
    <w:uiPriority w:val="20"/>
    <w:qFormat/>
    <w:rsid w:val="0001517F"/>
    <w:rPr>
      <w:rFonts w:cs="Times New Roman"/>
      <w:i/>
      <w:iCs/>
    </w:rPr>
  </w:style>
  <w:style w:type="character" w:styleId="BesuchterHyperlink">
    <w:name w:val="FollowedHyperlink"/>
    <w:uiPriority w:val="99"/>
    <w:semiHidden/>
    <w:rsid w:val="00B716E6"/>
    <w:rPr>
      <w:rFonts w:cs="Times New Roman"/>
      <w:color w:val="800080"/>
      <w:u w:val="single"/>
    </w:rPr>
  </w:style>
  <w:style w:type="character" w:styleId="Kommentarzeichen">
    <w:name w:val="annotation reference"/>
    <w:uiPriority w:val="99"/>
    <w:semiHidden/>
    <w:rsid w:val="004B75FB"/>
    <w:rPr>
      <w:rFonts w:cs="Times New Roman"/>
      <w:sz w:val="18"/>
      <w:szCs w:val="18"/>
    </w:rPr>
  </w:style>
  <w:style w:type="paragraph" w:styleId="Kommentartext">
    <w:name w:val="annotation text"/>
    <w:basedOn w:val="Standard"/>
    <w:link w:val="KommentartextZchn"/>
    <w:uiPriority w:val="99"/>
    <w:semiHidden/>
    <w:rsid w:val="004B75FB"/>
    <w:pPr>
      <w:spacing w:line="240" w:lineRule="auto"/>
    </w:pPr>
    <w:rPr>
      <w:sz w:val="24"/>
      <w:szCs w:val="24"/>
    </w:rPr>
  </w:style>
  <w:style w:type="character" w:customStyle="1" w:styleId="KommentartextZchn">
    <w:name w:val="Kommentartext Zchn"/>
    <w:link w:val="Kommentartext"/>
    <w:uiPriority w:val="99"/>
    <w:semiHidden/>
    <w:locked/>
    <w:rsid w:val="000D7B7A"/>
    <w:rPr>
      <w:rFonts w:cs="Times New Roman"/>
      <w:sz w:val="24"/>
      <w:szCs w:val="24"/>
    </w:rPr>
  </w:style>
  <w:style w:type="paragraph" w:styleId="Kommentarthema">
    <w:name w:val="annotation subject"/>
    <w:basedOn w:val="Kommentartext"/>
    <w:next w:val="Kommentartext"/>
    <w:link w:val="KommentarthemaZchn"/>
    <w:uiPriority w:val="99"/>
    <w:semiHidden/>
    <w:rsid w:val="000D7B7A"/>
    <w:rPr>
      <w:b/>
      <w:bCs/>
      <w:sz w:val="20"/>
      <w:szCs w:val="20"/>
    </w:rPr>
  </w:style>
  <w:style w:type="character" w:customStyle="1" w:styleId="KommentarthemaZchn">
    <w:name w:val="Kommentarthema Zchn"/>
    <w:link w:val="Kommentarthema"/>
    <w:uiPriority w:val="99"/>
    <w:semiHidden/>
    <w:locked/>
    <w:rsid w:val="000D7B7A"/>
    <w:rPr>
      <w:rFonts w:cs="Times New Roman"/>
      <w:b/>
      <w:bCs/>
      <w:sz w:val="24"/>
      <w:szCs w:val="24"/>
    </w:rPr>
  </w:style>
  <w:style w:type="paragraph" w:customStyle="1" w:styleId="TAMainText">
    <w:name w:val="TA_Main_Text"/>
    <w:basedOn w:val="Standard"/>
    <w:link w:val="TAMainTextChar"/>
    <w:uiPriority w:val="99"/>
    <w:rsid w:val="004B75FB"/>
    <w:pPr>
      <w:suppressAutoHyphens/>
      <w:spacing w:after="0" w:line="480" w:lineRule="auto"/>
      <w:ind w:firstLine="202"/>
      <w:jc w:val="both"/>
    </w:pPr>
    <w:rPr>
      <w:rFonts w:ascii="Times" w:hAnsi="Times" w:cs="New York"/>
      <w:sz w:val="24"/>
      <w:szCs w:val="20"/>
      <w:lang w:eastAsia="ar-SA"/>
    </w:rPr>
  </w:style>
  <w:style w:type="character" w:customStyle="1" w:styleId="TAMainTextChar">
    <w:name w:val="TA_Main_Text Char"/>
    <w:link w:val="TAMainText"/>
    <w:uiPriority w:val="99"/>
    <w:locked/>
    <w:rsid w:val="004B75FB"/>
    <w:rPr>
      <w:rFonts w:ascii="Times" w:hAnsi="Times" w:cs="New York"/>
      <w:sz w:val="24"/>
      <w:lang w:val="x-none" w:eastAsia="ar-SA" w:bidi="ar-SA"/>
    </w:rPr>
  </w:style>
  <w:style w:type="paragraph" w:customStyle="1" w:styleId="MediumList2-Accent21">
    <w:name w:val="Medium List 2 - Accent 21"/>
    <w:hidden/>
    <w:uiPriority w:val="99"/>
    <w:semiHidden/>
    <w:rsid w:val="00654BB6"/>
    <w:rPr>
      <w:sz w:val="22"/>
      <w:szCs w:val="22"/>
    </w:rPr>
  </w:style>
  <w:style w:type="paragraph" w:customStyle="1" w:styleId="p">
    <w:name w:val="p"/>
    <w:basedOn w:val="Standard"/>
    <w:rsid w:val="00992C38"/>
    <w:pPr>
      <w:spacing w:before="100" w:beforeAutospacing="1" w:after="100" w:afterAutospacing="1" w:line="240" w:lineRule="auto"/>
    </w:pPr>
    <w:rPr>
      <w:rFonts w:ascii="Times New Roman" w:hAnsi="Times New Roman"/>
      <w:sz w:val="24"/>
      <w:szCs w:val="24"/>
    </w:rPr>
  </w:style>
  <w:style w:type="paragraph" w:styleId="Titel">
    <w:name w:val="Title"/>
    <w:basedOn w:val="Standard"/>
    <w:next w:val="Standard"/>
    <w:link w:val="TitelZchn"/>
    <w:uiPriority w:val="10"/>
    <w:qFormat/>
    <w:locked/>
    <w:rsid w:val="00992C3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link w:val="Titel"/>
    <w:uiPriority w:val="10"/>
    <w:locked/>
    <w:rsid w:val="00992C38"/>
    <w:rPr>
      <w:rFonts w:ascii="Cambria" w:eastAsia="Times New Roman" w:hAnsi="Cambria" w:cs="Times New Roman"/>
      <w:color w:val="17365D"/>
      <w:spacing w:val="5"/>
      <w:kern w:val="28"/>
      <w:sz w:val="52"/>
      <w:szCs w:val="52"/>
      <w:lang w:val="en-US" w:eastAsia="zh-CN"/>
    </w:rPr>
  </w:style>
  <w:style w:type="character" w:styleId="Fett">
    <w:name w:val="Strong"/>
    <w:uiPriority w:val="22"/>
    <w:qFormat/>
    <w:locked/>
    <w:rsid w:val="00992C38"/>
    <w:rPr>
      <w:rFonts w:cs="Times New Roman"/>
      <w:b/>
      <w:bCs/>
    </w:rPr>
  </w:style>
  <w:style w:type="paragraph" w:customStyle="1" w:styleId="MediumShading1-Accent11">
    <w:name w:val="Medium Shading 1 - Accent 11"/>
    <w:uiPriority w:val="1"/>
    <w:qFormat/>
    <w:rsid w:val="00992C38"/>
    <w:rPr>
      <w:sz w:val="22"/>
      <w:szCs w:val="22"/>
    </w:rPr>
  </w:style>
  <w:style w:type="character" w:customStyle="1" w:styleId="highlight">
    <w:name w:val="highlight"/>
    <w:rsid w:val="00A30530"/>
    <w:rPr>
      <w:rFonts w:cs="Times New Roman"/>
    </w:rPr>
  </w:style>
  <w:style w:type="paragraph" w:customStyle="1" w:styleId="mol">
    <w:name w:val="mol"/>
    <w:basedOn w:val="Standard"/>
    <w:qFormat/>
    <w:rsid w:val="003A1D3B"/>
    <w:pPr>
      <w:spacing w:before="100" w:beforeAutospacing="1" w:after="100" w:afterAutospacing="1" w:line="360" w:lineRule="auto"/>
      <w:jc w:val="both"/>
    </w:pPr>
    <w:rPr>
      <w:rFonts w:ascii="Times New Roman" w:hAnsi="Times New Roman"/>
      <w:b/>
      <w:sz w:val="24"/>
      <w:szCs w:val="24"/>
    </w:rPr>
  </w:style>
  <w:style w:type="paragraph" w:customStyle="1" w:styleId="Stylev">
    <w:name w:val="Style_v"/>
    <w:basedOn w:val="Standard"/>
    <w:link w:val="StylevChar"/>
    <w:qFormat/>
    <w:rsid w:val="00E56853"/>
    <w:pPr>
      <w:spacing w:line="360" w:lineRule="auto"/>
      <w:jc w:val="both"/>
    </w:pPr>
    <w:rPr>
      <w:rFonts w:ascii="Arial" w:hAnsi="Arial" w:cs="Arial"/>
      <w:b/>
    </w:rPr>
  </w:style>
  <w:style w:type="character" w:customStyle="1" w:styleId="StylevChar">
    <w:name w:val="Style_v Char"/>
    <w:basedOn w:val="Absatz-Standardschriftart"/>
    <w:link w:val="Stylev"/>
    <w:rsid w:val="00E56853"/>
    <w:rPr>
      <w:rFonts w:ascii="Arial" w:hAnsi="Arial" w:cs="Arial"/>
      <w:b/>
      <w:sz w:val="22"/>
      <w:szCs w:val="22"/>
    </w:rPr>
  </w:style>
  <w:style w:type="paragraph" w:styleId="Listenabsatz">
    <w:name w:val="List Paragraph"/>
    <w:basedOn w:val="Standard"/>
    <w:uiPriority w:val="34"/>
    <w:qFormat/>
    <w:rsid w:val="006001DC"/>
    <w:pPr>
      <w:ind w:left="720"/>
      <w:contextualSpacing/>
    </w:pPr>
  </w:style>
  <w:style w:type="paragraph" w:styleId="Beschriftung">
    <w:name w:val="caption"/>
    <w:basedOn w:val="Standard"/>
    <w:next w:val="Standard"/>
    <w:uiPriority w:val="35"/>
    <w:unhideWhenUsed/>
    <w:qFormat/>
    <w:locked/>
    <w:rsid w:val="005E1254"/>
    <w:pPr>
      <w:spacing w:line="240" w:lineRule="auto"/>
    </w:pPr>
    <w:rPr>
      <w:rFonts w:asciiTheme="minorHAnsi" w:eastAsiaTheme="minorHAnsi" w:hAnsiTheme="minorHAnsi" w:cstheme="minorBidi"/>
      <w:b/>
      <w:bCs/>
      <w:color w:val="4F81BD" w:themeColor="accent1"/>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3E3B"/>
    <w:pPr>
      <w:spacing w:after="200" w:line="276" w:lineRule="auto"/>
    </w:pPr>
    <w:rPr>
      <w:sz w:val="22"/>
      <w:szCs w:val="22"/>
    </w:rPr>
  </w:style>
  <w:style w:type="paragraph" w:styleId="berschrift1">
    <w:name w:val="heading 1"/>
    <w:basedOn w:val="Standard"/>
    <w:next w:val="Standard"/>
    <w:link w:val="berschrift1Zchn"/>
    <w:uiPriority w:val="9"/>
    <w:qFormat/>
    <w:locked/>
    <w:rsid w:val="004F6A69"/>
    <w:pPr>
      <w:keepNext/>
      <w:keepLines/>
      <w:spacing w:before="480" w:after="0"/>
      <w:outlineLvl w:val="0"/>
    </w:pPr>
    <w:rPr>
      <w:rFonts w:ascii="Cambria" w:eastAsia="Times New Roman" w:hAnsi="Cambria"/>
      <w:b/>
      <w:bCs/>
      <w:color w:val="365F91"/>
      <w:sz w:val="28"/>
      <w:szCs w:val="28"/>
    </w:rPr>
  </w:style>
  <w:style w:type="paragraph" w:styleId="berschrift2">
    <w:name w:val="heading 2"/>
    <w:basedOn w:val="Standard"/>
    <w:link w:val="berschrift2Zchn"/>
    <w:uiPriority w:val="99"/>
    <w:qFormat/>
    <w:rsid w:val="00821992"/>
    <w:pPr>
      <w:spacing w:before="100" w:beforeAutospacing="1" w:after="100" w:afterAutospacing="1" w:line="240" w:lineRule="auto"/>
      <w:outlineLvl w:val="1"/>
    </w:pPr>
    <w:rPr>
      <w:rFonts w:ascii="Times New Roman" w:hAnsi="Times New Roman"/>
      <w:b/>
      <w:bCs/>
      <w:sz w:val="36"/>
      <w:szCs w:val="36"/>
    </w:rPr>
  </w:style>
  <w:style w:type="paragraph" w:styleId="berschrift3">
    <w:name w:val="heading 3"/>
    <w:basedOn w:val="Standard"/>
    <w:next w:val="Standard"/>
    <w:link w:val="berschrift3Zchn"/>
    <w:uiPriority w:val="99"/>
    <w:qFormat/>
    <w:rsid w:val="00A43254"/>
    <w:pPr>
      <w:keepNext/>
      <w:keepLines/>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4F6A69"/>
    <w:rPr>
      <w:rFonts w:ascii="Cambria" w:eastAsia="Times New Roman" w:hAnsi="Cambria" w:cs="Times New Roman"/>
      <w:b/>
      <w:bCs/>
      <w:color w:val="365F91"/>
      <w:sz w:val="28"/>
      <w:szCs w:val="28"/>
      <w:lang w:val="en-US" w:eastAsia="zh-CN"/>
    </w:rPr>
  </w:style>
  <w:style w:type="character" w:customStyle="1" w:styleId="berschrift2Zchn">
    <w:name w:val="Überschrift 2 Zchn"/>
    <w:link w:val="berschrift2"/>
    <w:uiPriority w:val="99"/>
    <w:locked/>
    <w:rsid w:val="00821992"/>
    <w:rPr>
      <w:rFonts w:ascii="Times New Roman" w:hAnsi="Times New Roman" w:cs="Times New Roman"/>
      <w:b/>
      <w:bCs/>
      <w:sz w:val="36"/>
      <w:szCs w:val="36"/>
    </w:rPr>
  </w:style>
  <w:style w:type="character" w:customStyle="1" w:styleId="berschrift3Zchn">
    <w:name w:val="Überschrift 3 Zchn"/>
    <w:link w:val="berschrift3"/>
    <w:uiPriority w:val="99"/>
    <w:semiHidden/>
    <w:locked/>
    <w:rsid w:val="00A43254"/>
    <w:rPr>
      <w:rFonts w:ascii="Cambria" w:hAnsi="Cambria" w:cs="Times New Roman"/>
      <w:b/>
      <w:bCs/>
      <w:color w:val="4F81BD"/>
      <w:sz w:val="22"/>
      <w:szCs w:val="22"/>
    </w:rPr>
  </w:style>
  <w:style w:type="paragraph" w:styleId="StandardWeb">
    <w:name w:val="Normal (Web)"/>
    <w:basedOn w:val="Standard"/>
    <w:uiPriority w:val="99"/>
    <w:rsid w:val="00F119B4"/>
    <w:pPr>
      <w:spacing w:before="100" w:beforeAutospacing="1" w:after="100" w:afterAutospacing="1" w:line="240" w:lineRule="auto"/>
    </w:pPr>
    <w:rPr>
      <w:rFonts w:ascii="Times New Roman" w:hAnsi="Times New Roman"/>
      <w:sz w:val="24"/>
      <w:szCs w:val="24"/>
    </w:rPr>
  </w:style>
  <w:style w:type="paragraph" w:customStyle="1" w:styleId="svarticle">
    <w:name w:val="svarticle"/>
    <w:basedOn w:val="Standard"/>
    <w:uiPriority w:val="99"/>
    <w:rsid w:val="00821992"/>
    <w:pPr>
      <w:spacing w:before="100" w:beforeAutospacing="1" w:after="100" w:afterAutospacing="1" w:line="240" w:lineRule="auto"/>
    </w:pPr>
    <w:rPr>
      <w:rFonts w:ascii="Times New Roman" w:hAnsi="Times New Roman"/>
      <w:sz w:val="24"/>
      <w:szCs w:val="24"/>
    </w:rPr>
  </w:style>
  <w:style w:type="character" w:styleId="Hyperlink">
    <w:name w:val="Hyperlink"/>
    <w:uiPriority w:val="99"/>
    <w:semiHidden/>
    <w:rsid w:val="00821992"/>
    <w:rPr>
      <w:rFonts w:cs="Times New Roman"/>
      <w:color w:val="0000FF"/>
      <w:u w:val="single"/>
    </w:rPr>
  </w:style>
  <w:style w:type="character" w:customStyle="1" w:styleId="smallcaps">
    <w:name w:val="smallcaps"/>
    <w:uiPriority w:val="99"/>
    <w:rsid w:val="00821992"/>
    <w:rPr>
      <w:rFonts w:cs="Times New Roman"/>
    </w:rPr>
  </w:style>
  <w:style w:type="paragraph" w:customStyle="1" w:styleId="Default">
    <w:name w:val="Default"/>
    <w:uiPriority w:val="99"/>
    <w:rsid w:val="00B24A22"/>
    <w:pPr>
      <w:autoSpaceDE w:val="0"/>
      <w:autoSpaceDN w:val="0"/>
      <w:adjustRightInd w:val="0"/>
    </w:pPr>
    <w:rPr>
      <w:rFonts w:ascii="Times New Roman" w:hAnsi="Times New Roman"/>
      <w:color w:val="000000"/>
      <w:sz w:val="24"/>
      <w:szCs w:val="24"/>
      <w:lang w:val="en-GB" w:eastAsia="en-GB"/>
    </w:rPr>
  </w:style>
  <w:style w:type="paragraph" w:styleId="HTMLVorformatiert">
    <w:name w:val="HTML Preformatted"/>
    <w:basedOn w:val="Standard"/>
    <w:link w:val="HTMLVorformatiertZchn"/>
    <w:uiPriority w:val="99"/>
    <w:rsid w:val="00B2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VorformatiertZchn">
    <w:name w:val="HTML Vorformatiert Zchn"/>
    <w:link w:val="HTMLVorformatiert"/>
    <w:uiPriority w:val="99"/>
    <w:locked/>
    <w:rsid w:val="00B24A22"/>
    <w:rPr>
      <w:rFonts w:ascii="Courier New" w:hAnsi="Courier New" w:cs="Courier New"/>
      <w:sz w:val="20"/>
      <w:szCs w:val="20"/>
    </w:rPr>
  </w:style>
  <w:style w:type="paragraph" w:styleId="Kopfzeile">
    <w:name w:val="header"/>
    <w:basedOn w:val="Standard"/>
    <w:link w:val="KopfzeileZchn"/>
    <w:uiPriority w:val="99"/>
    <w:rsid w:val="003E74E3"/>
    <w:pPr>
      <w:tabs>
        <w:tab w:val="center" w:pos="4680"/>
        <w:tab w:val="right" w:pos="9360"/>
      </w:tabs>
      <w:spacing w:after="0" w:line="240" w:lineRule="auto"/>
    </w:pPr>
  </w:style>
  <w:style w:type="character" w:customStyle="1" w:styleId="KopfzeileZchn">
    <w:name w:val="Kopfzeile Zchn"/>
    <w:link w:val="Kopfzeile"/>
    <w:uiPriority w:val="99"/>
    <w:locked/>
    <w:rsid w:val="003E74E3"/>
    <w:rPr>
      <w:rFonts w:cs="Times New Roman"/>
    </w:rPr>
  </w:style>
  <w:style w:type="paragraph" w:styleId="Fuzeile">
    <w:name w:val="footer"/>
    <w:basedOn w:val="Standard"/>
    <w:link w:val="FuzeileZchn"/>
    <w:uiPriority w:val="99"/>
    <w:rsid w:val="003E74E3"/>
    <w:pPr>
      <w:tabs>
        <w:tab w:val="center" w:pos="4680"/>
        <w:tab w:val="right" w:pos="9360"/>
      </w:tabs>
      <w:spacing w:after="0" w:line="240" w:lineRule="auto"/>
    </w:pPr>
  </w:style>
  <w:style w:type="character" w:customStyle="1" w:styleId="FuzeileZchn">
    <w:name w:val="Fußzeile Zchn"/>
    <w:link w:val="Fuzeile"/>
    <w:uiPriority w:val="99"/>
    <w:locked/>
    <w:rsid w:val="003E74E3"/>
    <w:rPr>
      <w:rFonts w:cs="Times New Roman"/>
    </w:rPr>
  </w:style>
  <w:style w:type="paragraph" w:customStyle="1" w:styleId="MediumGrid1-Accent21">
    <w:name w:val="Medium Grid 1 - Accent 21"/>
    <w:basedOn w:val="Standard"/>
    <w:uiPriority w:val="99"/>
    <w:qFormat/>
    <w:rsid w:val="00231C01"/>
    <w:pPr>
      <w:ind w:left="720"/>
      <w:contextualSpacing/>
    </w:pPr>
  </w:style>
  <w:style w:type="paragraph" w:styleId="Sprechblasentext">
    <w:name w:val="Balloon Text"/>
    <w:basedOn w:val="Standard"/>
    <w:link w:val="SprechblasentextZchn"/>
    <w:uiPriority w:val="99"/>
    <w:semiHidden/>
    <w:rsid w:val="00335B9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335B90"/>
    <w:rPr>
      <w:rFonts w:ascii="Tahoma" w:hAnsi="Tahoma" w:cs="Tahoma"/>
      <w:sz w:val="16"/>
      <w:szCs w:val="16"/>
    </w:rPr>
  </w:style>
  <w:style w:type="character" w:styleId="Hervorhebung">
    <w:name w:val="Emphasis"/>
    <w:uiPriority w:val="20"/>
    <w:qFormat/>
    <w:rsid w:val="0001517F"/>
    <w:rPr>
      <w:rFonts w:cs="Times New Roman"/>
      <w:i/>
      <w:iCs/>
    </w:rPr>
  </w:style>
  <w:style w:type="character" w:styleId="BesuchterHyperlink">
    <w:name w:val="FollowedHyperlink"/>
    <w:uiPriority w:val="99"/>
    <w:semiHidden/>
    <w:rsid w:val="00B716E6"/>
    <w:rPr>
      <w:rFonts w:cs="Times New Roman"/>
      <w:color w:val="800080"/>
      <w:u w:val="single"/>
    </w:rPr>
  </w:style>
  <w:style w:type="character" w:styleId="Kommentarzeichen">
    <w:name w:val="annotation reference"/>
    <w:uiPriority w:val="99"/>
    <w:semiHidden/>
    <w:rsid w:val="004B75FB"/>
    <w:rPr>
      <w:rFonts w:cs="Times New Roman"/>
      <w:sz w:val="18"/>
      <w:szCs w:val="18"/>
    </w:rPr>
  </w:style>
  <w:style w:type="paragraph" w:styleId="Kommentartext">
    <w:name w:val="annotation text"/>
    <w:basedOn w:val="Standard"/>
    <w:link w:val="KommentartextZchn"/>
    <w:uiPriority w:val="99"/>
    <w:semiHidden/>
    <w:rsid w:val="004B75FB"/>
    <w:pPr>
      <w:spacing w:line="240" w:lineRule="auto"/>
    </w:pPr>
    <w:rPr>
      <w:sz w:val="24"/>
      <w:szCs w:val="24"/>
    </w:rPr>
  </w:style>
  <w:style w:type="character" w:customStyle="1" w:styleId="KommentartextZchn">
    <w:name w:val="Kommentartext Zchn"/>
    <w:link w:val="Kommentartext"/>
    <w:uiPriority w:val="99"/>
    <w:semiHidden/>
    <w:locked/>
    <w:rsid w:val="000D7B7A"/>
    <w:rPr>
      <w:rFonts w:cs="Times New Roman"/>
      <w:sz w:val="24"/>
      <w:szCs w:val="24"/>
    </w:rPr>
  </w:style>
  <w:style w:type="paragraph" w:styleId="Kommentarthema">
    <w:name w:val="annotation subject"/>
    <w:basedOn w:val="Kommentartext"/>
    <w:next w:val="Kommentartext"/>
    <w:link w:val="KommentarthemaZchn"/>
    <w:uiPriority w:val="99"/>
    <w:semiHidden/>
    <w:rsid w:val="000D7B7A"/>
    <w:rPr>
      <w:b/>
      <w:bCs/>
      <w:sz w:val="20"/>
      <w:szCs w:val="20"/>
    </w:rPr>
  </w:style>
  <w:style w:type="character" w:customStyle="1" w:styleId="KommentarthemaZchn">
    <w:name w:val="Kommentarthema Zchn"/>
    <w:link w:val="Kommentarthema"/>
    <w:uiPriority w:val="99"/>
    <w:semiHidden/>
    <w:locked/>
    <w:rsid w:val="000D7B7A"/>
    <w:rPr>
      <w:rFonts w:cs="Times New Roman"/>
      <w:b/>
      <w:bCs/>
      <w:sz w:val="24"/>
      <w:szCs w:val="24"/>
    </w:rPr>
  </w:style>
  <w:style w:type="paragraph" w:customStyle="1" w:styleId="TAMainText">
    <w:name w:val="TA_Main_Text"/>
    <w:basedOn w:val="Standard"/>
    <w:link w:val="TAMainTextChar"/>
    <w:uiPriority w:val="99"/>
    <w:rsid w:val="004B75FB"/>
    <w:pPr>
      <w:suppressAutoHyphens/>
      <w:spacing w:after="0" w:line="480" w:lineRule="auto"/>
      <w:ind w:firstLine="202"/>
      <w:jc w:val="both"/>
    </w:pPr>
    <w:rPr>
      <w:rFonts w:ascii="Times" w:hAnsi="Times" w:cs="New York"/>
      <w:sz w:val="24"/>
      <w:szCs w:val="20"/>
      <w:lang w:eastAsia="ar-SA"/>
    </w:rPr>
  </w:style>
  <w:style w:type="character" w:customStyle="1" w:styleId="TAMainTextChar">
    <w:name w:val="TA_Main_Text Char"/>
    <w:link w:val="TAMainText"/>
    <w:uiPriority w:val="99"/>
    <w:locked/>
    <w:rsid w:val="004B75FB"/>
    <w:rPr>
      <w:rFonts w:ascii="Times" w:hAnsi="Times" w:cs="New York"/>
      <w:sz w:val="24"/>
      <w:lang w:val="x-none" w:eastAsia="ar-SA" w:bidi="ar-SA"/>
    </w:rPr>
  </w:style>
  <w:style w:type="paragraph" w:customStyle="1" w:styleId="MediumList2-Accent21">
    <w:name w:val="Medium List 2 - Accent 21"/>
    <w:hidden/>
    <w:uiPriority w:val="99"/>
    <w:semiHidden/>
    <w:rsid w:val="00654BB6"/>
    <w:rPr>
      <w:sz w:val="22"/>
      <w:szCs w:val="22"/>
    </w:rPr>
  </w:style>
  <w:style w:type="paragraph" w:customStyle="1" w:styleId="p">
    <w:name w:val="p"/>
    <w:basedOn w:val="Standard"/>
    <w:rsid w:val="00992C38"/>
    <w:pPr>
      <w:spacing w:before="100" w:beforeAutospacing="1" w:after="100" w:afterAutospacing="1" w:line="240" w:lineRule="auto"/>
    </w:pPr>
    <w:rPr>
      <w:rFonts w:ascii="Times New Roman" w:hAnsi="Times New Roman"/>
      <w:sz w:val="24"/>
      <w:szCs w:val="24"/>
    </w:rPr>
  </w:style>
  <w:style w:type="paragraph" w:styleId="Titel">
    <w:name w:val="Title"/>
    <w:basedOn w:val="Standard"/>
    <w:next w:val="Standard"/>
    <w:link w:val="TitelZchn"/>
    <w:uiPriority w:val="10"/>
    <w:qFormat/>
    <w:locked/>
    <w:rsid w:val="00992C3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Zchn">
    <w:name w:val="Titel Zchn"/>
    <w:link w:val="Titel"/>
    <w:uiPriority w:val="10"/>
    <w:locked/>
    <w:rsid w:val="00992C38"/>
    <w:rPr>
      <w:rFonts w:ascii="Cambria" w:eastAsia="Times New Roman" w:hAnsi="Cambria" w:cs="Times New Roman"/>
      <w:color w:val="17365D"/>
      <w:spacing w:val="5"/>
      <w:kern w:val="28"/>
      <w:sz w:val="52"/>
      <w:szCs w:val="52"/>
      <w:lang w:val="en-US" w:eastAsia="zh-CN"/>
    </w:rPr>
  </w:style>
  <w:style w:type="character" w:styleId="Fett">
    <w:name w:val="Strong"/>
    <w:uiPriority w:val="22"/>
    <w:qFormat/>
    <w:locked/>
    <w:rsid w:val="00992C38"/>
    <w:rPr>
      <w:rFonts w:cs="Times New Roman"/>
      <w:b/>
      <w:bCs/>
    </w:rPr>
  </w:style>
  <w:style w:type="paragraph" w:customStyle="1" w:styleId="MediumShading1-Accent11">
    <w:name w:val="Medium Shading 1 - Accent 11"/>
    <w:uiPriority w:val="1"/>
    <w:qFormat/>
    <w:rsid w:val="00992C38"/>
    <w:rPr>
      <w:sz w:val="22"/>
      <w:szCs w:val="22"/>
    </w:rPr>
  </w:style>
  <w:style w:type="character" w:customStyle="1" w:styleId="highlight">
    <w:name w:val="highlight"/>
    <w:rsid w:val="00A30530"/>
    <w:rPr>
      <w:rFonts w:cs="Times New Roman"/>
    </w:rPr>
  </w:style>
  <w:style w:type="paragraph" w:customStyle="1" w:styleId="mol">
    <w:name w:val="mol"/>
    <w:basedOn w:val="Standard"/>
    <w:qFormat/>
    <w:rsid w:val="003A1D3B"/>
    <w:pPr>
      <w:spacing w:before="100" w:beforeAutospacing="1" w:after="100" w:afterAutospacing="1" w:line="360" w:lineRule="auto"/>
      <w:jc w:val="both"/>
    </w:pPr>
    <w:rPr>
      <w:rFonts w:ascii="Times New Roman" w:hAnsi="Times New Roman"/>
      <w:b/>
      <w:sz w:val="24"/>
      <w:szCs w:val="24"/>
    </w:rPr>
  </w:style>
  <w:style w:type="paragraph" w:customStyle="1" w:styleId="Stylev">
    <w:name w:val="Style_v"/>
    <w:basedOn w:val="Standard"/>
    <w:link w:val="StylevChar"/>
    <w:qFormat/>
    <w:rsid w:val="00E56853"/>
    <w:pPr>
      <w:spacing w:line="360" w:lineRule="auto"/>
      <w:jc w:val="both"/>
    </w:pPr>
    <w:rPr>
      <w:rFonts w:ascii="Arial" w:hAnsi="Arial" w:cs="Arial"/>
      <w:b/>
    </w:rPr>
  </w:style>
  <w:style w:type="character" w:customStyle="1" w:styleId="StylevChar">
    <w:name w:val="Style_v Char"/>
    <w:basedOn w:val="Absatz-Standardschriftart"/>
    <w:link w:val="Stylev"/>
    <w:rsid w:val="00E56853"/>
    <w:rPr>
      <w:rFonts w:ascii="Arial" w:hAnsi="Arial" w:cs="Arial"/>
      <w:b/>
      <w:sz w:val="22"/>
      <w:szCs w:val="22"/>
    </w:rPr>
  </w:style>
  <w:style w:type="paragraph" w:styleId="Listenabsatz">
    <w:name w:val="List Paragraph"/>
    <w:basedOn w:val="Standard"/>
    <w:uiPriority w:val="34"/>
    <w:qFormat/>
    <w:rsid w:val="006001DC"/>
    <w:pPr>
      <w:ind w:left="720"/>
      <w:contextualSpacing/>
    </w:pPr>
  </w:style>
  <w:style w:type="paragraph" w:styleId="Beschriftung">
    <w:name w:val="caption"/>
    <w:basedOn w:val="Standard"/>
    <w:next w:val="Standard"/>
    <w:uiPriority w:val="35"/>
    <w:unhideWhenUsed/>
    <w:qFormat/>
    <w:locked/>
    <w:rsid w:val="005E1254"/>
    <w:pPr>
      <w:spacing w:line="240" w:lineRule="auto"/>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13699">
      <w:bodyDiv w:val="1"/>
      <w:marLeft w:val="0"/>
      <w:marRight w:val="0"/>
      <w:marTop w:val="0"/>
      <w:marBottom w:val="0"/>
      <w:divBdr>
        <w:top w:val="none" w:sz="0" w:space="0" w:color="auto"/>
        <w:left w:val="none" w:sz="0" w:space="0" w:color="auto"/>
        <w:bottom w:val="none" w:sz="0" w:space="0" w:color="auto"/>
        <w:right w:val="none" w:sz="0" w:space="0" w:color="auto"/>
      </w:divBdr>
      <w:divsChild>
        <w:div w:id="1888567979">
          <w:marLeft w:val="0"/>
          <w:marRight w:val="0"/>
          <w:marTop w:val="0"/>
          <w:marBottom w:val="0"/>
          <w:divBdr>
            <w:top w:val="none" w:sz="0" w:space="0" w:color="auto"/>
            <w:left w:val="none" w:sz="0" w:space="0" w:color="auto"/>
            <w:bottom w:val="none" w:sz="0" w:space="0" w:color="auto"/>
            <w:right w:val="none" w:sz="0" w:space="0" w:color="auto"/>
          </w:divBdr>
          <w:divsChild>
            <w:div w:id="2050064133">
              <w:marLeft w:val="0"/>
              <w:marRight w:val="0"/>
              <w:marTop w:val="0"/>
              <w:marBottom w:val="0"/>
              <w:divBdr>
                <w:top w:val="none" w:sz="0" w:space="0" w:color="auto"/>
                <w:left w:val="none" w:sz="0" w:space="0" w:color="auto"/>
                <w:bottom w:val="none" w:sz="0" w:space="0" w:color="auto"/>
                <w:right w:val="none" w:sz="0" w:space="0" w:color="auto"/>
              </w:divBdr>
              <w:divsChild>
                <w:div w:id="1122840003">
                  <w:marLeft w:val="0"/>
                  <w:marRight w:val="0"/>
                  <w:marTop w:val="0"/>
                  <w:marBottom w:val="0"/>
                  <w:divBdr>
                    <w:top w:val="none" w:sz="0" w:space="0" w:color="auto"/>
                    <w:left w:val="none" w:sz="0" w:space="0" w:color="auto"/>
                    <w:bottom w:val="none" w:sz="0" w:space="0" w:color="auto"/>
                    <w:right w:val="none" w:sz="0" w:space="0" w:color="auto"/>
                  </w:divBdr>
                  <w:divsChild>
                    <w:div w:id="995453364">
                      <w:marLeft w:val="0"/>
                      <w:marRight w:val="0"/>
                      <w:marTop w:val="0"/>
                      <w:marBottom w:val="0"/>
                      <w:divBdr>
                        <w:top w:val="none" w:sz="0" w:space="0" w:color="auto"/>
                        <w:left w:val="none" w:sz="0" w:space="0" w:color="auto"/>
                        <w:bottom w:val="none" w:sz="0" w:space="0" w:color="auto"/>
                        <w:right w:val="none" w:sz="0" w:space="0" w:color="auto"/>
                      </w:divBdr>
                      <w:divsChild>
                        <w:div w:id="1657682487">
                          <w:marLeft w:val="0"/>
                          <w:marRight w:val="0"/>
                          <w:marTop w:val="0"/>
                          <w:marBottom w:val="0"/>
                          <w:divBdr>
                            <w:top w:val="none" w:sz="0" w:space="0" w:color="auto"/>
                            <w:left w:val="none" w:sz="0" w:space="0" w:color="auto"/>
                            <w:bottom w:val="none" w:sz="0" w:space="0" w:color="auto"/>
                            <w:right w:val="none" w:sz="0" w:space="0" w:color="auto"/>
                          </w:divBdr>
                          <w:divsChild>
                            <w:div w:id="1288009161">
                              <w:marLeft w:val="0"/>
                              <w:marRight w:val="0"/>
                              <w:marTop w:val="0"/>
                              <w:marBottom w:val="0"/>
                              <w:divBdr>
                                <w:top w:val="none" w:sz="0" w:space="0" w:color="auto"/>
                                <w:left w:val="none" w:sz="0" w:space="0" w:color="auto"/>
                                <w:bottom w:val="none" w:sz="0" w:space="0" w:color="auto"/>
                                <w:right w:val="none" w:sz="0" w:space="0" w:color="auto"/>
                              </w:divBdr>
                              <w:divsChild>
                                <w:div w:id="907225012">
                                  <w:marLeft w:val="0"/>
                                  <w:marRight w:val="0"/>
                                  <w:marTop w:val="0"/>
                                  <w:marBottom w:val="0"/>
                                  <w:divBdr>
                                    <w:top w:val="none" w:sz="0" w:space="0" w:color="auto"/>
                                    <w:left w:val="none" w:sz="0" w:space="0" w:color="auto"/>
                                    <w:bottom w:val="none" w:sz="0" w:space="0" w:color="auto"/>
                                    <w:right w:val="none" w:sz="0" w:space="0" w:color="auto"/>
                                  </w:divBdr>
                                  <w:divsChild>
                                    <w:div w:id="96755848">
                                      <w:marLeft w:val="0"/>
                                      <w:marRight w:val="0"/>
                                      <w:marTop w:val="0"/>
                                      <w:marBottom w:val="0"/>
                                      <w:divBdr>
                                        <w:top w:val="none" w:sz="0" w:space="0" w:color="auto"/>
                                        <w:left w:val="none" w:sz="0" w:space="0" w:color="auto"/>
                                        <w:bottom w:val="none" w:sz="0" w:space="0" w:color="auto"/>
                                        <w:right w:val="none" w:sz="0" w:space="0" w:color="auto"/>
                                      </w:divBdr>
                                      <w:divsChild>
                                        <w:div w:id="72555133">
                                          <w:marLeft w:val="0"/>
                                          <w:marRight w:val="0"/>
                                          <w:marTop w:val="0"/>
                                          <w:marBottom w:val="0"/>
                                          <w:divBdr>
                                            <w:top w:val="none" w:sz="0" w:space="0" w:color="auto"/>
                                            <w:left w:val="none" w:sz="0" w:space="0" w:color="auto"/>
                                            <w:bottom w:val="none" w:sz="0" w:space="0" w:color="auto"/>
                                            <w:right w:val="none" w:sz="0" w:space="0" w:color="auto"/>
                                          </w:divBdr>
                                          <w:divsChild>
                                            <w:div w:id="40133766">
                                              <w:marLeft w:val="0"/>
                                              <w:marRight w:val="0"/>
                                              <w:marTop w:val="0"/>
                                              <w:marBottom w:val="0"/>
                                              <w:divBdr>
                                                <w:top w:val="none" w:sz="0" w:space="0" w:color="auto"/>
                                                <w:left w:val="none" w:sz="0" w:space="0" w:color="auto"/>
                                                <w:bottom w:val="none" w:sz="0" w:space="0" w:color="auto"/>
                                                <w:right w:val="none" w:sz="0" w:space="0" w:color="auto"/>
                                              </w:divBdr>
                                              <w:divsChild>
                                                <w:div w:id="582375112">
                                                  <w:marLeft w:val="0"/>
                                                  <w:marRight w:val="0"/>
                                                  <w:marTop w:val="0"/>
                                                  <w:marBottom w:val="0"/>
                                                  <w:divBdr>
                                                    <w:top w:val="none" w:sz="0" w:space="0" w:color="auto"/>
                                                    <w:left w:val="none" w:sz="0" w:space="0" w:color="auto"/>
                                                    <w:bottom w:val="none" w:sz="0" w:space="0" w:color="auto"/>
                                                    <w:right w:val="none" w:sz="0" w:space="0" w:color="auto"/>
                                                  </w:divBdr>
                                                  <w:divsChild>
                                                    <w:div w:id="154844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241378">
                                              <w:marLeft w:val="0"/>
                                              <w:marRight w:val="0"/>
                                              <w:marTop w:val="0"/>
                                              <w:marBottom w:val="0"/>
                                              <w:divBdr>
                                                <w:top w:val="none" w:sz="0" w:space="0" w:color="auto"/>
                                                <w:left w:val="none" w:sz="0" w:space="0" w:color="auto"/>
                                                <w:bottom w:val="none" w:sz="0" w:space="0" w:color="auto"/>
                                                <w:right w:val="none" w:sz="0" w:space="0" w:color="auto"/>
                                              </w:divBdr>
                                              <w:divsChild>
                                                <w:div w:id="275647516">
                                                  <w:marLeft w:val="0"/>
                                                  <w:marRight w:val="0"/>
                                                  <w:marTop w:val="0"/>
                                                  <w:marBottom w:val="0"/>
                                                  <w:divBdr>
                                                    <w:top w:val="none" w:sz="0" w:space="0" w:color="auto"/>
                                                    <w:left w:val="none" w:sz="0" w:space="0" w:color="auto"/>
                                                    <w:bottom w:val="none" w:sz="0" w:space="0" w:color="auto"/>
                                                    <w:right w:val="none" w:sz="0" w:space="0" w:color="auto"/>
                                                  </w:divBdr>
                                                  <w:divsChild>
                                                    <w:div w:id="168063956">
                                                      <w:marLeft w:val="0"/>
                                                      <w:marRight w:val="0"/>
                                                      <w:marTop w:val="0"/>
                                                      <w:marBottom w:val="0"/>
                                                      <w:divBdr>
                                                        <w:top w:val="none" w:sz="0" w:space="0" w:color="auto"/>
                                                        <w:left w:val="none" w:sz="0" w:space="0" w:color="auto"/>
                                                        <w:bottom w:val="none" w:sz="0" w:space="0" w:color="auto"/>
                                                        <w:right w:val="none" w:sz="0" w:space="0" w:color="auto"/>
                                                      </w:divBdr>
                                                      <w:divsChild>
                                                        <w:div w:id="881936897">
                                                          <w:marLeft w:val="0"/>
                                                          <w:marRight w:val="0"/>
                                                          <w:marTop w:val="0"/>
                                                          <w:marBottom w:val="0"/>
                                                          <w:divBdr>
                                                            <w:top w:val="none" w:sz="0" w:space="0" w:color="auto"/>
                                                            <w:left w:val="none" w:sz="0" w:space="0" w:color="auto"/>
                                                            <w:bottom w:val="none" w:sz="0" w:space="0" w:color="auto"/>
                                                            <w:right w:val="none" w:sz="0" w:space="0" w:color="auto"/>
                                                          </w:divBdr>
                                                          <w:divsChild>
                                                            <w:div w:id="2007631867">
                                                              <w:marLeft w:val="0"/>
                                                              <w:marRight w:val="0"/>
                                                              <w:marTop w:val="0"/>
                                                              <w:marBottom w:val="0"/>
                                                              <w:divBdr>
                                                                <w:top w:val="none" w:sz="0" w:space="0" w:color="auto"/>
                                                                <w:left w:val="none" w:sz="0" w:space="0" w:color="auto"/>
                                                                <w:bottom w:val="none" w:sz="0" w:space="0" w:color="auto"/>
                                                                <w:right w:val="none" w:sz="0" w:space="0" w:color="auto"/>
                                                              </w:divBdr>
                                                              <w:divsChild>
                                                                <w:div w:id="229117589">
                                                                  <w:marLeft w:val="0"/>
                                                                  <w:marRight w:val="0"/>
                                                                  <w:marTop w:val="0"/>
                                                                  <w:marBottom w:val="0"/>
                                                                  <w:divBdr>
                                                                    <w:top w:val="none" w:sz="0" w:space="0" w:color="auto"/>
                                                                    <w:left w:val="none" w:sz="0" w:space="0" w:color="auto"/>
                                                                    <w:bottom w:val="none" w:sz="0" w:space="0" w:color="auto"/>
                                                                    <w:right w:val="none" w:sz="0" w:space="0" w:color="auto"/>
                                                                  </w:divBdr>
                                                                  <w:divsChild>
                                                                    <w:div w:id="136917814">
                                                                      <w:marLeft w:val="0"/>
                                                                      <w:marRight w:val="0"/>
                                                                      <w:marTop w:val="0"/>
                                                                      <w:marBottom w:val="0"/>
                                                                      <w:divBdr>
                                                                        <w:top w:val="none" w:sz="0" w:space="0" w:color="auto"/>
                                                                        <w:left w:val="none" w:sz="0" w:space="0" w:color="auto"/>
                                                                        <w:bottom w:val="none" w:sz="0" w:space="0" w:color="auto"/>
                                                                        <w:right w:val="none" w:sz="0" w:space="0" w:color="auto"/>
                                                                      </w:divBdr>
                                                                      <w:divsChild>
                                                                        <w:div w:id="185993182">
                                                                          <w:marLeft w:val="0"/>
                                                                          <w:marRight w:val="0"/>
                                                                          <w:marTop w:val="0"/>
                                                                          <w:marBottom w:val="0"/>
                                                                          <w:divBdr>
                                                                            <w:top w:val="none" w:sz="0" w:space="0" w:color="auto"/>
                                                                            <w:left w:val="none" w:sz="0" w:space="0" w:color="auto"/>
                                                                            <w:bottom w:val="none" w:sz="0" w:space="0" w:color="auto"/>
                                                                            <w:right w:val="none" w:sz="0" w:space="0" w:color="auto"/>
                                                                          </w:divBdr>
                                                                          <w:divsChild>
                                                                            <w:div w:id="1946305846">
                                                                              <w:marLeft w:val="0"/>
                                                                              <w:marRight w:val="0"/>
                                                                              <w:marTop w:val="0"/>
                                                                              <w:marBottom w:val="0"/>
                                                                              <w:divBdr>
                                                                                <w:top w:val="none" w:sz="0" w:space="0" w:color="auto"/>
                                                                                <w:left w:val="none" w:sz="0" w:space="0" w:color="auto"/>
                                                                                <w:bottom w:val="none" w:sz="0" w:space="0" w:color="auto"/>
                                                                                <w:right w:val="none" w:sz="0" w:space="0" w:color="auto"/>
                                                                              </w:divBdr>
                                                                              <w:divsChild>
                                                                                <w:div w:id="1080523495">
                                                                                  <w:marLeft w:val="0"/>
                                                                                  <w:marRight w:val="0"/>
                                                                                  <w:marTop w:val="0"/>
                                                                                  <w:marBottom w:val="0"/>
                                                                                  <w:divBdr>
                                                                                    <w:top w:val="none" w:sz="0" w:space="0" w:color="auto"/>
                                                                                    <w:left w:val="none" w:sz="0" w:space="0" w:color="auto"/>
                                                                                    <w:bottom w:val="none" w:sz="0" w:space="0" w:color="auto"/>
                                                                                    <w:right w:val="none" w:sz="0" w:space="0" w:color="auto"/>
                                                                                  </w:divBdr>
                                                                                  <w:divsChild>
                                                                                    <w:div w:id="681052526">
                                                                                      <w:marLeft w:val="0"/>
                                                                                      <w:marRight w:val="0"/>
                                                                                      <w:marTop w:val="0"/>
                                                                                      <w:marBottom w:val="0"/>
                                                                                      <w:divBdr>
                                                                                        <w:top w:val="none" w:sz="0" w:space="0" w:color="auto"/>
                                                                                        <w:left w:val="none" w:sz="0" w:space="0" w:color="auto"/>
                                                                                        <w:bottom w:val="none" w:sz="0" w:space="0" w:color="auto"/>
                                                                                        <w:right w:val="none" w:sz="0" w:space="0" w:color="auto"/>
                                                                                      </w:divBdr>
                                                                                      <w:divsChild>
                                                                                        <w:div w:id="1905482617">
                                                                                          <w:marLeft w:val="0"/>
                                                                                          <w:marRight w:val="0"/>
                                                                                          <w:marTop w:val="0"/>
                                                                                          <w:marBottom w:val="0"/>
                                                                                          <w:divBdr>
                                                                                            <w:top w:val="none" w:sz="0" w:space="0" w:color="auto"/>
                                                                                            <w:left w:val="none" w:sz="0" w:space="0" w:color="auto"/>
                                                                                            <w:bottom w:val="none" w:sz="0" w:space="0" w:color="auto"/>
                                                                                            <w:right w:val="none" w:sz="0" w:space="0" w:color="auto"/>
                                                                                          </w:divBdr>
                                                                                          <w:divsChild>
                                                                                            <w:div w:id="965356790">
                                                                                              <w:marLeft w:val="0"/>
                                                                                              <w:marRight w:val="0"/>
                                                                                              <w:marTop w:val="0"/>
                                                                                              <w:marBottom w:val="0"/>
                                                                                              <w:divBdr>
                                                                                                <w:top w:val="none" w:sz="0" w:space="0" w:color="auto"/>
                                                                                                <w:left w:val="none" w:sz="0" w:space="0" w:color="auto"/>
                                                                                                <w:bottom w:val="none" w:sz="0" w:space="0" w:color="auto"/>
                                                                                                <w:right w:val="none" w:sz="0" w:space="0" w:color="auto"/>
                                                                                              </w:divBdr>
                                                                                              <w:divsChild>
                                                                                                <w:div w:id="575942430">
                                                                                                  <w:marLeft w:val="0"/>
                                                                                                  <w:marRight w:val="0"/>
                                                                                                  <w:marTop w:val="0"/>
                                                                                                  <w:marBottom w:val="0"/>
                                                                                                  <w:divBdr>
                                                                                                    <w:top w:val="none" w:sz="0" w:space="0" w:color="auto"/>
                                                                                                    <w:left w:val="none" w:sz="0" w:space="0" w:color="auto"/>
                                                                                                    <w:bottom w:val="none" w:sz="0" w:space="0" w:color="auto"/>
                                                                                                    <w:right w:val="none" w:sz="0" w:space="0" w:color="auto"/>
                                                                                                  </w:divBdr>
                                                                                                  <w:divsChild>
                                                                                                    <w:div w:id="1066225926">
                                                                                                      <w:marLeft w:val="0"/>
                                                                                                      <w:marRight w:val="0"/>
                                                                                                      <w:marTop w:val="0"/>
                                                                                                      <w:marBottom w:val="0"/>
                                                                                                      <w:divBdr>
                                                                                                        <w:top w:val="none" w:sz="0" w:space="0" w:color="auto"/>
                                                                                                        <w:left w:val="none" w:sz="0" w:space="0" w:color="auto"/>
                                                                                                        <w:bottom w:val="none" w:sz="0" w:space="0" w:color="auto"/>
                                                                                                        <w:right w:val="none" w:sz="0" w:space="0" w:color="auto"/>
                                                                                                      </w:divBdr>
                                                                                                      <w:divsChild>
                                                                                                        <w:div w:id="1165126836">
                                                                                                          <w:marLeft w:val="0"/>
                                                                                                          <w:marRight w:val="0"/>
                                                                                                          <w:marTop w:val="0"/>
                                                                                                          <w:marBottom w:val="0"/>
                                                                                                          <w:divBdr>
                                                                                                            <w:top w:val="none" w:sz="0" w:space="0" w:color="auto"/>
                                                                                                            <w:left w:val="none" w:sz="0" w:space="0" w:color="auto"/>
                                                                                                            <w:bottom w:val="none" w:sz="0" w:space="0" w:color="auto"/>
                                                                                                            <w:right w:val="none" w:sz="0" w:space="0" w:color="auto"/>
                                                                                                          </w:divBdr>
                                                                                                          <w:divsChild>
                                                                                                            <w:div w:id="1966500985">
                                                                                                              <w:marLeft w:val="0"/>
                                                                                                              <w:marRight w:val="0"/>
                                                                                                              <w:marTop w:val="0"/>
                                                                                                              <w:marBottom w:val="0"/>
                                                                                                              <w:divBdr>
                                                                                                                <w:top w:val="none" w:sz="0" w:space="0" w:color="auto"/>
                                                                                                                <w:left w:val="none" w:sz="0" w:space="0" w:color="auto"/>
                                                                                                                <w:bottom w:val="none" w:sz="0" w:space="0" w:color="auto"/>
                                                                                                                <w:right w:val="none" w:sz="0" w:space="0" w:color="auto"/>
                                                                                                              </w:divBdr>
                                                                                                              <w:divsChild>
                                                                                                                <w:div w:id="1931424690">
                                                                                                                  <w:marLeft w:val="0"/>
                                                                                                                  <w:marRight w:val="0"/>
                                                                                                                  <w:marTop w:val="0"/>
                                                                                                                  <w:marBottom w:val="0"/>
                                                                                                                  <w:divBdr>
                                                                                                                    <w:top w:val="none" w:sz="0" w:space="0" w:color="auto"/>
                                                                                                                    <w:left w:val="none" w:sz="0" w:space="0" w:color="auto"/>
                                                                                                                    <w:bottom w:val="none" w:sz="0" w:space="0" w:color="auto"/>
                                                                                                                    <w:right w:val="none" w:sz="0" w:space="0" w:color="auto"/>
                                                                                                                  </w:divBdr>
                                                                                                                  <w:divsChild>
                                                                                                                    <w:div w:id="412557486">
                                                                                                                      <w:marLeft w:val="0"/>
                                                                                                                      <w:marRight w:val="0"/>
                                                                                                                      <w:marTop w:val="0"/>
                                                                                                                      <w:marBottom w:val="0"/>
                                                                                                                      <w:divBdr>
                                                                                                                        <w:top w:val="none" w:sz="0" w:space="0" w:color="auto"/>
                                                                                                                        <w:left w:val="none" w:sz="0" w:space="0" w:color="auto"/>
                                                                                                                        <w:bottom w:val="none" w:sz="0" w:space="0" w:color="auto"/>
                                                                                                                        <w:right w:val="none" w:sz="0" w:space="0" w:color="auto"/>
                                                                                                                      </w:divBdr>
                                                                                                                      <w:divsChild>
                                                                                                                        <w:div w:id="29965764">
                                                                                                                          <w:marLeft w:val="0"/>
                                                                                                                          <w:marRight w:val="0"/>
                                                                                                                          <w:marTop w:val="0"/>
                                                                                                                          <w:marBottom w:val="0"/>
                                                                                                                          <w:divBdr>
                                                                                                                            <w:top w:val="none" w:sz="0" w:space="0" w:color="auto"/>
                                                                                                                            <w:left w:val="none" w:sz="0" w:space="0" w:color="auto"/>
                                                                                                                            <w:bottom w:val="none" w:sz="0" w:space="0" w:color="auto"/>
                                                                                                                            <w:right w:val="none" w:sz="0" w:space="0" w:color="auto"/>
                                                                                                                          </w:divBdr>
                                                                                                                          <w:divsChild>
                                                                                                                            <w:div w:id="1126966243">
                                                                                                                              <w:marLeft w:val="0"/>
                                                                                                                              <w:marRight w:val="0"/>
                                                                                                                              <w:marTop w:val="0"/>
                                                                                                                              <w:marBottom w:val="0"/>
                                                                                                                              <w:divBdr>
                                                                                                                                <w:top w:val="none" w:sz="0" w:space="0" w:color="auto"/>
                                                                                                                                <w:left w:val="none" w:sz="0" w:space="0" w:color="auto"/>
                                                                                                                                <w:bottom w:val="none" w:sz="0" w:space="0" w:color="auto"/>
                                                                                                                                <w:right w:val="none" w:sz="0" w:space="0" w:color="auto"/>
                                                                                                                              </w:divBdr>
                                                                                                                              <w:divsChild>
                                                                                                                                <w:div w:id="1039746900">
                                                                                                                                  <w:marLeft w:val="0"/>
                                                                                                                                  <w:marRight w:val="0"/>
                                                                                                                                  <w:marTop w:val="0"/>
                                                                                                                                  <w:marBottom w:val="0"/>
                                                                                                                                  <w:divBdr>
                                                                                                                                    <w:top w:val="none" w:sz="0" w:space="0" w:color="auto"/>
                                                                                                                                    <w:left w:val="none" w:sz="0" w:space="0" w:color="auto"/>
                                                                                                                                    <w:bottom w:val="none" w:sz="0" w:space="0" w:color="auto"/>
                                                                                                                                    <w:right w:val="none" w:sz="0" w:space="0" w:color="auto"/>
                                                                                                                                  </w:divBdr>
                                                                                                                                  <w:divsChild>
                                                                                                                                    <w:div w:id="1706952078">
                                                                                                                                      <w:marLeft w:val="0"/>
                                                                                                                                      <w:marRight w:val="0"/>
                                                                                                                                      <w:marTop w:val="0"/>
                                                                                                                                      <w:marBottom w:val="0"/>
                                                                                                                                      <w:divBdr>
                                                                                                                                        <w:top w:val="none" w:sz="0" w:space="0" w:color="auto"/>
                                                                                                                                        <w:left w:val="none" w:sz="0" w:space="0" w:color="auto"/>
                                                                                                                                        <w:bottom w:val="none" w:sz="0" w:space="0" w:color="auto"/>
                                                                                                                                        <w:right w:val="none" w:sz="0" w:space="0" w:color="auto"/>
                                                                                                                                      </w:divBdr>
                                                                                                                                      <w:divsChild>
                                                                                                                                        <w:div w:id="634874256">
                                                                                                                                          <w:marLeft w:val="0"/>
                                                                                                                                          <w:marRight w:val="0"/>
                                                                                                                                          <w:marTop w:val="0"/>
                                                                                                                                          <w:marBottom w:val="0"/>
                                                                                                                                          <w:divBdr>
                                                                                                                                            <w:top w:val="none" w:sz="0" w:space="0" w:color="auto"/>
                                                                                                                                            <w:left w:val="none" w:sz="0" w:space="0" w:color="auto"/>
                                                                                                                                            <w:bottom w:val="none" w:sz="0" w:space="0" w:color="auto"/>
                                                                                                                                            <w:right w:val="none" w:sz="0" w:space="0" w:color="auto"/>
                                                                                                                                          </w:divBdr>
                                                                                                                                          <w:divsChild>
                                                                                                                                            <w:div w:id="18906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4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961320">
      <w:bodyDiv w:val="1"/>
      <w:marLeft w:val="0"/>
      <w:marRight w:val="0"/>
      <w:marTop w:val="0"/>
      <w:marBottom w:val="0"/>
      <w:divBdr>
        <w:top w:val="none" w:sz="0" w:space="0" w:color="auto"/>
        <w:left w:val="none" w:sz="0" w:space="0" w:color="auto"/>
        <w:bottom w:val="none" w:sz="0" w:space="0" w:color="auto"/>
        <w:right w:val="none" w:sz="0" w:space="0" w:color="auto"/>
      </w:divBdr>
    </w:div>
    <w:div w:id="509489741">
      <w:bodyDiv w:val="1"/>
      <w:marLeft w:val="0"/>
      <w:marRight w:val="0"/>
      <w:marTop w:val="0"/>
      <w:marBottom w:val="0"/>
      <w:divBdr>
        <w:top w:val="none" w:sz="0" w:space="0" w:color="auto"/>
        <w:left w:val="none" w:sz="0" w:space="0" w:color="auto"/>
        <w:bottom w:val="none" w:sz="0" w:space="0" w:color="auto"/>
        <w:right w:val="none" w:sz="0" w:space="0" w:color="auto"/>
      </w:divBdr>
    </w:div>
    <w:div w:id="791707460">
      <w:marLeft w:val="0"/>
      <w:marRight w:val="0"/>
      <w:marTop w:val="0"/>
      <w:marBottom w:val="0"/>
      <w:divBdr>
        <w:top w:val="none" w:sz="0" w:space="0" w:color="auto"/>
        <w:left w:val="none" w:sz="0" w:space="0" w:color="auto"/>
        <w:bottom w:val="none" w:sz="0" w:space="0" w:color="auto"/>
        <w:right w:val="none" w:sz="0" w:space="0" w:color="auto"/>
      </w:divBdr>
    </w:div>
    <w:div w:id="791707462">
      <w:marLeft w:val="0"/>
      <w:marRight w:val="0"/>
      <w:marTop w:val="0"/>
      <w:marBottom w:val="0"/>
      <w:divBdr>
        <w:top w:val="none" w:sz="0" w:space="0" w:color="auto"/>
        <w:left w:val="none" w:sz="0" w:space="0" w:color="auto"/>
        <w:bottom w:val="none" w:sz="0" w:space="0" w:color="auto"/>
        <w:right w:val="none" w:sz="0" w:space="0" w:color="auto"/>
      </w:divBdr>
      <w:divsChild>
        <w:div w:id="791707480">
          <w:marLeft w:val="0"/>
          <w:marRight w:val="0"/>
          <w:marTop w:val="0"/>
          <w:marBottom w:val="0"/>
          <w:divBdr>
            <w:top w:val="none" w:sz="0" w:space="0" w:color="auto"/>
            <w:left w:val="none" w:sz="0" w:space="0" w:color="auto"/>
            <w:bottom w:val="none" w:sz="0" w:space="0" w:color="auto"/>
            <w:right w:val="none" w:sz="0" w:space="0" w:color="auto"/>
          </w:divBdr>
          <w:divsChild>
            <w:div w:id="791707482">
              <w:marLeft w:val="0"/>
              <w:marRight w:val="0"/>
              <w:marTop w:val="0"/>
              <w:marBottom w:val="0"/>
              <w:divBdr>
                <w:top w:val="none" w:sz="0" w:space="0" w:color="auto"/>
                <w:left w:val="none" w:sz="0" w:space="0" w:color="auto"/>
                <w:bottom w:val="none" w:sz="0" w:space="0" w:color="auto"/>
                <w:right w:val="none" w:sz="0" w:space="0" w:color="auto"/>
              </w:divBdr>
              <w:divsChild>
                <w:div w:id="791707474">
                  <w:marLeft w:val="0"/>
                  <w:marRight w:val="0"/>
                  <w:marTop w:val="0"/>
                  <w:marBottom w:val="0"/>
                  <w:divBdr>
                    <w:top w:val="none" w:sz="0" w:space="0" w:color="auto"/>
                    <w:left w:val="none" w:sz="0" w:space="0" w:color="auto"/>
                    <w:bottom w:val="none" w:sz="0" w:space="0" w:color="auto"/>
                    <w:right w:val="none" w:sz="0" w:space="0" w:color="auto"/>
                  </w:divBdr>
                  <w:divsChild>
                    <w:div w:id="7917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7463">
      <w:marLeft w:val="0"/>
      <w:marRight w:val="0"/>
      <w:marTop w:val="0"/>
      <w:marBottom w:val="0"/>
      <w:divBdr>
        <w:top w:val="none" w:sz="0" w:space="0" w:color="auto"/>
        <w:left w:val="none" w:sz="0" w:space="0" w:color="auto"/>
        <w:bottom w:val="none" w:sz="0" w:space="0" w:color="auto"/>
        <w:right w:val="none" w:sz="0" w:space="0" w:color="auto"/>
      </w:divBdr>
      <w:divsChild>
        <w:div w:id="791707458">
          <w:marLeft w:val="0"/>
          <w:marRight w:val="0"/>
          <w:marTop w:val="0"/>
          <w:marBottom w:val="0"/>
          <w:divBdr>
            <w:top w:val="none" w:sz="0" w:space="0" w:color="auto"/>
            <w:left w:val="none" w:sz="0" w:space="0" w:color="auto"/>
            <w:bottom w:val="none" w:sz="0" w:space="0" w:color="auto"/>
            <w:right w:val="none" w:sz="0" w:space="0" w:color="auto"/>
          </w:divBdr>
        </w:div>
        <w:div w:id="791707459">
          <w:marLeft w:val="0"/>
          <w:marRight w:val="0"/>
          <w:marTop w:val="0"/>
          <w:marBottom w:val="0"/>
          <w:divBdr>
            <w:top w:val="none" w:sz="0" w:space="0" w:color="auto"/>
            <w:left w:val="none" w:sz="0" w:space="0" w:color="auto"/>
            <w:bottom w:val="none" w:sz="0" w:space="0" w:color="auto"/>
            <w:right w:val="none" w:sz="0" w:space="0" w:color="auto"/>
          </w:divBdr>
        </w:div>
        <w:div w:id="791707464">
          <w:marLeft w:val="0"/>
          <w:marRight w:val="0"/>
          <w:marTop w:val="0"/>
          <w:marBottom w:val="0"/>
          <w:divBdr>
            <w:top w:val="none" w:sz="0" w:space="0" w:color="auto"/>
            <w:left w:val="none" w:sz="0" w:space="0" w:color="auto"/>
            <w:bottom w:val="none" w:sz="0" w:space="0" w:color="auto"/>
            <w:right w:val="none" w:sz="0" w:space="0" w:color="auto"/>
          </w:divBdr>
        </w:div>
        <w:div w:id="791707476">
          <w:marLeft w:val="0"/>
          <w:marRight w:val="0"/>
          <w:marTop w:val="0"/>
          <w:marBottom w:val="0"/>
          <w:divBdr>
            <w:top w:val="none" w:sz="0" w:space="0" w:color="auto"/>
            <w:left w:val="none" w:sz="0" w:space="0" w:color="auto"/>
            <w:bottom w:val="none" w:sz="0" w:space="0" w:color="auto"/>
            <w:right w:val="none" w:sz="0" w:space="0" w:color="auto"/>
          </w:divBdr>
        </w:div>
        <w:div w:id="791707478">
          <w:marLeft w:val="0"/>
          <w:marRight w:val="0"/>
          <w:marTop w:val="0"/>
          <w:marBottom w:val="0"/>
          <w:divBdr>
            <w:top w:val="none" w:sz="0" w:space="0" w:color="auto"/>
            <w:left w:val="none" w:sz="0" w:space="0" w:color="auto"/>
            <w:bottom w:val="none" w:sz="0" w:space="0" w:color="auto"/>
            <w:right w:val="none" w:sz="0" w:space="0" w:color="auto"/>
          </w:divBdr>
        </w:div>
        <w:div w:id="791707479">
          <w:marLeft w:val="0"/>
          <w:marRight w:val="0"/>
          <w:marTop w:val="0"/>
          <w:marBottom w:val="0"/>
          <w:divBdr>
            <w:top w:val="none" w:sz="0" w:space="0" w:color="auto"/>
            <w:left w:val="none" w:sz="0" w:space="0" w:color="auto"/>
            <w:bottom w:val="none" w:sz="0" w:space="0" w:color="auto"/>
            <w:right w:val="none" w:sz="0" w:space="0" w:color="auto"/>
          </w:divBdr>
        </w:div>
        <w:div w:id="791707483">
          <w:marLeft w:val="0"/>
          <w:marRight w:val="0"/>
          <w:marTop w:val="0"/>
          <w:marBottom w:val="0"/>
          <w:divBdr>
            <w:top w:val="none" w:sz="0" w:space="0" w:color="auto"/>
            <w:left w:val="none" w:sz="0" w:space="0" w:color="auto"/>
            <w:bottom w:val="none" w:sz="0" w:space="0" w:color="auto"/>
            <w:right w:val="none" w:sz="0" w:space="0" w:color="auto"/>
          </w:divBdr>
        </w:div>
        <w:div w:id="791707484">
          <w:marLeft w:val="0"/>
          <w:marRight w:val="0"/>
          <w:marTop w:val="0"/>
          <w:marBottom w:val="0"/>
          <w:divBdr>
            <w:top w:val="none" w:sz="0" w:space="0" w:color="auto"/>
            <w:left w:val="none" w:sz="0" w:space="0" w:color="auto"/>
            <w:bottom w:val="none" w:sz="0" w:space="0" w:color="auto"/>
            <w:right w:val="none" w:sz="0" w:space="0" w:color="auto"/>
          </w:divBdr>
        </w:div>
        <w:div w:id="791707485">
          <w:marLeft w:val="0"/>
          <w:marRight w:val="0"/>
          <w:marTop w:val="0"/>
          <w:marBottom w:val="0"/>
          <w:divBdr>
            <w:top w:val="none" w:sz="0" w:space="0" w:color="auto"/>
            <w:left w:val="none" w:sz="0" w:space="0" w:color="auto"/>
            <w:bottom w:val="none" w:sz="0" w:space="0" w:color="auto"/>
            <w:right w:val="none" w:sz="0" w:space="0" w:color="auto"/>
          </w:divBdr>
        </w:div>
        <w:div w:id="791707487">
          <w:marLeft w:val="0"/>
          <w:marRight w:val="0"/>
          <w:marTop w:val="0"/>
          <w:marBottom w:val="0"/>
          <w:divBdr>
            <w:top w:val="none" w:sz="0" w:space="0" w:color="auto"/>
            <w:left w:val="none" w:sz="0" w:space="0" w:color="auto"/>
            <w:bottom w:val="none" w:sz="0" w:space="0" w:color="auto"/>
            <w:right w:val="none" w:sz="0" w:space="0" w:color="auto"/>
          </w:divBdr>
        </w:div>
      </w:divsChild>
    </w:div>
    <w:div w:id="791707466">
      <w:marLeft w:val="0"/>
      <w:marRight w:val="0"/>
      <w:marTop w:val="0"/>
      <w:marBottom w:val="0"/>
      <w:divBdr>
        <w:top w:val="none" w:sz="0" w:space="0" w:color="auto"/>
        <w:left w:val="none" w:sz="0" w:space="0" w:color="auto"/>
        <w:bottom w:val="none" w:sz="0" w:space="0" w:color="auto"/>
        <w:right w:val="none" w:sz="0" w:space="0" w:color="auto"/>
      </w:divBdr>
      <w:divsChild>
        <w:div w:id="791707469">
          <w:marLeft w:val="0"/>
          <w:marRight w:val="0"/>
          <w:marTop w:val="0"/>
          <w:marBottom w:val="0"/>
          <w:divBdr>
            <w:top w:val="none" w:sz="0" w:space="0" w:color="auto"/>
            <w:left w:val="none" w:sz="0" w:space="0" w:color="auto"/>
            <w:bottom w:val="none" w:sz="0" w:space="0" w:color="auto"/>
            <w:right w:val="none" w:sz="0" w:space="0" w:color="auto"/>
          </w:divBdr>
        </w:div>
      </w:divsChild>
    </w:div>
    <w:div w:id="791707468">
      <w:marLeft w:val="0"/>
      <w:marRight w:val="0"/>
      <w:marTop w:val="0"/>
      <w:marBottom w:val="0"/>
      <w:divBdr>
        <w:top w:val="none" w:sz="0" w:space="0" w:color="auto"/>
        <w:left w:val="none" w:sz="0" w:space="0" w:color="auto"/>
        <w:bottom w:val="none" w:sz="0" w:space="0" w:color="auto"/>
        <w:right w:val="none" w:sz="0" w:space="0" w:color="auto"/>
      </w:divBdr>
    </w:div>
    <w:div w:id="791707470">
      <w:marLeft w:val="0"/>
      <w:marRight w:val="0"/>
      <w:marTop w:val="0"/>
      <w:marBottom w:val="0"/>
      <w:divBdr>
        <w:top w:val="none" w:sz="0" w:space="0" w:color="auto"/>
        <w:left w:val="none" w:sz="0" w:space="0" w:color="auto"/>
        <w:bottom w:val="none" w:sz="0" w:space="0" w:color="auto"/>
        <w:right w:val="none" w:sz="0" w:space="0" w:color="auto"/>
      </w:divBdr>
    </w:div>
    <w:div w:id="791707472">
      <w:marLeft w:val="0"/>
      <w:marRight w:val="0"/>
      <w:marTop w:val="0"/>
      <w:marBottom w:val="0"/>
      <w:divBdr>
        <w:top w:val="none" w:sz="0" w:space="0" w:color="auto"/>
        <w:left w:val="none" w:sz="0" w:space="0" w:color="auto"/>
        <w:bottom w:val="none" w:sz="0" w:space="0" w:color="auto"/>
        <w:right w:val="none" w:sz="0" w:space="0" w:color="auto"/>
      </w:divBdr>
      <w:divsChild>
        <w:div w:id="791707465">
          <w:marLeft w:val="0"/>
          <w:marRight w:val="0"/>
          <w:marTop w:val="0"/>
          <w:marBottom w:val="0"/>
          <w:divBdr>
            <w:top w:val="none" w:sz="0" w:space="0" w:color="auto"/>
            <w:left w:val="none" w:sz="0" w:space="0" w:color="auto"/>
            <w:bottom w:val="none" w:sz="0" w:space="0" w:color="auto"/>
            <w:right w:val="none" w:sz="0" w:space="0" w:color="auto"/>
          </w:divBdr>
        </w:div>
        <w:div w:id="791707471">
          <w:marLeft w:val="0"/>
          <w:marRight w:val="0"/>
          <w:marTop w:val="0"/>
          <w:marBottom w:val="0"/>
          <w:divBdr>
            <w:top w:val="none" w:sz="0" w:space="0" w:color="auto"/>
            <w:left w:val="none" w:sz="0" w:space="0" w:color="auto"/>
            <w:bottom w:val="none" w:sz="0" w:space="0" w:color="auto"/>
            <w:right w:val="none" w:sz="0" w:space="0" w:color="auto"/>
          </w:divBdr>
          <w:divsChild>
            <w:div w:id="7917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473">
      <w:marLeft w:val="0"/>
      <w:marRight w:val="0"/>
      <w:marTop w:val="0"/>
      <w:marBottom w:val="0"/>
      <w:divBdr>
        <w:top w:val="none" w:sz="0" w:space="0" w:color="auto"/>
        <w:left w:val="none" w:sz="0" w:space="0" w:color="auto"/>
        <w:bottom w:val="none" w:sz="0" w:space="0" w:color="auto"/>
        <w:right w:val="none" w:sz="0" w:space="0" w:color="auto"/>
      </w:divBdr>
    </w:div>
    <w:div w:id="791707477">
      <w:marLeft w:val="0"/>
      <w:marRight w:val="0"/>
      <w:marTop w:val="0"/>
      <w:marBottom w:val="0"/>
      <w:divBdr>
        <w:top w:val="none" w:sz="0" w:space="0" w:color="auto"/>
        <w:left w:val="none" w:sz="0" w:space="0" w:color="auto"/>
        <w:bottom w:val="none" w:sz="0" w:space="0" w:color="auto"/>
        <w:right w:val="none" w:sz="0" w:space="0" w:color="auto"/>
      </w:divBdr>
    </w:div>
    <w:div w:id="791707481">
      <w:marLeft w:val="0"/>
      <w:marRight w:val="0"/>
      <w:marTop w:val="0"/>
      <w:marBottom w:val="0"/>
      <w:divBdr>
        <w:top w:val="none" w:sz="0" w:space="0" w:color="auto"/>
        <w:left w:val="none" w:sz="0" w:space="0" w:color="auto"/>
        <w:bottom w:val="none" w:sz="0" w:space="0" w:color="auto"/>
        <w:right w:val="none" w:sz="0" w:space="0" w:color="auto"/>
      </w:divBdr>
      <w:divsChild>
        <w:div w:id="791707475">
          <w:marLeft w:val="0"/>
          <w:marRight w:val="0"/>
          <w:marTop w:val="0"/>
          <w:marBottom w:val="0"/>
          <w:divBdr>
            <w:top w:val="none" w:sz="0" w:space="0" w:color="auto"/>
            <w:left w:val="none" w:sz="0" w:space="0" w:color="auto"/>
            <w:bottom w:val="none" w:sz="0" w:space="0" w:color="auto"/>
            <w:right w:val="none" w:sz="0" w:space="0" w:color="auto"/>
          </w:divBdr>
        </w:div>
      </w:divsChild>
    </w:div>
    <w:div w:id="791707486">
      <w:marLeft w:val="0"/>
      <w:marRight w:val="0"/>
      <w:marTop w:val="0"/>
      <w:marBottom w:val="0"/>
      <w:divBdr>
        <w:top w:val="none" w:sz="0" w:space="0" w:color="auto"/>
        <w:left w:val="none" w:sz="0" w:space="0" w:color="auto"/>
        <w:bottom w:val="none" w:sz="0" w:space="0" w:color="auto"/>
        <w:right w:val="none" w:sz="0" w:space="0" w:color="auto"/>
      </w:divBdr>
    </w:div>
    <w:div w:id="791707492">
      <w:marLeft w:val="0"/>
      <w:marRight w:val="0"/>
      <w:marTop w:val="0"/>
      <w:marBottom w:val="0"/>
      <w:divBdr>
        <w:top w:val="none" w:sz="0" w:space="0" w:color="auto"/>
        <w:left w:val="none" w:sz="0" w:space="0" w:color="auto"/>
        <w:bottom w:val="none" w:sz="0" w:space="0" w:color="auto"/>
        <w:right w:val="none" w:sz="0" w:space="0" w:color="auto"/>
      </w:divBdr>
    </w:div>
    <w:div w:id="791707502">
      <w:marLeft w:val="0"/>
      <w:marRight w:val="0"/>
      <w:marTop w:val="0"/>
      <w:marBottom w:val="0"/>
      <w:divBdr>
        <w:top w:val="none" w:sz="0" w:space="0" w:color="auto"/>
        <w:left w:val="none" w:sz="0" w:space="0" w:color="auto"/>
        <w:bottom w:val="none" w:sz="0" w:space="0" w:color="auto"/>
        <w:right w:val="none" w:sz="0" w:space="0" w:color="auto"/>
      </w:divBdr>
    </w:div>
    <w:div w:id="791707504">
      <w:marLeft w:val="0"/>
      <w:marRight w:val="0"/>
      <w:marTop w:val="0"/>
      <w:marBottom w:val="0"/>
      <w:divBdr>
        <w:top w:val="none" w:sz="0" w:space="0" w:color="auto"/>
        <w:left w:val="none" w:sz="0" w:space="0" w:color="auto"/>
        <w:bottom w:val="none" w:sz="0" w:space="0" w:color="auto"/>
        <w:right w:val="none" w:sz="0" w:space="0" w:color="auto"/>
      </w:divBdr>
    </w:div>
    <w:div w:id="791707510">
      <w:marLeft w:val="0"/>
      <w:marRight w:val="0"/>
      <w:marTop w:val="0"/>
      <w:marBottom w:val="0"/>
      <w:divBdr>
        <w:top w:val="none" w:sz="0" w:space="0" w:color="auto"/>
        <w:left w:val="none" w:sz="0" w:space="0" w:color="auto"/>
        <w:bottom w:val="none" w:sz="0" w:space="0" w:color="auto"/>
        <w:right w:val="none" w:sz="0" w:space="0" w:color="auto"/>
      </w:divBdr>
    </w:div>
    <w:div w:id="791707511">
      <w:marLeft w:val="0"/>
      <w:marRight w:val="0"/>
      <w:marTop w:val="0"/>
      <w:marBottom w:val="0"/>
      <w:divBdr>
        <w:top w:val="none" w:sz="0" w:space="0" w:color="auto"/>
        <w:left w:val="none" w:sz="0" w:space="0" w:color="auto"/>
        <w:bottom w:val="none" w:sz="0" w:space="0" w:color="auto"/>
        <w:right w:val="none" w:sz="0" w:space="0" w:color="auto"/>
      </w:divBdr>
    </w:div>
    <w:div w:id="791707529">
      <w:marLeft w:val="0"/>
      <w:marRight w:val="0"/>
      <w:marTop w:val="0"/>
      <w:marBottom w:val="0"/>
      <w:divBdr>
        <w:top w:val="none" w:sz="0" w:space="0" w:color="auto"/>
        <w:left w:val="none" w:sz="0" w:space="0" w:color="auto"/>
        <w:bottom w:val="none" w:sz="0" w:space="0" w:color="auto"/>
        <w:right w:val="none" w:sz="0" w:space="0" w:color="auto"/>
      </w:divBdr>
    </w:div>
    <w:div w:id="791707532">
      <w:marLeft w:val="0"/>
      <w:marRight w:val="0"/>
      <w:marTop w:val="0"/>
      <w:marBottom w:val="0"/>
      <w:divBdr>
        <w:top w:val="none" w:sz="0" w:space="0" w:color="auto"/>
        <w:left w:val="none" w:sz="0" w:space="0" w:color="auto"/>
        <w:bottom w:val="none" w:sz="0" w:space="0" w:color="auto"/>
        <w:right w:val="none" w:sz="0" w:space="0" w:color="auto"/>
      </w:divBdr>
    </w:div>
    <w:div w:id="791707540">
      <w:marLeft w:val="0"/>
      <w:marRight w:val="0"/>
      <w:marTop w:val="0"/>
      <w:marBottom w:val="0"/>
      <w:divBdr>
        <w:top w:val="none" w:sz="0" w:space="0" w:color="auto"/>
        <w:left w:val="none" w:sz="0" w:space="0" w:color="auto"/>
        <w:bottom w:val="none" w:sz="0" w:space="0" w:color="auto"/>
        <w:right w:val="none" w:sz="0" w:space="0" w:color="auto"/>
      </w:divBdr>
      <w:divsChild>
        <w:div w:id="791707609">
          <w:marLeft w:val="0"/>
          <w:marRight w:val="0"/>
          <w:marTop w:val="0"/>
          <w:marBottom w:val="0"/>
          <w:divBdr>
            <w:top w:val="none" w:sz="0" w:space="0" w:color="auto"/>
            <w:left w:val="none" w:sz="0" w:space="0" w:color="auto"/>
            <w:bottom w:val="none" w:sz="0" w:space="0" w:color="auto"/>
            <w:right w:val="none" w:sz="0" w:space="0" w:color="auto"/>
          </w:divBdr>
          <w:divsChild>
            <w:div w:id="791707604">
              <w:marLeft w:val="0"/>
              <w:marRight w:val="0"/>
              <w:marTop w:val="0"/>
              <w:marBottom w:val="0"/>
              <w:divBdr>
                <w:top w:val="none" w:sz="0" w:space="0" w:color="auto"/>
                <w:left w:val="none" w:sz="0" w:space="0" w:color="auto"/>
                <w:bottom w:val="none" w:sz="0" w:space="0" w:color="auto"/>
                <w:right w:val="none" w:sz="0" w:space="0" w:color="auto"/>
              </w:divBdr>
              <w:divsChild>
                <w:div w:id="791707519">
                  <w:marLeft w:val="0"/>
                  <w:marRight w:val="0"/>
                  <w:marTop w:val="0"/>
                  <w:marBottom w:val="0"/>
                  <w:divBdr>
                    <w:top w:val="none" w:sz="0" w:space="0" w:color="auto"/>
                    <w:left w:val="none" w:sz="0" w:space="0" w:color="auto"/>
                    <w:bottom w:val="none" w:sz="0" w:space="0" w:color="auto"/>
                    <w:right w:val="none" w:sz="0" w:space="0" w:color="auto"/>
                  </w:divBdr>
                  <w:divsChild>
                    <w:div w:id="791707538">
                      <w:marLeft w:val="0"/>
                      <w:marRight w:val="0"/>
                      <w:marTop w:val="0"/>
                      <w:marBottom w:val="0"/>
                      <w:divBdr>
                        <w:top w:val="none" w:sz="0" w:space="0" w:color="auto"/>
                        <w:left w:val="none" w:sz="0" w:space="0" w:color="auto"/>
                        <w:bottom w:val="none" w:sz="0" w:space="0" w:color="auto"/>
                        <w:right w:val="none" w:sz="0" w:space="0" w:color="auto"/>
                      </w:divBdr>
                      <w:divsChild>
                        <w:div w:id="791707508">
                          <w:marLeft w:val="0"/>
                          <w:marRight w:val="0"/>
                          <w:marTop w:val="0"/>
                          <w:marBottom w:val="0"/>
                          <w:divBdr>
                            <w:top w:val="none" w:sz="0" w:space="0" w:color="auto"/>
                            <w:left w:val="none" w:sz="0" w:space="0" w:color="auto"/>
                            <w:bottom w:val="none" w:sz="0" w:space="0" w:color="auto"/>
                            <w:right w:val="none" w:sz="0" w:space="0" w:color="auto"/>
                          </w:divBdr>
                          <w:divsChild>
                            <w:div w:id="791707521">
                              <w:marLeft w:val="0"/>
                              <w:marRight w:val="0"/>
                              <w:marTop w:val="0"/>
                              <w:marBottom w:val="0"/>
                              <w:divBdr>
                                <w:top w:val="none" w:sz="0" w:space="0" w:color="auto"/>
                                <w:left w:val="none" w:sz="0" w:space="0" w:color="auto"/>
                                <w:bottom w:val="none" w:sz="0" w:space="0" w:color="auto"/>
                                <w:right w:val="none" w:sz="0" w:space="0" w:color="auto"/>
                              </w:divBdr>
                              <w:divsChild>
                                <w:div w:id="791707488">
                                  <w:marLeft w:val="0"/>
                                  <w:marRight w:val="0"/>
                                  <w:marTop w:val="0"/>
                                  <w:marBottom w:val="0"/>
                                  <w:divBdr>
                                    <w:top w:val="none" w:sz="0" w:space="0" w:color="auto"/>
                                    <w:left w:val="none" w:sz="0" w:space="0" w:color="auto"/>
                                    <w:bottom w:val="none" w:sz="0" w:space="0" w:color="auto"/>
                                    <w:right w:val="none" w:sz="0" w:space="0" w:color="auto"/>
                                  </w:divBdr>
                                  <w:divsChild>
                                    <w:div w:id="791707572">
                                      <w:marLeft w:val="0"/>
                                      <w:marRight w:val="0"/>
                                      <w:marTop w:val="0"/>
                                      <w:marBottom w:val="0"/>
                                      <w:divBdr>
                                        <w:top w:val="none" w:sz="0" w:space="0" w:color="auto"/>
                                        <w:left w:val="none" w:sz="0" w:space="0" w:color="auto"/>
                                        <w:bottom w:val="none" w:sz="0" w:space="0" w:color="auto"/>
                                        <w:right w:val="none" w:sz="0" w:space="0" w:color="auto"/>
                                      </w:divBdr>
                                      <w:divsChild>
                                        <w:div w:id="791707499">
                                          <w:marLeft w:val="0"/>
                                          <w:marRight w:val="0"/>
                                          <w:marTop w:val="0"/>
                                          <w:marBottom w:val="0"/>
                                          <w:divBdr>
                                            <w:top w:val="none" w:sz="0" w:space="0" w:color="auto"/>
                                            <w:left w:val="none" w:sz="0" w:space="0" w:color="auto"/>
                                            <w:bottom w:val="none" w:sz="0" w:space="0" w:color="auto"/>
                                            <w:right w:val="none" w:sz="0" w:space="0" w:color="auto"/>
                                          </w:divBdr>
                                        </w:div>
                                        <w:div w:id="791707595">
                                          <w:marLeft w:val="0"/>
                                          <w:marRight w:val="0"/>
                                          <w:marTop w:val="0"/>
                                          <w:marBottom w:val="0"/>
                                          <w:divBdr>
                                            <w:top w:val="none" w:sz="0" w:space="0" w:color="auto"/>
                                            <w:left w:val="none" w:sz="0" w:space="0" w:color="auto"/>
                                            <w:bottom w:val="none" w:sz="0" w:space="0" w:color="auto"/>
                                            <w:right w:val="none" w:sz="0" w:space="0" w:color="auto"/>
                                          </w:divBdr>
                                        </w:div>
                                        <w:div w:id="7917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707542">
      <w:marLeft w:val="0"/>
      <w:marRight w:val="0"/>
      <w:marTop w:val="0"/>
      <w:marBottom w:val="0"/>
      <w:divBdr>
        <w:top w:val="none" w:sz="0" w:space="0" w:color="auto"/>
        <w:left w:val="none" w:sz="0" w:space="0" w:color="auto"/>
        <w:bottom w:val="none" w:sz="0" w:space="0" w:color="auto"/>
        <w:right w:val="none" w:sz="0" w:space="0" w:color="auto"/>
      </w:divBdr>
    </w:div>
    <w:div w:id="791707543">
      <w:marLeft w:val="0"/>
      <w:marRight w:val="0"/>
      <w:marTop w:val="0"/>
      <w:marBottom w:val="0"/>
      <w:divBdr>
        <w:top w:val="none" w:sz="0" w:space="0" w:color="auto"/>
        <w:left w:val="none" w:sz="0" w:space="0" w:color="auto"/>
        <w:bottom w:val="none" w:sz="0" w:space="0" w:color="auto"/>
        <w:right w:val="none" w:sz="0" w:space="0" w:color="auto"/>
      </w:divBdr>
    </w:div>
    <w:div w:id="791707545">
      <w:marLeft w:val="0"/>
      <w:marRight w:val="0"/>
      <w:marTop w:val="0"/>
      <w:marBottom w:val="0"/>
      <w:divBdr>
        <w:top w:val="none" w:sz="0" w:space="0" w:color="auto"/>
        <w:left w:val="none" w:sz="0" w:space="0" w:color="auto"/>
        <w:bottom w:val="none" w:sz="0" w:space="0" w:color="auto"/>
        <w:right w:val="none" w:sz="0" w:space="0" w:color="auto"/>
      </w:divBdr>
    </w:div>
    <w:div w:id="791707549">
      <w:marLeft w:val="0"/>
      <w:marRight w:val="0"/>
      <w:marTop w:val="0"/>
      <w:marBottom w:val="0"/>
      <w:divBdr>
        <w:top w:val="none" w:sz="0" w:space="0" w:color="auto"/>
        <w:left w:val="none" w:sz="0" w:space="0" w:color="auto"/>
        <w:bottom w:val="none" w:sz="0" w:space="0" w:color="auto"/>
        <w:right w:val="none" w:sz="0" w:space="0" w:color="auto"/>
      </w:divBdr>
      <w:divsChild>
        <w:div w:id="791707570">
          <w:marLeft w:val="0"/>
          <w:marRight w:val="0"/>
          <w:marTop w:val="0"/>
          <w:marBottom w:val="0"/>
          <w:divBdr>
            <w:top w:val="none" w:sz="0" w:space="0" w:color="auto"/>
            <w:left w:val="none" w:sz="0" w:space="0" w:color="auto"/>
            <w:bottom w:val="none" w:sz="0" w:space="0" w:color="auto"/>
            <w:right w:val="none" w:sz="0" w:space="0" w:color="auto"/>
          </w:divBdr>
        </w:div>
        <w:div w:id="791707571">
          <w:marLeft w:val="0"/>
          <w:marRight w:val="0"/>
          <w:marTop w:val="0"/>
          <w:marBottom w:val="0"/>
          <w:divBdr>
            <w:top w:val="none" w:sz="0" w:space="0" w:color="auto"/>
            <w:left w:val="none" w:sz="0" w:space="0" w:color="auto"/>
            <w:bottom w:val="none" w:sz="0" w:space="0" w:color="auto"/>
            <w:right w:val="none" w:sz="0" w:space="0" w:color="auto"/>
          </w:divBdr>
          <w:divsChild>
            <w:div w:id="791707597">
              <w:marLeft w:val="0"/>
              <w:marRight w:val="0"/>
              <w:marTop w:val="0"/>
              <w:marBottom w:val="0"/>
              <w:divBdr>
                <w:top w:val="none" w:sz="0" w:space="0" w:color="auto"/>
                <w:left w:val="none" w:sz="0" w:space="0" w:color="auto"/>
                <w:bottom w:val="none" w:sz="0" w:space="0" w:color="auto"/>
                <w:right w:val="none" w:sz="0" w:space="0" w:color="auto"/>
              </w:divBdr>
              <w:divsChild>
                <w:div w:id="791707556">
                  <w:marLeft w:val="0"/>
                  <w:marRight w:val="0"/>
                  <w:marTop w:val="0"/>
                  <w:marBottom w:val="0"/>
                  <w:divBdr>
                    <w:top w:val="none" w:sz="0" w:space="0" w:color="auto"/>
                    <w:left w:val="none" w:sz="0" w:space="0" w:color="auto"/>
                    <w:bottom w:val="none" w:sz="0" w:space="0" w:color="auto"/>
                    <w:right w:val="none" w:sz="0" w:space="0" w:color="auto"/>
                  </w:divBdr>
                  <w:divsChild>
                    <w:div w:id="791707605">
                      <w:marLeft w:val="0"/>
                      <w:marRight w:val="0"/>
                      <w:marTop w:val="0"/>
                      <w:marBottom w:val="0"/>
                      <w:divBdr>
                        <w:top w:val="none" w:sz="0" w:space="0" w:color="auto"/>
                        <w:left w:val="none" w:sz="0" w:space="0" w:color="auto"/>
                        <w:bottom w:val="none" w:sz="0" w:space="0" w:color="auto"/>
                        <w:right w:val="none" w:sz="0" w:space="0" w:color="auto"/>
                      </w:divBdr>
                      <w:divsChild>
                        <w:div w:id="791707453">
                          <w:marLeft w:val="0"/>
                          <w:marRight w:val="0"/>
                          <w:marTop w:val="0"/>
                          <w:marBottom w:val="0"/>
                          <w:divBdr>
                            <w:top w:val="none" w:sz="0" w:space="0" w:color="auto"/>
                            <w:left w:val="none" w:sz="0" w:space="0" w:color="auto"/>
                            <w:bottom w:val="none" w:sz="0" w:space="0" w:color="auto"/>
                            <w:right w:val="none" w:sz="0" w:space="0" w:color="auto"/>
                          </w:divBdr>
                          <w:divsChild>
                            <w:div w:id="791707598">
                              <w:marLeft w:val="0"/>
                              <w:marRight w:val="0"/>
                              <w:marTop w:val="0"/>
                              <w:marBottom w:val="0"/>
                              <w:divBdr>
                                <w:top w:val="none" w:sz="0" w:space="0" w:color="auto"/>
                                <w:left w:val="none" w:sz="0" w:space="0" w:color="auto"/>
                                <w:bottom w:val="none" w:sz="0" w:space="0" w:color="auto"/>
                                <w:right w:val="none" w:sz="0" w:space="0" w:color="auto"/>
                              </w:divBdr>
                              <w:divsChild>
                                <w:div w:id="791707456">
                                  <w:marLeft w:val="0"/>
                                  <w:marRight w:val="0"/>
                                  <w:marTop w:val="0"/>
                                  <w:marBottom w:val="0"/>
                                  <w:divBdr>
                                    <w:top w:val="none" w:sz="0" w:space="0" w:color="auto"/>
                                    <w:left w:val="none" w:sz="0" w:space="0" w:color="auto"/>
                                    <w:bottom w:val="none" w:sz="0" w:space="0" w:color="auto"/>
                                    <w:right w:val="none" w:sz="0" w:space="0" w:color="auto"/>
                                  </w:divBdr>
                                  <w:divsChild>
                                    <w:div w:id="791707557">
                                      <w:marLeft w:val="0"/>
                                      <w:marRight w:val="0"/>
                                      <w:marTop w:val="0"/>
                                      <w:marBottom w:val="0"/>
                                      <w:divBdr>
                                        <w:top w:val="none" w:sz="0" w:space="0" w:color="auto"/>
                                        <w:left w:val="none" w:sz="0" w:space="0" w:color="auto"/>
                                        <w:bottom w:val="none" w:sz="0" w:space="0" w:color="auto"/>
                                        <w:right w:val="none" w:sz="0" w:space="0" w:color="auto"/>
                                      </w:divBdr>
                                      <w:divsChild>
                                        <w:div w:id="791707452">
                                          <w:marLeft w:val="0"/>
                                          <w:marRight w:val="0"/>
                                          <w:marTop w:val="0"/>
                                          <w:marBottom w:val="0"/>
                                          <w:divBdr>
                                            <w:top w:val="none" w:sz="0" w:space="0" w:color="auto"/>
                                            <w:left w:val="none" w:sz="0" w:space="0" w:color="auto"/>
                                            <w:bottom w:val="none" w:sz="0" w:space="0" w:color="auto"/>
                                            <w:right w:val="none" w:sz="0" w:space="0" w:color="auto"/>
                                          </w:divBdr>
                                          <w:divsChild>
                                            <w:div w:id="791707490">
                                              <w:marLeft w:val="0"/>
                                              <w:marRight w:val="0"/>
                                              <w:marTop w:val="0"/>
                                              <w:marBottom w:val="0"/>
                                              <w:divBdr>
                                                <w:top w:val="none" w:sz="0" w:space="0" w:color="auto"/>
                                                <w:left w:val="none" w:sz="0" w:space="0" w:color="auto"/>
                                                <w:bottom w:val="none" w:sz="0" w:space="0" w:color="auto"/>
                                                <w:right w:val="none" w:sz="0" w:space="0" w:color="auto"/>
                                              </w:divBdr>
                                              <w:divsChild>
                                                <w:div w:id="791707587">
                                                  <w:marLeft w:val="0"/>
                                                  <w:marRight w:val="0"/>
                                                  <w:marTop w:val="0"/>
                                                  <w:marBottom w:val="0"/>
                                                  <w:divBdr>
                                                    <w:top w:val="none" w:sz="0" w:space="0" w:color="auto"/>
                                                    <w:left w:val="none" w:sz="0" w:space="0" w:color="auto"/>
                                                    <w:bottom w:val="none" w:sz="0" w:space="0" w:color="auto"/>
                                                    <w:right w:val="none" w:sz="0" w:space="0" w:color="auto"/>
                                                  </w:divBdr>
                                                  <w:divsChild>
                                                    <w:div w:id="791707566">
                                                      <w:marLeft w:val="0"/>
                                                      <w:marRight w:val="0"/>
                                                      <w:marTop w:val="0"/>
                                                      <w:marBottom w:val="0"/>
                                                      <w:divBdr>
                                                        <w:top w:val="none" w:sz="0" w:space="0" w:color="auto"/>
                                                        <w:left w:val="none" w:sz="0" w:space="0" w:color="auto"/>
                                                        <w:bottom w:val="none" w:sz="0" w:space="0" w:color="auto"/>
                                                        <w:right w:val="none" w:sz="0" w:space="0" w:color="auto"/>
                                                      </w:divBdr>
                                                      <w:divsChild>
                                                        <w:div w:id="791707537">
                                                          <w:marLeft w:val="0"/>
                                                          <w:marRight w:val="0"/>
                                                          <w:marTop w:val="0"/>
                                                          <w:marBottom w:val="0"/>
                                                          <w:divBdr>
                                                            <w:top w:val="none" w:sz="0" w:space="0" w:color="auto"/>
                                                            <w:left w:val="none" w:sz="0" w:space="0" w:color="auto"/>
                                                            <w:bottom w:val="none" w:sz="0" w:space="0" w:color="auto"/>
                                                            <w:right w:val="none" w:sz="0" w:space="0" w:color="auto"/>
                                                          </w:divBdr>
                                                          <w:divsChild>
                                                            <w:div w:id="791707569">
                                                              <w:marLeft w:val="0"/>
                                                              <w:marRight w:val="0"/>
                                                              <w:marTop w:val="0"/>
                                                              <w:marBottom w:val="0"/>
                                                              <w:divBdr>
                                                                <w:top w:val="none" w:sz="0" w:space="0" w:color="auto"/>
                                                                <w:left w:val="none" w:sz="0" w:space="0" w:color="auto"/>
                                                                <w:bottom w:val="none" w:sz="0" w:space="0" w:color="auto"/>
                                                                <w:right w:val="none" w:sz="0" w:space="0" w:color="auto"/>
                                                              </w:divBdr>
                                                              <w:divsChild>
                                                                <w:div w:id="791707628">
                                                                  <w:marLeft w:val="0"/>
                                                                  <w:marRight w:val="0"/>
                                                                  <w:marTop w:val="0"/>
                                                                  <w:marBottom w:val="0"/>
                                                                  <w:divBdr>
                                                                    <w:top w:val="none" w:sz="0" w:space="0" w:color="auto"/>
                                                                    <w:left w:val="none" w:sz="0" w:space="0" w:color="auto"/>
                                                                    <w:bottom w:val="none" w:sz="0" w:space="0" w:color="auto"/>
                                                                    <w:right w:val="none" w:sz="0" w:space="0" w:color="auto"/>
                                                                  </w:divBdr>
                                                                  <w:divsChild>
                                                                    <w:div w:id="791707606">
                                                                      <w:marLeft w:val="0"/>
                                                                      <w:marRight w:val="0"/>
                                                                      <w:marTop w:val="0"/>
                                                                      <w:marBottom w:val="0"/>
                                                                      <w:divBdr>
                                                                        <w:top w:val="none" w:sz="0" w:space="0" w:color="auto"/>
                                                                        <w:left w:val="none" w:sz="0" w:space="0" w:color="auto"/>
                                                                        <w:bottom w:val="none" w:sz="0" w:space="0" w:color="auto"/>
                                                                        <w:right w:val="none" w:sz="0" w:space="0" w:color="auto"/>
                                                                      </w:divBdr>
                                                                      <w:divsChild>
                                                                        <w:div w:id="791707616">
                                                                          <w:marLeft w:val="0"/>
                                                                          <w:marRight w:val="0"/>
                                                                          <w:marTop w:val="0"/>
                                                                          <w:marBottom w:val="0"/>
                                                                          <w:divBdr>
                                                                            <w:top w:val="none" w:sz="0" w:space="0" w:color="auto"/>
                                                                            <w:left w:val="none" w:sz="0" w:space="0" w:color="auto"/>
                                                                            <w:bottom w:val="none" w:sz="0" w:space="0" w:color="auto"/>
                                                                            <w:right w:val="none" w:sz="0" w:space="0" w:color="auto"/>
                                                                          </w:divBdr>
                                                                          <w:divsChild>
                                                                            <w:div w:id="791707599">
                                                                              <w:marLeft w:val="0"/>
                                                                              <w:marRight w:val="0"/>
                                                                              <w:marTop w:val="0"/>
                                                                              <w:marBottom w:val="0"/>
                                                                              <w:divBdr>
                                                                                <w:top w:val="none" w:sz="0" w:space="0" w:color="auto"/>
                                                                                <w:left w:val="none" w:sz="0" w:space="0" w:color="auto"/>
                                                                                <w:bottom w:val="none" w:sz="0" w:space="0" w:color="auto"/>
                                                                                <w:right w:val="none" w:sz="0" w:space="0" w:color="auto"/>
                                                                              </w:divBdr>
                                                                              <w:divsChild>
                                                                                <w:div w:id="791707534">
                                                                                  <w:marLeft w:val="0"/>
                                                                                  <w:marRight w:val="0"/>
                                                                                  <w:marTop w:val="0"/>
                                                                                  <w:marBottom w:val="0"/>
                                                                                  <w:divBdr>
                                                                                    <w:top w:val="none" w:sz="0" w:space="0" w:color="auto"/>
                                                                                    <w:left w:val="none" w:sz="0" w:space="0" w:color="auto"/>
                                                                                    <w:bottom w:val="none" w:sz="0" w:space="0" w:color="auto"/>
                                                                                    <w:right w:val="none" w:sz="0" w:space="0" w:color="auto"/>
                                                                                  </w:divBdr>
                                                                                  <w:divsChild>
                                                                                    <w:div w:id="791707591">
                                                                                      <w:marLeft w:val="0"/>
                                                                                      <w:marRight w:val="0"/>
                                                                                      <w:marTop w:val="0"/>
                                                                                      <w:marBottom w:val="0"/>
                                                                                      <w:divBdr>
                                                                                        <w:top w:val="none" w:sz="0" w:space="0" w:color="auto"/>
                                                                                        <w:left w:val="none" w:sz="0" w:space="0" w:color="auto"/>
                                                                                        <w:bottom w:val="none" w:sz="0" w:space="0" w:color="auto"/>
                                                                                        <w:right w:val="none" w:sz="0" w:space="0" w:color="auto"/>
                                                                                      </w:divBdr>
                                                                                      <w:divsChild>
                                                                                        <w:div w:id="7917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7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7553">
      <w:marLeft w:val="0"/>
      <w:marRight w:val="0"/>
      <w:marTop w:val="0"/>
      <w:marBottom w:val="0"/>
      <w:divBdr>
        <w:top w:val="none" w:sz="0" w:space="0" w:color="auto"/>
        <w:left w:val="none" w:sz="0" w:space="0" w:color="auto"/>
        <w:bottom w:val="none" w:sz="0" w:space="0" w:color="auto"/>
        <w:right w:val="none" w:sz="0" w:space="0" w:color="auto"/>
      </w:divBdr>
      <w:divsChild>
        <w:div w:id="791707512">
          <w:marLeft w:val="0"/>
          <w:marRight w:val="0"/>
          <w:marTop w:val="0"/>
          <w:marBottom w:val="0"/>
          <w:divBdr>
            <w:top w:val="none" w:sz="0" w:space="0" w:color="auto"/>
            <w:left w:val="none" w:sz="0" w:space="0" w:color="auto"/>
            <w:bottom w:val="none" w:sz="0" w:space="0" w:color="auto"/>
            <w:right w:val="none" w:sz="0" w:space="0" w:color="auto"/>
          </w:divBdr>
        </w:div>
      </w:divsChild>
    </w:div>
    <w:div w:id="791707558">
      <w:marLeft w:val="0"/>
      <w:marRight w:val="0"/>
      <w:marTop w:val="0"/>
      <w:marBottom w:val="0"/>
      <w:divBdr>
        <w:top w:val="none" w:sz="0" w:space="0" w:color="auto"/>
        <w:left w:val="none" w:sz="0" w:space="0" w:color="auto"/>
        <w:bottom w:val="none" w:sz="0" w:space="0" w:color="auto"/>
        <w:right w:val="none" w:sz="0" w:space="0" w:color="auto"/>
      </w:divBdr>
      <w:divsChild>
        <w:div w:id="791707608">
          <w:marLeft w:val="0"/>
          <w:marRight w:val="0"/>
          <w:marTop w:val="0"/>
          <w:marBottom w:val="0"/>
          <w:divBdr>
            <w:top w:val="none" w:sz="0" w:space="0" w:color="auto"/>
            <w:left w:val="none" w:sz="0" w:space="0" w:color="auto"/>
            <w:bottom w:val="none" w:sz="0" w:space="0" w:color="auto"/>
            <w:right w:val="none" w:sz="0" w:space="0" w:color="auto"/>
          </w:divBdr>
        </w:div>
      </w:divsChild>
    </w:div>
    <w:div w:id="791707559">
      <w:marLeft w:val="0"/>
      <w:marRight w:val="0"/>
      <w:marTop w:val="0"/>
      <w:marBottom w:val="0"/>
      <w:divBdr>
        <w:top w:val="none" w:sz="0" w:space="0" w:color="auto"/>
        <w:left w:val="none" w:sz="0" w:space="0" w:color="auto"/>
        <w:bottom w:val="none" w:sz="0" w:space="0" w:color="auto"/>
        <w:right w:val="none" w:sz="0" w:space="0" w:color="auto"/>
      </w:divBdr>
    </w:div>
    <w:div w:id="791707576">
      <w:marLeft w:val="0"/>
      <w:marRight w:val="0"/>
      <w:marTop w:val="0"/>
      <w:marBottom w:val="0"/>
      <w:divBdr>
        <w:top w:val="none" w:sz="0" w:space="0" w:color="auto"/>
        <w:left w:val="none" w:sz="0" w:space="0" w:color="auto"/>
        <w:bottom w:val="none" w:sz="0" w:space="0" w:color="auto"/>
        <w:right w:val="none" w:sz="0" w:space="0" w:color="auto"/>
      </w:divBdr>
    </w:div>
    <w:div w:id="791707581">
      <w:marLeft w:val="0"/>
      <w:marRight w:val="0"/>
      <w:marTop w:val="0"/>
      <w:marBottom w:val="0"/>
      <w:divBdr>
        <w:top w:val="none" w:sz="0" w:space="0" w:color="auto"/>
        <w:left w:val="none" w:sz="0" w:space="0" w:color="auto"/>
        <w:bottom w:val="none" w:sz="0" w:space="0" w:color="auto"/>
        <w:right w:val="none" w:sz="0" w:space="0" w:color="auto"/>
      </w:divBdr>
    </w:div>
    <w:div w:id="791707582">
      <w:marLeft w:val="0"/>
      <w:marRight w:val="0"/>
      <w:marTop w:val="0"/>
      <w:marBottom w:val="0"/>
      <w:divBdr>
        <w:top w:val="none" w:sz="0" w:space="0" w:color="auto"/>
        <w:left w:val="none" w:sz="0" w:space="0" w:color="auto"/>
        <w:bottom w:val="none" w:sz="0" w:space="0" w:color="auto"/>
        <w:right w:val="none" w:sz="0" w:space="0" w:color="auto"/>
      </w:divBdr>
    </w:div>
    <w:div w:id="791707584">
      <w:marLeft w:val="0"/>
      <w:marRight w:val="0"/>
      <w:marTop w:val="0"/>
      <w:marBottom w:val="0"/>
      <w:divBdr>
        <w:top w:val="none" w:sz="0" w:space="0" w:color="auto"/>
        <w:left w:val="none" w:sz="0" w:space="0" w:color="auto"/>
        <w:bottom w:val="none" w:sz="0" w:space="0" w:color="auto"/>
        <w:right w:val="none" w:sz="0" w:space="0" w:color="auto"/>
      </w:divBdr>
    </w:div>
    <w:div w:id="791707588">
      <w:marLeft w:val="0"/>
      <w:marRight w:val="0"/>
      <w:marTop w:val="0"/>
      <w:marBottom w:val="0"/>
      <w:divBdr>
        <w:top w:val="none" w:sz="0" w:space="0" w:color="auto"/>
        <w:left w:val="none" w:sz="0" w:space="0" w:color="auto"/>
        <w:bottom w:val="none" w:sz="0" w:space="0" w:color="auto"/>
        <w:right w:val="none" w:sz="0" w:space="0" w:color="auto"/>
      </w:divBdr>
    </w:div>
    <w:div w:id="791707596">
      <w:marLeft w:val="0"/>
      <w:marRight w:val="0"/>
      <w:marTop w:val="0"/>
      <w:marBottom w:val="0"/>
      <w:divBdr>
        <w:top w:val="none" w:sz="0" w:space="0" w:color="auto"/>
        <w:left w:val="none" w:sz="0" w:space="0" w:color="auto"/>
        <w:bottom w:val="none" w:sz="0" w:space="0" w:color="auto"/>
        <w:right w:val="none" w:sz="0" w:space="0" w:color="auto"/>
      </w:divBdr>
      <w:divsChild>
        <w:div w:id="791707551">
          <w:marLeft w:val="0"/>
          <w:marRight w:val="0"/>
          <w:marTop w:val="0"/>
          <w:marBottom w:val="0"/>
          <w:divBdr>
            <w:top w:val="none" w:sz="0" w:space="0" w:color="auto"/>
            <w:left w:val="none" w:sz="0" w:space="0" w:color="auto"/>
            <w:bottom w:val="none" w:sz="0" w:space="0" w:color="auto"/>
            <w:right w:val="none" w:sz="0" w:space="0" w:color="auto"/>
          </w:divBdr>
          <w:divsChild>
            <w:div w:id="791707457">
              <w:marLeft w:val="0"/>
              <w:marRight w:val="0"/>
              <w:marTop w:val="0"/>
              <w:marBottom w:val="0"/>
              <w:divBdr>
                <w:top w:val="none" w:sz="0" w:space="0" w:color="auto"/>
                <w:left w:val="none" w:sz="0" w:space="0" w:color="auto"/>
                <w:bottom w:val="none" w:sz="0" w:space="0" w:color="auto"/>
                <w:right w:val="none" w:sz="0" w:space="0" w:color="auto"/>
              </w:divBdr>
              <w:divsChild>
                <w:div w:id="791707539">
                  <w:marLeft w:val="0"/>
                  <w:marRight w:val="0"/>
                  <w:marTop w:val="0"/>
                  <w:marBottom w:val="0"/>
                  <w:divBdr>
                    <w:top w:val="none" w:sz="0" w:space="0" w:color="auto"/>
                    <w:left w:val="none" w:sz="0" w:space="0" w:color="auto"/>
                    <w:bottom w:val="none" w:sz="0" w:space="0" w:color="auto"/>
                    <w:right w:val="none" w:sz="0" w:space="0" w:color="auto"/>
                  </w:divBdr>
                  <w:divsChild>
                    <w:div w:id="791707515">
                      <w:marLeft w:val="0"/>
                      <w:marRight w:val="0"/>
                      <w:marTop w:val="0"/>
                      <w:marBottom w:val="0"/>
                      <w:divBdr>
                        <w:top w:val="none" w:sz="0" w:space="0" w:color="auto"/>
                        <w:left w:val="none" w:sz="0" w:space="0" w:color="auto"/>
                        <w:bottom w:val="none" w:sz="0" w:space="0" w:color="auto"/>
                        <w:right w:val="none" w:sz="0" w:space="0" w:color="auto"/>
                      </w:divBdr>
                      <w:divsChild>
                        <w:div w:id="791707574">
                          <w:marLeft w:val="0"/>
                          <w:marRight w:val="0"/>
                          <w:marTop w:val="0"/>
                          <w:marBottom w:val="0"/>
                          <w:divBdr>
                            <w:top w:val="none" w:sz="0" w:space="0" w:color="auto"/>
                            <w:left w:val="none" w:sz="0" w:space="0" w:color="auto"/>
                            <w:bottom w:val="none" w:sz="0" w:space="0" w:color="auto"/>
                            <w:right w:val="none" w:sz="0" w:space="0" w:color="auto"/>
                          </w:divBdr>
                          <w:divsChild>
                            <w:div w:id="791707583">
                              <w:marLeft w:val="0"/>
                              <w:marRight w:val="0"/>
                              <w:marTop w:val="0"/>
                              <w:marBottom w:val="0"/>
                              <w:divBdr>
                                <w:top w:val="none" w:sz="0" w:space="0" w:color="auto"/>
                                <w:left w:val="none" w:sz="0" w:space="0" w:color="auto"/>
                                <w:bottom w:val="none" w:sz="0" w:space="0" w:color="auto"/>
                                <w:right w:val="none" w:sz="0" w:space="0" w:color="auto"/>
                              </w:divBdr>
                              <w:divsChild>
                                <w:div w:id="791707454">
                                  <w:marLeft w:val="0"/>
                                  <w:marRight w:val="0"/>
                                  <w:marTop w:val="0"/>
                                  <w:marBottom w:val="0"/>
                                  <w:divBdr>
                                    <w:top w:val="none" w:sz="0" w:space="0" w:color="auto"/>
                                    <w:left w:val="none" w:sz="0" w:space="0" w:color="auto"/>
                                    <w:bottom w:val="none" w:sz="0" w:space="0" w:color="auto"/>
                                    <w:right w:val="none" w:sz="0" w:space="0" w:color="auto"/>
                                  </w:divBdr>
                                  <w:divsChild>
                                    <w:div w:id="791707602">
                                      <w:marLeft w:val="0"/>
                                      <w:marRight w:val="0"/>
                                      <w:marTop w:val="0"/>
                                      <w:marBottom w:val="0"/>
                                      <w:divBdr>
                                        <w:top w:val="none" w:sz="0" w:space="0" w:color="auto"/>
                                        <w:left w:val="none" w:sz="0" w:space="0" w:color="auto"/>
                                        <w:bottom w:val="none" w:sz="0" w:space="0" w:color="auto"/>
                                        <w:right w:val="none" w:sz="0" w:space="0" w:color="auto"/>
                                      </w:divBdr>
                                      <w:divsChild>
                                        <w:div w:id="791707560">
                                          <w:marLeft w:val="0"/>
                                          <w:marRight w:val="0"/>
                                          <w:marTop w:val="0"/>
                                          <w:marBottom w:val="0"/>
                                          <w:divBdr>
                                            <w:top w:val="none" w:sz="0" w:space="0" w:color="auto"/>
                                            <w:left w:val="none" w:sz="0" w:space="0" w:color="auto"/>
                                            <w:bottom w:val="none" w:sz="0" w:space="0" w:color="auto"/>
                                            <w:right w:val="none" w:sz="0" w:space="0" w:color="auto"/>
                                          </w:divBdr>
                                          <w:divsChild>
                                            <w:div w:id="791707500">
                                              <w:marLeft w:val="0"/>
                                              <w:marRight w:val="0"/>
                                              <w:marTop w:val="0"/>
                                              <w:marBottom w:val="0"/>
                                              <w:divBdr>
                                                <w:top w:val="none" w:sz="0" w:space="0" w:color="auto"/>
                                                <w:left w:val="none" w:sz="0" w:space="0" w:color="auto"/>
                                                <w:bottom w:val="none" w:sz="0" w:space="0" w:color="auto"/>
                                                <w:right w:val="none" w:sz="0" w:space="0" w:color="auto"/>
                                              </w:divBdr>
                                              <w:divsChild>
                                                <w:div w:id="791707489">
                                                  <w:marLeft w:val="0"/>
                                                  <w:marRight w:val="0"/>
                                                  <w:marTop w:val="0"/>
                                                  <w:marBottom w:val="0"/>
                                                  <w:divBdr>
                                                    <w:top w:val="none" w:sz="0" w:space="0" w:color="auto"/>
                                                    <w:left w:val="none" w:sz="0" w:space="0" w:color="auto"/>
                                                    <w:bottom w:val="none" w:sz="0" w:space="0" w:color="auto"/>
                                                    <w:right w:val="none" w:sz="0" w:space="0" w:color="auto"/>
                                                  </w:divBdr>
                                                  <w:divsChild>
                                                    <w:div w:id="791707590">
                                                      <w:marLeft w:val="0"/>
                                                      <w:marRight w:val="0"/>
                                                      <w:marTop w:val="0"/>
                                                      <w:marBottom w:val="0"/>
                                                      <w:divBdr>
                                                        <w:top w:val="none" w:sz="0" w:space="0" w:color="auto"/>
                                                        <w:left w:val="none" w:sz="0" w:space="0" w:color="auto"/>
                                                        <w:bottom w:val="none" w:sz="0" w:space="0" w:color="auto"/>
                                                        <w:right w:val="none" w:sz="0" w:space="0" w:color="auto"/>
                                                      </w:divBdr>
                                                      <w:divsChild>
                                                        <w:div w:id="791707626">
                                                          <w:marLeft w:val="0"/>
                                                          <w:marRight w:val="0"/>
                                                          <w:marTop w:val="0"/>
                                                          <w:marBottom w:val="0"/>
                                                          <w:divBdr>
                                                            <w:top w:val="none" w:sz="0" w:space="0" w:color="auto"/>
                                                            <w:left w:val="none" w:sz="0" w:space="0" w:color="auto"/>
                                                            <w:bottom w:val="none" w:sz="0" w:space="0" w:color="auto"/>
                                                            <w:right w:val="none" w:sz="0" w:space="0" w:color="auto"/>
                                                          </w:divBdr>
                                                          <w:divsChild>
                                                            <w:div w:id="791707516">
                                                              <w:marLeft w:val="0"/>
                                                              <w:marRight w:val="0"/>
                                                              <w:marTop w:val="0"/>
                                                              <w:marBottom w:val="0"/>
                                                              <w:divBdr>
                                                                <w:top w:val="none" w:sz="0" w:space="0" w:color="auto"/>
                                                                <w:left w:val="none" w:sz="0" w:space="0" w:color="auto"/>
                                                                <w:bottom w:val="none" w:sz="0" w:space="0" w:color="auto"/>
                                                                <w:right w:val="none" w:sz="0" w:space="0" w:color="auto"/>
                                                              </w:divBdr>
                                                              <w:divsChild>
                                                                <w:div w:id="791707491">
                                                                  <w:marLeft w:val="0"/>
                                                                  <w:marRight w:val="0"/>
                                                                  <w:marTop w:val="0"/>
                                                                  <w:marBottom w:val="0"/>
                                                                  <w:divBdr>
                                                                    <w:top w:val="none" w:sz="0" w:space="0" w:color="auto"/>
                                                                    <w:left w:val="none" w:sz="0" w:space="0" w:color="auto"/>
                                                                    <w:bottom w:val="none" w:sz="0" w:space="0" w:color="auto"/>
                                                                    <w:right w:val="none" w:sz="0" w:space="0" w:color="auto"/>
                                                                  </w:divBdr>
                                                                  <w:divsChild>
                                                                    <w:div w:id="791707493">
                                                                      <w:marLeft w:val="0"/>
                                                                      <w:marRight w:val="0"/>
                                                                      <w:marTop w:val="0"/>
                                                                      <w:marBottom w:val="0"/>
                                                                      <w:divBdr>
                                                                        <w:top w:val="none" w:sz="0" w:space="0" w:color="auto"/>
                                                                        <w:left w:val="none" w:sz="0" w:space="0" w:color="auto"/>
                                                                        <w:bottom w:val="none" w:sz="0" w:space="0" w:color="auto"/>
                                                                        <w:right w:val="none" w:sz="0" w:space="0" w:color="auto"/>
                                                                      </w:divBdr>
                                                                      <w:divsChild>
                                                                        <w:div w:id="791707509">
                                                                          <w:marLeft w:val="0"/>
                                                                          <w:marRight w:val="0"/>
                                                                          <w:marTop w:val="0"/>
                                                                          <w:marBottom w:val="0"/>
                                                                          <w:divBdr>
                                                                            <w:top w:val="none" w:sz="0" w:space="0" w:color="auto"/>
                                                                            <w:left w:val="none" w:sz="0" w:space="0" w:color="auto"/>
                                                                            <w:bottom w:val="none" w:sz="0" w:space="0" w:color="auto"/>
                                                                            <w:right w:val="none" w:sz="0" w:space="0" w:color="auto"/>
                                                                          </w:divBdr>
                                                                          <w:divsChild>
                                                                            <w:div w:id="791707541">
                                                                              <w:marLeft w:val="0"/>
                                                                              <w:marRight w:val="0"/>
                                                                              <w:marTop w:val="0"/>
                                                                              <w:marBottom w:val="0"/>
                                                                              <w:divBdr>
                                                                                <w:top w:val="none" w:sz="0" w:space="0" w:color="auto"/>
                                                                                <w:left w:val="none" w:sz="0" w:space="0" w:color="auto"/>
                                                                                <w:bottom w:val="none" w:sz="0" w:space="0" w:color="auto"/>
                                                                                <w:right w:val="none" w:sz="0" w:space="0" w:color="auto"/>
                                                                              </w:divBdr>
                                                                              <w:divsChild>
                                                                                <w:div w:id="791707567">
                                                                                  <w:marLeft w:val="0"/>
                                                                                  <w:marRight w:val="0"/>
                                                                                  <w:marTop w:val="0"/>
                                                                                  <w:marBottom w:val="0"/>
                                                                                  <w:divBdr>
                                                                                    <w:top w:val="none" w:sz="0" w:space="0" w:color="auto"/>
                                                                                    <w:left w:val="none" w:sz="0" w:space="0" w:color="auto"/>
                                                                                    <w:bottom w:val="none" w:sz="0" w:space="0" w:color="auto"/>
                                                                                    <w:right w:val="none" w:sz="0" w:space="0" w:color="auto"/>
                                                                                  </w:divBdr>
                                                                                  <w:divsChild>
                                                                                    <w:div w:id="791707565">
                                                                                      <w:marLeft w:val="0"/>
                                                                                      <w:marRight w:val="0"/>
                                                                                      <w:marTop w:val="0"/>
                                                                                      <w:marBottom w:val="0"/>
                                                                                      <w:divBdr>
                                                                                        <w:top w:val="none" w:sz="0" w:space="0" w:color="auto"/>
                                                                                        <w:left w:val="none" w:sz="0" w:space="0" w:color="auto"/>
                                                                                        <w:bottom w:val="none" w:sz="0" w:space="0" w:color="auto"/>
                                                                                        <w:right w:val="none" w:sz="0" w:space="0" w:color="auto"/>
                                                                                      </w:divBdr>
                                                                                      <w:divsChild>
                                                                                        <w:div w:id="791707507">
                                                                                          <w:marLeft w:val="0"/>
                                                                                          <w:marRight w:val="0"/>
                                                                                          <w:marTop w:val="0"/>
                                                                                          <w:marBottom w:val="0"/>
                                                                                          <w:divBdr>
                                                                                            <w:top w:val="none" w:sz="0" w:space="0" w:color="auto"/>
                                                                                            <w:left w:val="none" w:sz="0" w:space="0" w:color="auto"/>
                                                                                            <w:bottom w:val="none" w:sz="0" w:space="0" w:color="auto"/>
                                                                                            <w:right w:val="none" w:sz="0" w:space="0" w:color="auto"/>
                                                                                          </w:divBdr>
                                                                                          <w:divsChild>
                                                                                            <w:div w:id="791707530">
                                                                                              <w:marLeft w:val="0"/>
                                                                                              <w:marRight w:val="0"/>
                                                                                              <w:marTop w:val="0"/>
                                                                                              <w:marBottom w:val="0"/>
                                                                                              <w:divBdr>
                                                                                                <w:top w:val="none" w:sz="0" w:space="0" w:color="auto"/>
                                                                                                <w:left w:val="none" w:sz="0" w:space="0" w:color="auto"/>
                                                                                                <w:bottom w:val="none" w:sz="0" w:space="0" w:color="auto"/>
                                                                                                <w:right w:val="none" w:sz="0" w:space="0" w:color="auto"/>
                                                                                              </w:divBdr>
                                                                                              <w:divsChild>
                                                                                                <w:div w:id="791707617">
                                                                                                  <w:marLeft w:val="0"/>
                                                                                                  <w:marRight w:val="0"/>
                                                                                                  <w:marTop w:val="0"/>
                                                                                                  <w:marBottom w:val="0"/>
                                                                                                  <w:divBdr>
                                                                                                    <w:top w:val="none" w:sz="0" w:space="0" w:color="auto"/>
                                                                                                    <w:left w:val="none" w:sz="0" w:space="0" w:color="auto"/>
                                                                                                    <w:bottom w:val="none" w:sz="0" w:space="0" w:color="auto"/>
                                                                                                    <w:right w:val="none" w:sz="0" w:space="0" w:color="auto"/>
                                                                                                  </w:divBdr>
                                                                                                  <w:divsChild>
                                                                                                    <w:div w:id="791707614">
                                                                                                      <w:marLeft w:val="0"/>
                                                                                                      <w:marRight w:val="0"/>
                                                                                                      <w:marTop w:val="0"/>
                                                                                                      <w:marBottom w:val="0"/>
                                                                                                      <w:divBdr>
                                                                                                        <w:top w:val="none" w:sz="0" w:space="0" w:color="auto"/>
                                                                                                        <w:left w:val="none" w:sz="0" w:space="0" w:color="auto"/>
                                                                                                        <w:bottom w:val="none" w:sz="0" w:space="0" w:color="auto"/>
                                                                                                        <w:right w:val="none" w:sz="0" w:space="0" w:color="auto"/>
                                                                                                      </w:divBdr>
                                                                                                      <w:divsChild>
                                                                                                        <w:div w:id="791707585">
                                                                                                          <w:marLeft w:val="0"/>
                                                                                                          <w:marRight w:val="0"/>
                                                                                                          <w:marTop w:val="0"/>
                                                                                                          <w:marBottom w:val="0"/>
                                                                                                          <w:divBdr>
                                                                                                            <w:top w:val="none" w:sz="0" w:space="0" w:color="auto"/>
                                                                                                            <w:left w:val="none" w:sz="0" w:space="0" w:color="auto"/>
                                                                                                            <w:bottom w:val="none" w:sz="0" w:space="0" w:color="auto"/>
                                                                                                            <w:right w:val="none" w:sz="0" w:space="0" w:color="auto"/>
                                                                                                          </w:divBdr>
                                                                                                          <w:divsChild>
                                                                                                            <w:div w:id="791707601">
                                                                                                              <w:marLeft w:val="0"/>
                                                                                                              <w:marRight w:val="0"/>
                                                                                                              <w:marTop w:val="0"/>
                                                                                                              <w:marBottom w:val="0"/>
                                                                                                              <w:divBdr>
                                                                                                                <w:top w:val="none" w:sz="0" w:space="0" w:color="auto"/>
                                                                                                                <w:left w:val="none" w:sz="0" w:space="0" w:color="auto"/>
                                                                                                                <w:bottom w:val="none" w:sz="0" w:space="0" w:color="auto"/>
                                                                                                                <w:right w:val="none" w:sz="0" w:space="0" w:color="auto"/>
                                                                                                              </w:divBdr>
                                                                                                              <w:divsChild>
                                                                                                                <w:div w:id="791707514">
                                                                                                                  <w:marLeft w:val="0"/>
                                                                                                                  <w:marRight w:val="0"/>
                                                                                                                  <w:marTop w:val="0"/>
                                                                                                                  <w:marBottom w:val="0"/>
                                                                                                                  <w:divBdr>
                                                                                                                    <w:top w:val="none" w:sz="0" w:space="0" w:color="auto"/>
                                                                                                                    <w:left w:val="none" w:sz="0" w:space="0" w:color="auto"/>
                                                                                                                    <w:bottom w:val="none" w:sz="0" w:space="0" w:color="auto"/>
                                                                                                                    <w:right w:val="none" w:sz="0" w:space="0" w:color="auto"/>
                                                                                                                  </w:divBdr>
                                                                                                                  <w:divsChild>
                                                                                                                    <w:div w:id="791707496">
                                                                                                                      <w:marLeft w:val="0"/>
                                                                                                                      <w:marRight w:val="0"/>
                                                                                                                      <w:marTop w:val="0"/>
                                                                                                                      <w:marBottom w:val="0"/>
                                                                                                                      <w:divBdr>
                                                                                                                        <w:top w:val="none" w:sz="0" w:space="0" w:color="auto"/>
                                                                                                                        <w:left w:val="none" w:sz="0" w:space="0" w:color="auto"/>
                                                                                                                        <w:bottom w:val="none" w:sz="0" w:space="0" w:color="auto"/>
                                                                                                                        <w:right w:val="none" w:sz="0" w:space="0" w:color="auto"/>
                                                                                                                      </w:divBdr>
                                                                                                                      <w:divsChild>
                                                                                                                        <w:div w:id="791707607">
                                                                                                                          <w:marLeft w:val="0"/>
                                                                                                                          <w:marRight w:val="0"/>
                                                                                                                          <w:marTop w:val="0"/>
                                                                                                                          <w:marBottom w:val="0"/>
                                                                                                                          <w:divBdr>
                                                                                                                            <w:top w:val="none" w:sz="0" w:space="0" w:color="auto"/>
                                                                                                                            <w:left w:val="none" w:sz="0" w:space="0" w:color="auto"/>
                                                                                                                            <w:bottom w:val="none" w:sz="0" w:space="0" w:color="auto"/>
                                                                                                                            <w:right w:val="none" w:sz="0" w:space="0" w:color="auto"/>
                                                                                                                          </w:divBdr>
                                                                                                                          <w:divsChild>
                                                                                                                            <w:div w:id="791707629">
                                                                                                                              <w:marLeft w:val="0"/>
                                                                                                                              <w:marRight w:val="0"/>
                                                                                                                              <w:marTop w:val="0"/>
                                                                                                                              <w:marBottom w:val="0"/>
                                                                                                                              <w:divBdr>
                                                                                                                                <w:top w:val="none" w:sz="0" w:space="0" w:color="auto"/>
                                                                                                                                <w:left w:val="none" w:sz="0" w:space="0" w:color="auto"/>
                                                                                                                                <w:bottom w:val="none" w:sz="0" w:space="0" w:color="auto"/>
                                                                                                                                <w:right w:val="none" w:sz="0" w:space="0" w:color="auto"/>
                                                                                                                              </w:divBdr>
                                                                                                                              <w:divsChild>
                                                                                                                                <w:div w:id="791707600">
                                                                                                                                  <w:marLeft w:val="0"/>
                                                                                                                                  <w:marRight w:val="0"/>
                                                                                                                                  <w:marTop w:val="0"/>
                                                                                                                                  <w:marBottom w:val="0"/>
                                                                                                                                  <w:divBdr>
                                                                                                                                    <w:top w:val="none" w:sz="0" w:space="0" w:color="auto"/>
                                                                                                                                    <w:left w:val="none" w:sz="0" w:space="0" w:color="auto"/>
                                                                                                                                    <w:bottom w:val="none" w:sz="0" w:space="0" w:color="auto"/>
                                                                                                                                    <w:right w:val="none" w:sz="0" w:space="0" w:color="auto"/>
                                                                                                                                  </w:divBdr>
                                                                                                                                  <w:divsChild>
                                                                                                                                    <w:div w:id="791707505">
                                                                                                                                      <w:marLeft w:val="0"/>
                                                                                                                                      <w:marRight w:val="0"/>
                                                                                                                                      <w:marTop w:val="0"/>
                                                                                                                                      <w:marBottom w:val="0"/>
                                                                                                                                      <w:divBdr>
                                                                                                                                        <w:top w:val="none" w:sz="0" w:space="0" w:color="auto"/>
                                                                                                                                        <w:left w:val="none" w:sz="0" w:space="0" w:color="auto"/>
                                                                                                                                        <w:bottom w:val="none" w:sz="0" w:space="0" w:color="auto"/>
                                                                                                                                        <w:right w:val="none" w:sz="0" w:space="0" w:color="auto"/>
                                                                                                                                      </w:divBdr>
                                                                                                                                      <w:divsChild>
                                                                                                                                        <w:div w:id="791707513">
                                                                                                                                          <w:marLeft w:val="0"/>
                                                                                                                                          <w:marRight w:val="0"/>
                                                                                                                                          <w:marTop w:val="0"/>
                                                                                                                                          <w:marBottom w:val="0"/>
                                                                                                                                          <w:divBdr>
                                                                                                                                            <w:top w:val="none" w:sz="0" w:space="0" w:color="auto"/>
                                                                                                                                            <w:left w:val="none" w:sz="0" w:space="0" w:color="auto"/>
                                                                                                                                            <w:bottom w:val="none" w:sz="0" w:space="0" w:color="auto"/>
                                                                                                                                            <w:right w:val="none" w:sz="0" w:space="0" w:color="auto"/>
                                                                                                                                          </w:divBdr>
                                                                                                                                          <w:divsChild>
                                                                                                                                            <w:div w:id="791707524">
                                                                                                                                              <w:marLeft w:val="0"/>
                                                                                                                                              <w:marRight w:val="0"/>
                                                                                                                                              <w:marTop w:val="0"/>
                                                                                                                                              <w:marBottom w:val="0"/>
                                                                                                                                              <w:divBdr>
                                                                                                                                                <w:top w:val="none" w:sz="0" w:space="0" w:color="auto"/>
                                                                                                                                                <w:left w:val="none" w:sz="0" w:space="0" w:color="auto"/>
                                                                                                                                                <w:bottom w:val="none" w:sz="0" w:space="0" w:color="auto"/>
                                                                                                                                                <w:right w:val="none" w:sz="0" w:space="0" w:color="auto"/>
                                                                                                                                              </w:divBdr>
                                                                                                                                              <w:divsChild>
                                                                                                                                                <w:div w:id="791707586">
                                                                                                                                                  <w:marLeft w:val="0"/>
                                                                                                                                                  <w:marRight w:val="0"/>
                                                                                                                                                  <w:marTop w:val="0"/>
                                                                                                                                                  <w:marBottom w:val="0"/>
                                                                                                                                                  <w:divBdr>
                                                                                                                                                    <w:top w:val="none" w:sz="0" w:space="0" w:color="auto"/>
                                                                                                                                                    <w:left w:val="none" w:sz="0" w:space="0" w:color="auto"/>
                                                                                                                                                    <w:bottom w:val="none" w:sz="0" w:space="0" w:color="auto"/>
                                                                                                                                                    <w:right w:val="none" w:sz="0" w:space="0" w:color="auto"/>
                                                                                                                                                  </w:divBdr>
                                                                                                                                                  <w:divsChild>
                                                                                                                                                    <w:div w:id="791707580">
                                                                                                                                                      <w:marLeft w:val="0"/>
                                                                                                                                                      <w:marRight w:val="0"/>
                                                                                                                                                      <w:marTop w:val="0"/>
                                                                                                                                                      <w:marBottom w:val="0"/>
                                                                                                                                                      <w:divBdr>
                                                                                                                                                        <w:top w:val="none" w:sz="0" w:space="0" w:color="auto"/>
                                                                                                                                                        <w:left w:val="none" w:sz="0" w:space="0" w:color="auto"/>
                                                                                                                                                        <w:bottom w:val="none" w:sz="0" w:space="0" w:color="auto"/>
                                                                                                                                                        <w:right w:val="none" w:sz="0" w:space="0" w:color="auto"/>
                                                                                                                                                      </w:divBdr>
                                                                                                                                                      <w:divsChild>
                                                                                                                                                        <w:div w:id="791707518">
                                                                                                                                                          <w:marLeft w:val="0"/>
                                                                                                                                                          <w:marRight w:val="0"/>
                                                                                                                                                          <w:marTop w:val="0"/>
                                                                                                                                                          <w:marBottom w:val="0"/>
                                                                                                                                                          <w:divBdr>
                                                                                                                                                            <w:top w:val="none" w:sz="0" w:space="0" w:color="auto"/>
                                                                                                                                                            <w:left w:val="none" w:sz="0" w:space="0" w:color="auto"/>
                                                                                                                                                            <w:bottom w:val="none" w:sz="0" w:space="0" w:color="auto"/>
                                                                                                                                                            <w:right w:val="none" w:sz="0" w:space="0" w:color="auto"/>
                                                                                                                                                          </w:divBdr>
                                                                                                                                                          <w:divsChild>
                                                                                                                                                            <w:div w:id="791707546">
                                                                                                                                                              <w:marLeft w:val="0"/>
                                                                                                                                                              <w:marRight w:val="0"/>
                                                                                                                                                              <w:marTop w:val="0"/>
                                                                                                                                                              <w:marBottom w:val="0"/>
                                                                                                                                                              <w:divBdr>
                                                                                                                                                                <w:top w:val="none" w:sz="0" w:space="0" w:color="auto"/>
                                                                                                                                                                <w:left w:val="none" w:sz="0" w:space="0" w:color="auto"/>
                                                                                                                                                                <w:bottom w:val="none" w:sz="0" w:space="0" w:color="auto"/>
                                                                                                                                                                <w:right w:val="none" w:sz="0" w:space="0" w:color="auto"/>
                                                                                                                                                              </w:divBdr>
                                                                                                                                                              <w:divsChild>
                                                                                                                                                                <w:div w:id="791707578">
                                                                                                                                                                  <w:marLeft w:val="0"/>
                                                                                                                                                                  <w:marRight w:val="0"/>
                                                                                                                                                                  <w:marTop w:val="0"/>
                                                                                                                                                                  <w:marBottom w:val="0"/>
                                                                                                                                                                  <w:divBdr>
                                                                                                                                                                    <w:top w:val="none" w:sz="0" w:space="0" w:color="auto"/>
                                                                                                                                                                    <w:left w:val="none" w:sz="0" w:space="0" w:color="auto"/>
                                                                                                                                                                    <w:bottom w:val="none" w:sz="0" w:space="0" w:color="auto"/>
                                                                                                                                                                    <w:right w:val="none" w:sz="0" w:space="0" w:color="auto"/>
                                                                                                                                                                  </w:divBdr>
                                                                                                                                                                  <w:divsChild>
                                                                                                                                                                    <w:div w:id="791707627">
                                                                                                                                                                      <w:marLeft w:val="0"/>
                                                                                                                                                                      <w:marRight w:val="0"/>
                                                                                                                                                                      <w:marTop w:val="0"/>
                                                                                                                                                                      <w:marBottom w:val="0"/>
                                                                                                                                                                      <w:divBdr>
                                                                                                                                                                        <w:top w:val="none" w:sz="0" w:space="0" w:color="auto"/>
                                                                                                                                                                        <w:left w:val="none" w:sz="0" w:space="0" w:color="auto"/>
                                                                                                                                                                        <w:bottom w:val="none" w:sz="0" w:space="0" w:color="auto"/>
                                                                                                                                                                        <w:right w:val="none" w:sz="0" w:space="0" w:color="auto"/>
                                                                                                                                                                      </w:divBdr>
                                                                                                                                                                      <w:divsChild>
                                                                                                                                                                        <w:div w:id="791707573">
                                                                                                                                                                          <w:marLeft w:val="0"/>
                                                                                                                                                                          <w:marRight w:val="0"/>
                                                                                                                                                                          <w:marTop w:val="0"/>
                                                                                                                                                                          <w:marBottom w:val="0"/>
                                                                                                                                                                          <w:divBdr>
                                                                                                                                                                            <w:top w:val="none" w:sz="0" w:space="0" w:color="auto"/>
                                                                                                                                                                            <w:left w:val="none" w:sz="0" w:space="0" w:color="auto"/>
                                                                                                                                                                            <w:bottom w:val="none" w:sz="0" w:space="0" w:color="auto"/>
                                                                                                                                                                            <w:right w:val="none" w:sz="0" w:space="0" w:color="auto"/>
                                                                                                                                                                          </w:divBdr>
                                                                                                                                                                          <w:divsChild>
                                                                                                                                                                            <w:div w:id="791707593">
                                                                                                                                                                              <w:marLeft w:val="0"/>
                                                                                                                                                                              <w:marRight w:val="0"/>
                                                                                                                                                                              <w:marTop w:val="0"/>
                                                                                                                                                                              <w:marBottom w:val="0"/>
                                                                                                                                                                              <w:divBdr>
                                                                                                                                                                                <w:top w:val="none" w:sz="0" w:space="0" w:color="auto"/>
                                                                                                                                                                                <w:left w:val="none" w:sz="0" w:space="0" w:color="auto"/>
                                                                                                                                                                                <w:bottom w:val="none" w:sz="0" w:space="0" w:color="auto"/>
                                                                                                                                                                                <w:right w:val="none" w:sz="0" w:space="0" w:color="auto"/>
                                                                                                                                                                              </w:divBdr>
                                                                                                                                                                              <w:divsChild>
                                                                                                                                                                                <w:div w:id="791707613">
                                                                                                                                                                                  <w:marLeft w:val="0"/>
                                                                                                                                                                                  <w:marRight w:val="0"/>
                                                                                                                                                                                  <w:marTop w:val="0"/>
                                                                                                                                                                                  <w:marBottom w:val="0"/>
                                                                                                                                                                                  <w:divBdr>
                                                                                                                                                                                    <w:top w:val="none" w:sz="0" w:space="0" w:color="auto"/>
                                                                                                                                                                                    <w:left w:val="none" w:sz="0" w:space="0" w:color="auto"/>
                                                                                                                                                                                    <w:bottom w:val="none" w:sz="0" w:space="0" w:color="auto"/>
                                                                                                                                                                                    <w:right w:val="none" w:sz="0" w:space="0" w:color="auto"/>
                                                                                                                                                                                  </w:divBdr>
                                                                                                                                                                                  <w:divsChild>
                                                                                                                                                                                    <w:div w:id="791707577">
                                                                                                                                                                                      <w:marLeft w:val="0"/>
                                                                                                                                                                                      <w:marRight w:val="0"/>
                                                                                                                                                                                      <w:marTop w:val="0"/>
                                                                                                                                                                                      <w:marBottom w:val="0"/>
                                                                                                                                                                                      <w:divBdr>
                                                                                                                                                                                        <w:top w:val="none" w:sz="0" w:space="0" w:color="auto"/>
                                                                                                                                                                                        <w:left w:val="none" w:sz="0" w:space="0" w:color="auto"/>
                                                                                                                                                                                        <w:bottom w:val="none" w:sz="0" w:space="0" w:color="auto"/>
                                                                                                                                                                                        <w:right w:val="none" w:sz="0" w:space="0" w:color="auto"/>
                                                                                                                                                                                      </w:divBdr>
                                                                                                                                                                                      <w:divsChild>
                                                                                                                                                                                        <w:div w:id="791707497">
                                                                                                                                                                                          <w:marLeft w:val="0"/>
                                                                                                                                                                                          <w:marRight w:val="0"/>
                                                                                                                                                                                          <w:marTop w:val="0"/>
                                                                                                                                                                                          <w:marBottom w:val="0"/>
                                                                                                                                                                                          <w:divBdr>
                                                                                                                                                                                            <w:top w:val="none" w:sz="0" w:space="0" w:color="auto"/>
                                                                                                                                                                                            <w:left w:val="none" w:sz="0" w:space="0" w:color="auto"/>
                                                                                                                                                                                            <w:bottom w:val="none" w:sz="0" w:space="0" w:color="auto"/>
                                                                                                                                                                                            <w:right w:val="none" w:sz="0" w:space="0" w:color="auto"/>
                                                                                                                                                                                          </w:divBdr>
                                                                                                                                                                                          <w:divsChild>
                                                                                                                                                                                            <w:div w:id="791707579">
                                                                                                                                                                                              <w:marLeft w:val="0"/>
                                                                                                                                                                                              <w:marRight w:val="0"/>
                                                                                                                                                                                              <w:marTop w:val="0"/>
                                                                                                                                                                                              <w:marBottom w:val="0"/>
                                                                                                                                                                                              <w:divBdr>
                                                                                                                                                                                                <w:top w:val="none" w:sz="0" w:space="0" w:color="auto"/>
                                                                                                                                                                                                <w:left w:val="none" w:sz="0" w:space="0" w:color="auto"/>
                                                                                                                                                                                                <w:bottom w:val="none" w:sz="0" w:space="0" w:color="auto"/>
                                                                                                                                                                                                <w:right w:val="none" w:sz="0" w:space="0" w:color="auto"/>
                                                                                                                                                                                              </w:divBdr>
                                                                                                                                                                                              <w:divsChild>
                                                                                                                                                                                                <w:div w:id="791707523">
                                                                                                                                                                                                  <w:marLeft w:val="0"/>
                                                                                                                                                                                                  <w:marRight w:val="0"/>
                                                                                                                                                                                                  <w:marTop w:val="0"/>
                                                                                                                                                                                                  <w:marBottom w:val="0"/>
                                                                                                                                                                                                  <w:divBdr>
                                                                                                                                                                                                    <w:top w:val="none" w:sz="0" w:space="0" w:color="auto"/>
                                                                                                                                                                                                    <w:left w:val="none" w:sz="0" w:space="0" w:color="auto"/>
                                                                                                                                                                                                    <w:bottom w:val="none" w:sz="0" w:space="0" w:color="auto"/>
                                                                                                                                                                                                    <w:right w:val="none" w:sz="0" w:space="0" w:color="auto"/>
                                                                                                                                                                                                  </w:divBdr>
                                                                                                                                                                                                  <w:divsChild>
                                                                                                                                                                                                    <w:div w:id="791707552">
                                                                                                                                                                                                      <w:marLeft w:val="0"/>
                                                                                                                                                                                                      <w:marRight w:val="0"/>
                                                                                                                                                                                                      <w:marTop w:val="0"/>
                                                                                                                                                                                                      <w:marBottom w:val="0"/>
                                                                                                                                                                                                      <w:divBdr>
                                                                                                                                                                                                        <w:top w:val="none" w:sz="0" w:space="0" w:color="auto"/>
                                                                                                                                                                                                        <w:left w:val="none" w:sz="0" w:space="0" w:color="auto"/>
                                                                                                                                                                                                        <w:bottom w:val="none" w:sz="0" w:space="0" w:color="auto"/>
                                                                                                                                                                                                        <w:right w:val="none" w:sz="0" w:space="0" w:color="auto"/>
                                                                                                                                                                                                      </w:divBdr>
                                                                                                                                                                                                      <w:divsChild>
                                                                                                                                                                                                        <w:div w:id="791707531">
                                                                                                                                                                                                          <w:marLeft w:val="0"/>
                                                                                                                                                                                                          <w:marRight w:val="0"/>
                                                                                                                                                                                                          <w:marTop w:val="0"/>
                                                                                                                                                                                                          <w:marBottom w:val="0"/>
                                                                                                                                                                                                          <w:divBdr>
                                                                                                                                                                                                            <w:top w:val="none" w:sz="0" w:space="0" w:color="auto"/>
                                                                                                                                                                                                            <w:left w:val="none" w:sz="0" w:space="0" w:color="auto"/>
                                                                                                                                                                                                            <w:bottom w:val="none" w:sz="0" w:space="0" w:color="auto"/>
                                                                                                                                                                                                            <w:right w:val="none" w:sz="0" w:space="0" w:color="auto"/>
                                                                                                                                                                                                          </w:divBdr>
                                                                                                                                                                                                          <w:divsChild>
                                                                                                                                                                                                            <w:div w:id="791707526">
                                                                                                                                                                                                              <w:marLeft w:val="0"/>
                                                                                                                                                                                                              <w:marRight w:val="0"/>
                                                                                                                                                                                                              <w:marTop w:val="0"/>
                                                                                                                                                                                                              <w:marBottom w:val="0"/>
                                                                                                                                                                                                              <w:divBdr>
                                                                                                                                                                                                                <w:top w:val="none" w:sz="0" w:space="0" w:color="auto"/>
                                                                                                                                                                                                                <w:left w:val="none" w:sz="0" w:space="0" w:color="auto"/>
                                                                                                                                                                                                                <w:bottom w:val="none" w:sz="0" w:space="0" w:color="auto"/>
                                                                                                                                                                                                                <w:right w:val="none" w:sz="0" w:space="0" w:color="auto"/>
                                                                                                                                                                                                              </w:divBdr>
                                                                                                                                                                                                              <w:divsChild>
                                                                                                                                                                                                                <w:div w:id="791707620">
                                                                                                                                                                                                                  <w:marLeft w:val="0"/>
                                                                                                                                                                                                                  <w:marRight w:val="0"/>
                                                                                                                                                                                                                  <w:marTop w:val="0"/>
                                                                                                                                                                                                                  <w:marBottom w:val="0"/>
                                                                                                                                                                                                                  <w:divBdr>
                                                                                                                                                                                                                    <w:top w:val="none" w:sz="0" w:space="0" w:color="auto"/>
                                                                                                                                                                                                                    <w:left w:val="none" w:sz="0" w:space="0" w:color="auto"/>
                                                                                                                                                                                                                    <w:bottom w:val="none" w:sz="0" w:space="0" w:color="auto"/>
                                                                                                                                                                                                                    <w:right w:val="none" w:sz="0" w:space="0" w:color="auto"/>
                                                                                                                                                                                                                  </w:divBdr>
                                                                                                                                                                                                                  <w:divsChild>
                                                                                                                                                                                                                    <w:div w:id="791707594">
                                                                                                                                                                                                                      <w:marLeft w:val="0"/>
                                                                                                                                                                                                                      <w:marRight w:val="0"/>
                                                                                                                                                                                                                      <w:marTop w:val="0"/>
                                                                                                                                                                                                                      <w:marBottom w:val="0"/>
                                                                                                                                                                                                                      <w:divBdr>
                                                                                                                                                                                                                        <w:top w:val="none" w:sz="0" w:space="0" w:color="auto"/>
                                                                                                                                                                                                                        <w:left w:val="none" w:sz="0" w:space="0" w:color="auto"/>
                                                                                                                                                                                                                        <w:bottom w:val="none" w:sz="0" w:space="0" w:color="auto"/>
                                                                                                                                                                                                                        <w:right w:val="none" w:sz="0" w:space="0" w:color="auto"/>
                                                                                                                                                                                                                      </w:divBdr>
                                                                                                                                                                                                                      <w:divsChild>
                                                                                                                                                                                                                        <w:div w:id="791707528">
                                                                                                                                                                                                                          <w:marLeft w:val="0"/>
                                                                                                                                                                                                                          <w:marRight w:val="0"/>
                                                                                                                                                                                                                          <w:marTop w:val="0"/>
                                                                                                                                                                                                                          <w:marBottom w:val="0"/>
                                                                                                                                                                                                                          <w:divBdr>
                                                                                                                                                                                                                            <w:top w:val="none" w:sz="0" w:space="0" w:color="auto"/>
                                                                                                                                                                                                                            <w:left w:val="none" w:sz="0" w:space="0" w:color="auto"/>
                                                                                                                                                                                                                            <w:bottom w:val="none" w:sz="0" w:space="0" w:color="auto"/>
                                                                                                                                                                                                                            <w:right w:val="none" w:sz="0" w:space="0" w:color="auto"/>
                                                                                                                                                                                                                          </w:divBdr>
                                                                                                                                                                                                                          <w:divsChild>
                                                                                                                                                                                                                            <w:div w:id="791707575">
                                                                                                                                                                                                                              <w:marLeft w:val="0"/>
                                                                                                                                                                                                                              <w:marRight w:val="0"/>
                                                                                                                                                                                                                              <w:marTop w:val="0"/>
                                                                                                                                                                                                                              <w:marBottom w:val="0"/>
                                                                                                                                                                                                                              <w:divBdr>
                                                                                                                                                                                                                                <w:top w:val="none" w:sz="0" w:space="0" w:color="auto"/>
                                                                                                                                                                                                                                <w:left w:val="none" w:sz="0" w:space="0" w:color="auto"/>
                                                                                                                                                                                                                                <w:bottom w:val="none" w:sz="0" w:space="0" w:color="auto"/>
                                                                                                                                                                                                                                <w:right w:val="none" w:sz="0" w:space="0" w:color="auto"/>
                                                                                                                                                                                                                              </w:divBdr>
                                                                                                                                                                                                                              <w:divsChild>
                                                                                                                                                                                                                                <w:div w:id="791707544">
                                                                                                                                                                                                                                  <w:marLeft w:val="0"/>
                                                                                                                                                                                                                                  <w:marRight w:val="0"/>
                                                                                                                                                                                                                                  <w:marTop w:val="0"/>
                                                                                                                                                                                                                                  <w:marBottom w:val="0"/>
                                                                                                                                                                                                                                  <w:divBdr>
                                                                                                                                                                                                                                    <w:top w:val="none" w:sz="0" w:space="0" w:color="auto"/>
                                                                                                                                                                                                                                    <w:left w:val="none" w:sz="0" w:space="0" w:color="auto"/>
                                                                                                                                                                                                                                    <w:bottom w:val="none" w:sz="0" w:space="0" w:color="auto"/>
                                                                                                                                                                                                                                    <w:right w:val="none" w:sz="0" w:space="0" w:color="auto"/>
                                                                                                                                                                                                                                  </w:divBdr>
                                                                                                                                                                                                                                  <w:divsChild>
                                                                                                                                                                                                                                    <w:div w:id="791707498">
                                                                                                                                                                                                                                      <w:marLeft w:val="0"/>
                                                                                                                                                                                                                                      <w:marRight w:val="0"/>
                                                                                                                                                                                                                                      <w:marTop w:val="0"/>
                                                                                                                                                                                                                                      <w:marBottom w:val="0"/>
                                                                                                                                                                                                                                      <w:divBdr>
                                                                                                                                                                                                                                        <w:top w:val="none" w:sz="0" w:space="0" w:color="auto"/>
                                                                                                                                                                                                                                        <w:left w:val="none" w:sz="0" w:space="0" w:color="auto"/>
                                                                                                                                                                                                                                        <w:bottom w:val="none" w:sz="0" w:space="0" w:color="auto"/>
                                                                                                                                                                                                                                        <w:right w:val="none" w:sz="0" w:space="0" w:color="auto"/>
                                                                                                                                                                                                                                      </w:divBdr>
                                                                                                                                                                                                                                      <w:divsChild>
                                                                                                                                                                                                                                        <w:div w:id="791707625">
                                                                                                                                                                                                                                          <w:marLeft w:val="0"/>
                                                                                                                                                                                                                                          <w:marRight w:val="0"/>
                                                                                                                                                                                                                                          <w:marTop w:val="0"/>
                                                                                                                                                                                                                                          <w:marBottom w:val="0"/>
                                                                                                                                                                                                                                          <w:divBdr>
                                                                                                                                                                                                                                            <w:top w:val="none" w:sz="0" w:space="0" w:color="auto"/>
                                                                                                                                                                                                                                            <w:left w:val="none" w:sz="0" w:space="0" w:color="auto"/>
                                                                                                                                                                                                                                            <w:bottom w:val="none" w:sz="0" w:space="0" w:color="auto"/>
                                                                                                                                                                                                                                            <w:right w:val="none" w:sz="0" w:space="0" w:color="auto"/>
                                                                                                                                                                                                                                          </w:divBdr>
                                                                                                                                                                                                                                          <w:divsChild>
                                                                                                                                                                                                                                            <w:div w:id="791707495">
                                                                                                                                                                                                                                              <w:marLeft w:val="0"/>
                                                                                                                                                                                                                                              <w:marRight w:val="0"/>
                                                                                                                                                                                                                                              <w:marTop w:val="0"/>
                                                                                                                                                                                                                                              <w:marBottom w:val="0"/>
                                                                                                                                                                                                                                              <w:divBdr>
                                                                                                                                                                                                                                                <w:top w:val="none" w:sz="0" w:space="0" w:color="auto"/>
                                                                                                                                                                                                                                                <w:left w:val="none" w:sz="0" w:space="0" w:color="auto"/>
                                                                                                                                                                                                                                                <w:bottom w:val="none" w:sz="0" w:space="0" w:color="auto"/>
                                                                                                                                                                                                                                                <w:right w:val="none" w:sz="0" w:space="0" w:color="auto"/>
                                                                                                                                                                                                                                              </w:divBdr>
                                                                                                                                                                                                                                              <w:divsChild>
                                                                                                                                                                                                                                                <w:div w:id="791707506">
                                                                                                                                                                                                                                                  <w:marLeft w:val="0"/>
                                                                                                                                                                                                                                                  <w:marRight w:val="0"/>
                                                                                                                                                                                                                                                  <w:marTop w:val="0"/>
                                                                                                                                                                                                                                                  <w:marBottom w:val="0"/>
                                                                                                                                                                                                                                                  <w:divBdr>
                                                                                                                                                                                                                                                    <w:top w:val="none" w:sz="0" w:space="0" w:color="auto"/>
                                                                                                                                                                                                                                                    <w:left w:val="none" w:sz="0" w:space="0" w:color="auto"/>
                                                                                                                                                                                                                                                    <w:bottom w:val="none" w:sz="0" w:space="0" w:color="auto"/>
                                                                                                                                                                                                                                                    <w:right w:val="none" w:sz="0" w:space="0" w:color="auto"/>
                                                                                                                                                                                                                                                  </w:divBdr>
                                                                                                                                                                                                                                                  <w:divsChild>
                                                                                                                                                                                                                                                    <w:div w:id="791707568">
                                                                                                                                                                                                                                                      <w:marLeft w:val="0"/>
                                                                                                                                                                                                                                                      <w:marRight w:val="0"/>
                                                                                                                                                                                                                                                      <w:marTop w:val="0"/>
                                                                                                                                                                                                                                                      <w:marBottom w:val="0"/>
                                                                                                                                                                                                                                                      <w:divBdr>
                                                                                                                                                                                                                                                        <w:top w:val="none" w:sz="0" w:space="0" w:color="auto"/>
                                                                                                                                                                                                                                                        <w:left w:val="none" w:sz="0" w:space="0" w:color="auto"/>
                                                                                                                                                                                                                                                        <w:bottom w:val="none" w:sz="0" w:space="0" w:color="auto"/>
                                                                                                                                                                                                                                                        <w:right w:val="none" w:sz="0" w:space="0" w:color="auto"/>
                                                                                                                                                                                                                                                      </w:divBdr>
                                                                                                                                                                                                                                                      <w:divsChild>
                                                                                                                                                                                                                                                        <w:div w:id="791707527">
                                                                                                                                                                                                                                                          <w:marLeft w:val="0"/>
                                                                                                                                                                                                                                                          <w:marRight w:val="0"/>
                                                                                                                                                                                                                                                          <w:marTop w:val="0"/>
                                                                                                                                                                                                                                                          <w:marBottom w:val="0"/>
                                                                                                                                                                                                                                                          <w:divBdr>
                                                                                                                                                                                                                                                            <w:top w:val="none" w:sz="0" w:space="0" w:color="auto"/>
                                                                                                                                                                                                                                                            <w:left w:val="none" w:sz="0" w:space="0" w:color="auto"/>
                                                                                                                                                                                                                                                            <w:bottom w:val="none" w:sz="0" w:space="0" w:color="auto"/>
                                                                                                                                                                                                                                                            <w:right w:val="none" w:sz="0" w:space="0" w:color="auto"/>
                                                                                                                                                                                                                                                          </w:divBdr>
                                                                                                                                                                                                                                                          <w:divsChild>
                                                                                                                                                                                                                                                            <w:div w:id="791707550">
                                                                                                                                                                                                                                                              <w:marLeft w:val="0"/>
                                                                                                                                                                                                                                                              <w:marRight w:val="0"/>
                                                                                                                                                                                                                                                              <w:marTop w:val="0"/>
                                                                                                                                                                                                                                                              <w:marBottom w:val="0"/>
                                                                                                                                                                                                                                                              <w:divBdr>
                                                                                                                                                                                                                                                                <w:top w:val="none" w:sz="0" w:space="0" w:color="auto"/>
                                                                                                                                                                                                                                                                <w:left w:val="none" w:sz="0" w:space="0" w:color="auto"/>
                                                                                                                                                                                                                                                                <w:bottom w:val="none" w:sz="0" w:space="0" w:color="auto"/>
                                                                                                                                                                                                                                                                <w:right w:val="none" w:sz="0" w:space="0" w:color="auto"/>
                                                                                                                                                                                                                                                              </w:divBdr>
                                                                                                                                                                                                                                                              <w:divsChild>
                                                                                                                                                                                                                                                                <w:div w:id="791707561">
                                                                                                                                                                                                                                                                  <w:marLeft w:val="0"/>
                                                                                                                                                                                                                                                                  <w:marRight w:val="0"/>
                                                                                                                                                                                                                                                                  <w:marTop w:val="0"/>
                                                                                                                                                                                                                                                                  <w:marBottom w:val="0"/>
                                                                                                                                                                                                                                                                  <w:divBdr>
                                                                                                                                                                                                                                                                    <w:top w:val="none" w:sz="0" w:space="0" w:color="auto"/>
                                                                                                                                                                                                                                                                    <w:left w:val="none" w:sz="0" w:space="0" w:color="auto"/>
                                                                                                                                                                                                                                                                    <w:bottom w:val="none" w:sz="0" w:space="0" w:color="auto"/>
                                                                                                                                                                                                                                                                    <w:right w:val="none" w:sz="0" w:space="0" w:color="auto"/>
                                                                                                                                                                                                                                                                  </w:divBdr>
                                                                                                                                                                                                                                                                  <w:divsChild>
                                                                                                                                                                                                                                                                    <w:div w:id="791707501">
                                                                                                                                                                                                                                                                      <w:marLeft w:val="0"/>
                                                                                                                                                                                                                                                                      <w:marRight w:val="0"/>
                                                                                                                                                                                                                                                                      <w:marTop w:val="0"/>
                                                                                                                                                                                                                                                                      <w:marBottom w:val="0"/>
                                                                                                                                                                                                                                                                      <w:divBdr>
                                                                                                                                                                                                                                                                        <w:top w:val="none" w:sz="0" w:space="0" w:color="auto"/>
                                                                                                                                                                                                                                                                        <w:left w:val="none" w:sz="0" w:space="0" w:color="auto"/>
                                                                                                                                                                                                                                                                        <w:bottom w:val="none" w:sz="0" w:space="0" w:color="auto"/>
                                                                                                                                                                                                                                                                        <w:right w:val="none" w:sz="0" w:space="0" w:color="auto"/>
                                                                                                                                                                                                                                                                      </w:divBdr>
                                                                                                                                                                                                                                                                      <w:divsChild>
                                                                                                                                                                                                                                                                        <w:div w:id="791707548">
                                                                                                                                                                                                                                                                          <w:marLeft w:val="0"/>
                                                                                                                                                                                                                                                                          <w:marRight w:val="0"/>
                                                                                                                                                                                                                                                                          <w:marTop w:val="0"/>
                                                                                                                                                                                                                                                                          <w:marBottom w:val="0"/>
                                                                                                                                                                                                                                                                          <w:divBdr>
                                                                                                                                                                                                                                                                            <w:top w:val="none" w:sz="0" w:space="0" w:color="auto"/>
                                                                                                                                                                                                                                                                            <w:left w:val="none" w:sz="0" w:space="0" w:color="auto"/>
                                                                                                                                                                                                                                                                            <w:bottom w:val="none" w:sz="0" w:space="0" w:color="auto"/>
                                                                                                                                                                                                                                                                            <w:right w:val="none" w:sz="0" w:space="0" w:color="auto"/>
                                                                                                                                                                                                                                                                          </w:divBdr>
                                                                                                                                                                                                                                                                          <w:divsChild>
                                                                                                                                                                                                                                                                            <w:div w:id="791707589">
                                                                                                                                                                                                                                                                              <w:marLeft w:val="0"/>
                                                                                                                                                                                                                                                                              <w:marRight w:val="0"/>
                                                                                                                                                                                                                                                                              <w:marTop w:val="0"/>
                                                                                                                                                                                                                                                                              <w:marBottom w:val="0"/>
                                                                                                                                                                                                                                                                              <w:divBdr>
                                                                                                                                                                                                                                                                                <w:top w:val="none" w:sz="0" w:space="0" w:color="auto"/>
                                                                                                                                                                                                                                                                                <w:left w:val="none" w:sz="0" w:space="0" w:color="auto"/>
                                                                                                                                                                                                                                                                                <w:bottom w:val="none" w:sz="0" w:space="0" w:color="auto"/>
                                                                                                                                                                                                                                                                                <w:right w:val="none" w:sz="0" w:space="0" w:color="auto"/>
                                                                                                                                                                                                                                                                              </w:divBdr>
                                                                                                                                                                                                                                                                              <w:divsChild>
                                                                                                                                                                                                                                                                                <w:div w:id="791707555">
                                                                                                                                                                                                                                                                                  <w:marLeft w:val="0"/>
                                                                                                                                                                                                                                                                                  <w:marRight w:val="0"/>
                                                                                                                                                                                                                                                                                  <w:marTop w:val="0"/>
                                                                                                                                                                                                                                                                                  <w:marBottom w:val="0"/>
                                                                                                                                                                                                                                                                                  <w:divBdr>
                                                                                                                                                                                                                                                                                    <w:top w:val="none" w:sz="0" w:space="0" w:color="auto"/>
                                                                                                                                                                                                                                                                                    <w:left w:val="none" w:sz="0" w:space="0" w:color="auto"/>
                                                                                                                                                                                                                                                                                    <w:bottom w:val="none" w:sz="0" w:space="0" w:color="auto"/>
                                                                                                                                                                                                                                                                                    <w:right w:val="none" w:sz="0" w:space="0" w:color="auto"/>
                                                                                                                                                                                                                                                                                  </w:divBdr>
                                                                                                                                                                                                                                                                                  <w:divsChild>
                                                                                                                                                                                                                                                                                    <w:div w:id="791707547">
                                                                                                                                                                                                                                                                                      <w:marLeft w:val="0"/>
                                                                                                                                                                                                                                                                                      <w:marRight w:val="0"/>
                                                                                                                                                                                                                                                                                      <w:marTop w:val="0"/>
                                                                                                                                                                                                                                                                                      <w:marBottom w:val="0"/>
                                                                                                                                                                                                                                                                                      <w:divBdr>
                                                                                                                                                                                                                                                                                        <w:top w:val="none" w:sz="0" w:space="0" w:color="auto"/>
                                                                                                                                                                                                                                                                                        <w:left w:val="none" w:sz="0" w:space="0" w:color="auto"/>
                                                                                                                                                                                                                                                                                        <w:bottom w:val="none" w:sz="0" w:space="0" w:color="auto"/>
                                                                                                                                                                                                                                                                                        <w:right w:val="none" w:sz="0" w:space="0" w:color="auto"/>
                                                                                                                                                                                                                                                                                      </w:divBdr>
                                                                                                                                                                                                                                                                                      <w:divsChild>
                                                                                                                                                                                                                                                                                        <w:div w:id="791707592">
                                                                                                                                                                                                                                                                                          <w:marLeft w:val="0"/>
                                                                                                                                                                                                                                                                                          <w:marRight w:val="0"/>
                                                                                                                                                                                                                                                                                          <w:marTop w:val="0"/>
                                                                                                                                                                                                                                                                                          <w:marBottom w:val="0"/>
                                                                                                                                                                                                                                                                                          <w:divBdr>
                                                                                                                                                                                                                                                                                            <w:top w:val="none" w:sz="0" w:space="0" w:color="auto"/>
                                                                                                                                                                                                                                                                                            <w:left w:val="none" w:sz="0" w:space="0" w:color="auto"/>
                                                                                                                                                                                                                                                                                            <w:bottom w:val="none" w:sz="0" w:space="0" w:color="auto"/>
                                                                                                                                                                                                                                                                                            <w:right w:val="none" w:sz="0" w:space="0" w:color="auto"/>
                                                                                                                                                                                                                                                                                          </w:divBdr>
                                                                                                                                                                                                                                                                                          <w:divsChild>
                                                                                                                                                                                                                                                                                            <w:div w:id="79170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1707610">
      <w:marLeft w:val="0"/>
      <w:marRight w:val="0"/>
      <w:marTop w:val="0"/>
      <w:marBottom w:val="0"/>
      <w:divBdr>
        <w:top w:val="none" w:sz="0" w:space="0" w:color="auto"/>
        <w:left w:val="none" w:sz="0" w:space="0" w:color="auto"/>
        <w:bottom w:val="none" w:sz="0" w:space="0" w:color="auto"/>
        <w:right w:val="none" w:sz="0" w:space="0" w:color="auto"/>
      </w:divBdr>
      <w:divsChild>
        <w:div w:id="791707525">
          <w:marLeft w:val="0"/>
          <w:marRight w:val="0"/>
          <w:marTop w:val="0"/>
          <w:marBottom w:val="0"/>
          <w:divBdr>
            <w:top w:val="none" w:sz="0" w:space="0" w:color="auto"/>
            <w:left w:val="none" w:sz="0" w:space="0" w:color="auto"/>
            <w:bottom w:val="none" w:sz="0" w:space="0" w:color="auto"/>
            <w:right w:val="none" w:sz="0" w:space="0" w:color="auto"/>
          </w:divBdr>
          <w:divsChild>
            <w:div w:id="791707535">
              <w:marLeft w:val="0"/>
              <w:marRight w:val="0"/>
              <w:marTop w:val="0"/>
              <w:marBottom w:val="0"/>
              <w:divBdr>
                <w:top w:val="none" w:sz="0" w:space="0" w:color="auto"/>
                <w:left w:val="none" w:sz="0" w:space="0" w:color="auto"/>
                <w:bottom w:val="none" w:sz="0" w:space="0" w:color="auto"/>
                <w:right w:val="none" w:sz="0" w:space="0" w:color="auto"/>
              </w:divBdr>
            </w:div>
          </w:divsChild>
        </w:div>
        <w:div w:id="791707536">
          <w:marLeft w:val="0"/>
          <w:marRight w:val="0"/>
          <w:marTop w:val="0"/>
          <w:marBottom w:val="0"/>
          <w:divBdr>
            <w:top w:val="none" w:sz="0" w:space="0" w:color="auto"/>
            <w:left w:val="none" w:sz="0" w:space="0" w:color="auto"/>
            <w:bottom w:val="none" w:sz="0" w:space="0" w:color="auto"/>
            <w:right w:val="none" w:sz="0" w:space="0" w:color="auto"/>
          </w:divBdr>
        </w:div>
        <w:div w:id="791707612">
          <w:marLeft w:val="0"/>
          <w:marRight w:val="0"/>
          <w:marTop w:val="0"/>
          <w:marBottom w:val="0"/>
          <w:divBdr>
            <w:top w:val="none" w:sz="0" w:space="0" w:color="auto"/>
            <w:left w:val="none" w:sz="0" w:space="0" w:color="auto"/>
            <w:bottom w:val="none" w:sz="0" w:space="0" w:color="auto"/>
            <w:right w:val="none" w:sz="0" w:space="0" w:color="auto"/>
          </w:divBdr>
        </w:div>
        <w:div w:id="791707621">
          <w:marLeft w:val="0"/>
          <w:marRight w:val="0"/>
          <w:marTop w:val="0"/>
          <w:marBottom w:val="0"/>
          <w:divBdr>
            <w:top w:val="none" w:sz="0" w:space="0" w:color="auto"/>
            <w:left w:val="none" w:sz="0" w:space="0" w:color="auto"/>
            <w:bottom w:val="none" w:sz="0" w:space="0" w:color="auto"/>
            <w:right w:val="none" w:sz="0" w:space="0" w:color="auto"/>
          </w:divBdr>
        </w:div>
      </w:divsChild>
    </w:div>
    <w:div w:id="791707615">
      <w:marLeft w:val="0"/>
      <w:marRight w:val="0"/>
      <w:marTop w:val="0"/>
      <w:marBottom w:val="0"/>
      <w:divBdr>
        <w:top w:val="none" w:sz="0" w:space="0" w:color="auto"/>
        <w:left w:val="none" w:sz="0" w:space="0" w:color="auto"/>
        <w:bottom w:val="none" w:sz="0" w:space="0" w:color="auto"/>
        <w:right w:val="none" w:sz="0" w:space="0" w:color="auto"/>
      </w:divBdr>
    </w:div>
    <w:div w:id="791707618">
      <w:marLeft w:val="0"/>
      <w:marRight w:val="0"/>
      <w:marTop w:val="0"/>
      <w:marBottom w:val="0"/>
      <w:divBdr>
        <w:top w:val="none" w:sz="0" w:space="0" w:color="auto"/>
        <w:left w:val="none" w:sz="0" w:space="0" w:color="auto"/>
        <w:bottom w:val="none" w:sz="0" w:space="0" w:color="auto"/>
        <w:right w:val="none" w:sz="0" w:space="0" w:color="auto"/>
      </w:divBdr>
      <w:divsChild>
        <w:div w:id="791707619">
          <w:marLeft w:val="0"/>
          <w:marRight w:val="0"/>
          <w:marTop w:val="0"/>
          <w:marBottom w:val="0"/>
          <w:divBdr>
            <w:top w:val="none" w:sz="0" w:space="0" w:color="auto"/>
            <w:left w:val="none" w:sz="0" w:space="0" w:color="auto"/>
            <w:bottom w:val="none" w:sz="0" w:space="0" w:color="auto"/>
            <w:right w:val="none" w:sz="0" w:space="0" w:color="auto"/>
          </w:divBdr>
          <w:divsChild>
            <w:div w:id="791707563">
              <w:marLeft w:val="0"/>
              <w:marRight w:val="0"/>
              <w:marTop w:val="0"/>
              <w:marBottom w:val="0"/>
              <w:divBdr>
                <w:top w:val="none" w:sz="0" w:space="0" w:color="auto"/>
                <w:left w:val="none" w:sz="0" w:space="0" w:color="auto"/>
                <w:bottom w:val="none" w:sz="0" w:space="0" w:color="auto"/>
                <w:right w:val="none" w:sz="0" w:space="0" w:color="auto"/>
              </w:divBdr>
              <w:divsChild>
                <w:div w:id="791707517">
                  <w:marLeft w:val="0"/>
                  <w:marRight w:val="0"/>
                  <w:marTop w:val="0"/>
                  <w:marBottom w:val="0"/>
                  <w:divBdr>
                    <w:top w:val="none" w:sz="0" w:space="0" w:color="auto"/>
                    <w:left w:val="none" w:sz="0" w:space="0" w:color="auto"/>
                    <w:bottom w:val="none" w:sz="0" w:space="0" w:color="auto"/>
                    <w:right w:val="none" w:sz="0" w:space="0" w:color="auto"/>
                  </w:divBdr>
                  <w:divsChild>
                    <w:div w:id="791707494">
                      <w:marLeft w:val="0"/>
                      <w:marRight w:val="0"/>
                      <w:marTop w:val="0"/>
                      <w:marBottom w:val="0"/>
                      <w:divBdr>
                        <w:top w:val="none" w:sz="0" w:space="0" w:color="auto"/>
                        <w:left w:val="none" w:sz="0" w:space="0" w:color="auto"/>
                        <w:bottom w:val="none" w:sz="0" w:space="0" w:color="auto"/>
                        <w:right w:val="none" w:sz="0" w:space="0" w:color="auto"/>
                      </w:divBdr>
                      <w:divsChild>
                        <w:div w:id="791707554">
                          <w:marLeft w:val="0"/>
                          <w:marRight w:val="0"/>
                          <w:marTop w:val="0"/>
                          <w:marBottom w:val="0"/>
                          <w:divBdr>
                            <w:top w:val="none" w:sz="0" w:space="0" w:color="auto"/>
                            <w:left w:val="none" w:sz="0" w:space="0" w:color="auto"/>
                            <w:bottom w:val="none" w:sz="0" w:space="0" w:color="auto"/>
                            <w:right w:val="none" w:sz="0" w:space="0" w:color="auto"/>
                          </w:divBdr>
                          <w:divsChild>
                            <w:div w:id="791707520">
                              <w:marLeft w:val="0"/>
                              <w:marRight w:val="0"/>
                              <w:marTop w:val="0"/>
                              <w:marBottom w:val="0"/>
                              <w:divBdr>
                                <w:top w:val="none" w:sz="0" w:space="0" w:color="auto"/>
                                <w:left w:val="none" w:sz="0" w:space="0" w:color="auto"/>
                                <w:bottom w:val="none" w:sz="0" w:space="0" w:color="auto"/>
                                <w:right w:val="none" w:sz="0" w:space="0" w:color="auto"/>
                              </w:divBdr>
                              <w:divsChild>
                                <w:div w:id="791707533">
                                  <w:marLeft w:val="0"/>
                                  <w:marRight w:val="0"/>
                                  <w:marTop w:val="0"/>
                                  <w:marBottom w:val="0"/>
                                  <w:divBdr>
                                    <w:top w:val="none" w:sz="0" w:space="0" w:color="auto"/>
                                    <w:left w:val="none" w:sz="0" w:space="0" w:color="auto"/>
                                    <w:bottom w:val="none" w:sz="0" w:space="0" w:color="auto"/>
                                    <w:right w:val="none" w:sz="0" w:space="0" w:color="auto"/>
                                  </w:divBdr>
                                  <w:divsChild>
                                    <w:div w:id="791707522">
                                      <w:marLeft w:val="0"/>
                                      <w:marRight w:val="0"/>
                                      <w:marTop w:val="0"/>
                                      <w:marBottom w:val="0"/>
                                      <w:divBdr>
                                        <w:top w:val="none" w:sz="0" w:space="0" w:color="auto"/>
                                        <w:left w:val="none" w:sz="0" w:space="0" w:color="auto"/>
                                        <w:bottom w:val="none" w:sz="0" w:space="0" w:color="auto"/>
                                        <w:right w:val="none" w:sz="0" w:space="0" w:color="auto"/>
                                      </w:divBdr>
                                      <w:divsChild>
                                        <w:div w:id="791707503">
                                          <w:marLeft w:val="0"/>
                                          <w:marRight w:val="0"/>
                                          <w:marTop w:val="0"/>
                                          <w:marBottom w:val="0"/>
                                          <w:divBdr>
                                            <w:top w:val="none" w:sz="0" w:space="0" w:color="auto"/>
                                            <w:left w:val="none" w:sz="0" w:space="0" w:color="auto"/>
                                            <w:bottom w:val="none" w:sz="0" w:space="0" w:color="auto"/>
                                            <w:right w:val="none" w:sz="0" w:space="0" w:color="auto"/>
                                          </w:divBdr>
                                        </w:div>
                                        <w:div w:id="791707564">
                                          <w:marLeft w:val="0"/>
                                          <w:marRight w:val="0"/>
                                          <w:marTop w:val="0"/>
                                          <w:marBottom w:val="0"/>
                                          <w:divBdr>
                                            <w:top w:val="none" w:sz="0" w:space="0" w:color="auto"/>
                                            <w:left w:val="none" w:sz="0" w:space="0" w:color="auto"/>
                                            <w:bottom w:val="none" w:sz="0" w:space="0" w:color="auto"/>
                                            <w:right w:val="none" w:sz="0" w:space="0" w:color="auto"/>
                                          </w:divBdr>
                                        </w:div>
                                        <w:div w:id="7917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707622">
      <w:marLeft w:val="0"/>
      <w:marRight w:val="0"/>
      <w:marTop w:val="0"/>
      <w:marBottom w:val="0"/>
      <w:divBdr>
        <w:top w:val="none" w:sz="0" w:space="0" w:color="auto"/>
        <w:left w:val="none" w:sz="0" w:space="0" w:color="auto"/>
        <w:bottom w:val="none" w:sz="0" w:space="0" w:color="auto"/>
        <w:right w:val="none" w:sz="0" w:space="0" w:color="auto"/>
      </w:divBdr>
    </w:div>
    <w:div w:id="791707623">
      <w:marLeft w:val="0"/>
      <w:marRight w:val="0"/>
      <w:marTop w:val="0"/>
      <w:marBottom w:val="0"/>
      <w:divBdr>
        <w:top w:val="none" w:sz="0" w:space="0" w:color="auto"/>
        <w:left w:val="none" w:sz="0" w:space="0" w:color="auto"/>
        <w:bottom w:val="none" w:sz="0" w:space="0" w:color="auto"/>
        <w:right w:val="none" w:sz="0" w:space="0" w:color="auto"/>
      </w:divBdr>
    </w:div>
    <w:div w:id="1663970069">
      <w:bodyDiv w:val="1"/>
      <w:marLeft w:val="0"/>
      <w:marRight w:val="0"/>
      <w:marTop w:val="0"/>
      <w:marBottom w:val="0"/>
      <w:divBdr>
        <w:top w:val="none" w:sz="0" w:space="0" w:color="auto"/>
        <w:left w:val="none" w:sz="0" w:space="0" w:color="auto"/>
        <w:bottom w:val="none" w:sz="0" w:space="0" w:color="auto"/>
        <w:right w:val="none" w:sz="0" w:space="0" w:color="auto"/>
      </w:divBdr>
      <w:divsChild>
        <w:div w:id="1166169520">
          <w:marLeft w:val="0"/>
          <w:marRight w:val="0"/>
          <w:marTop w:val="0"/>
          <w:marBottom w:val="0"/>
          <w:divBdr>
            <w:top w:val="none" w:sz="0" w:space="0" w:color="auto"/>
            <w:left w:val="none" w:sz="0" w:space="0" w:color="auto"/>
            <w:bottom w:val="none" w:sz="0" w:space="0" w:color="auto"/>
            <w:right w:val="none" w:sz="0" w:space="0" w:color="auto"/>
          </w:divBdr>
        </w:div>
      </w:divsChild>
    </w:div>
    <w:div w:id="201834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leonora.carboni@gmail.com" TargetMode="External"/><Relationship Id="rId18" Type="http://schemas.openxmlformats.org/officeDocument/2006/relationships/image" Target="media/image1.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mailto:plingor@gwdg.de" TargetMode="External"/><Relationship Id="rId17" Type="http://schemas.openxmlformats.org/officeDocument/2006/relationships/hyperlink" Target="mailto:plingor@gwdg.de" TargetMode="External"/><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ducic@cells.es" TargetMode="Externa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ichen.dart@gmail.com"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touteir@gwdg.de" TargetMode="Externa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hyperlink" Target="mailto:blai@aps.anl.gov" TargetMode="External"/><Relationship Id="rId19" Type="http://schemas.openxmlformats.org/officeDocument/2006/relationships/image" Target="media/image2.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tducic@cells.es" TargetMode="External"/><Relationship Id="rId14" Type="http://schemas.openxmlformats.org/officeDocument/2006/relationships/hyperlink" Target="mailto:Bernhard.michalke@helmholz-muenchen.de"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B2AC7-D01D-4C81-8FD3-F762BDD61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8734</Words>
  <Characters>225261</Characters>
  <Application>Microsoft Office Word</Application>
  <DocSecurity>0</DocSecurity>
  <Lines>1877</Lines>
  <Paragraphs>467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1st DRAFT</vt:lpstr>
      <vt:lpstr>1st DRAFT</vt:lpstr>
    </vt:vector>
  </TitlesOfParts>
  <Company>Helmholtz Zentrum München</Company>
  <LinksUpToDate>false</LinksUpToDate>
  <CharactersWithSpaces>233528</CharactersWithSpaces>
  <SharedDoc>false</SharedDoc>
  <HLinks>
    <vt:vector size="12" baseType="variant">
      <vt:variant>
        <vt:i4>2490387</vt:i4>
      </vt:variant>
      <vt:variant>
        <vt:i4>3</vt:i4>
      </vt:variant>
      <vt:variant>
        <vt:i4>0</vt:i4>
      </vt:variant>
      <vt:variant>
        <vt:i4>5</vt:i4>
      </vt:variant>
      <vt:variant>
        <vt:lpwstr>mailto:plingor@gwdg.de</vt:lpwstr>
      </vt:variant>
      <vt:variant>
        <vt:lpwstr/>
      </vt:variant>
      <vt:variant>
        <vt:i4>1966135</vt:i4>
      </vt:variant>
      <vt:variant>
        <vt:i4>0</vt:i4>
      </vt:variant>
      <vt:variant>
        <vt:i4>0</vt:i4>
      </vt:variant>
      <vt:variant>
        <vt:i4>5</vt:i4>
      </vt:variant>
      <vt:variant>
        <vt:lpwstr>mailto:tducic@cells.es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DRAFT</dc:title>
  <dc:creator>Tanja Ducic</dc:creator>
  <cp:lastModifiedBy>corinna.schneider</cp:lastModifiedBy>
  <cp:revision>2</cp:revision>
  <cp:lastPrinted>2013-11-15T09:25:00Z</cp:lastPrinted>
  <dcterms:created xsi:type="dcterms:W3CDTF">2015-10-13T10:09:00Z</dcterms:created>
  <dcterms:modified xsi:type="dcterms:W3CDTF">2015-10-13T10:09:00Z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tducic@cells.es@www.mendeley.com</vt:lpwstr>
  </property>
  <property fmtid="{D5CDD505-2E9C-101B-9397-08002B2CF9AE}" pid="4" name="Mendeley Citation Style_1">
    <vt:lpwstr>http://www.zotero.org/styles/molecular-neurodegeneration</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http://www.zotero.org/styles/molecular-neurodegeneration</vt:lpwstr>
  </property>
  <property fmtid="{D5CDD505-2E9C-101B-9397-08002B2CF9AE}" pid="10" name="Mendeley Recent Style Name 2_1">
    <vt:lpwstr>Molecular Neurodegeneration</vt:lpwstr>
  </property>
  <property fmtid="{D5CDD505-2E9C-101B-9397-08002B2CF9AE}" pid="11" name="Mendeley Recent Style Id 3_1">
    <vt:lpwstr>http://www.zotero.org/styles/neuroimage</vt:lpwstr>
  </property>
  <property fmtid="{D5CDD505-2E9C-101B-9397-08002B2CF9AE}" pid="12" name="Mendeley Recent Style Name 3_1">
    <vt:lpwstr>NeuroImage</vt:lpwstr>
  </property>
  <property fmtid="{D5CDD505-2E9C-101B-9397-08002B2CF9AE}" pid="13" name="Mendeley Recent Style Id 4_1">
    <vt:lpwstr>http://www.zotero.org/styles/springer-basic-brackets</vt:lpwstr>
  </property>
  <property fmtid="{D5CDD505-2E9C-101B-9397-08002B2CF9AE}" pid="14" name="Mendeley Recent Style Name 4_1">
    <vt:lpwstr>Springer Basic (numeric, brackets)</vt:lpwstr>
  </property>
  <property fmtid="{D5CDD505-2E9C-101B-9397-08002B2CF9AE}" pid="15" name="Mendeley Recent Style Id 5_1">
    <vt:lpwstr>http://www.zotero.org/styles/springer-physics-brackets</vt:lpwstr>
  </property>
  <property fmtid="{D5CDD505-2E9C-101B-9397-08002B2CF9AE}" pid="16" name="Mendeley Recent Style Name 5_1">
    <vt:lpwstr>Springer Physics (numeric, brackets)</vt:lpwstr>
  </property>
  <property fmtid="{D5CDD505-2E9C-101B-9397-08002B2CF9AE}" pid="17" name="Mendeley Recent Style Id 6_1">
    <vt:lpwstr>http://www.zotero.org/styles/springer-vancouver</vt:lpwstr>
  </property>
  <property fmtid="{D5CDD505-2E9C-101B-9397-08002B2CF9AE}" pid="18" name="Mendeley Recent Style Name 6_1">
    <vt:lpwstr>Springer Vancouver</vt:lpwstr>
  </property>
  <property fmtid="{D5CDD505-2E9C-101B-9397-08002B2CF9AE}" pid="19" name="Mendeley Recent Style Id 7_1">
    <vt:lpwstr>http://www.zotero.org/styles/springer-vancouver-author-date</vt:lpwstr>
  </property>
  <property fmtid="{D5CDD505-2E9C-101B-9397-08002B2CF9AE}" pid="20" name="Mendeley Recent Style Name 7_1">
    <vt:lpwstr>Springer Vancouver (author-date)</vt:lpwstr>
  </property>
  <property fmtid="{D5CDD505-2E9C-101B-9397-08002B2CF9AE}" pid="21" name="Mendeley Recent Style Id 8_1">
    <vt:lpwstr>http://www.zotero.org/styles/springer-vancouver-brackets</vt:lpwstr>
  </property>
  <property fmtid="{D5CDD505-2E9C-101B-9397-08002B2CF9AE}" pid="22" name="Mendeley Recent Style Name 8_1">
    <vt:lpwstr>Springer Vancouver (brackets)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PAPERS2_INFO_01">
    <vt:lpwstr>&lt;info&gt;&lt;style id="http://www.zotero.org/styles/acs-chemical-neuroscience"/&gt;&lt;format class="21"/&gt;&lt;count citations="2" publications="2"/&gt;&lt;/info&gt;PAPERS2_INFO_END</vt:lpwstr>
  </property>
</Properties>
</file>