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1C" w:rsidRPr="005D1D4B" w:rsidRDefault="00D00C1C" w:rsidP="00D00C1C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 w:rsidRPr="005D1D4B">
        <w:rPr>
          <w:rFonts w:ascii="Times New Roman" w:hAnsi="Times New Roman"/>
          <w:b/>
          <w:sz w:val="24"/>
          <w:szCs w:val="24"/>
          <w:lang w:val="en-US"/>
        </w:rPr>
        <w:t>SUPPLEMENTAL MATERIAL</w:t>
      </w:r>
    </w:p>
    <w:p w:rsidR="00987CC0" w:rsidRPr="00987CC0" w:rsidRDefault="00987CC0" w:rsidP="00987CC0">
      <w:pPr>
        <w:autoSpaceDE w:val="0"/>
        <w:autoSpaceDN w:val="0"/>
        <w:adjustRightInd w:val="0"/>
        <w:spacing w:after="0" w:line="480" w:lineRule="auto"/>
        <w:rPr>
          <w:lang w:val="en-US"/>
        </w:rPr>
      </w:pPr>
      <w:r w:rsidRPr="00987CC0">
        <w:rPr>
          <w:rFonts w:ascii="Times New Roman" w:hAnsi="Times New Roman"/>
          <w:lang w:val="en-US"/>
        </w:rPr>
        <w:t>Dew point temperature (</w:t>
      </w:r>
      <w:proofErr w:type="spellStart"/>
      <w:r w:rsidRPr="00987CC0">
        <w:rPr>
          <w:rFonts w:ascii="Times New Roman" w:hAnsi="Times New Roman"/>
          <w:lang w:val="en-US"/>
        </w:rPr>
        <w:t>dp</w:t>
      </w:r>
      <w:proofErr w:type="spellEnd"/>
      <w:r w:rsidRPr="00987CC0">
        <w:rPr>
          <w:rFonts w:ascii="Times New Roman" w:hAnsi="Times New Roman"/>
          <w:lang w:val="en-US"/>
        </w:rPr>
        <w:t>) was calculated as follows: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150"/>
      </w:tblGrid>
      <w:tr w:rsidR="00987CC0" w:rsidRPr="00987CC0" w:rsidTr="00E5699B">
        <w:tc>
          <w:tcPr>
            <w:tcW w:w="6062" w:type="dxa"/>
            <w:shd w:val="clear" w:color="auto" w:fill="auto"/>
            <w:vAlign w:val="center"/>
          </w:tcPr>
          <w:p w:rsidR="00987CC0" w:rsidRPr="00987CC0" w:rsidRDefault="00987CC0" w:rsidP="00E5699B">
            <w:pPr>
              <w:pStyle w:val="Beschriftung"/>
              <w:keepNext/>
              <w:spacing w:line="480" w:lineRule="auto"/>
              <w:jc w:val="right"/>
              <w:rPr>
                <w:color w:val="auto"/>
                <w:position w:val="-90"/>
                <w:lang w:val="en-US" w:eastAsia="de-DE"/>
              </w:rPr>
            </w:pPr>
            <w:r w:rsidRPr="00987CC0">
              <w:rPr>
                <w:noProof/>
                <w:color w:val="auto"/>
                <w:position w:val="-90"/>
                <w:lang w:val="de-DE" w:eastAsia="de-DE"/>
              </w:rPr>
              <w:drawing>
                <wp:inline distT="0" distB="0" distL="0" distR="0" wp14:anchorId="52B30377" wp14:editId="3898C4C2">
                  <wp:extent cx="2752725" cy="809625"/>
                  <wp:effectExtent l="0" t="0" r="9525" b="952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987CC0" w:rsidRPr="00987CC0" w:rsidRDefault="00987CC0" w:rsidP="00E5699B">
            <w:pPr>
              <w:pStyle w:val="Beschriftung"/>
              <w:keepNext/>
              <w:spacing w:line="480" w:lineRule="auto"/>
              <w:jc w:val="right"/>
              <w:rPr>
                <w:rFonts w:ascii="Times New Roman" w:hAnsi="Times New Roman"/>
                <w:b w:val="0"/>
                <w:color w:val="auto"/>
                <w:position w:val="-90"/>
                <w:sz w:val="22"/>
                <w:szCs w:val="22"/>
                <w:lang w:val="en-US" w:eastAsia="de-DE"/>
              </w:rPr>
            </w:pPr>
            <w:r w:rsidRPr="00987CC0">
              <w:rPr>
                <w:rFonts w:ascii="Times New Roman" w:hAnsi="Times New Roman"/>
                <w:b w:val="0"/>
                <w:color w:val="auto"/>
                <w:position w:val="-90"/>
                <w:sz w:val="22"/>
                <w:szCs w:val="22"/>
                <w:lang w:val="en-US" w:eastAsia="de-DE"/>
              </w:rPr>
              <w:t>(1)</w:t>
            </w:r>
          </w:p>
        </w:tc>
      </w:tr>
    </w:tbl>
    <w:p w:rsidR="00987CC0" w:rsidRPr="00987CC0" w:rsidRDefault="00987CC0" w:rsidP="00987CC0">
      <w:pPr>
        <w:pStyle w:val="Beschriftung"/>
        <w:keepNext/>
        <w:spacing w:line="480" w:lineRule="auto"/>
        <w:rPr>
          <w:rFonts w:ascii="Times New Roman" w:hAnsi="Times New Roman"/>
          <w:color w:val="auto"/>
          <w:sz w:val="22"/>
          <w:szCs w:val="22"/>
        </w:rPr>
      </w:pPr>
      <w:r w:rsidRPr="00987CC0">
        <w:rPr>
          <w:rFonts w:ascii="Times New Roman" w:hAnsi="Times New Roman"/>
          <w:b w:val="0"/>
          <w:color w:val="auto"/>
          <w:sz w:val="22"/>
          <w:szCs w:val="22"/>
          <w:lang w:val="en-US"/>
        </w:rPr>
        <w:t xml:space="preserve">with temp= air temperature and </w:t>
      </w:r>
      <w:proofErr w:type="spellStart"/>
      <w:r w:rsidRPr="00987CC0">
        <w:rPr>
          <w:rFonts w:ascii="Times New Roman" w:hAnsi="Times New Roman"/>
          <w:b w:val="0"/>
          <w:color w:val="auto"/>
          <w:sz w:val="22"/>
          <w:szCs w:val="22"/>
          <w:lang w:val="en-US"/>
        </w:rPr>
        <w:t>rh</w:t>
      </w:r>
      <w:proofErr w:type="spellEnd"/>
      <w:r w:rsidRPr="00987CC0">
        <w:rPr>
          <w:rFonts w:ascii="Times New Roman" w:hAnsi="Times New Roman"/>
          <w:b w:val="0"/>
          <w:color w:val="auto"/>
          <w:sz w:val="22"/>
          <w:szCs w:val="22"/>
          <w:lang w:val="en-US"/>
        </w:rPr>
        <w:t>=relative humidity.</w:t>
      </w:r>
    </w:p>
    <w:p w:rsidR="00D9008F" w:rsidRDefault="00D9008F" w:rsidP="009D0C5A">
      <w:pPr>
        <w:pStyle w:val="Beschriftung"/>
        <w:keepNext/>
        <w:spacing w:line="360" w:lineRule="auto"/>
        <w:rPr>
          <w:rFonts w:ascii="Times New Roman" w:hAnsi="Times New Roman"/>
          <w:color w:val="auto"/>
          <w:sz w:val="22"/>
          <w:szCs w:val="22"/>
        </w:rPr>
      </w:pPr>
    </w:p>
    <w:p w:rsidR="00D66B93" w:rsidRPr="00D66B93" w:rsidRDefault="00D66B93" w:rsidP="009D0C5A">
      <w:pPr>
        <w:pStyle w:val="Beschriftung"/>
        <w:keepNext/>
        <w:spacing w:line="360" w:lineRule="auto"/>
        <w:rPr>
          <w:rFonts w:ascii="Times New Roman" w:hAnsi="Times New Roman"/>
          <w:color w:val="auto"/>
          <w:sz w:val="22"/>
          <w:szCs w:val="22"/>
        </w:rPr>
      </w:pPr>
      <w:r w:rsidRPr="00D66B93">
        <w:rPr>
          <w:rFonts w:ascii="Times New Roman" w:hAnsi="Times New Roman"/>
          <w:color w:val="auto"/>
          <w:sz w:val="22"/>
          <w:szCs w:val="22"/>
        </w:rPr>
        <w:t xml:space="preserve">Supplemental Table </w:t>
      </w:r>
      <w:r w:rsidRPr="00D66B93">
        <w:rPr>
          <w:rFonts w:ascii="Times New Roman" w:hAnsi="Times New Roman"/>
          <w:color w:val="auto"/>
          <w:sz w:val="22"/>
          <w:szCs w:val="22"/>
        </w:rPr>
        <w:fldChar w:fldCharType="begin"/>
      </w:r>
      <w:r w:rsidRPr="00D66B93">
        <w:rPr>
          <w:rFonts w:ascii="Times New Roman" w:hAnsi="Times New Roman"/>
          <w:color w:val="auto"/>
          <w:sz w:val="22"/>
          <w:szCs w:val="22"/>
        </w:rPr>
        <w:instrText xml:space="preserve"> SEQ Supplemental_Table \* ARABIC </w:instrText>
      </w:r>
      <w:r w:rsidRPr="00D66B93">
        <w:rPr>
          <w:rFonts w:ascii="Times New Roman" w:hAnsi="Times New Roman"/>
          <w:color w:val="auto"/>
          <w:sz w:val="22"/>
          <w:szCs w:val="22"/>
        </w:rPr>
        <w:fldChar w:fldCharType="separate"/>
      </w:r>
      <w:r w:rsidR="00D53EA5">
        <w:rPr>
          <w:rFonts w:ascii="Times New Roman" w:hAnsi="Times New Roman"/>
          <w:noProof/>
          <w:color w:val="auto"/>
          <w:sz w:val="22"/>
          <w:szCs w:val="22"/>
        </w:rPr>
        <w:t>1</w:t>
      </w:r>
      <w:r w:rsidRPr="00D66B93">
        <w:rPr>
          <w:rFonts w:ascii="Times New Roman" w:hAnsi="Times New Roman"/>
          <w:color w:val="auto"/>
          <w:sz w:val="22"/>
          <w:szCs w:val="22"/>
        </w:rPr>
        <w:fldChar w:fldCharType="end"/>
      </w:r>
      <w:r w:rsidRPr="00D66B93">
        <w:rPr>
          <w:rFonts w:ascii="Times New Roman" w:hAnsi="Times New Roman"/>
          <w:color w:val="auto"/>
          <w:sz w:val="22"/>
          <w:szCs w:val="22"/>
        </w:rPr>
        <w:t xml:space="preserve">. Description of (cause-specific) mortality outcomes per </w:t>
      </w:r>
      <w:r w:rsidR="000F38C0">
        <w:rPr>
          <w:rFonts w:ascii="Times New Roman" w:hAnsi="Times New Roman"/>
          <w:color w:val="auto"/>
          <w:sz w:val="22"/>
          <w:szCs w:val="22"/>
        </w:rPr>
        <w:br/>
      </w:r>
      <w:r w:rsidRPr="00D66B93">
        <w:rPr>
          <w:rFonts w:ascii="Times New Roman" w:hAnsi="Times New Roman"/>
          <w:color w:val="auto"/>
          <w:sz w:val="22"/>
          <w:szCs w:val="22"/>
        </w:rPr>
        <w:t>100,000 inhabitants.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800"/>
        <w:gridCol w:w="1120"/>
        <w:gridCol w:w="1540"/>
        <w:gridCol w:w="1540"/>
        <w:gridCol w:w="1540"/>
        <w:gridCol w:w="1540"/>
      </w:tblGrid>
      <w:tr w:rsidR="00D66B93" w:rsidRPr="00D66B93" w:rsidTr="00D66B93">
        <w:trPr>
          <w:trHeight w:val="360"/>
        </w:trPr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  <w:t xml:space="preserve">City 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  <w:t>Year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  <w:t>Population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  <w:t>Daily mean (SD)/100,000 inhabitants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  <w:t xml:space="preserve"> Natural death counts 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  <w:t xml:space="preserve">Cardiovascular death counts 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de-DE"/>
              </w:rPr>
              <w:t xml:space="preserve">Respiratory </w:t>
            </w:r>
            <w:proofErr w:type="spellStart"/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  <w:t>death</w:t>
            </w:r>
            <w:proofErr w:type="spellEnd"/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  <w:t>counts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  <w:t>Augsburg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2011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266,647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2.6 (0.9)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1.2 (0.6)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0.2 (0.3)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2012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272,699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2.6 (1.0)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1.1 (0.6)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0.1 (0.2)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  <w:proofErr w:type="spellStart"/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  <w:t>Chernivtsi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2013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258,371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2.4 (1.0)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1.7 (0.8)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0.04 (0.2)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  <w:t>Dresden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2011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517,765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2.2 (0.7)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1.0 (0.4)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0.1 (0.2)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2012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525,105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2.3 (0.7)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1.0 (0.5)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0.1 (0.2)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  <w:t>Ljubljana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2012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280,607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2.1 (0.9)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0.8 (0.5)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0.1 (0.2)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2013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282,994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2.0 (0.8)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0.8 (0.5)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0.1 (0.2)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  <w:proofErr w:type="spellStart"/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  <w:t>Prague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2012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1,246,780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2.2 (0.5)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1.1 (0.3)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0.1 (0.1)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2013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1,243,201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2.1 (0.5)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1.0 (0.3)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0.1 (0.1)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206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11303D" w:rsidP="00D66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</w:t>
            </w:r>
            <w:r w:rsidR="00D66B93"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utcome</w:t>
            </w:r>
            <w:proofErr w:type="spellEnd"/>
            <w:r w:rsidR="00D66B93"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="00D66B93"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definitions</w:t>
            </w:r>
            <w:proofErr w:type="spellEnd"/>
            <w:r w:rsidR="00D66B93"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D66B93" w:rsidRPr="00D66B93" w:rsidTr="00D66B93">
        <w:trPr>
          <w:trHeight w:val="360"/>
        </w:trPr>
        <w:tc>
          <w:tcPr>
            <w:tcW w:w="92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6B93" w:rsidRPr="00D66B93" w:rsidRDefault="00D66B93" w:rsidP="00D66B9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de-DE"/>
              </w:rPr>
            </w:pPr>
            <w:r w:rsidRPr="00D66B93">
              <w:rPr>
                <w:rFonts w:ascii="Times New Roman" w:eastAsia="Times New Roman" w:hAnsi="Times New Roman"/>
                <w:sz w:val="20"/>
                <w:szCs w:val="20"/>
                <w:lang w:val="en-US" w:eastAsia="de-DE"/>
              </w:rPr>
              <w:t xml:space="preserve"> natural causes ICD-10 A00-R99, cardiovascular diseases ICD-10 I00-I99, respiratory diseases ICD-10 J00-J99 </w:t>
            </w:r>
          </w:p>
        </w:tc>
      </w:tr>
    </w:tbl>
    <w:p w:rsidR="00BF7A80" w:rsidRDefault="00BF7A80" w:rsidP="00D00C1C">
      <w:pPr>
        <w:rPr>
          <w:lang w:val="en-US"/>
        </w:rPr>
      </w:pPr>
    </w:p>
    <w:p w:rsidR="00E139C6" w:rsidRDefault="00E139C6">
      <w:pPr>
        <w:rPr>
          <w:lang w:val="en-US"/>
        </w:rPr>
      </w:pPr>
      <w:r>
        <w:rPr>
          <w:lang w:val="en-US"/>
        </w:rPr>
        <w:br w:type="page"/>
      </w:r>
    </w:p>
    <w:p w:rsidR="00E139C6" w:rsidRDefault="00E139C6" w:rsidP="00D00C1C">
      <w:pPr>
        <w:rPr>
          <w:lang w:val="en-US"/>
        </w:rPr>
        <w:sectPr w:rsidR="00E139C6"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2F73D3" w:rsidRPr="00A427C1" w:rsidRDefault="002F73D3" w:rsidP="002F73D3">
      <w:pPr>
        <w:pStyle w:val="Beschriftung"/>
        <w:keepNext/>
        <w:rPr>
          <w:rFonts w:ascii="Times New Roman" w:hAnsi="Times New Roman"/>
          <w:color w:val="auto"/>
          <w:sz w:val="22"/>
          <w:szCs w:val="22"/>
        </w:rPr>
      </w:pPr>
      <w:r w:rsidRPr="00A427C1">
        <w:rPr>
          <w:rFonts w:ascii="Times New Roman" w:hAnsi="Times New Roman"/>
          <w:color w:val="auto"/>
          <w:sz w:val="22"/>
          <w:szCs w:val="22"/>
        </w:rPr>
        <w:lastRenderedPageBreak/>
        <w:t xml:space="preserve">Supplemental Table </w:t>
      </w:r>
      <w:r w:rsidRPr="00A427C1">
        <w:rPr>
          <w:rFonts w:ascii="Times New Roman" w:hAnsi="Times New Roman"/>
          <w:color w:val="auto"/>
          <w:sz w:val="22"/>
          <w:szCs w:val="22"/>
        </w:rPr>
        <w:fldChar w:fldCharType="begin"/>
      </w:r>
      <w:r w:rsidRPr="00A427C1">
        <w:rPr>
          <w:rFonts w:ascii="Times New Roman" w:hAnsi="Times New Roman"/>
          <w:color w:val="auto"/>
          <w:sz w:val="22"/>
          <w:szCs w:val="22"/>
        </w:rPr>
        <w:instrText xml:space="preserve"> SEQ Supplemental_Table \* ARABIC </w:instrText>
      </w:r>
      <w:r w:rsidRPr="00A427C1">
        <w:rPr>
          <w:rFonts w:ascii="Times New Roman" w:hAnsi="Times New Roman"/>
          <w:color w:val="auto"/>
          <w:sz w:val="22"/>
          <w:szCs w:val="22"/>
        </w:rPr>
        <w:fldChar w:fldCharType="separate"/>
      </w:r>
      <w:r w:rsidR="00D53EA5">
        <w:rPr>
          <w:rFonts w:ascii="Times New Roman" w:hAnsi="Times New Roman"/>
          <w:noProof/>
          <w:color w:val="auto"/>
          <w:sz w:val="22"/>
          <w:szCs w:val="22"/>
        </w:rPr>
        <w:t>2</w:t>
      </w:r>
      <w:r w:rsidRPr="00A427C1">
        <w:rPr>
          <w:rFonts w:ascii="Times New Roman" w:hAnsi="Times New Roman"/>
          <w:color w:val="auto"/>
          <w:sz w:val="22"/>
          <w:szCs w:val="22"/>
        </w:rPr>
        <w:fldChar w:fldCharType="end"/>
      </w:r>
      <w:r w:rsidRPr="00A427C1">
        <w:rPr>
          <w:rFonts w:ascii="Times New Roman" w:hAnsi="Times New Roman"/>
          <w:color w:val="auto"/>
          <w:sz w:val="22"/>
          <w:szCs w:val="22"/>
        </w:rPr>
        <w:t>. Spearman's rank correlation coefficients for meteorological and air pollution parameters.</w:t>
      </w:r>
    </w:p>
    <w:tbl>
      <w:tblPr>
        <w:tblW w:w="13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C221EF" w:rsidRPr="00C221EF" w:rsidTr="00C221EF">
        <w:trPr>
          <w:trHeight w:val="72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Augsburg (2011-2012)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Air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temperature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(°C)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Relative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humidity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†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‡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2.5-10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UFP§ (n/cm³)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PNC# (n/cm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Air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temperature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(°C)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-0.53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Relative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humidity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0.19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†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0.70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‡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0.73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2.5-10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"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0.44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UFP§ (n/cm³)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0.51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PNC# (n/cm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0.58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</w:tr>
      <w:tr w:rsidR="00C221EF" w:rsidRPr="00C221EF" w:rsidTr="00C221EF">
        <w:trPr>
          <w:trHeight w:val="72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C22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Chernivtsi</w:t>
            </w:r>
            <w:proofErr w:type="spellEnd"/>
            <w:r w:rsidRPr="00C22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(2013)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Air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temperature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(°C)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Relative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humidity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†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‡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2.5-10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UFP§ (n/cm³)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PNC# (n/cm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Air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temperature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(°C)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Relative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humidity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†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‡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2.5-10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"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UFP§ (n/cm³)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PNC# (n/cm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.</w:t>
            </w:r>
          </w:p>
        </w:tc>
      </w:tr>
      <w:tr w:rsidR="00C221EF" w:rsidRPr="00C221EF" w:rsidTr="00C221EF">
        <w:trPr>
          <w:trHeight w:val="72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Dresden (2011-2012)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Air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temperature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(°C)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Relative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humidity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†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‡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2.5-10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UFP§ (n/cm³)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PNC# (n/cm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Air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temperature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(°C)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-0.42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Relative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humidity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0.28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†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0.68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‡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0.68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lastRenderedPageBreak/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2.5-10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"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0.37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UFP§ (n/cm³)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0.33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PNC# (n/cm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0.45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</w:tr>
      <w:tr w:rsidR="00C221EF" w:rsidRPr="00C221EF" w:rsidTr="00C221EF">
        <w:trPr>
          <w:trHeight w:val="72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Ljubljana (2012-2013)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Air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temperature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(°C)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Relative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humidity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†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‡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2.5-10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UFP§ (n/cm³)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PNC# (n/cm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Air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temperature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(°C)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-0.54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Relative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humidity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0.38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†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0.57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‡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0.55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2.5-10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"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0.40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UFP§ (n/cm³)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0.54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PNC# (n/cm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0.62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</w:tr>
      <w:tr w:rsidR="00C221EF" w:rsidRPr="00C221EF" w:rsidTr="00C221EF">
        <w:trPr>
          <w:trHeight w:val="72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C22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Prague</w:t>
            </w:r>
            <w:proofErr w:type="spellEnd"/>
            <w:r w:rsidRPr="00C221E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(2012-2013)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Air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temperature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(°C)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Relative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humidity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†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‡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2.5-10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UFP§ (n/cm³)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PNC$ (n/cm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Air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temperature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(°C)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-0.46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Relative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humidity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0.35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†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0.68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‡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0.66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2.5-10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"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0.43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UFP§ (n/cm³)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0.26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PNC$ (n/cm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0.46</w:t>
            </w: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 (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1.00</w:t>
            </w:r>
          </w:p>
        </w:tc>
      </w:tr>
      <w:tr w:rsidR="00C221EF" w:rsidRPr="00C221EF" w:rsidTr="00C221EF">
        <w:trPr>
          <w:trHeight w:val="315"/>
        </w:trPr>
        <w:tc>
          <w:tcPr>
            <w:tcW w:w="9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 xml:space="preserve">†particulate matter with a size range of &lt;10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m in aerodynamic diameter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C221EF" w:rsidRPr="00C221EF" w:rsidTr="00C221EF">
        <w:trPr>
          <w:trHeight w:val="315"/>
        </w:trPr>
        <w:tc>
          <w:tcPr>
            <w:tcW w:w="9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 xml:space="preserve">‡particulate matter with a size range of &lt;2.5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m in aerodynamic diameter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C221EF" w:rsidRPr="00C221EF" w:rsidTr="00C221EF">
        <w:trPr>
          <w:trHeight w:val="315"/>
        </w:trPr>
        <w:tc>
          <w:tcPr>
            <w:tcW w:w="9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 xml:space="preserve">"coarse particles with a size range of 2.5-10 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m in aerodynamic diameter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C221EF" w:rsidRPr="00C221EF" w:rsidTr="00C221EF">
        <w:trPr>
          <w:trHeight w:val="315"/>
        </w:trPr>
        <w:tc>
          <w:tcPr>
            <w:tcW w:w="95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§ultrafine particles with a size range of 0.02 to 0.1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m in aerodynamic diameter (20-100 nm)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C221EF" w:rsidRPr="00C221EF" w:rsidTr="00C221EF">
        <w:trPr>
          <w:trHeight w:val="315"/>
        </w:trPr>
        <w:tc>
          <w:tcPr>
            <w:tcW w:w="10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lastRenderedPageBreak/>
              <w:t>#particle number concentration with a size range of 0.02 to 0.8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m in aerodynamic diameter (20-800 nm)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C221EF" w:rsidRPr="00C221EF" w:rsidTr="00C221EF">
        <w:trPr>
          <w:trHeight w:val="315"/>
        </w:trPr>
        <w:tc>
          <w:tcPr>
            <w:tcW w:w="10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$particle number concentration with a size range of 0.02 to 0.5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</w:t>
            </w: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m in aerodynamic diameter (20-500 nm)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C221EF" w:rsidRPr="00C221EF" w:rsidTr="00C221EF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&amp;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nitrogen</w:t>
            </w:r>
            <w:proofErr w:type="spellEnd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C221E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dioxide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1EF" w:rsidRPr="00C221EF" w:rsidRDefault="00C221EF" w:rsidP="00C221E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de-DE" w:eastAsia="de-DE"/>
              </w:rPr>
            </w:pPr>
          </w:p>
        </w:tc>
      </w:tr>
    </w:tbl>
    <w:p w:rsidR="00E21DFF" w:rsidRDefault="00E21DFF" w:rsidP="00D00C1C">
      <w:pPr>
        <w:rPr>
          <w:lang w:val="en-US"/>
        </w:rPr>
      </w:pPr>
    </w:p>
    <w:p w:rsidR="00E21DFF" w:rsidRDefault="00E21DFF" w:rsidP="00E21DFF">
      <w:pPr>
        <w:rPr>
          <w:lang w:val="en-US"/>
        </w:rPr>
      </w:pPr>
      <w:r>
        <w:rPr>
          <w:lang w:val="en-US"/>
        </w:rPr>
        <w:br w:type="page"/>
      </w:r>
    </w:p>
    <w:p w:rsidR="00E21DFF" w:rsidRPr="00E21DFF" w:rsidRDefault="00E21DFF" w:rsidP="009D0C5A">
      <w:pPr>
        <w:pStyle w:val="Beschriftung"/>
        <w:keepNext/>
        <w:spacing w:line="360" w:lineRule="auto"/>
        <w:rPr>
          <w:rFonts w:ascii="Times New Roman" w:hAnsi="Times New Roman"/>
          <w:color w:val="auto"/>
          <w:sz w:val="22"/>
          <w:szCs w:val="22"/>
        </w:rPr>
      </w:pPr>
      <w:r w:rsidRPr="00E21DFF">
        <w:rPr>
          <w:rFonts w:ascii="Times New Roman" w:hAnsi="Times New Roman"/>
          <w:color w:val="auto"/>
          <w:sz w:val="22"/>
          <w:szCs w:val="22"/>
        </w:rPr>
        <w:lastRenderedPageBreak/>
        <w:t xml:space="preserve">Supplemental Table </w:t>
      </w:r>
      <w:r w:rsidRPr="00E21DFF">
        <w:rPr>
          <w:rFonts w:ascii="Times New Roman" w:hAnsi="Times New Roman"/>
          <w:color w:val="auto"/>
          <w:sz w:val="22"/>
          <w:szCs w:val="22"/>
        </w:rPr>
        <w:fldChar w:fldCharType="begin"/>
      </w:r>
      <w:r w:rsidRPr="00E21DFF">
        <w:rPr>
          <w:rFonts w:ascii="Times New Roman" w:hAnsi="Times New Roman"/>
          <w:color w:val="auto"/>
          <w:sz w:val="22"/>
          <w:szCs w:val="22"/>
        </w:rPr>
        <w:instrText xml:space="preserve"> SEQ Supplemental_Table \* ARABIC </w:instrText>
      </w:r>
      <w:r w:rsidRPr="00E21DFF">
        <w:rPr>
          <w:rFonts w:ascii="Times New Roman" w:hAnsi="Times New Roman"/>
          <w:color w:val="auto"/>
          <w:sz w:val="22"/>
          <w:szCs w:val="22"/>
        </w:rPr>
        <w:fldChar w:fldCharType="separate"/>
      </w:r>
      <w:r w:rsidR="00D53EA5">
        <w:rPr>
          <w:rFonts w:ascii="Times New Roman" w:hAnsi="Times New Roman"/>
          <w:noProof/>
          <w:color w:val="auto"/>
          <w:sz w:val="22"/>
          <w:szCs w:val="22"/>
        </w:rPr>
        <w:t>3</w:t>
      </w:r>
      <w:r w:rsidRPr="00E21DFF">
        <w:rPr>
          <w:rFonts w:ascii="Times New Roman" w:hAnsi="Times New Roman"/>
          <w:color w:val="auto"/>
          <w:sz w:val="22"/>
          <w:szCs w:val="22"/>
        </w:rPr>
        <w:fldChar w:fldCharType="end"/>
      </w:r>
      <w:r w:rsidRPr="00E21DFF">
        <w:rPr>
          <w:rFonts w:ascii="Times New Roman" w:hAnsi="Times New Roman"/>
          <w:color w:val="auto"/>
          <w:sz w:val="22"/>
          <w:szCs w:val="22"/>
        </w:rPr>
        <w:t xml:space="preserve">. Percent changes in the pooled relative risk </w:t>
      </w:r>
      <w:r w:rsidR="00B461A4">
        <w:rPr>
          <w:rFonts w:ascii="Times New Roman" w:hAnsi="Times New Roman"/>
          <w:color w:val="auto"/>
          <w:sz w:val="22"/>
          <w:szCs w:val="22"/>
        </w:rPr>
        <w:t xml:space="preserve">(95%-CI) </w:t>
      </w:r>
      <w:r w:rsidRPr="00E21DFF">
        <w:rPr>
          <w:rFonts w:ascii="Times New Roman" w:hAnsi="Times New Roman"/>
          <w:color w:val="auto"/>
          <w:sz w:val="22"/>
          <w:szCs w:val="22"/>
        </w:rPr>
        <w:t>of (cause-specific) mortality with each average IQR increase in air pollutants</w:t>
      </w:r>
      <w:r>
        <w:rPr>
          <w:rFonts w:ascii="Times New Roman" w:hAnsi="Times New Roman"/>
          <w:color w:val="auto"/>
          <w:sz w:val="22"/>
          <w:szCs w:val="22"/>
        </w:rPr>
        <w:t>, single lags</w:t>
      </w:r>
      <w:r w:rsidRPr="00E21DFF">
        <w:rPr>
          <w:rFonts w:ascii="Times New Roman" w:hAnsi="Times New Roman"/>
          <w:color w:val="auto"/>
          <w:sz w:val="22"/>
          <w:szCs w:val="22"/>
        </w:rPr>
        <w:t>.</w:t>
      </w:r>
    </w:p>
    <w:tbl>
      <w:tblPr>
        <w:tblW w:w="13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880"/>
        <w:gridCol w:w="1660"/>
        <w:gridCol w:w="1660"/>
        <w:gridCol w:w="1660"/>
        <w:gridCol w:w="1660"/>
        <w:gridCol w:w="1660"/>
        <w:gridCol w:w="1660"/>
      </w:tblGrid>
      <w:tr w:rsidR="00636D62" w:rsidRPr="00636D62" w:rsidTr="00636D62">
        <w:trPr>
          <w:trHeight w:val="402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Association</w:t>
            </w:r>
            <w:proofErr w:type="spellEnd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under</w:t>
            </w:r>
            <w:proofErr w:type="spellEnd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investigation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IQR†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lag 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lag 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lag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lag 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lag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lag 5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Natural </w:t>
            </w:r>
            <w:proofErr w:type="spellStart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mortality</w:t>
            </w:r>
            <w:proofErr w:type="spellEnd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 (n/cm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2,750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-0.8 (-2.6; 0.9)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 (-0.8; 2.7)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 (-2.0; 1.4)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-0.6 (-2.9; 1.8)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 (-1.7; 1.6)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 (-2.0; 1.3)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 (n/cm3)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3,675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-0.9 (-2.8; 0.9)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 (-1.2; 2.5)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 (-2.1; 1.4)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 (-2.8; 1.8)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 (-1.7; 1.8)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 (-2.1; 1.3)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12.4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 (-1.9; 1.2)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-0.3 (-1.9; 1.4)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 (-2.1; 2.7)*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 (-2.3; 3.4)*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 (-2.3; 2.6)*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 (-2.7; 3.0)*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10 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16.0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 (-1.6; 1.8)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 (-1.9; 1.2)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 (-2.1; 2.1)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 (-2.1; 3.4)*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 (-2.1; 2.1)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 (-2.7; 3.5)*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2.5-10 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4.7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1.2 (-0.4; 2.8)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 (-1.3, 2.0)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 (-0.9; 2.2)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 (-1.4; 1.9)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 (-1.1; 2.4)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1.1 (-1.4; 3.8)*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15.4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 (-1.3; 2.6)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 (-1.4; 2.5)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 (-2.1; 1.7)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0.7 (-1.9; 3.4)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-0.8 (-2.9; 1.4)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 (-2.2; 2.3)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Cardiovascular</w:t>
            </w:r>
            <w:proofErr w:type="spellEnd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mortality</w:t>
            </w:r>
            <w:proofErr w:type="spellEnd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 (n/cm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2,750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-0.8 (-3.3; 1.7)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 (-2.3; 2.9)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 (-2.7; 2.3)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 (-2.4; 3.1)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 (-2.2; 2.7)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 (-3.2; 3.6)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 (n/cm3)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3,675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-1.1 (-3.7; 1.6)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 (-2.6; 2.8)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-0.1 (-2.6; 2.5)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0.4 (-2.7; 3.7)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0.6 (-1.9; 3.2)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 (-3.6; 4.1)*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12.4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-0.7 (-2.9; 1.6)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 (-2.0; 2.5)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1.3 (-1.2; 3.9)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1.7 (-1.0; 4.4)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1.5 (-2.2; 5.4)*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1.2 (-3.8; 6.4)*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10 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16.0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-0.5 (-2.7; 1.7)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-0.2 (-2.2; 2.0)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0.5 (-1.5; 2.6)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2.2 (-0.9; 5.3)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1.4 (-1.8; 4.8)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1.5 (-3.3; 6.5)*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2.5-10 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4.7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0.3 (-2.0; 2.7)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0.8 (-2.1; 3.7)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 (-1.4; 3.2)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2.3 (0.1; 4.6)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2.1 (-0.1; 4.4)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3.1 (-0.4; 6.7)*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15.4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-0.7 (-3.5; 2.2)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 (-4.0; 3.4)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-0.0 (-2.8; 2.9)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1.9 (-1.3; 5.1)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0.1 (-4.0; 4.5)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1.3 (-2.9; 5.7)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Respiratory</w:t>
            </w:r>
            <w:proofErr w:type="spellEnd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mortality</w:t>
            </w:r>
            <w:proofErr w:type="spellEnd"/>
            <w:r w:rsidRPr="00636D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UFP (n/cm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de-DE" w:eastAsia="de-DE"/>
              </w:rPr>
              <w:t>3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2,750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 (-7.3; 8.2)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4.5 (-4.1; 13.8)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-2.2 (-13.4; 10.4)*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3.3 (-4.3; 11.6)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5.5 (-1.7; 13.2)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5.5 (-1.6; 13.2)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PNC (n/cm3)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3,675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-0.4 (-8.0; 7.9)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2.5 (-5.9; 11.6)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-2.5 (-10.8; 6.5)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2.7 (-5.6; 11.7)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4.5 (-3.0; 12.6)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5.3 (-2.2; 13.4)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2.5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12.4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-1.9 (-7.8; 4.3)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-3.1 (-9.0; 3.2)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-1.1 (-6.8; 5.0)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1.0 (-4.7; 7.1)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-3.1 (-8.6; 2.8)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0.9 (-4.9; 6.9)</w:t>
            </w:r>
          </w:p>
        </w:tc>
      </w:tr>
      <w:tr w:rsidR="00636D62" w:rsidRPr="00636D62" w:rsidTr="00636D6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10 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16.0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-2.3 (-8.2; 3.9)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-4.2 (-9.7; 1.7)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-2.2 (-7.7; 3.6)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-0.9 (-6.5; 5.1)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-4.4 (-9.8; 1.2)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-1.3 (-6.8; 4.6)</w:t>
            </w:r>
          </w:p>
        </w:tc>
      </w:tr>
      <w:tr w:rsidR="00636D62" w:rsidRPr="00636D62" w:rsidTr="00A26E72">
        <w:trPr>
          <w:trHeight w:val="360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PM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 xml:space="preserve">2.5-10 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4.7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 (-5.9; 6.2)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-2.5 (-8.4; 3.7)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-0.8 (-6.6; 5.4)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0.0 (-6.4; 6.8)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-0.8 (-6.6; 5.3)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-2.8 (-8.6; 3.5)</w:t>
            </w:r>
          </w:p>
        </w:tc>
      </w:tr>
      <w:tr w:rsidR="00636D62" w:rsidRPr="00636D62" w:rsidTr="00A26E72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NO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de-DE" w:eastAsia="de-DE"/>
              </w:rPr>
              <w:t>2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μg</w:t>
            </w:r>
            <w:proofErr w:type="spellEnd"/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/m³)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15.4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2.3 (-5.4; 10.6)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2.2 (-5.7; 10.8)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-4.4 (-11.9; 3.6)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2.6 (-6.3; 12.4)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-1.8 (-11.0; 8.4)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-2.4 (-9.7; 5.4)</w:t>
            </w:r>
          </w:p>
        </w:tc>
      </w:tr>
      <w:tr w:rsidR="004A7025" w:rsidRPr="00636D62" w:rsidTr="00A26E72">
        <w:trPr>
          <w:trHeight w:val="360"/>
        </w:trPr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25" w:rsidRPr="00636D62" w:rsidRDefault="004A7025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lastRenderedPageBreak/>
              <w:t>†average interquartile range across all cities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25" w:rsidRPr="00636D62" w:rsidRDefault="004A7025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25" w:rsidRPr="00636D62" w:rsidRDefault="004A7025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25" w:rsidRPr="00636D62" w:rsidRDefault="004A7025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25" w:rsidRPr="00636D62" w:rsidRDefault="004A7025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25" w:rsidRPr="00636D62" w:rsidRDefault="004A7025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636D62" w:rsidRPr="00636D62" w:rsidTr="00636D62">
        <w:trPr>
          <w:trHeight w:val="36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*heterogeneity p-value&lt;0.1 and I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en-US" w:eastAsia="de-DE"/>
              </w:rPr>
              <w:t>2</w:t>
            </w:r>
            <w:r w:rsidRPr="00636D6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&gt;50%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D62" w:rsidRPr="00636D62" w:rsidRDefault="00636D62" w:rsidP="00636D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</w:tbl>
    <w:p w:rsidR="00D53EA5" w:rsidRDefault="00884F12" w:rsidP="00D00C1C">
      <w:pPr>
        <w:rPr>
          <w:lang w:val="en-US"/>
        </w:rPr>
        <w:sectPr w:rsidR="00D53EA5" w:rsidSect="00E21DFF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>
        <w:rPr>
          <w:lang w:val="en-US"/>
        </w:rPr>
        <w:br/>
      </w:r>
    </w:p>
    <w:p w:rsidR="00D53EA5" w:rsidRPr="00D53EA5" w:rsidRDefault="00D53EA5" w:rsidP="004F02E8">
      <w:pPr>
        <w:pStyle w:val="Beschriftung"/>
        <w:keepNext/>
        <w:spacing w:line="360" w:lineRule="auto"/>
        <w:rPr>
          <w:rFonts w:ascii="Times New Roman" w:hAnsi="Times New Roman"/>
          <w:color w:val="auto"/>
          <w:sz w:val="22"/>
          <w:szCs w:val="22"/>
        </w:rPr>
      </w:pPr>
      <w:r w:rsidRPr="00D53EA5">
        <w:rPr>
          <w:rFonts w:ascii="Times New Roman" w:hAnsi="Times New Roman"/>
          <w:color w:val="auto"/>
          <w:sz w:val="22"/>
          <w:szCs w:val="22"/>
        </w:rPr>
        <w:lastRenderedPageBreak/>
        <w:t xml:space="preserve">Supplemental Table </w:t>
      </w:r>
      <w:r w:rsidRPr="00D53EA5">
        <w:rPr>
          <w:rFonts w:ascii="Times New Roman" w:hAnsi="Times New Roman"/>
          <w:color w:val="auto"/>
          <w:sz w:val="22"/>
          <w:szCs w:val="22"/>
        </w:rPr>
        <w:fldChar w:fldCharType="begin"/>
      </w:r>
      <w:r w:rsidRPr="00D53EA5">
        <w:rPr>
          <w:rFonts w:ascii="Times New Roman" w:hAnsi="Times New Roman"/>
          <w:color w:val="auto"/>
          <w:sz w:val="22"/>
          <w:szCs w:val="22"/>
        </w:rPr>
        <w:instrText xml:space="preserve"> SEQ Supplemental_Table \* ARABIC </w:instrText>
      </w:r>
      <w:r w:rsidRPr="00D53EA5">
        <w:rPr>
          <w:rFonts w:ascii="Times New Roman" w:hAnsi="Times New Roman"/>
          <w:color w:val="auto"/>
          <w:sz w:val="22"/>
          <w:szCs w:val="22"/>
        </w:rPr>
        <w:fldChar w:fldCharType="separate"/>
      </w:r>
      <w:r w:rsidRPr="00D53EA5">
        <w:rPr>
          <w:rFonts w:ascii="Times New Roman" w:hAnsi="Times New Roman"/>
          <w:noProof/>
          <w:color w:val="auto"/>
          <w:sz w:val="22"/>
          <w:szCs w:val="22"/>
        </w:rPr>
        <w:t>4</w:t>
      </w:r>
      <w:r w:rsidRPr="00D53EA5">
        <w:rPr>
          <w:rFonts w:ascii="Times New Roman" w:hAnsi="Times New Roman"/>
          <w:color w:val="auto"/>
          <w:sz w:val="22"/>
          <w:szCs w:val="22"/>
        </w:rPr>
        <w:fldChar w:fldCharType="end"/>
      </w:r>
      <w:r w:rsidRPr="00D53EA5">
        <w:rPr>
          <w:rFonts w:ascii="Times New Roman" w:hAnsi="Times New Roman"/>
          <w:color w:val="auto"/>
          <w:sz w:val="22"/>
          <w:szCs w:val="22"/>
        </w:rPr>
        <w:t xml:space="preserve">. Percent change in the pooled relative risk </w:t>
      </w:r>
      <w:r w:rsidR="002310CA">
        <w:rPr>
          <w:rFonts w:ascii="Times New Roman" w:hAnsi="Times New Roman"/>
          <w:color w:val="auto"/>
          <w:sz w:val="22"/>
          <w:szCs w:val="22"/>
        </w:rPr>
        <w:t xml:space="preserve">(95%-CI) </w:t>
      </w:r>
      <w:r w:rsidRPr="00D53EA5">
        <w:rPr>
          <w:rFonts w:ascii="Times New Roman" w:hAnsi="Times New Roman"/>
          <w:color w:val="auto"/>
          <w:sz w:val="22"/>
          <w:szCs w:val="22"/>
        </w:rPr>
        <w:t xml:space="preserve">of respiratory mortality per </w:t>
      </w:r>
      <w:r w:rsidR="00187E4C">
        <w:rPr>
          <w:rFonts w:ascii="Times New Roman" w:hAnsi="Times New Roman"/>
          <w:color w:val="auto"/>
          <w:sz w:val="22"/>
          <w:szCs w:val="22"/>
        </w:rPr>
        <w:t>IQR</w:t>
      </w:r>
      <w:r w:rsidRPr="00D53EA5">
        <w:rPr>
          <w:rFonts w:ascii="Times New Roman" w:hAnsi="Times New Roman"/>
          <w:color w:val="auto"/>
          <w:sz w:val="22"/>
          <w:szCs w:val="22"/>
        </w:rPr>
        <w:t xml:space="preserve"> increase in UFP and percent change in the pooled relative risk of cardiovascular mortality per </w:t>
      </w:r>
      <w:r w:rsidR="00187E4C">
        <w:rPr>
          <w:rFonts w:ascii="Times New Roman" w:hAnsi="Times New Roman"/>
          <w:color w:val="auto"/>
          <w:sz w:val="22"/>
          <w:szCs w:val="22"/>
        </w:rPr>
        <w:t>IQR</w:t>
      </w:r>
      <w:r w:rsidRPr="00D53EA5">
        <w:rPr>
          <w:rFonts w:ascii="Times New Roman" w:hAnsi="Times New Roman"/>
          <w:color w:val="auto"/>
          <w:sz w:val="22"/>
          <w:szCs w:val="22"/>
        </w:rPr>
        <w:t xml:space="preserve"> increase in PM</w:t>
      </w:r>
      <w:r w:rsidRPr="00D53EA5">
        <w:rPr>
          <w:rFonts w:ascii="Times New Roman" w:hAnsi="Times New Roman"/>
          <w:color w:val="auto"/>
          <w:sz w:val="22"/>
          <w:szCs w:val="22"/>
          <w:vertAlign w:val="subscript"/>
        </w:rPr>
        <w:t>2.5</w:t>
      </w:r>
      <w:r>
        <w:rPr>
          <w:rFonts w:ascii="Times New Roman" w:hAnsi="Times New Roman"/>
          <w:color w:val="auto"/>
          <w:sz w:val="22"/>
          <w:szCs w:val="22"/>
        </w:rPr>
        <w:t>, effect modification by age, sex and season</w:t>
      </w:r>
      <w:r w:rsidR="00C23B8F">
        <w:rPr>
          <w:rFonts w:ascii="Times New Roman" w:hAnsi="Times New Roman"/>
          <w:color w:val="auto"/>
          <w:sz w:val="22"/>
          <w:szCs w:val="22"/>
        </w:rPr>
        <w:t>.</w:t>
      </w:r>
    </w:p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00"/>
        <w:gridCol w:w="2800"/>
      </w:tblGrid>
      <w:tr w:rsidR="00D53EA5" w:rsidRPr="00D53EA5" w:rsidTr="00700A5C">
        <w:trPr>
          <w:trHeight w:val="54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EA5" w:rsidRPr="00D53EA5" w:rsidRDefault="00D53EA5" w:rsidP="00D53EA5">
            <w:pPr>
              <w:spacing w:after="0" w:line="240" w:lineRule="auto"/>
              <w:rPr>
                <w:rFonts w:eastAsia="Times New Roman"/>
                <w:color w:val="000000"/>
                <w:lang w:val="en-US" w:eastAsia="de-D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D53E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UFP** and respiratory mortality (6-day average)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D53E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PM</w:t>
            </w:r>
            <w:r w:rsidRPr="00D53E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vertAlign w:val="subscript"/>
                <w:lang w:val="en-US" w:eastAsia="de-DE"/>
              </w:rPr>
              <w:t>2.5</w:t>
            </w:r>
            <w:r w:rsidRPr="00D53EA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† and cardiovascular mortality (average of lag2-5)</w:t>
            </w:r>
          </w:p>
        </w:tc>
      </w:tr>
      <w:tr w:rsidR="00D53EA5" w:rsidRPr="00D53EA5" w:rsidTr="00700A5C">
        <w:trPr>
          <w:trHeight w:val="499"/>
        </w:trPr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Main</w:t>
            </w:r>
            <w:proofErr w:type="spellEnd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effect</w:t>
            </w:r>
            <w:proofErr w:type="spellEnd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9.9 (-6.3; 28.8)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3.0 (-2.7; 9.1) </w:t>
            </w:r>
          </w:p>
        </w:tc>
      </w:tr>
      <w:tr w:rsidR="00D53EA5" w:rsidRPr="00D53EA5" w:rsidTr="00D53EA5">
        <w:trPr>
          <w:trHeight w:val="49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Age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D53EA5" w:rsidRPr="00D53EA5" w:rsidTr="00D53EA5">
        <w:trPr>
          <w:trHeight w:val="49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&lt;75 </w:t>
            </w:r>
            <w:proofErr w:type="spellStart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years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insufficient</w:t>
            </w:r>
            <w:proofErr w:type="spellEnd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cases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0.2 (-5.8; 6.6)</w:t>
            </w:r>
          </w:p>
        </w:tc>
      </w:tr>
      <w:tr w:rsidR="00D53EA5" w:rsidRPr="00D53EA5" w:rsidTr="00D53EA5">
        <w:trPr>
          <w:trHeight w:val="49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≥75 </w:t>
            </w:r>
            <w:proofErr w:type="spellStart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years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8.3 (-11.6; 32.8)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3.1 (-2.5; 9.1)*</w:t>
            </w:r>
          </w:p>
        </w:tc>
      </w:tr>
      <w:tr w:rsidR="00D53EA5" w:rsidRPr="00D53EA5" w:rsidTr="00D53EA5">
        <w:trPr>
          <w:trHeight w:val="49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Sex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D53EA5" w:rsidRPr="00D53EA5" w:rsidTr="00D53EA5">
        <w:trPr>
          <w:trHeight w:val="49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females</w:t>
            </w:r>
            <w:proofErr w:type="spellEnd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8.8 (-28.1; 64.9)*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3.5 (-3.5; 11.0)*</w:t>
            </w:r>
          </w:p>
        </w:tc>
      </w:tr>
      <w:tr w:rsidR="00D53EA5" w:rsidRPr="00D53EA5" w:rsidTr="00D53EA5">
        <w:trPr>
          <w:trHeight w:val="49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males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1.9 (-14.9; 22.1)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 xml:space="preserve">0.3 (-3.9; 4.7) </w:t>
            </w:r>
          </w:p>
        </w:tc>
      </w:tr>
      <w:tr w:rsidR="00D53EA5" w:rsidRPr="00D53EA5" w:rsidTr="00D53EA5">
        <w:trPr>
          <w:trHeight w:val="49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Season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D53EA5" w:rsidRPr="00D53EA5" w:rsidTr="00D53EA5">
        <w:trPr>
          <w:trHeight w:val="499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October</w:t>
            </w:r>
            <w:proofErr w:type="spellEnd"/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-March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5.2 (-9.2; 21.9)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2.8 (-2.9; 8.8)*</w:t>
            </w:r>
          </w:p>
        </w:tc>
      </w:tr>
      <w:tr w:rsidR="00D53EA5" w:rsidRPr="00D53EA5" w:rsidTr="00D53EA5">
        <w:trPr>
          <w:trHeight w:val="49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April-September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3.7 (-27.6; 48.7)*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3.2 (-4.0; 11.0)</w:t>
            </w:r>
          </w:p>
        </w:tc>
      </w:tr>
      <w:tr w:rsidR="00700A5C" w:rsidRPr="00D53EA5" w:rsidTr="00D53EA5">
        <w:trPr>
          <w:trHeight w:val="499"/>
        </w:trPr>
        <w:tc>
          <w:tcPr>
            <w:tcW w:w="5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A5C" w:rsidRPr="00D53EA5" w:rsidRDefault="00700A5C" w:rsidP="00D03B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Average interquartile range for UFP: 2,750 particles/cm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en-US" w:eastAsia="de-DE"/>
              </w:rPr>
              <w:t xml:space="preserve">3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A5C" w:rsidRPr="00D53EA5" w:rsidRDefault="00700A5C" w:rsidP="00D03B8F">
            <w:pPr>
              <w:spacing w:after="0" w:line="240" w:lineRule="auto"/>
              <w:rPr>
                <w:rFonts w:eastAsia="Times New Roman"/>
                <w:color w:val="000000"/>
                <w:lang w:val="en-US" w:eastAsia="de-DE"/>
              </w:rPr>
            </w:pPr>
          </w:p>
        </w:tc>
      </w:tr>
      <w:tr w:rsidR="00700A5C" w:rsidRPr="00D53EA5" w:rsidTr="00D53EA5">
        <w:trPr>
          <w:trHeight w:val="499"/>
        </w:trPr>
        <w:tc>
          <w:tcPr>
            <w:tcW w:w="5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A5C" w:rsidRPr="00D53EA5" w:rsidRDefault="00700A5C" w:rsidP="00D03B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Average interquartile range for PM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bscript"/>
                <w:lang w:val="en-US" w:eastAsia="de-DE"/>
              </w:rPr>
              <w:t>2.5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: 12.4 µg/m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en-US" w:eastAsia="de-DE"/>
              </w:rPr>
              <w:t>3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00A5C" w:rsidRPr="00D53EA5" w:rsidRDefault="00700A5C" w:rsidP="00D03B8F">
            <w:pPr>
              <w:spacing w:after="0" w:line="240" w:lineRule="auto"/>
              <w:rPr>
                <w:rFonts w:eastAsia="Times New Roman"/>
                <w:color w:val="000000"/>
                <w:lang w:val="en-US" w:eastAsia="de-DE"/>
              </w:rPr>
            </w:pPr>
          </w:p>
        </w:tc>
      </w:tr>
      <w:tr w:rsidR="00D53EA5" w:rsidRPr="00D53EA5" w:rsidTr="00D53EA5">
        <w:trPr>
          <w:trHeight w:val="499"/>
        </w:trPr>
        <w:tc>
          <w:tcPr>
            <w:tcW w:w="5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*heterogeneity p-value&lt;0.1 and I</w:t>
            </w:r>
            <w:r w:rsidRPr="00700A5C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val="en-US" w:eastAsia="de-DE"/>
              </w:rPr>
              <w:t>2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&gt;50%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rPr>
                <w:rFonts w:eastAsia="Times New Roman"/>
                <w:color w:val="000000"/>
                <w:lang w:val="en-US" w:eastAsia="de-DE"/>
              </w:rPr>
            </w:pPr>
          </w:p>
        </w:tc>
      </w:tr>
      <w:tr w:rsidR="00D53EA5" w:rsidRPr="00D53EA5" w:rsidTr="00D53EA5">
        <w:trPr>
          <w:trHeight w:val="499"/>
        </w:trPr>
        <w:tc>
          <w:tcPr>
            <w:tcW w:w="8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**</w:t>
            </w:r>
            <w:r w:rsidR="001B736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u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ltrafine particles with a size range of 0.02 to 0.1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m in aerodynamic diameter (20-100 nm)</w:t>
            </w:r>
          </w:p>
        </w:tc>
      </w:tr>
      <w:tr w:rsidR="00D53EA5" w:rsidRPr="00D53EA5" w:rsidTr="00D53EA5">
        <w:trPr>
          <w:trHeight w:val="499"/>
        </w:trPr>
        <w:tc>
          <w:tcPr>
            <w:tcW w:w="8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3EA5" w:rsidRPr="00D53EA5" w:rsidRDefault="00D53EA5" w:rsidP="00D53EA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</w:pP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†</w:t>
            </w:r>
            <w:r w:rsidR="001B736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p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 xml:space="preserve">articulate matter with a size range of &lt;2.5 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de-DE" w:eastAsia="de-DE"/>
              </w:rPr>
              <w:t>μ</w:t>
            </w:r>
            <w:r w:rsidRPr="00D53EA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de-DE"/>
              </w:rPr>
              <w:t>m in aerodynamic diameter</w:t>
            </w:r>
          </w:p>
        </w:tc>
      </w:tr>
    </w:tbl>
    <w:p w:rsidR="00565717" w:rsidRDefault="00565717" w:rsidP="00D00C1C">
      <w:pPr>
        <w:rPr>
          <w:lang w:val="en-US"/>
        </w:rPr>
      </w:pPr>
    </w:p>
    <w:p w:rsidR="00565717" w:rsidRDefault="00565717">
      <w:pPr>
        <w:rPr>
          <w:lang w:val="en-US"/>
        </w:rPr>
      </w:pPr>
      <w:r>
        <w:rPr>
          <w:lang w:val="en-US"/>
        </w:rPr>
        <w:br w:type="page"/>
      </w:r>
    </w:p>
    <w:p w:rsidR="006826D7" w:rsidRDefault="006826D7" w:rsidP="008A5EDB">
      <w:pPr>
        <w:keepNext/>
      </w:pPr>
      <w:r>
        <w:rPr>
          <w:noProof/>
          <w:lang w:val="de-DE" w:eastAsia="de-DE"/>
        </w:rPr>
        <w:lastRenderedPageBreak/>
        <w:drawing>
          <wp:inline distT="0" distB="0" distL="0" distR="0" wp14:anchorId="5D72E79F" wp14:editId="1C2CA890">
            <wp:extent cx="4903200" cy="49032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e_Central Europe_blau_Städt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3200" cy="4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6D7" w:rsidRPr="008A5EDB" w:rsidRDefault="006826D7" w:rsidP="008A5EDB">
      <w:pPr>
        <w:pStyle w:val="Beschriftung"/>
        <w:rPr>
          <w:rFonts w:ascii="Times New Roman" w:hAnsi="Times New Roman"/>
          <w:color w:val="auto"/>
          <w:sz w:val="22"/>
          <w:szCs w:val="22"/>
          <w:lang w:val="en-US"/>
        </w:rPr>
      </w:pPr>
      <w:r w:rsidRPr="008A5EDB">
        <w:rPr>
          <w:rFonts w:ascii="Times New Roman" w:hAnsi="Times New Roman"/>
          <w:color w:val="auto"/>
          <w:sz w:val="22"/>
          <w:szCs w:val="22"/>
        </w:rPr>
        <w:t xml:space="preserve">Supplemental Figure </w:t>
      </w:r>
      <w:r w:rsidRPr="008A5EDB">
        <w:rPr>
          <w:rFonts w:ascii="Times New Roman" w:hAnsi="Times New Roman"/>
          <w:color w:val="auto"/>
          <w:sz w:val="22"/>
          <w:szCs w:val="22"/>
        </w:rPr>
        <w:fldChar w:fldCharType="begin"/>
      </w:r>
      <w:r w:rsidRPr="008A5EDB">
        <w:rPr>
          <w:rFonts w:ascii="Times New Roman" w:hAnsi="Times New Roman"/>
          <w:color w:val="auto"/>
          <w:sz w:val="22"/>
          <w:szCs w:val="22"/>
        </w:rPr>
        <w:instrText xml:space="preserve"> SEQ Supplemental_Figure \* ARABIC </w:instrText>
      </w:r>
      <w:r w:rsidRPr="008A5EDB">
        <w:rPr>
          <w:rFonts w:ascii="Times New Roman" w:hAnsi="Times New Roman"/>
          <w:color w:val="auto"/>
          <w:sz w:val="22"/>
          <w:szCs w:val="22"/>
        </w:rPr>
        <w:fldChar w:fldCharType="separate"/>
      </w:r>
      <w:r w:rsidR="0080573B">
        <w:rPr>
          <w:rFonts w:ascii="Times New Roman" w:hAnsi="Times New Roman"/>
          <w:noProof/>
          <w:color w:val="auto"/>
          <w:sz w:val="22"/>
          <w:szCs w:val="22"/>
        </w:rPr>
        <w:t>1</w:t>
      </w:r>
      <w:r w:rsidRPr="008A5EDB">
        <w:rPr>
          <w:rFonts w:ascii="Times New Roman" w:hAnsi="Times New Roman"/>
          <w:color w:val="auto"/>
          <w:sz w:val="22"/>
          <w:szCs w:val="22"/>
        </w:rPr>
        <w:fldChar w:fldCharType="end"/>
      </w:r>
      <w:r w:rsidRPr="008A5EDB">
        <w:rPr>
          <w:rFonts w:ascii="Times New Roman" w:hAnsi="Times New Roman"/>
          <w:color w:val="auto"/>
          <w:sz w:val="22"/>
          <w:szCs w:val="22"/>
        </w:rPr>
        <w:t xml:space="preserve">. </w:t>
      </w:r>
      <w:r w:rsidRPr="0080573B">
        <w:rPr>
          <w:rFonts w:ascii="Times New Roman" w:hAnsi="Times New Roman"/>
          <w:b w:val="0"/>
          <w:color w:val="auto"/>
          <w:sz w:val="22"/>
          <w:szCs w:val="22"/>
        </w:rPr>
        <w:t>Location of the five cities in Central and Eastern Europe.</w:t>
      </w:r>
    </w:p>
    <w:p w:rsidR="006826D7" w:rsidRDefault="006826D7">
      <w:pPr>
        <w:rPr>
          <w:lang w:val="en-US"/>
        </w:rPr>
      </w:pPr>
    </w:p>
    <w:p w:rsidR="0080573B" w:rsidRDefault="0080573B">
      <w:pPr>
        <w:rPr>
          <w:lang w:val="en-US"/>
        </w:rPr>
      </w:pPr>
    </w:p>
    <w:p w:rsidR="0080573B" w:rsidRDefault="0080573B">
      <w:pPr>
        <w:rPr>
          <w:lang w:val="en-US"/>
        </w:rPr>
      </w:pPr>
    </w:p>
    <w:p w:rsidR="0080573B" w:rsidRDefault="0080573B">
      <w:pPr>
        <w:rPr>
          <w:lang w:val="en-US"/>
        </w:rPr>
      </w:pPr>
    </w:p>
    <w:p w:rsidR="0080573B" w:rsidRDefault="0080573B" w:rsidP="0080573B">
      <w:pPr>
        <w:keepNext/>
      </w:pPr>
      <w:r>
        <w:rPr>
          <w:noProof/>
          <w:lang w:val="de-DE" w:eastAsia="de-DE"/>
        </w:rPr>
        <w:lastRenderedPageBreak/>
        <w:drawing>
          <wp:inline distT="0" distB="0" distL="0" distR="0" wp14:anchorId="3B32CAC4" wp14:editId="26999B0B">
            <wp:extent cx="5274000" cy="3733200"/>
            <wp:effectExtent l="0" t="0" r="3175" b="635"/>
            <wp:docPr id="5" name="Grafik 5" descr="UFP_Mo_cvd_Augsbu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FP_Mo_cvd_Augsbur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4" t="29539" r="15868" b="3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37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73B" w:rsidRPr="0080573B" w:rsidRDefault="0080573B" w:rsidP="0080573B">
      <w:pPr>
        <w:pStyle w:val="Beschriftung"/>
        <w:spacing w:line="360" w:lineRule="auto"/>
        <w:rPr>
          <w:rFonts w:ascii="Times New Roman" w:hAnsi="Times New Roman"/>
          <w:color w:val="auto"/>
          <w:sz w:val="22"/>
          <w:szCs w:val="22"/>
          <w:lang w:val="en-US"/>
        </w:rPr>
      </w:pPr>
      <w:r w:rsidRPr="0080573B">
        <w:rPr>
          <w:rFonts w:ascii="Times New Roman" w:hAnsi="Times New Roman"/>
          <w:color w:val="auto"/>
          <w:sz w:val="22"/>
          <w:szCs w:val="22"/>
        </w:rPr>
        <w:t xml:space="preserve">Supplemental Figure </w:t>
      </w:r>
      <w:r w:rsidRPr="0080573B">
        <w:rPr>
          <w:rFonts w:ascii="Times New Roman" w:hAnsi="Times New Roman"/>
          <w:color w:val="auto"/>
          <w:sz w:val="22"/>
          <w:szCs w:val="22"/>
        </w:rPr>
        <w:fldChar w:fldCharType="begin"/>
      </w:r>
      <w:r w:rsidRPr="0080573B">
        <w:rPr>
          <w:rFonts w:ascii="Times New Roman" w:hAnsi="Times New Roman"/>
          <w:color w:val="auto"/>
          <w:sz w:val="22"/>
          <w:szCs w:val="22"/>
        </w:rPr>
        <w:instrText xml:space="preserve"> SEQ Supplemental_Figure \* ARABIC </w:instrText>
      </w:r>
      <w:r w:rsidRPr="0080573B">
        <w:rPr>
          <w:rFonts w:ascii="Times New Roman" w:hAnsi="Times New Roman"/>
          <w:color w:val="auto"/>
          <w:sz w:val="22"/>
          <w:szCs w:val="22"/>
        </w:rPr>
        <w:fldChar w:fldCharType="separate"/>
      </w:r>
      <w:r w:rsidRPr="0080573B">
        <w:rPr>
          <w:rFonts w:ascii="Times New Roman" w:hAnsi="Times New Roman"/>
          <w:noProof/>
          <w:color w:val="auto"/>
          <w:sz w:val="22"/>
          <w:szCs w:val="22"/>
        </w:rPr>
        <w:t>2</w:t>
      </w:r>
      <w:r w:rsidRPr="0080573B">
        <w:rPr>
          <w:rFonts w:ascii="Times New Roman" w:hAnsi="Times New Roman"/>
          <w:color w:val="auto"/>
          <w:sz w:val="22"/>
          <w:szCs w:val="22"/>
        </w:rPr>
        <w:fldChar w:fldCharType="end"/>
      </w:r>
      <w:r>
        <w:rPr>
          <w:rFonts w:ascii="Times New Roman" w:hAnsi="Times New Roman"/>
          <w:color w:val="auto"/>
          <w:sz w:val="22"/>
          <w:szCs w:val="22"/>
        </w:rPr>
        <w:t xml:space="preserve">. </w:t>
      </w:r>
      <w:r w:rsidRPr="0080573B">
        <w:rPr>
          <w:rFonts w:ascii="Times New Roman" w:hAnsi="Times New Roman"/>
          <w:b w:val="0"/>
          <w:color w:val="auto"/>
          <w:sz w:val="22"/>
          <w:szCs w:val="22"/>
        </w:rPr>
        <w:t>Percent change in the relative risk</w:t>
      </w:r>
      <w:r>
        <w:rPr>
          <w:rFonts w:ascii="Times New Roman" w:hAnsi="Times New Roman"/>
          <w:b w:val="0"/>
          <w:color w:val="auto"/>
          <w:sz w:val="22"/>
          <w:szCs w:val="22"/>
        </w:rPr>
        <w:t xml:space="preserve"> of cardiovascular mortality </w:t>
      </w:r>
      <w:r w:rsidRPr="0080573B">
        <w:rPr>
          <w:rFonts w:ascii="Times New Roman" w:hAnsi="Times New Roman"/>
          <w:b w:val="0"/>
          <w:color w:val="auto"/>
          <w:sz w:val="22"/>
          <w:szCs w:val="22"/>
        </w:rPr>
        <w:t xml:space="preserve">per IQR increase in UFP in Augsburg. </w:t>
      </w:r>
      <w:r w:rsidRPr="0080573B">
        <w:rPr>
          <w:rFonts w:ascii="Times New Roman" w:hAnsi="Times New Roman"/>
          <w:b w:val="0"/>
          <w:color w:val="auto"/>
          <w:sz w:val="22"/>
          <w:szCs w:val="22"/>
        </w:rPr>
        <w:br/>
        <w:t>IQRs: 3,332 particles/cm</w:t>
      </w:r>
      <w:r w:rsidRPr="0080573B">
        <w:rPr>
          <w:rFonts w:ascii="Times New Roman" w:hAnsi="Times New Roman"/>
          <w:b w:val="0"/>
          <w:color w:val="auto"/>
          <w:sz w:val="22"/>
          <w:szCs w:val="22"/>
          <w:vertAlign w:val="superscript"/>
        </w:rPr>
        <w:t>3</w:t>
      </w:r>
      <w:r w:rsidRPr="0080573B">
        <w:rPr>
          <w:rFonts w:ascii="Times New Roman" w:hAnsi="Times New Roman"/>
          <w:b w:val="0"/>
          <w:color w:val="auto"/>
          <w:sz w:val="22"/>
          <w:szCs w:val="22"/>
        </w:rPr>
        <w:t xml:space="preserve"> for single lags, 2,915 particles/cm</w:t>
      </w:r>
      <w:r w:rsidRPr="0080573B">
        <w:rPr>
          <w:rFonts w:ascii="Times New Roman" w:hAnsi="Times New Roman"/>
          <w:b w:val="0"/>
          <w:color w:val="auto"/>
          <w:sz w:val="22"/>
          <w:szCs w:val="22"/>
          <w:vertAlign w:val="superscript"/>
        </w:rPr>
        <w:t>3</w:t>
      </w:r>
      <w:r w:rsidR="00357CAB">
        <w:rPr>
          <w:rFonts w:ascii="Times New Roman" w:hAnsi="Times New Roman"/>
          <w:b w:val="0"/>
          <w:color w:val="auto"/>
          <w:sz w:val="22"/>
          <w:szCs w:val="22"/>
        </w:rPr>
        <w:t xml:space="preserve"> for 2-day average</w:t>
      </w:r>
      <w:r w:rsidRPr="0080573B">
        <w:rPr>
          <w:rFonts w:ascii="Times New Roman" w:hAnsi="Times New Roman"/>
          <w:b w:val="0"/>
          <w:color w:val="auto"/>
          <w:sz w:val="22"/>
          <w:szCs w:val="22"/>
        </w:rPr>
        <w:t>, 2,328 particles/cm</w:t>
      </w:r>
      <w:r w:rsidRPr="0080573B">
        <w:rPr>
          <w:rFonts w:ascii="Times New Roman" w:hAnsi="Times New Roman"/>
          <w:b w:val="0"/>
          <w:color w:val="auto"/>
          <w:sz w:val="22"/>
          <w:szCs w:val="22"/>
          <w:vertAlign w:val="superscript"/>
        </w:rPr>
        <w:t>3</w:t>
      </w:r>
      <w:r w:rsidRPr="0080573B">
        <w:rPr>
          <w:rFonts w:ascii="Times New Roman" w:hAnsi="Times New Roman"/>
          <w:b w:val="0"/>
          <w:color w:val="auto"/>
          <w:sz w:val="22"/>
          <w:szCs w:val="22"/>
        </w:rPr>
        <w:t xml:space="preserve"> for </w:t>
      </w:r>
      <w:proofErr w:type="spellStart"/>
      <w:r w:rsidRPr="0080573B">
        <w:rPr>
          <w:rFonts w:ascii="Times New Roman" w:hAnsi="Times New Roman"/>
          <w:b w:val="0"/>
          <w:color w:val="auto"/>
          <w:sz w:val="22"/>
          <w:szCs w:val="22"/>
        </w:rPr>
        <w:t>avg</w:t>
      </w:r>
      <w:proofErr w:type="spellEnd"/>
      <w:r w:rsidRPr="0080573B">
        <w:rPr>
          <w:rFonts w:ascii="Times New Roman" w:hAnsi="Times New Roman"/>
          <w:b w:val="0"/>
          <w:color w:val="auto"/>
          <w:sz w:val="22"/>
          <w:szCs w:val="22"/>
        </w:rPr>
        <w:t xml:space="preserve"> of lag</w:t>
      </w:r>
      <w:r w:rsidR="00357CAB"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  <w:r w:rsidRPr="0080573B">
        <w:rPr>
          <w:rFonts w:ascii="Times New Roman" w:hAnsi="Times New Roman"/>
          <w:b w:val="0"/>
          <w:color w:val="auto"/>
          <w:sz w:val="22"/>
          <w:szCs w:val="22"/>
        </w:rPr>
        <w:t>2-5, 2,162 for 6-day average.</w:t>
      </w:r>
    </w:p>
    <w:p w:rsidR="00E5699B" w:rsidRPr="00E5699B" w:rsidRDefault="00565717" w:rsidP="00E5699B">
      <w:pPr>
        <w:keepNext/>
        <w:jc w:val="center"/>
        <w:rPr>
          <w:rFonts w:ascii="Times New Roman" w:hAnsi="Times New Roman"/>
          <w:sz w:val="20"/>
          <w:szCs w:val="20"/>
        </w:rPr>
      </w:pPr>
      <w:r w:rsidRPr="00E5699B">
        <w:rPr>
          <w:rFonts w:ascii="Times New Roman" w:hAnsi="Times New Roman"/>
          <w:noProof/>
          <w:sz w:val="20"/>
          <w:szCs w:val="20"/>
          <w:lang w:val="de-DE" w:eastAsia="de-DE"/>
        </w:rPr>
        <w:lastRenderedPageBreak/>
        <w:drawing>
          <wp:inline distT="0" distB="0" distL="0" distR="0" wp14:anchorId="66D3D2EF" wp14:editId="6750000D">
            <wp:extent cx="4114800" cy="570547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1 PDL 7lags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17723" r="18017" b="8040"/>
                    <a:stretch/>
                  </pic:blipFill>
                  <pic:spPr bwMode="auto">
                    <a:xfrm>
                      <a:off x="0" y="0"/>
                      <a:ext cx="4113440" cy="5703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9C6" w:rsidRPr="00EF3849" w:rsidRDefault="00E5699B" w:rsidP="002E73C5">
      <w:pPr>
        <w:pStyle w:val="Beschriftung"/>
        <w:spacing w:line="360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E5699B">
        <w:rPr>
          <w:rFonts w:ascii="Times New Roman" w:hAnsi="Times New Roman"/>
          <w:color w:val="auto"/>
          <w:sz w:val="22"/>
          <w:szCs w:val="22"/>
        </w:rPr>
        <w:t xml:space="preserve">Supplemental Figure </w:t>
      </w:r>
      <w:r w:rsidRPr="00E5699B">
        <w:rPr>
          <w:rFonts w:ascii="Times New Roman" w:hAnsi="Times New Roman"/>
          <w:color w:val="auto"/>
          <w:sz w:val="22"/>
          <w:szCs w:val="22"/>
        </w:rPr>
        <w:fldChar w:fldCharType="begin"/>
      </w:r>
      <w:r w:rsidRPr="00E5699B">
        <w:rPr>
          <w:rFonts w:ascii="Times New Roman" w:hAnsi="Times New Roman"/>
          <w:color w:val="auto"/>
          <w:sz w:val="22"/>
          <w:szCs w:val="22"/>
        </w:rPr>
        <w:instrText xml:space="preserve"> SEQ Supplemental_Figure \* ARABIC </w:instrText>
      </w:r>
      <w:r w:rsidRPr="00E5699B">
        <w:rPr>
          <w:rFonts w:ascii="Times New Roman" w:hAnsi="Times New Roman"/>
          <w:color w:val="auto"/>
          <w:sz w:val="22"/>
          <w:szCs w:val="22"/>
        </w:rPr>
        <w:fldChar w:fldCharType="separate"/>
      </w:r>
      <w:r w:rsidR="0080573B">
        <w:rPr>
          <w:rFonts w:ascii="Times New Roman" w:hAnsi="Times New Roman"/>
          <w:noProof/>
          <w:color w:val="auto"/>
          <w:sz w:val="22"/>
          <w:szCs w:val="22"/>
        </w:rPr>
        <w:t>3</w:t>
      </w:r>
      <w:r w:rsidRPr="00E5699B">
        <w:rPr>
          <w:rFonts w:ascii="Times New Roman" w:hAnsi="Times New Roman"/>
          <w:color w:val="auto"/>
          <w:sz w:val="22"/>
          <w:szCs w:val="22"/>
        </w:rPr>
        <w:fldChar w:fldCharType="end"/>
      </w:r>
      <w:r w:rsidR="00EF3849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EF3849" w:rsidRPr="00EF3849">
        <w:rPr>
          <w:rFonts w:ascii="Times New Roman" w:hAnsi="Times New Roman"/>
          <w:b w:val="0"/>
          <w:color w:val="auto"/>
          <w:sz w:val="22"/>
          <w:szCs w:val="22"/>
        </w:rPr>
        <w:t xml:space="preserve">Results of second degree polynomial distributed lag models presented as percent changes in the pooled relative risks of A) respiratory mortality </w:t>
      </w:r>
      <w:r w:rsidR="000C3D8A">
        <w:rPr>
          <w:rFonts w:ascii="Times New Roman" w:hAnsi="Times New Roman"/>
          <w:b w:val="0"/>
          <w:color w:val="auto"/>
          <w:sz w:val="22"/>
          <w:szCs w:val="22"/>
        </w:rPr>
        <w:t>per</w:t>
      </w:r>
      <w:r w:rsidR="00EF3849" w:rsidRPr="00EF3849">
        <w:rPr>
          <w:rFonts w:ascii="Times New Roman" w:hAnsi="Times New Roman"/>
          <w:b w:val="0"/>
          <w:color w:val="auto"/>
          <w:sz w:val="22"/>
          <w:szCs w:val="22"/>
        </w:rPr>
        <w:t xml:space="preserve"> IQR increase in UFP</w:t>
      </w:r>
      <w:r w:rsidR="00A82F1C">
        <w:rPr>
          <w:rFonts w:ascii="Times New Roman" w:hAnsi="Times New Roman"/>
          <w:b w:val="0"/>
          <w:color w:val="auto"/>
          <w:sz w:val="22"/>
          <w:szCs w:val="22"/>
        </w:rPr>
        <w:t xml:space="preserve"> and </w:t>
      </w:r>
      <w:r w:rsidR="00EF3849" w:rsidRPr="00EF3849">
        <w:rPr>
          <w:rFonts w:ascii="Times New Roman" w:hAnsi="Times New Roman"/>
          <w:b w:val="0"/>
          <w:color w:val="auto"/>
          <w:sz w:val="22"/>
          <w:szCs w:val="22"/>
        </w:rPr>
        <w:t xml:space="preserve">B) cardiovascular mortality </w:t>
      </w:r>
      <w:r w:rsidR="000C3D8A">
        <w:rPr>
          <w:rFonts w:ascii="Times New Roman" w:hAnsi="Times New Roman"/>
          <w:b w:val="0"/>
          <w:color w:val="auto"/>
          <w:sz w:val="22"/>
          <w:szCs w:val="22"/>
        </w:rPr>
        <w:t>per</w:t>
      </w:r>
      <w:r w:rsidR="00EF3849" w:rsidRPr="00EF3849">
        <w:rPr>
          <w:rFonts w:ascii="Times New Roman" w:hAnsi="Times New Roman"/>
          <w:b w:val="0"/>
          <w:color w:val="auto"/>
          <w:sz w:val="22"/>
          <w:szCs w:val="22"/>
        </w:rPr>
        <w:t xml:space="preserve"> IQR increase in PM</w:t>
      </w:r>
      <w:r w:rsidR="00EF3849" w:rsidRPr="00EF3849">
        <w:rPr>
          <w:rFonts w:ascii="Times New Roman" w:hAnsi="Times New Roman"/>
          <w:b w:val="0"/>
          <w:color w:val="auto"/>
          <w:sz w:val="22"/>
          <w:szCs w:val="22"/>
          <w:vertAlign w:val="subscript"/>
        </w:rPr>
        <w:t>2.5</w:t>
      </w:r>
      <w:r w:rsidR="00EF3849">
        <w:rPr>
          <w:rFonts w:ascii="Times New Roman" w:hAnsi="Times New Roman"/>
          <w:b w:val="0"/>
          <w:color w:val="auto"/>
          <w:sz w:val="22"/>
          <w:szCs w:val="22"/>
        </w:rPr>
        <w:t>, lag 0 to 7.</w:t>
      </w:r>
    </w:p>
    <w:p w:rsidR="00565717" w:rsidRDefault="00565717" w:rsidP="00565717">
      <w:pPr>
        <w:jc w:val="center"/>
        <w:rPr>
          <w:lang w:val="en-US"/>
        </w:rPr>
      </w:pPr>
    </w:p>
    <w:p w:rsidR="00565717" w:rsidRDefault="00565717" w:rsidP="00565717">
      <w:pPr>
        <w:jc w:val="center"/>
        <w:rPr>
          <w:lang w:val="en-US"/>
        </w:rPr>
      </w:pPr>
    </w:p>
    <w:p w:rsidR="002E73C5" w:rsidRDefault="004420A7" w:rsidP="002E73C5">
      <w:pPr>
        <w:keepNext/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031EDBC7" wp14:editId="51E207BB">
            <wp:extent cx="4086225" cy="5619750"/>
            <wp:effectExtent l="0" t="0" r="952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2 PDL 14 lags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9" t="16855" r="17852" b="10023"/>
                    <a:stretch/>
                  </pic:blipFill>
                  <pic:spPr bwMode="auto">
                    <a:xfrm>
                      <a:off x="0" y="0"/>
                      <a:ext cx="4084874" cy="5617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717" w:rsidRPr="002E73C5" w:rsidRDefault="002E73C5" w:rsidP="002E73C5">
      <w:pPr>
        <w:pStyle w:val="Beschriftung"/>
        <w:spacing w:line="360" w:lineRule="auto"/>
        <w:jc w:val="both"/>
        <w:rPr>
          <w:rFonts w:ascii="Times New Roman" w:hAnsi="Times New Roman"/>
          <w:b w:val="0"/>
          <w:color w:val="auto"/>
          <w:sz w:val="22"/>
          <w:szCs w:val="22"/>
          <w:lang w:val="en-US"/>
        </w:rPr>
      </w:pPr>
      <w:r w:rsidRPr="002E73C5">
        <w:rPr>
          <w:rFonts w:ascii="Times New Roman" w:hAnsi="Times New Roman"/>
          <w:color w:val="auto"/>
          <w:sz w:val="22"/>
          <w:szCs w:val="22"/>
        </w:rPr>
        <w:t xml:space="preserve">Supplemental Figure </w:t>
      </w:r>
      <w:r w:rsidRPr="002E73C5">
        <w:rPr>
          <w:rFonts w:ascii="Times New Roman" w:hAnsi="Times New Roman"/>
          <w:color w:val="auto"/>
          <w:sz w:val="22"/>
          <w:szCs w:val="22"/>
        </w:rPr>
        <w:fldChar w:fldCharType="begin"/>
      </w:r>
      <w:r w:rsidRPr="002E73C5">
        <w:rPr>
          <w:rFonts w:ascii="Times New Roman" w:hAnsi="Times New Roman"/>
          <w:color w:val="auto"/>
          <w:sz w:val="22"/>
          <w:szCs w:val="22"/>
        </w:rPr>
        <w:instrText xml:space="preserve"> SEQ Supplemental_Figure \* ARABIC </w:instrText>
      </w:r>
      <w:r w:rsidRPr="002E73C5">
        <w:rPr>
          <w:rFonts w:ascii="Times New Roman" w:hAnsi="Times New Roman"/>
          <w:color w:val="auto"/>
          <w:sz w:val="22"/>
          <w:szCs w:val="22"/>
        </w:rPr>
        <w:fldChar w:fldCharType="separate"/>
      </w:r>
      <w:r w:rsidR="0080573B">
        <w:rPr>
          <w:rFonts w:ascii="Times New Roman" w:hAnsi="Times New Roman"/>
          <w:noProof/>
          <w:color w:val="auto"/>
          <w:sz w:val="22"/>
          <w:szCs w:val="22"/>
        </w:rPr>
        <w:t>4</w:t>
      </w:r>
      <w:r w:rsidRPr="002E73C5">
        <w:rPr>
          <w:rFonts w:ascii="Times New Roman" w:hAnsi="Times New Roman"/>
          <w:color w:val="auto"/>
          <w:sz w:val="22"/>
          <w:szCs w:val="22"/>
        </w:rPr>
        <w:fldChar w:fldCharType="end"/>
      </w:r>
      <w:r w:rsidRPr="002E73C5">
        <w:rPr>
          <w:rFonts w:ascii="Times New Roman" w:hAnsi="Times New Roman"/>
          <w:color w:val="auto"/>
          <w:sz w:val="22"/>
          <w:szCs w:val="22"/>
        </w:rPr>
        <w:t>.</w:t>
      </w:r>
      <w:r w:rsidRPr="002E73C5">
        <w:rPr>
          <w:rFonts w:ascii="Times New Roman" w:hAnsi="Times New Roman"/>
          <w:b w:val="0"/>
          <w:color w:val="auto"/>
          <w:sz w:val="22"/>
          <w:szCs w:val="22"/>
        </w:rPr>
        <w:t xml:space="preserve"> Results of third degree polynomial distributed lag models presented as percent changes in the pooled relative risks of A) respiratory mortality </w:t>
      </w:r>
      <w:r w:rsidR="002815B3">
        <w:rPr>
          <w:rFonts w:ascii="Times New Roman" w:hAnsi="Times New Roman"/>
          <w:b w:val="0"/>
          <w:color w:val="auto"/>
          <w:sz w:val="22"/>
          <w:szCs w:val="22"/>
        </w:rPr>
        <w:t>per</w:t>
      </w:r>
      <w:r w:rsidRPr="002E73C5"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  <w:r w:rsidR="002815B3">
        <w:rPr>
          <w:rFonts w:ascii="Times New Roman" w:hAnsi="Times New Roman"/>
          <w:b w:val="0"/>
          <w:color w:val="auto"/>
          <w:sz w:val="22"/>
          <w:szCs w:val="22"/>
        </w:rPr>
        <w:t>I</w:t>
      </w:r>
      <w:r w:rsidRPr="002E73C5">
        <w:rPr>
          <w:rFonts w:ascii="Times New Roman" w:hAnsi="Times New Roman"/>
          <w:b w:val="0"/>
          <w:color w:val="auto"/>
          <w:sz w:val="22"/>
          <w:szCs w:val="22"/>
        </w:rPr>
        <w:t>QR increase in UFP</w:t>
      </w:r>
      <w:r w:rsidR="00A82F1C">
        <w:rPr>
          <w:rFonts w:ascii="Times New Roman" w:hAnsi="Times New Roman"/>
          <w:b w:val="0"/>
          <w:color w:val="auto"/>
          <w:sz w:val="22"/>
          <w:szCs w:val="22"/>
        </w:rPr>
        <w:t xml:space="preserve"> and </w:t>
      </w:r>
      <w:r w:rsidRPr="002E73C5">
        <w:rPr>
          <w:rFonts w:ascii="Times New Roman" w:hAnsi="Times New Roman"/>
          <w:b w:val="0"/>
          <w:color w:val="auto"/>
          <w:sz w:val="22"/>
          <w:szCs w:val="22"/>
        </w:rPr>
        <w:t xml:space="preserve">B) cardiovascular mortality </w:t>
      </w:r>
      <w:r w:rsidR="000C3D8A">
        <w:rPr>
          <w:rFonts w:ascii="Times New Roman" w:hAnsi="Times New Roman"/>
          <w:b w:val="0"/>
          <w:color w:val="auto"/>
          <w:sz w:val="22"/>
          <w:szCs w:val="22"/>
        </w:rPr>
        <w:t>per</w:t>
      </w:r>
      <w:r w:rsidRPr="002E73C5">
        <w:rPr>
          <w:rFonts w:ascii="Times New Roman" w:hAnsi="Times New Roman"/>
          <w:b w:val="0"/>
          <w:color w:val="auto"/>
          <w:sz w:val="22"/>
          <w:szCs w:val="22"/>
        </w:rPr>
        <w:t xml:space="preserve"> IQR increase in PM</w:t>
      </w:r>
      <w:r w:rsidRPr="002E73C5">
        <w:rPr>
          <w:rFonts w:ascii="Times New Roman" w:hAnsi="Times New Roman"/>
          <w:b w:val="0"/>
          <w:color w:val="auto"/>
          <w:sz w:val="22"/>
          <w:szCs w:val="22"/>
          <w:vertAlign w:val="subscript"/>
        </w:rPr>
        <w:t>2.5</w:t>
      </w:r>
      <w:r w:rsidRPr="002E73C5">
        <w:rPr>
          <w:rFonts w:ascii="Times New Roman" w:hAnsi="Times New Roman"/>
          <w:b w:val="0"/>
          <w:color w:val="auto"/>
          <w:sz w:val="22"/>
          <w:szCs w:val="22"/>
        </w:rPr>
        <w:t>, lag 0 to 14.</w:t>
      </w:r>
    </w:p>
    <w:sectPr w:rsidR="00565717" w:rsidRPr="002E73C5" w:rsidSect="00D53E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E37" w:rsidRDefault="009A0E37" w:rsidP="00AC4D24">
      <w:pPr>
        <w:spacing w:after="0" w:line="240" w:lineRule="auto"/>
      </w:pPr>
      <w:r>
        <w:separator/>
      </w:r>
    </w:p>
  </w:endnote>
  <w:endnote w:type="continuationSeparator" w:id="0">
    <w:p w:rsidR="009A0E37" w:rsidRDefault="009A0E37" w:rsidP="00AC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2952318"/>
      <w:docPartObj>
        <w:docPartGallery w:val="Page Numbers (Bottom of Page)"/>
        <w:docPartUnique/>
      </w:docPartObj>
    </w:sdtPr>
    <w:sdtEndPr/>
    <w:sdtContent>
      <w:p w:rsidR="00AC4D24" w:rsidRDefault="00AC4D2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C06" w:rsidRPr="00193C06">
          <w:rPr>
            <w:noProof/>
            <w:lang w:val="de-DE"/>
          </w:rPr>
          <w:t>1</w:t>
        </w:r>
        <w:r>
          <w:fldChar w:fldCharType="end"/>
        </w:r>
      </w:p>
    </w:sdtContent>
  </w:sdt>
  <w:p w:rsidR="00AC4D24" w:rsidRDefault="00AC4D2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E37" w:rsidRDefault="009A0E37" w:rsidP="00AC4D24">
      <w:pPr>
        <w:spacing w:after="0" w:line="240" w:lineRule="auto"/>
      </w:pPr>
      <w:r>
        <w:separator/>
      </w:r>
    </w:p>
  </w:footnote>
  <w:footnote w:type="continuationSeparator" w:id="0">
    <w:p w:rsidR="009A0E37" w:rsidRDefault="009A0E37" w:rsidP="00AC4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A4E"/>
    <w:rsid w:val="000925BC"/>
    <w:rsid w:val="000C3D8A"/>
    <w:rsid w:val="000F38C0"/>
    <w:rsid w:val="0011303D"/>
    <w:rsid w:val="00187E4C"/>
    <w:rsid w:val="00193C06"/>
    <w:rsid w:val="001B7363"/>
    <w:rsid w:val="001D5A4E"/>
    <w:rsid w:val="002310CA"/>
    <w:rsid w:val="002815B3"/>
    <w:rsid w:val="002E73C5"/>
    <w:rsid w:val="002F73D3"/>
    <w:rsid w:val="00337C75"/>
    <w:rsid w:val="00357CAB"/>
    <w:rsid w:val="00366605"/>
    <w:rsid w:val="003D43B7"/>
    <w:rsid w:val="00424AB3"/>
    <w:rsid w:val="004420A7"/>
    <w:rsid w:val="004A3551"/>
    <w:rsid w:val="004A49D0"/>
    <w:rsid w:val="004A7025"/>
    <w:rsid w:val="004E2BB2"/>
    <w:rsid w:val="004F02E8"/>
    <w:rsid w:val="00565717"/>
    <w:rsid w:val="00636D62"/>
    <w:rsid w:val="006826D7"/>
    <w:rsid w:val="006A1F53"/>
    <w:rsid w:val="00700A5C"/>
    <w:rsid w:val="0080573B"/>
    <w:rsid w:val="00873018"/>
    <w:rsid w:val="00884F12"/>
    <w:rsid w:val="008A5EDB"/>
    <w:rsid w:val="008B4049"/>
    <w:rsid w:val="0094772E"/>
    <w:rsid w:val="00987CC0"/>
    <w:rsid w:val="009A0E37"/>
    <w:rsid w:val="009D0C5A"/>
    <w:rsid w:val="00A03CC1"/>
    <w:rsid w:val="00A26E72"/>
    <w:rsid w:val="00A427C1"/>
    <w:rsid w:val="00A43038"/>
    <w:rsid w:val="00A82F1C"/>
    <w:rsid w:val="00AC4D24"/>
    <w:rsid w:val="00B461A4"/>
    <w:rsid w:val="00B96A4C"/>
    <w:rsid w:val="00BF7A80"/>
    <w:rsid w:val="00C221EF"/>
    <w:rsid w:val="00C23B8F"/>
    <w:rsid w:val="00D00C1C"/>
    <w:rsid w:val="00D42786"/>
    <w:rsid w:val="00D52ACF"/>
    <w:rsid w:val="00D53EA5"/>
    <w:rsid w:val="00D66B93"/>
    <w:rsid w:val="00D9008F"/>
    <w:rsid w:val="00E139C6"/>
    <w:rsid w:val="00E21DFF"/>
    <w:rsid w:val="00E34EC3"/>
    <w:rsid w:val="00E5699B"/>
    <w:rsid w:val="00E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0C1C"/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D66B9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A49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A49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A49D0"/>
    <w:rPr>
      <w:rFonts w:ascii="Calibri" w:eastAsia="Calibri" w:hAnsi="Calibri" w:cs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49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49D0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9D0"/>
    <w:rPr>
      <w:rFonts w:ascii="Tahoma" w:eastAsia="Calibri" w:hAnsi="Tahoma" w:cs="Tahoma"/>
      <w:sz w:val="16"/>
      <w:szCs w:val="16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AC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4D24"/>
    <w:rPr>
      <w:rFonts w:ascii="Calibri" w:eastAsia="Calibri" w:hAnsi="Calibri" w:cs="Times New Roman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C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4D24"/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0C1C"/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D66B9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A49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A49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A49D0"/>
    <w:rPr>
      <w:rFonts w:ascii="Calibri" w:eastAsia="Calibri" w:hAnsi="Calibri" w:cs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A49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A49D0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9D0"/>
    <w:rPr>
      <w:rFonts w:ascii="Tahoma" w:eastAsia="Calibri" w:hAnsi="Tahoma" w:cs="Tahoma"/>
      <w:sz w:val="16"/>
      <w:szCs w:val="16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AC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4D24"/>
    <w:rPr>
      <w:rFonts w:ascii="Calibri" w:eastAsia="Calibri" w:hAnsi="Calibri" w:cs="Times New Roman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C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4D24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A67C5-3C2C-4DB3-8AC0-E3A30A7A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1296</Words>
  <Characters>8170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stefanie.lanzinger</dc:creator>
  <cp:lastModifiedBy>corinna.schneider</cp:lastModifiedBy>
  <cp:revision>2</cp:revision>
  <dcterms:created xsi:type="dcterms:W3CDTF">2016-01-18T10:05:00Z</dcterms:created>
  <dcterms:modified xsi:type="dcterms:W3CDTF">2016-01-18T10:05:00Z</dcterms:modified>
</cp:coreProperties>
</file>