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574" w:rsidRDefault="00C90574" w:rsidP="00C90574">
      <w:pPr>
        <w:spacing w:after="0" w:line="480" w:lineRule="auto"/>
        <w:rPr>
          <w:rFonts w:ascii="Times New Roman" w:eastAsia="Times New Roman" w:hAnsi="Times New Roman"/>
          <w:b/>
          <w:bCs/>
          <w:sz w:val="24"/>
          <w:szCs w:val="24"/>
        </w:rPr>
      </w:pPr>
      <w:bookmarkStart w:id="0" w:name="_GoBack"/>
      <w:bookmarkEnd w:id="0"/>
      <w:r>
        <w:rPr>
          <w:rFonts w:ascii="Times New Roman" w:eastAsia="Times New Roman" w:hAnsi="Times New Roman"/>
          <w:b/>
          <w:bCs/>
          <w:sz w:val="24"/>
          <w:szCs w:val="24"/>
        </w:rPr>
        <w:t>Gut Immunity and Type 1 Diabetes: A Mélange of Microbes, Diet, and Host Interactions?</w:t>
      </w:r>
    </w:p>
    <w:p w:rsidR="00C90574" w:rsidRPr="00C90574" w:rsidRDefault="00C90574" w:rsidP="00C90574">
      <w:pPr>
        <w:spacing w:line="480" w:lineRule="auto"/>
        <w:jc w:val="both"/>
        <w:rPr>
          <w:rFonts w:ascii="Times New Roman" w:hAnsi="Times New Roman" w:cs="Arial"/>
          <w:sz w:val="24"/>
          <w:szCs w:val="24"/>
          <w:lang w:val="de-DE"/>
        </w:rPr>
      </w:pPr>
      <w:r w:rsidRPr="00C90574">
        <w:rPr>
          <w:rFonts w:ascii="Times New Roman" w:hAnsi="Times New Roman" w:cs="Arial"/>
          <w:sz w:val="24"/>
          <w:szCs w:val="24"/>
          <w:lang w:val="de-DE"/>
        </w:rPr>
        <w:t xml:space="preserve">David Endesfelder, </w:t>
      </w:r>
      <w:r>
        <w:rPr>
          <w:rStyle w:val="xbe"/>
          <w:rFonts w:ascii="Times New Roman" w:hAnsi="Times New Roman"/>
          <w:sz w:val="24"/>
          <w:szCs w:val="24"/>
          <w:lang w:val="de-DE"/>
        </w:rPr>
        <w:t xml:space="preserve">Marion Engel, Wolfgang zu </w:t>
      </w:r>
      <w:proofErr w:type="spellStart"/>
      <w:r>
        <w:rPr>
          <w:rStyle w:val="xbe"/>
          <w:rFonts w:ascii="Times New Roman" w:hAnsi="Times New Roman"/>
          <w:sz w:val="24"/>
          <w:szCs w:val="24"/>
          <w:lang w:val="de-DE"/>
        </w:rPr>
        <w:t>Castell</w:t>
      </w:r>
      <w:proofErr w:type="spellEnd"/>
    </w:p>
    <w:p w:rsidR="00C90574" w:rsidRPr="00C90574" w:rsidRDefault="00C90574" w:rsidP="00C90574">
      <w:pPr>
        <w:spacing w:line="480" w:lineRule="auto"/>
        <w:jc w:val="both"/>
        <w:rPr>
          <w:rFonts w:ascii="Times New Roman" w:hAnsi="Times New Roman" w:cs="Arial"/>
          <w:sz w:val="24"/>
          <w:szCs w:val="24"/>
          <w:lang w:val="de-DE"/>
        </w:rPr>
      </w:pPr>
    </w:p>
    <w:p w:rsidR="00C90574" w:rsidRPr="005212F5" w:rsidRDefault="00C90574" w:rsidP="00C90574">
      <w:pPr>
        <w:spacing w:line="480" w:lineRule="auto"/>
        <w:jc w:val="both"/>
        <w:rPr>
          <w:rFonts w:ascii="Times New Roman" w:hAnsi="Times New Roman" w:cs="Arial"/>
          <w:sz w:val="24"/>
          <w:szCs w:val="24"/>
        </w:rPr>
      </w:pPr>
      <w:r w:rsidRPr="005212F5">
        <w:rPr>
          <w:rFonts w:ascii="Times New Roman" w:hAnsi="Times New Roman" w:cs="Arial"/>
          <w:sz w:val="24"/>
          <w:szCs w:val="24"/>
        </w:rPr>
        <w:t>Dr. David Endesfelder</w:t>
      </w:r>
      <w:r>
        <w:rPr>
          <w:rFonts w:ascii="Times New Roman" w:hAnsi="Times New Roman" w:cs="Arial"/>
          <w:sz w:val="24"/>
          <w:szCs w:val="24"/>
        </w:rPr>
        <w:t xml:space="preserve"> (</w:t>
      </w:r>
      <w:r w:rsidRPr="00E1544C">
        <w:rPr>
          <w:rStyle w:val="xbe"/>
          <w:rFonts w:ascii="Times New Roman" w:hAnsi="Times New Roman"/>
          <w:b/>
          <w:sz w:val="24"/>
          <w:szCs w:val="24"/>
        </w:rPr>
        <w:t>corresponding author</w:t>
      </w:r>
      <w:r>
        <w:rPr>
          <w:rStyle w:val="xbe"/>
          <w:rFonts w:ascii="Times New Roman" w:hAnsi="Times New Roman"/>
          <w:b/>
          <w:sz w:val="24"/>
          <w:szCs w:val="24"/>
        </w:rPr>
        <w:t>)</w:t>
      </w:r>
    </w:p>
    <w:p w:rsidR="00C90574" w:rsidRPr="00994C66" w:rsidRDefault="00C90574" w:rsidP="00C90574">
      <w:pPr>
        <w:spacing w:line="480" w:lineRule="auto"/>
        <w:jc w:val="both"/>
        <w:rPr>
          <w:rStyle w:val="xbe"/>
          <w:rFonts w:ascii="Times New Roman" w:hAnsi="Times New Roman"/>
          <w:sz w:val="24"/>
          <w:szCs w:val="24"/>
          <w:lang w:val="de-DE"/>
        </w:rPr>
      </w:pPr>
      <w:r w:rsidRPr="00994C66">
        <w:rPr>
          <w:rFonts w:ascii="Times New Roman" w:hAnsi="Times New Roman"/>
          <w:sz w:val="24"/>
          <w:szCs w:val="24"/>
          <w:lang w:val="de-DE"/>
        </w:rPr>
        <w:t xml:space="preserve">Helmholtz Zentrum München, Scientific Computing Research Unit, </w:t>
      </w:r>
      <w:proofErr w:type="spellStart"/>
      <w:r w:rsidRPr="00994C66">
        <w:rPr>
          <w:rFonts w:ascii="Times New Roman" w:hAnsi="Times New Roman"/>
          <w:sz w:val="24"/>
          <w:szCs w:val="24"/>
          <w:lang w:val="de-DE"/>
        </w:rPr>
        <w:t>Ingolstaedter</w:t>
      </w:r>
      <w:proofErr w:type="spellEnd"/>
      <w:r w:rsidRPr="00994C66">
        <w:rPr>
          <w:rFonts w:ascii="Times New Roman" w:hAnsi="Times New Roman"/>
          <w:sz w:val="24"/>
          <w:szCs w:val="24"/>
          <w:lang w:val="de-DE"/>
        </w:rPr>
        <w:t xml:space="preserve"> </w:t>
      </w:r>
      <w:proofErr w:type="spellStart"/>
      <w:r w:rsidRPr="00994C66">
        <w:rPr>
          <w:rFonts w:ascii="Times New Roman" w:hAnsi="Times New Roman"/>
          <w:sz w:val="24"/>
          <w:szCs w:val="24"/>
          <w:lang w:val="de-DE"/>
        </w:rPr>
        <w:t>Landstrasse</w:t>
      </w:r>
      <w:proofErr w:type="spellEnd"/>
      <w:r w:rsidRPr="00994C66">
        <w:rPr>
          <w:rFonts w:ascii="Times New Roman" w:hAnsi="Times New Roman"/>
          <w:sz w:val="24"/>
          <w:szCs w:val="24"/>
          <w:lang w:val="de-DE"/>
        </w:rPr>
        <w:t xml:space="preserve"> 1, </w:t>
      </w:r>
      <w:r w:rsidRPr="00994C66">
        <w:rPr>
          <w:rStyle w:val="xbe"/>
          <w:rFonts w:ascii="Times New Roman" w:hAnsi="Times New Roman"/>
          <w:sz w:val="24"/>
          <w:szCs w:val="24"/>
          <w:lang w:val="de-DE"/>
        </w:rPr>
        <w:t>85764 Neuherberg, Germany</w:t>
      </w:r>
    </w:p>
    <w:p w:rsidR="00C90574" w:rsidRDefault="00C90574" w:rsidP="00C90574">
      <w:pPr>
        <w:spacing w:line="480" w:lineRule="auto"/>
        <w:jc w:val="both"/>
        <w:rPr>
          <w:rStyle w:val="xbe"/>
          <w:rFonts w:ascii="Times New Roman" w:hAnsi="Times New Roman"/>
          <w:sz w:val="24"/>
          <w:szCs w:val="24"/>
          <w:lang w:val="de-DE"/>
        </w:rPr>
      </w:pPr>
      <w:hyperlink r:id="rId6" w:history="1">
        <w:r w:rsidRPr="00C753DA">
          <w:rPr>
            <w:rStyle w:val="Hyperlink"/>
            <w:rFonts w:ascii="Times New Roman" w:hAnsi="Times New Roman"/>
            <w:sz w:val="24"/>
            <w:szCs w:val="24"/>
            <w:lang w:val="de-DE"/>
          </w:rPr>
          <w:t>david.endesfelder@helmholtz-muenchen.de</w:t>
        </w:r>
      </w:hyperlink>
    </w:p>
    <w:p w:rsidR="00C90574" w:rsidRDefault="00C90574" w:rsidP="00C90574">
      <w:pPr>
        <w:spacing w:line="480" w:lineRule="auto"/>
        <w:jc w:val="both"/>
        <w:rPr>
          <w:rStyle w:val="xbe"/>
          <w:rFonts w:ascii="Times New Roman" w:hAnsi="Times New Roman"/>
          <w:sz w:val="24"/>
          <w:szCs w:val="24"/>
          <w:lang w:val="de-DE"/>
        </w:rPr>
      </w:pPr>
    </w:p>
    <w:p w:rsidR="00C90574" w:rsidRDefault="00C90574" w:rsidP="00C90574">
      <w:pPr>
        <w:spacing w:line="480" w:lineRule="auto"/>
        <w:jc w:val="both"/>
        <w:rPr>
          <w:rStyle w:val="xbe"/>
          <w:rFonts w:ascii="Times New Roman" w:hAnsi="Times New Roman"/>
          <w:sz w:val="24"/>
          <w:szCs w:val="24"/>
          <w:lang w:val="de-DE"/>
        </w:rPr>
      </w:pPr>
      <w:r>
        <w:rPr>
          <w:rStyle w:val="xbe"/>
          <w:rFonts w:ascii="Times New Roman" w:hAnsi="Times New Roman"/>
          <w:sz w:val="24"/>
          <w:szCs w:val="24"/>
          <w:lang w:val="de-DE"/>
        </w:rPr>
        <w:t>Dr. Marion Engel</w:t>
      </w:r>
    </w:p>
    <w:p w:rsidR="00C90574" w:rsidRDefault="00C90574" w:rsidP="00C90574">
      <w:pPr>
        <w:spacing w:line="480" w:lineRule="auto"/>
        <w:jc w:val="both"/>
        <w:rPr>
          <w:rStyle w:val="xbe"/>
          <w:rFonts w:ascii="Times New Roman" w:hAnsi="Times New Roman"/>
          <w:sz w:val="24"/>
          <w:szCs w:val="24"/>
          <w:lang w:val="de-DE"/>
        </w:rPr>
      </w:pPr>
      <w:r w:rsidRPr="00994C66">
        <w:rPr>
          <w:rFonts w:ascii="Times New Roman" w:hAnsi="Times New Roman"/>
          <w:sz w:val="24"/>
          <w:szCs w:val="24"/>
          <w:lang w:val="de-DE"/>
        </w:rPr>
        <w:t xml:space="preserve">Helmholtz Zentrum München, Scientific Computing Research Unit, </w:t>
      </w:r>
      <w:proofErr w:type="spellStart"/>
      <w:r w:rsidRPr="00994C66">
        <w:rPr>
          <w:rFonts w:ascii="Times New Roman" w:hAnsi="Times New Roman"/>
          <w:sz w:val="24"/>
          <w:szCs w:val="24"/>
          <w:lang w:val="de-DE"/>
        </w:rPr>
        <w:t>Ingolstaedter</w:t>
      </w:r>
      <w:proofErr w:type="spellEnd"/>
      <w:r w:rsidRPr="00994C66">
        <w:rPr>
          <w:rFonts w:ascii="Times New Roman" w:hAnsi="Times New Roman"/>
          <w:sz w:val="24"/>
          <w:szCs w:val="24"/>
          <w:lang w:val="de-DE"/>
        </w:rPr>
        <w:t xml:space="preserve"> </w:t>
      </w:r>
      <w:proofErr w:type="spellStart"/>
      <w:r w:rsidRPr="00994C66">
        <w:rPr>
          <w:rFonts w:ascii="Times New Roman" w:hAnsi="Times New Roman"/>
          <w:sz w:val="24"/>
          <w:szCs w:val="24"/>
          <w:lang w:val="de-DE"/>
        </w:rPr>
        <w:t>Landstrasse</w:t>
      </w:r>
      <w:proofErr w:type="spellEnd"/>
      <w:r w:rsidRPr="00994C66">
        <w:rPr>
          <w:rFonts w:ascii="Times New Roman" w:hAnsi="Times New Roman"/>
          <w:sz w:val="24"/>
          <w:szCs w:val="24"/>
          <w:lang w:val="de-DE"/>
        </w:rPr>
        <w:t xml:space="preserve"> 1, </w:t>
      </w:r>
      <w:r w:rsidRPr="00994C66">
        <w:rPr>
          <w:rStyle w:val="xbe"/>
          <w:rFonts w:ascii="Times New Roman" w:hAnsi="Times New Roman"/>
          <w:sz w:val="24"/>
          <w:szCs w:val="24"/>
          <w:lang w:val="de-DE"/>
        </w:rPr>
        <w:t>85764 Neuherberg, Germany</w:t>
      </w:r>
    </w:p>
    <w:p w:rsidR="00C90574" w:rsidRDefault="00C90574" w:rsidP="00C90574">
      <w:pPr>
        <w:spacing w:line="480" w:lineRule="auto"/>
        <w:jc w:val="both"/>
        <w:rPr>
          <w:rStyle w:val="xbe"/>
          <w:rFonts w:ascii="Times New Roman" w:hAnsi="Times New Roman"/>
          <w:sz w:val="24"/>
          <w:szCs w:val="24"/>
          <w:lang w:val="de-DE"/>
        </w:rPr>
      </w:pPr>
      <w:hyperlink r:id="rId7" w:history="1">
        <w:r w:rsidRPr="00C753DA">
          <w:rPr>
            <w:rStyle w:val="Hyperlink"/>
            <w:rFonts w:ascii="Times New Roman" w:hAnsi="Times New Roman"/>
            <w:sz w:val="24"/>
            <w:szCs w:val="24"/>
            <w:lang w:val="de-DE"/>
          </w:rPr>
          <w:t>marion.engel@helmholtz-muenchen.de</w:t>
        </w:r>
      </w:hyperlink>
    </w:p>
    <w:p w:rsidR="00C90574" w:rsidRDefault="00C90574" w:rsidP="00C90574">
      <w:pPr>
        <w:spacing w:line="480" w:lineRule="auto"/>
        <w:jc w:val="both"/>
        <w:rPr>
          <w:rStyle w:val="xbe"/>
          <w:rFonts w:ascii="Times New Roman" w:hAnsi="Times New Roman"/>
          <w:sz w:val="24"/>
          <w:szCs w:val="24"/>
          <w:lang w:val="de-DE"/>
        </w:rPr>
      </w:pPr>
    </w:p>
    <w:p w:rsidR="00C90574" w:rsidRDefault="00C90574" w:rsidP="00C90574">
      <w:pPr>
        <w:spacing w:line="480" w:lineRule="auto"/>
        <w:jc w:val="both"/>
        <w:rPr>
          <w:rStyle w:val="xbe"/>
          <w:rFonts w:ascii="Times New Roman" w:hAnsi="Times New Roman"/>
          <w:sz w:val="24"/>
          <w:szCs w:val="24"/>
          <w:lang w:val="de-DE"/>
        </w:rPr>
      </w:pPr>
      <w:r>
        <w:rPr>
          <w:rStyle w:val="xbe"/>
          <w:rFonts w:ascii="Times New Roman" w:hAnsi="Times New Roman"/>
          <w:sz w:val="24"/>
          <w:szCs w:val="24"/>
          <w:lang w:val="de-DE"/>
        </w:rPr>
        <w:t xml:space="preserve">PD Dr. Wolfgang zu </w:t>
      </w:r>
      <w:proofErr w:type="spellStart"/>
      <w:r>
        <w:rPr>
          <w:rStyle w:val="xbe"/>
          <w:rFonts w:ascii="Times New Roman" w:hAnsi="Times New Roman"/>
          <w:sz w:val="24"/>
          <w:szCs w:val="24"/>
          <w:lang w:val="de-DE"/>
        </w:rPr>
        <w:t>Castell</w:t>
      </w:r>
      <w:proofErr w:type="spellEnd"/>
    </w:p>
    <w:p w:rsidR="00C90574" w:rsidRDefault="00C90574" w:rsidP="00C90574">
      <w:pPr>
        <w:spacing w:line="480" w:lineRule="auto"/>
        <w:jc w:val="both"/>
        <w:rPr>
          <w:rStyle w:val="xbe"/>
          <w:rFonts w:ascii="Times New Roman" w:hAnsi="Times New Roman"/>
          <w:sz w:val="24"/>
          <w:szCs w:val="24"/>
          <w:lang w:val="de-DE"/>
        </w:rPr>
      </w:pPr>
      <w:r w:rsidRPr="00994C66">
        <w:rPr>
          <w:rFonts w:ascii="Times New Roman" w:hAnsi="Times New Roman"/>
          <w:sz w:val="24"/>
          <w:szCs w:val="24"/>
          <w:lang w:val="de-DE"/>
        </w:rPr>
        <w:t xml:space="preserve">Helmholtz Zentrum München, Scientific Computing Research Unit, </w:t>
      </w:r>
      <w:proofErr w:type="spellStart"/>
      <w:r w:rsidRPr="00994C66">
        <w:rPr>
          <w:rFonts w:ascii="Times New Roman" w:hAnsi="Times New Roman"/>
          <w:sz w:val="24"/>
          <w:szCs w:val="24"/>
          <w:lang w:val="de-DE"/>
        </w:rPr>
        <w:t>Ingolstaedter</w:t>
      </w:r>
      <w:proofErr w:type="spellEnd"/>
      <w:r w:rsidRPr="00994C66">
        <w:rPr>
          <w:rFonts w:ascii="Times New Roman" w:hAnsi="Times New Roman"/>
          <w:sz w:val="24"/>
          <w:szCs w:val="24"/>
          <w:lang w:val="de-DE"/>
        </w:rPr>
        <w:t xml:space="preserve"> </w:t>
      </w:r>
      <w:proofErr w:type="spellStart"/>
      <w:r w:rsidRPr="00994C66">
        <w:rPr>
          <w:rFonts w:ascii="Times New Roman" w:hAnsi="Times New Roman"/>
          <w:sz w:val="24"/>
          <w:szCs w:val="24"/>
          <w:lang w:val="de-DE"/>
        </w:rPr>
        <w:t>Landstrasse</w:t>
      </w:r>
      <w:proofErr w:type="spellEnd"/>
      <w:r w:rsidRPr="00994C66">
        <w:rPr>
          <w:rFonts w:ascii="Times New Roman" w:hAnsi="Times New Roman"/>
          <w:sz w:val="24"/>
          <w:szCs w:val="24"/>
          <w:lang w:val="de-DE"/>
        </w:rPr>
        <w:t xml:space="preserve"> 1, </w:t>
      </w:r>
      <w:r w:rsidRPr="00994C66">
        <w:rPr>
          <w:rStyle w:val="xbe"/>
          <w:rFonts w:ascii="Times New Roman" w:hAnsi="Times New Roman"/>
          <w:sz w:val="24"/>
          <w:szCs w:val="24"/>
          <w:lang w:val="de-DE"/>
        </w:rPr>
        <w:t>85764 Neuherberg, Germany</w:t>
      </w:r>
    </w:p>
    <w:p w:rsidR="00C90574" w:rsidRDefault="00C90574" w:rsidP="00C90574">
      <w:pPr>
        <w:spacing w:line="480" w:lineRule="auto"/>
        <w:jc w:val="both"/>
        <w:rPr>
          <w:rStyle w:val="xbe"/>
          <w:rFonts w:ascii="Times New Roman" w:hAnsi="Times New Roman"/>
          <w:sz w:val="24"/>
          <w:szCs w:val="24"/>
          <w:lang w:val="de-DE"/>
        </w:rPr>
      </w:pPr>
      <w:proofErr w:type="spellStart"/>
      <w:r>
        <w:rPr>
          <w:rStyle w:val="xbe"/>
          <w:rFonts w:ascii="Times New Roman" w:hAnsi="Times New Roman"/>
          <w:sz w:val="24"/>
          <w:szCs w:val="24"/>
          <w:lang w:val="de-DE"/>
        </w:rPr>
        <w:t>and</w:t>
      </w:r>
      <w:proofErr w:type="spellEnd"/>
      <w:r>
        <w:rPr>
          <w:rStyle w:val="xbe"/>
          <w:rFonts w:ascii="Times New Roman" w:hAnsi="Times New Roman"/>
          <w:sz w:val="24"/>
          <w:szCs w:val="24"/>
          <w:lang w:val="de-DE"/>
        </w:rPr>
        <w:t xml:space="preserve"> Department </w:t>
      </w:r>
      <w:proofErr w:type="spellStart"/>
      <w:r>
        <w:rPr>
          <w:rStyle w:val="xbe"/>
          <w:rFonts w:ascii="Times New Roman" w:hAnsi="Times New Roman"/>
          <w:sz w:val="24"/>
          <w:szCs w:val="24"/>
          <w:lang w:val="de-DE"/>
        </w:rPr>
        <w:t>of</w:t>
      </w:r>
      <w:proofErr w:type="spellEnd"/>
      <w:r>
        <w:rPr>
          <w:rStyle w:val="xbe"/>
          <w:rFonts w:ascii="Times New Roman" w:hAnsi="Times New Roman"/>
          <w:sz w:val="24"/>
          <w:szCs w:val="24"/>
          <w:lang w:val="de-DE"/>
        </w:rPr>
        <w:t xml:space="preserve"> </w:t>
      </w:r>
      <w:proofErr w:type="spellStart"/>
      <w:r>
        <w:rPr>
          <w:rStyle w:val="xbe"/>
          <w:rFonts w:ascii="Times New Roman" w:hAnsi="Times New Roman"/>
          <w:sz w:val="24"/>
          <w:szCs w:val="24"/>
          <w:lang w:val="de-DE"/>
        </w:rPr>
        <w:t>Mathematics</w:t>
      </w:r>
      <w:proofErr w:type="spellEnd"/>
      <w:r>
        <w:rPr>
          <w:rStyle w:val="xbe"/>
          <w:rFonts w:ascii="Times New Roman" w:hAnsi="Times New Roman"/>
          <w:sz w:val="24"/>
          <w:szCs w:val="24"/>
          <w:lang w:val="de-DE"/>
        </w:rPr>
        <w:t xml:space="preserve">, Technische Universität München, </w:t>
      </w:r>
      <w:proofErr w:type="spellStart"/>
      <w:r>
        <w:rPr>
          <w:rStyle w:val="xbe"/>
          <w:rFonts w:ascii="Times New Roman" w:hAnsi="Times New Roman"/>
          <w:sz w:val="24"/>
          <w:szCs w:val="24"/>
          <w:lang w:val="de-DE"/>
        </w:rPr>
        <w:t>Boltzmannstrasse</w:t>
      </w:r>
      <w:proofErr w:type="spellEnd"/>
      <w:r>
        <w:rPr>
          <w:rStyle w:val="xbe"/>
          <w:rFonts w:ascii="Times New Roman" w:hAnsi="Times New Roman"/>
          <w:sz w:val="24"/>
          <w:szCs w:val="24"/>
          <w:lang w:val="de-DE"/>
        </w:rPr>
        <w:t xml:space="preserve"> 3, 85747 Garching, Germany </w:t>
      </w:r>
    </w:p>
    <w:p w:rsidR="00C90574" w:rsidRPr="00754ADF" w:rsidRDefault="00C90574" w:rsidP="00C90574">
      <w:pPr>
        <w:spacing w:line="480" w:lineRule="auto"/>
        <w:jc w:val="both"/>
        <w:rPr>
          <w:rStyle w:val="xbe"/>
          <w:rFonts w:ascii="Times New Roman" w:hAnsi="Times New Roman"/>
          <w:sz w:val="24"/>
          <w:szCs w:val="24"/>
          <w:lang w:val="de-DE"/>
        </w:rPr>
      </w:pPr>
      <w:hyperlink r:id="rId8" w:history="1">
        <w:r w:rsidRPr="00754ADF">
          <w:rPr>
            <w:rStyle w:val="Hyperlink"/>
            <w:rFonts w:ascii="Times New Roman" w:hAnsi="Times New Roman"/>
            <w:sz w:val="24"/>
            <w:szCs w:val="24"/>
            <w:lang w:val="de-DE"/>
          </w:rPr>
          <w:t>castell@helmholtz-muenchen.de</w:t>
        </w:r>
      </w:hyperlink>
    </w:p>
    <w:p w:rsidR="00C90574" w:rsidRPr="00C90574" w:rsidRDefault="00C90574" w:rsidP="00C90574">
      <w:pPr>
        <w:spacing w:line="480" w:lineRule="auto"/>
        <w:jc w:val="both"/>
        <w:rPr>
          <w:rStyle w:val="xbe"/>
          <w:rFonts w:ascii="Times New Roman" w:hAnsi="Times New Roman"/>
          <w:b/>
          <w:sz w:val="24"/>
          <w:szCs w:val="24"/>
          <w:lang w:val="de-DE"/>
        </w:rPr>
      </w:pPr>
    </w:p>
    <w:p w:rsidR="00C90574" w:rsidRPr="00C90574" w:rsidRDefault="00C90574" w:rsidP="00C90574">
      <w:pPr>
        <w:spacing w:line="480" w:lineRule="auto"/>
        <w:jc w:val="both"/>
        <w:rPr>
          <w:rStyle w:val="xbe"/>
          <w:rFonts w:ascii="Times New Roman" w:hAnsi="Times New Roman"/>
          <w:sz w:val="24"/>
          <w:szCs w:val="24"/>
          <w:lang w:val="de-DE"/>
        </w:rPr>
      </w:pPr>
      <w:r w:rsidRPr="00C90574">
        <w:rPr>
          <w:rStyle w:val="xbe"/>
          <w:rFonts w:ascii="Times New Roman" w:hAnsi="Times New Roman"/>
          <w:b/>
          <w:sz w:val="24"/>
          <w:szCs w:val="24"/>
          <w:lang w:val="de-DE"/>
        </w:rPr>
        <w:t>Keywords:</w:t>
      </w:r>
      <w:r w:rsidRPr="00C90574">
        <w:rPr>
          <w:rStyle w:val="xbe"/>
          <w:rFonts w:ascii="Times New Roman" w:hAnsi="Times New Roman"/>
          <w:sz w:val="24"/>
          <w:szCs w:val="24"/>
          <w:lang w:val="de-DE"/>
        </w:rPr>
        <w:t xml:space="preserve"> gut </w:t>
      </w:r>
      <w:proofErr w:type="spellStart"/>
      <w:r w:rsidRPr="00C90574">
        <w:rPr>
          <w:rStyle w:val="xbe"/>
          <w:rFonts w:ascii="Times New Roman" w:hAnsi="Times New Roman"/>
          <w:sz w:val="24"/>
          <w:szCs w:val="24"/>
          <w:lang w:val="de-DE"/>
        </w:rPr>
        <w:t>microbiome</w:t>
      </w:r>
      <w:proofErr w:type="spellEnd"/>
      <w:r w:rsidRPr="00C90574">
        <w:rPr>
          <w:rStyle w:val="xbe"/>
          <w:rFonts w:ascii="Times New Roman" w:hAnsi="Times New Roman"/>
          <w:sz w:val="24"/>
          <w:szCs w:val="24"/>
          <w:lang w:val="de-DE"/>
        </w:rPr>
        <w:t xml:space="preserve">, environmental </w:t>
      </w:r>
      <w:proofErr w:type="spellStart"/>
      <w:r w:rsidRPr="00C90574">
        <w:rPr>
          <w:rStyle w:val="xbe"/>
          <w:rFonts w:ascii="Times New Roman" w:hAnsi="Times New Roman"/>
          <w:sz w:val="24"/>
          <w:szCs w:val="24"/>
          <w:lang w:val="de-DE"/>
        </w:rPr>
        <w:t>factors</w:t>
      </w:r>
      <w:proofErr w:type="spellEnd"/>
      <w:r w:rsidRPr="00C90574">
        <w:rPr>
          <w:rStyle w:val="xbe"/>
          <w:rFonts w:ascii="Times New Roman" w:hAnsi="Times New Roman"/>
          <w:sz w:val="24"/>
          <w:szCs w:val="24"/>
          <w:lang w:val="de-DE"/>
        </w:rPr>
        <w:t xml:space="preserve">, </w:t>
      </w:r>
      <w:proofErr w:type="spellStart"/>
      <w:r w:rsidRPr="00C90574">
        <w:rPr>
          <w:rStyle w:val="xbe"/>
          <w:rFonts w:ascii="Times New Roman" w:hAnsi="Times New Roman"/>
          <w:sz w:val="24"/>
          <w:szCs w:val="24"/>
          <w:lang w:val="de-DE"/>
        </w:rPr>
        <w:t>diet</w:t>
      </w:r>
      <w:proofErr w:type="spellEnd"/>
      <w:r w:rsidRPr="00C90574">
        <w:rPr>
          <w:rStyle w:val="xbe"/>
          <w:rFonts w:ascii="Times New Roman" w:hAnsi="Times New Roman"/>
          <w:sz w:val="24"/>
          <w:szCs w:val="24"/>
          <w:lang w:val="de-DE"/>
        </w:rPr>
        <w:t xml:space="preserve">, </w:t>
      </w:r>
      <w:proofErr w:type="spellStart"/>
      <w:r w:rsidRPr="00C90574">
        <w:rPr>
          <w:rStyle w:val="xbe"/>
          <w:rFonts w:ascii="Times New Roman" w:hAnsi="Times New Roman"/>
          <w:sz w:val="24"/>
          <w:szCs w:val="24"/>
          <w:lang w:val="de-DE"/>
        </w:rPr>
        <w:t>autoimmunity</w:t>
      </w:r>
      <w:proofErr w:type="spellEnd"/>
      <w:r w:rsidRPr="00C90574">
        <w:rPr>
          <w:rStyle w:val="xbe"/>
          <w:rFonts w:ascii="Times New Roman" w:hAnsi="Times New Roman"/>
          <w:sz w:val="24"/>
          <w:szCs w:val="24"/>
          <w:lang w:val="de-DE"/>
        </w:rPr>
        <w:t xml:space="preserve">, type 1 </w:t>
      </w:r>
      <w:proofErr w:type="spellStart"/>
      <w:r w:rsidRPr="00C90574">
        <w:rPr>
          <w:rStyle w:val="xbe"/>
          <w:rFonts w:ascii="Times New Roman" w:hAnsi="Times New Roman"/>
          <w:sz w:val="24"/>
          <w:szCs w:val="24"/>
          <w:lang w:val="de-DE"/>
        </w:rPr>
        <w:t>diabetes</w:t>
      </w:r>
      <w:proofErr w:type="spellEnd"/>
    </w:p>
    <w:p w:rsidR="009475F0" w:rsidRPr="00C90574" w:rsidRDefault="009475F0" w:rsidP="001F2863">
      <w:pPr>
        <w:spacing w:after="0" w:line="480" w:lineRule="auto"/>
        <w:rPr>
          <w:rStyle w:val="xbe"/>
          <w:rFonts w:ascii="Times New Roman" w:hAnsi="Times New Roman"/>
          <w:b/>
          <w:sz w:val="24"/>
          <w:szCs w:val="24"/>
          <w:lang w:val="de-DE"/>
        </w:rPr>
      </w:pPr>
    </w:p>
    <w:p w:rsidR="009475F0" w:rsidRPr="00C90574" w:rsidRDefault="009475F0" w:rsidP="001F2863">
      <w:pPr>
        <w:spacing w:after="0" w:line="480" w:lineRule="auto"/>
        <w:rPr>
          <w:rStyle w:val="xbe"/>
          <w:rFonts w:ascii="Times New Roman" w:hAnsi="Times New Roman"/>
          <w:b/>
          <w:sz w:val="24"/>
          <w:szCs w:val="24"/>
          <w:lang w:val="de-DE"/>
        </w:rPr>
      </w:pPr>
    </w:p>
    <w:p w:rsidR="009475F0" w:rsidRDefault="009475F0" w:rsidP="001F2863">
      <w:pPr>
        <w:spacing w:after="0" w:line="480" w:lineRule="auto"/>
        <w:rPr>
          <w:rFonts w:ascii="Times New Roman" w:eastAsia="Times New Roman" w:hAnsi="Times New Roman"/>
          <w:b/>
          <w:bCs/>
          <w:sz w:val="24"/>
          <w:szCs w:val="24"/>
        </w:rPr>
      </w:pPr>
      <w:r>
        <w:rPr>
          <w:rFonts w:ascii="Times New Roman" w:eastAsia="Times New Roman" w:hAnsi="Times New Roman"/>
          <w:b/>
          <w:bCs/>
          <w:sz w:val="24"/>
          <w:szCs w:val="24"/>
        </w:rPr>
        <w:t>Abstract</w:t>
      </w:r>
    </w:p>
    <w:p w:rsidR="009475F0" w:rsidRPr="001C6B21" w:rsidRDefault="009475F0" w:rsidP="001F2863">
      <w:pPr>
        <w:spacing w:after="0" w:line="480" w:lineRule="auto"/>
        <w:jc w:val="both"/>
        <w:rPr>
          <w:rFonts w:ascii="Times New Roman" w:eastAsia="Times New Roman" w:hAnsi="Times New Roman"/>
          <w:bCs/>
          <w:sz w:val="24"/>
          <w:szCs w:val="24"/>
        </w:rPr>
      </w:pPr>
      <w:r w:rsidRPr="001C6B21">
        <w:rPr>
          <w:rFonts w:ascii="Times New Roman" w:eastAsia="Times New Roman" w:hAnsi="Times New Roman"/>
          <w:bCs/>
          <w:sz w:val="24"/>
          <w:szCs w:val="24"/>
        </w:rPr>
        <w:t>Type 1 diabetes (T1D) is a complex autoimmune disease and first stages of the disease typically develop early in life. Genetic as well as environmental factors are thought to contribute to the risk of developing autoimmunity against pancreatic beta cells. Several environmental factors, such as breast feeding or early introduction of solid food have been associated with increased risk for developing T1D. During the first years of life, the gut microbial community is shaped by the environment, in particular by dietary factors. Moreover, the gut microbiome has been described for its role in shaping the immune system early in life and early data suggest associations between T1D risk and alterations in gut microbial communities. In this article, we discuss environmental factors influencing the colonization process of the gut microbial community. Furthermore, we review possible interactions between the microbiome and the host that might contribute to the risk of developing T1D.</w:t>
      </w:r>
    </w:p>
    <w:p w:rsidR="009475F0" w:rsidRDefault="009475F0" w:rsidP="001F2863">
      <w:pPr>
        <w:spacing w:after="0" w:line="480" w:lineRule="auto"/>
        <w:rPr>
          <w:rFonts w:ascii="Times New Roman" w:eastAsia="Times New Roman" w:hAnsi="Times New Roman"/>
          <w:b/>
          <w:bCs/>
          <w:sz w:val="24"/>
          <w:szCs w:val="24"/>
        </w:rPr>
      </w:pPr>
    </w:p>
    <w:p w:rsidR="009475F0" w:rsidRDefault="009475F0" w:rsidP="001F2863">
      <w:pPr>
        <w:spacing w:after="0" w:line="480" w:lineRule="auto"/>
        <w:rPr>
          <w:rFonts w:ascii="Times New Roman" w:eastAsia="Times New Roman" w:hAnsi="Times New Roman"/>
          <w:b/>
          <w:bCs/>
          <w:sz w:val="24"/>
          <w:szCs w:val="24"/>
        </w:rPr>
      </w:pPr>
    </w:p>
    <w:p w:rsidR="009475F0" w:rsidRDefault="009475F0" w:rsidP="001F2863">
      <w:pPr>
        <w:spacing w:after="0" w:line="480" w:lineRule="auto"/>
        <w:rPr>
          <w:rFonts w:ascii="Times New Roman" w:eastAsia="Times New Roman" w:hAnsi="Times New Roman"/>
          <w:b/>
          <w:bCs/>
          <w:sz w:val="24"/>
          <w:szCs w:val="24"/>
        </w:rPr>
      </w:pPr>
    </w:p>
    <w:p w:rsidR="009475F0" w:rsidRDefault="009475F0" w:rsidP="001F2863">
      <w:pPr>
        <w:spacing w:after="0" w:line="480" w:lineRule="auto"/>
        <w:rPr>
          <w:rFonts w:ascii="Times New Roman" w:eastAsia="Times New Roman" w:hAnsi="Times New Roman"/>
          <w:b/>
          <w:bCs/>
          <w:sz w:val="24"/>
          <w:szCs w:val="24"/>
        </w:rPr>
      </w:pPr>
    </w:p>
    <w:p w:rsidR="009475F0" w:rsidRDefault="009475F0" w:rsidP="001F2863">
      <w:pPr>
        <w:spacing w:after="0" w:line="480" w:lineRule="auto"/>
        <w:rPr>
          <w:rFonts w:ascii="Times New Roman" w:eastAsia="Times New Roman" w:hAnsi="Times New Roman"/>
          <w:b/>
          <w:bCs/>
          <w:sz w:val="24"/>
          <w:szCs w:val="24"/>
        </w:rPr>
      </w:pPr>
    </w:p>
    <w:p w:rsidR="009475F0" w:rsidRDefault="009475F0" w:rsidP="001F2863">
      <w:pPr>
        <w:spacing w:after="0" w:line="480" w:lineRule="auto"/>
        <w:rPr>
          <w:rFonts w:ascii="Times New Roman" w:eastAsia="Times New Roman" w:hAnsi="Times New Roman"/>
          <w:b/>
          <w:bCs/>
          <w:sz w:val="24"/>
          <w:szCs w:val="24"/>
        </w:rPr>
      </w:pPr>
    </w:p>
    <w:p w:rsidR="009475F0" w:rsidRDefault="009475F0" w:rsidP="001F2863">
      <w:pPr>
        <w:spacing w:after="0" w:line="480" w:lineRule="auto"/>
        <w:rPr>
          <w:rFonts w:ascii="Times New Roman" w:eastAsia="Times New Roman" w:hAnsi="Times New Roman"/>
          <w:b/>
          <w:bCs/>
          <w:sz w:val="24"/>
          <w:szCs w:val="24"/>
        </w:rPr>
      </w:pPr>
    </w:p>
    <w:p w:rsidR="009475F0" w:rsidRDefault="009475F0" w:rsidP="001F2863">
      <w:pPr>
        <w:spacing w:after="0" w:line="480" w:lineRule="auto"/>
        <w:rPr>
          <w:rFonts w:ascii="Times New Roman" w:eastAsia="Times New Roman" w:hAnsi="Times New Roman"/>
          <w:b/>
          <w:bCs/>
          <w:sz w:val="24"/>
          <w:szCs w:val="24"/>
        </w:rPr>
      </w:pPr>
    </w:p>
    <w:p w:rsidR="009475F0" w:rsidRDefault="009475F0" w:rsidP="001F2863">
      <w:pPr>
        <w:spacing w:after="0" w:line="480" w:lineRule="auto"/>
        <w:rPr>
          <w:rFonts w:ascii="Times New Roman" w:eastAsia="Times New Roman" w:hAnsi="Times New Roman"/>
          <w:b/>
          <w:bCs/>
          <w:sz w:val="24"/>
          <w:szCs w:val="24"/>
        </w:rPr>
      </w:pPr>
    </w:p>
    <w:p w:rsidR="009475F0" w:rsidRDefault="009475F0" w:rsidP="001F2863">
      <w:pPr>
        <w:spacing w:after="0" w:line="480" w:lineRule="auto"/>
        <w:rPr>
          <w:rFonts w:ascii="Times New Roman" w:eastAsia="Times New Roman" w:hAnsi="Times New Roman"/>
          <w:b/>
          <w:bCs/>
          <w:sz w:val="24"/>
          <w:szCs w:val="24"/>
        </w:rPr>
      </w:pPr>
    </w:p>
    <w:p w:rsidR="009475F0" w:rsidRDefault="009475F0" w:rsidP="001F2863">
      <w:pPr>
        <w:spacing w:after="0" w:line="480" w:lineRule="auto"/>
        <w:rPr>
          <w:rFonts w:ascii="Times New Roman" w:eastAsia="Times New Roman" w:hAnsi="Times New Roman"/>
          <w:b/>
          <w:bCs/>
          <w:sz w:val="24"/>
          <w:szCs w:val="24"/>
        </w:rPr>
      </w:pPr>
    </w:p>
    <w:p w:rsidR="009475F0" w:rsidRDefault="009475F0" w:rsidP="001F2863">
      <w:pPr>
        <w:spacing w:after="0" w:line="480" w:lineRule="auto"/>
        <w:rPr>
          <w:rFonts w:ascii="Times New Roman" w:eastAsia="Times New Roman" w:hAnsi="Times New Roman"/>
          <w:b/>
          <w:bCs/>
          <w:sz w:val="24"/>
          <w:szCs w:val="24"/>
        </w:rPr>
      </w:pPr>
      <w:r>
        <w:rPr>
          <w:rFonts w:ascii="Times New Roman" w:eastAsia="Times New Roman" w:hAnsi="Times New Roman"/>
          <w:b/>
          <w:bCs/>
          <w:sz w:val="24"/>
          <w:szCs w:val="24"/>
        </w:rPr>
        <w:t>Introduction</w:t>
      </w:r>
    </w:p>
    <w:p w:rsidR="009475F0" w:rsidRDefault="009475F0" w:rsidP="001F2863">
      <w:pPr>
        <w:spacing w:after="0" w:line="48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Type 1 diabetes (T1D) is an autoimmune disease being preceded with the development of autoantibodies against pancreatic beta cells. Islet autoimmunity typically occurs very early in life. Prospective cohorts with high risk individuals showed a peak at around 9 months of age </w:t>
      </w:r>
      <w:r>
        <w:rPr>
          <w:rFonts w:ascii="Times New Roman" w:eastAsia="Times New Roman" w:hAnsi="Times New Roman"/>
          <w:bCs/>
          <w:noProof/>
          <w:sz w:val="24"/>
          <w:szCs w:val="24"/>
        </w:rPr>
        <w:t>[1]</w:t>
      </w:r>
      <w:r>
        <w:rPr>
          <w:rFonts w:ascii="Times New Roman" w:eastAsia="Times New Roman" w:hAnsi="Times New Roman"/>
          <w:bCs/>
          <w:sz w:val="24"/>
          <w:szCs w:val="24"/>
        </w:rPr>
        <w:t xml:space="preserve">. While approximately 60% of T1D risk has been attributed to genetic factors </w:t>
      </w:r>
      <w:r>
        <w:rPr>
          <w:rFonts w:ascii="Times New Roman" w:eastAsia="Times New Roman" w:hAnsi="Times New Roman"/>
          <w:bCs/>
          <w:noProof/>
          <w:sz w:val="24"/>
          <w:szCs w:val="24"/>
        </w:rPr>
        <w:t>[2]</w:t>
      </w:r>
      <w:r>
        <w:rPr>
          <w:rFonts w:ascii="Times New Roman" w:eastAsia="Times New Roman" w:hAnsi="Times New Roman"/>
          <w:bCs/>
          <w:sz w:val="24"/>
          <w:szCs w:val="24"/>
        </w:rPr>
        <w:t xml:space="preserve">, environmental risk factors such as diet, early infections or mode of delivery are thought to significantly contribute to the risk of developing the disease </w:t>
      </w:r>
      <w:r>
        <w:rPr>
          <w:rFonts w:ascii="Times New Roman" w:eastAsia="Times New Roman" w:hAnsi="Times New Roman"/>
          <w:bCs/>
          <w:noProof/>
          <w:sz w:val="24"/>
          <w:szCs w:val="24"/>
        </w:rPr>
        <w:t>[3]</w:t>
      </w:r>
      <w:r>
        <w:rPr>
          <w:rFonts w:ascii="Times New Roman" w:eastAsia="Times New Roman" w:hAnsi="Times New Roman"/>
          <w:bCs/>
          <w:sz w:val="24"/>
          <w:szCs w:val="24"/>
        </w:rPr>
        <w:t xml:space="preserve">. Interestingly, major priming of the immune system falls within the same time frame, and factors shaping immune maturation during this period are therefore likely to contribute to the development of autoimmune disorders. </w:t>
      </w:r>
    </w:p>
    <w:p w:rsidR="009475F0" w:rsidRDefault="009475F0" w:rsidP="001F2863">
      <w:pPr>
        <w:spacing w:after="0" w:line="480" w:lineRule="auto"/>
        <w:ind w:firstLine="720"/>
        <w:jc w:val="both"/>
        <w:rPr>
          <w:rFonts w:ascii="Times New Roman" w:eastAsia="Times New Roman" w:hAnsi="Times New Roman"/>
          <w:bCs/>
          <w:sz w:val="24"/>
          <w:szCs w:val="24"/>
        </w:rPr>
      </w:pPr>
      <w:r>
        <w:rPr>
          <w:rFonts w:ascii="Times New Roman" w:eastAsia="Times New Roman" w:hAnsi="Times New Roman"/>
          <w:bCs/>
          <w:sz w:val="24"/>
          <w:szCs w:val="24"/>
        </w:rPr>
        <w:t xml:space="preserve">The human gastrointestinal tract constitutes a body site being equipped with a particularly high density of immune cells. Providing a major interface to the plethora of microorganisms colonizing the human gut, the role of microorganisms in priming of the immune system and their contribution to immune homeostasis has gained much interest </w:t>
      </w:r>
      <w:r>
        <w:rPr>
          <w:rFonts w:ascii="Times New Roman" w:eastAsia="Times New Roman" w:hAnsi="Times New Roman"/>
          <w:bCs/>
          <w:noProof/>
          <w:sz w:val="24"/>
          <w:szCs w:val="24"/>
        </w:rPr>
        <w:t>[4]</w:t>
      </w:r>
      <w:r>
        <w:rPr>
          <w:rFonts w:ascii="Times New Roman" w:eastAsia="Times New Roman" w:hAnsi="Times New Roman"/>
          <w:bCs/>
          <w:sz w:val="24"/>
          <w:szCs w:val="24"/>
        </w:rPr>
        <w:t xml:space="preserve">. Gut microbial colonization starts at birth and is strongly influenced by several environmental factors </w:t>
      </w:r>
      <w:r>
        <w:rPr>
          <w:rFonts w:ascii="Times New Roman" w:eastAsia="Times New Roman" w:hAnsi="Times New Roman"/>
          <w:bCs/>
          <w:noProof/>
          <w:sz w:val="24"/>
          <w:szCs w:val="24"/>
        </w:rPr>
        <w:t>[5]</w:t>
      </w:r>
      <w:r>
        <w:rPr>
          <w:rFonts w:ascii="Times New Roman" w:eastAsia="Times New Roman" w:hAnsi="Times New Roman"/>
          <w:bCs/>
          <w:sz w:val="24"/>
          <w:szCs w:val="24"/>
        </w:rPr>
        <w:t xml:space="preserve"> that have also been related to autoimmunity. Apart from providing direct challenges to the immune system, the gut microbial community further interacts with the host organism through complementing its metabolism with capabilities to ferment unabsorbed nutrients, partnering the host immune system in colonization resistance, and by providing barrier against pathogenic attacks </w:t>
      </w:r>
      <w:r>
        <w:rPr>
          <w:rFonts w:ascii="Times New Roman" w:eastAsia="Times New Roman" w:hAnsi="Times New Roman"/>
          <w:bCs/>
          <w:noProof/>
          <w:sz w:val="24"/>
          <w:szCs w:val="24"/>
        </w:rPr>
        <w:t>[6]</w:t>
      </w:r>
      <w:r>
        <w:rPr>
          <w:rFonts w:ascii="Times New Roman" w:eastAsia="Times New Roman" w:hAnsi="Times New Roman"/>
          <w:bCs/>
          <w:sz w:val="24"/>
          <w:szCs w:val="24"/>
        </w:rPr>
        <w:t xml:space="preserve">. Thus, alterations in gut microbial community composition in early infancy potentially influence the </w:t>
      </w:r>
      <w:r>
        <w:rPr>
          <w:rFonts w:ascii="Times New Roman" w:eastAsia="Times New Roman" w:hAnsi="Times New Roman"/>
          <w:bCs/>
          <w:sz w:val="24"/>
          <w:szCs w:val="24"/>
        </w:rPr>
        <w:lastRenderedPageBreak/>
        <w:t xml:space="preserve">autoimmune process and pathogenesis of T1D. Indeed, early data suggest correlations between altered gut microbial communities and T1D </w:t>
      </w:r>
      <w:r>
        <w:rPr>
          <w:rFonts w:ascii="Times New Roman" w:eastAsia="Times New Roman" w:hAnsi="Times New Roman"/>
          <w:bCs/>
          <w:noProof/>
          <w:sz w:val="24"/>
          <w:szCs w:val="24"/>
        </w:rPr>
        <w:t>[7-15]</w:t>
      </w:r>
      <w:r>
        <w:rPr>
          <w:rFonts w:ascii="Times New Roman" w:eastAsia="Times New Roman" w:hAnsi="Times New Roman"/>
          <w:bCs/>
          <w:sz w:val="24"/>
          <w:szCs w:val="24"/>
        </w:rPr>
        <w:t xml:space="preserve">. However, human studies have not yet provided a clear picture and concise mechanistic explanations of the causal relationship between the gut microbiome and pathogenesis of T1D are currently lacking. One of the first studies analyzed the gut microbiome of 8 children and reported a significant shift in the ratio of </w:t>
      </w:r>
      <w:proofErr w:type="spellStart"/>
      <w:r w:rsidRPr="0077117D">
        <w:rPr>
          <w:rFonts w:ascii="Times New Roman" w:eastAsia="Times New Roman" w:hAnsi="Times New Roman"/>
          <w:bCs/>
          <w:i/>
          <w:sz w:val="24"/>
          <w:szCs w:val="24"/>
        </w:rPr>
        <w:t>Firmicutes</w:t>
      </w:r>
      <w:proofErr w:type="spellEnd"/>
      <w:r>
        <w:rPr>
          <w:rFonts w:ascii="Times New Roman" w:eastAsia="Times New Roman" w:hAnsi="Times New Roman"/>
          <w:bCs/>
          <w:sz w:val="24"/>
          <w:szCs w:val="24"/>
        </w:rPr>
        <w:t xml:space="preserve"> and </w:t>
      </w:r>
      <w:proofErr w:type="spellStart"/>
      <w:r w:rsidRPr="0077117D">
        <w:rPr>
          <w:rFonts w:ascii="Times New Roman" w:eastAsia="Times New Roman" w:hAnsi="Times New Roman"/>
          <w:bCs/>
          <w:i/>
          <w:sz w:val="24"/>
          <w:szCs w:val="24"/>
        </w:rPr>
        <w:t>Bacteroidetes</w:t>
      </w:r>
      <w:proofErr w:type="spellEnd"/>
      <w:r>
        <w:rPr>
          <w:rFonts w:ascii="Times New Roman" w:eastAsia="Times New Roman" w:hAnsi="Times New Roman"/>
          <w:bCs/>
          <w:sz w:val="24"/>
          <w:szCs w:val="24"/>
        </w:rPr>
        <w:t xml:space="preserve"> comparing autoantibody positive and negative children </w:t>
      </w:r>
      <w:r>
        <w:rPr>
          <w:rFonts w:ascii="Times New Roman" w:eastAsia="Times New Roman" w:hAnsi="Times New Roman"/>
          <w:bCs/>
          <w:noProof/>
          <w:sz w:val="24"/>
          <w:szCs w:val="24"/>
        </w:rPr>
        <w:t>[10]</w:t>
      </w:r>
      <w:r>
        <w:rPr>
          <w:rFonts w:ascii="Times New Roman" w:eastAsia="Times New Roman" w:hAnsi="Times New Roman"/>
          <w:bCs/>
          <w:sz w:val="24"/>
          <w:szCs w:val="24"/>
        </w:rPr>
        <w:t xml:space="preserve">. In a follow up study, Brown et al. showed that healthy children had significantly higher numbers in butyrate producing bacteria and mucin degrading species </w:t>
      </w:r>
      <w:r>
        <w:rPr>
          <w:rFonts w:ascii="Times New Roman" w:eastAsia="Times New Roman" w:hAnsi="Times New Roman"/>
          <w:bCs/>
          <w:noProof/>
          <w:sz w:val="24"/>
          <w:szCs w:val="24"/>
        </w:rPr>
        <w:t>[7]</w:t>
      </w:r>
      <w:r>
        <w:rPr>
          <w:rFonts w:ascii="Times New Roman" w:eastAsia="Times New Roman" w:hAnsi="Times New Roman"/>
          <w:bCs/>
          <w:sz w:val="24"/>
          <w:szCs w:val="24"/>
        </w:rPr>
        <w:t xml:space="preserve">. Further evidence of a decreased potential to produce butyrate in autoantibody positive children has been provided by de </w:t>
      </w:r>
      <w:proofErr w:type="spellStart"/>
      <w:r>
        <w:rPr>
          <w:rFonts w:ascii="Times New Roman" w:eastAsia="Times New Roman" w:hAnsi="Times New Roman"/>
          <w:bCs/>
          <w:sz w:val="24"/>
          <w:szCs w:val="24"/>
        </w:rPr>
        <w:t>Goffau</w:t>
      </w:r>
      <w:proofErr w:type="spellEnd"/>
      <w:r>
        <w:rPr>
          <w:rFonts w:ascii="Times New Roman" w:eastAsia="Times New Roman" w:hAnsi="Times New Roman"/>
          <w:bCs/>
          <w:sz w:val="24"/>
          <w:szCs w:val="24"/>
        </w:rPr>
        <w:t xml:space="preserve"> et al. </w:t>
      </w:r>
      <w:r>
        <w:rPr>
          <w:rFonts w:ascii="Times New Roman" w:eastAsia="Times New Roman" w:hAnsi="Times New Roman"/>
          <w:bCs/>
          <w:noProof/>
          <w:sz w:val="24"/>
          <w:szCs w:val="24"/>
        </w:rPr>
        <w:t>[14]</w:t>
      </w:r>
      <w:r>
        <w:rPr>
          <w:rFonts w:ascii="Times New Roman" w:eastAsia="Times New Roman" w:hAnsi="Times New Roman"/>
          <w:bCs/>
          <w:sz w:val="24"/>
          <w:szCs w:val="24"/>
        </w:rPr>
        <w:t xml:space="preserve">. Recently, data from the Finnish DIPP cohort suggested increased abundances of </w:t>
      </w:r>
      <w:proofErr w:type="spellStart"/>
      <w:r w:rsidRPr="0077117D">
        <w:rPr>
          <w:rFonts w:ascii="Times New Roman" w:eastAsia="Times New Roman" w:hAnsi="Times New Roman"/>
          <w:bCs/>
          <w:i/>
          <w:sz w:val="24"/>
          <w:szCs w:val="24"/>
        </w:rPr>
        <w:t>Bacteroides</w:t>
      </w:r>
      <w:proofErr w:type="spellEnd"/>
      <w:r w:rsidRPr="0077117D">
        <w:rPr>
          <w:rFonts w:ascii="Times New Roman" w:eastAsia="Times New Roman" w:hAnsi="Times New Roman"/>
          <w:bCs/>
          <w:i/>
          <w:sz w:val="24"/>
          <w:szCs w:val="24"/>
        </w:rPr>
        <w:t xml:space="preserve"> </w:t>
      </w:r>
      <w:proofErr w:type="spellStart"/>
      <w:r w:rsidRPr="0077117D">
        <w:rPr>
          <w:rFonts w:ascii="Times New Roman" w:eastAsia="Times New Roman" w:hAnsi="Times New Roman"/>
          <w:bCs/>
          <w:i/>
          <w:sz w:val="24"/>
          <w:szCs w:val="24"/>
        </w:rPr>
        <w:t>dorei</w:t>
      </w:r>
      <w:proofErr w:type="spellEnd"/>
      <w:r>
        <w:rPr>
          <w:rFonts w:ascii="Times New Roman" w:eastAsia="Times New Roman" w:hAnsi="Times New Roman"/>
          <w:bCs/>
          <w:i/>
          <w:sz w:val="24"/>
          <w:szCs w:val="24"/>
        </w:rPr>
        <w:t xml:space="preserve"> </w:t>
      </w:r>
      <w:r w:rsidRPr="00716680">
        <w:rPr>
          <w:rFonts w:ascii="Times New Roman" w:eastAsia="Times New Roman" w:hAnsi="Times New Roman"/>
          <w:bCs/>
          <w:sz w:val="24"/>
          <w:szCs w:val="24"/>
        </w:rPr>
        <w:t>prior to autoantibody seroconversion</w:t>
      </w:r>
      <w:r>
        <w:rPr>
          <w:rFonts w:ascii="Times New Roman" w:eastAsia="Times New Roman" w:hAnsi="Times New Roman"/>
          <w:bCs/>
          <w:i/>
          <w:sz w:val="24"/>
          <w:szCs w:val="24"/>
        </w:rPr>
        <w:t xml:space="preserve"> </w:t>
      </w:r>
      <w:r>
        <w:rPr>
          <w:rFonts w:ascii="Times New Roman" w:eastAsia="Times New Roman" w:hAnsi="Times New Roman"/>
          <w:bCs/>
          <w:noProof/>
          <w:sz w:val="24"/>
          <w:szCs w:val="24"/>
        </w:rPr>
        <w:t>[8]</w:t>
      </w:r>
      <w:r w:rsidRPr="0077117D">
        <w:rPr>
          <w:rFonts w:ascii="Times New Roman" w:eastAsia="Times New Roman" w:hAnsi="Times New Roman"/>
          <w:bCs/>
          <w:sz w:val="24"/>
          <w:szCs w:val="24"/>
        </w:rPr>
        <w:t>.</w:t>
      </w:r>
      <w:r>
        <w:rPr>
          <w:rFonts w:ascii="Times New Roman" w:eastAsia="Times New Roman" w:hAnsi="Times New Roman"/>
          <w:bCs/>
          <w:sz w:val="24"/>
          <w:szCs w:val="24"/>
        </w:rPr>
        <w:t xml:space="preserve"> In contrast, differences between autoantibody positive and negative children with respect to individual microbial taxa or microbial diversity could not be detected in the German BABYDIET cohort </w:t>
      </w:r>
      <w:r>
        <w:rPr>
          <w:rFonts w:ascii="Times New Roman" w:eastAsia="Times New Roman" w:hAnsi="Times New Roman"/>
          <w:bCs/>
          <w:noProof/>
          <w:sz w:val="24"/>
          <w:szCs w:val="24"/>
        </w:rPr>
        <w:t>[9]</w:t>
      </w:r>
      <w:r>
        <w:rPr>
          <w:rFonts w:ascii="Times New Roman" w:eastAsia="Times New Roman" w:hAnsi="Times New Roman"/>
          <w:bCs/>
          <w:sz w:val="24"/>
          <w:szCs w:val="24"/>
        </w:rPr>
        <w:t xml:space="preserve">. It rather turned out, that properties of microbial interaction networks are compromised in children who later developed autoantibodies </w:t>
      </w:r>
      <w:r>
        <w:rPr>
          <w:rFonts w:ascii="Times New Roman" w:eastAsia="Times New Roman" w:hAnsi="Times New Roman"/>
          <w:bCs/>
          <w:noProof/>
          <w:sz w:val="24"/>
          <w:szCs w:val="24"/>
        </w:rPr>
        <w:t>[9]</w:t>
      </w:r>
      <w:r>
        <w:rPr>
          <w:rFonts w:ascii="Times New Roman" w:eastAsia="Times New Roman" w:hAnsi="Times New Roman"/>
          <w:bCs/>
          <w:sz w:val="24"/>
          <w:szCs w:val="24"/>
        </w:rPr>
        <w:t xml:space="preserve">. A recent study including 33 children from Finland and Estonia reported a drop in diversity for T1D cases after seroconversion to autoimmunity </w:t>
      </w:r>
      <w:r>
        <w:rPr>
          <w:rFonts w:ascii="Times New Roman" w:eastAsia="Times New Roman" w:hAnsi="Times New Roman"/>
          <w:bCs/>
          <w:noProof/>
          <w:sz w:val="24"/>
          <w:szCs w:val="24"/>
        </w:rPr>
        <w:t>[11]</w:t>
      </w:r>
      <w:r>
        <w:rPr>
          <w:rFonts w:ascii="Times New Roman" w:eastAsia="Times New Roman" w:hAnsi="Times New Roman"/>
          <w:bCs/>
          <w:sz w:val="24"/>
          <w:szCs w:val="24"/>
        </w:rPr>
        <w:t xml:space="preserve">. Moreover, several studies indicate increased abundances of </w:t>
      </w:r>
      <w:proofErr w:type="spellStart"/>
      <w:r w:rsidRPr="00502D62">
        <w:rPr>
          <w:rFonts w:ascii="Times New Roman" w:eastAsia="Times New Roman" w:hAnsi="Times New Roman"/>
          <w:bCs/>
          <w:i/>
          <w:sz w:val="24"/>
          <w:szCs w:val="24"/>
        </w:rPr>
        <w:t>Bacteroides</w:t>
      </w:r>
      <w:proofErr w:type="spellEnd"/>
      <w:r>
        <w:rPr>
          <w:rFonts w:ascii="Times New Roman" w:eastAsia="Times New Roman" w:hAnsi="Times New Roman"/>
          <w:bCs/>
          <w:sz w:val="24"/>
          <w:szCs w:val="24"/>
        </w:rPr>
        <w:t xml:space="preserve"> species after multiple autoantibody development or T1D onset </w:t>
      </w:r>
      <w:r>
        <w:rPr>
          <w:rFonts w:ascii="Times New Roman" w:eastAsia="Times New Roman" w:hAnsi="Times New Roman"/>
          <w:bCs/>
          <w:noProof/>
          <w:sz w:val="24"/>
          <w:szCs w:val="24"/>
        </w:rPr>
        <w:t>[12-15]</w:t>
      </w:r>
      <w:r>
        <w:rPr>
          <w:rFonts w:ascii="Times New Roman" w:eastAsia="Times New Roman" w:hAnsi="Times New Roman"/>
          <w:bCs/>
          <w:sz w:val="24"/>
          <w:szCs w:val="24"/>
        </w:rPr>
        <w:t xml:space="preserve">. Although these early results suggest associations between T1D risk and alterations in the gut microbial community, most human studies so far do not provide functional models for causal associations with disease development. One reason lies in the complexity of the wealth of interactions between environment, gut microbiome and the host organism. In this review, we summarize our current understanding of environmental factors shaping the gut microbial community in early infancy, the role of the gut microbiome in </w:t>
      </w:r>
      <w:r>
        <w:rPr>
          <w:rFonts w:ascii="Times New Roman" w:eastAsia="Times New Roman" w:hAnsi="Times New Roman"/>
          <w:bCs/>
          <w:sz w:val="24"/>
          <w:szCs w:val="24"/>
        </w:rPr>
        <w:lastRenderedPageBreak/>
        <w:t>partnering the host immune system, and possible links to the development of autoimmunity and T1D.</w:t>
      </w:r>
    </w:p>
    <w:p w:rsidR="009475F0" w:rsidRDefault="009475F0" w:rsidP="001F2863">
      <w:pPr>
        <w:spacing w:after="0" w:line="480" w:lineRule="auto"/>
        <w:ind w:firstLine="720"/>
        <w:jc w:val="both"/>
        <w:rPr>
          <w:rFonts w:ascii="Times New Roman" w:eastAsia="Times New Roman" w:hAnsi="Times New Roman"/>
          <w:bCs/>
          <w:sz w:val="24"/>
          <w:szCs w:val="24"/>
        </w:rPr>
      </w:pPr>
    </w:p>
    <w:p w:rsidR="009475F0" w:rsidRDefault="009475F0" w:rsidP="001F2863">
      <w:pPr>
        <w:spacing w:after="0" w:line="480" w:lineRule="auto"/>
        <w:ind w:firstLine="720"/>
        <w:jc w:val="both"/>
        <w:rPr>
          <w:rFonts w:ascii="Times New Roman" w:eastAsia="Times New Roman" w:hAnsi="Times New Roman"/>
          <w:bCs/>
          <w:sz w:val="24"/>
          <w:szCs w:val="24"/>
        </w:rPr>
      </w:pPr>
    </w:p>
    <w:p w:rsidR="009475F0" w:rsidRDefault="009475F0" w:rsidP="001F2863">
      <w:pPr>
        <w:spacing w:after="0" w:line="480" w:lineRule="auto"/>
        <w:rPr>
          <w:rFonts w:ascii="Times New Roman" w:eastAsia="Times New Roman" w:hAnsi="Times New Roman"/>
          <w:b/>
          <w:bCs/>
          <w:sz w:val="24"/>
          <w:szCs w:val="24"/>
        </w:rPr>
      </w:pPr>
      <w:r>
        <w:rPr>
          <w:rFonts w:ascii="Times New Roman" w:eastAsia="Times New Roman" w:hAnsi="Times New Roman"/>
          <w:b/>
          <w:bCs/>
          <w:sz w:val="24"/>
          <w:szCs w:val="24"/>
        </w:rPr>
        <w:t>Microbial waves of succession</w:t>
      </w:r>
    </w:p>
    <w:p w:rsidR="009475F0" w:rsidRDefault="009475F0" w:rsidP="001F2863">
      <w:pPr>
        <w:spacing w:line="48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The infant gut microbiome undergoes several waves of ecological succession that are strongly influenced by factors such as host genetics, mode of delivery, and diet. Further cofactors are hygiene, social status, and treatment with drugs, in particular antibiotics (see </w:t>
      </w:r>
      <w:r>
        <w:rPr>
          <w:rFonts w:ascii="Times New Roman" w:eastAsia="Times New Roman" w:hAnsi="Times New Roman"/>
          <w:bCs/>
          <w:noProof/>
          <w:sz w:val="24"/>
          <w:szCs w:val="24"/>
        </w:rPr>
        <w:t>[16]</w:t>
      </w:r>
      <w:r>
        <w:rPr>
          <w:rFonts w:ascii="Times New Roman" w:eastAsia="Times New Roman" w:hAnsi="Times New Roman"/>
          <w:bCs/>
          <w:sz w:val="24"/>
          <w:szCs w:val="24"/>
        </w:rPr>
        <w:t xml:space="preserve"> for a detailed review). The gut microbiome in early infancy is characterized by low species richness </w:t>
      </w:r>
      <w:r>
        <w:rPr>
          <w:rFonts w:ascii="Times New Roman" w:eastAsia="Times New Roman" w:hAnsi="Times New Roman"/>
          <w:bCs/>
          <w:noProof/>
          <w:sz w:val="24"/>
          <w:szCs w:val="24"/>
        </w:rPr>
        <w:t>[17, 18]</w:t>
      </w:r>
      <w:r>
        <w:rPr>
          <w:rFonts w:ascii="Times New Roman" w:eastAsia="Times New Roman" w:hAnsi="Times New Roman"/>
          <w:bCs/>
          <w:sz w:val="24"/>
          <w:szCs w:val="24"/>
        </w:rPr>
        <w:t xml:space="preserve"> and is comparatively unstable </w:t>
      </w:r>
      <w:r>
        <w:rPr>
          <w:rFonts w:ascii="Times New Roman" w:eastAsia="Times New Roman" w:hAnsi="Times New Roman"/>
          <w:bCs/>
          <w:noProof/>
          <w:sz w:val="24"/>
          <w:szCs w:val="24"/>
        </w:rPr>
        <w:t>[5]</w:t>
      </w:r>
      <w:r>
        <w:rPr>
          <w:rFonts w:ascii="Times New Roman" w:eastAsia="Times New Roman" w:hAnsi="Times New Roman"/>
          <w:bCs/>
          <w:sz w:val="24"/>
          <w:szCs w:val="24"/>
        </w:rPr>
        <w:t xml:space="preserve">. Initial colonization of the ecosystem mainly occurs at birth (Figure 1). Although recently published data indicates that the first encounter with microbial products already occurs in utero </w:t>
      </w:r>
      <w:r>
        <w:rPr>
          <w:rFonts w:ascii="Times New Roman" w:eastAsia="Times New Roman" w:hAnsi="Times New Roman"/>
          <w:bCs/>
          <w:noProof/>
          <w:sz w:val="24"/>
          <w:szCs w:val="24"/>
        </w:rPr>
        <w:t>[19]</w:t>
      </w:r>
      <w:r>
        <w:rPr>
          <w:rFonts w:ascii="Times New Roman" w:eastAsia="Times New Roman" w:hAnsi="Times New Roman"/>
          <w:bCs/>
          <w:sz w:val="24"/>
          <w:szCs w:val="24"/>
        </w:rPr>
        <w:t xml:space="preserve">, mode of delivery seems to show longer lasting impact on the initial colonization of the infant gut. While vaginally delivered babies harbor a microbiome that more closely resembles the vaginal microbiome of the mother </w:t>
      </w:r>
      <w:r>
        <w:rPr>
          <w:rFonts w:ascii="Times New Roman" w:eastAsia="Times New Roman" w:hAnsi="Times New Roman"/>
          <w:bCs/>
          <w:noProof/>
          <w:sz w:val="24"/>
          <w:szCs w:val="24"/>
        </w:rPr>
        <w:t>[20]</w:t>
      </w:r>
      <w:r>
        <w:rPr>
          <w:rFonts w:ascii="Times New Roman" w:eastAsia="Times New Roman" w:hAnsi="Times New Roman"/>
          <w:bCs/>
          <w:sz w:val="24"/>
          <w:szCs w:val="24"/>
        </w:rPr>
        <w:t xml:space="preserve">, infants delivered via C-section host gut microbiome more similar to the mothers skin microbiome </w:t>
      </w:r>
      <w:r>
        <w:rPr>
          <w:rFonts w:ascii="Times New Roman" w:eastAsia="Times New Roman" w:hAnsi="Times New Roman"/>
          <w:bCs/>
          <w:noProof/>
          <w:sz w:val="24"/>
          <w:szCs w:val="24"/>
        </w:rPr>
        <w:t>[20]</w:t>
      </w:r>
      <w:r>
        <w:rPr>
          <w:rFonts w:ascii="Times New Roman" w:eastAsia="Times New Roman" w:hAnsi="Times New Roman"/>
          <w:bCs/>
          <w:sz w:val="24"/>
          <w:szCs w:val="24"/>
        </w:rPr>
        <w:t>.</w:t>
      </w:r>
    </w:p>
    <w:p w:rsidR="009475F0" w:rsidRDefault="009475F0" w:rsidP="001F2863">
      <w:pPr>
        <w:spacing w:line="480" w:lineRule="auto"/>
        <w:ind w:firstLine="720"/>
        <w:jc w:val="both"/>
        <w:rPr>
          <w:rFonts w:ascii="Times New Roman" w:eastAsia="Times New Roman" w:hAnsi="Times New Roman"/>
          <w:bCs/>
          <w:sz w:val="24"/>
          <w:szCs w:val="24"/>
        </w:rPr>
      </w:pPr>
      <w:r>
        <w:rPr>
          <w:rFonts w:ascii="Times New Roman" w:eastAsia="Times New Roman" w:hAnsi="Times New Roman"/>
          <w:bCs/>
          <w:sz w:val="24"/>
          <w:szCs w:val="24"/>
        </w:rPr>
        <w:t xml:space="preserve">Following the sequence of introduction of various food components, the gut microbial community embarks towards an adult like community composition being characterized by increased species richness </w:t>
      </w:r>
      <w:r>
        <w:rPr>
          <w:rFonts w:ascii="Times New Roman" w:eastAsia="Times New Roman" w:hAnsi="Times New Roman"/>
          <w:bCs/>
          <w:noProof/>
          <w:sz w:val="24"/>
          <w:szCs w:val="24"/>
        </w:rPr>
        <w:t>[17, 18]</w:t>
      </w:r>
      <w:r>
        <w:rPr>
          <w:rFonts w:ascii="Times New Roman" w:eastAsia="Times New Roman" w:hAnsi="Times New Roman"/>
          <w:bCs/>
          <w:sz w:val="24"/>
          <w:szCs w:val="24"/>
        </w:rPr>
        <w:t xml:space="preserve"> and higher stability </w:t>
      </w:r>
      <w:r>
        <w:rPr>
          <w:rFonts w:ascii="Times New Roman" w:eastAsia="Times New Roman" w:hAnsi="Times New Roman"/>
          <w:bCs/>
          <w:noProof/>
          <w:sz w:val="24"/>
          <w:szCs w:val="24"/>
        </w:rPr>
        <w:t>[5]</w:t>
      </w:r>
      <w:r>
        <w:rPr>
          <w:rFonts w:ascii="Times New Roman" w:eastAsia="Times New Roman" w:hAnsi="Times New Roman"/>
          <w:bCs/>
          <w:sz w:val="24"/>
          <w:szCs w:val="24"/>
        </w:rPr>
        <w:t xml:space="preserve"> (Figure 1). From the point of view of the microorganisms, initial availability of oxygen imposes a major selective pressure on the first colonizers of the neonatal gut. Therefore, aerobic or facultative aerobic species constitute the group of early colonizers </w:t>
      </w:r>
      <w:r w:rsidRPr="003E4C43">
        <w:rPr>
          <w:rFonts w:ascii="Times New Roman" w:eastAsia="Times New Roman" w:hAnsi="Times New Roman"/>
          <w:bCs/>
          <w:sz w:val="24"/>
          <w:szCs w:val="24"/>
        </w:rPr>
        <w:t xml:space="preserve">(e.g. </w:t>
      </w:r>
      <w:proofErr w:type="spellStart"/>
      <w:r w:rsidRPr="002A12A3">
        <w:rPr>
          <w:rFonts w:ascii="Times New Roman" w:eastAsia="Times New Roman" w:hAnsi="Times New Roman"/>
          <w:bCs/>
          <w:i/>
          <w:sz w:val="24"/>
          <w:szCs w:val="24"/>
        </w:rPr>
        <w:t>Enterobactericeae</w:t>
      </w:r>
      <w:proofErr w:type="spellEnd"/>
      <w:r w:rsidRPr="003E4C43">
        <w:rPr>
          <w:rFonts w:ascii="Times New Roman" w:eastAsia="Times New Roman" w:hAnsi="Times New Roman"/>
          <w:bCs/>
          <w:sz w:val="24"/>
          <w:szCs w:val="24"/>
        </w:rPr>
        <w:t xml:space="preserve">, </w:t>
      </w:r>
      <w:r w:rsidRPr="002A12A3">
        <w:rPr>
          <w:rFonts w:ascii="Times New Roman" w:eastAsia="Times New Roman" w:hAnsi="Times New Roman"/>
          <w:bCs/>
          <w:i/>
          <w:sz w:val="24"/>
          <w:szCs w:val="24"/>
        </w:rPr>
        <w:t>Staphylococcus</w:t>
      </w:r>
      <w:r w:rsidRPr="003E4C43">
        <w:rPr>
          <w:rFonts w:ascii="Times New Roman" w:eastAsia="Times New Roman" w:hAnsi="Times New Roman"/>
          <w:bCs/>
          <w:sz w:val="24"/>
          <w:szCs w:val="24"/>
        </w:rPr>
        <w:t>).</w:t>
      </w:r>
      <w:r>
        <w:rPr>
          <w:rFonts w:ascii="Times New Roman" w:eastAsia="Times New Roman" w:hAnsi="Times New Roman"/>
          <w:bCs/>
          <w:sz w:val="24"/>
          <w:szCs w:val="24"/>
        </w:rPr>
        <w:t xml:space="preserve"> Decreasing oxygen levels change the environment in favor of strictly anaerobic bacteria </w:t>
      </w:r>
      <w:r w:rsidRPr="003E4C43">
        <w:rPr>
          <w:rFonts w:ascii="Times New Roman" w:eastAsia="Times New Roman" w:hAnsi="Times New Roman"/>
          <w:bCs/>
          <w:sz w:val="24"/>
          <w:szCs w:val="24"/>
        </w:rPr>
        <w:t xml:space="preserve">(e.g. </w:t>
      </w:r>
      <w:r w:rsidRPr="002A12A3">
        <w:rPr>
          <w:rFonts w:ascii="Times New Roman" w:eastAsia="Times New Roman" w:hAnsi="Times New Roman"/>
          <w:bCs/>
          <w:i/>
          <w:sz w:val="24"/>
          <w:szCs w:val="24"/>
        </w:rPr>
        <w:t>Bifidobacter</w:t>
      </w:r>
      <w:r>
        <w:rPr>
          <w:rFonts w:ascii="Times New Roman" w:eastAsia="Times New Roman" w:hAnsi="Times New Roman"/>
          <w:bCs/>
          <w:i/>
          <w:sz w:val="24"/>
          <w:szCs w:val="24"/>
        </w:rPr>
        <w:t>ium</w:t>
      </w:r>
      <w:r w:rsidRPr="003E4C43">
        <w:rPr>
          <w:rFonts w:ascii="Times New Roman" w:eastAsia="Times New Roman" w:hAnsi="Times New Roman"/>
          <w:bCs/>
          <w:sz w:val="24"/>
          <w:szCs w:val="24"/>
        </w:rPr>
        <w:t xml:space="preserve">, </w:t>
      </w:r>
      <w:r w:rsidRPr="002A12A3">
        <w:rPr>
          <w:rFonts w:ascii="Times New Roman" w:eastAsia="Times New Roman" w:hAnsi="Times New Roman"/>
          <w:bCs/>
          <w:i/>
          <w:sz w:val="24"/>
          <w:szCs w:val="24"/>
        </w:rPr>
        <w:t>Clostridi</w:t>
      </w:r>
      <w:r>
        <w:rPr>
          <w:rFonts w:ascii="Times New Roman" w:eastAsia="Times New Roman" w:hAnsi="Times New Roman"/>
          <w:bCs/>
          <w:i/>
          <w:sz w:val="24"/>
          <w:szCs w:val="24"/>
        </w:rPr>
        <w:t>um</w:t>
      </w:r>
      <w:r w:rsidRPr="003E4C43">
        <w:rPr>
          <w:rFonts w:ascii="Times New Roman" w:eastAsia="Times New Roman" w:hAnsi="Times New Roman"/>
          <w:bCs/>
          <w:sz w:val="24"/>
          <w:szCs w:val="24"/>
        </w:rPr>
        <w:t xml:space="preserve">, </w:t>
      </w:r>
      <w:proofErr w:type="spellStart"/>
      <w:r w:rsidRPr="002A12A3">
        <w:rPr>
          <w:rFonts w:ascii="Times New Roman" w:eastAsia="Times New Roman" w:hAnsi="Times New Roman"/>
          <w:bCs/>
          <w:i/>
          <w:sz w:val="24"/>
          <w:szCs w:val="24"/>
        </w:rPr>
        <w:t>Eubacteri</w:t>
      </w:r>
      <w:r>
        <w:rPr>
          <w:rFonts w:ascii="Times New Roman" w:eastAsia="Times New Roman" w:hAnsi="Times New Roman"/>
          <w:bCs/>
          <w:i/>
          <w:sz w:val="24"/>
          <w:szCs w:val="24"/>
        </w:rPr>
        <w:t>um</w:t>
      </w:r>
      <w:proofErr w:type="spellEnd"/>
      <w:r w:rsidRPr="003E4C43">
        <w:rPr>
          <w:rFonts w:ascii="Times New Roman" w:eastAsia="Times New Roman" w:hAnsi="Times New Roman"/>
          <w:bCs/>
          <w:sz w:val="24"/>
          <w:szCs w:val="24"/>
        </w:rPr>
        <w:t xml:space="preserve">, </w:t>
      </w:r>
      <w:proofErr w:type="spellStart"/>
      <w:r w:rsidRPr="002A12A3">
        <w:rPr>
          <w:rFonts w:ascii="Times New Roman" w:eastAsia="Times New Roman" w:hAnsi="Times New Roman"/>
          <w:bCs/>
          <w:i/>
          <w:sz w:val="24"/>
          <w:szCs w:val="24"/>
        </w:rPr>
        <w:t>Bacteroides</w:t>
      </w:r>
      <w:proofErr w:type="spellEnd"/>
      <w:r w:rsidRPr="003E4C43">
        <w:rPr>
          <w:rFonts w:ascii="Times New Roman" w:eastAsia="Times New Roman" w:hAnsi="Times New Roman"/>
          <w:bCs/>
          <w:sz w:val="24"/>
          <w:szCs w:val="24"/>
        </w:rPr>
        <w:t>)</w:t>
      </w:r>
      <w:r>
        <w:rPr>
          <w:rFonts w:ascii="Times New Roman" w:eastAsia="Times New Roman" w:hAnsi="Times New Roman"/>
          <w:bCs/>
          <w:sz w:val="24"/>
          <w:szCs w:val="24"/>
        </w:rPr>
        <w:t xml:space="preserve"> </w:t>
      </w:r>
      <w:r>
        <w:rPr>
          <w:rFonts w:ascii="Times New Roman" w:eastAsia="Times New Roman" w:hAnsi="Times New Roman"/>
          <w:bCs/>
          <w:noProof/>
          <w:sz w:val="24"/>
          <w:szCs w:val="24"/>
        </w:rPr>
        <w:t>[16-18, 20]</w:t>
      </w:r>
      <w:r>
        <w:rPr>
          <w:rFonts w:ascii="Times New Roman" w:eastAsia="Times New Roman" w:hAnsi="Times New Roman"/>
          <w:bCs/>
          <w:sz w:val="24"/>
          <w:szCs w:val="24"/>
        </w:rPr>
        <w:t xml:space="preserve">. </w:t>
      </w:r>
    </w:p>
    <w:p w:rsidR="009475F0" w:rsidRDefault="009475F0" w:rsidP="001F2863">
      <w:pPr>
        <w:spacing w:line="480" w:lineRule="auto"/>
        <w:ind w:firstLine="720"/>
        <w:jc w:val="both"/>
        <w:rPr>
          <w:rFonts w:ascii="Times New Roman" w:eastAsia="Times New Roman" w:hAnsi="Times New Roman"/>
          <w:bCs/>
          <w:sz w:val="24"/>
          <w:szCs w:val="24"/>
        </w:rPr>
      </w:pPr>
      <w:r>
        <w:rPr>
          <w:rFonts w:ascii="Times New Roman" w:eastAsia="Times New Roman" w:hAnsi="Times New Roman"/>
          <w:bCs/>
          <w:sz w:val="24"/>
          <w:szCs w:val="24"/>
        </w:rPr>
        <w:lastRenderedPageBreak/>
        <w:t xml:space="preserve">The first wave of succession is then determined by the initial diet the baby is fed with (Figure 1). Breast milk provides a substantial source of bacteria such as </w:t>
      </w:r>
      <w:r>
        <w:rPr>
          <w:rFonts w:ascii="Times New Roman" w:eastAsia="Times New Roman" w:hAnsi="Times New Roman"/>
          <w:bCs/>
          <w:i/>
          <w:sz w:val="24"/>
          <w:szCs w:val="24"/>
        </w:rPr>
        <w:t>Bifidobacterium</w:t>
      </w:r>
      <w:r>
        <w:rPr>
          <w:rFonts w:ascii="Times New Roman" w:eastAsia="Times New Roman" w:hAnsi="Times New Roman"/>
          <w:bCs/>
          <w:sz w:val="24"/>
          <w:szCs w:val="24"/>
        </w:rPr>
        <w:t xml:space="preserve">, </w:t>
      </w:r>
      <w:r w:rsidRPr="00C5706D">
        <w:rPr>
          <w:rFonts w:ascii="Times New Roman" w:eastAsia="Times New Roman" w:hAnsi="Times New Roman"/>
          <w:i/>
          <w:sz w:val="24"/>
          <w:szCs w:val="24"/>
        </w:rPr>
        <w:t>Staphylococcus</w:t>
      </w:r>
      <w:r w:rsidRPr="00AC573A">
        <w:rPr>
          <w:rFonts w:ascii="Times New Roman" w:eastAsia="Times New Roman" w:hAnsi="Times New Roman"/>
          <w:sz w:val="24"/>
          <w:szCs w:val="24"/>
        </w:rPr>
        <w:t>,</w:t>
      </w:r>
      <w:r>
        <w:rPr>
          <w:rFonts w:ascii="Times New Roman" w:eastAsia="Times New Roman" w:hAnsi="Times New Roman"/>
          <w:sz w:val="24"/>
          <w:szCs w:val="24"/>
        </w:rPr>
        <w:t xml:space="preserve"> </w:t>
      </w:r>
      <w:proofErr w:type="spellStart"/>
      <w:r w:rsidRPr="00AC573A">
        <w:rPr>
          <w:rFonts w:ascii="Times New Roman" w:eastAsia="Times New Roman" w:hAnsi="Times New Roman"/>
          <w:i/>
          <w:sz w:val="24"/>
          <w:szCs w:val="24"/>
        </w:rPr>
        <w:t>Lactococcus</w:t>
      </w:r>
      <w:proofErr w:type="spellEnd"/>
      <w:r w:rsidRPr="00AC573A">
        <w:rPr>
          <w:rFonts w:ascii="Times New Roman" w:eastAsia="Times New Roman" w:hAnsi="Times New Roman"/>
          <w:sz w:val="24"/>
          <w:szCs w:val="24"/>
        </w:rPr>
        <w:t>,</w:t>
      </w:r>
      <w:r>
        <w:rPr>
          <w:rFonts w:ascii="Times New Roman" w:eastAsia="Times New Roman" w:hAnsi="Times New Roman"/>
          <w:sz w:val="24"/>
          <w:szCs w:val="24"/>
        </w:rPr>
        <w:t xml:space="preserve"> </w:t>
      </w:r>
      <w:r w:rsidRPr="00C5706D">
        <w:rPr>
          <w:rFonts w:ascii="Times New Roman" w:eastAsia="Times New Roman" w:hAnsi="Times New Roman"/>
          <w:i/>
          <w:sz w:val="24"/>
          <w:szCs w:val="24"/>
        </w:rPr>
        <w:t>Enterococ</w:t>
      </w:r>
      <w:r w:rsidRPr="00AC573A">
        <w:rPr>
          <w:rFonts w:ascii="Times New Roman" w:eastAsia="Times New Roman" w:hAnsi="Times New Roman"/>
          <w:i/>
          <w:sz w:val="24"/>
          <w:szCs w:val="24"/>
        </w:rPr>
        <w:t>cus</w:t>
      </w:r>
      <w:r>
        <w:rPr>
          <w:rFonts w:ascii="Times New Roman" w:eastAsia="Times New Roman" w:hAnsi="Times New Roman"/>
          <w:sz w:val="24"/>
          <w:szCs w:val="24"/>
        </w:rPr>
        <w:t xml:space="preserve"> </w:t>
      </w:r>
      <w:r w:rsidRPr="00AC573A">
        <w:rPr>
          <w:rFonts w:ascii="Times New Roman" w:eastAsia="Times New Roman" w:hAnsi="Times New Roman"/>
          <w:sz w:val="24"/>
          <w:szCs w:val="24"/>
        </w:rPr>
        <w:t>and</w:t>
      </w:r>
      <w:r>
        <w:rPr>
          <w:rFonts w:ascii="Times New Roman" w:eastAsia="Times New Roman" w:hAnsi="Times New Roman"/>
          <w:sz w:val="24"/>
          <w:szCs w:val="24"/>
        </w:rPr>
        <w:t xml:space="preserve"> </w:t>
      </w:r>
      <w:r w:rsidRPr="00AC573A">
        <w:rPr>
          <w:rFonts w:ascii="Times New Roman" w:eastAsia="Times New Roman" w:hAnsi="Times New Roman"/>
          <w:i/>
          <w:sz w:val="24"/>
          <w:szCs w:val="24"/>
        </w:rPr>
        <w:t>Lactobacillus</w:t>
      </w:r>
      <w:r>
        <w:rPr>
          <w:rFonts w:ascii="Times New Roman" w:eastAsia="Times New Roman" w:hAnsi="Times New Roman"/>
          <w:sz w:val="24"/>
          <w:szCs w:val="24"/>
        </w:rPr>
        <w:t xml:space="preserve"> </w:t>
      </w:r>
      <w:r>
        <w:rPr>
          <w:rFonts w:ascii="Times New Roman" w:eastAsia="Times New Roman" w:hAnsi="Times New Roman"/>
          <w:noProof/>
          <w:sz w:val="24"/>
          <w:szCs w:val="24"/>
        </w:rPr>
        <w:t>[21-23]</w:t>
      </w:r>
      <w:r>
        <w:rPr>
          <w:rFonts w:ascii="Times New Roman" w:eastAsia="Times New Roman" w:hAnsi="Times New Roman"/>
          <w:sz w:val="24"/>
          <w:szCs w:val="24"/>
        </w:rPr>
        <w:t xml:space="preserve">. Interestingly, several of the bacteria being detected in breast-milk are also being discussed for their probiotic potential </w:t>
      </w:r>
      <w:r>
        <w:rPr>
          <w:rFonts w:ascii="Times New Roman" w:eastAsia="Times New Roman" w:hAnsi="Times New Roman"/>
          <w:noProof/>
          <w:sz w:val="24"/>
          <w:szCs w:val="24"/>
        </w:rPr>
        <w:t>[24]</w:t>
      </w:r>
      <w:r>
        <w:rPr>
          <w:rFonts w:ascii="Times New Roman" w:eastAsia="Times New Roman" w:hAnsi="Times New Roman"/>
          <w:sz w:val="24"/>
          <w:szCs w:val="24"/>
        </w:rPr>
        <w:t xml:space="preserve">. High levels of </w:t>
      </w:r>
      <w:r w:rsidRPr="00C5706D">
        <w:rPr>
          <w:rFonts w:ascii="Times New Roman" w:eastAsia="Times New Roman" w:hAnsi="Times New Roman"/>
          <w:i/>
          <w:sz w:val="24"/>
          <w:szCs w:val="24"/>
        </w:rPr>
        <w:t>Bifidobacterium spp</w:t>
      </w:r>
      <w:r>
        <w:rPr>
          <w:rFonts w:ascii="Times New Roman" w:eastAsia="Times New Roman" w:hAnsi="Times New Roman"/>
          <w:sz w:val="24"/>
          <w:szCs w:val="24"/>
        </w:rPr>
        <w:t xml:space="preserve">. are commonly found in the gut of infants </w:t>
      </w:r>
      <w:r>
        <w:rPr>
          <w:rFonts w:ascii="Times New Roman" w:eastAsia="Times New Roman" w:hAnsi="Times New Roman"/>
          <w:noProof/>
          <w:sz w:val="24"/>
          <w:szCs w:val="24"/>
        </w:rPr>
        <w:t>[25-27]</w:t>
      </w:r>
      <w:r>
        <w:rPr>
          <w:rFonts w:ascii="Times New Roman" w:eastAsia="Times New Roman" w:hAnsi="Times New Roman"/>
          <w:sz w:val="24"/>
          <w:szCs w:val="24"/>
        </w:rPr>
        <w:t xml:space="preserve">. While early studies detected increased amounts of </w:t>
      </w:r>
      <w:r w:rsidRPr="00C5706D">
        <w:rPr>
          <w:rFonts w:ascii="Times New Roman" w:eastAsia="Times New Roman" w:hAnsi="Times New Roman"/>
          <w:i/>
          <w:sz w:val="24"/>
          <w:szCs w:val="24"/>
        </w:rPr>
        <w:t>Bifidobacterium</w:t>
      </w:r>
      <w:r>
        <w:rPr>
          <w:rFonts w:ascii="Times New Roman" w:eastAsia="Times New Roman" w:hAnsi="Times New Roman"/>
          <w:sz w:val="24"/>
          <w:szCs w:val="24"/>
        </w:rPr>
        <w:t xml:space="preserve"> in breast-fed infants compared to bottle-fed infants, more recent studies do not confirm such differences (see </w:t>
      </w:r>
      <w:r>
        <w:rPr>
          <w:rFonts w:ascii="Times New Roman" w:eastAsia="Times New Roman" w:hAnsi="Times New Roman"/>
          <w:noProof/>
          <w:sz w:val="24"/>
          <w:szCs w:val="24"/>
        </w:rPr>
        <w:t>[16]</w:t>
      </w:r>
      <w:r>
        <w:rPr>
          <w:rFonts w:ascii="Times New Roman" w:eastAsia="Times New Roman" w:hAnsi="Times New Roman"/>
          <w:sz w:val="24"/>
          <w:szCs w:val="24"/>
        </w:rPr>
        <w:t xml:space="preserve"> for a detailed review). Apart from technical issues such as the availability of suitable primers </w:t>
      </w:r>
      <w:r>
        <w:rPr>
          <w:rFonts w:ascii="Times New Roman" w:eastAsia="Times New Roman" w:hAnsi="Times New Roman"/>
          <w:noProof/>
          <w:sz w:val="24"/>
          <w:szCs w:val="24"/>
        </w:rPr>
        <w:t>[18]</w:t>
      </w:r>
      <w:r>
        <w:rPr>
          <w:rFonts w:ascii="Times New Roman" w:eastAsia="Times New Roman" w:hAnsi="Times New Roman"/>
          <w:sz w:val="24"/>
          <w:szCs w:val="24"/>
        </w:rPr>
        <w:t xml:space="preserve">, it has been argued that such controversial results might follow from an increased similarity between human breast milk and modern formula milk being enriched with prebiotics  (e.g. </w:t>
      </w:r>
      <w:proofErr w:type="spellStart"/>
      <w:r>
        <w:rPr>
          <w:rFonts w:ascii="Times New Roman" w:eastAsia="Times New Roman" w:hAnsi="Times New Roman"/>
          <w:sz w:val="24"/>
          <w:szCs w:val="24"/>
        </w:rPr>
        <w:t>galactooligosaccharides</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fructooligosaccharides</w:t>
      </w:r>
      <w:proofErr w:type="spellEnd"/>
      <w:r>
        <w:rPr>
          <w:rFonts w:ascii="Times New Roman" w:eastAsia="Times New Roman" w:hAnsi="Times New Roman"/>
          <w:sz w:val="24"/>
          <w:szCs w:val="24"/>
        </w:rPr>
        <w:t xml:space="preserve">) </w:t>
      </w:r>
      <w:r>
        <w:rPr>
          <w:rFonts w:ascii="Times New Roman" w:eastAsia="Times New Roman" w:hAnsi="Times New Roman"/>
          <w:noProof/>
          <w:sz w:val="24"/>
          <w:szCs w:val="24"/>
        </w:rPr>
        <w:t>[16, 28-30]</w:t>
      </w:r>
      <w:r>
        <w:rPr>
          <w:rFonts w:ascii="Times New Roman" w:eastAsia="Times New Roman" w:hAnsi="Times New Roman"/>
          <w:sz w:val="24"/>
          <w:szCs w:val="24"/>
        </w:rPr>
        <w:t xml:space="preserve">. Indeed, a comparison of different brands of formula showed that enrichment of formula milk with oligosaccharides can be associated with increased abundances of </w:t>
      </w:r>
      <w:r w:rsidRPr="00C5706D">
        <w:rPr>
          <w:rFonts w:ascii="Times New Roman" w:eastAsia="Times New Roman" w:hAnsi="Times New Roman"/>
          <w:i/>
          <w:sz w:val="24"/>
          <w:szCs w:val="24"/>
        </w:rPr>
        <w:t>Bifidobacterium</w:t>
      </w:r>
      <w:r>
        <w:rPr>
          <w:rFonts w:ascii="Times New Roman" w:eastAsia="Times New Roman" w:hAnsi="Times New Roman"/>
          <w:sz w:val="24"/>
          <w:szCs w:val="24"/>
        </w:rPr>
        <w:t xml:space="preserve"> and </w:t>
      </w:r>
      <w:r w:rsidRPr="00C5706D">
        <w:rPr>
          <w:rFonts w:ascii="Times New Roman" w:eastAsia="Times New Roman" w:hAnsi="Times New Roman"/>
          <w:i/>
          <w:sz w:val="24"/>
          <w:szCs w:val="24"/>
        </w:rPr>
        <w:t>Lactobacill</w:t>
      </w:r>
      <w:r>
        <w:rPr>
          <w:rFonts w:ascii="Times New Roman" w:eastAsia="Times New Roman" w:hAnsi="Times New Roman"/>
          <w:i/>
          <w:sz w:val="24"/>
          <w:szCs w:val="24"/>
        </w:rPr>
        <w:t>us</w:t>
      </w:r>
      <w:r>
        <w:rPr>
          <w:rFonts w:ascii="Times New Roman" w:eastAsia="Times New Roman" w:hAnsi="Times New Roman"/>
          <w:sz w:val="24"/>
          <w:szCs w:val="24"/>
        </w:rPr>
        <w:t xml:space="preserve"> in stool samples </w:t>
      </w:r>
      <w:r>
        <w:rPr>
          <w:rFonts w:ascii="Times New Roman" w:eastAsia="Times New Roman" w:hAnsi="Times New Roman"/>
          <w:noProof/>
          <w:sz w:val="24"/>
          <w:szCs w:val="24"/>
        </w:rPr>
        <w:t>[31]</w:t>
      </w:r>
      <w:r>
        <w:rPr>
          <w:rFonts w:ascii="Times New Roman" w:eastAsia="Times New Roman" w:hAnsi="Times New Roman"/>
          <w:sz w:val="24"/>
          <w:szCs w:val="24"/>
        </w:rPr>
        <w:t xml:space="preserve">. Human breast-milk contains large amounts of human milk </w:t>
      </w:r>
      <w:r w:rsidRPr="003E08F7">
        <w:rPr>
          <w:rFonts w:ascii="Times New Roman" w:eastAsia="Times New Roman" w:hAnsi="Times New Roman"/>
          <w:sz w:val="24"/>
          <w:szCs w:val="24"/>
        </w:rPr>
        <w:t>oligosaccharides</w:t>
      </w:r>
      <w:r>
        <w:rPr>
          <w:rFonts w:ascii="Times New Roman" w:eastAsia="Times New Roman" w:hAnsi="Times New Roman"/>
          <w:sz w:val="24"/>
          <w:szCs w:val="24"/>
        </w:rPr>
        <w:t xml:space="preserve"> (HMOs) which show high similarity to O- and N-linked </w:t>
      </w:r>
      <w:proofErr w:type="spellStart"/>
      <w:r>
        <w:rPr>
          <w:rFonts w:ascii="Times New Roman" w:eastAsia="Times New Roman" w:hAnsi="Times New Roman"/>
          <w:sz w:val="24"/>
          <w:szCs w:val="24"/>
        </w:rPr>
        <w:t>gylcans</w:t>
      </w:r>
      <w:proofErr w:type="spellEnd"/>
      <w:r>
        <w:rPr>
          <w:rFonts w:ascii="Times New Roman" w:eastAsia="Times New Roman" w:hAnsi="Times New Roman"/>
          <w:sz w:val="24"/>
          <w:szCs w:val="24"/>
        </w:rPr>
        <w:t xml:space="preserve"> being part of mucin proteins found in the intestinal mucus layer </w:t>
      </w:r>
      <w:r>
        <w:rPr>
          <w:rFonts w:ascii="Times New Roman" w:eastAsia="Times New Roman" w:hAnsi="Times New Roman"/>
          <w:noProof/>
          <w:sz w:val="24"/>
          <w:szCs w:val="24"/>
        </w:rPr>
        <w:t>[32]</w:t>
      </w:r>
      <w:r>
        <w:rPr>
          <w:rFonts w:ascii="Times New Roman" w:eastAsia="Times New Roman" w:hAnsi="Times New Roman"/>
          <w:sz w:val="24"/>
          <w:szCs w:val="24"/>
        </w:rPr>
        <w:t xml:space="preserve">. As HMOs cannot be dissected by human enzymes, they might provide a competitive advantage  </w:t>
      </w:r>
      <w:r>
        <w:rPr>
          <w:rFonts w:ascii="Times New Roman" w:eastAsia="Times New Roman" w:hAnsi="Times New Roman"/>
          <w:noProof/>
          <w:sz w:val="24"/>
          <w:szCs w:val="24"/>
        </w:rPr>
        <w:t>[32]</w:t>
      </w:r>
      <w:r>
        <w:rPr>
          <w:rFonts w:ascii="Times New Roman" w:eastAsia="Times New Roman" w:hAnsi="Times New Roman"/>
          <w:sz w:val="24"/>
          <w:szCs w:val="24"/>
        </w:rPr>
        <w:t xml:space="preserve"> for specialized bacteria that are able to use HMOs or their components as sources of energy (e.g. </w:t>
      </w:r>
      <w:r w:rsidRPr="00485488">
        <w:rPr>
          <w:rFonts w:ascii="Times New Roman" w:eastAsia="Times New Roman" w:hAnsi="Times New Roman"/>
          <w:i/>
          <w:sz w:val="24"/>
          <w:szCs w:val="24"/>
        </w:rPr>
        <w:t>Bifidobacteri</w:t>
      </w:r>
      <w:r>
        <w:rPr>
          <w:rFonts w:ascii="Times New Roman" w:eastAsia="Times New Roman" w:hAnsi="Times New Roman"/>
          <w:i/>
          <w:sz w:val="24"/>
          <w:szCs w:val="24"/>
        </w:rPr>
        <w:t>um</w:t>
      </w:r>
      <w:r>
        <w:rPr>
          <w:rFonts w:ascii="Times New Roman" w:eastAsia="Times New Roman" w:hAnsi="Times New Roman"/>
          <w:sz w:val="24"/>
          <w:szCs w:val="24"/>
        </w:rPr>
        <w:t xml:space="preserve"> </w:t>
      </w:r>
      <w:r>
        <w:rPr>
          <w:rFonts w:ascii="Times New Roman" w:eastAsia="Times New Roman" w:hAnsi="Times New Roman"/>
          <w:noProof/>
          <w:sz w:val="24"/>
          <w:szCs w:val="24"/>
        </w:rPr>
        <w:t>[33-36]</w:t>
      </w:r>
      <w:r>
        <w:rPr>
          <w:rFonts w:ascii="Times New Roman" w:eastAsia="Times New Roman" w:hAnsi="Times New Roman"/>
          <w:i/>
          <w:sz w:val="24"/>
          <w:szCs w:val="24"/>
        </w:rPr>
        <w:t xml:space="preserve"> </w:t>
      </w:r>
      <w:r>
        <w:rPr>
          <w:rFonts w:ascii="Times New Roman" w:eastAsia="Times New Roman" w:hAnsi="Times New Roman"/>
          <w:sz w:val="24"/>
          <w:szCs w:val="24"/>
        </w:rPr>
        <w:t>or</w:t>
      </w:r>
      <w:r w:rsidRPr="00485488">
        <w:rPr>
          <w:rFonts w:ascii="Times New Roman" w:eastAsia="Times New Roman" w:hAnsi="Times New Roman"/>
          <w:i/>
          <w:sz w:val="24"/>
          <w:szCs w:val="24"/>
        </w:rPr>
        <w:t xml:space="preserve"> Lactobacill</w:t>
      </w:r>
      <w:r>
        <w:rPr>
          <w:rFonts w:ascii="Times New Roman" w:eastAsia="Times New Roman" w:hAnsi="Times New Roman"/>
          <w:i/>
          <w:sz w:val="24"/>
          <w:szCs w:val="24"/>
        </w:rPr>
        <w:t xml:space="preserve">us </w:t>
      </w:r>
      <w:r>
        <w:rPr>
          <w:rFonts w:ascii="Times New Roman" w:eastAsia="Times New Roman" w:hAnsi="Times New Roman"/>
          <w:noProof/>
          <w:sz w:val="24"/>
          <w:szCs w:val="24"/>
        </w:rPr>
        <w:t>[37, 38]</w:t>
      </w:r>
      <w:r w:rsidRPr="003E4C43">
        <w:rPr>
          <w:rFonts w:ascii="Times New Roman" w:eastAsia="Times New Roman" w:hAnsi="Times New Roman"/>
          <w:sz w:val="24"/>
          <w:szCs w:val="24"/>
        </w:rPr>
        <w:t>)</w:t>
      </w:r>
      <w:r>
        <w:rPr>
          <w:rFonts w:ascii="Times New Roman" w:eastAsia="Times New Roman" w:hAnsi="Times New Roman"/>
          <w:sz w:val="24"/>
          <w:szCs w:val="24"/>
        </w:rPr>
        <w:t xml:space="preserve">. Taking into account that a significant portion of the energy provided by human breast milk cannot be absorbed by the infant, it is assumed that the similarity of HMOs with mucus derived </w:t>
      </w:r>
      <w:proofErr w:type="spellStart"/>
      <w:r>
        <w:rPr>
          <w:rFonts w:ascii="Times New Roman" w:eastAsia="Times New Roman" w:hAnsi="Times New Roman"/>
          <w:sz w:val="24"/>
          <w:szCs w:val="24"/>
        </w:rPr>
        <w:t>glycans</w:t>
      </w:r>
      <w:proofErr w:type="spellEnd"/>
      <w:r>
        <w:rPr>
          <w:rFonts w:ascii="Times New Roman" w:eastAsia="Times New Roman" w:hAnsi="Times New Roman"/>
          <w:sz w:val="24"/>
          <w:szCs w:val="24"/>
        </w:rPr>
        <w:t xml:space="preserve"> results from co-evolution of humans with intestinal commensals, preparing the gut ecosystem for the later colonization with mucus degrading bacteria </w:t>
      </w:r>
      <w:r>
        <w:rPr>
          <w:rFonts w:ascii="Times New Roman" w:eastAsia="Times New Roman" w:hAnsi="Times New Roman"/>
          <w:noProof/>
          <w:sz w:val="24"/>
          <w:szCs w:val="24"/>
        </w:rPr>
        <w:t>[32]</w:t>
      </w:r>
      <w:r>
        <w:rPr>
          <w:rFonts w:ascii="Times New Roman" w:eastAsia="Times New Roman" w:hAnsi="Times New Roman"/>
          <w:sz w:val="24"/>
          <w:szCs w:val="24"/>
        </w:rPr>
        <w:t>.</w:t>
      </w:r>
    </w:p>
    <w:p w:rsidR="009475F0" w:rsidRDefault="009475F0" w:rsidP="001F2863">
      <w:pPr>
        <w:spacing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After weaning, complex carbohydrates such as cereals, fruits and vegetables enrich infant diet and the variety of glycan sources increases rapidly </w:t>
      </w:r>
      <w:r>
        <w:rPr>
          <w:rFonts w:ascii="Times New Roman" w:eastAsia="Times New Roman" w:hAnsi="Times New Roman"/>
          <w:noProof/>
          <w:sz w:val="24"/>
          <w:szCs w:val="24"/>
        </w:rPr>
        <w:t>[32]</w:t>
      </w:r>
      <w:r>
        <w:rPr>
          <w:rFonts w:ascii="Times New Roman" w:eastAsia="Times New Roman" w:hAnsi="Times New Roman"/>
          <w:sz w:val="24"/>
          <w:szCs w:val="24"/>
        </w:rPr>
        <w:t xml:space="preserve"> (Figure 1). Accordingly, the composition of the gut microbiome shifts from typical utilizers of HMOs towards bacteria that are able to ferment other dietary components managing to pass the gastro-intestinal passage. Typically, abundances of </w:t>
      </w:r>
      <w:proofErr w:type="spellStart"/>
      <w:r w:rsidRPr="006842DA">
        <w:rPr>
          <w:rFonts w:ascii="Times New Roman" w:eastAsia="Times New Roman" w:hAnsi="Times New Roman"/>
          <w:i/>
          <w:sz w:val="24"/>
          <w:szCs w:val="24"/>
        </w:rPr>
        <w:t>Firmicutes</w:t>
      </w:r>
      <w:proofErr w:type="spellEnd"/>
      <w:r>
        <w:rPr>
          <w:rFonts w:ascii="Times New Roman" w:eastAsia="Times New Roman" w:hAnsi="Times New Roman"/>
          <w:sz w:val="24"/>
          <w:szCs w:val="24"/>
        </w:rPr>
        <w:t xml:space="preserve">, </w:t>
      </w:r>
      <w:proofErr w:type="spellStart"/>
      <w:r w:rsidRPr="006842DA">
        <w:rPr>
          <w:rFonts w:ascii="Times New Roman" w:eastAsia="Times New Roman" w:hAnsi="Times New Roman"/>
          <w:i/>
          <w:sz w:val="24"/>
          <w:szCs w:val="24"/>
        </w:rPr>
        <w:t>Bacteroidetes</w:t>
      </w:r>
      <w:proofErr w:type="spellEnd"/>
      <w:r>
        <w:rPr>
          <w:rFonts w:ascii="Times New Roman" w:eastAsia="Times New Roman" w:hAnsi="Times New Roman"/>
          <w:sz w:val="24"/>
          <w:szCs w:val="24"/>
        </w:rPr>
        <w:t xml:space="preserve"> and </w:t>
      </w:r>
      <w:proofErr w:type="spellStart"/>
      <w:r w:rsidRPr="006842DA">
        <w:rPr>
          <w:rFonts w:ascii="Times New Roman" w:eastAsia="Times New Roman" w:hAnsi="Times New Roman"/>
          <w:i/>
          <w:sz w:val="24"/>
          <w:szCs w:val="24"/>
        </w:rPr>
        <w:t>Actinobacteria</w:t>
      </w:r>
      <w:proofErr w:type="spellEnd"/>
      <w:r>
        <w:rPr>
          <w:rFonts w:ascii="Times New Roman" w:eastAsia="Times New Roman" w:hAnsi="Times New Roman"/>
          <w:sz w:val="24"/>
          <w:szCs w:val="24"/>
        </w:rPr>
        <w:t xml:space="preserve"> increase while </w:t>
      </w:r>
      <w:r w:rsidRPr="006842DA">
        <w:rPr>
          <w:rFonts w:ascii="Times New Roman" w:eastAsia="Times New Roman" w:hAnsi="Times New Roman"/>
          <w:i/>
          <w:sz w:val="24"/>
          <w:szCs w:val="24"/>
        </w:rPr>
        <w:t>Bifidobacterium</w:t>
      </w:r>
      <w:r>
        <w:rPr>
          <w:rFonts w:ascii="Times New Roman" w:eastAsia="Times New Roman" w:hAnsi="Times New Roman"/>
          <w:sz w:val="24"/>
          <w:szCs w:val="24"/>
        </w:rPr>
        <w:t xml:space="preserve">, </w:t>
      </w:r>
      <w:proofErr w:type="spellStart"/>
      <w:r w:rsidRPr="006842DA">
        <w:rPr>
          <w:rFonts w:ascii="Times New Roman" w:eastAsia="Times New Roman" w:hAnsi="Times New Roman"/>
          <w:i/>
          <w:sz w:val="24"/>
          <w:szCs w:val="24"/>
        </w:rPr>
        <w:t>Enterobacteria</w:t>
      </w:r>
      <w:r>
        <w:rPr>
          <w:rFonts w:ascii="Times New Roman" w:eastAsia="Times New Roman" w:hAnsi="Times New Roman"/>
          <w:i/>
          <w:sz w:val="24"/>
          <w:szCs w:val="24"/>
        </w:rPr>
        <w:t>ceae</w:t>
      </w:r>
      <w:proofErr w:type="spellEnd"/>
      <w:r>
        <w:rPr>
          <w:rFonts w:ascii="Times New Roman" w:eastAsia="Times New Roman" w:hAnsi="Times New Roman"/>
          <w:sz w:val="24"/>
          <w:szCs w:val="24"/>
        </w:rPr>
        <w:t xml:space="preserve"> and lactic acid bacteria decrease during this period </w:t>
      </w:r>
      <w:r>
        <w:rPr>
          <w:rFonts w:ascii="Times New Roman" w:eastAsia="Times New Roman" w:hAnsi="Times New Roman"/>
          <w:noProof/>
          <w:sz w:val="24"/>
          <w:szCs w:val="24"/>
        </w:rPr>
        <w:t>[27]</w:t>
      </w:r>
      <w:r>
        <w:rPr>
          <w:rFonts w:ascii="Times New Roman" w:eastAsia="Times New Roman" w:hAnsi="Times New Roman"/>
          <w:sz w:val="24"/>
          <w:szCs w:val="24"/>
        </w:rPr>
        <w:t xml:space="preserve">. Composition and sequence of introduction of dietary compounds further constitute primary factors of community composition. While generalists are able to feed on various dietary sources, the abundance of specialists strongly rely on the availability of the special type of host diet providing their favorite substrate. To survive over longer periods, specialists must have a constant supply with their preferred energy source. They will therefore only persist, if the latter is constantly available </w:t>
      </w:r>
      <w:r>
        <w:rPr>
          <w:rFonts w:ascii="Times New Roman" w:eastAsia="Times New Roman" w:hAnsi="Times New Roman"/>
          <w:noProof/>
          <w:sz w:val="24"/>
          <w:szCs w:val="24"/>
        </w:rPr>
        <w:t>[32]</w:t>
      </w:r>
      <w:r>
        <w:rPr>
          <w:rFonts w:ascii="Times New Roman" w:eastAsia="Times New Roman" w:hAnsi="Times New Roman"/>
          <w:sz w:val="24"/>
          <w:szCs w:val="24"/>
        </w:rPr>
        <w:t xml:space="preserve">. One prominent example is the mucus degrading specialist </w:t>
      </w:r>
      <w:proofErr w:type="spellStart"/>
      <w:r w:rsidRPr="006842DA">
        <w:rPr>
          <w:rFonts w:ascii="Times New Roman" w:eastAsia="Times New Roman" w:hAnsi="Times New Roman"/>
          <w:i/>
          <w:sz w:val="24"/>
          <w:szCs w:val="24"/>
        </w:rPr>
        <w:t>Akkermansia</w:t>
      </w:r>
      <w:proofErr w:type="spellEnd"/>
      <w:r>
        <w:rPr>
          <w:rFonts w:ascii="Times New Roman" w:eastAsia="Times New Roman" w:hAnsi="Times New Roman"/>
          <w:sz w:val="24"/>
          <w:szCs w:val="24"/>
        </w:rPr>
        <w:t xml:space="preserve"> </w:t>
      </w:r>
      <w:proofErr w:type="spellStart"/>
      <w:r w:rsidRPr="00502D87">
        <w:rPr>
          <w:rFonts w:ascii="Times New Roman" w:eastAsia="Times New Roman" w:hAnsi="Times New Roman"/>
          <w:i/>
          <w:sz w:val="24"/>
          <w:szCs w:val="24"/>
        </w:rPr>
        <w:t>muciniphila</w:t>
      </w:r>
      <w:proofErr w:type="spellEnd"/>
      <w:r w:rsidRPr="003E4C43">
        <w:rPr>
          <w:rFonts w:ascii="Times New Roman" w:eastAsia="Times New Roman" w:hAnsi="Times New Roman"/>
          <w:sz w:val="24"/>
          <w:szCs w:val="24"/>
        </w:rPr>
        <w:t>,</w:t>
      </w:r>
      <w:r>
        <w:rPr>
          <w:rFonts w:ascii="Times New Roman" w:eastAsia="Times New Roman" w:hAnsi="Times New Roman"/>
          <w:sz w:val="24"/>
          <w:szCs w:val="24"/>
        </w:rPr>
        <w:t xml:space="preserve"> which is characterized by a high number of genes involved in the degradation of human derived </w:t>
      </w:r>
      <w:proofErr w:type="spellStart"/>
      <w:r>
        <w:rPr>
          <w:rFonts w:ascii="Times New Roman" w:eastAsia="Times New Roman" w:hAnsi="Times New Roman"/>
          <w:sz w:val="24"/>
          <w:szCs w:val="24"/>
        </w:rPr>
        <w:t>glycans</w:t>
      </w:r>
      <w:proofErr w:type="spellEnd"/>
      <w:r>
        <w:rPr>
          <w:rFonts w:ascii="Times New Roman" w:eastAsia="Times New Roman" w:hAnsi="Times New Roman"/>
          <w:sz w:val="24"/>
          <w:szCs w:val="24"/>
        </w:rPr>
        <w:t xml:space="preserve"> </w:t>
      </w:r>
      <w:r>
        <w:rPr>
          <w:rFonts w:ascii="Times New Roman" w:eastAsia="Times New Roman" w:hAnsi="Times New Roman"/>
          <w:noProof/>
          <w:sz w:val="24"/>
          <w:szCs w:val="24"/>
        </w:rPr>
        <w:t>[39]</w:t>
      </w:r>
      <w:r>
        <w:rPr>
          <w:rFonts w:ascii="Times New Roman" w:eastAsia="Times New Roman" w:hAnsi="Times New Roman"/>
          <w:sz w:val="24"/>
          <w:szCs w:val="24"/>
        </w:rPr>
        <w:t xml:space="preserve">. In contrast, generalists such as </w:t>
      </w:r>
      <w:proofErr w:type="spellStart"/>
      <w:r w:rsidRPr="00FB5297">
        <w:rPr>
          <w:rFonts w:ascii="Times New Roman" w:eastAsia="Times New Roman" w:hAnsi="Times New Roman"/>
          <w:i/>
          <w:sz w:val="24"/>
          <w:szCs w:val="24"/>
        </w:rPr>
        <w:t>Bacteroides</w:t>
      </w:r>
      <w:proofErr w:type="spellEnd"/>
      <w:r w:rsidRPr="00FB5297">
        <w:rPr>
          <w:rFonts w:ascii="Times New Roman" w:eastAsia="Times New Roman" w:hAnsi="Times New Roman"/>
          <w:i/>
          <w:sz w:val="24"/>
          <w:szCs w:val="24"/>
        </w:rPr>
        <w:t xml:space="preserve"> </w:t>
      </w:r>
      <w:proofErr w:type="spellStart"/>
      <w:r w:rsidRPr="00FB5297">
        <w:rPr>
          <w:rFonts w:ascii="Times New Roman" w:eastAsia="Times New Roman" w:hAnsi="Times New Roman"/>
          <w:i/>
          <w:sz w:val="24"/>
          <w:szCs w:val="24"/>
        </w:rPr>
        <w:t>thetaiotaomicron</w:t>
      </w:r>
      <w:proofErr w:type="spellEnd"/>
      <w:r>
        <w:rPr>
          <w:rFonts w:ascii="Times New Roman" w:eastAsia="Times New Roman" w:hAnsi="Times New Roman"/>
          <w:sz w:val="24"/>
          <w:szCs w:val="24"/>
        </w:rPr>
        <w:t xml:space="preserve"> may shift their metabolism towards fermentation of luminal content depending on other dietary sources being available </w:t>
      </w:r>
      <w:r>
        <w:rPr>
          <w:rFonts w:ascii="Times New Roman" w:eastAsia="Times New Roman" w:hAnsi="Times New Roman"/>
          <w:noProof/>
          <w:sz w:val="24"/>
          <w:szCs w:val="24"/>
        </w:rPr>
        <w:t>[32]</w:t>
      </w:r>
      <w:r>
        <w:rPr>
          <w:rFonts w:ascii="Times New Roman" w:eastAsia="Times New Roman" w:hAnsi="Times New Roman"/>
          <w:sz w:val="24"/>
          <w:szCs w:val="24"/>
        </w:rPr>
        <w:t xml:space="preserve">. In addition to the shift in microbial community composition due to the transition from breast-milk to a more complex diet, short-term fluctuations in nutrients on a meal-to-meal basis can also affect the microbial population </w:t>
      </w:r>
      <w:r>
        <w:rPr>
          <w:rFonts w:ascii="Times New Roman" w:eastAsia="Times New Roman" w:hAnsi="Times New Roman"/>
          <w:noProof/>
          <w:sz w:val="24"/>
          <w:szCs w:val="24"/>
        </w:rPr>
        <w:t>[40-42]</w:t>
      </w:r>
      <w:r>
        <w:rPr>
          <w:rFonts w:ascii="Times New Roman" w:eastAsia="Times New Roman" w:hAnsi="Times New Roman"/>
          <w:sz w:val="24"/>
          <w:szCs w:val="24"/>
        </w:rPr>
        <w:t xml:space="preserve">. Moreover, different processing of dietary components (e.g. cooking, milling) can potentially influence microbial composition, as, e.g., dietary starch changes its chemical properties depending on the type of processing </w:t>
      </w:r>
      <w:r>
        <w:rPr>
          <w:rFonts w:ascii="Times New Roman" w:eastAsia="Times New Roman" w:hAnsi="Times New Roman"/>
          <w:noProof/>
          <w:sz w:val="24"/>
          <w:szCs w:val="24"/>
        </w:rPr>
        <w:t>[43]</w:t>
      </w:r>
      <w:r>
        <w:rPr>
          <w:rFonts w:ascii="Times New Roman" w:eastAsia="Times New Roman" w:hAnsi="Times New Roman"/>
          <w:sz w:val="24"/>
          <w:szCs w:val="24"/>
        </w:rPr>
        <w:t xml:space="preserve">. </w:t>
      </w:r>
    </w:p>
    <w:p w:rsidR="009475F0" w:rsidRDefault="009475F0" w:rsidP="001F2863">
      <w:pPr>
        <w:spacing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Apart from any direct modulation of the intestinal community composition via dietary compounds, there are many indirect effects due to competition and facilitation within the </w:t>
      </w:r>
      <w:r>
        <w:rPr>
          <w:rFonts w:ascii="Times New Roman" w:eastAsia="Times New Roman" w:hAnsi="Times New Roman"/>
          <w:sz w:val="24"/>
          <w:szCs w:val="24"/>
        </w:rPr>
        <w:lastRenderedPageBreak/>
        <w:t xml:space="preserve">bacterial ecosystem. For example, </w:t>
      </w:r>
      <w:r w:rsidRPr="003F27D3">
        <w:rPr>
          <w:rFonts w:ascii="Times New Roman" w:eastAsia="Times New Roman" w:hAnsi="Times New Roman"/>
          <w:i/>
          <w:sz w:val="24"/>
          <w:szCs w:val="24"/>
        </w:rPr>
        <w:t xml:space="preserve">B. </w:t>
      </w:r>
      <w:proofErr w:type="spellStart"/>
      <w:r w:rsidRPr="003F27D3">
        <w:rPr>
          <w:rFonts w:ascii="Times New Roman" w:eastAsia="Times New Roman" w:hAnsi="Times New Roman"/>
          <w:i/>
          <w:sz w:val="24"/>
          <w:szCs w:val="24"/>
        </w:rPr>
        <w:t>thetaiotaomicron</w:t>
      </w:r>
      <w:proofErr w:type="spellEnd"/>
      <w:r>
        <w:rPr>
          <w:rFonts w:ascii="Times New Roman" w:eastAsia="Times New Roman" w:hAnsi="Times New Roman"/>
          <w:sz w:val="24"/>
          <w:szCs w:val="24"/>
        </w:rPr>
        <w:t xml:space="preserve"> consumes carbohydrates which are otherwise used by certain </w:t>
      </w:r>
      <w:r w:rsidRPr="003F27D3">
        <w:rPr>
          <w:rFonts w:ascii="Times New Roman" w:eastAsia="Times New Roman" w:hAnsi="Times New Roman"/>
          <w:i/>
          <w:sz w:val="24"/>
          <w:szCs w:val="24"/>
        </w:rPr>
        <w:t>Clostridium</w:t>
      </w:r>
      <w:r>
        <w:rPr>
          <w:rFonts w:ascii="Times New Roman" w:eastAsia="Times New Roman" w:hAnsi="Times New Roman"/>
          <w:sz w:val="24"/>
          <w:szCs w:val="24"/>
        </w:rPr>
        <w:t xml:space="preserve"> species, thus executing competitive exclusion </w:t>
      </w:r>
      <w:r>
        <w:rPr>
          <w:rFonts w:ascii="Times New Roman" w:eastAsia="Times New Roman" w:hAnsi="Times New Roman"/>
          <w:noProof/>
          <w:sz w:val="24"/>
          <w:szCs w:val="24"/>
        </w:rPr>
        <w:t>[44]</w:t>
      </w:r>
      <w:r>
        <w:rPr>
          <w:rFonts w:ascii="Times New Roman" w:eastAsia="Times New Roman" w:hAnsi="Times New Roman"/>
          <w:sz w:val="24"/>
          <w:szCs w:val="24"/>
        </w:rPr>
        <w:t xml:space="preserve">. Direct colonization resistance is realized through the production of </w:t>
      </w:r>
      <w:proofErr w:type="spellStart"/>
      <w:r>
        <w:rPr>
          <w:rFonts w:ascii="Times New Roman" w:eastAsia="Times New Roman" w:hAnsi="Times New Roman"/>
          <w:sz w:val="24"/>
          <w:szCs w:val="24"/>
        </w:rPr>
        <w:t>bacteriocins</w:t>
      </w:r>
      <w:proofErr w:type="spellEnd"/>
      <w:r>
        <w:rPr>
          <w:rFonts w:ascii="Times New Roman" w:eastAsia="Times New Roman" w:hAnsi="Times New Roman"/>
          <w:sz w:val="24"/>
          <w:szCs w:val="24"/>
        </w:rPr>
        <w:t xml:space="preserve">, targeting competitors via impairing growth or adhesion </w:t>
      </w:r>
      <w:r>
        <w:rPr>
          <w:rFonts w:ascii="Times New Roman" w:eastAsia="Times New Roman" w:hAnsi="Times New Roman"/>
          <w:noProof/>
          <w:sz w:val="24"/>
          <w:szCs w:val="24"/>
        </w:rPr>
        <w:t>[44, 45]</w:t>
      </w:r>
      <w:r>
        <w:rPr>
          <w:rFonts w:ascii="Times New Roman" w:eastAsia="Times New Roman" w:hAnsi="Times New Roman"/>
          <w:sz w:val="24"/>
          <w:szCs w:val="24"/>
        </w:rPr>
        <w:t xml:space="preserve">. Other mechanisms utilize the host immune system, such as the capability of </w:t>
      </w:r>
      <w:r w:rsidRPr="003F27D3">
        <w:rPr>
          <w:rFonts w:ascii="Times New Roman" w:eastAsia="Times New Roman" w:hAnsi="Times New Roman"/>
          <w:i/>
          <w:sz w:val="24"/>
          <w:szCs w:val="24"/>
        </w:rPr>
        <w:t xml:space="preserve">B. </w:t>
      </w:r>
      <w:proofErr w:type="spellStart"/>
      <w:r w:rsidRPr="003F27D3">
        <w:rPr>
          <w:rFonts w:ascii="Times New Roman" w:eastAsia="Times New Roman" w:hAnsi="Times New Roman"/>
          <w:i/>
          <w:sz w:val="24"/>
          <w:szCs w:val="24"/>
        </w:rPr>
        <w:t>thetaiotaomicron</w:t>
      </w:r>
      <w:proofErr w:type="spellEnd"/>
      <w:r>
        <w:rPr>
          <w:rFonts w:ascii="Times New Roman" w:eastAsia="Times New Roman" w:hAnsi="Times New Roman"/>
          <w:sz w:val="24"/>
          <w:szCs w:val="24"/>
        </w:rPr>
        <w:t xml:space="preserve"> to enhance the expression of genes which lead to an increased production of antimicrobial peptides </w:t>
      </w:r>
      <w:r>
        <w:rPr>
          <w:rFonts w:ascii="Times New Roman" w:eastAsia="Times New Roman" w:hAnsi="Times New Roman"/>
          <w:noProof/>
          <w:sz w:val="24"/>
          <w:szCs w:val="24"/>
        </w:rPr>
        <w:t>[44]</w:t>
      </w:r>
      <w:r>
        <w:rPr>
          <w:rFonts w:ascii="Times New Roman" w:eastAsia="Times New Roman" w:hAnsi="Times New Roman"/>
          <w:sz w:val="24"/>
          <w:szCs w:val="24"/>
        </w:rPr>
        <w:t xml:space="preserve">. Less targeted drivers of community composition are given by a variety of cross-feeding effects which, for example, are thought to determine the distribution of short-chain fatty acid (SCFA) production to a large extent </w:t>
      </w:r>
      <w:r>
        <w:rPr>
          <w:rFonts w:ascii="Times New Roman" w:eastAsia="Times New Roman" w:hAnsi="Times New Roman"/>
          <w:noProof/>
          <w:sz w:val="24"/>
          <w:szCs w:val="24"/>
        </w:rPr>
        <w:t>[46]</w:t>
      </w:r>
      <w:r>
        <w:rPr>
          <w:rFonts w:ascii="Times New Roman" w:eastAsia="Times New Roman" w:hAnsi="Times New Roman"/>
          <w:sz w:val="24"/>
          <w:szCs w:val="24"/>
        </w:rPr>
        <w:t xml:space="preserve">. Successful niching therefore typically results from matching the species’ metabolic repertoire with the availability of energy sources as well as the ability to modulate environmental factors towards favorable conditions. Although major drivers of community composition are known, sensitivity and robustness of the complex network of microbial interactions need to be better understood. On top of that, it has to be expected that many more interactions and interrelations are yet to be discovered.     </w:t>
      </w:r>
    </w:p>
    <w:p w:rsidR="009475F0" w:rsidRDefault="009475F0" w:rsidP="001F2863">
      <w:pPr>
        <w:spacing w:line="480" w:lineRule="auto"/>
        <w:jc w:val="both"/>
        <w:rPr>
          <w:rFonts w:ascii="Times New Roman" w:eastAsia="Times New Roman" w:hAnsi="Times New Roman"/>
          <w:b/>
          <w:sz w:val="24"/>
          <w:szCs w:val="24"/>
        </w:rPr>
      </w:pPr>
      <w:r>
        <w:rPr>
          <w:rFonts w:ascii="Times New Roman" w:eastAsia="Times New Roman" w:hAnsi="Times New Roman"/>
          <w:b/>
          <w:sz w:val="24"/>
          <w:szCs w:val="24"/>
        </w:rPr>
        <w:t>Host microbiome interactions</w:t>
      </w:r>
    </w:p>
    <w:p w:rsidR="009475F0" w:rsidRDefault="009475F0" w:rsidP="001F2863">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Many commensal gut microbiota co-evolved with their host organisms and thus have developed specialized mechanisms of interaction with their human environment. Likewise, human metabolism and immune system rely in multiple ways on the presence of microbial partners. The most obvious contribution of the gut microorganisms is fermentation of non-soluble dietary compounds, which cannot be absorbed by the host without prior degradation. Products of microbial fermentation significantly contribute to the energy intake of the host. Apart from being an additional source of energy, end products of microbial metabolism also serve other health promoting functions. For example, SCFA have been shown to modulate immune function </w:t>
      </w:r>
      <w:r>
        <w:rPr>
          <w:rFonts w:ascii="Times New Roman" w:eastAsia="Times New Roman" w:hAnsi="Times New Roman"/>
          <w:noProof/>
          <w:sz w:val="24"/>
          <w:szCs w:val="24"/>
        </w:rPr>
        <w:t>[47-</w:t>
      </w:r>
      <w:r>
        <w:rPr>
          <w:rFonts w:ascii="Times New Roman" w:eastAsia="Times New Roman" w:hAnsi="Times New Roman"/>
          <w:noProof/>
          <w:sz w:val="24"/>
          <w:szCs w:val="24"/>
        </w:rPr>
        <w:lastRenderedPageBreak/>
        <w:t>50]</w:t>
      </w:r>
      <w:r>
        <w:rPr>
          <w:rFonts w:ascii="Times New Roman" w:eastAsia="Times New Roman" w:hAnsi="Times New Roman"/>
          <w:sz w:val="24"/>
          <w:szCs w:val="24"/>
        </w:rPr>
        <w:t>. On the other side, microbial associated molecular patterns (MAMP) provide an early immunological challenge, guiding the human immune system from the first moment of contact on.</w:t>
      </w:r>
    </w:p>
    <w:p w:rsidR="009475F0" w:rsidRDefault="009475F0" w:rsidP="001F2863">
      <w:pPr>
        <w:spacing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Shortly after birth, the immune system is considered to be relatively immature, enabling the colonization of the gut with commensal microbiota from the environment (see </w:t>
      </w:r>
      <w:r>
        <w:rPr>
          <w:rFonts w:ascii="Times New Roman" w:eastAsia="Times New Roman" w:hAnsi="Times New Roman"/>
          <w:noProof/>
          <w:sz w:val="24"/>
          <w:szCs w:val="24"/>
        </w:rPr>
        <w:t>[4]</w:t>
      </w:r>
      <w:r>
        <w:rPr>
          <w:rFonts w:ascii="Times New Roman" w:eastAsia="Times New Roman" w:hAnsi="Times New Roman"/>
          <w:sz w:val="24"/>
          <w:szCs w:val="24"/>
        </w:rPr>
        <w:t xml:space="preserve"> for a detailed review). During the development of the host’s immune system MAMPs play a central role in learning to maintain a healthy balance between pro- and anti-inflammatory immune reaction </w:t>
      </w:r>
      <w:r>
        <w:rPr>
          <w:rFonts w:ascii="Times New Roman" w:eastAsia="Times New Roman" w:hAnsi="Times New Roman"/>
          <w:noProof/>
          <w:sz w:val="24"/>
          <w:szCs w:val="24"/>
        </w:rPr>
        <w:t>[4, 51]</w:t>
      </w:r>
      <w:r>
        <w:rPr>
          <w:rFonts w:ascii="Times New Roman" w:eastAsia="Times New Roman" w:hAnsi="Times New Roman"/>
          <w:sz w:val="24"/>
          <w:szCs w:val="24"/>
        </w:rPr>
        <w:t xml:space="preserve">. Apart from modulatory function, gut microbes interfere with colonization processes through mechanisms of colonization resistance, such as direct inhibition via </w:t>
      </w:r>
      <w:proofErr w:type="spellStart"/>
      <w:r>
        <w:rPr>
          <w:rFonts w:ascii="Times New Roman" w:eastAsia="Times New Roman" w:hAnsi="Times New Roman"/>
          <w:sz w:val="24"/>
          <w:szCs w:val="24"/>
        </w:rPr>
        <w:t>bacteriocins</w:t>
      </w:r>
      <w:proofErr w:type="spellEnd"/>
      <w:r>
        <w:rPr>
          <w:rFonts w:ascii="Times New Roman" w:eastAsia="Times New Roman" w:hAnsi="Times New Roman"/>
          <w:sz w:val="24"/>
          <w:szCs w:val="24"/>
        </w:rPr>
        <w:t>, competition for nutrients or receptors, or direct barrier function via building of biofilms.</w:t>
      </w:r>
    </w:p>
    <w:p w:rsidR="009475F0" w:rsidRDefault="009475F0" w:rsidP="001F2863">
      <w:pPr>
        <w:spacing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On the other side, the host protects itself from microbial invasion. There are several immune mechanisms confining the gut microbiota to the lumen. A first, physical barrier is provided by a mucus layer, consisting of a variety of glycoproteins secreted by goblet cells. In the large intestine, this layer consists of an inner and an outer mucus layer </w:t>
      </w:r>
      <w:r>
        <w:rPr>
          <w:rFonts w:ascii="Times New Roman" w:eastAsia="Times New Roman" w:hAnsi="Times New Roman"/>
          <w:noProof/>
          <w:sz w:val="24"/>
          <w:szCs w:val="24"/>
        </w:rPr>
        <w:t>[52]</w:t>
      </w:r>
      <w:r>
        <w:rPr>
          <w:rFonts w:ascii="Times New Roman" w:eastAsia="Times New Roman" w:hAnsi="Times New Roman"/>
          <w:sz w:val="24"/>
          <w:szCs w:val="24"/>
        </w:rPr>
        <w:t xml:space="preserve">. While the latter provides an attachment site and endogenous nutrient source for commensal bacteria </w:t>
      </w:r>
      <w:r>
        <w:rPr>
          <w:rFonts w:ascii="Times New Roman" w:eastAsia="Times New Roman" w:hAnsi="Times New Roman"/>
          <w:noProof/>
          <w:sz w:val="24"/>
          <w:szCs w:val="24"/>
        </w:rPr>
        <w:t>[53]</w:t>
      </w:r>
      <w:r>
        <w:rPr>
          <w:rFonts w:ascii="Times New Roman" w:eastAsia="Times New Roman" w:hAnsi="Times New Roman"/>
          <w:sz w:val="24"/>
          <w:szCs w:val="24"/>
        </w:rPr>
        <w:t xml:space="preserve">, the inner layer is commonly not colonized by bacterial populations, thus providing a dense physical barrier against bacterial penetration of the epithelium </w:t>
      </w:r>
      <w:r>
        <w:rPr>
          <w:rFonts w:ascii="Times New Roman" w:eastAsia="Times New Roman" w:hAnsi="Times New Roman"/>
          <w:noProof/>
          <w:sz w:val="24"/>
          <w:szCs w:val="24"/>
        </w:rPr>
        <w:t>[52]</w:t>
      </w:r>
      <w:r>
        <w:rPr>
          <w:rFonts w:ascii="Times New Roman" w:eastAsia="Times New Roman" w:hAnsi="Times New Roman"/>
          <w:sz w:val="24"/>
          <w:szCs w:val="24"/>
        </w:rPr>
        <w:t xml:space="preserve">. There is increasing evidence suggesting that structure and composition of the mucosal barrier result from host-microbial interaction. For instance, a recent study showed that in contrast to an intact mucus layer in conventionally raised mice, the inner layer of germ-free mice can be penetrated by bacteria sized particles. After colonization of germ-free mice with microbiota from conventionally raised animals, mucus function has been recovered after 6 weeks </w:t>
      </w:r>
      <w:r>
        <w:rPr>
          <w:rFonts w:ascii="Times New Roman" w:eastAsia="Times New Roman" w:hAnsi="Times New Roman"/>
          <w:noProof/>
          <w:sz w:val="24"/>
          <w:szCs w:val="24"/>
        </w:rPr>
        <w:t>[54]</w:t>
      </w:r>
      <w:r>
        <w:rPr>
          <w:rFonts w:ascii="Times New Roman" w:eastAsia="Times New Roman" w:hAnsi="Times New Roman"/>
          <w:sz w:val="24"/>
          <w:szCs w:val="24"/>
        </w:rPr>
        <w:t xml:space="preserve">. </w:t>
      </w:r>
    </w:p>
    <w:p w:rsidR="009475F0" w:rsidRDefault="009475F0" w:rsidP="001F2863">
      <w:pPr>
        <w:spacing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In contrast to the large intestine, the mucosal surface in the small intestine consists of one layer of mucus, only, and host-derived antimicrobial peptides (AMPs) are heavily utilized to prevent the epithelium from microbial penetration </w:t>
      </w:r>
      <w:r>
        <w:rPr>
          <w:rFonts w:ascii="Times New Roman" w:eastAsia="Times New Roman" w:hAnsi="Times New Roman"/>
          <w:noProof/>
          <w:sz w:val="24"/>
          <w:szCs w:val="24"/>
        </w:rPr>
        <w:t>[55]</w:t>
      </w:r>
      <w:r>
        <w:rPr>
          <w:rFonts w:ascii="Times New Roman" w:eastAsia="Times New Roman" w:hAnsi="Times New Roman"/>
          <w:sz w:val="24"/>
          <w:szCs w:val="24"/>
        </w:rPr>
        <w:t xml:space="preserve">. Paneth cells located in the epithelium in the small intestine are an important source of AMPs </w:t>
      </w:r>
      <w:r>
        <w:rPr>
          <w:rFonts w:ascii="Times New Roman" w:eastAsia="Times New Roman" w:hAnsi="Times New Roman"/>
          <w:noProof/>
          <w:sz w:val="24"/>
          <w:szCs w:val="24"/>
        </w:rPr>
        <w:t>[56]</w:t>
      </w:r>
      <w:r>
        <w:rPr>
          <w:rFonts w:ascii="Times New Roman" w:eastAsia="Times New Roman" w:hAnsi="Times New Roman"/>
          <w:sz w:val="24"/>
          <w:szCs w:val="24"/>
        </w:rPr>
        <w:t xml:space="preserve">. Microbes can be sensed by Paneth cells in a MyD88 dependent manner, resulting in the production of AMPs (e.g. </w:t>
      </w:r>
      <w:proofErr w:type="spellStart"/>
      <w:r>
        <w:rPr>
          <w:rFonts w:ascii="Times New Roman" w:eastAsia="Times New Roman" w:hAnsi="Times New Roman"/>
          <w:sz w:val="24"/>
          <w:szCs w:val="24"/>
        </w:rPr>
        <w:t>defensins</w:t>
      </w:r>
      <w:proofErr w:type="spellEnd"/>
      <w:r>
        <w:rPr>
          <w:rFonts w:ascii="Times New Roman" w:eastAsia="Times New Roman" w:hAnsi="Times New Roman"/>
          <w:sz w:val="24"/>
          <w:szCs w:val="24"/>
        </w:rPr>
        <w:t xml:space="preserve"> and C-type lectins) </w:t>
      </w:r>
      <w:r>
        <w:rPr>
          <w:rFonts w:ascii="Times New Roman" w:eastAsia="Times New Roman" w:hAnsi="Times New Roman"/>
          <w:noProof/>
          <w:sz w:val="24"/>
          <w:szCs w:val="24"/>
        </w:rPr>
        <w:t>[57]</w:t>
      </w:r>
      <w:r>
        <w:rPr>
          <w:rFonts w:ascii="Times New Roman" w:eastAsia="Times New Roman" w:hAnsi="Times New Roman"/>
          <w:sz w:val="24"/>
          <w:szCs w:val="24"/>
        </w:rPr>
        <w:t xml:space="preserve">. The latter include the C-type lectin </w:t>
      </w:r>
      <w:proofErr w:type="spellStart"/>
      <w:r>
        <w:rPr>
          <w:rFonts w:ascii="Times New Roman" w:eastAsia="Times New Roman" w:hAnsi="Times New Roman"/>
          <w:sz w:val="24"/>
          <w:szCs w:val="24"/>
        </w:rPr>
        <w:t>RegIII</w:t>
      </w:r>
      <w:proofErr w:type="spellEnd"/>
      <w:r>
        <w:rPr>
          <w:rFonts w:ascii="Times New Roman" w:eastAsia="Times New Roman" w:hAnsi="Times New Roman"/>
          <w:sz w:val="24"/>
          <w:szCs w:val="24"/>
        </w:rPr>
        <w:t>-γ which inhibits adhesion of Gram-</w:t>
      </w:r>
      <w:proofErr w:type="spellStart"/>
      <w:r>
        <w:rPr>
          <w:rFonts w:ascii="Times New Roman" w:eastAsia="Times New Roman" w:hAnsi="Times New Roman"/>
          <w:sz w:val="24"/>
          <w:szCs w:val="24"/>
        </w:rPr>
        <w:t>positve</w:t>
      </w:r>
      <w:proofErr w:type="spellEnd"/>
      <w:r>
        <w:rPr>
          <w:rFonts w:ascii="Times New Roman" w:eastAsia="Times New Roman" w:hAnsi="Times New Roman"/>
          <w:sz w:val="24"/>
          <w:szCs w:val="24"/>
        </w:rPr>
        <w:t xml:space="preserve"> bacteria to epithelial cells </w:t>
      </w:r>
      <w:r>
        <w:rPr>
          <w:rFonts w:ascii="Times New Roman" w:eastAsia="Times New Roman" w:hAnsi="Times New Roman"/>
          <w:noProof/>
          <w:sz w:val="24"/>
          <w:szCs w:val="24"/>
        </w:rPr>
        <w:t>[58]</w:t>
      </w:r>
      <w:r>
        <w:rPr>
          <w:rFonts w:ascii="Times New Roman" w:eastAsia="Times New Roman" w:hAnsi="Times New Roman"/>
          <w:sz w:val="24"/>
          <w:szCs w:val="24"/>
        </w:rPr>
        <w:t xml:space="preserve">. Furthermore, </w:t>
      </w:r>
      <w:proofErr w:type="spellStart"/>
      <w:r>
        <w:rPr>
          <w:rFonts w:ascii="Times New Roman" w:eastAsia="Times New Roman" w:hAnsi="Times New Roman"/>
          <w:sz w:val="24"/>
          <w:szCs w:val="24"/>
        </w:rPr>
        <w:t>defensins</w:t>
      </w:r>
      <w:proofErr w:type="spellEnd"/>
      <w:r>
        <w:rPr>
          <w:rFonts w:ascii="Times New Roman" w:eastAsia="Times New Roman" w:hAnsi="Times New Roman"/>
          <w:sz w:val="24"/>
          <w:szCs w:val="24"/>
        </w:rPr>
        <w:t xml:space="preserve"> such as α-</w:t>
      </w:r>
      <w:proofErr w:type="spellStart"/>
      <w:r>
        <w:rPr>
          <w:rFonts w:ascii="Times New Roman" w:eastAsia="Times New Roman" w:hAnsi="Times New Roman"/>
          <w:sz w:val="24"/>
          <w:szCs w:val="24"/>
        </w:rPr>
        <w:t>defensin</w:t>
      </w:r>
      <w:proofErr w:type="spellEnd"/>
      <w:r>
        <w:rPr>
          <w:rFonts w:ascii="Times New Roman" w:eastAsia="Times New Roman" w:hAnsi="Times New Roman"/>
          <w:sz w:val="24"/>
          <w:szCs w:val="24"/>
        </w:rPr>
        <w:t xml:space="preserve"> shape the microbial community by directly targeting the bacterial cell wall or by binding to the microbial cell surface (see </w:t>
      </w:r>
      <w:r>
        <w:rPr>
          <w:rFonts w:ascii="Times New Roman" w:eastAsia="Times New Roman" w:hAnsi="Times New Roman"/>
          <w:noProof/>
          <w:sz w:val="24"/>
          <w:szCs w:val="24"/>
        </w:rPr>
        <w:t>[55]</w:t>
      </w:r>
      <w:r>
        <w:rPr>
          <w:rFonts w:ascii="Times New Roman" w:eastAsia="Times New Roman" w:hAnsi="Times New Roman"/>
          <w:sz w:val="24"/>
          <w:szCs w:val="24"/>
        </w:rPr>
        <w:t xml:space="preserve"> for a detailed review). Thus, AMPs contribute to the regulation of the composition of the bacterial community besides preventing the epithelium from microbial encounter. </w:t>
      </w:r>
    </w:p>
    <w:p w:rsidR="009475F0" w:rsidRDefault="009475F0" w:rsidP="001F2863">
      <w:pPr>
        <w:spacing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Another strategy to confine gut microbiota to the lumen relies on secreted immunoglobulin A (IgA). MAMPs are sensed by dendritic cells which, as a consequence, stimulate the production of IgA by B cells originating from Peyer’s patches </w:t>
      </w:r>
      <w:r>
        <w:rPr>
          <w:rFonts w:ascii="Times New Roman" w:eastAsia="Times New Roman" w:hAnsi="Times New Roman"/>
          <w:noProof/>
          <w:sz w:val="24"/>
          <w:szCs w:val="24"/>
        </w:rPr>
        <w:t>[59]</w:t>
      </w:r>
      <w:r>
        <w:rPr>
          <w:rFonts w:ascii="Times New Roman" w:eastAsia="Times New Roman" w:hAnsi="Times New Roman"/>
          <w:sz w:val="24"/>
          <w:szCs w:val="24"/>
        </w:rPr>
        <w:t xml:space="preserve">. Secreted IgA then is </w:t>
      </w:r>
      <w:proofErr w:type="spellStart"/>
      <w:r>
        <w:rPr>
          <w:rFonts w:ascii="Times New Roman" w:eastAsia="Times New Roman" w:hAnsi="Times New Roman"/>
          <w:sz w:val="24"/>
          <w:szCs w:val="24"/>
        </w:rPr>
        <w:t>transcytosed</w:t>
      </w:r>
      <w:proofErr w:type="spellEnd"/>
      <w:r>
        <w:rPr>
          <w:rFonts w:ascii="Times New Roman" w:eastAsia="Times New Roman" w:hAnsi="Times New Roman"/>
          <w:sz w:val="24"/>
          <w:szCs w:val="24"/>
        </w:rPr>
        <w:t xml:space="preserve"> into the lumen and protects further bacterial translocation through the epithelium by binding to microbial antigens </w:t>
      </w:r>
      <w:r>
        <w:rPr>
          <w:rFonts w:ascii="Times New Roman" w:eastAsia="Times New Roman" w:hAnsi="Times New Roman"/>
          <w:noProof/>
          <w:sz w:val="24"/>
          <w:szCs w:val="24"/>
        </w:rPr>
        <w:t>[59]</w:t>
      </w:r>
      <w:r>
        <w:rPr>
          <w:rFonts w:ascii="Times New Roman" w:eastAsia="Times New Roman" w:hAnsi="Times New Roman"/>
          <w:sz w:val="24"/>
          <w:szCs w:val="24"/>
        </w:rPr>
        <w:t xml:space="preserve">. Thus, being a first line of defense, IgA plays a key role in maintaining integrity of the epithelial barrier and thus prevents systemic immune responses resulting from breaches of the gut epithelium. Interestingly, experiments in mice indicate that alterations in the specificity of the IgA repertoire can lead to substantial shifts in microbial community composition </w:t>
      </w:r>
      <w:r>
        <w:rPr>
          <w:rFonts w:ascii="Times New Roman" w:eastAsia="Times New Roman" w:hAnsi="Times New Roman"/>
          <w:noProof/>
          <w:sz w:val="24"/>
          <w:szCs w:val="24"/>
        </w:rPr>
        <w:t>[60]</w:t>
      </w:r>
      <w:r>
        <w:rPr>
          <w:rFonts w:ascii="Times New Roman" w:eastAsia="Times New Roman" w:hAnsi="Times New Roman"/>
          <w:sz w:val="24"/>
          <w:szCs w:val="24"/>
        </w:rPr>
        <w:t>.</w:t>
      </w:r>
    </w:p>
    <w:p w:rsidR="009475F0" w:rsidRDefault="009475F0" w:rsidP="001F2863">
      <w:pPr>
        <w:spacing w:line="480" w:lineRule="auto"/>
        <w:ind w:firstLine="720"/>
        <w:jc w:val="both"/>
        <w:rPr>
          <w:rFonts w:ascii="Times New Roman" w:hAnsi="Times New Roman"/>
          <w:sz w:val="24"/>
          <w:szCs w:val="24"/>
        </w:rPr>
      </w:pPr>
      <w:r>
        <w:rPr>
          <w:rFonts w:ascii="Times New Roman" w:eastAsia="Times New Roman" w:hAnsi="Times New Roman"/>
          <w:sz w:val="24"/>
          <w:szCs w:val="24"/>
        </w:rPr>
        <w:t xml:space="preserve">In addition to the production of IgA and AMPs, gut microbiota substantially alter immune homeostasis by impacting the differentiation of immune cell subsets. A fine-tuned balance between pro- and anti-inflammatory immune responses is crucial to remain </w:t>
      </w:r>
      <w:proofErr w:type="spellStart"/>
      <w:r>
        <w:rPr>
          <w:rFonts w:ascii="Times New Roman" w:eastAsia="Times New Roman" w:hAnsi="Times New Roman"/>
          <w:sz w:val="24"/>
          <w:szCs w:val="24"/>
        </w:rPr>
        <w:t>tolerogenic</w:t>
      </w:r>
      <w:proofErr w:type="spellEnd"/>
      <w:r>
        <w:rPr>
          <w:rFonts w:ascii="Times New Roman" w:eastAsia="Times New Roman" w:hAnsi="Times New Roman"/>
          <w:sz w:val="24"/>
          <w:szCs w:val="24"/>
        </w:rPr>
        <w:t xml:space="preserve"> </w:t>
      </w:r>
      <w:r>
        <w:rPr>
          <w:rFonts w:ascii="Times New Roman" w:eastAsia="Times New Roman" w:hAnsi="Times New Roman"/>
          <w:sz w:val="24"/>
          <w:szCs w:val="24"/>
        </w:rPr>
        <w:lastRenderedPageBreak/>
        <w:t xml:space="preserve">for commensals, and at the same time being able to defend against invasion by pathogens. With respect to the development of autoimmunity any excess in pro-inflammatory immune responses is clearly not desirable. As one line of evidence in this direction, increased Th17 (IL-17) responses have been associated with the development of autoimmune diseases </w:t>
      </w:r>
      <w:r>
        <w:rPr>
          <w:rFonts w:ascii="Times New Roman" w:eastAsia="Times New Roman" w:hAnsi="Times New Roman"/>
          <w:noProof/>
          <w:sz w:val="24"/>
          <w:szCs w:val="24"/>
        </w:rPr>
        <w:t>[61, 62]</w:t>
      </w:r>
      <w:r>
        <w:rPr>
          <w:rFonts w:ascii="Times New Roman" w:eastAsia="Times New Roman" w:hAnsi="Times New Roman"/>
          <w:sz w:val="24"/>
          <w:szCs w:val="24"/>
        </w:rPr>
        <w:t xml:space="preserve">. On the other hand, pro-inflammatory Th17 responses are necessary to prevent pathogenic infections, suggesting that a balanced degree of Th17 response is crucial for immune homeostasis </w:t>
      </w:r>
      <w:r>
        <w:rPr>
          <w:rFonts w:ascii="Times New Roman" w:eastAsia="Times New Roman" w:hAnsi="Times New Roman"/>
          <w:noProof/>
          <w:sz w:val="24"/>
          <w:szCs w:val="24"/>
        </w:rPr>
        <w:t>[63]</w:t>
      </w:r>
      <w:r>
        <w:rPr>
          <w:rFonts w:ascii="Times New Roman" w:eastAsia="Times New Roman" w:hAnsi="Times New Roman"/>
          <w:sz w:val="24"/>
          <w:szCs w:val="24"/>
        </w:rPr>
        <w:t xml:space="preserve">.  Another concrete mechanism has been elucidated in the mouse model where segmented filamentous bacteria (SFB), have been shown to induce pro-inflammatory responses due to the differentiation of Th17 cells </w:t>
      </w:r>
      <w:r>
        <w:rPr>
          <w:rFonts w:ascii="Times New Roman" w:eastAsia="Times New Roman" w:hAnsi="Times New Roman"/>
          <w:noProof/>
          <w:sz w:val="24"/>
          <w:szCs w:val="24"/>
        </w:rPr>
        <w:t>[61, 64, 65]</w:t>
      </w:r>
      <w:r>
        <w:rPr>
          <w:rFonts w:ascii="Times New Roman" w:eastAsia="Times New Roman" w:hAnsi="Times New Roman"/>
          <w:sz w:val="24"/>
          <w:szCs w:val="24"/>
        </w:rPr>
        <w:t xml:space="preserve">. A similar effect has been shown via the production of </w:t>
      </w:r>
      <w:r w:rsidRPr="00347A1F">
        <w:rPr>
          <w:rFonts w:ascii="Times New Roman" w:hAnsi="Times New Roman"/>
          <w:sz w:val="24"/>
          <w:szCs w:val="24"/>
        </w:rPr>
        <w:t>adenosine 5'-triphosphate (ATP)</w:t>
      </w:r>
      <w:r>
        <w:rPr>
          <w:rFonts w:ascii="Times New Roman" w:hAnsi="Times New Roman"/>
          <w:sz w:val="24"/>
          <w:szCs w:val="24"/>
        </w:rPr>
        <w:t xml:space="preserve"> by commensal bacteria </w:t>
      </w:r>
      <w:r>
        <w:rPr>
          <w:rFonts w:ascii="Times New Roman" w:hAnsi="Times New Roman"/>
          <w:noProof/>
          <w:sz w:val="24"/>
          <w:szCs w:val="24"/>
        </w:rPr>
        <w:t>[66]</w:t>
      </w:r>
      <w:r>
        <w:rPr>
          <w:rFonts w:ascii="Times New Roman" w:hAnsi="Times New Roman"/>
          <w:sz w:val="24"/>
          <w:szCs w:val="24"/>
        </w:rPr>
        <w:t xml:space="preserve">. </w:t>
      </w:r>
    </w:p>
    <w:p w:rsidR="009475F0" w:rsidRDefault="009475F0" w:rsidP="001F2863">
      <w:pPr>
        <w:spacing w:line="480" w:lineRule="auto"/>
        <w:ind w:firstLine="720"/>
        <w:jc w:val="both"/>
        <w:rPr>
          <w:rFonts w:ascii="Times New Roman" w:hAnsi="Times New Roman"/>
          <w:sz w:val="24"/>
          <w:szCs w:val="24"/>
        </w:rPr>
      </w:pPr>
      <w:r>
        <w:rPr>
          <w:rFonts w:ascii="Times New Roman" w:hAnsi="Times New Roman"/>
          <w:sz w:val="24"/>
          <w:szCs w:val="24"/>
        </w:rPr>
        <w:t>On the other hand, commensal gut microbiota can also induce anti-inflammatory effects, for instance by the suppression of Th17 via regulatory T cells (</w:t>
      </w:r>
      <w:proofErr w:type="spellStart"/>
      <w:r>
        <w:rPr>
          <w:rFonts w:ascii="Times New Roman" w:hAnsi="Times New Roman"/>
          <w:sz w:val="24"/>
          <w:szCs w:val="24"/>
        </w:rPr>
        <w:t>T</w:t>
      </w:r>
      <w:r>
        <w:rPr>
          <w:rFonts w:ascii="Times New Roman" w:hAnsi="Times New Roman"/>
          <w:sz w:val="24"/>
          <w:szCs w:val="24"/>
          <w:vertAlign w:val="subscript"/>
        </w:rPr>
        <w:t>reg</w:t>
      </w:r>
      <w:proofErr w:type="spellEnd"/>
      <w:r>
        <w:rPr>
          <w:rFonts w:ascii="Times New Roman" w:hAnsi="Times New Roman"/>
          <w:sz w:val="24"/>
          <w:szCs w:val="24"/>
        </w:rPr>
        <w:t xml:space="preserve">). One prominent example is the human commensal </w:t>
      </w:r>
      <w:proofErr w:type="spellStart"/>
      <w:r w:rsidRPr="0073543E">
        <w:rPr>
          <w:rFonts w:ascii="Times New Roman" w:hAnsi="Times New Roman"/>
          <w:i/>
          <w:sz w:val="24"/>
          <w:szCs w:val="24"/>
        </w:rPr>
        <w:t>Bacteroides</w:t>
      </w:r>
      <w:proofErr w:type="spellEnd"/>
      <w:r w:rsidRPr="0073543E">
        <w:rPr>
          <w:rFonts w:ascii="Times New Roman" w:hAnsi="Times New Roman"/>
          <w:i/>
          <w:sz w:val="24"/>
          <w:szCs w:val="24"/>
        </w:rPr>
        <w:t xml:space="preserve"> </w:t>
      </w:r>
      <w:proofErr w:type="spellStart"/>
      <w:r w:rsidRPr="0073543E">
        <w:rPr>
          <w:rFonts w:ascii="Times New Roman" w:hAnsi="Times New Roman"/>
          <w:i/>
          <w:sz w:val="24"/>
          <w:szCs w:val="24"/>
        </w:rPr>
        <w:t>fragilis</w:t>
      </w:r>
      <w:proofErr w:type="spellEnd"/>
      <w:r>
        <w:rPr>
          <w:rFonts w:ascii="Times New Roman" w:hAnsi="Times New Roman"/>
          <w:sz w:val="24"/>
          <w:szCs w:val="24"/>
        </w:rPr>
        <w:t xml:space="preserve"> which induces differentiation of Foxp3</w:t>
      </w:r>
      <w:r>
        <w:rPr>
          <w:rFonts w:ascii="Times New Roman" w:hAnsi="Times New Roman"/>
          <w:sz w:val="24"/>
          <w:szCs w:val="24"/>
          <w:vertAlign w:val="superscript"/>
        </w:rPr>
        <w:t>+</w:t>
      </w:r>
      <w:r>
        <w:rPr>
          <w:rFonts w:ascii="Times New Roman" w:hAnsi="Times New Roman"/>
          <w:sz w:val="24"/>
          <w:szCs w:val="24"/>
        </w:rPr>
        <w:t xml:space="preserve"> </w:t>
      </w:r>
      <w:proofErr w:type="spellStart"/>
      <w:r>
        <w:rPr>
          <w:rFonts w:ascii="Times New Roman" w:hAnsi="Times New Roman"/>
          <w:sz w:val="24"/>
          <w:szCs w:val="24"/>
        </w:rPr>
        <w:t>T</w:t>
      </w:r>
      <w:r>
        <w:rPr>
          <w:rFonts w:ascii="Times New Roman" w:hAnsi="Times New Roman"/>
          <w:sz w:val="24"/>
          <w:szCs w:val="24"/>
          <w:vertAlign w:val="subscript"/>
        </w:rPr>
        <w:t>regs</w:t>
      </w:r>
      <w:proofErr w:type="spellEnd"/>
      <w:r>
        <w:rPr>
          <w:rFonts w:ascii="Times New Roman" w:hAnsi="Times New Roman"/>
          <w:sz w:val="24"/>
          <w:szCs w:val="24"/>
        </w:rPr>
        <w:t xml:space="preserve"> from CD4</w:t>
      </w:r>
      <w:r>
        <w:rPr>
          <w:rFonts w:ascii="Times New Roman" w:hAnsi="Times New Roman"/>
          <w:sz w:val="24"/>
          <w:szCs w:val="24"/>
          <w:vertAlign w:val="superscript"/>
        </w:rPr>
        <w:t>+</w:t>
      </w:r>
      <w:r>
        <w:rPr>
          <w:rFonts w:ascii="Times New Roman" w:hAnsi="Times New Roman"/>
          <w:sz w:val="24"/>
          <w:szCs w:val="24"/>
        </w:rPr>
        <w:t xml:space="preserve"> T cells. This conversion is mediated by the MAMP polysaccharide A (PSA) from the outer membrane of </w:t>
      </w:r>
      <w:r w:rsidRPr="00777252">
        <w:rPr>
          <w:rFonts w:ascii="Times New Roman" w:hAnsi="Times New Roman"/>
          <w:i/>
          <w:sz w:val="24"/>
          <w:szCs w:val="24"/>
        </w:rPr>
        <w:t xml:space="preserve">B. </w:t>
      </w:r>
      <w:proofErr w:type="spellStart"/>
      <w:r w:rsidRPr="00777252">
        <w:rPr>
          <w:rFonts w:ascii="Times New Roman" w:hAnsi="Times New Roman"/>
          <w:i/>
          <w:sz w:val="24"/>
          <w:szCs w:val="24"/>
        </w:rPr>
        <w:t>fragilis</w:t>
      </w:r>
      <w:proofErr w:type="spellEnd"/>
      <w:r>
        <w:rPr>
          <w:rFonts w:ascii="Times New Roman" w:hAnsi="Times New Roman"/>
          <w:i/>
          <w:sz w:val="24"/>
          <w:szCs w:val="24"/>
        </w:rPr>
        <w:t xml:space="preserve"> </w:t>
      </w:r>
      <w:r>
        <w:rPr>
          <w:rFonts w:ascii="Times New Roman" w:hAnsi="Times New Roman"/>
          <w:noProof/>
          <w:sz w:val="24"/>
          <w:szCs w:val="24"/>
        </w:rPr>
        <w:t>[67]</w:t>
      </w:r>
      <w:r w:rsidRPr="00777252">
        <w:rPr>
          <w:rFonts w:ascii="Times New Roman" w:hAnsi="Times New Roman"/>
          <w:sz w:val="24"/>
          <w:szCs w:val="24"/>
        </w:rPr>
        <w:t>.</w:t>
      </w:r>
      <w:r>
        <w:rPr>
          <w:rFonts w:ascii="Times New Roman" w:hAnsi="Times New Roman"/>
          <w:sz w:val="24"/>
          <w:szCs w:val="24"/>
        </w:rPr>
        <w:t xml:space="preserve"> Similarly, colonization of germ-free mice with bacterial strains from the </w:t>
      </w:r>
      <w:r w:rsidRPr="000C7D5A">
        <w:rPr>
          <w:rFonts w:ascii="Times New Roman" w:hAnsi="Times New Roman"/>
          <w:i/>
          <w:sz w:val="24"/>
          <w:szCs w:val="24"/>
        </w:rPr>
        <w:t>Clostridium</w:t>
      </w:r>
      <w:r>
        <w:rPr>
          <w:rFonts w:ascii="Times New Roman" w:hAnsi="Times New Roman"/>
          <w:sz w:val="24"/>
          <w:szCs w:val="24"/>
        </w:rPr>
        <w:t xml:space="preserve"> clusters IV and </w:t>
      </w:r>
      <w:proofErr w:type="spellStart"/>
      <w:r>
        <w:rPr>
          <w:rFonts w:ascii="Times New Roman" w:hAnsi="Times New Roman"/>
          <w:sz w:val="24"/>
          <w:szCs w:val="24"/>
        </w:rPr>
        <w:t>XIVa</w:t>
      </w:r>
      <w:proofErr w:type="spellEnd"/>
      <w:r>
        <w:rPr>
          <w:rFonts w:ascii="Times New Roman" w:hAnsi="Times New Roman"/>
          <w:sz w:val="24"/>
          <w:szCs w:val="24"/>
        </w:rPr>
        <w:t xml:space="preserve">, or with bacteria from the altered </w:t>
      </w:r>
      <w:proofErr w:type="spellStart"/>
      <w:r>
        <w:rPr>
          <w:rFonts w:ascii="Times New Roman" w:hAnsi="Times New Roman"/>
          <w:sz w:val="24"/>
          <w:szCs w:val="24"/>
        </w:rPr>
        <w:t>Schaedler</w:t>
      </w:r>
      <w:proofErr w:type="spellEnd"/>
      <w:r>
        <w:rPr>
          <w:rFonts w:ascii="Times New Roman" w:hAnsi="Times New Roman"/>
          <w:sz w:val="24"/>
          <w:szCs w:val="24"/>
        </w:rPr>
        <w:t xml:space="preserve"> flora (ASF) resulted in the differentiation of </w:t>
      </w:r>
      <w:proofErr w:type="spellStart"/>
      <w:r>
        <w:rPr>
          <w:rFonts w:ascii="Times New Roman" w:hAnsi="Times New Roman"/>
          <w:sz w:val="24"/>
          <w:szCs w:val="24"/>
        </w:rPr>
        <w:t>T</w:t>
      </w:r>
      <w:r>
        <w:rPr>
          <w:rFonts w:ascii="Times New Roman" w:hAnsi="Times New Roman"/>
          <w:sz w:val="24"/>
          <w:szCs w:val="24"/>
          <w:vertAlign w:val="subscript"/>
        </w:rPr>
        <w:t>regs</w:t>
      </w:r>
      <w:proofErr w:type="spellEnd"/>
      <w:r>
        <w:rPr>
          <w:rFonts w:ascii="Times New Roman" w:hAnsi="Times New Roman"/>
          <w:sz w:val="24"/>
          <w:szCs w:val="24"/>
          <w:vertAlign w:val="subscript"/>
        </w:rPr>
        <w:t xml:space="preserve"> </w:t>
      </w:r>
      <w:r>
        <w:rPr>
          <w:rFonts w:ascii="Times New Roman" w:hAnsi="Times New Roman"/>
          <w:sz w:val="24"/>
          <w:szCs w:val="24"/>
        </w:rPr>
        <w:t xml:space="preserve">in the lamina </w:t>
      </w:r>
      <w:proofErr w:type="spellStart"/>
      <w:r>
        <w:rPr>
          <w:rFonts w:ascii="Times New Roman" w:hAnsi="Times New Roman"/>
          <w:sz w:val="24"/>
          <w:szCs w:val="24"/>
        </w:rPr>
        <w:t>propria</w:t>
      </w:r>
      <w:proofErr w:type="spellEnd"/>
      <w:r>
        <w:rPr>
          <w:rFonts w:ascii="Times New Roman" w:hAnsi="Times New Roman"/>
          <w:sz w:val="24"/>
          <w:szCs w:val="24"/>
        </w:rPr>
        <w:t xml:space="preserve"> </w:t>
      </w:r>
      <w:r>
        <w:rPr>
          <w:rFonts w:ascii="Times New Roman" w:hAnsi="Times New Roman"/>
          <w:noProof/>
          <w:sz w:val="24"/>
          <w:szCs w:val="24"/>
        </w:rPr>
        <w:t>[68, 69]</w:t>
      </w:r>
      <w:r>
        <w:rPr>
          <w:rFonts w:ascii="Times New Roman" w:hAnsi="Times New Roman"/>
          <w:sz w:val="24"/>
          <w:szCs w:val="24"/>
        </w:rPr>
        <w:t xml:space="preserve">. Most </w:t>
      </w:r>
      <w:proofErr w:type="spellStart"/>
      <w:r>
        <w:rPr>
          <w:rFonts w:ascii="Times New Roman" w:hAnsi="Times New Roman"/>
          <w:sz w:val="24"/>
          <w:szCs w:val="24"/>
        </w:rPr>
        <w:t>T</w:t>
      </w:r>
      <w:r>
        <w:rPr>
          <w:rFonts w:ascii="Times New Roman" w:hAnsi="Times New Roman"/>
          <w:sz w:val="24"/>
          <w:szCs w:val="24"/>
          <w:vertAlign w:val="subscript"/>
        </w:rPr>
        <w:t>reg</w:t>
      </w:r>
      <w:proofErr w:type="spellEnd"/>
      <w:r>
        <w:rPr>
          <w:rFonts w:ascii="Times New Roman" w:hAnsi="Times New Roman"/>
          <w:sz w:val="24"/>
          <w:szCs w:val="24"/>
        </w:rPr>
        <w:t xml:space="preserve"> cells are selected in the thymus and suppress T cell subsets associated with autoimmune reactions </w:t>
      </w:r>
      <w:r>
        <w:rPr>
          <w:rFonts w:ascii="Times New Roman" w:hAnsi="Times New Roman"/>
          <w:noProof/>
          <w:sz w:val="24"/>
          <w:szCs w:val="24"/>
        </w:rPr>
        <w:t>[63]</w:t>
      </w:r>
      <w:r>
        <w:rPr>
          <w:rFonts w:ascii="Times New Roman" w:hAnsi="Times New Roman"/>
          <w:sz w:val="24"/>
          <w:szCs w:val="24"/>
        </w:rPr>
        <w:t xml:space="preserve">. However, induction of </w:t>
      </w:r>
      <w:proofErr w:type="spellStart"/>
      <w:r>
        <w:rPr>
          <w:rFonts w:ascii="Times New Roman" w:hAnsi="Times New Roman"/>
          <w:sz w:val="24"/>
          <w:szCs w:val="24"/>
        </w:rPr>
        <w:t>T</w:t>
      </w:r>
      <w:r>
        <w:rPr>
          <w:rFonts w:ascii="Times New Roman" w:hAnsi="Times New Roman"/>
          <w:sz w:val="24"/>
          <w:szCs w:val="24"/>
          <w:vertAlign w:val="subscript"/>
        </w:rPr>
        <w:t>reg</w:t>
      </w:r>
      <w:proofErr w:type="spellEnd"/>
      <w:r>
        <w:rPr>
          <w:rFonts w:ascii="Times New Roman" w:hAnsi="Times New Roman"/>
          <w:sz w:val="24"/>
          <w:szCs w:val="24"/>
        </w:rPr>
        <w:t xml:space="preserve"> cells from naïve T cells by gut microbiota likely occurs post-</w:t>
      </w:r>
      <w:proofErr w:type="spellStart"/>
      <w:r>
        <w:rPr>
          <w:rFonts w:ascii="Times New Roman" w:hAnsi="Times New Roman"/>
          <w:sz w:val="24"/>
          <w:szCs w:val="24"/>
        </w:rPr>
        <w:t>thymic</w:t>
      </w:r>
      <w:proofErr w:type="spellEnd"/>
      <w:r>
        <w:rPr>
          <w:rFonts w:ascii="Times New Roman" w:hAnsi="Times New Roman"/>
          <w:sz w:val="24"/>
          <w:szCs w:val="24"/>
        </w:rPr>
        <w:t xml:space="preserve"> in the periphery of the colon (see </w:t>
      </w:r>
      <w:r>
        <w:rPr>
          <w:rFonts w:ascii="Times New Roman" w:hAnsi="Times New Roman"/>
          <w:noProof/>
          <w:sz w:val="24"/>
          <w:szCs w:val="24"/>
        </w:rPr>
        <w:t>[70]</w:t>
      </w:r>
      <w:r>
        <w:rPr>
          <w:rFonts w:ascii="Times New Roman" w:hAnsi="Times New Roman"/>
          <w:sz w:val="24"/>
          <w:szCs w:val="24"/>
        </w:rPr>
        <w:t xml:space="preserve"> for a detailed review). Supporting this line of thought, germ-free mice have been found to harbor reduced amounts of peripherally derived </w:t>
      </w:r>
      <w:proofErr w:type="spellStart"/>
      <w:r>
        <w:rPr>
          <w:rFonts w:ascii="Times New Roman" w:hAnsi="Times New Roman"/>
          <w:sz w:val="24"/>
          <w:szCs w:val="24"/>
        </w:rPr>
        <w:t>T</w:t>
      </w:r>
      <w:r>
        <w:rPr>
          <w:rFonts w:ascii="Times New Roman" w:hAnsi="Times New Roman"/>
          <w:sz w:val="24"/>
          <w:szCs w:val="24"/>
          <w:vertAlign w:val="subscript"/>
        </w:rPr>
        <w:t>reg</w:t>
      </w:r>
      <w:proofErr w:type="spellEnd"/>
      <w:r>
        <w:rPr>
          <w:rFonts w:ascii="Times New Roman" w:hAnsi="Times New Roman"/>
          <w:sz w:val="24"/>
          <w:szCs w:val="24"/>
        </w:rPr>
        <w:t xml:space="preserve"> cells (</w:t>
      </w:r>
      <w:proofErr w:type="spellStart"/>
      <w:r>
        <w:rPr>
          <w:rFonts w:ascii="Times New Roman" w:hAnsi="Times New Roman"/>
          <w:sz w:val="24"/>
          <w:szCs w:val="24"/>
        </w:rPr>
        <w:t>pT</w:t>
      </w:r>
      <w:r>
        <w:rPr>
          <w:rFonts w:ascii="Times New Roman" w:hAnsi="Times New Roman"/>
          <w:sz w:val="24"/>
          <w:szCs w:val="24"/>
          <w:vertAlign w:val="subscript"/>
        </w:rPr>
        <w:t>reg</w:t>
      </w:r>
      <w:proofErr w:type="spellEnd"/>
      <w:r>
        <w:rPr>
          <w:rFonts w:ascii="Times New Roman" w:hAnsi="Times New Roman"/>
          <w:sz w:val="24"/>
          <w:szCs w:val="24"/>
        </w:rPr>
        <w:t xml:space="preserve">), suggesting that commensal microbiota drive </w:t>
      </w:r>
      <w:proofErr w:type="spellStart"/>
      <w:r>
        <w:rPr>
          <w:rFonts w:ascii="Times New Roman" w:hAnsi="Times New Roman"/>
          <w:sz w:val="24"/>
          <w:szCs w:val="24"/>
        </w:rPr>
        <w:t>pT</w:t>
      </w:r>
      <w:r>
        <w:rPr>
          <w:rFonts w:ascii="Times New Roman" w:hAnsi="Times New Roman"/>
          <w:sz w:val="24"/>
          <w:szCs w:val="24"/>
          <w:vertAlign w:val="subscript"/>
        </w:rPr>
        <w:t>reg</w:t>
      </w:r>
      <w:proofErr w:type="spellEnd"/>
      <w:r>
        <w:rPr>
          <w:rFonts w:ascii="Times New Roman" w:hAnsi="Times New Roman"/>
          <w:sz w:val="24"/>
          <w:szCs w:val="24"/>
        </w:rPr>
        <w:t xml:space="preserve"> cell generation </w:t>
      </w:r>
      <w:r>
        <w:rPr>
          <w:rFonts w:ascii="Times New Roman" w:hAnsi="Times New Roman"/>
          <w:noProof/>
          <w:sz w:val="24"/>
          <w:szCs w:val="24"/>
        </w:rPr>
        <w:t>[68, 69, 71]</w:t>
      </w:r>
      <w:r>
        <w:rPr>
          <w:rFonts w:ascii="Times New Roman" w:hAnsi="Times New Roman"/>
          <w:sz w:val="24"/>
          <w:szCs w:val="24"/>
        </w:rPr>
        <w:t xml:space="preserve">. </w:t>
      </w:r>
    </w:p>
    <w:p w:rsidR="009475F0" w:rsidRPr="009D2538" w:rsidRDefault="009475F0" w:rsidP="001F2863">
      <w:pPr>
        <w:spacing w:line="480" w:lineRule="auto"/>
        <w:ind w:firstLine="720"/>
        <w:jc w:val="both"/>
        <w:rPr>
          <w:rFonts w:ascii="Times New Roman" w:hAnsi="Times New Roman"/>
          <w:sz w:val="24"/>
          <w:szCs w:val="24"/>
        </w:rPr>
      </w:pPr>
      <w:r>
        <w:rPr>
          <w:rFonts w:ascii="Times New Roman" w:hAnsi="Times New Roman"/>
          <w:sz w:val="24"/>
          <w:szCs w:val="24"/>
        </w:rPr>
        <w:lastRenderedPageBreak/>
        <w:t xml:space="preserve">Several studies suggest that end products of bacterial metabolism, such as SCFAs  provide a potential route by which commensals contribute to enhanced generation of </w:t>
      </w:r>
      <w:proofErr w:type="spellStart"/>
      <w:r>
        <w:rPr>
          <w:rFonts w:ascii="Times New Roman" w:hAnsi="Times New Roman"/>
          <w:sz w:val="24"/>
          <w:szCs w:val="24"/>
        </w:rPr>
        <w:t>pT</w:t>
      </w:r>
      <w:r>
        <w:rPr>
          <w:rFonts w:ascii="Times New Roman" w:hAnsi="Times New Roman"/>
          <w:sz w:val="24"/>
          <w:szCs w:val="24"/>
          <w:vertAlign w:val="subscript"/>
        </w:rPr>
        <w:t>reg</w:t>
      </w:r>
      <w:proofErr w:type="spellEnd"/>
      <w:r>
        <w:rPr>
          <w:rFonts w:ascii="Times New Roman" w:hAnsi="Times New Roman"/>
          <w:sz w:val="24"/>
          <w:szCs w:val="24"/>
        </w:rPr>
        <w:t xml:space="preserve"> cells </w:t>
      </w:r>
      <w:r>
        <w:rPr>
          <w:rFonts w:ascii="Times New Roman" w:hAnsi="Times New Roman"/>
          <w:noProof/>
          <w:sz w:val="24"/>
          <w:szCs w:val="24"/>
        </w:rPr>
        <w:t>[48-50]</w:t>
      </w:r>
      <w:r>
        <w:rPr>
          <w:rFonts w:ascii="Times New Roman" w:hAnsi="Times New Roman"/>
          <w:sz w:val="24"/>
          <w:szCs w:val="24"/>
        </w:rPr>
        <w:t xml:space="preserve">. Interestingly, among SCFAs butyrate has been found to have the most significant contribution to colonic </w:t>
      </w:r>
      <w:proofErr w:type="spellStart"/>
      <w:r>
        <w:rPr>
          <w:rFonts w:ascii="Times New Roman" w:hAnsi="Times New Roman"/>
          <w:sz w:val="24"/>
          <w:szCs w:val="24"/>
        </w:rPr>
        <w:t>pT</w:t>
      </w:r>
      <w:r>
        <w:rPr>
          <w:rFonts w:ascii="Times New Roman" w:hAnsi="Times New Roman"/>
          <w:sz w:val="24"/>
          <w:szCs w:val="24"/>
          <w:vertAlign w:val="subscript"/>
        </w:rPr>
        <w:t>reg</w:t>
      </w:r>
      <w:proofErr w:type="spellEnd"/>
      <w:r>
        <w:rPr>
          <w:rFonts w:ascii="Times New Roman" w:hAnsi="Times New Roman"/>
          <w:sz w:val="24"/>
          <w:szCs w:val="24"/>
        </w:rPr>
        <w:t xml:space="preserve"> induction </w:t>
      </w:r>
      <w:r>
        <w:rPr>
          <w:rFonts w:ascii="Times New Roman" w:hAnsi="Times New Roman"/>
          <w:noProof/>
          <w:sz w:val="24"/>
          <w:szCs w:val="24"/>
        </w:rPr>
        <w:t>[48, 49]</w:t>
      </w:r>
      <w:r>
        <w:rPr>
          <w:rFonts w:ascii="Times New Roman" w:hAnsi="Times New Roman"/>
          <w:sz w:val="24"/>
          <w:szCs w:val="24"/>
        </w:rPr>
        <w:t xml:space="preserve">. In addition, Chang et al. recently demonstrated that butyrate shows anti-inflammatory effects by down-regulating macrophage induced pro-inflammatory responses </w:t>
      </w:r>
      <w:r>
        <w:rPr>
          <w:rFonts w:ascii="Times New Roman" w:hAnsi="Times New Roman"/>
          <w:noProof/>
          <w:sz w:val="24"/>
          <w:szCs w:val="24"/>
        </w:rPr>
        <w:t>[47]</w:t>
      </w:r>
      <w:r>
        <w:rPr>
          <w:rFonts w:ascii="Times New Roman" w:hAnsi="Times New Roman"/>
          <w:sz w:val="24"/>
          <w:szCs w:val="24"/>
        </w:rPr>
        <w:t xml:space="preserve">. Apart from SCFAs, other microbial derived products such as bile acids, vitamins, amino acids and sphingolipids can also substantially influence immune homeostasis </w:t>
      </w:r>
      <w:r>
        <w:rPr>
          <w:rFonts w:ascii="Times New Roman" w:hAnsi="Times New Roman"/>
          <w:noProof/>
          <w:sz w:val="24"/>
          <w:szCs w:val="24"/>
        </w:rPr>
        <w:t>[72, 73]</w:t>
      </w:r>
      <w:r>
        <w:rPr>
          <w:rFonts w:ascii="Times New Roman" w:hAnsi="Times New Roman"/>
          <w:sz w:val="24"/>
          <w:szCs w:val="24"/>
        </w:rPr>
        <w:t xml:space="preserve">.  </w:t>
      </w:r>
    </w:p>
    <w:p w:rsidR="009475F0" w:rsidRDefault="009475F0" w:rsidP="001F2863">
      <w:pPr>
        <w:spacing w:line="480" w:lineRule="auto"/>
        <w:ind w:firstLine="720"/>
        <w:jc w:val="both"/>
        <w:rPr>
          <w:rFonts w:ascii="Times New Roman" w:hAnsi="Times New Roman"/>
          <w:sz w:val="24"/>
          <w:szCs w:val="24"/>
        </w:rPr>
      </w:pPr>
      <w:r>
        <w:rPr>
          <w:rFonts w:ascii="Times New Roman" w:hAnsi="Times New Roman"/>
          <w:sz w:val="24"/>
          <w:szCs w:val="24"/>
        </w:rPr>
        <w:t xml:space="preserve">Butyrate does not only impact the generation of regulatory T cells but also has several other health promoting effects for the host organism. For instance, butyrate is considered to be the main energy source for intestinal epithelial cells </w:t>
      </w:r>
      <w:r>
        <w:rPr>
          <w:rFonts w:ascii="Times New Roman" w:hAnsi="Times New Roman"/>
          <w:noProof/>
          <w:sz w:val="24"/>
          <w:szCs w:val="24"/>
        </w:rPr>
        <w:t>[74]</w:t>
      </w:r>
      <w:r>
        <w:rPr>
          <w:rFonts w:ascii="Times New Roman" w:hAnsi="Times New Roman"/>
          <w:sz w:val="24"/>
          <w:szCs w:val="24"/>
        </w:rPr>
        <w:t xml:space="preserve"> and enhances mucus production </w:t>
      </w:r>
      <w:r>
        <w:rPr>
          <w:rFonts w:ascii="Times New Roman" w:hAnsi="Times New Roman"/>
          <w:noProof/>
          <w:sz w:val="24"/>
          <w:szCs w:val="24"/>
        </w:rPr>
        <w:t>[75, 76]</w:t>
      </w:r>
      <w:r>
        <w:rPr>
          <w:rFonts w:ascii="Times New Roman" w:hAnsi="Times New Roman"/>
          <w:sz w:val="24"/>
          <w:szCs w:val="24"/>
        </w:rPr>
        <w:t xml:space="preserve">. Thus, in addition to its immune regulatory potential, increased butyrate production can have a profound impact on the integrity of the gut barrier. Production of SCFAs results from microbial fermentation of dietary </w:t>
      </w:r>
      <w:proofErr w:type="spellStart"/>
      <w:r>
        <w:rPr>
          <w:rFonts w:ascii="Times New Roman" w:hAnsi="Times New Roman"/>
          <w:sz w:val="24"/>
          <w:szCs w:val="24"/>
        </w:rPr>
        <w:t>glycans</w:t>
      </w:r>
      <w:proofErr w:type="spellEnd"/>
      <w:r>
        <w:rPr>
          <w:rFonts w:ascii="Times New Roman" w:hAnsi="Times New Roman"/>
          <w:sz w:val="24"/>
          <w:szCs w:val="24"/>
        </w:rPr>
        <w:t xml:space="preserve">. In addition, endogenously derived </w:t>
      </w:r>
      <w:proofErr w:type="spellStart"/>
      <w:r>
        <w:rPr>
          <w:rFonts w:ascii="Times New Roman" w:hAnsi="Times New Roman"/>
          <w:sz w:val="24"/>
          <w:szCs w:val="24"/>
        </w:rPr>
        <w:t>glycans</w:t>
      </w:r>
      <w:proofErr w:type="spellEnd"/>
      <w:r>
        <w:rPr>
          <w:rFonts w:ascii="Times New Roman" w:hAnsi="Times New Roman"/>
          <w:sz w:val="24"/>
          <w:szCs w:val="24"/>
        </w:rPr>
        <w:t xml:space="preserve"> such as mucins can provide further sources. As outlined above, composition of dietary compounds strongly influences microbial community composition as various bacteria have different strategies to utilize different types of </w:t>
      </w:r>
      <w:proofErr w:type="spellStart"/>
      <w:r>
        <w:rPr>
          <w:rFonts w:ascii="Times New Roman" w:hAnsi="Times New Roman"/>
          <w:sz w:val="24"/>
          <w:szCs w:val="24"/>
        </w:rPr>
        <w:t>glycans</w:t>
      </w:r>
      <w:proofErr w:type="spellEnd"/>
      <w:r>
        <w:rPr>
          <w:rFonts w:ascii="Times New Roman" w:hAnsi="Times New Roman"/>
          <w:sz w:val="24"/>
          <w:szCs w:val="24"/>
        </w:rPr>
        <w:t xml:space="preserve"> (see </w:t>
      </w:r>
      <w:r>
        <w:rPr>
          <w:rFonts w:ascii="Times New Roman" w:hAnsi="Times New Roman"/>
          <w:noProof/>
          <w:sz w:val="24"/>
          <w:szCs w:val="24"/>
        </w:rPr>
        <w:t>[32]</w:t>
      </w:r>
      <w:r>
        <w:rPr>
          <w:rFonts w:ascii="Times New Roman" w:hAnsi="Times New Roman"/>
          <w:sz w:val="24"/>
          <w:szCs w:val="24"/>
        </w:rPr>
        <w:t xml:space="preserve"> for a detailed review). </w:t>
      </w:r>
    </w:p>
    <w:p w:rsidR="009475F0" w:rsidRDefault="009475F0" w:rsidP="001F2863">
      <w:pPr>
        <w:spacing w:line="480" w:lineRule="auto"/>
        <w:ind w:firstLine="720"/>
        <w:jc w:val="both"/>
        <w:rPr>
          <w:rFonts w:ascii="Times New Roman" w:hAnsi="Times New Roman"/>
          <w:sz w:val="24"/>
          <w:szCs w:val="24"/>
        </w:rPr>
      </w:pPr>
      <w:r>
        <w:rPr>
          <w:rFonts w:ascii="Times New Roman" w:hAnsi="Times New Roman"/>
          <w:sz w:val="24"/>
          <w:szCs w:val="24"/>
        </w:rPr>
        <w:t xml:space="preserve">For a detailed understanding of the interplay of various mechanisms of butyrate production in the intestinal microbial community, cross-feeding effects need to be considered. Co-fermentation experiments have documented </w:t>
      </w:r>
      <w:proofErr w:type="spellStart"/>
      <w:r>
        <w:rPr>
          <w:rFonts w:ascii="Times New Roman" w:hAnsi="Times New Roman"/>
          <w:sz w:val="24"/>
          <w:szCs w:val="24"/>
        </w:rPr>
        <w:t>butyrogenic</w:t>
      </w:r>
      <w:proofErr w:type="spellEnd"/>
      <w:r>
        <w:rPr>
          <w:rFonts w:ascii="Times New Roman" w:hAnsi="Times New Roman"/>
          <w:sz w:val="24"/>
          <w:szCs w:val="24"/>
        </w:rPr>
        <w:t xml:space="preserve"> effects in multiple bacterial compositions. A typical example is an enhanced butyrate production due to cross-feeding of </w:t>
      </w:r>
      <w:r w:rsidRPr="00540DF5">
        <w:rPr>
          <w:rFonts w:ascii="Times New Roman" w:hAnsi="Times New Roman"/>
          <w:i/>
          <w:sz w:val="24"/>
          <w:szCs w:val="24"/>
        </w:rPr>
        <w:t xml:space="preserve">Bifidobacterium </w:t>
      </w:r>
      <w:proofErr w:type="spellStart"/>
      <w:r w:rsidRPr="00540DF5">
        <w:rPr>
          <w:rFonts w:ascii="Times New Roman" w:hAnsi="Times New Roman"/>
          <w:i/>
          <w:sz w:val="24"/>
          <w:szCs w:val="24"/>
        </w:rPr>
        <w:t>adolescentis</w:t>
      </w:r>
      <w:proofErr w:type="spellEnd"/>
      <w:r>
        <w:t xml:space="preserve"> </w:t>
      </w:r>
      <w:r>
        <w:rPr>
          <w:rFonts w:ascii="Times New Roman" w:hAnsi="Times New Roman"/>
          <w:sz w:val="24"/>
          <w:szCs w:val="24"/>
        </w:rPr>
        <w:t>and the lactate utilizing butyrate producers</w:t>
      </w:r>
      <w:r w:rsidRPr="00540DF5">
        <w:rPr>
          <w:rFonts w:ascii="Times New Roman" w:hAnsi="Times New Roman"/>
          <w:sz w:val="24"/>
          <w:szCs w:val="24"/>
        </w:rPr>
        <w:t xml:space="preserve"> </w:t>
      </w:r>
      <w:proofErr w:type="spellStart"/>
      <w:r w:rsidRPr="00540DF5">
        <w:rPr>
          <w:rFonts w:ascii="Times New Roman" w:hAnsi="Times New Roman"/>
          <w:i/>
          <w:sz w:val="24"/>
          <w:szCs w:val="24"/>
        </w:rPr>
        <w:t>Eubacterium</w:t>
      </w:r>
      <w:proofErr w:type="spellEnd"/>
      <w:r w:rsidRPr="00540DF5">
        <w:rPr>
          <w:rFonts w:ascii="Times New Roman" w:hAnsi="Times New Roman"/>
          <w:i/>
          <w:sz w:val="24"/>
          <w:szCs w:val="24"/>
        </w:rPr>
        <w:t xml:space="preserve"> </w:t>
      </w:r>
      <w:proofErr w:type="spellStart"/>
      <w:r w:rsidRPr="00540DF5">
        <w:rPr>
          <w:rFonts w:ascii="Times New Roman" w:hAnsi="Times New Roman"/>
          <w:i/>
          <w:sz w:val="24"/>
          <w:szCs w:val="24"/>
        </w:rPr>
        <w:t>hallii</w:t>
      </w:r>
      <w:proofErr w:type="spellEnd"/>
      <w:r w:rsidRPr="00540DF5">
        <w:rPr>
          <w:rFonts w:ascii="Times New Roman" w:hAnsi="Times New Roman"/>
          <w:sz w:val="24"/>
          <w:szCs w:val="24"/>
        </w:rPr>
        <w:t xml:space="preserve"> and </w:t>
      </w:r>
      <w:proofErr w:type="spellStart"/>
      <w:r w:rsidRPr="00540DF5">
        <w:rPr>
          <w:rFonts w:ascii="Times New Roman" w:hAnsi="Times New Roman"/>
          <w:i/>
          <w:sz w:val="24"/>
          <w:szCs w:val="24"/>
        </w:rPr>
        <w:t>Anaerostipes</w:t>
      </w:r>
      <w:proofErr w:type="spellEnd"/>
      <w:r w:rsidRPr="00540DF5">
        <w:rPr>
          <w:rFonts w:ascii="Times New Roman" w:hAnsi="Times New Roman"/>
          <w:i/>
          <w:sz w:val="24"/>
          <w:szCs w:val="24"/>
        </w:rPr>
        <w:t xml:space="preserve"> </w:t>
      </w:r>
      <w:proofErr w:type="spellStart"/>
      <w:r w:rsidRPr="00540DF5">
        <w:rPr>
          <w:rFonts w:ascii="Times New Roman" w:hAnsi="Times New Roman"/>
          <w:i/>
          <w:sz w:val="24"/>
          <w:szCs w:val="24"/>
        </w:rPr>
        <w:t>caccae</w:t>
      </w:r>
      <w:proofErr w:type="spellEnd"/>
      <w:r>
        <w:rPr>
          <w:rFonts w:ascii="Times New Roman" w:hAnsi="Times New Roman"/>
          <w:i/>
          <w:sz w:val="24"/>
          <w:szCs w:val="24"/>
        </w:rPr>
        <w:t xml:space="preserve">  </w:t>
      </w:r>
      <w:r>
        <w:rPr>
          <w:rFonts w:ascii="Times New Roman" w:hAnsi="Times New Roman"/>
          <w:noProof/>
          <w:sz w:val="24"/>
          <w:szCs w:val="24"/>
        </w:rPr>
        <w:t>[77]</w:t>
      </w:r>
      <w:r>
        <w:rPr>
          <w:rFonts w:ascii="Times New Roman" w:hAnsi="Times New Roman"/>
          <w:i/>
          <w:sz w:val="24"/>
          <w:szCs w:val="24"/>
        </w:rPr>
        <w:t xml:space="preserve">. </w:t>
      </w:r>
      <w:r>
        <w:rPr>
          <w:rFonts w:ascii="Times New Roman" w:hAnsi="Times New Roman"/>
          <w:sz w:val="24"/>
          <w:szCs w:val="24"/>
        </w:rPr>
        <w:t xml:space="preserve">Moreover, some butyrate producing species such as </w:t>
      </w:r>
      <w:proofErr w:type="spellStart"/>
      <w:r w:rsidRPr="00540DF5">
        <w:rPr>
          <w:rFonts w:ascii="Times New Roman" w:hAnsi="Times New Roman"/>
          <w:i/>
          <w:sz w:val="24"/>
          <w:szCs w:val="24"/>
        </w:rPr>
        <w:t>Roseburia</w:t>
      </w:r>
      <w:proofErr w:type="spellEnd"/>
      <w:r>
        <w:rPr>
          <w:rFonts w:ascii="Times New Roman" w:hAnsi="Times New Roman"/>
          <w:i/>
          <w:sz w:val="24"/>
          <w:szCs w:val="24"/>
        </w:rPr>
        <w:t xml:space="preserve"> spp.</w:t>
      </w:r>
      <w:r>
        <w:rPr>
          <w:rFonts w:ascii="Times New Roman" w:hAnsi="Times New Roman"/>
          <w:sz w:val="24"/>
          <w:szCs w:val="24"/>
        </w:rPr>
        <w:t xml:space="preserve"> </w:t>
      </w:r>
      <w:r>
        <w:rPr>
          <w:rFonts w:ascii="Times New Roman" w:hAnsi="Times New Roman"/>
          <w:sz w:val="24"/>
          <w:szCs w:val="24"/>
        </w:rPr>
        <w:lastRenderedPageBreak/>
        <w:t xml:space="preserve">and </w:t>
      </w:r>
      <w:proofErr w:type="spellStart"/>
      <w:r w:rsidRPr="00540DF5">
        <w:rPr>
          <w:rFonts w:ascii="Times New Roman" w:hAnsi="Times New Roman"/>
          <w:i/>
          <w:sz w:val="24"/>
          <w:szCs w:val="24"/>
        </w:rPr>
        <w:t>Faecalibacterium</w:t>
      </w:r>
      <w:proofErr w:type="spellEnd"/>
      <w:r>
        <w:rPr>
          <w:rFonts w:ascii="Times New Roman" w:hAnsi="Times New Roman"/>
          <w:i/>
          <w:sz w:val="24"/>
          <w:szCs w:val="24"/>
        </w:rPr>
        <w:t xml:space="preserve"> spp.</w:t>
      </w:r>
      <w:r>
        <w:rPr>
          <w:rFonts w:ascii="Times New Roman" w:hAnsi="Times New Roman"/>
          <w:sz w:val="24"/>
          <w:szCs w:val="24"/>
        </w:rPr>
        <w:t xml:space="preserve"> require acetate for their growth </w:t>
      </w:r>
      <w:r>
        <w:rPr>
          <w:rFonts w:ascii="Times New Roman" w:hAnsi="Times New Roman"/>
          <w:noProof/>
          <w:sz w:val="24"/>
          <w:szCs w:val="24"/>
        </w:rPr>
        <w:t>[78, 79]</w:t>
      </w:r>
      <w:r>
        <w:rPr>
          <w:rFonts w:ascii="Times New Roman" w:hAnsi="Times New Roman"/>
          <w:sz w:val="24"/>
          <w:szCs w:val="24"/>
        </w:rPr>
        <w:t xml:space="preserve">, and bacteria producing acetate therefore exhibit a significant impact on butyrate production. </w:t>
      </w:r>
    </w:p>
    <w:p w:rsidR="009475F0" w:rsidRDefault="009475F0" w:rsidP="001F2863">
      <w:pPr>
        <w:spacing w:line="480" w:lineRule="auto"/>
        <w:ind w:firstLine="720"/>
        <w:jc w:val="both"/>
        <w:rPr>
          <w:rFonts w:ascii="Times New Roman" w:hAnsi="Times New Roman"/>
          <w:sz w:val="24"/>
          <w:szCs w:val="24"/>
        </w:rPr>
      </w:pPr>
      <w:r>
        <w:rPr>
          <w:rFonts w:ascii="Times New Roman" w:hAnsi="Times New Roman"/>
          <w:sz w:val="24"/>
          <w:szCs w:val="24"/>
        </w:rPr>
        <w:t xml:space="preserve">Two different pathways have been described for the production of butyrate from </w:t>
      </w:r>
      <w:proofErr w:type="spellStart"/>
      <w:r w:rsidRPr="00FB1B54">
        <w:rPr>
          <w:rFonts w:ascii="Times New Roman" w:hAnsi="Times New Roman"/>
          <w:sz w:val="24"/>
          <w:szCs w:val="24"/>
        </w:rPr>
        <w:t>butyryl</w:t>
      </w:r>
      <w:proofErr w:type="spellEnd"/>
      <w:r w:rsidRPr="00FB1B54">
        <w:rPr>
          <w:rFonts w:ascii="Times New Roman" w:hAnsi="Times New Roman"/>
          <w:sz w:val="24"/>
          <w:szCs w:val="24"/>
        </w:rPr>
        <w:t>-CoA</w:t>
      </w:r>
      <w:r>
        <w:rPr>
          <w:rFonts w:ascii="Times New Roman" w:hAnsi="Times New Roman"/>
          <w:sz w:val="24"/>
          <w:szCs w:val="24"/>
        </w:rPr>
        <w:t xml:space="preserve">. Compared to the classical </w:t>
      </w:r>
      <w:proofErr w:type="spellStart"/>
      <w:r w:rsidRPr="00A156D6">
        <w:rPr>
          <w:rFonts w:ascii="Times New Roman" w:hAnsi="Times New Roman"/>
          <w:sz w:val="24"/>
          <w:szCs w:val="24"/>
        </w:rPr>
        <w:t>buk</w:t>
      </w:r>
      <w:proofErr w:type="spellEnd"/>
      <w:r w:rsidRPr="00A156D6">
        <w:rPr>
          <w:rFonts w:ascii="Times New Roman" w:hAnsi="Times New Roman"/>
          <w:sz w:val="24"/>
          <w:szCs w:val="24"/>
        </w:rPr>
        <w:t>-pathway (</w:t>
      </w:r>
      <w:proofErr w:type="spellStart"/>
      <w:r w:rsidRPr="00A156D6">
        <w:rPr>
          <w:rFonts w:ascii="Times New Roman" w:hAnsi="Times New Roman"/>
          <w:sz w:val="24"/>
          <w:szCs w:val="24"/>
        </w:rPr>
        <w:t>phosphotransbutyrylase</w:t>
      </w:r>
      <w:proofErr w:type="spellEnd"/>
      <w:r w:rsidRPr="00A156D6">
        <w:rPr>
          <w:rFonts w:ascii="Times New Roman" w:hAnsi="Times New Roman"/>
          <w:sz w:val="24"/>
          <w:szCs w:val="24"/>
        </w:rPr>
        <w:t xml:space="preserve"> and butyrate-kinase via </w:t>
      </w:r>
      <w:proofErr w:type="spellStart"/>
      <w:r w:rsidRPr="00A156D6">
        <w:rPr>
          <w:rFonts w:ascii="Times New Roman" w:hAnsi="Times New Roman"/>
          <w:sz w:val="24"/>
          <w:szCs w:val="24"/>
        </w:rPr>
        <w:t>butyryl</w:t>
      </w:r>
      <w:proofErr w:type="spellEnd"/>
      <w:r w:rsidRPr="00A156D6">
        <w:rPr>
          <w:rFonts w:ascii="Times New Roman" w:hAnsi="Times New Roman"/>
          <w:sz w:val="24"/>
          <w:szCs w:val="24"/>
        </w:rPr>
        <w:t>-phosphate)</w:t>
      </w:r>
      <w:r>
        <w:rPr>
          <w:rFonts w:ascii="Times New Roman" w:hAnsi="Times New Roman"/>
          <w:sz w:val="24"/>
          <w:szCs w:val="24"/>
        </w:rPr>
        <w:t xml:space="preserve"> the recently described but-pathway (</w:t>
      </w:r>
      <w:proofErr w:type="spellStart"/>
      <w:r>
        <w:rPr>
          <w:rFonts w:ascii="Times New Roman" w:hAnsi="Times New Roman"/>
          <w:sz w:val="24"/>
          <w:szCs w:val="24"/>
        </w:rPr>
        <w:t>butyryl</w:t>
      </w:r>
      <w:proofErr w:type="spellEnd"/>
      <w:r>
        <w:rPr>
          <w:rFonts w:ascii="Times New Roman" w:hAnsi="Times New Roman"/>
          <w:sz w:val="24"/>
          <w:szCs w:val="24"/>
        </w:rPr>
        <w:t>-CoA</w:t>
      </w:r>
      <w:r w:rsidRPr="00A156D6">
        <w:rPr>
          <w:rFonts w:ascii="Times New Roman" w:hAnsi="Times New Roman"/>
          <w:sz w:val="24"/>
          <w:szCs w:val="24"/>
        </w:rPr>
        <w:t>: acetate CoA-transferase) utilizes acetate as a co-substrate for</w:t>
      </w:r>
      <w:r>
        <w:rPr>
          <w:rFonts w:ascii="Times New Roman" w:hAnsi="Times New Roman"/>
          <w:sz w:val="24"/>
          <w:szCs w:val="24"/>
        </w:rPr>
        <w:t xml:space="preserve"> butyrate synthesis. Interestingly, the but-pathway is far more prevalent among butyrate producing species </w:t>
      </w:r>
      <w:r>
        <w:rPr>
          <w:rFonts w:ascii="Times New Roman" w:hAnsi="Times New Roman"/>
          <w:noProof/>
          <w:sz w:val="24"/>
          <w:szCs w:val="24"/>
        </w:rPr>
        <w:t>[80]</w:t>
      </w:r>
      <w:r>
        <w:rPr>
          <w:rFonts w:ascii="Times New Roman" w:hAnsi="Times New Roman"/>
          <w:sz w:val="24"/>
          <w:szCs w:val="24"/>
        </w:rPr>
        <w:t xml:space="preserve">. In the presence of acetate, the net-output of butyrate from the but-pathway is higher than with butyrate production via the </w:t>
      </w:r>
      <w:proofErr w:type="spellStart"/>
      <w:r>
        <w:rPr>
          <w:rFonts w:ascii="Times New Roman" w:hAnsi="Times New Roman"/>
          <w:sz w:val="24"/>
          <w:szCs w:val="24"/>
        </w:rPr>
        <w:t>buk</w:t>
      </w:r>
      <w:proofErr w:type="spellEnd"/>
      <w:r>
        <w:rPr>
          <w:rFonts w:ascii="Times New Roman" w:hAnsi="Times New Roman"/>
          <w:sz w:val="24"/>
          <w:szCs w:val="24"/>
        </w:rPr>
        <w:t xml:space="preserve">-pathway </w:t>
      </w:r>
      <w:r>
        <w:rPr>
          <w:rFonts w:ascii="Times New Roman" w:hAnsi="Times New Roman"/>
          <w:noProof/>
          <w:sz w:val="24"/>
          <w:szCs w:val="24"/>
        </w:rPr>
        <w:t>[78]</w:t>
      </w:r>
      <w:r>
        <w:rPr>
          <w:rFonts w:ascii="Times New Roman" w:hAnsi="Times New Roman"/>
          <w:sz w:val="24"/>
          <w:szCs w:val="24"/>
        </w:rPr>
        <w:t>. Hence, increased availability of acetate is a critical driver for butyrate production.  Fermentation of butyrate results in the production of hydrogen (H</w:t>
      </w:r>
      <w:r>
        <w:rPr>
          <w:rFonts w:ascii="Times New Roman" w:hAnsi="Times New Roman"/>
          <w:sz w:val="24"/>
          <w:szCs w:val="24"/>
          <w:vertAlign w:val="subscript"/>
        </w:rPr>
        <w:t>2</w:t>
      </w:r>
      <w:r>
        <w:rPr>
          <w:rFonts w:ascii="Times New Roman" w:hAnsi="Times New Roman"/>
          <w:sz w:val="24"/>
          <w:szCs w:val="24"/>
        </w:rPr>
        <w:t xml:space="preserve">) which has to be removed in order to not inhibit further butyrate production </w:t>
      </w:r>
      <w:r>
        <w:rPr>
          <w:rFonts w:ascii="Times New Roman" w:hAnsi="Times New Roman"/>
          <w:noProof/>
          <w:sz w:val="24"/>
          <w:szCs w:val="24"/>
        </w:rPr>
        <w:t>[81]</w:t>
      </w:r>
      <w:r>
        <w:rPr>
          <w:rFonts w:ascii="Times New Roman" w:hAnsi="Times New Roman"/>
          <w:sz w:val="24"/>
          <w:szCs w:val="24"/>
        </w:rPr>
        <w:t xml:space="preserve">. Consequently, hydrogen utilization by </w:t>
      </w:r>
      <w:proofErr w:type="spellStart"/>
      <w:r w:rsidRPr="00780562">
        <w:rPr>
          <w:rFonts w:ascii="Times New Roman" w:hAnsi="Times New Roman"/>
          <w:sz w:val="24"/>
          <w:szCs w:val="24"/>
        </w:rPr>
        <w:t>hydrogenotr</w:t>
      </w:r>
      <w:r>
        <w:rPr>
          <w:rFonts w:ascii="Times New Roman" w:hAnsi="Times New Roman"/>
          <w:sz w:val="24"/>
          <w:szCs w:val="24"/>
        </w:rPr>
        <w:t>o</w:t>
      </w:r>
      <w:r w:rsidRPr="00780562">
        <w:rPr>
          <w:rFonts w:ascii="Times New Roman" w:hAnsi="Times New Roman"/>
          <w:sz w:val="24"/>
          <w:szCs w:val="24"/>
        </w:rPr>
        <w:t>phic</w:t>
      </w:r>
      <w:proofErr w:type="spellEnd"/>
      <w:r>
        <w:rPr>
          <w:rFonts w:ascii="Times New Roman" w:hAnsi="Times New Roman"/>
          <w:sz w:val="24"/>
          <w:szCs w:val="24"/>
        </w:rPr>
        <w:t xml:space="preserve"> bacteria has been shown to strongly influence SCFA production </w:t>
      </w:r>
      <w:r>
        <w:rPr>
          <w:rFonts w:ascii="Times New Roman" w:hAnsi="Times New Roman"/>
          <w:noProof/>
          <w:sz w:val="24"/>
          <w:szCs w:val="24"/>
        </w:rPr>
        <w:t>[82]</w:t>
      </w:r>
      <w:r>
        <w:rPr>
          <w:rFonts w:ascii="Times New Roman" w:hAnsi="Times New Roman"/>
          <w:sz w:val="24"/>
          <w:szCs w:val="24"/>
        </w:rPr>
        <w:t xml:space="preserve">. Acetate is a fermentation product of most enteric bacteria and is also produced by </w:t>
      </w:r>
      <w:proofErr w:type="spellStart"/>
      <w:r>
        <w:rPr>
          <w:rFonts w:ascii="Times New Roman" w:hAnsi="Times New Roman"/>
          <w:sz w:val="24"/>
          <w:szCs w:val="24"/>
        </w:rPr>
        <w:t>acetogens</w:t>
      </w:r>
      <w:proofErr w:type="spellEnd"/>
      <w:r>
        <w:rPr>
          <w:rFonts w:ascii="Times New Roman" w:hAnsi="Times New Roman"/>
          <w:sz w:val="24"/>
          <w:szCs w:val="24"/>
        </w:rPr>
        <w:t xml:space="preserve"> by utilizing H</w:t>
      </w:r>
      <w:r>
        <w:rPr>
          <w:rFonts w:ascii="Times New Roman" w:hAnsi="Times New Roman"/>
          <w:sz w:val="24"/>
          <w:szCs w:val="24"/>
          <w:vertAlign w:val="subscript"/>
        </w:rPr>
        <w:t>2</w:t>
      </w:r>
      <w:r>
        <w:rPr>
          <w:rFonts w:ascii="Times New Roman" w:hAnsi="Times New Roman"/>
          <w:sz w:val="24"/>
          <w:szCs w:val="24"/>
        </w:rPr>
        <w:t xml:space="preserve"> and CO</w:t>
      </w:r>
      <w:r>
        <w:rPr>
          <w:rFonts w:ascii="Times New Roman" w:hAnsi="Times New Roman"/>
          <w:sz w:val="24"/>
          <w:szCs w:val="24"/>
          <w:vertAlign w:val="subscript"/>
        </w:rPr>
        <w:t>2</w:t>
      </w:r>
      <w:r w:rsidRPr="0019320D">
        <w:rPr>
          <w:rFonts w:ascii="Times New Roman" w:hAnsi="Times New Roman"/>
          <w:sz w:val="24"/>
          <w:szCs w:val="24"/>
        </w:rPr>
        <w:t xml:space="preserve"> </w:t>
      </w:r>
      <w:r>
        <w:rPr>
          <w:rFonts w:ascii="Times New Roman" w:hAnsi="Times New Roman"/>
          <w:noProof/>
          <w:sz w:val="24"/>
          <w:szCs w:val="24"/>
        </w:rPr>
        <w:t>[83]</w:t>
      </w:r>
      <w:r>
        <w:rPr>
          <w:rFonts w:ascii="Times New Roman" w:hAnsi="Times New Roman"/>
          <w:sz w:val="24"/>
          <w:szCs w:val="24"/>
        </w:rPr>
        <w:t xml:space="preserve">. </w:t>
      </w:r>
      <w:proofErr w:type="spellStart"/>
      <w:r>
        <w:rPr>
          <w:rFonts w:ascii="Times New Roman" w:hAnsi="Times New Roman"/>
          <w:sz w:val="24"/>
          <w:szCs w:val="24"/>
        </w:rPr>
        <w:t>Acetogens</w:t>
      </w:r>
      <w:proofErr w:type="spellEnd"/>
      <w:r>
        <w:rPr>
          <w:rFonts w:ascii="Times New Roman" w:hAnsi="Times New Roman"/>
          <w:sz w:val="24"/>
          <w:szCs w:val="24"/>
        </w:rPr>
        <w:t xml:space="preserve"> compete with other </w:t>
      </w:r>
      <w:proofErr w:type="spellStart"/>
      <w:r>
        <w:rPr>
          <w:rFonts w:ascii="Times New Roman" w:hAnsi="Times New Roman"/>
          <w:sz w:val="24"/>
          <w:szCs w:val="24"/>
        </w:rPr>
        <w:t>hydrogenotrophic</w:t>
      </w:r>
      <w:proofErr w:type="spellEnd"/>
      <w:r>
        <w:rPr>
          <w:rFonts w:ascii="Times New Roman" w:hAnsi="Times New Roman"/>
          <w:sz w:val="24"/>
          <w:szCs w:val="24"/>
        </w:rPr>
        <w:t xml:space="preserve"> bacteria (methanogens and sulfate-reducing bacteria (SRBs)) for the available H</w:t>
      </w:r>
      <w:r>
        <w:rPr>
          <w:rFonts w:ascii="Times New Roman" w:hAnsi="Times New Roman"/>
          <w:sz w:val="24"/>
          <w:szCs w:val="24"/>
          <w:vertAlign w:val="subscript"/>
        </w:rPr>
        <w:t>2</w:t>
      </w:r>
      <w:r>
        <w:rPr>
          <w:rFonts w:ascii="Times New Roman" w:hAnsi="Times New Roman"/>
          <w:sz w:val="24"/>
          <w:szCs w:val="24"/>
        </w:rPr>
        <w:t xml:space="preserve">. In the presence of sulfate, </w:t>
      </w:r>
      <w:proofErr w:type="spellStart"/>
      <w:r>
        <w:rPr>
          <w:rFonts w:ascii="Times New Roman" w:hAnsi="Times New Roman"/>
          <w:sz w:val="24"/>
          <w:szCs w:val="24"/>
        </w:rPr>
        <w:t>acetogens</w:t>
      </w:r>
      <w:proofErr w:type="spellEnd"/>
      <w:r>
        <w:rPr>
          <w:rFonts w:ascii="Times New Roman" w:hAnsi="Times New Roman"/>
          <w:sz w:val="24"/>
          <w:szCs w:val="24"/>
        </w:rPr>
        <w:t xml:space="preserve"> and methanogens are outcompeted by SRBs </w:t>
      </w:r>
      <w:r>
        <w:rPr>
          <w:rFonts w:ascii="Times New Roman" w:hAnsi="Times New Roman"/>
          <w:noProof/>
          <w:sz w:val="24"/>
          <w:szCs w:val="24"/>
        </w:rPr>
        <w:t>[84]</w:t>
      </w:r>
      <w:r>
        <w:rPr>
          <w:rFonts w:ascii="Times New Roman" w:hAnsi="Times New Roman"/>
          <w:sz w:val="24"/>
          <w:szCs w:val="24"/>
        </w:rPr>
        <w:t xml:space="preserve">. In contrast however, lower levels of sulfate lead to increased abundances of </w:t>
      </w:r>
      <w:proofErr w:type="spellStart"/>
      <w:r>
        <w:rPr>
          <w:rFonts w:ascii="Times New Roman" w:hAnsi="Times New Roman"/>
          <w:sz w:val="24"/>
          <w:szCs w:val="24"/>
        </w:rPr>
        <w:t>acetogens</w:t>
      </w:r>
      <w:proofErr w:type="spellEnd"/>
      <w:r>
        <w:rPr>
          <w:rFonts w:ascii="Times New Roman" w:hAnsi="Times New Roman"/>
          <w:sz w:val="24"/>
          <w:szCs w:val="24"/>
        </w:rPr>
        <w:t xml:space="preserve"> </w:t>
      </w:r>
      <w:r>
        <w:rPr>
          <w:rFonts w:ascii="Times New Roman" w:hAnsi="Times New Roman"/>
          <w:noProof/>
          <w:sz w:val="24"/>
          <w:szCs w:val="24"/>
        </w:rPr>
        <w:t>[84]</w:t>
      </w:r>
      <w:r>
        <w:rPr>
          <w:rFonts w:ascii="Times New Roman" w:hAnsi="Times New Roman"/>
          <w:sz w:val="24"/>
          <w:szCs w:val="24"/>
        </w:rPr>
        <w:t xml:space="preserve"> which might enhance butyrate production via co-fermentation of acetate. One possible driver of sulfate availability might lie in the competition for mucins by various mucin degrading species. With mucins being a major source of endogenously derived sulfate, variability in sulfate utilization likely results in compositional changes of the microbial community. While most mucin degrading bacteria are not able to fully degrade mucins and therefore release sulfate </w:t>
      </w:r>
      <w:r>
        <w:rPr>
          <w:rFonts w:ascii="Times New Roman" w:hAnsi="Times New Roman"/>
          <w:noProof/>
          <w:sz w:val="24"/>
          <w:szCs w:val="24"/>
        </w:rPr>
        <w:t>[85]</w:t>
      </w:r>
      <w:r>
        <w:rPr>
          <w:rFonts w:ascii="Times New Roman" w:hAnsi="Times New Roman"/>
          <w:sz w:val="24"/>
          <w:szCs w:val="24"/>
        </w:rPr>
        <w:t xml:space="preserve">, other specialists such as </w:t>
      </w:r>
      <w:proofErr w:type="spellStart"/>
      <w:r w:rsidRPr="004414A8">
        <w:rPr>
          <w:rFonts w:ascii="Times New Roman" w:hAnsi="Times New Roman"/>
          <w:i/>
          <w:sz w:val="24"/>
          <w:szCs w:val="24"/>
        </w:rPr>
        <w:t>Akkermansia</w:t>
      </w:r>
      <w:proofErr w:type="spellEnd"/>
      <w:r>
        <w:rPr>
          <w:rFonts w:ascii="Times New Roman" w:hAnsi="Times New Roman"/>
          <w:i/>
          <w:sz w:val="24"/>
          <w:szCs w:val="24"/>
        </w:rPr>
        <w:t xml:space="preserve"> </w:t>
      </w:r>
      <w:proofErr w:type="spellStart"/>
      <w:r>
        <w:rPr>
          <w:rFonts w:ascii="Times New Roman" w:hAnsi="Times New Roman"/>
          <w:i/>
          <w:sz w:val="24"/>
          <w:szCs w:val="24"/>
        </w:rPr>
        <w:t>muciniphila</w:t>
      </w:r>
      <w:proofErr w:type="spellEnd"/>
      <w:r>
        <w:rPr>
          <w:rFonts w:ascii="Times New Roman" w:hAnsi="Times New Roman"/>
          <w:sz w:val="24"/>
          <w:szCs w:val="24"/>
        </w:rPr>
        <w:t xml:space="preserve"> are able to use </w:t>
      </w:r>
      <w:r>
        <w:rPr>
          <w:rFonts w:ascii="Times New Roman" w:hAnsi="Times New Roman"/>
          <w:sz w:val="24"/>
          <w:szCs w:val="24"/>
        </w:rPr>
        <w:lastRenderedPageBreak/>
        <w:t xml:space="preserve">sulfate in an assimilatory manner </w:t>
      </w:r>
      <w:r>
        <w:rPr>
          <w:rFonts w:ascii="Times New Roman" w:hAnsi="Times New Roman"/>
          <w:noProof/>
          <w:sz w:val="24"/>
          <w:szCs w:val="24"/>
        </w:rPr>
        <w:t>[86]</w:t>
      </w:r>
      <w:r>
        <w:rPr>
          <w:rFonts w:ascii="Times New Roman" w:hAnsi="Times New Roman"/>
          <w:sz w:val="24"/>
          <w:szCs w:val="24"/>
        </w:rPr>
        <w:t xml:space="preserve">. Lower levels of sulfate might then promote a </w:t>
      </w:r>
      <w:proofErr w:type="spellStart"/>
      <w:r>
        <w:rPr>
          <w:rFonts w:ascii="Times New Roman" w:hAnsi="Times New Roman"/>
          <w:sz w:val="24"/>
          <w:szCs w:val="24"/>
        </w:rPr>
        <w:t>butyrogenic</w:t>
      </w:r>
      <w:proofErr w:type="spellEnd"/>
      <w:r>
        <w:rPr>
          <w:rFonts w:ascii="Times New Roman" w:hAnsi="Times New Roman"/>
          <w:sz w:val="24"/>
          <w:szCs w:val="24"/>
        </w:rPr>
        <w:t xml:space="preserve"> effect through increased availability of acetate provided by </w:t>
      </w:r>
      <w:proofErr w:type="spellStart"/>
      <w:r>
        <w:rPr>
          <w:rFonts w:ascii="Times New Roman" w:hAnsi="Times New Roman"/>
          <w:sz w:val="24"/>
          <w:szCs w:val="24"/>
        </w:rPr>
        <w:t>acetogenic</w:t>
      </w:r>
      <w:proofErr w:type="spellEnd"/>
      <w:r>
        <w:rPr>
          <w:rFonts w:ascii="Times New Roman" w:hAnsi="Times New Roman"/>
          <w:sz w:val="24"/>
          <w:szCs w:val="24"/>
        </w:rPr>
        <w:t xml:space="preserve"> bacteria.  </w:t>
      </w:r>
    </w:p>
    <w:p w:rsidR="009475F0" w:rsidRDefault="009475F0" w:rsidP="001F2863">
      <w:pPr>
        <w:spacing w:line="480" w:lineRule="auto"/>
        <w:jc w:val="both"/>
        <w:rPr>
          <w:rFonts w:ascii="Times New Roman" w:hAnsi="Times New Roman"/>
          <w:b/>
          <w:sz w:val="24"/>
          <w:szCs w:val="24"/>
        </w:rPr>
      </w:pPr>
      <w:r w:rsidRPr="001110EC">
        <w:rPr>
          <w:rFonts w:ascii="Times New Roman" w:hAnsi="Times New Roman"/>
          <w:b/>
          <w:sz w:val="24"/>
          <w:szCs w:val="24"/>
        </w:rPr>
        <w:t xml:space="preserve">Possible </w:t>
      </w:r>
      <w:r>
        <w:rPr>
          <w:rFonts w:ascii="Times New Roman" w:hAnsi="Times New Roman"/>
          <w:b/>
          <w:sz w:val="24"/>
          <w:szCs w:val="24"/>
        </w:rPr>
        <w:t>impacts on the pathogenesis of</w:t>
      </w:r>
      <w:r w:rsidRPr="001110EC">
        <w:rPr>
          <w:rFonts w:ascii="Times New Roman" w:hAnsi="Times New Roman"/>
          <w:b/>
          <w:sz w:val="24"/>
          <w:szCs w:val="24"/>
        </w:rPr>
        <w:t xml:space="preserve"> T1D</w:t>
      </w:r>
    </w:p>
    <w:p w:rsidR="009475F0" w:rsidRDefault="009475F0" w:rsidP="001F2863">
      <w:pPr>
        <w:spacing w:line="480" w:lineRule="auto"/>
        <w:jc w:val="both"/>
        <w:rPr>
          <w:rFonts w:ascii="Times New Roman" w:hAnsi="Times New Roman"/>
          <w:sz w:val="24"/>
          <w:szCs w:val="24"/>
        </w:rPr>
      </w:pPr>
      <w:r>
        <w:rPr>
          <w:rFonts w:ascii="Times New Roman" w:hAnsi="Times New Roman"/>
          <w:sz w:val="24"/>
          <w:szCs w:val="24"/>
        </w:rPr>
        <w:t xml:space="preserve">In patients developing T1D, T cell mediated autoimmune reactions lead to the destruction of pancreatic beta cells in the islet of Langerhans. There is a close immunological link between the gastrointestinal tract and the pancreas as antigens derived from dietary compounds or gut microbiota might impair pancreatic immune response (see </w:t>
      </w:r>
      <w:r>
        <w:rPr>
          <w:rFonts w:ascii="Times New Roman" w:hAnsi="Times New Roman"/>
          <w:noProof/>
          <w:sz w:val="24"/>
          <w:szCs w:val="24"/>
        </w:rPr>
        <w:t>[87]</w:t>
      </w:r>
      <w:r>
        <w:rPr>
          <w:rFonts w:ascii="Times New Roman" w:hAnsi="Times New Roman"/>
          <w:sz w:val="24"/>
          <w:szCs w:val="24"/>
        </w:rPr>
        <w:t xml:space="preserve"> for a recent review). Several models have been proposed linking the gut microbiome with the development of T1D. These include the Leaky Gut Hypothesis, the Hygiene Hypothesis, the Old Friends Hypothesis, and the Perfect Storm Hypothesis. According to the Leaky Gut Hypothesis, increased permeability of the gut epithelium results from loss of tight barrier function </w:t>
      </w:r>
      <w:r>
        <w:rPr>
          <w:rFonts w:ascii="Times New Roman" w:hAnsi="Times New Roman"/>
          <w:noProof/>
          <w:sz w:val="24"/>
          <w:szCs w:val="24"/>
        </w:rPr>
        <w:t>[88]</w:t>
      </w:r>
      <w:r>
        <w:rPr>
          <w:rFonts w:ascii="Times New Roman" w:hAnsi="Times New Roman"/>
          <w:sz w:val="24"/>
          <w:szCs w:val="24"/>
        </w:rPr>
        <w:t xml:space="preserve">. Thus, diet derived macro-molecules and microbial antigens can pass the epithelial barrier and consequently trigger intestinal inflammation. Further downstream, this might possibly lead to pancreatic beta-cell attack </w:t>
      </w:r>
      <w:r>
        <w:rPr>
          <w:rFonts w:ascii="Times New Roman" w:hAnsi="Times New Roman"/>
          <w:noProof/>
          <w:sz w:val="24"/>
          <w:szCs w:val="24"/>
        </w:rPr>
        <w:t>[87]</w:t>
      </w:r>
      <w:r>
        <w:rPr>
          <w:rFonts w:ascii="Times New Roman" w:hAnsi="Times New Roman"/>
          <w:sz w:val="24"/>
          <w:szCs w:val="24"/>
        </w:rPr>
        <w:t xml:space="preserve">. Indeed, several studies indicate that individuals with T1D show increased permeability of the gut epithelium </w:t>
      </w:r>
      <w:r>
        <w:rPr>
          <w:rFonts w:ascii="Times New Roman" w:hAnsi="Times New Roman"/>
          <w:noProof/>
          <w:sz w:val="24"/>
          <w:szCs w:val="24"/>
        </w:rPr>
        <w:t>[89-93]</w:t>
      </w:r>
      <w:r>
        <w:rPr>
          <w:rFonts w:ascii="Times New Roman" w:hAnsi="Times New Roman"/>
          <w:sz w:val="24"/>
          <w:szCs w:val="24"/>
        </w:rPr>
        <w:t xml:space="preserve">. Impaired butyrate production provides one explanation for a loss of tight barrier function, since butyrate is known to be the major source of energy for gut epithelial cells </w:t>
      </w:r>
      <w:r>
        <w:rPr>
          <w:rFonts w:ascii="Times New Roman" w:hAnsi="Times New Roman"/>
          <w:noProof/>
          <w:sz w:val="24"/>
          <w:szCs w:val="24"/>
        </w:rPr>
        <w:t>[74]</w:t>
      </w:r>
      <w:r>
        <w:rPr>
          <w:rFonts w:ascii="Times New Roman" w:hAnsi="Times New Roman"/>
          <w:sz w:val="24"/>
          <w:szCs w:val="24"/>
        </w:rPr>
        <w:t xml:space="preserve">. </w:t>
      </w:r>
    </w:p>
    <w:p w:rsidR="009475F0" w:rsidRDefault="009475F0" w:rsidP="001F2863">
      <w:pPr>
        <w:spacing w:line="480" w:lineRule="auto"/>
        <w:ind w:firstLine="720"/>
        <w:jc w:val="both"/>
        <w:rPr>
          <w:rFonts w:ascii="Times New Roman" w:hAnsi="Times New Roman"/>
          <w:sz w:val="24"/>
          <w:szCs w:val="24"/>
        </w:rPr>
      </w:pPr>
      <w:r>
        <w:rPr>
          <w:rFonts w:ascii="Times New Roman" w:hAnsi="Times New Roman"/>
          <w:sz w:val="24"/>
          <w:szCs w:val="24"/>
        </w:rPr>
        <w:t xml:space="preserve">On a somewhat more general basis, the Old Friends Hypothesis stresses the role of commensal gut microbiota having co-evolved with their host organisms over long periods of time. Therefore, loss of contact with these microbial partners may show significant effects on the ability of the host’s immune system in educating its regulatory arm and maintaining homeostasis </w:t>
      </w:r>
      <w:r>
        <w:rPr>
          <w:rFonts w:ascii="Times New Roman" w:hAnsi="Times New Roman"/>
          <w:noProof/>
          <w:sz w:val="24"/>
          <w:szCs w:val="24"/>
        </w:rPr>
        <w:t>[94]</w:t>
      </w:r>
      <w:r>
        <w:rPr>
          <w:rFonts w:ascii="Times New Roman" w:hAnsi="Times New Roman"/>
          <w:sz w:val="24"/>
          <w:szCs w:val="24"/>
        </w:rPr>
        <w:t xml:space="preserve">. In healthy individuals, autoreactive immune reactions can be suppressed by </w:t>
      </w:r>
      <w:proofErr w:type="spellStart"/>
      <w:r>
        <w:rPr>
          <w:rFonts w:ascii="Times New Roman" w:hAnsi="Times New Roman"/>
          <w:sz w:val="24"/>
          <w:szCs w:val="24"/>
        </w:rPr>
        <w:t>T</w:t>
      </w:r>
      <w:r>
        <w:rPr>
          <w:rFonts w:ascii="Times New Roman" w:hAnsi="Times New Roman"/>
          <w:sz w:val="24"/>
          <w:szCs w:val="24"/>
          <w:vertAlign w:val="subscript"/>
        </w:rPr>
        <w:t>regs</w:t>
      </w:r>
      <w:proofErr w:type="spellEnd"/>
      <w:r>
        <w:rPr>
          <w:rFonts w:ascii="Times New Roman" w:hAnsi="Times New Roman"/>
          <w:sz w:val="24"/>
          <w:szCs w:val="24"/>
        </w:rPr>
        <w:t xml:space="preserve"> generated </w:t>
      </w:r>
      <w:r>
        <w:rPr>
          <w:rFonts w:ascii="Times New Roman" w:hAnsi="Times New Roman"/>
          <w:sz w:val="24"/>
          <w:szCs w:val="24"/>
        </w:rPr>
        <w:lastRenderedPageBreak/>
        <w:t xml:space="preserve">in the thymus as well as in the periphery. Thus, lack of encounter with co-evolved commensal bacteria might substantially influence self-/non-self-recognition patterns. </w:t>
      </w:r>
    </w:p>
    <w:p w:rsidR="009475F0" w:rsidRDefault="009475F0" w:rsidP="001F2863">
      <w:pPr>
        <w:spacing w:line="480" w:lineRule="auto"/>
        <w:ind w:firstLine="720"/>
        <w:jc w:val="both"/>
        <w:rPr>
          <w:rFonts w:ascii="Times New Roman" w:hAnsi="Times New Roman"/>
          <w:sz w:val="24"/>
          <w:szCs w:val="24"/>
        </w:rPr>
      </w:pPr>
      <w:r>
        <w:rPr>
          <w:rFonts w:ascii="Times New Roman" w:hAnsi="Times New Roman"/>
          <w:sz w:val="24"/>
          <w:szCs w:val="24"/>
        </w:rPr>
        <w:t xml:space="preserve">The Perfect Storm Hypothesis combines ideas from the Leaky Gut Hypothesis and the Old Friends Hypothesis by suggesting that a combination of increased permeability of the epithelial barrier, an altered microbial community composition and an impaired intestinal immune responsiveness interact collectively, leading to the development of anti-islet autoimmunity </w:t>
      </w:r>
      <w:r>
        <w:rPr>
          <w:rFonts w:ascii="Times New Roman" w:hAnsi="Times New Roman"/>
          <w:noProof/>
          <w:sz w:val="24"/>
          <w:szCs w:val="24"/>
        </w:rPr>
        <w:t>[95]</w:t>
      </w:r>
      <w:r>
        <w:rPr>
          <w:rFonts w:ascii="Times New Roman" w:hAnsi="Times New Roman"/>
          <w:sz w:val="24"/>
          <w:szCs w:val="24"/>
        </w:rPr>
        <w:t xml:space="preserve">. </w:t>
      </w:r>
    </w:p>
    <w:p w:rsidR="009475F0" w:rsidRDefault="009475F0" w:rsidP="001F2863">
      <w:pPr>
        <w:spacing w:line="480" w:lineRule="auto"/>
        <w:ind w:firstLine="720"/>
        <w:jc w:val="both"/>
        <w:rPr>
          <w:rFonts w:ascii="Times New Roman" w:hAnsi="Times New Roman"/>
          <w:sz w:val="24"/>
          <w:szCs w:val="24"/>
        </w:rPr>
      </w:pPr>
      <w:r>
        <w:rPr>
          <w:rFonts w:ascii="Times New Roman" w:hAnsi="Times New Roman"/>
          <w:sz w:val="24"/>
          <w:szCs w:val="24"/>
        </w:rPr>
        <w:t xml:space="preserve">Along the lines of the Old Friends Hypothesis, the Hygiene Hypotheses claims that increasing T1D incidences being observed in Western societies result from a lack of contact with infectious agents due to increased hygienic conditions (see </w:t>
      </w:r>
      <w:r>
        <w:rPr>
          <w:rFonts w:ascii="Times New Roman" w:hAnsi="Times New Roman"/>
          <w:noProof/>
          <w:sz w:val="24"/>
          <w:szCs w:val="24"/>
        </w:rPr>
        <w:t>[96]</w:t>
      </w:r>
      <w:r>
        <w:rPr>
          <w:rFonts w:ascii="Times New Roman" w:hAnsi="Times New Roman"/>
          <w:sz w:val="24"/>
          <w:szCs w:val="24"/>
        </w:rPr>
        <w:t xml:space="preserve"> for a recent review). Missing out pathogenic encounter in early childhood, the immune system lacks important early challenges which are required for proper priming. On the long run, such impairment leads to over-reaction of the immune system resulting in autoimmunity. </w:t>
      </w:r>
    </w:p>
    <w:p w:rsidR="009475F0" w:rsidRDefault="009475F0" w:rsidP="001F2863">
      <w:pPr>
        <w:spacing w:line="480" w:lineRule="auto"/>
        <w:ind w:firstLine="720"/>
        <w:jc w:val="both"/>
        <w:rPr>
          <w:rFonts w:ascii="Times New Roman" w:hAnsi="Times New Roman"/>
          <w:sz w:val="24"/>
          <w:szCs w:val="24"/>
        </w:rPr>
      </w:pPr>
      <w:r>
        <w:rPr>
          <w:rFonts w:ascii="Times New Roman" w:hAnsi="Times New Roman"/>
          <w:sz w:val="24"/>
          <w:szCs w:val="24"/>
        </w:rPr>
        <w:t xml:space="preserve">A key for deriving a mechanistic explanation for the described hypotheses might lie in shifts in the SCFA balance, especially regarding butyrate production. Support for this claim comes from several cohort studies, showing associations between autoimmune diseases and reduced butyrate levels </w:t>
      </w:r>
      <w:r>
        <w:rPr>
          <w:rFonts w:ascii="Times New Roman" w:hAnsi="Times New Roman"/>
          <w:noProof/>
          <w:sz w:val="24"/>
          <w:szCs w:val="24"/>
        </w:rPr>
        <w:t>[7, 14]</w:t>
      </w:r>
      <w:r>
        <w:rPr>
          <w:rFonts w:ascii="Times New Roman" w:hAnsi="Times New Roman"/>
          <w:sz w:val="24"/>
          <w:szCs w:val="24"/>
        </w:rPr>
        <w:t xml:space="preserve">. Taken together, the gut microbiome has to be considered being a key factor in the early development of the host’s immune system. Therefore, a detailed understanding of the functional interplay between the gut microbiome and the host will possibly provide valuable insights into some of the environmental factors driving autoimmunity early in life. </w:t>
      </w:r>
    </w:p>
    <w:p w:rsidR="009475F0" w:rsidRDefault="009475F0" w:rsidP="001F2863">
      <w:pPr>
        <w:spacing w:line="480" w:lineRule="auto"/>
        <w:ind w:firstLine="720"/>
        <w:jc w:val="both"/>
        <w:rPr>
          <w:rFonts w:ascii="Times New Roman" w:hAnsi="Times New Roman"/>
          <w:sz w:val="24"/>
          <w:szCs w:val="24"/>
        </w:rPr>
      </w:pPr>
      <w:r>
        <w:rPr>
          <w:rFonts w:ascii="Times New Roman" w:hAnsi="Times New Roman"/>
          <w:sz w:val="24"/>
          <w:szCs w:val="24"/>
        </w:rPr>
        <w:lastRenderedPageBreak/>
        <w:t xml:space="preserve">The development of anti-islet cell autoantibodies against pancreatic beta cells nicely fits into this scheme. With autoimmunity peaking around 9 months of age </w:t>
      </w:r>
      <w:r>
        <w:rPr>
          <w:rFonts w:ascii="Times New Roman" w:hAnsi="Times New Roman"/>
          <w:noProof/>
          <w:sz w:val="24"/>
          <w:szCs w:val="24"/>
        </w:rPr>
        <w:t>[1]</w:t>
      </w:r>
      <w:r>
        <w:rPr>
          <w:rFonts w:ascii="Times New Roman" w:hAnsi="Times New Roman"/>
          <w:sz w:val="24"/>
          <w:szCs w:val="24"/>
        </w:rPr>
        <w:t xml:space="preserve">, this period coincides with both, substantial shifts in infant diet as well as with early priming of the immune system. Being the major driver of microbial community composition in the gut, dietary factors are expected to contribute to functional associations between gut microbiome and development of the disease. </w:t>
      </w:r>
      <w:r w:rsidRPr="008E642E">
        <w:rPr>
          <w:rFonts w:ascii="Times New Roman" w:hAnsi="Times New Roman"/>
          <w:sz w:val="24"/>
          <w:szCs w:val="24"/>
        </w:rPr>
        <w:t xml:space="preserve">Opposition might stem from controversially discussed observations, such as the association of breast feeding with T1D development </w:t>
      </w:r>
      <w:r>
        <w:rPr>
          <w:rFonts w:ascii="Times New Roman" w:hAnsi="Times New Roman"/>
          <w:noProof/>
          <w:sz w:val="24"/>
          <w:szCs w:val="24"/>
        </w:rPr>
        <w:t>[97-99]</w:t>
      </w:r>
      <w:r w:rsidRPr="008E642E">
        <w:rPr>
          <w:rFonts w:ascii="Times New Roman" w:hAnsi="Times New Roman"/>
          <w:sz w:val="24"/>
          <w:szCs w:val="24"/>
        </w:rPr>
        <w:t>. Nevertheless, heterogeneity of microbiome composition might well provide a basis for seemingly opposing observations. For example, d</w:t>
      </w:r>
      <w:r w:rsidRPr="006B281B">
        <w:rPr>
          <w:rFonts w:ascii="Times New Roman" w:hAnsi="Times New Roman"/>
          <w:sz w:val="24"/>
          <w:szCs w:val="24"/>
        </w:rPr>
        <w:t>ifferences in the type of formula</w:t>
      </w:r>
      <w:r>
        <w:rPr>
          <w:rFonts w:ascii="Times New Roman" w:hAnsi="Times New Roman"/>
          <w:sz w:val="24"/>
          <w:szCs w:val="24"/>
        </w:rPr>
        <w:t xml:space="preserve"> milk being provided might as well significantly contribute to the observed heterogeneity as might other social and geographical factors leading to variations in the composition of the intestinal microbial community. Taking into account that the composition of formula milk constantly changes based on new scientific insight and further differs between geographic locations, the impact of formula diet on the gut microbial community is highly variable </w:t>
      </w:r>
      <w:r>
        <w:rPr>
          <w:rFonts w:ascii="Times New Roman" w:hAnsi="Times New Roman"/>
          <w:noProof/>
          <w:sz w:val="24"/>
          <w:szCs w:val="24"/>
        </w:rPr>
        <w:t>[31]</w:t>
      </w:r>
      <w:r>
        <w:rPr>
          <w:rFonts w:ascii="Times New Roman" w:hAnsi="Times New Roman"/>
          <w:sz w:val="24"/>
          <w:szCs w:val="24"/>
        </w:rPr>
        <w:t xml:space="preserve">. Furthermore, early introduction of solid food components, such as cereals, fruits and berries have been identified as possible factors contributing to the development of the disease </w:t>
      </w:r>
      <w:r>
        <w:rPr>
          <w:rFonts w:ascii="Times New Roman" w:hAnsi="Times New Roman"/>
          <w:noProof/>
          <w:sz w:val="24"/>
          <w:szCs w:val="24"/>
        </w:rPr>
        <w:t>[97, 100, 101]</w:t>
      </w:r>
      <w:r>
        <w:rPr>
          <w:rFonts w:ascii="Times New Roman" w:hAnsi="Times New Roman"/>
          <w:sz w:val="24"/>
          <w:szCs w:val="24"/>
        </w:rPr>
        <w:t xml:space="preserve">. Again, these dietary factors do not only vary both, geographically as well as with social status </w:t>
      </w:r>
      <w:r>
        <w:rPr>
          <w:rFonts w:ascii="Times New Roman" w:hAnsi="Times New Roman"/>
          <w:noProof/>
          <w:sz w:val="24"/>
          <w:szCs w:val="24"/>
        </w:rPr>
        <w:t>[102]</w:t>
      </w:r>
      <w:r>
        <w:rPr>
          <w:rFonts w:ascii="Times New Roman" w:hAnsi="Times New Roman"/>
          <w:sz w:val="24"/>
          <w:szCs w:val="24"/>
        </w:rPr>
        <w:t xml:space="preserve">, but can also lead to substantial shifts in the microbial community </w:t>
      </w:r>
      <w:r>
        <w:rPr>
          <w:rFonts w:ascii="Times New Roman" w:hAnsi="Times New Roman"/>
          <w:noProof/>
          <w:sz w:val="24"/>
          <w:szCs w:val="24"/>
        </w:rPr>
        <w:t>[103]</w:t>
      </w:r>
      <w:r>
        <w:rPr>
          <w:rFonts w:ascii="Times New Roman" w:hAnsi="Times New Roman"/>
          <w:sz w:val="24"/>
          <w:szCs w:val="24"/>
        </w:rPr>
        <w:t xml:space="preserve">. One line of argumentation is based on the exact compounds being used to replace HMOs in industrially produced formula </w:t>
      </w:r>
      <w:r>
        <w:rPr>
          <w:rFonts w:ascii="Times New Roman" w:hAnsi="Times New Roman"/>
          <w:noProof/>
          <w:sz w:val="24"/>
          <w:szCs w:val="24"/>
        </w:rPr>
        <w:t>[104]</w:t>
      </w:r>
      <w:r>
        <w:rPr>
          <w:rFonts w:ascii="Times New Roman" w:hAnsi="Times New Roman"/>
          <w:sz w:val="24"/>
          <w:szCs w:val="24"/>
        </w:rPr>
        <w:t xml:space="preserve">. Accepting the position that HMOs provide an evolutionary derived competitive advantage for mucin degrading specialists such as </w:t>
      </w:r>
      <w:r w:rsidRPr="002F72E5">
        <w:rPr>
          <w:rFonts w:ascii="Times New Roman" w:hAnsi="Times New Roman"/>
          <w:i/>
          <w:sz w:val="24"/>
          <w:szCs w:val="24"/>
        </w:rPr>
        <w:t xml:space="preserve">A. </w:t>
      </w:r>
      <w:proofErr w:type="spellStart"/>
      <w:r w:rsidRPr="002F72E5">
        <w:rPr>
          <w:rFonts w:ascii="Times New Roman" w:hAnsi="Times New Roman"/>
          <w:i/>
          <w:sz w:val="24"/>
          <w:szCs w:val="24"/>
        </w:rPr>
        <w:t>muciniphila</w:t>
      </w:r>
      <w:proofErr w:type="spellEnd"/>
      <w:r>
        <w:rPr>
          <w:rFonts w:ascii="Times New Roman" w:hAnsi="Times New Roman"/>
          <w:i/>
          <w:sz w:val="24"/>
          <w:szCs w:val="24"/>
        </w:rPr>
        <w:t>,</w:t>
      </w:r>
      <w:r>
        <w:rPr>
          <w:rFonts w:ascii="Times New Roman" w:hAnsi="Times New Roman"/>
          <w:sz w:val="24"/>
          <w:szCs w:val="24"/>
        </w:rPr>
        <w:t xml:space="preserve"> early introduction of additional glycan sources might well shift the microbial community, favoring generalists (e.g. </w:t>
      </w:r>
      <w:proofErr w:type="spellStart"/>
      <w:r w:rsidRPr="002F72E5">
        <w:rPr>
          <w:rFonts w:ascii="Times New Roman" w:hAnsi="Times New Roman"/>
          <w:i/>
          <w:sz w:val="24"/>
          <w:szCs w:val="24"/>
        </w:rPr>
        <w:t>Bacteroides</w:t>
      </w:r>
      <w:proofErr w:type="spellEnd"/>
      <w:r w:rsidRPr="002F72E5">
        <w:rPr>
          <w:rFonts w:ascii="Times New Roman" w:hAnsi="Times New Roman"/>
          <w:i/>
          <w:sz w:val="24"/>
          <w:szCs w:val="24"/>
        </w:rPr>
        <w:t xml:space="preserve"> spp</w:t>
      </w:r>
      <w:r>
        <w:rPr>
          <w:rFonts w:ascii="Times New Roman" w:hAnsi="Times New Roman"/>
          <w:sz w:val="24"/>
          <w:szCs w:val="24"/>
        </w:rPr>
        <w:t xml:space="preserve">.) rather than the co-evolved specialists. To understand the role of the gut microbiome in T1D it will be crucial to combine the analysis of </w:t>
      </w:r>
      <w:r>
        <w:rPr>
          <w:rFonts w:ascii="Times New Roman" w:hAnsi="Times New Roman"/>
          <w:sz w:val="24"/>
          <w:szCs w:val="24"/>
        </w:rPr>
        <w:lastRenderedPageBreak/>
        <w:t xml:space="preserve">dietary patterns with a better understanding on factors driving microbial community composition in the gut and its consequences for human metabolism and early development of the immune system </w:t>
      </w:r>
      <w:r>
        <w:rPr>
          <w:rFonts w:ascii="Times New Roman" w:hAnsi="Times New Roman"/>
          <w:noProof/>
          <w:sz w:val="24"/>
          <w:szCs w:val="24"/>
        </w:rPr>
        <w:t>[105]</w:t>
      </w:r>
      <w:r>
        <w:rPr>
          <w:rFonts w:ascii="Times New Roman" w:hAnsi="Times New Roman"/>
          <w:sz w:val="24"/>
          <w:szCs w:val="24"/>
        </w:rPr>
        <w:t xml:space="preserve">. </w:t>
      </w:r>
    </w:p>
    <w:p w:rsidR="009475F0" w:rsidRDefault="009475F0" w:rsidP="001F2863">
      <w:pPr>
        <w:spacing w:line="480" w:lineRule="auto"/>
        <w:ind w:firstLine="720"/>
        <w:jc w:val="both"/>
        <w:rPr>
          <w:rFonts w:ascii="Times New Roman" w:hAnsi="Times New Roman"/>
          <w:sz w:val="24"/>
          <w:szCs w:val="24"/>
        </w:rPr>
      </w:pPr>
      <w:r>
        <w:rPr>
          <w:rFonts w:ascii="Times New Roman" w:hAnsi="Times New Roman"/>
          <w:sz w:val="24"/>
          <w:szCs w:val="24"/>
        </w:rPr>
        <w:t xml:space="preserve">In addition to dietary factors, microbial community composition in the infant gut is further influenced by other co-factors such as mode of delivery, drug treatment, or other factors, such as geographic location. Interestingly, several of those have been associated with an increased risk of development of T1D. Thus, the microbiome provides a suitable route for understanding such relations and at the same time explaining controversial findings. For instance, highest incidences of T1D have been reported in Finland </w:t>
      </w:r>
      <w:r>
        <w:rPr>
          <w:rFonts w:ascii="Times New Roman" w:hAnsi="Times New Roman"/>
          <w:noProof/>
          <w:sz w:val="24"/>
          <w:szCs w:val="24"/>
        </w:rPr>
        <w:t>[106]</w:t>
      </w:r>
      <w:r>
        <w:rPr>
          <w:rFonts w:ascii="Times New Roman" w:hAnsi="Times New Roman"/>
          <w:sz w:val="24"/>
          <w:szCs w:val="24"/>
        </w:rPr>
        <w:t xml:space="preserve">, and recent results from the TEDDY cohort indicate that Finnish children show relatively low bacterial diversity, increased abundances of </w:t>
      </w:r>
      <w:proofErr w:type="spellStart"/>
      <w:r w:rsidRPr="005A6AD0">
        <w:rPr>
          <w:rFonts w:ascii="Times New Roman" w:hAnsi="Times New Roman"/>
          <w:i/>
          <w:sz w:val="24"/>
          <w:szCs w:val="24"/>
        </w:rPr>
        <w:t>Bacteroides</w:t>
      </w:r>
      <w:proofErr w:type="spellEnd"/>
      <w:r>
        <w:rPr>
          <w:rFonts w:ascii="Times New Roman" w:hAnsi="Times New Roman"/>
          <w:i/>
          <w:sz w:val="24"/>
          <w:szCs w:val="24"/>
        </w:rPr>
        <w:t xml:space="preserve"> spp.</w:t>
      </w:r>
      <w:r>
        <w:rPr>
          <w:rFonts w:ascii="Times New Roman" w:hAnsi="Times New Roman"/>
          <w:sz w:val="24"/>
          <w:szCs w:val="24"/>
        </w:rPr>
        <w:t xml:space="preserve"> in combination with decreased abundances of </w:t>
      </w:r>
      <w:proofErr w:type="spellStart"/>
      <w:r w:rsidRPr="005A6AD0">
        <w:rPr>
          <w:rFonts w:ascii="Times New Roman" w:hAnsi="Times New Roman"/>
          <w:i/>
          <w:sz w:val="24"/>
          <w:szCs w:val="24"/>
        </w:rPr>
        <w:t>Akkermansia</w:t>
      </w:r>
      <w:proofErr w:type="spellEnd"/>
      <w:r>
        <w:rPr>
          <w:rFonts w:ascii="Times New Roman" w:hAnsi="Times New Roman"/>
          <w:i/>
          <w:sz w:val="24"/>
          <w:szCs w:val="24"/>
        </w:rPr>
        <w:t xml:space="preserve"> </w:t>
      </w:r>
      <w:r>
        <w:rPr>
          <w:rFonts w:ascii="Times New Roman" w:hAnsi="Times New Roman"/>
          <w:noProof/>
          <w:sz w:val="24"/>
          <w:szCs w:val="24"/>
        </w:rPr>
        <w:t>[107]</w:t>
      </w:r>
      <w:r>
        <w:rPr>
          <w:rFonts w:ascii="Times New Roman" w:hAnsi="Times New Roman"/>
          <w:sz w:val="24"/>
          <w:szCs w:val="24"/>
        </w:rPr>
        <w:t xml:space="preserve">. Thus, geographical differences in microbial community composition might explain the observed differences in T1D incidences. </w:t>
      </w:r>
    </w:p>
    <w:p w:rsidR="009475F0" w:rsidRDefault="009475F0" w:rsidP="001F2863">
      <w:pPr>
        <w:spacing w:line="480" w:lineRule="auto"/>
        <w:ind w:firstLine="720"/>
        <w:jc w:val="both"/>
        <w:rPr>
          <w:rFonts w:ascii="Times New Roman" w:hAnsi="Times New Roman"/>
          <w:sz w:val="24"/>
          <w:szCs w:val="24"/>
        </w:rPr>
      </w:pPr>
      <w:r>
        <w:rPr>
          <w:rFonts w:ascii="Times New Roman" w:hAnsi="Times New Roman"/>
          <w:sz w:val="24"/>
          <w:szCs w:val="24"/>
        </w:rPr>
        <w:t xml:space="preserve">Along these lines, birth via Caesarean section has been associated with increased risk for T1D development </w:t>
      </w:r>
      <w:r>
        <w:rPr>
          <w:rFonts w:ascii="Times New Roman" w:hAnsi="Times New Roman"/>
          <w:noProof/>
          <w:sz w:val="24"/>
          <w:szCs w:val="24"/>
        </w:rPr>
        <w:t>[108, 109]</w:t>
      </w:r>
      <w:r>
        <w:rPr>
          <w:rFonts w:ascii="Times New Roman" w:hAnsi="Times New Roman"/>
          <w:sz w:val="24"/>
          <w:szCs w:val="24"/>
        </w:rPr>
        <w:t xml:space="preserve">. Several hypotheses have been discussed to explain a possible association of T1D and mode of delivery </w:t>
      </w:r>
      <w:r>
        <w:rPr>
          <w:rFonts w:ascii="Times New Roman" w:hAnsi="Times New Roman"/>
          <w:noProof/>
          <w:sz w:val="24"/>
          <w:szCs w:val="24"/>
        </w:rPr>
        <w:t>[110]</w:t>
      </w:r>
      <w:r>
        <w:rPr>
          <w:rFonts w:ascii="Times New Roman" w:hAnsi="Times New Roman"/>
          <w:sz w:val="24"/>
          <w:szCs w:val="24"/>
        </w:rPr>
        <w:t xml:space="preserve">. One possible explanation is that vaginally delivered babies obtain their initial microbiome from the vaginal microbiome of their mothers </w:t>
      </w:r>
      <w:r>
        <w:rPr>
          <w:rFonts w:ascii="Times New Roman" w:hAnsi="Times New Roman"/>
          <w:noProof/>
          <w:sz w:val="24"/>
          <w:szCs w:val="24"/>
        </w:rPr>
        <w:t>[20]</w:t>
      </w:r>
      <w:r>
        <w:rPr>
          <w:rFonts w:ascii="Times New Roman" w:hAnsi="Times New Roman"/>
          <w:sz w:val="24"/>
          <w:szCs w:val="24"/>
        </w:rPr>
        <w:t xml:space="preserve">. Hence, the initial microbial colonization with commensal and/or pathogenic microbiota might contribute in shaping the initial immune system. Again, non-conclusive observations might be explained with variations in the stage of dietary maturation of the children, which in most cases has not been accessed. Even more, a combination of altered gut microbial community composition coming along with certain genetic factors, such as the </w:t>
      </w:r>
      <w:r w:rsidRPr="002C073E">
        <w:rPr>
          <w:rFonts w:ascii="Times New Roman" w:hAnsi="Times New Roman"/>
          <w:i/>
          <w:sz w:val="24"/>
          <w:szCs w:val="24"/>
        </w:rPr>
        <w:t>IFIH1</w:t>
      </w:r>
      <w:r>
        <w:rPr>
          <w:rFonts w:ascii="Times New Roman" w:hAnsi="Times New Roman"/>
          <w:sz w:val="24"/>
          <w:szCs w:val="24"/>
        </w:rPr>
        <w:t xml:space="preserve"> polymorphism can potentially enhance the risk for T1D in children delivered by Cesarean section </w:t>
      </w:r>
      <w:r>
        <w:rPr>
          <w:rFonts w:ascii="Times New Roman" w:hAnsi="Times New Roman"/>
          <w:noProof/>
          <w:sz w:val="24"/>
          <w:szCs w:val="24"/>
        </w:rPr>
        <w:t>[109]</w:t>
      </w:r>
      <w:r>
        <w:rPr>
          <w:rFonts w:ascii="Times New Roman" w:hAnsi="Times New Roman"/>
          <w:sz w:val="24"/>
          <w:szCs w:val="24"/>
        </w:rPr>
        <w:t xml:space="preserve">. Other </w:t>
      </w:r>
      <w:r>
        <w:rPr>
          <w:rFonts w:ascii="Times New Roman" w:hAnsi="Times New Roman"/>
          <w:sz w:val="24"/>
          <w:szCs w:val="24"/>
        </w:rPr>
        <w:lastRenderedPageBreak/>
        <w:t xml:space="preserve">genetic risk factors which also show a link to altered microbial colonization are HLA genotype </w:t>
      </w:r>
      <w:r>
        <w:rPr>
          <w:rFonts w:ascii="Times New Roman" w:hAnsi="Times New Roman"/>
          <w:noProof/>
          <w:sz w:val="24"/>
          <w:szCs w:val="24"/>
        </w:rPr>
        <w:t>[111]</w:t>
      </w:r>
      <w:r>
        <w:rPr>
          <w:rFonts w:ascii="Times New Roman" w:hAnsi="Times New Roman"/>
          <w:sz w:val="24"/>
          <w:szCs w:val="24"/>
        </w:rPr>
        <w:t xml:space="preserve"> and secretor state FUT2 </w:t>
      </w:r>
      <w:r>
        <w:rPr>
          <w:rFonts w:ascii="Times New Roman" w:hAnsi="Times New Roman"/>
          <w:noProof/>
          <w:sz w:val="24"/>
          <w:szCs w:val="24"/>
        </w:rPr>
        <w:t>[112, 113]</w:t>
      </w:r>
      <w:r>
        <w:rPr>
          <w:rFonts w:ascii="Times New Roman" w:hAnsi="Times New Roman"/>
          <w:sz w:val="24"/>
          <w:szCs w:val="24"/>
        </w:rPr>
        <w:t xml:space="preserve">. Several other genes associated with the host immune system have also been described for their impact on gut microbial composition </w:t>
      </w:r>
      <w:r>
        <w:rPr>
          <w:rFonts w:ascii="Times New Roman" w:hAnsi="Times New Roman"/>
          <w:noProof/>
          <w:sz w:val="24"/>
          <w:szCs w:val="24"/>
        </w:rPr>
        <w:t>[5]</w:t>
      </w:r>
      <w:r>
        <w:rPr>
          <w:rFonts w:ascii="Times New Roman" w:hAnsi="Times New Roman"/>
          <w:sz w:val="24"/>
          <w:szCs w:val="24"/>
        </w:rPr>
        <w:t>.</w:t>
      </w:r>
    </w:p>
    <w:p w:rsidR="009475F0" w:rsidRDefault="009475F0" w:rsidP="001F2863">
      <w:pPr>
        <w:spacing w:line="480" w:lineRule="auto"/>
        <w:jc w:val="both"/>
        <w:rPr>
          <w:rFonts w:ascii="Times New Roman" w:hAnsi="Times New Roman"/>
          <w:b/>
          <w:sz w:val="24"/>
          <w:szCs w:val="24"/>
        </w:rPr>
      </w:pPr>
      <w:r>
        <w:rPr>
          <w:rFonts w:ascii="Times New Roman" w:hAnsi="Times New Roman"/>
          <w:b/>
          <w:sz w:val="24"/>
          <w:szCs w:val="24"/>
        </w:rPr>
        <w:t>Conclusions and f</w:t>
      </w:r>
      <w:r w:rsidRPr="00BD79B7">
        <w:rPr>
          <w:rFonts w:ascii="Times New Roman" w:hAnsi="Times New Roman"/>
          <w:b/>
          <w:sz w:val="24"/>
          <w:szCs w:val="24"/>
        </w:rPr>
        <w:t>uture directions</w:t>
      </w:r>
    </w:p>
    <w:p w:rsidR="009475F0" w:rsidRDefault="009475F0" w:rsidP="001F2863">
      <w:pPr>
        <w:spacing w:line="480" w:lineRule="auto"/>
        <w:ind w:firstLine="720"/>
        <w:jc w:val="both"/>
        <w:rPr>
          <w:rFonts w:ascii="Times New Roman" w:hAnsi="Times New Roman"/>
          <w:sz w:val="24"/>
          <w:szCs w:val="24"/>
        </w:rPr>
      </w:pPr>
      <w:r w:rsidRPr="00BD79B7">
        <w:rPr>
          <w:rFonts w:ascii="Times New Roman" w:hAnsi="Times New Roman"/>
          <w:sz w:val="24"/>
          <w:szCs w:val="24"/>
        </w:rPr>
        <w:t>Due to significant improvements in sequencing technologies</w:t>
      </w:r>
      <w:r>
        <w:rPr>
          <w:rFonts w:ascii="Times New Roman" w:hAnsi="Times New Roman"/>
          <w:sz w:val="24"/>
          <w:szCs w:val="24"/>
        </w:rPr>
        <w:t xml:space="preserve"> we are now more and more able to access the full diversity of the human gut microbial community and characterize its metabolic potential. However, with regard to T1D we are just beginning to understand associations between the gut microbiome and pathogenesis of the disease. Factors contributing to disease development might be highly heterogeneous between individuals and it is likely that a combination of diverse factors is responsible for autoimmunity development. To tackle the complexity and the heterogeneity of this disease, large sample size cohorts and approaches integrating data from various sources will be required in future. Data from the TEDDY cohort </w:t>
      </w:r>
      <w:r>
        <w:rPr>
          <w:rFonts w:ascii="Times New Roman" w:hAnsi="Times New Roman"/>
          <w:noProof/>
          <w:sz w:val="24"/>
          <w:szCs w:val="24"/>
        </w:rPr>
        <w:t>[114]</w:t>
      </w:r>
      <w:r>
        <w:rPr>
          <w:rFonts w:ascii="Times New Roman" w:hAnsi="Times New Roman"/>
          <w:sz w:val="24"/>
          <w:szCs w:val="24"/>
        </w:rPr>
        <w:t xml:space="preserve"> is currently analyzed, aiming at the identification of various factors contributing to disease development. The amount of different data sources being provided, the dense longitudinal sampling starting shortly after birth, as well as the large number of individuals being included in this cohort, provide a unique opportunity to tackle the complexity of these questions. </w:t>
      </w:r>
    </w:p>
    <w:p w:rsidR="009475F0" w:rsidRDefault="009475F0" w:rsidP="001F2863">
      <w:pPr>
        <w:spacing w:line="480" w:lineRule="auto"/>
        <w:jc w:val="both"/>
        <w:rPr>
          <w:rFonts w:ascii="Times New Roman" w:hAnsi="Times New Roman"/>
          <w:sz w:val="24"/>
          <w:szCs w:val="24"/>
        </w:rPr>
      </w:pPr>
      <w:r>
        <w:rPr>
          <w:rFonts w:ascii="Times New Roman" w:hAnsi="Times New Roman"/>
          <w:sz w:val="24"/>
          <w:szCs w:val="24"/>
        </w:rPr>
        <w:tab/>
        <w:t xml:space="preserve">Recent advances in sequencing technologies revealed the comprehensive significance of viruses in shaping the functional repertoire of bacterial associations. Notwithstanding being important, this aspect has deliberately been left out of discussion for this review. It well deserves consideration on its own. For instance, bacteriophages substantially shape the microbial community and most likely also contribute to </w:t>
      </w:r>
      <w:proofErr w:type="spellStart"/>
      <w:r>
        <w:rPr>
          <w:rFonts w:ascii="Times New Roman" w:hAnsi="Times New Roman"/>
          <w:sz w:val="24"/>
          <w:szCs w:val="24"/>
        </w:rPr>
        <w:t>dysbiosis</w:t>
      </w:r>
      <w:proofErr w:type="spellEnd"/>
      <w:r>
        <w:rPr>
          <w:rFonts w:ascii="Times New Roman" w:hAnsi="Times New Roman"/>
          <w:sz w:val="24"/>
          <w:szCs w:val="24"/>
        </w:rPr>
        <w:t xml:space="preserve"> (see </w:t>
      </w:r>
      <w:r>
        <w:rPr>
          <w:rFonts w:ascii="Times New Roman" w:hAnsi="Times New Roman"/>
          <w:noProof/>
          <w:sz w:val="24"/>
          <w:szCs w:val="24"/>
        </w:rPr>
        <w:t>[115]</w:t>
      </w:r>
      <w:r>
        <w:rPr>
          <w:rFonts w:ascii="Times New Roman" w:hAnsi="Times New Roman"/>
          <w:sz w:val="24"/>
          <w:szCs w:val="24"/>
        </w:rPr>
        <w:t xml:space="preserve"> for a recent review). The role of bacteriophages in shaping the infant immune system has rarely been studied. Phages might </w:t>
      </w:r>
      <w:r>
        <w:rPr>
          <w:rFonts w:ascii="Times New Roman" w:hAnsi="Times New Roman"/>
          <w:sz w:val="24"/>
          <w:szCs w:val="24"/>
        </w:rPr>
        <w:lastRenderedPageBreak/>
        <w:t xml:space="preserve">influence the immune system either directly or by modifying bacterial functions </w:t>
      </w:r>
      <w:r>
        <w:rPr>
          <w:rFonts w:ascii="Times New Roman" w:hAnsi="Times New Roman"/>
          <w:noProof/>
          <w:sz w:val="24"/>
          <w:szCs w:val="24"/>
        </w:rPr>
        <w:t>[116]</w:t>
      </w:r>
      <w:r>
        <w:rPr>
          <w:rFonts w:ascii="Times New Roman" w:hAnsi="Times New Roman"/>
          <w:sz w:val="24"/>
          <w:szCs w:val="24"/>
        </w:rPr>
        <w:t xml:space="preserve">. Thus, the complexity of these associations provides an additional level of complexity for analysis. </w:t>
      </w:r>
    </w:p>
    <w:p w:rsidR="009475F0" w:rsidRDefault="009475F0" w:rsidP="001F2863">
      <w:pPr>
        <w:spacing w:line="480" w:lineRule="auto"/>
        <w:ind w:firstLine="720"/>
        <w:jc w:val="both"/>
        <w:rPr>
          <w:rFonts w:ascii="Times New Roman" w:hAnsi="Times New Roman"/>
          <w:sz w:val="24"/>
          <w:szCs w:val="24"/>
        </w:rPr>
      </w:pPr>
      <w:r>
        <w:rPr>
          <w:rFonts w:ascii="Times New Roman" w:hAnsi="Times New Roman"/>
          <w:sz w:val="24"/>
          <w:szCs w:val="24"/>
        </w:rPr>
        <w:t xml:space="preserve">To understand microbial factors contributing to disease development it will be crucial to unravel environmental factors shaping microbial community composition early in life and its impact on the developing immune system. Among these microbial factors, the potential to produce various fermentation products is strongly influenced by the diet of the host. Early data suggest that alterations in the proportions of SCFAs, such as butyrate, might be a potential mechanism contributing to the risk of developing T1D </w:t>
      </w:r>
      <w:r>
        <w:rPr>
          <w:rFonts w:ascii="Times New Roman" w:hAnsi="Times New Roman"/>
          <w:noProof/>
          <w:sz w:val="24"/>
          <w:szCs w:val="24"/>
        </w:rPr>
        <w:t>[7, 14]</w:t>
      </w:r>
      <w:r>
        <w:rPr>
          <w:rFonts w:ascii="Times New Roman" w:hAnsi="Times New Roman"/>
          <w:sz w:val="24"/>
          <w:szCs w:val="24"/>
        </w:rPr>
        <w:t xml:space="preserve">. Since dietary changes strongly shift microbial community composition early in life, it will be of substantial importance for the success of the endeavor to include detailed dietary information into the analyses focusing on the association of the gut microbiome and T1D development. Furthermore, starting with birth, early gut microbial communities undergo several changes triggered by the environment. Thus, very early sampling of the microbiome might be required to unravel the functional impact of the microbial community with regard to the developing infant immune system. As the gut microbiome constitutes a full ecosystem with microbial species depending on each other and competing for nutrient sources, it might not be sufficient to focus on individual microbes only, but rather to focus on interaction patterns of the community as a whole. The latter bears the chance to unravel functional relationships regarding the complex system of host microbiota interactions with the potential towards future strategies for prevention. </w:t>
      </w:r>
    </w:p>
    <w:p w:rsidR="009475F0" w:rsidRDefault="009475F0" w:rsidP="001F2863">
      <w:pPr>
        <w:spacing w:line="480" w:lineRule="auto"/>
        <w:jc w:val="both"/>
        <w:rPr>
          <w:rFonts w:ascii="Times New Roman" w:hAnsi="Times New Roman"/>
          <w:b/>
          <w:sz w:val="24"/>
          <w:szCs w:val="24"/>
        </w:rPr>
      </w:pPr>
      <w:r>
        <w:rPr>
          <w:rFonts w:ascii="Times New Roman" w:hAnsi="Times New Roman"/>
          <w:b/>
          <w:sz w:val="24"/>
          <w:szCs w:val="24"/>
        </w:rPr>
        <w:t>Acknowledgments</w:t>
      </w:r>
    </w:p>
    <w:p w:rsidR="009475F0" w:rsidRDefault="009475F0" w:rsidP="001F2863">
      <w:pPr>
        <w:spacing w:line="480" w:lineRule="auto"/>
        <w:jc w:val="both"/>
        <w:rPr>
          <w:rFonts w:ascii="Times New Roman" w:hAnsi="Times New Roman"/>
          <w:sz w:val="24"/>
          <w:szCs w:val="24"/>
        </w:rPr>
      </w:pPr>
      <w:r w:rsidRPr="009E4C41">
        <w:rPr>
          <w:rFonts w:ascii="Times New Roman" w:hAnsi="Times New Roman"/>
          <w:sz w:val="24"/>
          <w:szCs w:val="24"/>
        </w:rPr>
        <w:t>David Endesfelder</w:t>
      </w:r>
      <w:r>
        <w:rPr>
          <w:rFonts w:ascii="Times New Roman" w:hAnsi="Times New Roman"/>
          <w:sz w:val="24"/>
          <w:szCs w:val="24"/>
        </w:rPr>
        <w:t xml:space="preserve"> and </w:t>
      </w:r>
      <w:r w:rsidRPr="00C23034">
        <w:rPr>
          <w:rFonts w:ascii="Times New Roman" w:hAnsi="Times New Roman"/>
          <w:sz w:val="24"/>
          <w:szCs w:val="24"/>
        </w:rPr>
        <w:t xml:space="preserve">Wolfgang zu Castell </w:t>
      </w:r>
      <w:r w:rsidRPr="009E4C41">
        <w:rPr>
          <w:rFonts w:ascii="Times New Roman" w:hAnsi="Times New Roman"/>
          <w:sz w:val="24"/>
          <w:szCs w:val="24"/>
        </w:rPr>
        <w:t xml:space="preserve">report grants from </w:t>
      </w:r>
      <w:r>
        <w:rPr>
          <w:rFonts w:ascii="Times New Roman" w:hAnsi="Times New Roman"/>
          <w:sz w:val="24"/>
          <w:szCs w:val="24"/>
        </w:rPr>
        <w:t xml:space="preserve">the </w:t>
      </w:r>
      <w:r w:rsidRPr="009E4C41">
        <w:rPr>
          <w:rFonts w:ascii="Times New Roman" w:hAnsi="Times New Roman"/>
          <w:sz w:val="24"/>
          <w:szCs w:val="24"/>
        </w:rPr>
        <w:t>Juvenile Diabetes Research Foundation</w:t>
      </w:r>
      <w:r>
        <w:rPr>
          <w:rFonts w:ascii="Times New Roman" w:hAnsi="Times New Roman"/>
          <w:sz w:val="24"/>
          <w:szCs w:val="24"/>
        </w:rPr>
        <w:t xml:space="preserve">. We thank </w:t>
      </w:r>
      <w:proofErr w:type="spellStart"/>
      <w:r>
        <w:rPr>
          <w:rFonts w:ascii="Times New Roman" w:hAnsi="Times New Roman"/>
          <w:sz w:val="24"/>
          <w:szCs w:val="24"/>
        </w:rPr>
        <w:t>Ms</w:t>
      </w:r>
      <w:proofErr w:type="spellEnd"/>
      <w:r>
        <w:rPr>
          <w:rFonts w:ascii="Times New Roman" w:hAnsi="Times New Roman"/>
          <w:sz w:val="24"/>
          <w:szCs w:val="24"/>
        </w:rPr>
        <w:t xml:space="preserve"> Sandra Mayer for the production of Figure 1.</w:t>
      </w:r>
    </w:p>
    <w:p w:rsidR="009475F0" w:rsidRPr="00C23034" w:rsidRDefault="009475F0" w:rsidP="001F2863">
      <w:pPr>
        <w:spacing w:line="480" w:lineRule="auto"/>
        <w:jc w:val="both"/>
        <w:rPr>
          <w:rFonts w:ascii="Times New Roman" w:hAnsi="Times New Roman"/>
          <w:b/>
          <w:sz w:val="24"/>
          <w:szCs w:val="24"/>
        </w:rPr>
      </w:pPr>
      <w:r w:rsidRPr="00C23034">
        <w:rPr>
          <w:rFonts w:ascii="Times New Roman" w:hAnsi="Times New Roman"/>
          <w:b/>
          <w:sz w:val="24"/>
          <w:szCs w:val="24"/>
        </w:rPr>
        <w:lastRenderedPageBreak/>
        <w:t>Compliance with Ethics Guidelines</w:t>
      </w:r>
    </w:p>
    <w:p w:rsidR="009475F0" w:rsidRPr="00C23034" w:rsidRDefault="009475F0" w:rsidP="001F2863">
      <w:pPr>
        <w:spacing w:line="480" w:lineRule="auto"/>
        <w:jc w:val="both"/>
        <w:rPr>
          <w:rFonts w:ascii="Times New Roman" w:hAnsi="Times New Roman"/>
          <w:b/>
          <w:sz w:val="24"/>
          <w:szCs w:val="24"/>
        </w:rPr>
      </w:pPr>
      <w:r w:rsidRPr="00C23034">
        <w:rPr>
          <w:rFonts w:ascii="Times New Roman" w:hAnsi="Times New Roman"/>
          <w:b/>
          <w:sz w:val="24"/>
          <w:szCs w:val="24"/>
        </w:rPr>
        <w:t>Conflict of Interest</w:t>
      </w:r>
    </w:p>
    <w:p w:rsidR="009475F0" w:rsidRPr="00C23034" w:rsidRDefault="009475F0" w:rsidP="001F2863">
      <w:pPr>
        <w:spacing w:line="480" w:lineRule="auto"/>
        <w:jc w:val="both"/>
        <w:rPr>
          <w:rFonts w:ascii="Times New Roman" w:hAnsi="Times New Roman"/>
          <w:sz w:val="24"/>
          <w:szCs w:val="24"/>
        </w:rPr>
      </w:pPr>
      <w:r w:rsidRPr="00C23034">
        <w:rPr>
          <w:rFonts w:ascii="Times New Roman" w:hAnsi="Times New Roman"/>
          <w:sz w:val="24"/>
          <w:szCs w:val="24"/>
        </w:rPr>
        <w:t>David Endesfelder, Marion Engel and Wolfgang zu Castell declare that they have no conflict of interest.</w:t>
      </w:r>
    </w:p>
    <w:p w:rsidR="009475F0" w:rsidRPr="00C23034" w:rsidRDefault="009475F0" w:rsidP="001F2863">
      <w:pPr>
        <w:spacing w:line="480" w:lineRule="auto"/>
        <w:jc w:val="both"/>
        <w:rPr>
          <w:rFonts w:ascii="Times New Roman" w:hAnsi="Times New Roman"/>
          <w:b/>
          <w:sz w:val="24"/>
          <w:szCs w:val="24"/>
        </w:rPr>
      </w:pPr>
      <w:r w:rsidRPr="00C23034">
        <w:rPr>
          <w:rFonts w:ascii="Times New Roman" w:hAnsi="Times New Roman"/>
          <w:b/>
          <w:sz w:val="24"/>
          <w:szCs w:val="24"/>
        </w:rPr>
        <w:t>Human and Animal Rights and Informed Consent</w:t>
      </w:r>
    </w:p>
    <w:p w:rsidR="009475F0" w:rsidRDefault="009475F0" w:rsidP="001F2863">
      <w:pPr>
        <w:spacing w:line="480" w:lineRule="auto"/>
        <w:jc w:val="both"/>
        <w:rPr>
          <w:rFonts w:ascii="Times New Roman" w:hAnsi="Times New Roman"/>
          <w:sz w:val="24"/>
          <w:szCs w:val="24"/>
        </w:rPr>
      </w:pPr>
      <w:r>
        <w:rPr>
          <w:rFonts w:ascii="Times New Roman" w:hAnsi="Times New Roman"/>
          <w:sz w:val="24"/>
          <w:szCs w:val="24"/>
        </w:rPr>
        <w:t xml:space="preserve">This article does </w:t>
      </w:r>
      <w:r w:rsidRPr="00C23034">
        <w:rPr>
          <w:rFonts w:ascii="Times New Roman" w:hAnsi="Times New Roman"/>
          <w:sz w:val="24"/>
          <w:szCs w:val="24"/>
        </w:rPr>
        <w:t>not contain any studies with human or a</w:t>
      </w:r>
      <w:r>
        <w:rPr>
          <w:rFonts w:ascii="Times New Roman" w:hAnsi="Times New Roman"/>
          <w:sz w:val="24"/>
          <w:szCs w:val="24"/>
        </w:rPr>
        <w:t xml:space="preserve">nimal subjects performed by any </w:t>
      </w:r>
      <w:r w:rsidRPr="00C23034">
        <w:rPr>
          <w:rFonts w:ascii="Times New Roman" w:hAnsi="Times New Roman"/>
          <w:sz w:val="24"/>
          <w:szCs w:val="24"/>
        </w:rPr>
        <w:t>of the authors</w:t>
      </w:r>
      <w:r>
        <w:rPr>
          <w:rFonts w:ascii="Times New Roman" w:hAnsi="Times New Roman"/>
          <w:sz w:val="24"/>
          <w:szCs w:val="24"/>
        </w:rPr>
        <w:t>.</w:t>
      </w:r>
    </w:p>
    <w:p w:rsidR="009475F0" w:rsidRDefault="009475F0" w:rsidP="001F2863">
      <w:pPr>
        <w:spacing w:line="480" w:lineRule="auto"/>
        <w:jc w:val="both"/>
        <w:rPr>
          <w:rFonts w:ascii="Times New Roman" w:hAnsi="Times New Roman"/>
          <w:b/>
          <w:sz w:val="24"/>
          <w:szCs w:val="24"/>
        </w:rPr>
      </w:pPr>
      <w:r w:rsidRPr="0061316B">
        <w:rPr>
          <w:rFonts w:ascii="Times New Roman" w:hAnsi="Times New Roman"/>
          <w:b/>
          <w:sz w:val="24"/>
          <w:szCs w:val="24"/>
        </w:rPr>
        <w:t>Figure legends</w:t>
      </w:r>
    </w:p>
    <w:p w:rsidR="009475F0" w:rsidRPr="0061316B" w:rsidRDefault="009475F0" w:rsidP="001F2863">
      <w:pPr>
        <w:spacing w:line="480" w:lineRule="auto"/>
        <w:jc w:val="both"/>
        <w:rPr>
          <w:rFonts w:ascii="Times New Roman" w:hAnsi="Times New Roman"/>
          <w:sz w:val="24"/>
          <w:szCs w:val="24"/>
        </w:rPr>
      </w:pPr>
      <w:r>
        <w:rPr>
          <w:rFonts w:ascii="Times New Roman" w:hAnsi="Times New Roman"/>
          <w:b/>
          <w:sz w:val="24"/>
          <w:szCs w:val="24"/>
        </w:rPr>
        <w:t xml:space="preserve">Figure 1: Microbial waves of succession. </w:t>
      </w:r>
      <w:r w:rsidRPr="0061316B">
        <w:rPr>
          <w:rFonts w:ascii="Times New Roman" w:hAnsi="Times New Roman"/>
          <w:sz w:val="24"/>
          <w:szCs w:val="24"/>
        </w:rPr>
        <w:t>Initial colonization occurs shortly after birth. While first colonizers of vaginally delivered babies are related to the vaginal microbiome of the mother, children delivered via C-section host gut microbial communities that are</w:t>
      </w:r>
      <w:r>
        <w:rPr>
          <w:rFonts w:ascii="Times New Roman" w:hAnsi="Times New Roman"/>
          <w:b/>
          <w:sz w:val="24"/>
          <w:szCs w:val="24"/>
        </w:rPr>
        <w:t xml:space="preserve"> </w:t>
      </w:r>
      <w:r w:rsidRPr="00A14296">
        <w:rPr>
          <w:rFonts w:ascii="Times New Roman" w:hAnsi="Times New Roman"/>
          <w:sz w:val="24"/>
          <w:szCs w:val="24"/>
        </w:rPr>
        <w:t xml:space="preserve">more similar to the </w:t>
      </w:r>
      <w:r>
        <w:rPr>
          <w:rFonts w:ascii="Times New Roman" w:hAnsi="Times New Roman"/>
          <w:sz w:val="24"/>
          <w:szCs w:val="24"/>
        </w:rPr>
        <w:t>mothers skin microbiome. In the first weeks of life, the gut microbial community is strongly influenced by breast or formula milk feeding. At the time of weaning, the variety of different glycan sources increases rapidly and the gut microbial community shifts towards and adult like community. The timing of the successional waves depends strongly on the patterns of introduction of dietary components. Here, we provide estimates which can vary strongly between individuals.</w:t>
      </w:r>
    </w:p>
    <w:p w:rsidR="009475F0" w:rsidRDefault="009475F0" w:rsidP="001F2863">
      <w:pPr>
        <w:spacing w:line="480" w:lineRule="auto"/>
        <w:jc w:val="both"/>
        <w:rPr>
          <w:rFonts w:ascii="Times New Roman" w:hAnsi="Times New Roman"/>
          <w:b/>
          <w:sz w:val="24"/>
          <w:szCs w:val="24"/>
        </w:rPr>
      </w:pPr>
      <w:r w:rsidRPr="00597561">
        <w:rPr>
          <w:rFonts w:ascii="Times New Roman" w:hAnsi="Times New Roman"/>
          <w:b/>
          <w:sz w:val="24"/>
          <w:szCs w:val="24"/>
        </w:rPr>
        <w:t>References</w:t>
      </w:r>
    </w:p>
    <w:p w:rsidR="00C82BFD" w:rsidRPr="0019010D" w:rsidRDefault="00C82BFD" w:rsidP="00C82BFD">
      <w:pPr>
        <w:spacing w:line="240" w:lineRule="auto"/>
        <w:jc w:val="both"/>
        <w:rPr>
          <w:sz w:val="24"/>
          <w:szCs w:val="24"/>
        </w:rPr>
      </w:pPr>
      <w:r w:rsidRPr="0019010D">
        <w:rPr>
          <w:sz w:val="24"/>
          <w:szCs w:val="24"/>
        </w:rPr>
        <w:t>Papers of particular interest, published recently, have been highlighted as:</w:t>
      </w:r>
    </w:p>
    <w:p w:rsidR="00C82BFD" w:rsidRPr="0019010D" w:rsidRDefault="00C82BFD" w:rsidP="00C82BFD">
      <w:pPr>
        <w:spacing w:line="240" w:lineRule="auto"/>
        <w:jc w:val="both"/>
        <w:rPr>
          <w:sz w:val="24"/>
          <w:szCs w:val="24"/>
        </w:rPr>
      </w:pPr>
      <w:r w:rsidRPr="0019010D">
        <w:rPr>
          <w:sz w:val="24"/>
          <w:szCs w:val="24"/>
        </w:rPr>
        <w:t>• Of importance</w:t>
      </w:r>
    </w:p>
    <w:p w:rsidR="009475F0" w:rsidRDefault="001F03AA" w:rsidP="001F03AA">
      <w:pPr>
        <w:spacing w:line="240" w:lineRule="auto"/>
        <w:jc w:val="both"/>
        <w:rPr>
          <w:sz w:val="24"/>
          <w:szCs w:val="24"/>
        </w:rPr>
      </w:pPr>
      <w:r>
        <w:rPr>
          <w:sz w:val="24"/>
          <w:szCs w:val="24"/>
        </w:rPr>
        <w:t>•• Of major importance</w:t>
      </w:r>
    </w:p>
    <w:p w:rsidR="001F03AA" w:rsidRPr="001F03AA" w:rsidRDefault="001F03AA" w:rsidP="001F03AA">
      <w:pPr>
        <w:spacing w:line="240" w:lineRule="auto"/>
        <w:jc w:val="both"/>
        <w:rPr>
          <w:sz w:val="24"/>
          <w:szCs w:val="24"/>
        </w:rPr>
      </w:pPr>
    </w:p>
    <w:p w:rsidR="009475F0" w:rsidRDefault="009475F0" w:rsidP="001F2863">
      <w:pPr>
        <w:spacing w:after="0" w:line="240" w:lineRule="auto"/>
        <w:ind w:left="720" w:hanging="720"/>
        <w:rPr>
          <w:noProof/>
        </w:rPr>
      </w:pPr>
      <w:bookmarkStart w:id="1" w:name="_ENREF_1"/>
      <w:r>
        <w:rPr>
          <w:noProof/>
        </w:rPr>
        <w:t>1.</w:t>
      </w:r>
      <w:r w:rsidR="00CD6E46" w:rsidRPr="00CD6E46">
        <w:rPr>
          <w:noProof/>
        </w:rPr>
        <w:t xml:space="preserve"> </w:t>
      </w:r>
      <w:r w:rsidR="00CD6E46">
        <w:rPr>
          <w:noProof/>
        </w:rPr>
        <w:t>•</w:t>
      </w:r>
      <w:r>
        <w:rPr>
          <w:noProof/>
        </w:rPr>
        <w:tab/>
        <w:t xml:space="preserve">Krischer, J.P., K.F. Lynch, D.A. Schatz, et al., </w:t>
      </w:r>
      <w:r w:rsidRPr="00BD072B">
        <w:rPr>
          <w:i/>
          <w:noProof/>
        </w:rPr>
        <w:t>The 6 year incidence of diabetes-associated autoantibodies in genetically at-risk children: the TEDDY study.</w:t>
      </w:r>
      <w:r>
        <w:rPr>
          <w:noProof/>
        </w:rPr>
        <w:t xml:space="preserve"> Diabetologia, 2015. </w:t>
      </w:r>
      <w:r w:rsidRPr="00BD072B">
        <w:rPr>
          <w:b/>
          <w:noProof/>
        </w:rPr>
        <w:t>58</w:t>
      </w:r>
      <w:r>
        <w:rPr>
          <w:noProof/>
        </w:rPr>
        <w:t>(5): p. 980-7.</w:t>
      </w:r>
      <w:bookmarkEnd w:id="1"/>
    </w:p>
    <w:p w:rsidR="00CD6E46" w:rsidRDefault="00CD6E46" w:rsidP="00CD6E46">
      <w:pPr>
        <w:spacing w:after="0" w:line="240" w:lineRule="auto"/>
        <w:ind w:left="720"/>
        <w:rPr>
          <w:noProof/>
        </w:rPr>
      </w:pPr>
      <w:r w:rsidRPr="0019010D">
        <w:rPr>
          <w:noProof/>
        </w:rPr>
        <w:t>Interesting data from the TEDDY study, showing the incidence of autoantibody development over time.</w:t>
      </w:r>
    </w:p>
    <w:p w:rsidR="009475F0" w:rsidRDefault="009475F0" w:rsidP="001F2863">
      <w:pPr>
        <w:spacing w:after="0" w:line="240" w:lineRule="auto"/>
        <w:ind w:left="720" w:hanging="720"/>
        <w:rPr>
          <w:noProof/>
        </w:rPr>
      </w:pPr>
      <w:bookmarkStart w:id="2" w:name="_ENREF_2"/>
      <w:r>
        <w:rPr>
          <w:noProof/>
        </w:rPr>
        <w:t>2.</w:t>
      </w:r>
      <w:r>
        <w:rPr>
          <w:noProof/>
        </w:rPr>
        <w:tab/>
        <w:t xml:space="preserve">Eringsmark Regnell, S. and A. Lernmark, </w:t>
      </w:r>
      <w:r w:rsidRPr="00BD072B">
        <w:rPr>
          <w:i/>
          <w:noProof/>
        </w:rPr>
        <w:t>The environment and the origins of islet autoimmunity and Type 1 diabetes.</w:t>
      </w:r>
      <w:r>
        <w:rPr>
          <w:noProof/>
        </w:rPr>
        <w:t xml:space="preserve"> Diabet Med, 2013. </w:t>
      </w:r>
      <w:r w:rsidRPr="00BD072B">
        <w:rPr>
          <w:b/>
          <w:noProof/>
        </w:rPr>
        <w:t>30</w:t>
      </w:r>
      <w:r>
        <w:rPr>
          <w:noProof/>
        </w:rPr>
        <w:t>(2): p. 155-60.</w:t>
      </w:r>
      <w:bookmarkEnd w:id="2"/>
    </w:p>
    <w:p w:rsidR="009475F0" w:rsidRDefault="009475F0" w:rsidP="001F2863">
      <w:pPr>
        <w:spacing w:after="0" w:line="240" w:lineRule="auto"/>
        <w:ind w:left="720" w:hanging="720"/>
        <w:rPr>
          <w:noProof/>
        </w:rPr>
      </w:pPr>
      <w:bookmarkStart w:id="3" w:name="_ENREF_3"/>
      <w:r>
        <w:rPr>
          <w:noProof/>
        </w:rPr>
        <w:t>3.</w:t>
      </w:r>
      <w:r>
        <w:rPr>
          <w:noProof/>
        </w:rPr>
        <w:tab/>
        <w:t xml:space="preserve">Knip, M. and O. Simell, </w:t>
      </w:r>
      <w:r w:rsidRPr="00BD072B">
        <w:rPr>
          <w:i/>
          <w:noProof/>
        </w:rPr>
        <w:t>Environmental triggers of type 1 diabetes.</w:t>
      </w:r>
      <w:r>
        <w:rPr>
          <w:noProof/>
        </w:rPr>
        <w:t xml:space="preserve"> Cold Spring Harb Perspect Med, 2012. </w:t>
      </w:r>
      <w:r w:rsidRPr="00BD072B">
        <w:rPr>
          <w:b/>
          <w:noProof/>
        </w:rPr>
        <w:t>2</w:t>
      </w:r>
      <w:r>
        <w:rPr>
          <w:noProof/>
        </w:rPr>
        <w:t>(7): p. a007690.</w:t>
      </w:r>
      <w:bookmarkEnd w:id="3"/>
    </w:p>
    <w:p w:rsidR="009475F0" w:rsidRDefault="009475F0" w:rsidP="001F2863">
      <w:pPr>
        <w:spacing w:after="0" w:line="240" w:lineRule="auto"/>
        <w:ind w:left="720" w:hanging="720"/>
        <w:rPr>
          <w:noProof/>
        </w:rPr>
      </w:pPr>
      <w:bookmarkStart w:id="4" w:name="_ENREF_4"/>
      <w:r>
        <w:rPr>
          <w:noProof/>
        </w:rPr>
        <w:t>4.</w:t>
      </w:r>
      <w:r>
        <w:rPr>
          <w:noProof/>
        </w:rPr>
        <w:tab/>
        <w:t xml:space="preserve">Belkaid, Y. and T.W. Hand, </w:t>
      </w:r>
      <w:r w:rsidRPr="00BD072B">
        <w:rPr>
          <w:i/>
          <w:noProof/>
        </w:rPr>
        <w:t>Role of the microbiota in immunity and inflammation.</w:t>
      </w:r>
      <w:r>
        <w:rPr>
          <w:noProof/>
        </w:rPr>
        <w:t xml:space="preserve"> Cell, 2014. </w:t>
      </w:r>
      <w:r w:rsidRPr="00BD072B">
        <w:rPr>
          <w:b/>
          <w:noProof/>
        </w:rPr>
        <w:t>157</w:t>
      </w:r>
      <w:r>
        <w:rPr>
          <w:noProof/>
        </w:rPr>
        <w:t>(1): p. 121-41.</w:t>
      </w:r>
      <w:bookmarkEnd w:id="4"/>
    </w:p>
    <w:p w:rsidR="009475F0" w:rsidRDefault="009475F0" w:rsidP="001F2863">
      <w:pPr>
        <w:spacing w:after="0" w:line="240" w:lineRule="auto"/>
        <w:ind w:left="720" w:hanging="720"/>
        <w:rPr>
          <w:noProof/>
        </w:rPr>
      </w:pPr>
      <w:bookmarkStart w:id="5" w:name="_ENREF_5"/>
      <w:r>
        <w:rPr>
          <w:noProof/>
        </w:rPr>
        <w:t>5.</w:t>
      </w:r>
      <w:r>
        <w:rPr>
          <w:noProof/>
        </w:rPr>
        <w:tab/>
        <w:t xml:space="preserve">Spor, A., O. Koren, and R. Ley, </w:t>
      </w:r>
      <w:r w:rsidRPr="00BD072B">
        <w:rPr>
          <w:i/>
          <w:noProof/>
        </w:rPr>
        <w:t>Unravelling the effects of the environment and host genotype on the gut microbiome.</w:t>
      </w:r>
      <w:r>
        <w:rPr>
          <w:noProof/>
        </w:rPr>
        <w:t xml:space="preserve"> Nat Rev Microbiol, 2011. </w:t>
      </w:r>
      <w:r w:rsidRPr="00BD072B">
        <w:rPr>
          <w:b/>
          <w:noProof/>
        </w:rPr>
        <w:t>9</w:t>
      </w:r>
      <w:r>
        <w:rPr>
          <w:noProof/>
        </w:rPr>
        <w:t>(4): p. 279-90.</w:t>
      </w:r>
      <w:bookmarkEnd w:id="5"/>
    </w:p>
    <w:p w:rsidR="009475F0" w:rsidRDefault="009475F0" w:rsidP="001F2863">
      <w:pPr>
        <w:spacing w:after="0" w:line="240" w:lineRule="auto"/>
        <w:ind w:left="720" w:hanging="720"/>
        <w:rPr>
          <w:noProof/>
        </w:rPr>
      </w:pPr>
      <w:bookmarkStart w:id="6" w:name="_ENREF_6"/>
      <w:r>
        <w:rPr>
          <w:noProof/>
        </w:rPr>
        <w:t>6.</w:t>
      </w:r>
      <w:r w:rsidR="00CD6E46" w:rsidRPr="00CD6E46">
        <w:rPr>
          <w:noProof/>
        </w:rPr>
        <w:t xml:space="preserve"> </w:t>
      </w:r>
      <w:r w:rsidR="00CD6E46">
        <w:rPr>
          <w:noProof/>
        </w:rPr>
        <w:t>•</w:t>
      </w:r>
      <w:r>
        <w:rPr>
          <w:noProof/>
        </w:rPr>
        <w:tab/>
        <w:t xml:space="preserve">Sommer, F. and F. Backhed, </w:t>
      </w:r>
      <w:r w:rsidRPr="00BD072B">
        <w:rPr>
          <w:i/>
          <w:noProof/>
        </w:rPr>
        <w:t>The gut microbiota--masters of host development and physiology.</w:t>
      </w:r>
      <w:r>
        <w:rPr>
          <w:noProof/>
        </w:rPr>
        <w:t xml:space="preserve"> Nat Rev Microbiol, 2013. </w:t>
      </w:r>
      <w:r w:rsidRPr="00BD072B">
        <w:rPr>
          <w:b/>
          <w:noProof/>
        </w:rPr>
        <w:t>11</w:t>
      </w:r>
      <w:r>
        <w:rPr>
          <w:noProof/>
        </w:rPr>
        <w:t>(4): p. 227-38.</w:t>
      </w:r>
      <w:bookmarkEnd w:id="6"/>
    </w:p>
    <w:p w:rsidR="00CD6E46" w:rsidRDefault="00CD6E46" w:rsidP="00CD6E46">
      <w:pPr>
        <w:spacing w:after="0" w:line="240" w:lineRule="auto"/>
        <w:ind w:left="720"/>
        <w:rPr>
          <w:noProof/>
        </w:rPr>
      </w:pPr>
      <w:r w:rsidRPr="0019010D">
        <w:rPr>
          <w:noProof/>
        </w:rPr>
        <w:t xml:space="preserve">Useful review article discussing the role of the gut microbiome in the development of the host immune system, metabolsim and physiology. </w:t>
      </w:r>
    </w:p>
    <w:p w:rsidR="009475F0" w:rsidRDefault="009475F0" w:rsidP="001F2863">
      <w:pPr>
        <w:spacing w:after="0" w:line="240" w:lineRule="auto"/>
        <w:ind w:left="720" w:hanging="720"/>
        <w:rPr>
          <w:noProof/>
        </w:rPr>
      </w:pPr>
      <w:bookmarkStart w:id="7" w:name="_ENREF_7"/>
      <w:r>
        <w:rPr>
          <w:noProof/>
        </w:rPr>
        <w:t>7.</w:t>
      </w:r>
      <w:r>
        <w:rPr>
          <w:noProof/>
        </w:rPr>
        <w:tab/>
        <w:t xml:space="preserve">Brown, C.T., A.G. Davis-Richardson, A. Giongo, et al., </w:t>
      </w:r>
      <w:r w:rsidRPr="00BD072B">
        <w:rPr>
          <w:i/>
          <w:noProof/>
        </w:rPr>
        <w:t>Gut microbiome metagenomics analysis suggests a functional model for the development of autoimmunity for type 1 diabetes.</w:t>
      </w:r>
      <w:r>
        <w:rPr>
          <w:noProof/>
        </w:rPr>
        <w:t xml:space="preserve"> PLoS One, 2011. </w:t>
      </w:r>
      <w:r w:rsidRPr="00BD072B">
        <w:rPr>
          <w:b/>
          <w:noProof/>
        </w:rPr>
        <w:t>6</w:t>
      </w:r>
      <w:r>
        <w:rPr>
          <w:noProof/>
        </w:rPr>
        <w:t>(10): p. e25792.</w:t>
      </w:r>
      <w:bookmarkEnd w:id="7"/>
    </w:p>
    <w:p w:rsidR="009475F0" w:rsidRDefault="009475F0" w:rsidP="001F2863">
      <w:pPr>
        <w:spacing w:after="0" w:line="240" w:lineRule="auto"/>
        <w:ind w:left="720" w:hanging="720"/>
        <w:rPr>
          <w:noProof/>
        </w:rPr>
      </w:pPr>
      <w:bookmarkStart w:id="8" w:name="_ENREF_8"/>
      <w:r>
        <w:rPr>
          <w:noProof/>
        </w:rPr>
        <w:t>8.</w:t>
      </w:r>
      <w:r>
        <w:rPr>
          <w:noProof/>
        </w:rPr>
        <w:tab/>
        <w:t xml:space="preserve">Davis-Richardson, A.G., A.N. Ardissone, R. Dias, et al., </w:t>
      </w:r>
      <w:r w:rsidRPr="00BD072B">
        <w:rPr>
          <w:i/>
          <w:noProof/>
        </w:rPr>
        <w:t>Bacteroides dorei dominates gut microbiome prior to autoimmunity in Finnish children at high risk for type 1 diabetes.</w:t>
      </w:r>
      <w:r>
        <w:rPr>
          <w:noProof/>
        </w:rPr>
        <w:t xml:space="preserve"> Front Microbiol, 2014. </w:t>
      </w:r>
      <w:r w:rsidRPr="00BD072B">
        <w:rPr>
          <w:b/>
          <w:noProof/>
        </w:rPr>
        <w:t>5</w:t>
      </w:r>
      <w:r>
        <w:rPr>
          <w:noProof/>
        </w:rPr>
        <w:t>: p. 678.</w:t>
      </w:r>
      <w:bookmarkEnd w:id="8"/>
    </w:p>
    <w:p w:rsidR="009475F0" w:rsidRDefault="009475F0" w:rsidP="001F2863">
      <w:pPr>
        <w:spacing w:after="0" w:line="240" w:lineRule="auto"/>
        <w:ind w:left="720" w:hanging="720"/>
        <w:rPr>
          <w:noProof/>
        </w:rPr>
      </w:pPr>
      <w:bookmarkStart w:id="9" w:name="_ENREF_9"/>
      <w:r>
        <w:rPr>
          <w:noProof/>
        </w:rPr>
        <w:t>9.</w:t>
      </w:r>
      <w:r>
        <w:rPr>
          <w:noProof/>
        </w:rPr>
        <w:tab/>
        <w:t xml:space="preserve">Endesfelder, D., W. zu Castell, A. Ardissone, et al., </w:t>
      </w:r>
      <w:r w:rsidRPr="00BD072B">
        <w:rPr>
          <w:i/>
          <w:noProof/>
        </w:rPr>
        <w:t>Compromised gut microbiota networks in children with anti-islet cell autoimmunity.</w:t>
      </w:r>
      <w:r>
        <w:rPr>
          <w:noProof/>
        </w:rPr>
        <w:t xml:space="preserve"> Diabetes, 2014. </w:t>
      </w:r>
      <w:r w:rsidRPr="00BD072B">
        <w:rPr>
          <w:b/>
          <w:noProof/>
        </w:rPr>
        <w:t>63</w:t>
      </w:r>
      <w:r>
        <w:rPr>
          <w:noProof/>
        </w:rPr>
        <w:t>(6): p. 2006-14.</w:t>
      </w:r>
      <w:bookmarkEnd w:id="9"/>
    </w:p>
    <w:p w:rsidR="009475F0" w:rsidRDefault="009475F0" w:rsidP="001F2863">
      <w:pPr>
        <w:spacing w:after="0" w:line="240" w:lineRule="auto"/>
        <w:ind w:left="720" w:hanging="720"/>
        <w:rPr>
          <w:noProof/>
        </w:rPr>
      </w:pPr>
      <w:bookmarkStart w:id="10" w:name="_ENREF_10"/>
      <w:r>
        <w:rPr>
          <w:noProof/>
        </w:rPr>
        <w:t>10.</w:t>
      </w:r>
      <w:r>
        <w:rPr>
          <w:noProof/>
        </w:rPr>
        <w:tab/>
        <w:t xml:space="preserve">Giongo, A., K.A. Gano, D.B. Crabb, et al., </w:t>
      </w:r>
      <w:r w:rsidRPr="00BD072B">
        <w:rPr>
          <w:i/>
          <w:noProof/>
        </w:rPr>
        <w:t>Toward defining the autoimmune microbiome for type 1 diabetes.</w:t>
      </w:r>
      <w:r>
        <w:rPr>
          <w:noProof/>
        </w:rPr>
        <w:t xml:space="preserve"> ISME J, 2011. </w:t>
      </w:r>
      <w:r w:rsidRPr="00BD072B">
        <w:rPr>
          <w:b/>
          <w:noProof/>
        </w:rPr>
        <w:t>5</w:t>
      </w:r>
      <w:r>
        <w:rPr>
          <w:noProof/>
        </w:rPr>
        <w:t>(1): p. 82-91.</w:t>
      </w:r>
      <w:bookmarkEnd w:id="10"/>
    </w:p>
    <w:p w:rsidR="009475F0" w:rsidRDefault="009475F0" w:rsidP="001F2863">
      <w:pPr>
        <w:spacing w:after="0" w:line="240" w:lineRule="auto"/>
        <w:ind w:left="720" w:hanging="720"/>
        <w:rPr>
          <w:noProof/>
        </w:rPr>
      </w:pPr>
      <w:bookmarkStart w:id="11" w:name="_ENREF_11"/>
      <w:r>
        <w:rPr>
          <w:noProof/>
        </w:rPr>
        <w:t>11.</w:t>
      </w:r>
      <w:r>
        <w:rPr>
          <w:noProof/>
        </w:rPr>
        <w:tab/>
        <w:t xml:space="preserve">Kostic, A.D., D. Gevers, H. Siljander, et al., </w:t>
      </w:r>
      <w:r w:rsidRPr="00BD072B">
        <w:rPr>
          <w:i/>
          <w:noProof/>
        </w:rPr>
        <w:t>The Dynamics of the Human Infant Gut Microbiome in Development and in Progression toward Type 1 Diabetes.</w:t>
      </w:r>
      <w:r>
        <w:rPr>
          <w:noProof/>
        </w:rPr>
        <w:t xml:space="preserve"> Cell Host Microbe, 2015. </w:t>
      </w:r>
      <w:r w:rsidRPr="00BD072B">
        <w:rPr>
          <w:b/>
          <w:noProof/>
        </w:rPr>
        <w:t>17</w:t>
      </w:r>
      <w:r>
        <w:rPr>
          <w:noProof/>
        </w:rPr>
        <w:t>(2): p. 260-73.</w:t>
      </w:r>
      <w:bookmarkEnd w:id="11"/>
    </w:p>
    <w:p w:rsidR="009475F0" w:rsidRDefault="009475F0" w:rsidP="001F2863">
      <w:pPr>
        <w:spacing w:after="0" w:line="240" w:lineRule="auto"/>
        <w:ind w:left="720" w:hanging="720"/>
        <w:rPr>
          <w:noProof/>
        </w:rPr>
      </w:pPr>
      <w:bookmarkStart w:id="12" w:name="_ENREF_12"/>
      <w:r>
        <w:rPr>
          <w:noProof/>
        </w:rPr>
        <w:t>12.</w:t>
      </w:r>
      <w:r>
        <w:rPr>
          <w:noProof/>
        </w:rPr>
        <w:tab/>
        <w:t xml:space="preserve">Murri, M., I. Leiva, J.M. Gomez-Zumaquero, et al., </w:t>
      </w:r>
      <w:r w:rsidRPr="00BD072B">
        <w:rPr>
          <w:i/>
          <w:noProof/>
        </w:rPr>
        <w:t>Gut microbiota in children with type 1 diabetes differs from that in healthy children: a case-control study.</w:t>
      </w:r>
      <w:r>
        <w:rPr>
          <w:noProof/>
        </w:rPr>
        <w:t xml:space="preserve"> BMC Med, 2013. </w:t>
      </w:r>
      <w:r w:rsidRPr="00BD072B">
        <w:rPr>
          <w:b/>
          <w:noProof/>
        </w:rPr>
        <w:t>11</w:t>
      </w:r>
      <w:r>
        <w:rPr>
          <w:noProof/>
        </w:rPr>
        <w:t>: p. 46.</w:t>
      </w:r>
      <w:bookmarkEnd w:id="12"/>
    </w:p>
    <w:p w:rsidR="009475F0" w:rsidRDefault="009475F0" w:rsidP="001F2863">
      <w:pPr>
        <w:spacing w:after="0" w:line="240" w:lineRule="auto"/>
        <w:ind w:left="720" w:hanging="720"/>
        <w:rPr>
          <w:noProof/>
        </w:rPr>
      </w:pPr>
      <w:bookmarkStart w:id="13" w:name="_ENREF_13"/>
      <w:r>
        <w:rPr>
          <w:noProof/>
        </w:rPr>
        <w:t>13.</w:t>
      </w:r>
      <w:r>
        <w:rPr>
          <w:noProof/>
        </w:rPr>
        <w:tab/>
        <w:t xml:space="preserve">Mejia-Leon, M.E., J.F. Petrosino, N.J. Ajami, et al., </w:t>
      </w:r>
      <w:r w:rsidRPr="00BD072B">
        <w:rPr>
          <w:i/>
          <w:noProof/>
        </w:rPr>
        <w:t>Fecal microbiota imbalance in Mexican children with type 1 diabetes.</w:t>
      </w:r>
      <w:r>
        <w:rPr>
          <w:noProof/>
        </w:rPr>
        <w:t xml:space="preserve"> Sci Rep, 2014. </w:t>
      </w:r>
      <w:r w:rsidRPr="00BD072B">
        <w:rPr>
          <w:b/>
          <w:noProof/>
        </w:rPr>
        <w:t>4</w:t>
      </w:r>
      <w:r>
        <w:rPr>
          <w:noProof/>
        </w:rPr>
        <w:t>: p. 3814.</w:t>
      </w:r>
      <w:bookmarkEnd w:id="13"/>
    </w:p>
    <w:p w:rsidR="009475F0" w:rsidRDefault="009475F0" w:rsidP="001F2863">
      <w:pPr>
        <w:spacing w:after="0" w:line="240" w:lineRule="auto"/>
        <w:ind w:left="720" w:hanging="720"/>
        <w:rPr>
          <w:noProof/>
        </w:rPr>
      </w:pPr>
      <w:bookmarkStart w:id="14" w:name="_ENREF_14"/>
      <w:r>
        <w:rPr>
          <w:noProof/>
        </w:rPr>
        <w:t>14.</w:t>
      </w:r>
      <w:r>
        <w:rPr>
          <w:noProof/>
        </w:rPr>
        <w:tab/>
        <w:t xml:space="preserve">de Goffau, M.C., K. Luopajarvi, M. Knip, et al., </w:t>
      </w:r>
      <w:r w:rsidRPr="00BD072B">
        <w:rPr>
          <w:i/>
          <w:noProof/>
        </w:rPr>
        <w:t>Fecal microbiota composition differs between children with beta-cell autoimmunity and those without.</w:t>
      </w:r>
      <w:r>
        <w:rPr>
          <w:noProof/>
        </w:rPr>
        <w:t xml:space="preserve"> Diabetes, 2013. </w:t>
      </w:r>
      <w:r w:rsidRPr="00BD072B">
        <w:rPr>
          <w:b/>
          <w:noProof/>
        </w:rPr>
        <w:t>62</w:t>
      </w:r>
      <w:r>
        <w:rPr>
          <w:noProof/>
        </w:rPr>
        <w:t>(4): p. 1238-44.</w:t>
      </w:r>
      <w:bookmarkEnd w:id="14"/>
    </w:p>
    <w:p w:rsidR="009475F0" w:rsidRDefault="009475F0" w:rsidP="001F2863">
      <w:pPr>
        <w:spacing w:after="0" w:line="240" w:lineRule="auto"/>
        <w:ind w:left="720" w:hanging="720"/>
        <w:rPr>
          <w:noProof/>
        </w:rPr>
      </w:pPr>
      <w:bookmarkStart w:id="15" w:name="_ENREF_15"/>
      <w:r>
        <w:rPr>
          <w:noProof/>
        </w:rPr>
        <w:t>15.</w:t>
      </w:r>
      <w:r>
        <w:rPr>
          <w:noProof/>
        </w:rPr>
        <w:tab/>
        <w:t xml:space="preserve">Alkanani, A.K., N. Hara, P.A. Gottlieb, et al., </w:t>
      </w:r>
      <w:r w:rsidRPr="00BD072B">
        <w:rPr>
          <w:i/>
          <w:noProof/>
        </w:rPr>
        <w:t>Alterations in Intestinal Microbiota Correlate With Susceptibility to Type 1 Diabetes.</w:t>
      </w:r>
      <w:r>
        <w:rPr>
          <w:noProof/>
        </w:rPr>
        <w:t xml:space="preserve"> Diabetes, 2015. </w:t>
      </w:r>
      <w:r w:rsidRPr="00BD072B">
        <w:rPr>
          <w:b/>
          <w:noProof/>
        </w:rPr>
        <w:t>64</w:t>
      </w:r>
      <w:r>
        <w:rPr>
          <w:noProof/>
        </w:rPr>
        <w:t>(10): p. 3510-20.</w:t>
      </w:r>
      <w:bookmarkEnd w:id="15"/>
    </w:p>
    <w:p w:rsidR="009475F0" w:rsidRDefault="009475F0" w:rsidP="001F2863">
      <w:pPr>
        <w:spacing w:after="0" w:line="240" w:lineRule="auto"/>
        <w:ind w:left="720" w:hanging="720"/>
        <w:rPr>
          <w:noProof/>
        </w:rPr>
      </w:pPr>
      <w:bookmarkStart w:id="16" w:name="_ENREF_16"/>
      <w:r>
        <w:rPr>
          <w:noProof/>
        </w:rPr>
        <w:t>16.</w:t>
      </w:r>
      <w:r>
        <w:rPr>
          <w:noProof/>
        </w:rPr>
        <w:tab/>
        <w:t xml:space="preserve">Adlerberth, I. and A.E. Wold, </w:t>
      </w:r>
      <w:r w:rsidRPr="00BD072B">
        <w:rPr>
          <w:i/>
          <w:noProof/>
        </w:rPr>
        <w:t>Establishment of the gut microbiota in Western infants.</w:t>
      </w:r>
      <w:r>
        <w:rPr>
          <w:noProof/>
        </w:rPr>
        <w:t xml:space="preserve"> Acta Paediatr, 2009. </w:t>
      </w:r>
      <w:r w:rsidRPr="00BD072B">
        <w:rPr>
          <w:b/>
          <w:noProof/>
        </w:rPr>
        <w:t>98</w:t>
      </w:r>
      <w:r>
        <w:rPr>
          <w:noProof/>
        </w:rPr>
        <w:t>(2): p. 229-38.</w:t>
      </w:r>
      <w:bookmarkEnd w:id="16"/>
    </w:p>
    <w:p w:rsidR="009475F0" w:rsidRDefault="009475F0" w:rsidP="001F2863">
      <w:pPr>
        <w:spacing w:after="0" w:line="240" w:lineRule="auto"/>
        <w:ind w:left="720" w:hanging="720"/>
        <w:rPr>
          <w:noProof/>
        </w:rPr>
      </w:pPr>
      <w:bookmarkStart w:id="17" w:name="_ENREF_17"/>
      <w:r>
        <w:rPr>
          <w:noProof/>
        </w:rPr>
        <w:t>17.</w:t>
      </w:r>
      <w:r>
        <w:rPr>
          <w:noProof/>
        </w:rPr>
        <w:tab/>
        <w:t xml:space="preserve">Koenig, J.E., A. Spor, N. Scalfone, et al., </w:t>
      </w:r>
      <w:r w:rsidRPr="00BD072B">
        <w:rPr>
          <w:i/>
          <w:noProof/>
        </w:rPr>
        <w:t>Succession of microbial consortia in the developing infant gut microbiome.</w:t>
      </w:r>
      <w:r>
        <w:rPr>
          <w:noProof/>
        </w:rPr>
        <w:t xml:space="preserve"> Proc Natl Acad Sci U S A, 2011. </w:t>
      </w:r>
      <w:r w:rsidRPr="00BD072B">
        <w:rPr>
          <w:b/>
          <w:noProof/>
        </w:rPr>
        <w:t>108 Suppl 1</w:t>
      </w:r>
      <w:r>
        <w:rPr>
          <w:noProof/>
        </w:rPr>
        <w:t>: p. 4578-85.</w:t>
      </w:r>
      <w:bookmarkEnd w:id="17"/>
    </w:p>
    <w:p w:rsidR="009475F0" w:rsidRDefault="009475F0" w:rsidP="001F2863">
      <w:pPr>
        <w:spacing w:after="0" w:line="240" w:lineRule="auto"/>
        <w:ind w:left="720" w:hanging="720"/>
        <w:rPr>
          <w:noProof/>
        </w:rPr>
      </w:pPr>
      <w:bookmarkStart w:id="18" w:name="_ENREF_18"/>
      <w:r>
        <w:rPr>
          <w:noProof/>
        </w:rPr>
        <w:t>18.</w:t>
      </w:r>
      <w:r>
        <w:rPr>
          <w:noProof/>
        </w:rPr>
        <w:tab/>
        <w:t xml:space="preserve">Palmer, C., E.M. Bik, D.B. DiGiulio, et al., </w:t>
      </w:r>
      <w:r w:rsidRPr="00BD072B">
        <w:rPr>
          <w:i/>
          <w:noProof/>
        </w:rPr>
        <w:t>Development of the human infant intestinal microbiota.</w:t>
      </w:r>
      <w:r>
        <w:rPr>
          <w:noProof/>
        </w:rPr>
        <w:t xml:space="preserve"> PLoS Biol, 2007. </w:t>
      </w:r>
      <w:r w:rsidRPr="00BD072B">
        <w:rPr>
          <w:b/>
          <w:noProof/>
        </w:rPr>
        <w:t>5</w:t>
      </w:r>
      <w:r>
        <w:rPr>
          <w:noProof/>
        </w:rPr>
        <w:t>(7): p. e177.</w:t>
      </w:r>
      <w:bookmarkEnd w:id="18"/>
    </w:p>
    <w:p w:rsidR="009475F0" w:rsidRDefault="009475F0" w:rsidP="001F2863">
      <w:pPr>
        <w:spacing w:after="0" w:line="240" w:lineRule="auto"/>
        <w:ind w:left="720" w:hanging="720"/>
        <w:rPr>
          <w:noProof/>
        </w:rPr>
      </w:pPr>
      <w:bookmarkStart w:id="19" w:name="_ENREF_19"/>
      <w:r>
        <w:rPr>
          <w:noProof/>
        </w:rPr>
        <w:t>19.</w:t>
      </w:r>
      <w:r>
        <w:rPr>
          <w:noProof/>
        </w:rPr>
        <w:tab/>
        <w:t xml:space="preserve">Aagaard, K., J. Ma, K.M. Antony, et al., </w:t>
      </w:r>
      <w:r w:rsidRPr="00BD072B">
        <w:rPr>
          <w:i/>
          <w:noProof/>
        </w:rPr>
        <w:t>The placenta harbors a unique microbiome.</w:t>
      </w:r>
      <w:r>
        <w:rPr>
          <w:noProof/>
        </w:rPr>
        <w:t xml:space="preserve"> Sci Transl Med, 2014. </w:t>
      </w:r>
      <w:r w:rsidRPr="00BD072B">
        <w:rPr>
          <w:b/>
          <w:noProof/>
        </w:rPr>
        <w:t>6</w:t>
      </w:r>
      <w:r>
        <w:rPr>
          <w:noProof/>
        </w:rPr>
        <w:t>(237): p. 237ra65.</w:t>
      </w:r>
      <w:bookmarkEnd w:id="19"/>
    </w:p>
    <w:p w:rsidR="009475F0" w:rsidRDefault="009475F0" w:rsidP="001F2863">
      <w:pPr>
        <w:spacing w:after="0" w:line="240" w:lineRule="auto"/>
        <w:ind w:left="720" w:hanging="720"/>
        <w:rPr>
          <w:noProof/>
        </w:rPr>
      </w:pPr>
      <w:bookmarkStart w:id="20" w:name="_ENREF_20"/>
      <w:r>
        <w:rPr>
          <w:noProof/>
        </w:rPr>
        <w:lastRenderedPageBreak/>
        <w:t>20.</w:t>
      </w:r>
      <w:r>
        <w:rPr>
          <w:noProof/>
        </w:rPr>
        <w:tab/>
        <w:t xml:space="preserve">Dominguez-Bello, M.G., E.K. Costello, M. Contreras, et al., </w:t>
      </w:r>
      <w:r w:rsidRPr="00BD072B">
        <w:rPr>
          <w:i/>
          <w:noProof/>
        </w:rPr>
        <w:t>Delivery mode shapes the acquisition and structure of the initial microbiota across multiple body habitats in newborns.</w:t>
      </w:r>
      <w:r>
        <w:rPr>
          <w:noProof/>
        </w:rPr>
        <w:t xml:space="preserve"> Proc Natl Acad Sci U S A, 2010. </w:t>
      </w:r>
      <w:r w:rsidRPr="00BD072B">
        <w:rPr>
          <w:b/>
          <w:noProof/>
        </w:rPr>
        <w:t>107</w:t>
      </w:r>
      <w:r>
        <w:rPr>
          <w:noProof/>
        </w:rPr>
        <w:t>(26): p. 11971-5.</w:t>
      </w:r>
      <w:bookmarkEnd w:id="20"/>
    </w:p>
    <w:p w:rsidR="009475F0" w:rsidRDefault="009475F0" w:rsidP="001F2863">
      <w:pPr>
        <w:spacing w:after="0" w:line="240" w:lineRule="auto"/>
        <w:ind w:left="720" w:hanging="720"/>
        <w:rPr>
          <w:noProof/>
        </w:rPr>
      </w:pPr>
      <w:bookmarkStart w:id="21" w:name="_ENREF_21"/>
      <w:r>
        <w:rPr>
          <w:noProof/>
        </w:rPr>
        <w:t>21.</w:t>
      </w:r>
      <w:r>
        <w:rPr>
          <w:noProof/>
        </w:rPr>
        <w:tab/>
        <w:t xml:space="preserve">Martin, R., S. Langa, C. Reviriego, et al., </w:t>
      </w:r>
      <w:r w:rsidRPr="00BD072B">
        <w:rPr>
          <w:i/>
          <w:noProof/>
        </w:rPr>
        <w:t>Human milk is a source of lactic acid bacteria for the infant gut.</w:t>
      </w:r>
      <w:r>
        <w:rPr>
          <w:noProof/>
        </w:rPr>
        <w:t xml:space="preserve"> J Pediatr, 2003. </w:t>
      </w:r>
      <w:r w:rsidRPr="00BD072B">
        <w:rPr>
          <w:b/>
          <w:noProof/>
        </w:rPr>
        <w:t>143</w:t>
      </w:r>
      <w:r>
        <w:rPr>
          <w:noProof/>
        </w:rPr>
        <w:t>(6): p. 754-8.</w:t>
      </w:r>
      <w:bookmarkEnd w:id="21"/>
    </w:p>
    <w:p w:rsidR="009475F0" w:rsidRDefault="009475F0" w:rsidP="001F2863">
      <w:pPr>
        <w:spacing w:after="0" w:line="240" w:lineRule="auto"/>
        <w:ind w:left="720" w:hanging="720"/>
        <w:rPr>
          <w:noProof/>
        </w:rPr>
      </w:pPr>
      <w:bookmarkStart w:id="22" w:name="_ENREF_22"/>
      <w:r>
        <w:rPr>
          <w:noProof/>
        </w:rPr>
        <w:t>22.</w:t>
      </w:r>
      <w:r>
        <w:rPr>
          <w:noProof/>
        </w:rPr>
        <w:tab/>
        <w:t xml:space="preserve">Kawada, M., K. Okuzumi, S. Hitomi, et al., </w:t>
      </w:r>
      <w:r w:rsidRPr="00BD072B">
        <w:rPr>
          <w:i/>
          <w:noProof/>
        </w:rPr>
        <w:t>Transmission of Staphylococcus aureus between healthy, lactating mothers and their infants by breastfeeding.</w:t>
      </w:r>
      <w:r>
        <w:rPr>
          <w:noProof/>
        </w:rPr>
        <w:t xml:space="preserve"> J Hum Lact, 2003. </w:t>
      </w:r>
      <w:r w:rsidRPr="00BD072B">
        <w:rPr>
          <w:b/>
          <w:noProof/>
        </w:rPr>
        <w:t>19</w:t>
      </w:r>
      <w:r>
        <w:rPr>
          <w:noProof/>
        </w:rPr>
        <w:t>(4): p. 411-7.</w:t>
      </w:r>
      <w:bookmarkEnd w:id="22"/>
    </w:p>
    <w:p w:rsidR="009475F0" w:rsidRDefault="009475F0" w:rsidP="001F2863">
      <w:pPr>
        <w:spacing w:after="0" w:line="240" w:lineRule="auto"/>
        <w:ind w:left="720" w:hanging="720"/>
        <w:rPr>
          <w:noProof/>
        </w:rPr>
      </w:pPr>
      <w:bookmarkStart w:id="23" w:name="_ENREF_23"/>
      <w:r>
        <w:rPr>
          <w:noProof/>
        </w:rPr>
        <w:t>23.</w:t>
      </w:r>
      <w:r>
        <w:rPr>
          <w:noProof/>
        </w:rPr>
        <w:tab/>
        <w:t xml:space="preserve">Gronlund, M.M., O.P. Lehtonen, E. Eerola, et al., </w:t>
      </w:r>
      <w:r w:rsidRPr="00BD072B">
        <w:rPr>
          <w:i/>
          <w:noProof/>
        </w:rPr>
        <w:t>Fecal microflora in healthy infants born by different methods of delivery: permanent changes in intestinal flora after cesarean delivery.</w:t>
      </w:r>
      <w:r>
        <w:rPr>
          <w:noProof/>
        </w:rPr>
        <w:t xml:space="preserve"> J Pediatr Gastroenterol Nutr, 1999. </w:t>
      </w:r>
      <w:r w:rsidRPr="00BD072B">
        <w:rPr>
          <w:b/>
          <w:noProof/>
        </w:rPr>
        <w:t>28</w:t>
      </w:r>
      <w:r>
        <w:rPr>
          <w:noProof/>
        </w:rPr>
        <w:t>(1): p. 19-25.</w:t>
      </w:r>
      <w:bookmarkEnd w:id="23"/>
    </w:p>
    <w:p w:rsidR="009475F0" w:rsidRDefault="009475F0" w:rsidP="001F2863">
      <w:pPr>
        <w:spacing w:after="0" w:line="240" w:lineRule="auto"/>
        <w:ind w:left="720" w:hanging="720"/>
        <w:rPr>
          <w:noProof/>
        </w:rPr>
      </w:pPr>
      <w:bookmarkStart w:id="24" w:name="_ENREF_24"/>
      <w:r>
        <w:rPr>
          <w:noProof/>
        </w:rPr>
        <w:t>24.</w:t>
      </w:r>
      <w:r>
        <w:rPr>
          <w:noProof/>
        </w:rPr>
        <w:tab/>
        <w:t xml:space="preserve">Lara-Villoslada, F., M. Olivares, S. Sierra, et al., </w:t>
      </w:r>
      <w:r w:rsidRPr="00BD072B">
        <w:rPr>
          <w:i/>
          <w:noProof/>
        </w:rPr>
        <w:t>Beneficial effects of probiotic bacteria isolated from breast milk.</w:t>
      </w:r>
      <w:r>
        <w:rPr>
          <w:noProof/>
        </w:rPr>
        <w:t xml:space="preserve"> Br J Nutr, 2007. </w:t>
      </w:r>
      <w:r w:rsidRPr="00BD072B">
        <w:rPr>
          <w:b/>
          <w:noProof/>
        </w:rPr>
        <w:t>98 Suppl 1</w:t>
      </w:r>
      <w:r>
        <w:rPr>
          <w:noProof/>
        </w:rPr>
        <w:t>: p. S96-100.</w:t>
      </w:r>
      <w:bookmarkEnd w:id="24"/>
    </w:p>
    <w:p w:rsidR="009475F0" w:rsidRDefault="009475F0" w:rsidP="001F2863">
      <w:pPr>
        <w:spacing w:after="0" w:line="240" w:lineRule="auto"/>
        <w:ind w:left="720" w:hanging="720"/>
        <w:rPr>
          <w:noProof/>
        </w:rPr>
      </w:pPr>
      <w:bookmarkStart w:id="25" w:name="_ENREF_25"/>
      <w:r>
        <w:rPr>
          <w:noProof/>
        </w:rPr>
        <w:t>25.</w:t>
      </w:r>
      <w:r>
        <w:rPr>
          <w:noProof/>
        </w:rPr>
        <w:tab/>
        <w:t xml:space="preserve">Harmsen, H.J., A.C. Wildeboer-Veloo, G.C. Raangs, et al., </w:t>
      </w:r>
      <w:r w:rsidRPr="00BD072B">
        <w:rPr>
          <w:i/>
          <w:noProof/>
        </w:rPr>
        <w:t>Analysis of intestinal flora development in breast-fed and formula-fed infants by using molecular identification and detection methods.</w:t>
      </w:r>
      <w:r>
        <w:rPr>
          <w:noProof/>
        </w:rPr>
        <w:t xml:space="preserve"> J Pediatr Gastroenterol Nutr, 2000. </w:t>
      </w:r>
      <w:r w:rsidRPr="00BD072B">
        <w:rPr>
          <w:b/>
          <w:noProof/>
        </w:rPr>
        <w:t>30</w:t>
      </w:r>
      <w:r>
        <w:rPr>
          <w:noProof/>
        </w:rPr>
        <w:t>(1): p. 61-7.</w:t>
      </w:r>
      <w:bookmarkEnd w:id="25"/>
    </w:p>
    <w:p w:rsidR="009475F0" w:rsidRDefault="009475F0" w:rsidP="001F2863">
      <w:pPr>
        <w:spacing w:after="0" w:line="240" w:lineRule="auto"/>
        <w:ind w:left="720" w:hanging="720"/>
        <w:rPr>
          <w:noProof/>
        </w:rPr>
      </w:pPr>
      <w:bookmarkStart w:id="26" w:name="_ENREF_26"/>
      <w:r>
        <w:rPr>
          <w:noProof/>
        </w:rPr>
        <w:t>26.</w:t>
      </w:r>
      <w:r>
        <w:rPr>
          <w:noProof/>
        </w:rPr>
        <w:tab/>
        <w:t xml:space="preserve">Turroni, F., C. Peano, D.A. Pass, et al., </w:t>
      </w:r>
      <w:r w:rsidRPr="00BD072B">
        <w:rPr>
          <w:i/>
          <w:noProof/>
        </w:rPr>
        <w:t>Diversity of bifidobacteria within the infant gut microbiota.</w:t>
      </w:r>
      <w:r>
        <w:rPr>
          <w:noProof/>
        </w:rPr>
        <w:t xml:space="preserve"> PLoS One, 2012. </w:t>
      </w:r>
      <w:r w:rsidRPr="00BD072B">
        <w:rPr>
          <w:b/>
          <w:noProof/>
        </w:rPr>
        <w:t>7</w:t>
      </w:r>
      <w:r>
        <w:rPr>
          <w:noProof/>
        </w:rPr>
        <w:t>(5): p. e36957.</w:t>
      </w:r>
      <w:bookmarkEnd w:id="26"/>
    </w:p>
    <w:p w:rsidR="009475F0" w:rsidRDefault="009475F0" w:rsidP="001F2863">
      <w:pPr>
        <w:spacing w:after="0" w:line="240" w:lineRule="auto"/>
        <w:ind w:left="720" w:hanging="720"/>
        <w:rPr>
          <w:noProof/>
        </w:rPr>
      </w:pPr>
      <w:bookmarkStart w:id="27" w:name="_ENREF_27"/>
      <w:r>
        <w:rPr>
          <w:noProof/>
        </w:rPr>
        <w:t>27.</w:t>
      </w:r>
      <w:r>
        <w:rPr>
          <w:noProof/>
        </w:rPr>
        <w:tab/>
        <w:t xml:space="preserve">Bergstrom, A., T.H. Skov, M.I. Bahl, et al., </w:t>
      </w:r>
      <w:r w:rsidRPr="00BD072B">
        <w:rPr>
          <w:i/>
          <w:noProof/>
        </w:rPr>
        <w:t>Establishment of intestinal microbiota during early life: a longitudinal, explorative study of a large cohort of Danish infants.</w:t>
      </w:r>
      <w:r>
        <w:rPr>
          <w:noProof/>
        </w:rPr>
        <w:t xml:space="preserve"> Appl Environ Microbiol, 2014. </w:t>
      </w:r>
      <w:r w:rsidRPr="00BD072B">
        <w:rPr>
          <w:b/>
          <w:noProof/>
        </w:rPr>
        <w:t>80</w:t>
      </w:r>
      <w:r>
        <w:rPr>
          <w:noProof/>
        </w:rPr>
        <w:t>(9): p. 2889-900.</w:t>
      </w:r>
      <w:bookmarkEnd w:id="27"/>
    </w:p>
    <w:p w:rsidR="009475F0" w:rsidRDefault="009475F0" w:rsidP="001F2863">
      <w:pPr>
        <w:spacing w:after="0" w:line="240" w:lineRule="auto"/>
        <w:ind w:left="720" w:hanging="720"/>
        <w:rPr>
          <w:noProof/>
        </w:rPr>
      </w:pPr>
      <w:bookmarkStart w:id="28" w:name="_ENREF_28"/>
      <w:r>
        <w:rPr>
          <w:noProof/>
        </w:rPr>
        <w:t>28.</w:t>
      </w:r>
      <w:r>
        <w:rPr>
          <w:noProof/>
        </w:rPr>
        <w:tab/>
        <w:t xml:space="preserve">Marques, T.M., R. Wall, R.P. Ross, et al., </w:t>
      </w:r>
      <w:r w:rsidRPr="00BD072B">
        <w:rPr>
          <w:i/>
          <w:noProof/>
        </w:rPr>
        <w:t>Programming infant gut microbiota: influence of dietary and environmental factors.</w:t>
      </w:r>
      <w:r>
        <w:rPr>
          <w:noProof/>
        </w:rPr>
        <w:t xml:space="preserve"> Curr Opin Biotechnol, 2010. </w:t>
      </w:r>
      <w:r w:rsidRPr="00BD072B">
        <w:rPr>
          <w:b/>
          <w:noProof/>
        </w:rPr>
        <w:t>21</w:t>
      </w:r>
      <w:r>
        <w:rPr>
          <w:noProof/>
        </w:rPr>
        <w:t>(2): p. 149-56.</w:t>
      </w:r>
      <w:bookmarkEnd w:id="28"/>
    </w:p>
    <w:p w:rsidR="009475F0" w:rsidRDefault="009475F0" w:rsidP="001F2863">
      <w:pPr>
        <w:spacing w:after="0" w:line="240" w:lineRule="auto"/>
        <w:ind w:left="720" w:hanging="720"/>
        <w:rPr>
          <w:noProof/>
        </w:rPr>
      </w:pPr>
      <w:bookmarkStart w:id="29" w:name="_ENREF_29"/>
      <w:r>
        <w:rPr>
          <w:noProof/>
        </w:rPr>
        <w:t>29.</w:t>
      </w:r>
      <w:r>
        <w:rPr>
          <w:noProof/>
        </w:rPr>
        <w:tab/>
        <w:t xml:space="preserve">Boehm, G. and G. Moro, </w:t>
      </w:r>
      <w:r w:rsidRPr="00BD072B">
        <w:rPr>
          <w:i/>
          <w:noProof/>
        </w:rPr>
        <w:t>Structural and functional aspects of prebiotics used in infant nutrition.</w:t>
      </w:r>
      <w:r>
        <w:rPr>
          <w:noProof/>
        </w:rPr>
        <w:t xml:space="preserve"> J Nutr, 2008. </w:t>
      </w:r>
      <w:r w:rsidRPr="00BD072B">
        <w:rPr>
          <w:b/>
          <w:noProof/>
        </w:rPr>
        <w:t>138</w:t>
      </w:r>
      <w:r>
        <w:rPr>
          <w:noProof/>
        </w:rPr>
        <w:t>(9): p. 1818S-1828S.</w:t>
      </w:r>
      <w:bookmarkEnd w:id="29"/>
    </w:p>
    <w:p w:rsidR="009475F0" w:rsidRDefault="009475F0" w:rsidP="001F2863">
      <w:pPr>
        <w:spacing w:after="0" w:line="240" w:lineRule="auto"/>
        <w:ind w:left="720" w:hanging="720"/>
        <w:rPr>
          <w:noProof/>
        </w:rPr>
      </w:pPr>
      <w:bookmarkStart w:id="30" w:name="_ENREF_30"/>
      <w:r>
        <w:rPr>
          <w:noProof/>
        </w:rPr>
        <w:t>30.</w:t>
      </w:r>
      <w:r>
        <w:rPr>
          <w:noProof/>
        </w:rPr>
        <w:tab/>
        <w:t xml:space="preserve">Oozeer, R., K. van Limpt, T. Ludwig, et al., </w:t>
      </w:r>
      <w:r w:rsidRPr="00BD072B">
        <w:rPr>
          <w:i/>
          <w:noProof/>
        </w:rPr>
        <w:t>Intestinal microbiology in early life: specific prebiotics can have similar functionalities as human-milk oligosaccharides.</w:t>
      </w:r>
      <w:r>
        <w:rPr>
          <w:noProof/>
        </w:rPr>
        <w:t xml:space="preserve"> Am J Clin Nutr, 2013. </w:t>
      </w:r>
      <w:r w:rsidRPr="00BD072B">
        <w:rPr>
          <w:b/>
          <w:noProof/>
        </w:rPr>
        <w:t>98</w:t>
      </w:r>
      <w:r>
        <w:rPr>
          <w:noProof/>
        </w:rPr>
        <w:t>(2): p. 561S-71S.</w:t>
      </w:r>
      <w:bookmarkEnd w:id="30"/>
    </w:p>
    <w:p w:rsidR="009475F0" w:rsidRDefault="009475F0" w:rsidP="001F2863">
      <w:pPr>
        <w:spacing w:after="0" w:line="240" w:lineRule="auto"/>
        <w:ind w:left="720" w:hanging="720"/>
        <w:rPr>
          <w:noProof/>
        </w:rPr>
      </w:pPr>
      <w:bookmarkStart w:id="31" w:name="_ENREF_31"/>
      <w:r>
        <w:rPr>
          <w:noProof/>
        </w:rPr>
        <w:t>31.</w:t>
      </w:r>
      <w:r>
        <w:rPr>
          <w:noProof/>
        </w:rPr>
        <w:tab/>
        <w:t xml:space="preserve">Penders, J., C. Thijs, C. Vink, et al., </w:t>
      </w:r>
      <w:r w:rsidRPr="00BD072B">
        <w:rPr>
          <w:i/>
          <w:noProof/>
        </w:rPr>
        <w:t>Factors influencing the composition of the intestinal microbiota in early infancy.</w:t>
      </w:r>
      <w:r>
        <w:rPr>
          <w:noProof/>
        </w:rPr>
        <w:t xml:space="preserve"> Pediatrics, 2006. </w:t>
      </w:r>
      <w:r w:rsidRPr="00BD072B">
        <w:rPr>
          <w:b/>
          <w:noProof/>
        </w:rPr>
        <w:t>118</w:t>
      </w:r>
      <w:r>
        <w:rPr>
          <w:noProof/>
        </w:rPr>
        <w:t>(2): p. 511-21.</w:t>
      </w:r>
      <w:bookmarkEnd w:id="31"/>
    </w:p>
    <w:p w:rsidR="009475F0" w:rsidRDefault="009475F0" w:rsidP="001F2863">
      <w:pPr>
        <w:spacing w:after="0" w:line="240" w:lineRule="auto"/>
        <w:ind w:left="720" w:hanging="720"/>
        <w:rPr>
          <w:noProof/>
        </w:rPr>
      </w:pPr>
      <w:bookmarkStart w:id="32" w:name="_ENREF_32"/>
      <w:r>
        <w:rPr>
          <w:noProof/>
        </w:rPr>
        <w:t>32.</w:t>
      </w:r>
      <w:r w:rsidR="00CD6E46" w:rsidRPr="00CD6E46">
        <w:rPr>
          <w:noProof/>
        </w:rPr>
        <w:t xml:space="preserve"> </w:t>
      </w:r>
      <w:r w:rsidR="00CD6E46">
        <w:rPr>
          <w:noProof/>
        </w:rPr>
        <w:t>••</w:t>
      </w:r>
      <w:r>
        <w:rPr>
          <w:noProof/>
        </w:rPr>
        <w:tab/>
        <w:t xml:space="preserve">Koropatkin, N.M., E.A. Cameron, and E.C. Martens, </w:t>
      </w:r>
      <w:r w:rsidRPr="00BD072B">
        <w:rPr>
          <w:i/>
          <w:noProof/>
        </w:rPr>
        <w:t>How glycan metabolism shapes the human gut microbiota.</w:t>
      </w:r>
      <w:r>
        <w:rPr>
          <w:noProof/>
        </w:rPr>
        <w:t xml:space="preserve"> Nat Rev Microbiol, 2012. </w:t>
      </w:r>
      <w:r w:rsidRPr="00BD072B">
        <w:rPr>
          <w:b/>
          <w:noProof/>
        </w:rPr>
        <w:t>10</w:t>
      </w:r>
      <w:r>
        <w:rPr>
          <w:noProof/>
        </w:rPr>
        <w:t>(5): p. 323-35.</w:t>
      </w:r>
      <w:bookmarkEnd w:id="32"/>
    </w:p>
    <w:p w:rsidR="00CD6E46" w:rsidRDefault="00CD6E46" w:rsidP="00CD6E46">
      <w:pPr>
        <w:spacing w:after="0" w:line="240" w:lineRule="auto"/>
        <w:ind w:left="720"/>
        <w:rPr>
          <w:noProof/>
        </w:rPr>
      </w:pPr>
      <w:r w:rsidRPr="0019010D">
        <w:rPr>
          <w:noProof/>
        </w:rPr>
        <w:t>This is an Important review article that discusses several factors how differences in glycan availability influence the gut microbial community.</w:t>
      </w:r>
    </w:p>
    <w:p w:rsidR="009475F0" w:rsidRDefault="009475F0" w:rsidP="001F2863">
      <w:pPr>
        <w:spacing w:after="0" w:line="240" w:lineRule="auto"/>
        <w:ind w:left="720" w:hanging="720"/>
        <w:rPr>
          <w:noProof/>
        </w:rPr>
      </w:pPr>
      <w:bookmarkStart w:id="33" w:name="_ENREF_33"/>
      <w:r>
        <w:rPr>
          <w:noProof/>
        </w:rPr>
        <w:t>33.</w:t>
      </w:r>
      <w:r>
        <w:rPr>
          <w:noProof/>
        </w:rPr>
        <w:tab/>
        <w:t xml:space="preserve">Marcobal, A., M. Barboza, E.D. Sonnenburg, et al., </w:t>
      </w:r>
      <w:r w:rsidRPr="00BD072B">
        <w:rPr>
          <w:i/>
          <w:noProof/>
        </w:rPr>
        <w:t>Bacteroides in the infant gut consume milk oligosaccharides via mucus-utilization pathways.</w:t>
      </w:r>
      <w:r>
        <w:rPr>
          <w:noProof/>
        </w:rPr>
        <w:t xml:space="preserve"> Cell Host Microbe, 2011. </w:t>
      </w:r>
      <w:r w:rsidRPr="00BD072B">
        <w:rPr>
          <w:b/>
          <w:noProof/>
        </w:rPr>
        <w:t>10</w:t>
      </w:r>
      <w:r>
        <w:rPr>
          <w:noProof/>
        </w:rPr>
        <w:t>(5): p. 507-14.</w:t>
      </w:r>
      <w:bookmarkEnd w:id="33"/>
    </w:p>
    <w:p w:rsidR="009475F0" w:rsidRDefault="009475F0" w:rsidP="001F2863">
      <w:pPr>
        <w:spacing w:after="0" w:line="240" w:lineRule="auto"/>
        <w:ind w:left="720" w:hanging="720"/>
        <w:rPr>
          <w:noProof/>
        </w:rPr>
      </w:pPr>
      <w:bookmarkStart w:id="34" w:name="_ENREF_34"/>
      <w:r>
        <w:rPr>
          <w:noProof/>
        </w:rPr>
        <w:t>34.</w:t>
      </w:r>
      <w:r>
        <w:rPr>
          <w:noProof/>
        </w:rPr>
        <w:tab/>
        <w:t xml:space="preserve">Miwa, M., T. Horimoto, M. Kiyohara, et al., </w:t>
      </w:r>
      <w:r w:rsidRPr="00BD072B">
        <w:rPr>
          <w:i/>
          <w:noProof/>
        </w:rPr>
        <w:t>Cooperation of beta-galactosidase and beta-N-acetylhexosaminidase from bifidobacteria in assimilation of human milk oligosaccharides with type 2 structure.</w:t>
      </w:r>
      <w:r>
        <w:rPr>
          <w:noProof/>
        </w:rPr>
        <w:t xml:space="preserve"> Glycobiology, 2010. </w:t>
      </w:r>
      <w:r w:rsidRPr="00BD072B">
        <w:rPr>
          <w:b/>
          <w:noProof/>
        </w:rPr>
        <w:t>20</w:t>
      </w:r>
      <w:r>
        <w:rPr>
          <w:noProof/>
        </w:rPr>
        <w:t>(11): p. 1402-9.</w:t>
      </w:r>
      <w:bookmarkEnd w:id="34"/>
    </w:p>
    <w:p w:rsidR="009475F0" w:rsidRDefault="009475F0" w:rsidP="001F2863">
      <w:pPr>
        <w:spacing w:after="0" w:line="240" w:lineRule="auto"/>
        <w:ind w:left="720" w:hanging="720"/>
        <w:rPr>
          <w:noProof/>
        </w:rPr>
      </w:pPr>
      <w:bookmarkStart w:id="35" w:name="_ENREF_35"/>
      <w:r>
        <w:rPr>
          <w:noProof/>
        </w:rPr>
        <w:t>35.</w:t>
      </w:r>
      <w:r>
        <w:rPr>
          <w:noProof/>
        </w:rPr>
        <w:tab/>
        <w:t xml:space="preserve">LoCascio, R.G., P. Desai, D.A. Sela, et al., </w:t>
      </w:r>
      <w:r w:rsidRPr="00BD072B">
        <w:rPr>
          <w:i/>
          <w:noProof/>
        </w:rPr>
        <w:t>Broad conservation of milk utilization genes in Bifidobacterium longum subsp. infantis as revealed by comparative genomic hybridization.</w:t>
      </w:r>
      <w:r>
        <w:rPr>
          <w:noProof/>
        </w:rPr>
        <w:t xml:space="preserve"> Appl Environ Microbiol, 2010. </w:t>
      </w:r>
      <w:r w:rsidRPr="00BD072B">
        <w:rPr>
          <w:b/>
          <w:noProof/>
        </w:rPr>
        <w:t>76</w:t>
      </w:r>
      <w:r>
        <w:rPr>
          <w:noProof/>
        </w:rPr>
        <w:t>(22): p. 7373-81.</w:t>
      </w:r>
      <w:bookmarkEnd w:id="35"/>
    </w:p>
    <w:p w:rsidR="009475F0" w:rsidRDefault="009475F0" w:rsidP="001F2863">
      <w:pPr>
        <w:spacing w:after="0" w:line="240" w:lineRule="auto"/>
        <w:ind w:left="720" w:hanging="720"/>
        <w:rPr>
          <w:noProof/>
        </w:rPr>
      </w:pPr>
      <w:bookmarkStart w:id="36" w:name="_ENREF_36"/>
      <w:r>
        <w:rPr>
          <w:noProof/>
        </w:rPr>
        <w:t>36.</w:t>
      </w:r>
      <w:r>
        <w:rPr>
          <w:noProof/>
        </w:rPr>
        <w:tab/>
        <w:t xml:space="preserve">Sela, D.A., </w:t>
      </w:r>
      <w:r w:rsidRPr="00BD072B">
        <w:rPr>
          <w:i/>
          <w:noProof/>
        </w:rPr>
        <w:t>Bifidobacterial utilization of human milk oligosaccharides.</w:t>
      </w:r>
      <w:r>
        <w:rPr>
          <w:noProof/>
        </w:rPr>
        <w:t xml:space="preserve"> Int J Food Microbiol, 2011. </w:t>
      </w:r>
      <w:r w:rsidRPr="00BD072B">
        <w:rPr>
          <w:b/>
          <w:noProof/>
        </w:rPr>
        <w:t>149</w:t>
      </w:r>
      <w:r>
        <w:rPr>
          <w:noProof/>
        </w:rPr>
        <w:t>(1): p. 58-64.</w:t>
      </w:r>
      <w:bookmarkEnd w:id="36"/>
    </w:p>
    <w:p w:rsidR="009475F0" w:rsidRDefault="009475F0" w:rsidP="001F2863">
      <w:pPr>
        <w:spacing w:after="0" w:line="240" w:lineRule="auto"/>
        <w:ind w:left="720" w:hanging="720"/>
        <w:rPr>
          <w:noProof/>
        </w:rPr>
      </w:pPr>
      <w:bookmarkStart w:id="37" w:name="_ENREF_37"/>
      <w:r>
        <w:rPr>
          <w:noProof/>
        </w:rPr>
        <w:t>37.</w:t>
      </w:r>
      <w:r>
        <w:rPr>
          <w:noProof/>
        </w:rPr>
        <w:tab/>
        <w:t xml:space="preserve">Schwab, C. and M. Ganzle, </w:t>
      </w:r>
      <w:r w:rsidRPr="00BD072B">
        <w:rPr>
          <w:i/>
          <w:noProof/>
        </w:rPr>
        <w:t>Lactic acid bacteria fermentation of human milk oligosaccharide components, human milk oligosaccharides and galactooligosaccharides.</w:t>
      </w:r>
      <w:r>
        <w:rPr>
          <w:noProof/>
        </w:rPr>
        <w:t xml:space="preserve"> FEMS Microbiol Lett, 2011. </w:t>
      </w:r>
      <w:r w:rsidRPr="00BD072B">
        <w:rPr>
          <w:b/>
          <w:noProof/>
        </w:rPr>
        <w:t>315</w:t>
      </w:r>
      <w:r>
        <w:rPr>
          <w:noProof/>
        </w:rPr>
        <w:t>(2): p. 141-8.</w:t>
      </w:r>
      <w:bookmarkEnd w:id="37"/>
    </w:p>
    <w:p w:rsidR="009475F0" w:rsidRDefault="009475F0" w:rsidP="001F2863">
      <w:pPr>
        <w:spacing w:after="0" w:line="240" w:lineRule="auto"/>
        <w:ind w:left="720" w:hanging="720"/>
        <w:rPr>
          <w:noProof/>
        </w:rPr>
      </w:pPr>
      <w:bookmarkStart w:id="38" w:name="_ENREF_38"/>
      <w:r>
        <w:rPr>
          <w:noProof/>
        </w:rPr>
        <w:lastRenderedPageBreak/>
        <w:t>38.</w:t>
      </w:r>
      <w:r>
        <w:rPr>
          <w:noProof/>
        </w:rPr>
        <w:tab/>
        <w:t xml:space="preserve">Martinez, R.C., A.E. Aynaou, S. Albrecht, et al., </w:t>
      </w:r>
      <w:r w:rsidRPr="00BD072B">
        <w:rPr>
          <w:i/>
          <w:noProof/>
        </w:rPr>
        <w:t>In vitro evaluation of gastrointestinal survival of Lactobacillus amylovorus DSM 16698 alone and combined with galactooligosaccharides, milk and/or Bifidobacterium animalis subsp. lactis Bb-12.</w:t>
      </w:r>
      <w:r>
        <w:rPr>
          <w:noProof/>
        </w:rPr>
        <w:t xml:space="preserve"> Int J Food Microbiol, 2011. </w:t>
      </w:r>
      <w:r w:rsidRPr="00BD072B">
        <w:rPr>
          <w:b/>
          <w:noProof/>
        </w:rPr>
        <w:t>149</w:t>
      </w:r>
      <w:r>
        <w:rPr>
          <w:noProof/>
        </w:rPr>
        <w:t>(2): p. 152-8.</w:t>
      </w:r>
      <w:bookmarkEnd w:id="38"/>
    </w:p>
    <w:p w:rsidR="009475F0" w:rsidRDefault="009475F0" w:rsidP="001F2863">
      <w:pPr>
        <w:spacing w:after="0" w:line="240" w:lineRule="auto"/>
        <w:ind w:left="720" w:hanging="720"/>
        <w:rPr>
          <w:noProof/>
        </w:rPr>
      </w:pPr>
      <w:bookmarkStart w:id="39" w:name="_ENREF_39"/>
      <w:r>
        <w:rPr>
          <w:noProof/>
        </w:rPr>
        <w:t>39.</w:t>
      </w:r>
      <w:r>
        <w:rPr>
          <w:noProof/>
        </w:rPr>
        <w:tab/>
        <w:t xml:space="preserve">van Passel, M.W., R. Kant, E.G. Zoetendal, et al., </w:t>
      </w:r>
      <w:r w:rsidRPr="00BD072B">
        <w:rPr>
          <w:i/>
          <w:noProof/>
        </w:rPr>
        <w:t>The genome of Akkermansia muciniphila, a dedicated intestinal mucin degrader, and its use in exploring intestinal metagenomes.</w:t>
      </w:r>
      <w:r>
        <w:rPr>
          <w:noProof/>
        </w:rPr>
        <w:t xml:space="preserve"> PLoS One, 2011. </w:t>
      </w:r>
      <w:r w:rsidRPr="00BD072B">
        <w:rPr>
          <w:b/>
          <w:noProof/>
        </w:rPr>
        <w:t>6</w:t>
      </w:r>
      <w:r>
        <w:rPr>
          <w:noProof/>
        </w:rPr>
        <w:t>(3): p. e16876.</w:t>
      </w:r>
      <w:bookmarkEnd w:id="39"/>
    </w:p>
    <w:p w:rsidR="009475F0" w:rsidRDefault="009475F0" w:rsidP="001F2863">
      <w:pPr>
        <w:spacing w:after="0" w:line="240" w:lineRule="auto"/>
        <w:ind w:left="720" w:hanging="720"/>
        <w:rPr>
          <w:noProof/>
        </w:rPr>
      </w:pPr>
      <w:bookmarkStart w:id="40" w:name="_ENREF_40"/>
      <w:r>
        <w:rPr>
          <w:noProof/>
        </w:rPr>
        <w:t>40.</w:t>
      </w:r>
      <w:r>
        <w:rPr>
          <w:noProof/>
        </w:rPr>
        <w:tab/>
        <w:t xml:space="preserve">Goodman, A.L., G. Kallstrom, J.J. Faith, et al., </w:t>
      </w:r>
      <w:r w:rsidRPr="00BD072B">
        <w:rPr>
          <w:i/>
          <w:noProof/>
        </w:rPr>
        <w:t>Extensive personal human gut microbiota culture collections characterized and manipulated in gnotobiotic mice.</w:t>
      </w:r>
      <w:r>
        <w:rPr>
          <w:noProof/>
        </w:rPr>
        <w:t xml:space="preserve"> Proc Natl Acad Sci U S A, 2011. </w:t>
      </w:r>
      <w:r w:rsidRPr="00BD072B">
        <w:rPr>
          <w:b/>
          <w:noProof/>
        </w:rPr>
        <w:t>108</w:t>
      </w:r>
      <w:r>
        <w:rPr>
          <w:noProof/>
        </w:rPr>
        <w:t>(15): p. 6252-7.</w:t>
      </w:r>
      <w:bookmarkEnd w:id="40"/>
    </w:p>
    <w:p w:rsidR="009475F0" w:rsidRDefault="009475F0" w:rsidP="001F2863">
      <w:pPr>
        <w:spacing w:after="0" w:line="240" w:lineRule="auto"/>
        <w:ind w:left="720" w:hanging="720"/>
        <w:rPr>
          <w:noProof/>
        </w:rPr>
      </w:pPr>
      <w:bookmarkStart w:id="41" w:name="_ENREF_41"/>
      <w:r>
        <w:rPr>
          <w:noProof/>
        </w:rPr>
        <w:t>41.</w:t>
      </w:r>
      <w:r>
        <w:rPr>
          <w:noProof/>
        </w:rPr>
        <w:tab/>
        <w:t xml:space="preserve">Turnbaugh, P.J., V.K. Ridaura, J.J. Faith, et al., </w:t>
      </w:r>
      <w:r w:rsidRPr="00BD072B">
        <w:rPr>
          <w:i/>
          <w:noProof/>
        </w:rPr>
        <w:t>The effect of diet on the human gut microbiome: a metagenomic analysis in humanized gnotobiotic mice.</w:t>
      </w:r>
      <w:r>
        <w:rPr>
          <w:noProof/>
        </w:rPr>
        <w:t xml:space="preserve"> Sci Transl Med, 2009. </w:t>
      </w:r>
      <w:r w:rsidRPr="00BD072B">
        <w:rPr>
          <w:b/>
          <w:noProof/>
        </w:rPr>
        <w:t>1</w:t>
      </w:r>
      <w:r>
        <w:rPr>
          <w:noProof/>
        </w:rPr>
        <w:t>(6): p. 6ra14.</w:t>
      </w:r>
      <w:bookmarkEnd w:id="41"/>
    </w:p>
    <w:p w:rsidR="009475F0" w:rsidRDefault="009475F0" w:rsidP="001F2863">
      <w:pPr>
        <w:spacing w:after="0" w:line="240" w:lineRule="auto"/>
        <w:ind w:left="720" w:hanging="720"/>
        <w:rPr>
          <w:noProof/>
        </w:rPr>
      </w:pPr>
      <w:bookmarkStart w:id="42" w:name="_ENREF_42"/>
      <w:r>
        <w:rPr>
          <w:noProof/>
        </w:rPr>
        <w:t>42.</w:t>
      </w:r>
      <w:r>
        <w:rPr>
          <w:noProof/>
        </w:rPr>
        <w:tab/>
        <w:t xml:space="preserve">Faith, J.J., N.P. McNulty, F.E. Rey, et al., </w:t>
      </w:r>
      <w:r w:rsidRPr="00BD072B">
        <w:rPr>
          <w:i/>
          <w:noProof/>
        </w:rPr>
        <w:t>Predicting a human gut microbiota's response to diet in gnotobiotic mice.</w:t>
      </w:r>
      <w:r>
        <w:rPr>
          <w:noProof/>
        </w:rPr>
        <w:t xml:space="preserve"> Science, 2011. </w:t>
      </w:r>
      <w:r w:rsidRPr="00BD072B">
        <w:rPr>
          <w:b/>
          <w:noProof/>
        </w:rPr>
        <w:t>333</w:t>
      </w:r>
      <w:r>
        <w:rPr>
          <w:noProof/>
        </w:rPr>
        <w:t>(6038): p. 101-4.</w:t>
      </w:r>
      <w:bookmarkEnd w:id="42"/>
    </w:p>
    <w:p w:rsidR="009475F0" w:rsidRDefault="009475F0" w:rsidP="001F2863">
      <w:pPr>
        <w:spacing w:after="0" w:line="240" w:lineRule="auto"/>
        <w:ind w:left="720" w:hanging="720"/>
        <w:rPr>
          <w:noProof/>
        </w:rPr>
      </w:pPr>
      <w:bookmarkStart w:id="43" w:name="_ENREF_43"/>
      <w:r>
        <w:rPr>
          <w:noProof/>
        </w:rPr>
        <w:t>43.</w:t>
      </w:r>
      <w:r>
        <w:rPr>
          <w:noProof/>
        </w:rPr>
        <w:tab/>
        <w:t xml:space="preserve">Englyst, H.N., S.M. Kingman, and J.H. Cummings, </w:t>
      </w:r>
      <w:r w:rsidRPr="00BD072B">
        <w:rPr>
          <w:i/>
          <w:noProof/>
        </w:rPr>
        <w:t>Classification and measurement of nutritionally important starch fractions.</w:t>
      </w:r>
      <w:r>
        <w:rPr>
          <w:noProof/>
        </w:rPr>
        <w:t xml:space="preserve"> Eur J Clin Nutr, 1992. </w:t>
      </w:r>
      <w:r w:rsidRPr="00BD072B">
        <w:rPr>
          <w:b/>
          <w:noProof/>
        </w:rPr>
        <w:t>46 Suppl 2</w:t>
      </w:r>
      <w:r>
        <w:rPr>
          <w:noProof/>
        </w:rPr>
        <w:t>: p. S33-50.</w:t>
      </w:r>
      <w:bookmarkEnd w:id="43"/>
    </w:p>
    <w:p w:rsidR="009475F0" w:rsidRDefault="009475F0" w:rsidP="001F2863">
      <w:pPr>
        <w:spacing w:after="0" w:line="240" w:lineRule="auto"/>
        <w:ind w:left="720" w:hanging="720"/>
        <w:rPr>
          <w:noProof/>
        </w:rPr>
      </w:pPr>
      <w:bookmarkStart w:id="44" w:name="_ENREF_44"/>
      <w:r>
        <w:rPr>
          <w:noProof/>
        </w:rPr>
        <w:t>44.</w:t>
      </w:r>
      <w:r>
        <w:rPr>
          <w:noProof/>
        </w:rPr>
        <w:tab/>
        <w:t xml:space="preserve">Buffie, C.G. and E.G. Pamer, </w:t>
      </w:r>
      <w:r w:rsidRPr="00BD072B">
        <w:rPr>
          <w:i/>
          <w:noProof/>
        </w:rPr>
        <w:t>Microbiota-mediated colonization resistance against intestinal pathogens.</w:t>
      </w:r>
      <w:r>
        <w:rPr>
          <w:noProof/>
        </w:rPr>
        <w:t xml:space="preserve"> Nat Rev Immunol, 2013. </w:t>
      </w:r>
      <w:r w:rsidRPr="00BD072B">
        <w:rPr>
          <w:b/>
          <w:noProof/>
        </w:rPr>
        <w:t>13</w:t>
      </w:r>
      <w:r>
        <w:rPr>
          <w:noProof/>
        </w:rPr>
        <w:t>(11): p. 790-801.</w:t>
      </w:r>
      <w:bookmarkEnd w:id="44"/>
    </w:p>
    <w:p w:rsidR="009475F0" w:rsidRDefault="009475F0" w:rsidP="001F2863">
      <w:pPr>
        <w:spacing w:after="0" w:line="240" w:lineRule="auto"/>
        <w:ind w:left="720" w:hanging="720"/>
        <w:rPr>
          <w:noProof/>
        </w:rPr>
      </w:pPr>
      <w:bookmarkStart w:id="45" w:name="_ENREF_45"/>
      <w:r>
        <w:rPr>
          <w:noProof/>
        </w:rPr>
        <w:t>45.</w:t>
      </w:r>
      <w:r>
        <w:rPr>
          <w:noProof/>
        </w:rPr>
        <w:tab/>
        <w:t xml:space="preserve">Martinez, F.A., E.M. Balciunas, A. Converti, et al., </w:t>
      </w:r>
      <w:r w:rsidRPr="00BD072B">
        <w:rPr>
          <w:i/>
          <w:noProof/>
        </w:rPr>
        <w:t>Bacteriocin production by Bifidobacterium spp. A review.</w:t>
      </w:r>
      <w:r>
        <w:rPr>
          <w:noProof/>
        </w:rPr>
        <w:t xml:space="preserve"> Biotechnol Adv, 2013. </w:t>
      </w:r>
      <w:r w:rsidRPr="00BD072B">
        <w:rPr>
          <w:b/>
          <w:noProof/>
        </w:rPr>
        <w:t>31</w:t>
      </w:r>
      <w:r>
        <w:rPr>
          <w:noProof/>
        </w:rPr>
        <w:t>(4): p. 482-8.</w:t>
      </w:r>
      <w:bookmarkEnd w:id="45"/>
    </w:p>
    <w:p w:rsidR="009475F0" w:rsidRDefault="009475F0" w:rsidP="001F2863">
      <w:pPr>
        <w:spacing w:after="0" w:line="240" w:lineRule="auto"/>
        <w:ind w:left="720" w:hanging="720"/>
        <w:rPr>
          <w:noProof/>
        </w:rPr>
      </w:pPr>
      <w:bookmarkStart w:id="46" w:name="_ENREF_46"/>
      <w:r>
        <w:rPr>
          <w:noProof/>
        </w:rPr>
        <w:t>46.</w:t>
      </w:r>
      <w:r>
        <w:rPr>
          <w:noProof/>
        </w:rPr>
        <w:tab/>
        <w:t xml:space="preserve">De Vuyst, L. and F. Leroy, </w:t>
      </w:r>
      <w:r w:rsidRPr="00BD072B">
        <w:rPr>
          <w:i/>
          <w:noProof/>
        </w:rPr>
        <w:t>Cross-feeding between bifidobacteria and butyrate-producing colon bacteria explains bifdobacterial competitiveness, butyrate production, and gas production.</w:t>
      </w:r>
      <w:r>
        <w:rPr>
          <w:noProof/>
        </w:rPr>
        <w:t xml:space="preserve"> Int J Food Microbiol, 2011. </w:t>
      </w:r>
      <w:r w:rsidRPr="00BD072B">
        <w:rPr>
          <w:b/>
          <w:noProof/>
        </w:rPr>
        <w:t>149</w:t>
      </w:r>
      <w:r>
        <w:rPr>
          <w:noProof/>
        </w:rPr>
        <w:t>(1): p. 73-80.</w:t>
      </w:r>
      <w:bookmarkEnd w:id="46"/>
    </w:p>
    <w:p w:rsidR="009475F0" w:rsidRDefault="009475F0" w:rsidP="001F2863">
      <w:pPr>
        <w:spacing w:after="0" w:line="240" w:lineRule="auto"/>
        <w:ind w:left="720" w:hanging="720"/>
        <w:rPr>
          <w:noProof/>
        </w:rPr>
      </w:pPr>
      <w:bookmarkStart w:id="47" w:name="_ENREF_47"/>
      <w:r>
        <w:rPr>
          <w:noProof/>
        </w:rPr>
        <w:t>47.</w:t>
      </w:r>
      <w:r>
        <w:rPr>
          <w:noProof/>
        </w:rPr>
        <w:tab/>
        <w:t xml:space="preserve">Chang, P.V., L. Hao, S. Offermanns, et al., </w:t>
      </w:r>
      <w:r w:rsidRPr="00BD072B">
        <w:rPr>
          <w:i/>
          <w:noProof/>
        </w:rPr>
        <w:t>The microbial metabolite butyrate regulates intestinal macrophage function via histone deacetylase inhibition.</w:t>
      </w:r>
      <w:r>
        <w:rPr>
          <w:noProof/>
        </w:rPr>
        <w:t xml:space="preserve"> Proc Natl Acad Sci U S A, 2014. </w:t>
      </w:r>
      <w:r w:rsidRPr="00BD072B">
        <w:rPr>
          <w:b/>
          <w:noProof/>
        </w:rPr>
        <w:t>111</w:t>
      </w:r>
      <w:r>
        <w:rPr>
          <w:noProof/>
        </w:rPr>
        <w:t>(6): p. 2247-52.</w:t>
      </w:r>
      <w:bookmarkEnd w:id="47"/>
    </w:p>
    <w:p w:rsidR="009475F0" w:rsidRDefault="009475F0" w:rsidP="001F2863">
      <w:pPr>
        <w:spacing w:after="0" w:line="240" w:lineRule="auto"/>
        <w:ind w:left="720" w:hanging="720"/>
        <w:rPr>
          <w:noProof/>
        </w:rPr>
      </w:pPr>
      <w:bookmarkStart w:id="48" w:name="_ENREF_48"/>
      <w:r>
        <w:rPr>
          <w:noProof/>
        </w:rPr>
        <w:t>48.</w:t>
      </w:r>
      <w:r w:rsidR="0064211E" w:rsidRPr="0064211E">
        <w:rPr>
          <w:noProof/>
        </w:rPr>
        <w:t xml:space="preserve"> </w:t>
      </w:r>
      <w:r w:rsidR="0064211E">
        <w:rPr>
          <w:noProof/>
        </w:rPr>
        <w:t>••</w:t>
      </w:r>
      <w:r>
        <w:rPr>
          <w:noProof/>
        </w:rPr>
        <w:tab/>
        <w:t xml:space="preserve">Furusawa, Y., Y. Obata, S. Fukuda, et al., </w:t>
      </w:r>
      <w:r w:rsidRPr="00BD072B">
        <w:rPr>
          <w:i/>
          <w:noProof/>
        </w:rPr>
        <w:t>Commensal microbe-derived butyrate induces the differentiation of colonic regulatory T cells.</w:t>
      </w:r>
      <w:r>
        <w:rPr>
          <w:noProof/>
        </w:rPr>
        <w:t xml:space="preserve"> Nature, 2013. </w:t>
      </w:r>
      <w:r w:rsidRPr="00BD072B">
        <w:rPr>
          <w:b/>
          <w:noProof/>
        </w:rPr>
        <w:t>504</w:t>
      </w:r>
      <w:r>
        <w:rPr>
          <w:noProof/>
        </w:rPr>
        <w:t>(7480): p. 446-50.</w:t>
      </w:r>
      <w:bookmarkEnd w:id="48"/>
    </w:p>
    <w:p w:rsidR="0064211E" w:rsidRDefault="0064211E" w:rsidP="0064211E">
      <w:pPr>
        <w:spacing w:after="0" w:line="240" w:lineRule="auto"/>
        <w:ind w:left="720"/>
        <w:rPr>
          <w:noProof/>
        </w:rPr>
      </w:pPr>
      <w:r w:rsidRPr="0019010D">
        <w:rPr>
          <w:noProof/>
        </w:rPr>
        <w:t>This important study shows that butyrate production by commensal microbiota induces the differentiation of regulatory T cells in the colonic lamina propria of mice.</w:t>
      </w:r>
    </w:p>
    <w:p w:rsidR="009475F0" w:rsidRDefault="009475F0" w:rsidP="001F2863">
      <w:pPr>
        <w:spacing w:after="0" w:line="240" w:lineRule="auto"/>
        <w:ind w:left="720" w:hanging="720"/>
        <w:rPr>
          <w:noProof/>
        </w:rPr>
      </w:pPr>
      <w:bookmarkStart w:id="49" w:name="_ENREF_49"/>
      <w:r>
        <w:rPr>
          <w:noProof/>
        </w:rPr>
        <w:t>49.</w:t>
      </w:r>
      <w:r>
        <w:rPr>
          <w:noProof/>
        </w:rPr>
        <w:tab/>
        <w:t xml:space="preserve">Arpaia, N., C. Campbell, X. Fan, et al., </w:t>
      </w:r>
      <w:r w:rsidRPr="00BD072B">
        <w:rPr>
          <w:i/>
          <w:noProof/>
        </w:rPr>
        <w:t>Metabolites produced by commensal bacteria promote peripheral regulatory T-cell generation.</w:t>
      </w:r>
      <w:r>
        <w:rPr>
          <w:noProof/>
        </w:rPr>
        <w:t xml:space="preserve"> Nature, 2013. </w:t>
      </w:r>
      <w:r w:rsidRPr="00BD072B">
        <w:rPr>
          <w:b/>
          <w:noProof/>
        </w:rPr>
        <w:t>504</w:t>
      </w:r>
      <w:r>
        <w:rPr>
          <w:noProof/>
        </w:rPr>
        <w:t>(7480): p. 451-5.</w:t>
      </w:r>
      <w:bookmarkEnd w:id="49"/>
    </w:p>
    <w:p w:rsidR="009475F0" w:rsidRDefault="009475F0" w:rsidP="001F2863">
      <w:pPr>
        <w:spacing w:after="0" w:line="240" w:lineRule="auto"/>
        <w:ind w:left="720" w:hanging="720"/>
        <w:rPr>
          <w:noProof/>
        </w:rPr>
      </w:pPr>
      <w:bookmarkStart w:id="50" w:name="_ENREF_50"/>
      <w:r>
        <w:rPr>
          <w:noProof/>
        </w:rPr>
        <w:t>50.</w:t>
      </w:r>
      <w:r>
        <w:rPr>
          <w:noProof/>
        </w:rPr>
        <w:tab/>
        <w:t xml:space="preserve">Smith, P.M., M.R. Howitt, N. Panikov, et al., </w:t>
      </w:r>
      <w:r w:rsidRPr="00BD072B">
        <w:rPr>
          <w:i/>
          <w:noProof/>
        </w:rPr>
        <w:t>The microbial metabolites, short-chain fatty acids, regulate colonic Treg cell homeostasis.</w:t>
      </w:r>
      <w:r>
        <w:rPr>
          <w:noProof/>
        </w:rPr>
        <w:t xml:space="preserve"> Science, 2013. </w:t>
      </w:r>
      <w:r w:rsidRPr="00BD072B">
        <w:rPr>
          <w:b/>
          <w:noProof/>
        </w:rPr>
        <w:t>341</w:t>
      </w:r>
      <w:r>
        <w:rPr>
          <w:noProof/>
        </w:rPr>
        <w:t>(6145): p. 569-73.</w:t>
      </w:r>
      <w:bookmarkEnd w:id="50"/>
    </w:p>
    <w:p w:rsidR="009475F0" w:rsidRDefault="009475F0" w:rsidP="001F2863">
      <w:pPr>
        <w:spacing w:after="0" w:line="240" w:lineRule="auto"/>
        <w:ind w:left="720" w:hanging="720"/>
        <w:rPr>
          <w:noProof/>
        </w:rPr>
      </w:pPr>
      <w:bookmarkStart w:id="51" w:name="_ENREF_51"/>
      <w:r>
        <w:rPr>
          <w:noProof/>
        </w:rPr>
        <w:t>51.</w:t>
      </w:r>
      <w:r>
        <w:rPr>
          <w:noProof/>
        </w:rPr>
        <w:tab/>
        <w:t xml:space="preserve">Round, J.L. and S.K. Mazmanian, </w:t>
      </w:r>
      <w:r w:rsidRPr="00BD072B">
        <w:rPr>
          <w:i/>
          <w:noProof/>
        </w:rPr>
        <w:t>The gut microbiota shapes intestinal immune responses during health and disease.</w:t>
      </w:r>
      <w:r>
        <w:rPr>
          <w:noProof/>
        </w:rPr>
        <w:t xml:space="preserve"> Nat Rev Immunol, 2009. </w:t>
      </w:r>
      <w:r w:rsidRPr="00BD072B">
        <w:rPr>
          <w:b/>
          <w:noProof/>
        </w:rPr>
        <w:t>9</w:t>
      </w:r>
      <w:r>
        <w:rPr>
          <w:noProof/>
        </w:rPr>
        <w:t>(5): p. 313-23.</w:t>
      </w:r>
      <w:bookmarkEnd w:id="51"/>
    </w:p>
    <w:p w:rsidR="009475F0" w:rsidRDefault="009475F0" w:rsidP="001F2863">
      <w:pPr>
        <w:spacing w:after="0" w:line="240" w:lineRule="auto"/>
        <w:ind w:left="720" w:hanging="720"/>
        <w:rPr>
          <w:noProof/>
        </w:rPr>
      </w:pPr>
      <w:bookmarkStart w:id="52" w:name="_ENREF_52"/>
      <w:r>
        <w:rPr>
          <w:noProof/>
        </w:rPr>
        <w:t>52.</w:t>
      </w:r>
      <w:r>
        <w:rPr>
          <w:noProof/>
        </w:rPr>
        <w:tab/>
        <w:t xml:space="preserve">Johansson, M.E., M. Phillipson, J. Petersson, et al., </w:t>
      </w:r>
      <w:r w:rsidRPr="00BD072B">
        <w:rPr>
          <w:i/>
          <w:noProof/>
        </w:rPr>
        <w:t>The inner of the two Muc2 mucin-dependent mucus layers in colon is devoid of bacteria.</w:t>
      </w:r>
      <w:r>
        <w:rPr>
          <w:noProof/>
        </w:rPr>
        <w:t xml:space="preserve"> Proc Natl Acad Sci U S A, 2008. </w:t>
      </w:r>
      <w:r w:rsidRPr="00BD072B">
        <w:rPr>
          <w:b/>
          <w:noProof/>
        </w:rPr>
        <w:t>105</w:t>
      </w:r>
      <w:r>
        <w:rPr>
          <w:noProof/>
        </w:rPr>
        <w:t>(39): p. 15064-9.</w:t>
      </w:r>
      <w:bookmarkEnd w:id="52"/>
    </w:p>
    <w:p w:rsidR="009475F0" w:rsidRDefault="009475F0" w:rsidP="001F2863">
      <w:pPr>
        <w:spacing w:after="0" w:line="240" w:lineRule="auto"/>
        <w:ind w:left="720" w:hanging="720"/>
        <w:rPr>
          <w:noProof/>
        </w:rPr>
      </w:pPr>
      <w:bookmarkStart w:id="53" w:name="_ENREF_53"/>
      <w:r>
        <w:rPr>
          <w:noProof/>
        </w:rPr>
        <w:t>53.</w:t>
      </w:r>
      <w:r>
        <w:rPr>
          <w:noProof/>
        </w:rPr>
        <w:tab/>
        <w:t xml:space="preserve">Johansson, M.E., J.M. Larsson, and G.C. Hansson, </w:t>
      </w:r>
      <w:r w:rsidRPr="00BD072B">
        <w:rPr>
          <w:i/>
          <w:noProof/>
        </w:rPr>
        <w:t>The two mucus layers of colon are organized by the MUC2 mucin, whereas the outer layer is a legislator of host-microbial interactions.</w:t>
      </w:r>
      <w:r>
        <w:rPr>
          <w:noProof/>
        </w:rPr>
        <w:t xml:space="preserve"> Proc Natl Acad Sci U S A, 2011. </w:t>
      </w:r>
      <w:r w:rsidRPr="00BD072B">
        <w:rPr>
          <w:b/>
          <w:noProof/>
        </w:rPr>
        <w:t>108 Suppl 1</w:t>
      </w:r>
      <w:r>
        <w:rPr>
          <w:noProof/>
        </w:rPr>
        <w:t>: p. 4659-65.</w:t>
      </w:r>
      <w:bookmarkEnd w:id="53"/>
    </w:p>
    <w:p w:rsidR="009475F0" w:rsidRDefault="009475F0" w:rsidP="001F2863">
      <w:pPr>
        <w:spacing w:after="0" w:line="240" w:lineRule="auto"/>
        <w:ind w:left="720" w:hanging="720"/>
        <w:rPr>
          <w:noProof/>
        </w:rPr>
      </w:pPr>
      <w:bookmarkStart w:id="54" w:name="_ENREF_54"/>
      <w:r>
        <w:rPr>
          <w:noProof/>
        </w:rPr>
        <w:t>54.</w:t>
      </w:r>
      <w:r>
        <w:rPr>
          <w:noProof/>
        </w:rPr>
        <w:tab/>
        <w:t xml:space="preserve">Johansson, M.E., H.E. Jakobsson, J. Holmen-Larsson, et al., </w:t>
      </w:r>
      <w:r w:rsidRPr="00BD072B">
        <w:rPr>
          <w:i/>
          <w:noProof/>
        </w:rPr>
        <w:t>Normalization of Host Intestinal Mucus Layers Requires Long-Term Microbial Colonization.</w:t>
      </w:r>
      <w:r>
        <w:rPr>
          <w:noProof/>
        </w:rPr>
        <w:t xml:space="preserve"> Cell Host Microbe, 2015.</w:t>
      </w:r>
      <w:bookmarkEnd w:id="54"/>
    </w:p>
    <w:p w:rsidR="009475F0" w:rsidRDefault="009475F0" w:rsidP="001F2863">
      <w:pPr>
        <w:spacing w:after="0" w:line="240" w:lineRule="auto"/>
        <w:ind w:left="720" w:hanging="720"/>
        <w:rPr>
          <w:noProof/>
        </w:rPr>
      </w:pPr>
      <w:bookmarkStart w:id="55" w:name="_ENREF_55"/>
      <w:r>
        <w:rPr>
          <w:noProof/>
        </w:rPr>
        <w:t>55.</w:t>
      </w:r>
      <w:r>
        <w:rPr>
          <w:noProof/>
        </w:rPr>
        <w:tab/>
        <w:t xml:space="preserve">Brown, E.M., M. Sadarangani, and B.B. Finlay, </w:t>
      </w:r>
      <w:r w:rsidRPr="00BD072B">
        <w:rPr>
          <w:i/>
          <w:noProof/>
        </w:rPr>
        <w:t>The role of the immune system in governing host-microbe interactions in the intestine.</w:t>
      </w:r>
      <w:r>
        <w:rPr>
          <w:noProof/>
        </w:rPr>
        <w:t xml:space="preserve"> Nat Immunol, 2013. </w:t>
      </w:r>
      <w:r w:rsidRPr="00BD072B">
        <w:rPr>
          <w:b/>
          <w:noProof/>
        </w:rPr>
        <w:t>14</w:t>
      </w:r>
      <w:r>
        <w:rPr>
          <w:noProof/>
        </w:rPr>
        <w:t>(7): p. 660-7.</w:t>
      </w:r>
      <w:bookmarkEnd w:id="55"/>
    </w:p>
    <w:p w:rsidR="009475F0" w:rsidRDefault="009475F0" w:rsidP="001F2863">
      <w:pPr>
        <w:spacing w:after="0" w:line="240" w:lineRule="auto"/>
        <w:ind w:left="720" w:hanging="720"/>
        <w:rPr>
          <w:noProof/>
        </w:rPr>
      </w:pPr>
      <w:bookmarkStart w:id="56" w:name="_ENREF_56"/>
      <w:r>
        <w:rPr>
          <w:noProof/>
        </w:rPr>
        <w:t>56.</w:t>
      </w:r>
      <w:r>
        <w:rPr>
          <w:noProof/>
        </w:rPr>
        <w:tab/>
        <w:t xml:space="preserve">Bevins, C.L. and N.H. Salzman, </w:t>
      </w:r>
      <w:r w:rsidRPr="00BD072B">
        <w:rPr>
          <w:i/>
          <w:noProof/>
        </w:rPr>
        <w:t>Paneth cells, antimicrobial peptides and maintenance of intestinal homeostasis.</w:t>
      </w:r>
      <w:r>
        <w:rPr>
          <w:noProof/>
        </w:rPr>
        <w:t xml:space="preserve"> Nat Rev Microbiol, 2011. </w:t>
      </w:r>
      <w:r w:rsidRPr="00BD072B">
        <w:rPr>
          <w:b/>
          <w:noProof/>
        </w:rPr>
        <w:t>9</w:t>
      </w:r>
      <w:r>
        <w:rPr>
          <w:noProof/>
        </w:rPr>
        <w:t>(5): p. 356-68.</w:t>
      </w:r>
      <w:bookmarkEnd w:id="56"/>
    </w:p>
    <w:p w:rsidR="009475F0" w:rsidRDefault="009475F0" w:rsidP="001F2863">
      <w:pPr>
        <w:spacing w:after="0" w:line="240" w:lineRule="auto"/>
        <w:ind w:left="720" w:hanging="720"/>
        <w:rPr>
          <w:noProof/>
        </w:rPr>
      </w:pPr>
      <w:bookmarkStart w:id="57" w:name="_ENREF_57"/>
      <w:r>
        <w:rPr>
          <w:noProof/>
        </w:rPr>
        <w:lastRenderedPageBreak/>
        <w:t>57.</w:t>
      </w:r>
      <w:r>
        <w:rPr>
          <w:noProof/>
        </w:rPr>
        <w:tab/>
        <w:t xml:space="preserve">Vaishnava, S., C.L. Behrendt, A.S. Ismail, et al., </w:t>
      </w:r>
      <w:r w:rsidRPr="00BD072B">
        <w:rPr>
          <w:i/>
          <w:noProof/>
        </w:rPr>
        <w:t>Paneth cells directly sense gut commensals and maintain homeostasis at the intestinal host-microbial interface.</w:t>
      </w:r>
      <w:r>
        <w:rPr>
          <w:noProof/>
        </w:rPr>
        <w:t xml:space="preserve"> Proc Natl Acad Sci U S A, 2008. </w:t>
      </w:r>
      <w:r w:rsidRPr="00BD072B">
        <w:rPr>
          <w:b/>
          <w:noProof/>
        </w:rPr>
        <w:t>105</w:t>
      </w:r>
      <w:r>
        <w:rPr>
          <w:noProof/>
        </w:rPr>
        <w:t>(52): p. 20858-63.</w:t>
      </w:r>
      <w:bookmarkEnd w:id="57"/>
    </w:p>
    <w:p w:rsidR="009475F0" w:rsidRDefault="009475F0" w:rsidP="001F2863">
      <w:pPr>
        <w:spacing w:after="0" w:line="240" w:lineRule="auto"/>
        <w:ind w:left="720" w:hanging="720"/>
        <w:rPr>
          <w:noProof/>
        </w:rPr>
      </w:pPr>
      <w:bookmarkStart w:id="58" w:name="_ENREF_58"/>
      <w:r>
        <w:rPr>
          <w:noProof/>
        </w:rPr>
        <w:t>58.</w:t>
      </w:r>
      <w:r>
        <w:rPr>
          <w:noProof/>
        </w:rPr>
        <w:tab/>
        <w:t xml:space="preserve">Vaishnava, S., M. Yamamoto, K.M. Severson, et al., </w:t>
      </w:r>
      <w:r w:rsidRPr="00BD072B">
        <w:rPr>
          <w:i/>
          <w:noProof/>
        </w:rPr>
        <w:t>The antibacterial lectin RegIIIgamma promotes the spatial segregation of microbiota and host in the intestine.</w:t>
      </w:r>
      <w:r>
        <w:rPr>
          <w:noProof/>
        </w:rPr>
        <w:t xml:space="preserve"> Science, 2011. </w:t>
      </w:r>
      <w:r w:rsidRPr="00BD072B">
        <w:rPr>
          <w:b/>
          <w:noProof/>
        </w:rPr>
        <w:t>334</w:t>
      </w:r>
      <w:r>
        <w:rPr>
          <w:noProof/>
        </w:rPr>
        <w:t>(6053): p. 255-8.</w:t>
      </w:r>
      <w:bookmarkEnd w:id="58"/>
    </w:p>
    <w:p w:rsidR="009475F0" w:rsidRDefault="009475F0" w:rsidP="001F2863">
      <w:pPr>
        <w:spacing w:after="0" w:line="240" w:lineRule="auto"/>
        <w:ind w:left="720" w:hanging="720"/>
        <w:rPr>
          <w:noProof/>
        </w:rPr>
      </w:pPr>
      <w:bookmarkStart w:id="59" w:name="_ENREF_59"/>
      <w:r>
        <w:rPr>
          <w:noProof/>
        </w:rPr>
        <w:t>59.</w:t>
      </w:r>
      <w:r>
        <w:rPr>
          <w:noProof/>
        </w:rPr>
        <w:tab/>
        <w:t xml:space="preserve">Macpherson, A.J. and T. Uhr, </w:t>
      </w:r>
      <w:r w:rsidRPr="00BD072B">
        <w:rPr>
          <w:i/>
          <w:noProof/>
        </w:rPr>
        <w:t>Induction of protective IgA by intestinal dendritic cells carrying commensal bacteria.</w:t>
      </w:r>
      <w:r>
        <w:rPr>
          <w:noProof/>
        </w:rPr>
        <w:t xml:space="preserve"> Science, 2004. </w:t>
      </w:r>
      <w:r w:rsidRPr="00BD072B">
        <w:rPr>
          <w:b/>
          <w:noProof/>
        </w:rPr>
        <w:t>303</w:t>
      </w:r>
      <w:r>
        <w:rPr>
          <w:noProof/>
        </w:rPr>
        <w:t>(5664): p. 1662-5.</w:t>
      </w:r>
      <w:bookmarkEnd w:id="59"/>
    </w:p>
    <w:p w:rsidR="009475F0" w:rsidRDefault="009475F0" w:rsidP="001F2863">
      <w:pPr>
        <w:spacing w:after="0" w:line="240" w:lineRule="auto"/>
        <w:ind w:left="720" w:hanging="720"/>
        <w:rPr>
          <w:noProof/>
        </w:rPr>
      </w:pPr>
      <w:bookmarkStart w:id="60" w:name="_ENREF_60"/>
      <w:r>
        <w:rPr>
          <w:noProof/>
        </w:rPr>
        <w:t>60.</w:t>
      </w:r>
      <w:r>
        <w:rPr>
          <w:noProof/>
        </w:rPr>
        <w:tab/>
        <w:t xml:space="preserve">Kawamoto, S., T.H. Tran, M. Maruya, et al., </w:t>
      </w:r>
      <w:r w:rsidRPr="00BD072B">
        <w:rPr>
          <w:i/>
          <w:noProof/>
        </w:rPr>
        <w:t>The inhibitory receptor PD-1 regulates IgA selection and bacterial composition in the gut.</w:t>
      </w:r>
      <w:r>
        <w:rPr>
          <w:noProof/>
        </w:rPr>
        <w:t xml:space="preserve"> Science, 2012. </w:t>
      </w:r>
      <w:r w:rsidRPr="00BD072B">
        <w:rPr>
          <w:b/>
          <w:noProof/>
        </w:rPr>
        <w:t>336</w:t>
      </w:r>
      <w:r>
        <w:rPr>
          <w:noProof/>
        </w:rPr>
        <w:t>(6080): p. 485-9.</w:t>
      </w:r>
      <w:bookmarkEnd w:id="60"/>
    </w:p>
    <w:p w:rsidR="009475F0" w:rsidRDefault="009475F0" w:rsidP="001F2863">
      <w:pPr>
        <w:spacing w:after="0" w:line="240" w:lineRule="auto"/>
        <w:ind w:left="720" w:hanging="720"/>
        <w:rPr>
          <w:noProof/>
        </w:rPr>
      </w:pPr>
      <w:bookmarkStart w:id="61" w:name="_ENREF_61"/>
      <w:r>
        <w:rPr>
          <w:noProof/>
        </w:rPr>
        <w:t>61.</w:t>
      </w:r>
      <w:r>
        <w:rPr>
          <w:noProof/>
        </w:rPr>
        <w:tab/>
        <w:t xml:space="preserve">Wu, H.J., Ivanov, II, J. Darce, et al., </w:t>
      </w:r>
      <w:r w:rsidRPr="00BD072B">
        <w:rPr>
          <w:i/>
          <w:noProof/>
        </w:rPr>
        <w:t>Gut-residing segmented filamentous bacteria drive autoimmune arthritis via T helper 17 cells.</w:t>
      </w:r>
      <w:r>
        <w:rPr>
          <w:noProof/>
        </w:rPr>
        <w:t xml:space="preserve"> Immunity, 2010. </w:t>
      </w:r>
      <w:r w:rsidRPr="00BD072B">
        <w:rPr>
          <w:b/>
          <w:noProof/>
        </w:rPr>
        <w:t>32</w:t>
      </w:r>
      <w:r>
        <w:rPr>
          <w:noProof/>
        </w:rPr>
        <w:t>(6): p. 815-27.</w:t>
      </w:r>
      <w:bookmarkEnd w:id="61"/>
    </w:p>
    <w:p w:rsidR="009475F0" w:rsidRDefault="009475F0" w:rsidP="001F2863">
      <w:pPr>
        <w:spacing w:after="0" w:line="240" w:lineRule="auto"/>
        <w:ind w:left="720" w:hanging="720"/>
        <w:rPr>
          <w:noProof/>
        </w:rPr>
      </w:pPr>
      <w:bookmarkStart w:id="62" w:name="_ENREF_62"/>
      <w:r>
        <w:rPr>
          <w:noProof/>
        </w:rPr>
        <w:t>62.</w:t>
      </w:r>
      <w:r>
        <w:rPr>
          <w:noProof/>
        </w:rPr>
        <w:tab/>
        <w:t xml:space="preserve">Lee, Y.K., J.S. Menezes, Y. Umesaki, et al., </w:t>
      </w:r>
      <w:r w:rsidRPr="00BD072B">
        <w:rPr>
          <w:i/>
          <w:noProof/>
        </w:rPr>
        <w:t>Proinflammatory T-cell responses to gut microbiota promote experimental autoimmune encephalomyelitis.</w:t>
      </w:r>
      <w:r>
        <w:rPr>
          <w:noProof/>
        </w:rPr>
        <w:t xml:space="preserve"> Proc Natl Acad Sci U S A, 2011. </w:t>
      </w:r>
      <w:r w:rsidRPr="00BD072B">
        <w:rPr>
          <w:b/>
          <w:noProof/>
        </w:rPr>
        <w:t>108 Suppl 1</w:t>
      </w:r>
      <w:r>
        <w:rPr>
          <w:noProof/>
        </w:rPr>
        <w:t>: p. 4615-22.</w:t>
      </w:r>
      <w:bookmarkEnd w:id="62"/>
    </w:p>
    <w:p w:rsidR="009475F0" w:rsidRDefault="009475F0" w:rsidP="001F2863">
      <w:pPr>
        <w:spacing w:after="0" w:line="240" w:lineRule="auto"/>
        <w:ind w:left="720" w:hanging="720"/>
        <w:rPr>
          <w:noProof/>
        </w:rPr>
      </w:pPr>
      <w:bookmarkStart w:id="63" w:name="_ENREF_63"/>
      <w:r>
        <w:rPr>
          <w:noProof/>
        </w:rPr>
        <w:t>63.</w:t>
      </w:r>
      <w:r>
        <w:rPr>
          <w:noProof/>
        </w:rPr>
        <w:tab/>
        <w:t xml:space="preserve">Arrieta, M.C. and B.B. Finlay, </w:t>
      </w:r>
      <w:r w:rsidRPr="00BD072B">
        <w:rPr>
          <w:i/>
          <w:noProof/>
        </w:rPr>
        <w:t>The commensal microbiota drives immune homeostasis.</w:t>
      </w:r>
      <w:r>
        <w:rPr>
          <w:noProof/>
        </w:rPr>
        <w:t xml:space="preserve"> Front Immunol, 2012. </w:t>
      </w:r>
      <w:r w:rsidRPr="00BD072B">
        <w:rPr>
          <w:b/>
          <w:noProof/>
        </w:rPr>
        <w:t>3</w:t>
      </w:r>
      <w:r>
        <w:rPr>
          <w:noProof/>
        </w:rPr>
        <w:t>: p. 33.</w:t>
      </w:r>
      <w:bookmarkEnd w:id="63"/>
    </w:p>
    <w:p w:rsidR="009475F0" w:rsidRDefault="009475F0" w:rsidP="001F2863">
      <w:pPr>
        <w:spacing w:after="0" w:line="240" w:lineRule="auto"/>
        <w:ind w:left="720" w:hanging="720"/>
        <w:rPr>
          <w:noProof/>
        </w:rPr>
      </w:pPr>
      <w:bookmarkStart w:id="64" w:name="_ENREF_64"/>
      <w:r>
        <w:rPr>
          <w:noProof/>
        </w:rPr>
        <w:t>64.</w:t>
      </w:r>
      <w:r>
        <w:rPr>
          <w:noProof/>
        </w:rPr>
        <w:tab/>
        <w:t xml:space="preserve">Ivanov, II, K. Atarashi, N. Manel, et al., </w:t>
      </w:r>
      <w:r w:rsidRPr="00BD072B">
        <w:rPr>
          <w:i/>
          <w:noProof/>
        </w:rPr>
        <w:t>Induction of intestinal Th17 cells by segmented filamentous bacteria.</w:t>
      </w:r>
      <w:r>
        <w:rPr>
          <w:noProof/>
        </w:rPr>
        <w:t xml:space="preserve"> Cell, 2009. </w:t>
      </w:r>
      <w:r w:rsidRPr="00BD072B">
        <w:rPr>
          <w:b/>
          <w:noProof/>
        </w:rPr>
        <w:t>139</w:t>
      </w:r>
      <w:r>
        <w:rPr>
          <w:noProof/>
        </w:rPr>
        <w:t>(3): p. 485-98.</w:t>
      </w:r>
      <w:bookmarkEnd w:id="64"/>
    </w:p>
    <w:p w:rsidR="009475F0" w:rsidRDefault="009475F0" w:rsidP="001F2863">
      <w:pPr>
        <w:spacing w:after="0" w:line="240" w:lineRule="auto"/>
        <w:ind w:left="720" w:hanging="720"/>
        <w:rPr>
          <w:noProof/>
        </w:rPr>
      </w:pPr>
      <w:bookmarkStart w:id="65" w:name="_ENREF_65"/>
      <w:r>
        <w:rPr>
          <w:noProof/>
        </w:rPr>
        <w:t>65.</w:t>
      </w:r>
      <w:r>
        <w:rPr>
          <w:noProof/>
        </w:rPr>
        <w:tab/>
        <w:t xml:space="preserve">Gaboriau-Routhiau, V., S. Rakotobe, E. Lecuyer, et al., </w:t>
      </w:r>
      <w:r w:rsidRPr="00BD072B">
        <w:rPr>
          <w:i/>
          <w:noProof/>
        </w:rPr>
        <w:t>The key role of segmented filamentous bacteria in the coordinated maturation of gut helper T cell responses.</w:t>
      </w:r>
      <w:r>
        <w:rPr>
          <w:noProof/>
        </w:rPr>
        <w:t xml:space="preserve"> Immunity, 2009. </w:t>
      </w:r>
      <w:r w:rsidRPr="00BD072B">
        <w:rPr>
          <w:b/>
          <w:noProof/>
        </w:rPr>
        <w:t>31</w:t>
      </w:r>
      <w:r>
        <w:rPr>
          <w:noProof/>
        </w:rPr>
        <w:t>(4): p. 677-89.</w:t>
      </w:r>
      <w:bookmarkEnd w:id="65"/>
    </w:p>
    <w:p w:rsidR="009475F0" w:rsidRDefault="009475F0" w:rsidP="001F2863">
      <w:pPr>
        <w:spacing w:after="0" w:line="240" w:lineRule="auto"/>
        <w:ind w:left="720" w:hanging="720"/>
        <w:rPr>
          <w:noProof/>
        </w:rPr>
      </w:pPr>
      <w:bookmarkStart w:id="66" w:name="_ENREF_66"/>
      <w:r>
        <w:rPr>
          <w:noProof/>
        </w:rPr>
        <w:t>66.</w:t>
      </w:r>
      <w:r>
        <w:rPr>
          <w:noProof/>
        </w:rPr>
        <w:tab/>
        <w:t xml:space="preserve">Atarashi, K., J. Nishimura, T. Shima, et al., </w:t>
      </w:r>
      <w:r w:rsidRPr="00BD072B">
        <w:rPr>
          <w:i/>
          <w:noProof/>
        </w:rPr>
        <w:t>ATP drives lamina propria T(H)17 cell differentiation.</w:t>
      </w:r>
      <w:r>
        <w:rPr>
          <w:noProof/>
        </w:rPr>
        <w:t xml:space="preserve"> Nature, 2008. </w:t>
      </w:r>
      <w:r w:rsidRPr="00BD072B">
        <w:rPr>
          <w:b/>
          <w:noProof/>
        </w:rPr>
        <w:t>455</w:t>
      </w:r>
      <w:r>
        <w:rPr>
          <w:noProof/>
        </w:rPr>
        <w:t>(7214): p. 808-12.</w:t>
      </w:r>
      <w:bookmarkEnd w:id="66"/>
    </w:p>
    <w:p w:rsidR="009475F0" w:rsidRDefault="009475F0" w:rsidP="001F2863">
      <w:pPr>
        <w:spacing w:after="0" w:line="240" w:lineRule="auto"/>
        <w:ind w:left="720" w:hanging="720"/>
        <w:rPr>
          <w:noProof/>
        </w:rPr>
      </w:pPr>
      <w:bookmarkStart w:id="67" w:name="_ENREF_67"/>
      <w:r>
        <w:rPr>
          <w:noProof/>
        </w:rPr>
        <w:t>67.</w:t>
      </w:r>
      <w:r>
        <w:rPr>
          <w:noProof/>
        </w:rPr>
        <w:tab/>
        <w:t xml:space="preserve">Round, J.L. and S.K. Mazmanian, </w:t>
      </w:r>
      <w:r w:rsidRPr="00BD072B">
        <w:rPr>
          <w:i/>
          <w:noProof/>
        </w:rPr>
        <w:t>Inducible Foxp3+ regulatory T-cell development by a commensal bacterium of the intestinal microbiota.</w:t>
      </w:r>
      <w:r>
        <w:rPr>
          <w:noProof/>
        </w:rPr>
        <w:t xml:space="preserve"> Proc Natl Acad Sci U S A, 2010. </w:t>
      </w:r>
      <w:r w:rsidRPr="00BD072B">
        <w:rPr>
          <w:b/>
          <w:noProof/>
        </w:rPr>
        <w:t>107</w:t>
      </w:r>
      <w:r>
        <w:rPr>
          <w:noProof/>
        </w:rPr>
        <w:t>(27): p. 12204-9.</w:t>
      </w:r>
      <w:bookmarkEnd w:id="67"/>
    </w:p>
    <w:p w:rsidR="009475F0" w:rsidRDefault="009475F0" w:rsidP="001F2863">
      <w:pPr>
        <w:spacing w:after="0" w:line="240" w:lineRule="auto"/>
        <w:ind w:left="720" w:hanging="720"/>
        <w:rPr>
          <w:noProof/>
        </w:rPr>
      </w:pPr>
      <w:bookmarkStart w:id="68" w:name="_ENREF_68"/>
      <w:r>
        <w:rPr>
          <w:noProof/>
        </w:rPr>
        <w:t>68.</w:t>
      </w:r>
      <w:r>
        <w:rPr>
          <w:noProof/>
        </w:rPr>
        <w:tab/>
        <w:t xml:space="preserve">Atarashi, K., T. Tanoue, T. Shima, et al., </w:t>
      </w:r>
      <w:r w:rsidRPr="00BD072B">
        <w:rPr>
          <w:i/>
          <w:noProof/>
        </w:rPr>
        <w:t>Induction of colonic regulatory T cells by indigenous Clostridium species.</w:t>
      </w:r>
      <w:r>
        <w:rPr>
          <w:noProof/>
        </w:rPr>
        <w:t xml:space="preserve"> Science, 2011. </w:t>
      </w:r>
      <w:r w:rsidRPr="00BD072B">
        <w:rPr>
          <w:b/>
          <w:noProof/>
        </w:rPr>
        <w:t>331</w:t>
      </w:r>
      <w:r>
        <w:rPr>
          <w:noProof/>
        </w:rPr>
        <w:t>(6015): p. 337-41.</w:t>
      </w:r>
      <w:bookmarkEnd w:id="68"/>
    </w:p>
    <w:p w:rsidR="009475F0" w:rsidRDefault="009475F0" w:rsidP="001F2863">
      <w:pPr>
        <w:spacing w:after="0" w:line="240" w:lineRule="auto"/>
        <w:ind w:left="720" w:hanging="720"/>
        <w:rPr>
          <w:noProof/>
        </w:rPr>
      </w:pPr>
      <w:bookmarkStart w:id="69" w:name="_ENREF_69"/>
      <w:r>
        <w:rPr>
          <w:noProof/>
        </w:rPr>
        <w:t>69.</w:t>
      </w:r>
      <w:r>
        <w:rPr>
          <w:noProof/>
        </w:rPr>
        <w:tab/>
        <w:t xml:space="preserve">Geuking, M.B., J. Cahenzli, M.A. Lawson, et al., </w:t>
      </w:r>
      <w:r w:rsidRPr="00BD072B">
        <w:rPr>
          <w:i/>
          <w:noProof/>
        </w:rPr>
        <w:t>Intestinal bacterial colonization induces mutualistic regulatory T cell responses.</w:t>
      </w:r>
      <w:r>
        <w:rPr>
          <w:noProof/>
        </w:rPr>
        <w:t xml:space="preserve"> Immunity, 2011. </w:t>
      </w:r>
      <w:r w:rsidRPr="00BD072B">
        <w:rPr>
          <w:b/>
          <w:noProof/>
        </w:rPr>
        <w:t>34</w:t>
      </w:r>
      <w:r>
        <w:rPr>
          <w:noProof/>
        </w:rPr>
        <w:t>(5): p. 794-806.</w:t>
      </w:r>
      <w:bookmarkEnd w:id="69"/>
    </w:p>
    <w:p w:rsidR="009475F0" w:rsidRDefault="009475F0" w:rsidP="001F2863">
      <w:pPr>
        <w:spacing w:after="0" w:line="240" w:lineRule="auto"/>
        <w:ind w:left="720" w:hanging="720"/>
        <w:rPr>
          <w:noProof/>
        </w:rPr>
      </w:pPr>
      <w:bookmarkStart w:id="70" w:name="_ENREF_70"/>
      <w:r>
        <w:rPr>
          <w:noProof/>
        </w:rPr>
        <w:t>70.</w:t>
      </w:r>
      <w:r>
        <w:rPr>
          <w:noProof/>
        </w:rPr>
        <w:tab/>
        <w:t xml:space="preserve">Hoeppli, R.E., D. Wu, L. Cook, et al., </w:t>
      </w:r>
      <w:r w:rsidRPr="00BD072B">
        <w:rPr>
          <w:i/>
          <w:noProof/>
        </w:rPr>
        <w:t>The environment of regulatory T cell biology: cytokines, metabolites, and the microbiome.</w:t>
      </w:r>
      <w:r>
        <w:rPr>
          <w:noProof/>
        </w:rPr>
        <w:t xml:space="preserve"> Front Immunol, 2015. </w:t>
      </w:r>
      <w:r w:rsidRPr="00BD072B">
        <w:rPr>
          <w:b/>
          <w:noProof/>
        </w:rPr>
        <w:t>6</w:t>
      </w:r>
      <w:r>
        <w:rPr>
          <w:noProof/>
        </w:rPr>
        <w:t>: p. 61.</w:t>
      </w:r>
      <w:bookmarkEnd w:id="70"/>
    </w:p>
    <w:p w:rsidR="009475F0" w:rsidRDefault="009475F0" w:rsidP="001F2863">
      <w:pPr>
        <w:spacing w:after="0" w:line="240" w:lineRule="auto"/>
        <w:ind w:left="720" w:hanging="720"/>
        <w:rPr>
          <w:noProof/>
        </w:rPr>
      </w:pPr>
      <w:bookmarkStart w:id="71" w:name="_ENREF_71"/>
      <w:r>
        <w:rPr>
          <w:noProof/>
        </w:rPr>
        <w:t>71.</w:t>
      </w:r>
      <w:r>
        <w:rPr>
          <w:noProof/>
        </w:rPr>
        <w:tab/>
        <w:t xml:space="preserve">Lathrop, S.K., S.M. Bloom, S.M. Rao, et al., </w:t>
      </w:r>
      <w:r w:rsidRPr="00BD072B">
        <w:rPr>
          <w:i/>
          <w:noProof/>
        </w:rPr>
        <w:t>Peripheral education of the immune system by colonic commensal microbiota.</w:t>
      </w:r>
      <w:r>
        <w:rPr>
          <w:noProof/>
        </w:rPr>
        <w:t xml:space="preserve"> Nature, 2011. </w:t>
      </w:r>
      <w:r w:rsidRPr="00BD072B">
        <w:rPr>
          <w:b/>
          <w:noProof/>
        </w:rPr>
        <w:t>478</w:t>
      </w:r>
      <w:r>
        <w:rPr>
          <w:noProof/>
        </w:rPr>
        <w:t>(7368): p. 250-4.</w:t>
      </w:r>
      <w:bookmarkEnd w:id="71"/>
    </w:p>
    <w:p w:rsidR="009475F0" w:rsidRDefault="009475F0" w:rsidP="001F2863">
      <w:pPr>
        <w:spacing w:after="0" w:line="240" w:lineRule="auto"/>
        <w:ind w:left="720" w:hanging="720"/>
        <w:rPr>
          <w:noProof/>
        </w:rPr>
      </w:pPr>
      <w:bookmarkStart w:id="72" w:name="_ENREF_72"/>
      <w:r>
        <w:rPr>
          <w:noProof/>
        </w:rPr>
        <w:t>72.</w:t>
      </w:r>
      <w:r>
        <w:rPr>
          <w:noProof/>
        </w:rPr>
        <w:tab/>
        <w:t xml:space="preserve">Brestoff, J.R. and D. Artis, </w:t>
      </w:r>
      <w:r w:rsidRPr="00BD072B">
        <w:rPr>
          <w:i/>
          <w:noProof/>
        </w:rPr>
        <w:t>Commensal bacteria at the interface of host metabolism and the immune system.</w:t>
      </w:r>
      <w:r>
        <w:rPr>
          <w:noProof/>
        </w:rPr>
        <w:t xml:space="preserve"> Nat Immunol, 2013. </w:t>
      </w:r>
      <w:r w:rsidRPr="00BD072B">
        <w:rPr>
          <w:b/>
          <w:noProof/>
        </w:rPr>
        <w:t>14</w:t>
      </w:r>
      <w:r>
        <w:rPr>
          <w:noProof/>
        </w:rPr>
        <w:t>(7): p. 676-84.</w:t>
      </w:r>
      <w:bookmarkEnd w:id="72"/>
    </w:p>
    <w:p w:rsidR="009475F0" w:rsidRDefault="009475F0" w:rsidP="001F2863">
      <w:pPr>
        <w:spacing w:after="0" w:line="240" w:lineRule="auto"/>
        <w:ind w:left="720" w:hanging="720"/>
        <w:rPr>
          <w:noProof/>
        </w:rPr>
      </w:pPr>
      <w:bookmarkStart w:id="73" w:name="_ENREF_73"/>
      <w:r>
        <w:rPr>
          <w:noProof/>
        </w:rPr>
        <w:t>73.</w:t>
      </w:r>
      <w:r>
        <w:rPr>
          <w:noProof/>
        </w:rPr>
        <w:tab/>
        <w:t xml:space="preserve">An, D., S.F. Oh, T. Olszak, et al., </w:t>
      </w:r>
      <w:r w:rsidRPr="00BD072B">
        <w:rPr>
          <w:i/>
          <w:noProof/>
        </w:rPr>
        <w:t>Sphingolipids from a symbiotic microbe regulate homeostasis of host intestinal natural killer T cells.</w:t>
      </w:r>
      <w:r>
        <w:rPr>
          <w:noProof/>
        </w:rPr>
        <w:t xml:space="preserve"> Cell, 2014. </w:t>
      </w:r>
      <w:r w:rsidRPr="00BD072B">
        <w:rPr>
          <w:b/>
          <w:noProof/>
        </w:rPr>
        <w:t>156</w:t>
      </w:r>
      <w:r>
        <w:rPr>
          <w:noProof/>
        </w:rPr>
        <w:t>(1-2): p. 123-33.</w:t>
      </w:r>
      <w:bookmarkEnd w:id="73"/>
    </w:p>
    <w:p w:rsidR="009475F0" w:rsidRDefault="009475F0" w:rsidP="001F2863">
      <w:pPr>
        <w:spacing w:after="0" w:line="240" w:lineRule="auto"/>
        <w:ind w:left="720" w:hanging="720"/>
        <w:rPr>
          <w:noProof/>
        </w:rPr>
      </w:pPr>
      <w:bookmarkStart w:id="74" w:name="_ENREF_74"/>
      <w:r>
        <w:rPr>
          <w:noProof/>
        </w:rPr>
        <w:t>74.</w:t>
      </w:r>
      <w:r>
        <w:rPr>
          <w:noProof/>
        </w:rPr>
        <w:tab/>
        <w:t xml:space="preserve">Hamer, H.M., D. Jonkers, K. Venema, et al., </w:t>
      </w:r>
      <w:r w:rsidRPr="00BD072B">
        <w:rPr>
          <w:i/>
          <w:noProof/>
        </w:rPr>
        <w:t>Review article: the role of butyrate on colonic function.</w:t>
      </w:r>
      <w:r>
        <w:rPr>
          <w:noProof/>
        </w:rPr>
        <w:t xml:space="preserve"> Aliment Pharmacol Ther, 2008. </w:t>
      </w:r>
      <w:r w:rsidRPr="00BD072B">
        <w:rPr>
          <w:b/>
          <w:noProof/>
        </w:rPr>
        <w:t>27</w:t>
      </w:r>
      <w:r>
        <w:rPr>
          <w:noProof/>
        </w:rPr>
        <w:t>(2): p. 104-19.</w:t>
      </w:r>
      <w:bookmarkEnd w:id="74"/>
    </w:p>
    <w:p w:rsidR="009475F0" w:rsidRDefault="009475F0" w:rsidP="001F2863">
      <w:pPr>
        <w:spacing w:after="0" w:line="240" w:lineRule="auto"/>
        <w:ind w:left="720" w:hanging="720"/>
        <w:rPr>
          <w:noProof/>
        </w:rPr>
      </w:pPr>
      <w:bookmarkStart w:id="75" w:name="_ENREF_75"/>
      <w:r>
        <w:rPr>
          <w:noProof/>
        </w:rPr>
        <w:t>75.</w:t>
      </w:r>
      <w:r>
        <w:rPr>
          <w:noProof/>
        </w:rPr>
        <w:tab/>
        <w:t xml:space="preserve">Finnie, I.A., A.D. Dwarakanath, B.A. Taylor, et al., </w:t>
      </w:r>
      <w:r w:rsidRPr="00BD072B">
        <w:rPr>
          <w:i/>
          <w:noProof/>
        </w:rPr>
        <w:t>Colonic mucin synthesis is increased by sodium butyrate.</w:t>
      </w:r>
      <w:r>
        <w:rPr>
          <w:noProof/>
        </w:rPr>
        <w:t xml:space="preserve"> Gut, 1995. </w:t>
      </w:r>
      <w:r w:rsidRPr="00BD072B">
        <w:rPr>
          <w:b/>
          <w:noProof/>
        </w:rPr>
        <w:t>36</w:t>
      </w:r>
      <w:r>
        <w:rPr>
          <w:noProof/>
        </w:rPr>
        <w:t>(1): p. 93-9.</w:t>
      </w:r>
      <w:bookmarkEnd w:id="75"/>
    </w:p>
    <w:p w:rsidR="009475F0" w:rsidRDefault="009475F0" w:rsidP="001F2863">
      <w:pPr>
        <w:spacing w:after="0" w:line="240" w:lineRule="auto"/>
        <w:ind w:left="720" w:hanging="720"/>
        <w:rPr>
          <w:noProof/>
        </w:rPr>
      </w:pPr>
      <w:bookmarkStart w:id="76" w:name="_ENREF_76"/>
      <w:r>
        <w:rPr>
          <w:noProof/>
        </w:rPr>
        <w:t>76.</w:t>
      </w:r>
      <w:r>
        <w:rPr>
          <w:noProof/>
        </w:rPr>
        <w:tab/>
        <w:t xml:space="preserve">Shimotoyodome, A., S. Meguro, T. Hase, et al., </w:t>
      </w:r>
      <w:r w:rsidRPr="00BD072B">
        <w:rPr>
          <w:i/>
          <w:noProof/>
        </w:rPr>
        <w:t>Short chain fatty acids but not lactate or succinate stimulate mucus release in the rat colon.</w:t>
      </w:r>
      <w:r>
        <w:rPr>
          <w:noProof/>
        </w:rPr>
        <w:t xml:space="preserve"> Comp Biochem Physiol A Mol Integr Physiol, 2000. </w:t>
      </w:r>
      <w:r w:rsidRPr="00BD072B">
        <w:rPr>
          <w:b/>
          <w:noProof/>
        </w:rPr>
        <w:t>125</w:t>
      </w:r>
      <w:r>
        <w:rPr>
          <w:noProof/>
        </w:rPr>
        <w:t>(4): p. 525-31.</w:t>
      </w:r>
      <w:bookmarkEnd w:id="76"/>
    </w:p>
    <w:p w:rsidR="009475F0" w:rsidRDefault="009475F0" w:rsidP="001F2863">
      <w:pPr>
        <w:spacing w:after="0" w:line="240" w:lineRule="auto"/>
        <w:ind w:left="720" w:hanging="720"/>
        <w:rPr>
          <w:noProof/>
        </w:rPr>
      </w:pPr>
      <w:bookmarkStart w:id="77" w:name="_ENREF_77"/>
      <w:r>
        <w:rPr>
          <w:noProof/>
        </w:rPr>
        <w:t>77.</w:t>
      </w:r>
      <w:r>
        <w:rPr>
          <w:noProof/>
        </w:rPr>
        <w:tab/>
        <w:t xml:space="preserve">Pryde, S.E., S.H. Duncan, G.L. Hold, et al., </w:t>
      </w:r>
      <w:r w:rsidRPr="00BD072B">
        <w:rPr>
          <w:i/>
          <w:noProof/>
        </w:rPr>
        <w:t>The microbiology of butyrate formation in the human colon.</w:t>
      </w:r>
      <w:r>
        <w:rPr>
          <w:noProof/>
        </w:rPr>
        <w:t xml:space="preserve"> FEMS Microbiol Lett, 2002. </w:t>
      </w:r>
      <w:r w:rsidRPr="00BD072B">
        <w:rPr>
          <w:b/>
          <w:noProof/>
        </w:rPr>
        <w:t>217</w:t>
      </w:r>
      <w:r>
        <w:rPr>
          <w:noProof/>
        </w:rPr>
        <w:t>(2): p. 133-9.</w:t>
      </w:r>
      <w:bookmarkEnd w:id="77"/>
    </w:p>
    <w:p w:rsidR="009475F0" w:rsidRDefault="009475F0" w:rsidP="001F2863">
      <w:pPr>
        <w:spacing w:after="0" w:line="240" w:lineRule="auto"/>
        <w:ind w:left="720" w:hanging="720"/>
        <w:rPr>
          <w:noProof/>
        </w:rPr>
      </w:pPr>
      <w:bookmarkStart w:id="78" w:name="_ENREF_78"/>
      <w:r>
        <w:rPr>
          <w:noProof/>
        </w:rPr>
        <w:lastRenderedPageBreak/>
        <w:t>78.</w:t>
      </w:r>
      <w:r>
        <w:rPr>
          <w:noProof/>
        </w:rPr>
        <w:tab/>
        <w:t xml:space="preserve">Duncan, S.H., G. Holtrop, G.E. Lobley, et al., </w:t>
      </w:r>
      <w:r w:rsidRPr="00BD072B">
        <w:rPr>
          <w:i/>
          <w:noProof/>
        </w:rPr>
        <w:t>Contribution of acetate to butyrate formation by human faecal bacteria.</w:t>
      </w:r>
      <w:r>
        <w:rPr>
          <w:noProof/>
        </w:rPr>
        <w:t xml:space="preserve"> Br J Nutr, 2004. </w:t>
      </w:r>
      <w:r w:rsidRPr="00BD072B">
        <w:rPr>
          <w:b/>
          <w:noProof/>
        </w:rPr>
        <w:t>91</w:t>
      </w:r>
      <w:r>
        <w:rPr>
          <w:noProof/>
        </w:rPr>
        <w:t>(6): p. 915-23.</w:t>
      </w:r>
      <w:bookmarkEnd w:id="78"/>
    </w:p>
    <w:p w:rsidR="009475F0" w:rsidRDefault="009475F0" w:rsidP="001F2863">
      <w:pPr>
        <w:spacing w:after="0" w:line="240" w:lineRule="auto"/>
        <w:ind w:left="720" w:hanging="720"/>
        <w:rPr>
          <w:noProof/>
        </w:rPr>
      </w:pPr>
      <w:bookmarkStart w:id="79" w:name="_ENREF_79"/>
      <w:r>
        <w:rPr>
          <w:noProof/>
        </w:rPr>
        <w:t>79.</w:t>
      </w:r>
      <w:r>
        <w:rPr>
          <w:noProof/>
        </w:rPr>
        <w:tab/>
        <w:t xml:space="preserve">Barcenilla, A., S.E. Pryde, J.C. Martin, et al., </w:t>
      </w:r>
      <w:r w:rsidRPr="00BD072B">
        <w:rPr>
          <w:i/>
          <w:noProof/>
        </w:rPr>
        <w:t>Phylogenetic relationships of butyrate-producing bacteria from the human gut.</w:t>
      </w:r>
      <w:r>
        <w:rPr>
          <w:noProof/>
        </w:rPr>
        <w:t xml:space="preserve"> Appl Environ Microbiol, 2000. </w:t>
      </w:r>
      <w:r w:rsidRPr="00BD072B">
        <w:rPr>
          <w:b/>
          <w:noProof/>
        </w:rPr>
        <w:t>66</w:t>
      </w:r>
      <w:r>
        <w:rPr>
          <w:noProof/>
        </w:rPr>
        <w:t>(4): p. 1654-61.</w:t>
      </w:r>
      <w:bookmarkEnd w:id="79"/>
    </w:p>
    <w:p w:rsidR="009475F0" w:rsidRDefault="009475F0" w:rsidP="001F2863">
      <w:pPr>
        <w:spacing w:after="0" w:line="240" w:lineRule="auto"/>
        <w:ind w:left="720" w:hanging="720"/>
        <w:rPr>
          <w:noProof/>
        </w:rPr>
      </w:pPr>
      <w:bookmarkStart w:id="80" w:name="_ENREF_80"/>
      <w:r>
        <w:rPr>
          <w:noProof/>
        </w:rPr>
        <w:t>80.</w:t>
      </w:r>
      <w:r>
        <w:rPr>
          <w:noProof/>
        </w:rPr>
        <w:tab/>
        <w:t xml:space="preserve">Louis, P., S.H. Duncan, S.I. McCrae, et al., </w:t>
      </w:r>
      <w:r w:rsidRPr="00BD072B">
        <w:rPr>
          <w:i/>
          <w:noProof/>
        </w:rPr>
        <w:t>Restricted distribution of the butyrate kinase pathway among butyrate-producing bacteria from the human colon.</w:t>
      </w:r>
      <w:r>
        <w:rPr>
          <w:noProof/>
        </w:rPr>
        <w:t xml:space="preserve"> J Bacteriol, 2004. </w:t>
      </w:r>
      <w:r w:rsidRPr="00BD072B">
        <w:rPr>
          <w:b/>
          <w:noProof/>
        </w:rPr>
        <w:t>186</w:t>
      </w:r>
      <w:r>
        <w:rPr>
          <w:noProof/>
        </w:rPr>
        <w:t>(7): p. 2099-106.</w:t>
      </w:r>
      <w:bookmarkEnd w:id="80"/>
    </w:p>
    <w:p w:rsidR="009475F0" w:rsidRDefault="009475F0" w:rsidP="001F2863">
      <w:pPr>
        <w:spacing w:after="0" w:line="240" w:lineRule="auto"/>
        <w:ind w:left="720" w:hanging="720"/>
        <w:rPr>
          <w:noProof/>
        </w:rPr>
      </w:pPr>
      <w:bookmarkStart w:id="81" w:name="_ENREF_81"/>
      <w:r>
        <w:rPr>
          <w:noProof/>
        </w:rPr>
        <w:t>81.</w:t>
      </w:r>
      <w:r>
        <w:rPr>
          <w:noProof/>
        </w:rPr>
        <w:tab/>
        <w:t xml:space="preserve">Flint, H.J., S.H. Duncan, K.P. Scott, et al., </w:t>
      </w:r>
      <w:r w:rsidRPr="00BD072B">
        <w:rPr>
          <w:i/>
          <w:noProof/>
        </w:rPr>
        <w:t>Interactions and competition within the microbial community of the human colon: links between diet and health.</w:t>
      </w:r>
      <w:r>
        <w:rPr>
          <w:noProof/>
        </w:rPr>
        <w:t xml:space="preserve"> Environ Microbiol, 2007. </w:t>
      </w:r>
      <w:r w:rsidRPr="00BD072B">
        <w:rPr>
          <w:b/>
          <w:noProof/>
        </w:rPr>
        <w:t>9</w:t>
      </w:r>
      <w:r>
        <w:rPr>
          <w:noProof/>
        </w:rPr>
        <w:t>(5): p. 1101-11.</w:t>
      </w:r>
      <w:bookmarkEnd w:id="81"/>
    </w:p>
    <w:p w:rsidR="009475F0" w:rsidRDefault="009475F0" w:rsidP="001F2863">
      <w:pPr>
        <w:spacing w:after="0" w:line="240" w:lineRule="auto"/>
        <w:ind w:left="720" w:hanging="720"/>
        <w:rPr>
          <w:noProof/>
        </w:rPr>
      </w:pPr>
      <w:bookmarkStart w:id="82" w:name="_ENREF_82"/>
      <w:r>
        <w:rPr>
          <w:noProof/>
        </w:rPr>
        <w:t>82.</w:t>
      </w:r>
      <w:r>
        <w:rPr>
          <w:noProof/>
        </w:rPr>
        <w:tab/>
        <w:t xml:space="preserve">Chassard, C. and A. Bernalier-Donadille, </w:t>
      </w:r>
      <w:r w:rsidRPr="00BD072B">
        <w:rPr>
          <w:i/>
          <w:noProof/>
        </w:rPr>
        <w:t>H2 and acetate transfers during xylan fermentation between a butyrate-producing xylanolytic species and hydrogenotrophic microorganisms from the human gut.</w:t>
      </w:r>
      <w:r>
        <w:rPr>
          <w:noProof/>
        </w:rPr>
        <w:t xml:space="preserve"> FEMS Microbiol Lett, 2006. </w:t>
      </w:r>
      <w:r w:rsidRPr="00BD072B">
        <w:rPr>
          <w:b/>
          <w:noProof/>
        </w:rPr>
        <w:t>254</w:t>
      </w:r>
      <w:r>
        <w:rPr>
          <w:noProof/>
        </w:rPr>
        <w:t>(1): p. 116-22.</w:t>
      </w:r>
      <w:bookmarkEnd w:id="82"/>
    </w:p>
    <w:p w:rsidR="009475F0" w:rsidRDefault="009475F0" w:rsidP="001F2863">
      <w:pPr>
        <w:spacing w:after="0" w:line="240" w:lineRule="auto"/>
        <w:ind w:left="720" w:hanging="720"/>
        <w:rPr>
          <w:noProof/>
        </w:rPr>
      </w:pPr>
      <w:bookmarkStart w:id="83" w:name="_ENREF_83"/>
      <w:r>
        <w:rPr>
          <w:noProof/>
        </w:rPr>
        <w:t>83.</w:t>
      </w:r>
      <w:r>
        <w:rPr>
          <w:noProof/>
        </w:rPr>
        <w:tab/>
        <w:t xml:space="preserve">Louis, P., G.L. Hold, and H.J. Flint, </w:t>
      </w:r>
      <w:r w:rsidRPr="00BD072B">
        <w:rPr>
          <w:i/>
          <w:noProof/>
        </w:rPr>
        <w:t>The gut microbiota, bacterial metabolites and colorectal cancer.</w:t>
      </w:r>
      <w:r>
        <w:rPr>
          <w:noProof/>
        </w:rPr>
        <w:t xml:space="preserve"> Nat Rev Microbiol, 2014. </w:t>
      </w:r>
      <w:r w:rsidRPr="00BD072B">
        <w:rPr>
          <w:b/>
          <w:noProof/>
        </w:rPr>
        <w:t>12</w:t>
      </w:r>
      <w:r>
        <w:rPr>
          <w:noProof/>
        </w:rPr>
        <w:t>(10): p. 661-72.</w:t>
      </w:r>
      <w:bookmarkEnd w:id="83"/>
    </w:p>
    <w:p w:rsidR="009475F0" w:rsidRDefault="009475F0" w:rsidP="001F2863">
      <w:pPr>
        <w:spacing w:after="0" w:line="240" w:lineRule="auto"/>
        <w:ind w:left="720" w:hanging="720"/>
        <w:rPr>
          <w:noProof/>
        </w:rPr>
      </w:pPr>
      <w:bookmarkStart w:id="84" w:name="_ENREF_84"/>
      <w:r>
        <w:rPr>
          <w:noProof/>
        </w:rPr>
        <w:t>84.</w:t>
      </w:r>
      <w:r>
        <w:rPr>
          <w:noProof/>
        </w:rPr>
        <w:tab/>
        <w:t xml:space="preserve">Dar, S.A., R. Kleerebezem, A.J. Stams, et al., </w:t>
      </w:r>
      <w:r w:rsidRPr="00BD072B">
        <w:rPr>
          <w:i/>
          <w:noProof/>
        </w:rPr>
        <w:t>Competition and coexistence of sulfate-reducing bacteria, acetogens and methanogens in a lab-scale anaerobic bioreactor as affected by changing substrate to sulfate ratio.</w:t>
      </w:r>
      <w:r>
        <w:rPr>
          <w:noProof/>
        </w:rPr>
        <w:t xml:space="preserve"> Appl Microbiol Biotechnol, 2008. </w:t>
      </w:r>
      <w:r w:rsidRPr="00BD072B">
        <w:rPr>
          <w:b/>
          <w:noProof/>
        </w:rPr>
        <w:t>78</w:t>
      </w:r>
      <w:r>
        <w:rPr>
          <w:noProof/>
        </w:rPr>
        <w:t>(6): p. 1045-55.</w:t>
      </w:r>
      <w:bookmarkEnd w:id="84"/>
    </w:p>
    <w:p w:rsidR="009475F0" w:rsidRDefault="009475F0" w:rsidP="001F2863">
      <w:pPr>
        <w:spacing w:after="0" w:line="240" w:lineRule="auto"/>
        <w:ind w:left="720" w:hanging="720"/>
        <w:rPr>
          <w:noProof/>
        </w:rPr>
      </w:pPr>
      <w:bookmarkStart w:id="85" w:name="_ENREF_85"/>
      <w:r>
        <w:rPr>
          <w:noProof/>
        </w:rPr>
        <w:t>85.</w:t>
      </w:r>
      <w:r>
        <w:rPr>
          <w:noProof/>
        </w:rPr>
        <w:tab/>
        <w:t xml:space="preserve">Willis, C.L., J.H. Cummings, G. Neale, et al., </w:t>
      </w:r>
      <w:r w:rsidRPr="00BD072B">
        <w:rPr>
          <w:i/>
          <w:noProof/>
        </w:rPr>
        <w:t>In vitro effects of mucin fermentation on the growth of human colonic sulphate-reducing bacteria.</w:t>
      </w:r>
      <w:r>
        <w:rPr>
          <w:noProof/>
        </w:rPr>
        <w:t xml:space="preserve"> Anaerobe, 1996. </w:t>
      </w:r>
      <w:r w:rsidRPr="00BD072B">
        <w:rPr>
          <w:b/>
          <w:noProof/>
        </w:rPr>
        <w:t>2</w:t>
      </w:r>
      <w:r>
        <w:rPr>
          <w:noProof/>
        </w:rPr>
        <w:t>(2): p. 117-122.</w:t>
      </w:r>
      <w:bookmarkEnd w:id="85"/>
    </w:p>
    <w:p w:rsidR="009475F0" w:rsidRDefault="007E1262" w:rsidP="001F2863">
      <w:pPr>
        <w:spacing w:after="0" w:line="240" w:lineRule="auto"/>
        <w:ind w:left="720" w:hanging="720"/>
        <w:rPr>
          <w:noProof/>
        </w:rPr>
      </w:pPr>
      <w:bookmarkStart w:id="86" w:name="_ENREF_86"/>
      <w:r>
        <w:rPr>
          <w:noProof/>
        </w:rPr>
        <w:t>86.</w:t>
      </w:r>
      <w:r>
        <w:rPr>
          <w:noProof/>
        </w:rPr>
        <w:tab/>
        <w:t>KEGG Database</w:t>
      </w:r>
      <w:r w:rsidR="009475F0">
        <w:rPr>
          <w:noProof/>
        </w:rPr>
        <w:t xml:space="preserve">, </w:t>
      </w:r>
      <w:r w:rsidR="009475F0" w:rsidRPr="009475F0">
        <w:rPr>
          <w:i/>
          <w:noProof/>
        </w:rPr>
        <w:t>http://www.genome.jp/kegg-bin/show_pathway?amu00920</w:t>
      </w:r>
      <w:r w:rsidR="009475F0" w:rsidRPr="00BD072B">
        <w:rPr>
          <w:i/>
          <w:noProof/>
        </w:rPr>
        <w:t>.</w:t>
      </w:r>
      <w:r w:rsidR="009475F0">
        <w:rPr>
          <w:noProof/>
        </w:rPr>
        <w:t xml:space="preserve"> Accessed 26 November 2015.</w:t>
      </w:r>
      <w:bookmarkEnd w:id="86"/>
    </w:p>
    <w:p w:rsidR="009475F0" w:rsidRDefault="009475F0" w:rsidP="001F2863">
      <w:pPr>
        <w:spacing w:after="0" w:line="240" w:lineRule="auto"/>
        <w:ind w:left="720" w:hanging="720"/>
        <w:rPr>
          <w:noProof/>
        </w:rPr>
      </w:pPr>
      <w:bookmarkStart w:id="87" w:name="_ENREF_87"/>
      <w:r>
        <w:rPr>
          <w:noProof/>
        </w:rPr>
        <w:t>87.</w:t>
      </w:r>
      <w:r>
        <w:rPr>
          <w:noProof/>
        </w:rPr>
        <w:tab/>
        <w:t xml:space="preserve">Vaarala, O., </w:t>
      </w:r>
      <w:r w:rsidRPr="00BD072B">
        <w:rPr>
          <w:i/>
          <w:noProof/>
        </w:rPr>
        <w:t>Is the origin of type 1 diabetes in the gut?</w:t>
      </w:r>
      <w:r>
        <w:rPr>
          <w:noProof/>
        </w:rPr>
        <w:t xml:space="preserve"> Immunol Cell Biol, 2012. </w:t>
      </w:r>
      <w:r w:rsidRPr="00BD072B">
        <w:rPr>
          <w:b/>
          <w:noProof/>
        </w:rPr>
        <w:t>90</w:t>
      </w:r>
      <w:r>
        <w:rPr>
          <w:noProof/>
        </w:rPr>
        <w:t>(3): p. 271-6.</w:t>
      </w:r>
      <w:bookmarkEnd w:id="87"/>
    </w:p>
    <w:p w:rsidR="009475F0" w:rsidRDefault="009475F0" w:rsidP="001F2863">
      <w:pPr>
        <w:spacing w:after="0" w:line="240" w:lineRule="auto"/>
        <w:ind w:left="720" w:hanging="720"/>
        <w:rPr>
          <w:noProof/>
        </w:rPr>
      </w:pPr>
      <w:bookmarkStart w:id="88" w:name="_ENREF_88"/>
      <w:r>
        <w:rPr>
          <w:noProof/>
        </w:rPr>
        <w:t>88.</w:t>
      </w:r>
      <w:r>
        <w:rPr>
          <w:noProof/>
        </w:rPr>
        <w:tab/>
        <w:t xml:space="preserve">Vaarala, O., </w:t>
      </w:r>
      <w:r w:rsidRPr="00BD072B">
        <w:rPr>
          <w:i/>
          <w:noProof/>
        </w:rPr>
        <w:t>Leaking gut in type 1 diabetes.</w:t>
      </w:r>
      <w:r>
        <w:rPr>
          <w:noProof/>
        </w:rPr>
        <w:t xml:space="preserve"> Curr Opin Gastroenterol, 2008. </w:t>
      </w:r>
      <w:r w:rsidRPr="00BD072B">
        <w:rPr>
          <w:b/>
          <w:noProof/>
        </w:rPr>
        <w:t>24</w:t>
      </w:r>
      <w:r>
        <w:rPr>
          <w:noProof/>
        </w:rPr>
        <w:t>(6): p. 701-6.</w:t>
      </w:r>
      <w:bookmarkEnd w:id="88"/>
    </w:p>
    <w:p w:rsidR="009475F0" w:rsidRDefault="009475F0" w:rsidP="001F2863">
      <w:pPr>
        <w:spacing w:after="0" w:line="240" w:lineRule="auto"/>
        <w:ind w:left="720" w:hanging="720"/>
        <w:rPr>
          <w:noProof/>
        </w:rPr>
      </w:pPr>
      <w:bookmarkStart w:id="89" w:name="_ENREF_89"/>
      <w:r>
        <w:rPr>
          <w:noProof/>
        </w:rPr>
        <w:t>89.</w:t>
      </w:r>
      <w:r>
        <w:rPr>
          <w:noProof/>
        </w:rPr>
        <w:tab/>
        <w:t xml:space="preserve">Kuitunen, M., T. Saukkonen, J. Ilonen, et al., </w:t>
      </w:r>
      <w:r w:rsidRPr="00BD072B">
        <w:rPr>
          <w:i/>
          <w:noProof/>
        </w:rPr>
        <w:t>Intestinal permeability to mannitol and lactulose in children with type 1 diabetes with the HLA-DQB1*02 allele.</w:t>
      </w:r>
      <w:r>
        <w:rPr>
          <w:noProof/>
        </w:rPr>
        <w:t xml:space="preserve"> Autoimmunity, 2002. </w:t>
      </w:r>
      <w:r w:rsidRPr="00BD072B">
        <w:rPr>
          <w:b/>
          <w:noProof/>
        </w:rPr>
        <w:t>35</w:t>
      </w:r>
      <w:r>
        <w:rPr>
          <w:noProof/>
        </w:rPr>
        <w:t>(5): p. 365-8.</w:t>
      </w:r>
      <w:bookmarkEnd w:id="89"/>
    </w:p>
    <w:p w:rsidR="009475F0" w:rsidRDefault="009475F0" w:rsidP="001F2863">
      <w:pPr>
        <w:spacing w:after="0" w:line="240" w:lineRule="auto"/>
        <w:ind w:left="720" w:hanging="720"/>
        <w:rPr>
          <w:noProof/>
        </w:rPr>
      </w:pPr>
      <w:bookmarkStart w:id="90" w:name="_ENREF_90"/>
      <w:r>
        <w:rPr>
          <w:noProof/>
        </w:rPr>
        <w:t>90.</w:t>
      </w:r>
      <w:r>
        <w:rPr>
          <w:noProof/>
        </w:rPr>
        <w:tab/>
        <w:t xml:space="preserve">Sapone, A., L. de Magistris, M. Pietzak, et al., </w:t>
      </w:r>
      <w:r w:rsidRPr="00BD072B">
        <w:rPr>
          <w:i/>
          <w:noProof/>
        </w:rPr>
        <w:t>Zonulin upregulation is associated with increased gut permeability in subjects with type 1 diabetes and their relatives.</w:t>
      </w:r>
      <w:r>
        <w:rPr>
          <w:noProof/>
        </w:rPr>
        <w:t xml:space="preserve"> Diabetes, 2006. </w:t>
      </w:r>
      <w:r w:rsidRPr="00BD072B">
        <w:rPr>
          <w:b/>
          <w:noProof/>
        </w:rPr>
        <w:t>55</w:t>
      </w:r>
      <w:r>
        <w:rPr>
          <w:noProof/>
        </w:rPr>
        <w:t>(5): p. 1443-9.</w:t>
      </w:r>
      <w:bookmarkEnd w:id="90"/>
    </w:p>
    <w:p w:rsidR="009475F0" w:rsidRDefault="009475F0" w:rsidP="001F2863">
      <w:pPr>
        <w:spacing w:after="0" w:line="240" w:lineRule="auto"/>
        <w:ind w:left="720" w:hanging="720"/>
        <w:rPr>
          <w:noProof/>
        </w:rPr>
      </w:pPr>
      <w:bookmarkStart w:id="91" w:name="_ENREF_91"/>
      <w:r>
        <w:rPr>
          <w:noProof/>
        </w:rPr>
        <w:t>91.</w:t>
      </w:r>
      <w:r>
        <w:rPr>
          <w:noProof/>
        </w:rPr>
        <w:tab/>
        <w:t xml:space="preserve">Secondulfo, M., D. Iafusco, R. Carratu, et al., </w:t>
      </w:r>
      <w:r w:rsidRPr="00BD072B">
        <w:rPr>
          <w:i/>
          <w:noProof/>
        </w:rPr>
        <w:t>Ultrastructural mucosal alterations and increased intestinal permeability in non-celiac, type I diabetic patients.</w:t>
      </w:r>
      <w:r>
        <w:rPr>
          <w:noProof/>
        </w:rPr>
        <w:t xml:space="preserve"> Dig Liver Dis, 2004. </w:t>
      </w:r>
      <w:r w:rsidRPr="00BD072B">
        <w:rPr>
          <w:b/>
          <w:noProof/>
        </w:rPr>
        <w:t>36</w:t>
      </w:r>
      <w:r>
        <w:rPr>
          <w:noProof/>
        </w:rPr>
        <w:t>(1): p. 35-45.</w:t>
      </w:r>
      <w:bookmarkEnd w:id="91"/>
    </w:p>
    <w:p w:rsidR="009475F0" w:rsidRDefault="009475F0" w:rsidP="001F2863">
      <w:pPr>
        <w:spacing w:after="0" w:line="240" w:lineRule="auto"/>
        <w:ind w:left="720" w:hanging="720"/>
        <w:rPr>
          <w:noProof/>
        </w:rPr>
      </w:pPr>
      <w:bookmarkStart w:id="92" w:name="_ENREF_92"/>
      <w:r>
        <w:rPr>
          <w:noProof/>
        </w:rPr>
        <w:t>92.</w:t>
      </w:r>
      <w:r>
        <w:rPr>
          <w:noProof/>
        </w:rPr>
        <w:tab/>
        <w:t xml:space="preserve">Bosi, E., L. Molteni, M.G. Radaelli, et al., </w:t>
      </w:r>
      <w:r w:rsidRPr="00BD072B">
        <w:rPr>
          <w:i/>
          <w:noProof/>
        </w:rPr>
        <w:t>Increased intestinal permeability precedes clinical onset of type 1 diabetes.</w:t>
      </w:r>
      <w:r>
        <w:rPr>
          <w:noProof/>
        </w:rPr>
        <w:t xml:space="preserve"> Diabetologia, 2006. </w:t>
      </w:r>
      <w:r w:rsidRPr="00BD072B">
        <w:rPr>
          <w:b/>
          <w:noProof/>
        </w:rPr>
        <w:t>49</w:t>
      </w:r>
      <w:r>
        <w:rPr>
          <w:noProof/>
        </w:rPr>
        <w:t>(12): p. 2824-7.</w:t>
      </w:r>
      <w:bookmarkEnd w:id="92"/>
    </w:p>
    <w:p w:rsidR="009475F0" w:rsidRDefault="009475F0" w:rsidP="001F2863">
      <w:pPr>
        <w:spacing w:after="0" w:line="240" w:lineRule="auto"/>
        <w:ind w:left="720" w:hanging="720"/>
        <w:rPr>
          <w:noProof/>
        </w:rPr>
      </w:pPr>
      <w:bookmarkStart w:id="93" w:name="_ENREF_93"/>
      <w:r>
        <w:rPr>
          <w:noProof/>
        </w:rPr>
        <w:t>93.</w:t>
      </w:r>
      <w:r>
        <w:rPr>
          <w:noProof/>
        </w:rPr>
        <w:tab/>
        <w:t xml:space="preserve">Mooradian, A.D., J.E. Morley, A.S. Levine, et al., </w:t>
      </w:r>
      <w:r w:rsidRPr="00BD072B">
        <w:rPr>
          <w:i/>
          <w:noProof/>
        </w:rPr>
        <w:t>Abnormal intestinal permeability to sugars in diabetes mellitus.</w:t>
      </w:r>
      <w:r>
        <w:rPr>
          <w:noProof/>
        </w:rPr>
        <w:t xml:space="preserve"> Diabetologia, 1986. </w:t>
      </w:r>
      <w:r w:rsidRPr="00BD072B">
        <w:rPr>
          <w:b/>
          <w:noProof/>
        </w:rPr>
        <w:t>29</w:t>
      </w:r>
      <w:r>
        <w:rPr>
          <w:noProof/>
        </w:rPr>
        <w:t>(4): p. 221-4.</w:t>
      </w:r>
      <w:bookmarkEnd w:id="93"/>
    </w:p>
    <w:p w:rsidR="009475F0" w:rsidRDefault="009475F0" w:rsidP="001F2863">
      <w:pPr>
        <w:spacing w:after="0" w:line="240" w:lineRule="auto"/>
        <w:ind w:left="720" w:hanging="720"/>
        <w:rPr>
          <w:noProof/>
        </w:rPr>
      </w:pPr>
      <w:bookmarkStart w:id="94" w:name="_ENREF_94"/>
      <w:r>
        <w:rPr>
          <w:noProof/>
        </w:rPr>
        <w:t>94.</w:t>
      </w:r>
      <w:r>
        <w:rPr>
          <w:noProof/>
        </w:rPr>
        <w:tab/>
        <w:t xml:space="preserve">Rook, G.A. and L.R. Brunet, </w:t>
      </w:r>
      <w:r w:rsidRPr="00BD072B">
        <w:rPr>
          <w:i/>
          <w:noProof/>
        </w:rPr>
        <w:t>Microbes, immunoregulation, and the gut.</w:t>
      </w:r>
      <w:r>
        <w:rPr>
          <w:noProof/>
        </w:rPr>
        <w:t xml:space="preserve"> Gut, 2005. </w:t>
      </w:r>
      <w:r w:rsidRPr="00BD072B">
        <w:rPr>
          <w:b/>
          <w:noProof/>
        </w:rPr>
        <w:t>54</w:t>
      </w:r>
      <w:r>
        <w:rPr>
          <w:noProof/>
        </w:rPr>
        <w:t>(3): p. 317-20.</w:t>
      </w:r>
      <w:bookmarkEnd w:id="94"/>
    </w:p>
    <w:p w:rsidR="009475F0" w:rsidRDefault="009475F0" w:rsidP="001F2863">
      <w:pPr>
        <w:spacing w:after="0" w:line="240" w:lineRule="auto"/>
        <w:ind w:left="720" w:hanging="720"/>
        <w:rPr>
          <w:noProof/>
        </w:rPr>
      </w:pPr>
      <w:bookmarkStart w:id="95" w:name="_ENREF_95"/>
      <w:r>
        <w:rPr>
          <w:noProof/>
        </w:rPr>
        <w:t>95.</w:t>
      </w:r>
      <w:r>
        <w:rPr>
          <w:noProof/>
        </w:rPr>
        <w:tab/>
        <w:t xml:space="preserve">Vaarala, O., M.A. Atkinson, and J. Neu, </w:t>
      </w:r>
      <w:r w:rsidRPr="00BD072B">
        <w:rPr>
          <w:i/>
          <w:noProof/>
        </w:rPr>
        <w:t>The "perfect storm" for type 1 diabetes: the complex interplay between intestinal microbiota, gut permeability, and mucosal immunity.</w:t>
      </w:r>
      <w:r>
        <w:rPr>
          <w:noProof/>
        </w:rPr>
        <w:t xml:space="preserve"> Diabetes, 2008. </w:t>
      </w:r>
      <w:r w:rsidRPr="00BD072B">
        <w:rPr>
          <w:b/>
          <w:noProof/>
        </w:rPr>
        <w:t>57</w:t>
      </w:r>
      <w:r>
        <w:rPr>
          <w:noProof/>
        </w:rPr>
        <w:t>(10): p. 2555-62.</w:t>
      </w:r>
      <w:bookmarkEnd w:id="95"/>
    </w:p>
    <w:p w:rsidR="009475F0" w:rsidRDefault="009475F0" w:rsidP="001F2863">
      <w:pPr>
        <w:spacing w:after="0" w:line="240" w:lineRule="auto"/>
        <w:ind w:left="720" w:hanging="720"/>
        <w:rPr>
          <w:noProof/>
        </w:rPr>
      </w:pPr>
      <w:bookmarkStart w:id="96" w:name="_ENREF_96"/>
      <w:r>
        <w:rPr>
          <w:noProof/>
        </w:rPr>
        <w:t>96.</w:t>
      </w:r>
      <w:r>
        <w:rPr>
          <w:noProof/>
        </w:rPr>
        <w:tab/>
        <w:t xml:space="preserve">Bach, J.F. and L. Chatenoud, </w:t>
      </w:r>
      <w:r w:rsidRPr="00BD072B">
        <w:rPr>
          <w:i/>
          <w:noProof/>
        </w:rPr>
        <w:t>The hygiene hypothesis: an explanation for the increased frequency of insulin-dependent diabetes.</w:t>
      </w:r>
      <w:r>
        <w:rPr>
          <w:noProof/>
        </w:rPr>
        <w:t xml:space="preserve"> Cold Spring Harb Perspect Med, 2012. </w:t>
      </w:r>
      <w:r w:rsidRPr="00BD072B">
        <w:rPr>
          <w:b/>
          <w:noProof/>
        </w:rPr>
        <w:t>2</w:t>
      </w:r>
      <w:r>
        <w:rPr>
          <w:noProof/>
        </w:rPr>
        <w:t>(2): p. a007799.</w:t>
      </w:r>
      <w:bookmarkEnd w:id="96"/>
    </w:p>
    <w:p w:rsidR="009475F0" w:rsidRDefault="009475F0" w:rsidP="001F2863">
      <w:pPr>
        <w:spacing w:after="0" w:line="240" w:lineRule="auto"/>
        <w:ind w:left="720" w:hanging="720"/>
        <w:rPr>
          <w:noProof/>
        </w:rPr>
      </w:pPr>
      <w:bookmarkStart w:id="97" w:name="_ENREF_97"/>
      <w:r>
        <w:rPr>
          <w:noProof/>
        </w:rPr>
        <w:t>97.</w:t>
      </w:r>
      <w:r>
        <w:rPr>
          <w:noProof/>
        </w:rPr>
        <w:tab/>
        <w:t xml:space="preserve">Virtanen, S.M., M.G. Kenward, M. Erkkola, et al., </w:t>
      </w:r>
      <w:r w:rsidRPr="00BD072B">
        <w:rPr>
          <w:i/>
          <w:noProof/>
        </w:rPr>
        <w:t>Age at introduction of new foods and advanced beta cell autoimmunity in young children with HLA-conferred susceptibility to type 1 diabetes.</w:t>
      </w:r>
      <w:r>
        <w:rPr>
          <w:noProof/>
        </w:rPr>
        <w:t xml:space="preserve"> Diabetologia, 2006. </w:t>
      </w:r>
      <w:r w:rsidRPr="00BD072B">
        <w:rPr>
          <w:b/>
          <w:noProof/>
        </w:rPr>
        <w:t>49</w:t>
      </w:r>
      <w:r>
        <w:rPr>
          <w:noProof/>
        </w:rPr>
        <w:t>(7): p. 1512-21.</w:t>
      </w:r>
      <w:bookmarkEnd w:id="97"/>
    </w:p>
    <w:p w:rsidR="009475F0" w:rsidRDefault="009475F0" w:rsidP="001F2863">
      <w:pPr>
        <w:spacing w:after="0" w:line="240" w:lineRule="auto"/>
        <w:ind w:left="720" w:hanging="720"/>
        <w:rPr>
          <w:noProof/>
        </w:rPr>
      </w:pPr>
      <w:bookmarkStart w:id="98" w:name="_ENREF_98"/>
      <w:r>
        <w:rPr>
          <w:noProof/>
        </w:rPr>
        <w:t>98.</w:t>
      </w:r>
      <w:r>
        <w:rPr>
          <w:noProof/>
        </w:rPr>
        <w:tab/>
        <w:t xml:space="preserve">Cardwell, C.R., L.C. Stene, J. Ludvigsson, et al., </w:t>
      </w:r>
      <w:r w:rsidRPr="00BD072B">
        <w:rPr>
          <w:i/>
          <w:noProof/>
        </w:rPr>
        <w:t>Breast-feeding and childhood-onset type 1 diabetes: a pooled analysis of individual participant data from 43 observational studies.</w:t>
      </w:r>
      <w:r>
        <w:rPr>
          <w:noProof/>
        </w:rPr>
        <w:t xml:space="preserve"> Diabetes Care, 2012. </w:t>
      </w:r>
      <w:r w:rsidRPr="00BD072B">
        <w:rPr>
          <w:b/>
          <w:noProof/>
        </w:rPr>
        <w:t>35</w:t>
      </w:r>
      <w:r>
        <w:rPr>
          <w:noProof/>
        </w:rPr>
        <w:t>(11): p. 2215-25.</w:t>
      </w:r>
      <w:bookmarkEnd w:id="98"/>
    </w:p>
    <w:p w:rsidR="009475F0" w:rsidRDefault="009475F0" w:rsidP="001F2863">
      <w:pPr>
        <w:spacing w:after="0" w:line="240" w:lineRule="auto"/>
        <w:ind w:left="720" w:hanging="720"/>
        <w:rPr>
          <w:noProof/>
        </w:rPr>
      </w:pPr>
      <w:bookmarkStart w:id="99" w:name="_ENREF_99"/>
      <w:r>
        <w:rPr>
          <w:noProof/>
        </w:rPr>
        <w:lastRenderedPageBreak/>
        <w:t>99.</w:t>
      </w:r>
      <w:r>
        <w:rPr>
          <w:noProof/>
        </w:rPr>
        <w:tab/>
        <w:t xml:space="preserve">Ziegler, A.G., S. Schmid, D. Huber, et al., </w:t>
      </w:r>
      <w:r w:rsidRPr="00BD072B">
        <w:rPr>
          <w:i/>
          <w:noProof/>
        </w:rPr>
        <w:t>Early infant feeding and risk of developing type 1 diabetes-associated autoantibodies.</w:t>
      </w:r>
      <w:r>
        <w:rPr>
          <w:noProof/>
        </w:rPr>
        <w:t xml:space="preserve"> JAMA, 2003. </w:t>
      </w:r>
      <w:r w:rsidRPr="00BD072B">
        <w:rPr>
          <w:b/>
          <w:noProof/>
        </w:rPr>
        <w:t>290</w:t>
      </w:r>
      <w:r>
        <w:rPr>
          <w:noProof/>
        </w:rPr>
        <w:t>(13): p. 1721-8.</w:t>
      </w:r>
      <w:bookmarkEnd w:id="99"/>
    </w:p>
    <w:p w:rsidR="009475F0" w:rsidRDefault="009475F0" w:rsidP="001F2863">
      <w:pPr>
        <w:spacing w:after="0" w:line="240" w:lineRule="auto"/>
        <w:ind w:left="720" w:hanging="720"/>
        <w:rPr>
          <w:noProof/>
        </w:rPr>
      </w:pPr>
      <w:bookmarkStart w:id="100" w:name="_ENREF_100"/>
      <w:r>
        <w:rPr>
          <w:noProof/>
        </w:rPr>
        <w:t>100.</w:t>
      </w:r>
      <w:r>
        <w:rPr>
          <w:noProof/>
        </w:rPr>
        <w:tab/>
        <w:t xml:space="preserve">Chmiel, R., A. Beyerlein, A. Knopff, et al., </w:t>
      </w:r>
      <w:r w:rsidRPr="00BD072B">
        <w:rPr>
          <w:i/>
          <w:noProof/>
        </w:rPr>
        <w:t>Early infant feeding and risk of developing islet autoimmunity and type 1 diabetes.</w:t>
      </w:r>
      <w:r>
        <w:rPr>
          <w:noProof/>
        </w:rPr>
        <w:t xml:space="preserve"> Acta Diabetol, 2015. </w:t>
      </w:r>
      <w:r w:rsidRPr="00BD072B">
        <w:rPr>
          <w:b/>
          <w:noProof/>
        </w:rPr>
        <w:t>52</w:t>
      </w:r>
      <w:r>
        <w:rPr>
          <w:noProof/>
        </w:rPr>
        <w:t>(3): p. 621-4.</w:t>
      </w:r>
      <w:bookmarkEnd w:id="100"/>
    </w:p>
    <w:p w:rsidR="009475F0" w:rsidRDefault="009475F0" w:rsidP="001F2863">
      <w:pPr>
        <w:spacing w:after="0" w:line="240" w:lineRule="auto"/>
        <w:ind w:left="720" w:hanging="720"/>
        <w:rPr>
          <w:noProof/>
        </w:rPr>
      </w:pPr>
      <w:bookmarkStart w:id="101" w:name="_ENREF_101"/>
      <w:r>
        <w:rPr>
          <w:noProof/>
        </w:rPr>
        <w:t>101.</w:t>
      </w:r>
      <w:r>
        <w:rPr>
          <w:noProof/>
        </w:rPr>
        <w:tab/>
        <w:t xml:space="preserve">Norris, J.M., K. Barriga, G. Klingensmith, et al., </w:t>
      </w:r>
      <w:r w:rsidRPr="00BD072B">
        <w:rPr>
          <w:i/>
          <w:noProof/>
        </w:rPr>
        <w:t>Timing of initial cereal exposure in infancy and risk of islet autoimmunity.</w:t>
      </w:r>
      <w:r>
        <w:rPr>
          <w:noProof/>
        </w:rPr>
        <w:t xml:space="preserve"> JAMA, 2003. </w:t>
      </w:r>
      <w:r w:rsidRPr="00BD072B">
        <w:rPr>
          <w:b/>
          <w:noProof/>
        </w:rPr>
        <w:t>290</w:t>
      </w:r>
      <w:r>
        <w:rPr>
          <w:noProof/>
        </w:rPr>
        <w:t>(13): p. 1713-20.</w:t>
      </w:r>
      <w:bookmarkEnd w:id="101"/>
    </w:p>
    <w:p w:rsidR="009475F0" w:rsidRDefault="009475F0" w:rsidP="001F2863">
      <w:pPr>
        <w:spacing w:after="0" w:line="240" w:lineRule="auto"/>
        <w:ind w:left="720" w:hanging="720"/>
        <w:rPr>
          <w:noProof/>
        </w:rPr>
      </w:pPr>
      <w:bookmarkStart w:id="102" w:name="_ENREF_102"/>
      <w:r>
        <w:rPr>
          <w:noProof/>
        </w:rPr>
        <w:t>102.</w:t>
      </w:r>
      <w:r>
        <w:rPr>
          <w:noProof/>
        </w:rPr>
        <w:tab/>
        <w:t xml:space="preserve">Aronsson, C.A., H.S. Lee, E. Liu, et al., </w:t>
      </w:r>
      <w:r w:rsidRPr="00BD072B">
        <w:rPr>
          <w:i/>
          <w:noProof/>
        </w:rPr>
        <w:t>Age at gluten introduction and risk of celiac disease.</w:t>
      </w:r>
      <w:r>
        <w:rPr>
          <w:noProof/>
        </w:rPr>
        <w:t xml:space="preserve"> Pediatrics, 2015. </w:t>
      </w:r>
      <w:r w:rsidRPr="00BD072B">
        <w:rPr>
          <w:b/>
          <w:noProof/>
        </w:rPr>
        <w:t>135</w:t>
      </w:r>
      <w:r>
        <w:rPr>
          <w:noProof/>
        </w:rPr>
        <w:t>(2): p. 239-45.</w:t>
      </w:r>
      <w:bookmarkEnd w:id="102"/>
    </w:p>
    <w:p w:rsidR="009475F0" w:rsidRDefault="009475F0" w:rsidP="001F2863">
      <w:pPr>
        <w:spacing w:after="0" w:line="240" w:lineRule="auto"/>
        <w:ind w:left="720" w:hanging="720"/>
        <w:rPr>
          <w:noProof/>
        </w:rPr>
      </w:pPr>
      <w:bookmarkStart w:id="103" w:name="_ENREF_103"/>
      <w:r>
        <w:rPr>
          <w:noProof/>
        </w:rPr>
        <w:t>103.</w:t>
      </w:r>
      <w:r>
        <w:rPr>
          <w:noProof/>
        </w:rPr>
        <w:tab/>
        <w:t xml:space="preserve">Yatsunenko, T., F.E. Rey, M.J. Manary, et al., </w:t>
      </w:r>
      <w:r w:rsidRPr="00BD072B">
        <w:rPr>
          <w:i/>
          <w:noProof/>
        </w:rPr>
        <w:t>Human gut microbiome viewed across age and geography.</w:t>
      </w:r>
      <w:r>
        <w:rPr>
          <w:noProof/>
        </w:rPr>
        <w:t xml:space="preserve"> Nature, 2012. </w:t>
      </w:r>
      <w:r w:rsidRPr="00BD072B">
        <w:rPr>
          <w:b/>
          <w:noProof/>
        </w:rPr>
        <w:t>486</w:t>
      </w:r>
      <w:r>
        <w:rPr>
          <w:noProof/>
        </w:rPr>
        <w:t>(7402): p. 222-7.</w:t>
      </w:r>
      <w:bookmarkEnd w:id="103"/>
    </w:p>
    <w:p w:rsidR="009475F0" w:rsidRDefault="009475F0" w:rsidP="001F2863">
      <w:pPr>
        <w:spacing w:after="0" w:line="240" w:lineRule="auto"/>
        <w:ind w:left="720" w:hanging="720"/>
        <w:rPr>
          <w:noProof/>
        </w:rPr>
      </w:pPr>
      <w:bookmarkStart w:id="104" w:name="_ENREF_104"/>
      <w:r>
        <w:rPr>
          <w:noProof/>
        </w:rPr>
        <w:t>104.</w:t>
      </w:r>
      <w:r>
        <w:rPr>
          <w:noProof/>
        </w:rPr>
        <w:tab/>
        <w:t xml:space="preserve">Bode, L., </w:t>
      </w:r>
      <w:r w:rsidRPr="00BD072B">
        <w:rPr>
          <w:i/>
          <w:noProof/>
        </w:rPr>
        <w:t>Human milk oligosaccharides: every baby needs a sugar mama.</w:t>
      </w:r>
      <w:r>
        <w:rPr>
          <w:noProof/>
        </w:rPr>
        <w:t xml:space="preserve"> Glycobiology, 2012. </w:t>
      </w:r>
      <w:r w:rsidRPr="00BD072B">
        <w:rPr>
          <w:b/>
          <w:noProof/>
        </w:rPr>
        <w:t>22</w:t>
      </w:r>
      <w:r>
        <w:rPr>
          <w:noProof/>
        </w:rPr>
        <w:t>(9): p. 1147-62.</w:t>
      </w:r>
      <w:bookmarkEnd w:id="104"/>
    </w:p>
    <w:p w:rsidR="009475F0" w:rsidRDefault="009475F0" w:rsidP="001F2863">
      <w:pPr>
        <w:spacing w:after="0" w:line="240" w:lineRule="auto"/>
        <w:ind w:left="720" w:hanging="720"/>
        <w:rPr>
          <w:noProof/>
        </w:rPr>
      </w:pPr>
      <w:bookmarkStart w:id="105" w:name="_ENREF_105"/>
      <w:r>
        <w:rPr>
          <w:noProof/>
        </w:rPr>
        <w:t>105.</w:t>
      </w:r>
      <w:r>
        <w:rPr>
          <w:noProof/>
        </w:rPr>
        <w:tab/>
        <w:t xml:space="preserve">Semenkovich, C.F., J. Danska, T. Darsow, et al., </w:t>
      </w:r>
      <w:r w:rsidRPr="00BD072B">
        <w:rPr>
          <w:i/>
          <w:noProof/>
        </w:rPr>
        <w:t>American Diabetes Association and JDRF Research Symposium: Diabetes and the Microbiome.</w:t>
      </w:r>
      <w:r>
        <w:rPr>
          <w:noProof/>
        </w:rPr>
        <w:t xml:space="preserve"> Diabetes, 2015. </w:t>
      </w:r>
      <w:r w:rsidRPr="00BD072B">
        <w:rPr>
          <w:b/>
          <w:noProof/>
        </w:rPr>
        <w:t>64</w:t>
      </w:r>
      <w:r>
        <w:rPr>
          <w:noProof/>
        </w:rPr>
        <w:t>(12): p. 3967-77.</w:t>
      </w:r>
      <w:bookmarkEnd w:id="105"/>
    </w:p>
    <w:p w:rsidR="009475F0" w:rsidRDefault="009475F0" w:rsidP="001F2863">
      <w:pPr>
        <w:spacing w:after="0" w:line="240" w:lineRule="auto"/>
        <w:ind w:left="720" w:hanging="720"/>
        <w:rPr>
          <w:noProof/>
        </w:rPr>
      </w:pPr>
      <w:bookmarkStart w:id="106" w:name="_ENREF_106"/>
      <w:r>
        <w:rPr>
          <w:noProof/>
        </w:rPr>
        <w:t>106.</w:t>
      </w:r>
      <w:r>
        <w:rPr>
          <w:noProof/>
        </w:rPr>
        <w:tab/>
        <w:t xml:space="preserve">Karvonen, M., M. Viik-Kajander, E. Moltchanova, et al., </w:t>
      </w:r>
      <w:r w:rsidRPr="00BD072B">
        <w:rPr>
          <w:i/>
          <w:noProof/>
        </w:rPr>
        <w:t>Incidence of childhood type 1 diabetes worldwide. Diabetes Mondiale (DiaMond) Project Group.</w:t>
      </w:r>
      <w:r>
        <w:rPr>
          <w:noProof/>
        </w:rPr>
        <w:t xml:space="preserve"> Diabetes Care, 2000. </w:t>
      </w:r>
      <w:r w:rsidRPr="00BD072B">
        <w:rPr>
          <w:b/>
          <w:noProof/>
        </w:rPr>
        <w:t>23</w:t>
      </w:r>
      <w:r>
        <w:rPr>
          <w:noProof/>
        </w:rPr>
        <w:t>(10): p. 1516-26.</w:t>
      </w:r>
      <w:bookmarkEnd w:id="106"/>
    </w:p>
    <w:p w:rsidR="009475F0" w:rsidRDefault="009475F0" w:rsidP="001F2863">
      <w:pPr>
        <w:spacing w:after="0" w:line="240" w:lineRule="auto"/>
        <w:ind w:left="720" w:hanging="720"/>
        <w:rPr>
          <w:noProof/>
        </w:rPr>
      </w:pPr>
      <w:bookmarkStart w:id="107" w:name="_ENREF_107"/>
      <w:r>
        <w:rPr>
          <w:noProof/>
        </w:rPr>
        <w:t>107.</w:t>
      </w:r>
      <w:r>
        <w:rPr>
          <w:noProof/>
        </w:rPr>
        <w:tab/>
        <w:t xml:space="preserve">Kemppainen, K.M., A.N. Ardissone, A.G. Davis-Richardson, et al., </w:t>
      </w:r>
      <w:r w:rsidRPr="00BD072B">
        <w:rPr>
          <w:i/>
          <w:noProof/>
        </w:rPr>
        <w:t>Early childhood gut microbiomes show strong geographic differences among subjects at high risk for type 1 diabetes.</w:t>
      </w:r>
      <w:r>
        <w:rPr>
          <w:noProof/>
        </w:rPr>
        <w:t xml:space="preserve"> Diabetes Care, 2015. </w:t>
      </w:r>
      <w:r w:rsidRPr="00BD072B">
        <w:rPr>
          <w:b/>
          <w:noProof/>
        </w:rPr>
        <w:t>38</w:t>
      </w:r>
      <w:r>
        <w:rPr>
          <w:noProof/>
        </w:rPr>
        <w:t>(2): p. 329-32.</w:t>
      </w:r>
      <w:bookmarkEnd w:id="107"/>
    </w:p>
    <w:p w:rsidR="009475F0" w:rsidRDefault="009475F0" w:rsidP="001F2863">
      <w:pPr>
        <w:spacing w:after="0" w:line="240" w:lineRule="auto"/>
        <w:ind w:left="720" w:hanging="720"/>
        <w:rPr>
          <w:noProof/>
        </w:rPr>
      </w:pPr>
      <w:bookmarkStart w:id="108" w:name="_ENREF_108"/>
      <w:r>
        <w:rPr>
          <w:noProof/>
        </w:rPr>
        <w:t>108.</w:t>
      </w:r>
      <w:r>
        <w:rPr>
          <w:noProof/>
        </w:rPr>
        <w:tab/>
        <w:t xml:space="preserve">Cardwell, C.R., L.C. Stene, G. Joner, et al., </w:t>
      </w:r>
      <w:r w:rsidRPr="00BD072B">
        <w:rPr>
          <w:i/>
          <w:noProof/>
        </w:rPr>
        <w:t>Caesarean section is associated with an increased risk of childhood-onset type 1 diabetes mellitus: a meta-analysis of observational studies.</w:t>
      </w:r>
      <w:r>
        <w:rPr>
          <w:noProof/>
        </w:rPr>
        <w:t xml:space="preserve"> Diabetologia, 2008. </w:t>
      </w:r>
      <w:r w:rsidRPr="00BD072B">
        <w:rPr>
          <w:b/>
          <w:noProof/>
        </w:rPr>
        <w:t>51</w:t>
      </w:r>
      <w:r>
        <w:rPr>
          <w:noProof/>
        </w:rPr>
        <w:t>(5): p. 726-35.</w:t>
      </w:r>
      <w:bookmarkEnd w:id="108"/>
    </w:p>
    <w:p w:rsidR="009475F0" w:rsidRDefault="009475F0" w:rsidP="001F2863">
      <w:pPr>
        <w:spacing w:after="0" w:line="240" w:lineRule="auto"/>
        <w:ind w:left="720" w:hanging="720"/>
        <w:rPr>
          <w:noProof/>
        </w:rPr>
      </w:pPr>
      <w:bookmarkStart w:id="109" w:name="_ENREF_109"/>
      <w:r>
        <w:rPr>
          <w:noProof/>
        </w:rPr>
        <w:t>109.</w:t>
      </w:r>
      <w:r>
        <w:rPr>
          <w:noProof/>
        </w:rPr>
        <w:tab/>
        <w:t xml:space="preserve">Bonifacio, E., K. Warncke, C. Winkler, et al., </w:t>
      </w:r>
      <w:r w:rsidRPr="00BD072B">
        <w:rPr>
          <w:i/>
          <w:noProof/>
        </w:rPr>
        <w:t>Cesarean section and interferon-induced helicase gene polymorphisms combine to increase childhood type 1 diabetes risk.</w:t>
      </w:r>
      <w:r>
        <w:rPr>
          <w:noProof/>
        </w:rPr>
        <w:t xml:space="preserve"> Diabetes, 2011. </w:t>
      </w:r>
      <w:r w:rsidRPr="00BD072B">
        <w:rPr>
          <w:b/>
          <w:noProof/>
        </w:rPr>
        <w:t>60</w:t>
      </w:r>
      <w:r>
        <w:rPr>
          <w:noProof/>
        </w:rPr>
        <w:t>(12): p. 3300-6.</w:t>
      </w:r>
      <w:bookmarkEnd w:id="109"/>
    </w:p>
    <w:p w:rsidR="009475F0" w:rsidRDefault="009475F0" w:rsidP="001F2863">
      <w:pPr>
        <w:spacing w:after="0" w:line="240" w:lineRule="auto"/>
        <w:ind w:left="720" w:hanging="720"/>
        <w:rPr>
          <w:noProof/>
        </w:rPr>
      </w:pPr>
      <w:bookmarkStart w:id="110" w:name="_ENREF_110"/>
      <w:r>
        <w:rPr>
          <w:noProof/>
        </w:rPr>
        <w:t>110.</w:t>
      </w:r>
      <w:r>
        <w:rPr>
          <w:noProof/>
        </w:rPr>
        <w:tab/>
        <w:t xml:space="preserve">Vehik, K. and D. Dabelea, </w:t>
      </w:r>
      <w:r w:rsidRPr="00BD072B">
        <w:rPr>
          <w:i/>
          <w:noProof/>
        </w:rPr>
        <w:t>Why are C-section deliveries linked to childhood type 1 diabetes?</w:t>
      </w:r>
      <w:r>
        <w:rPr>
          <w:noProof/>
        </w:rPr>
        <w:t xml:space="preserve"> Diabetes, 2012. </w:t>
      </w:r>
      <w:r w:rsidRPr="00BD072B">
        <w:rPr>
          <w:b/>
          <w:noProof/>
        </w:rPr>
        <w:t>61</w:t>
      </w:r>
      <w:r>
        <w:rPr>
          <w:noProof/>
        </w:rPr>
        <w:t>(1): p. 36-7.</w:t>
      </w:r>
      <w:bookmarkEnd w:id="110"/>
    </w:p>
    <w:p w:rsidR="009475F0" w:rsidRDefault="009475F0" w:rsidP="001F2863">
      <w:pPr>
        <w:spacing w:after="0" w:line="240" w:lineRule="auto"/>
        <w:ind w:left="720" w:hanging="720"/>
        <w:rPr>
          <w:noProof/>
        </w:rPr>
      </w:pPr>
      <w:bookmarkStart w:id="111" w:name="_ENREF_111"/>
      <w:r>
        <w:rPr>
          <w:noProof/>
        </w:rPr>
        <w:t>111.</w:t>
      </w:r>
      <w:r>
        <w:rPr>
          <w:noProof/>
        </w:rPr>
        <w:tab/>
        <w:t xml:space="preserve">De Palma, G., A. Capilla, I. Nadal, et al., </w:t>
      </w:r>
      <w:r w:rsidRPr="00BD072B">
        <w:rPr>
          <w:i/>
          <w:noProof/>
        </w:rPr>
        <w:t>Interplay between human leukocyte antigen genes and the microbial colonization process of the newborn intestine.</w:t>
      </w:r>
      <w:r>
        <w:rPr>
          <w:noProof/>
        </w:rPr>
        <w:t xml:space="preserve"> Curr Issues Mol Biol, 2010. </w:t>
      </w:r>
      <w:r w:rsidRPr="00BD072B">
        <w:rPr>
          <w:b/>
          <w:noProof/>
        </w:rPr>
        <w:t>12</w:t>
      </w:r>
      <w:r>
        <w:rPr>
          <w:noProof/>
        </w:rPr>
        <w:t>(1): p. 1-10.</w:t>
      </w:r>
      <w:bookmarkEnd w:id="111"/>
    </w:p>
    <w:p w:rsidR="009475F0" w:rsidRDefault="009475F0" w:rsidP="001F2863">
      <w:pPr>
        <w:spacing w:after="0" w:line="240" w:lineRule="auto"/>
        <w:ind w:left="720" w:hanging="720"/>
        <w:rPr>
          <w:noProof/>
        </w:rPr>
      </w:pPr>
      <w:bookmarkStart w:id="112" w:name="_ENREF_112"/>
      <w:r>
        <w:rPr>
          <w:noProof/>
        </w:rPr>
        <w:t>112.</w:t>
      </w:r>
      <w:r>
        <w:rPr>
          <w:noProof/>
        </w:rPr>
        <w:tab/>
        <w:t xml:space="preserve">Rausch, P., A. Rehman, S. Kunzel, et al., </w:t>
      </w:r>
      <w:r w:rsidRPr="00BD072B">
        <w:rPr>
          <w:i/>
          <w:noProof/>
        </w:rPr>
        <w:t>Colonic mucosa-associated microbiota is influenced by an interaction of Crohn disease and FUT2 (Secretor) genotype.</w:t>
      </w:r>
      <w:r>
        <w:rPr>
          <w:noProof/>
        </w:rPr>
        <w:t xml:space="preserve"> Proc Natl Acad Sci U S A, 2011. </w:t>
      </w:r>
      <w:r w:rsidRPr="00BD072B">
        <w:rPr>
          <w:b/>
          <w:noProof/>
        </w:rPr>
        <w:t>108</w:t>
      </w:r>
      <w:r>
        <w:rPr>
          <w:noProof/>
        </w:rPr>
        <w:t>(47): p. 19030-5.</w:t>
      </w:r>
      <w:bookmarkEnd w:id="112"/>
    </w:p>
    <w:p w:rsidR="009475F0" w:rsidRDefault="009475F0" w:rsidP="001F2863">
      <w:pPr>
        <w:spacing w:after="0" w:line="240" w:lineRule="auto"/>
        <w:ind w:left="720" w:hanging="720"/>
        <w:rPr>
          <w:noProof/>
        </w:rPr>
      </w:pPr>
      <w:bookmarkStart w:id="113" w:name="_ENREF_113"/>
      <w:r>
        <w:rPr>
          <w:noProof/>
        </w:rPr>
        <w:t>113.</w:t>
      </w:r>
      <w:r>
        <w:rPr>
          <w:noProof/>
        </w:rPr>
        <w:tab/>
        <w:t xml:space="preserve">Yang, P., H.L. Li, and C.Y. Wang, </w:t>
      </w:r>
      <w:r w:rsidRPr="00BD072B">
        <w:rPr>
          <w:i/>
          <w:noProof/>
        </w:rPr>
        <w:t>FUT2 nonfunctional variant: a "missing link" between genes and environment in type 1 diabetes?</w:t>
      </w:r>
      <w:r>
        <w:rPr>
          <w:noProof/>
        </w:rPr>
        <w:t xml:space="preserve"> Diabetes, 2011. </w:t>
      </w:r>
      <w:r w:rsidRPr="00BD072B">
        <w:rPr>
          <w:b/>
          <w:noProof/>
        </w:rPr>
        <w:t>60</w:t>
      </w:r>
      <w:r>
        <w:rPr>
          <w:noProof/>
        </w:rPr>
        <w:t>(11): p. 2685-7.</w:t>
      </w:r>
      <w:bookmarkEnd w:id="113"/>
    </w:p>
    <w:p w:rsidR="009475F0" w:rsidRDefault="009475F0" w:rsidP="001F2863">
      <w:pPr>
        <w:spacing w:after="0" w:line="240" w:lineRule="auto"/>
        <w:ind w:left="720" w:hanging="720"/>
        <w:rPr>
          <w:noProof/>
        </w:rPr>
      </w:pPr>
      <w:bookmarkStart w:id="114" w:name="_ENREF_114"/>
      <w:r>
        <w:rPr>
          <w:noProof/>
        </w:rPr>
        <w:t>114.</w:t>
      </w:r>
      <w:r>
        <w:rPr>
          <w:noProof/>
        </w:rPr>
        <w:tab/>
        <w:t xml:space="preserve">Group, T.S., </w:t>
      </w:r>
      <w:r w:rsidRPr="00BD072B">
        <w:rPr>
          <w:i/>
          <w:noProof/>
        </w:rPr>
        <w:t>The Environmental Determinants of Diabetes in the Young (TEDDY) Study.</w:t>
      </w:r>
      <w:r>
        <w:rPr>
          <w:noProof/>
        </w:rPr>
        <w:t xml:space="preserve"> Ann N Y Acad Sci, 2008. </w:t>
      </w:r>
      <w:r w:rsidRPr="00BD072B">
        <w:rPr>
          <w:b/>
          <w:noProof/>
        </w:rPr>
        <w:t>1150</w:t>
      </w:r>
      <w:r>
        <w:rPr>
          <w:noProof/>
        </w:rPr>
        <w:t>: p. 1-13.</w:t>
      </w:r>
      <w:bookmarkEnd w:id="114"/>
    </w:p>
    <w:p w:rsidR="009475F0" w:rsidRDefault="009475F0" w:rsidP="001F2863">
      <w:pPr>
        <w:spacing w:after="0" w:line="240" w:lineRule="auto"/>
        <w:ind w:left="720" w:hanging="720"/>
        <w:rPr>
          <w:noProof/>
        </w:rPr>
      </w:pPr>
      <w:bookmarkStart w:id="115" w:name="_ENREF_115"/>
      <w:r>
        <w:rPr>
          <w:noProof/>
        </w:rPr>
        <w:t>115.</w:t>
      </w:r>
      <w:r>
        <w:rPr>
          <w:noProof/>
        </w:rPr>
        <w:tab/>
        <w:t xml:space="preserve">Mills, S., F. Shanahan, C. Stanton, et al., </w:t>
      </w:r>
      <w:r w:rsidRPr="00BD072B">
        <w:rPr>
          <w:i/>
          <w:noProof/>
        </w:rPr>
        <w:t>Movers and shakers: influence of bacteriophages in shaping the mammalian gut microbiota.</w:t>
      </w:r>
      <w:r>
        <w:rPr>
          <w:noProof/>
        </w:rPr>
        <w:t xml:space="preserve"> Gut Microbes, 2013. </w:t>
      </w:r>
      <w:r w:rsidRPr="00BD072B">
        <w:rPr>
          <w:b/>
          <w:noProof/>
        </w:rPr>
        <w:t>4</w:t>
      </w:r>
      <w:r>
        <w:rPr>
          <w:noProof/>
        </w:rPr>
        <w:t>(1): p. 4-16.</w:t>
      </w:r>
      <w:bookmarkEnd w:id="115"/>
    </w:p>
    <w:p w:rsidR="009475F0" w:rsidRDefault="009475F0" w:rsidP="001F2863">
      <w:pPr>
        <w:spacing w:line="240" w:lineRule="auto"/>
        <w:ind w:left="720" w:hanging="720"/>
        <w:rPr>
          <w:noProof/>
        </w:rPr>
      </w:pPr>
      <w:bookmarkStart w:id="116" w:name="_ENREF_116"/>
      <w:r>
        <w:rPr>
          <w:noProof/>
        </w:rPr>
        <w:t>116.</w:t>
      </w:r>
      <w:r>
        <w:rPr>
          <w:noProof/>
        </w:rPr>
        <w:tab/>
        <w:t xml:space="preserve">De Paepe, M., M. Leclerc, C.R. Tinsley, et al., </w:t>
      </w:r>
      <w:r w:rsidRPr="00BD072B">
        <w:rPr>
          <w:i/>
          <w:noProof/>
        </w:rPr>
        <w:t>Bacteriophages: an underestimated role in human and animal health?</w:t>
      </w:r>
      <w:r>
        <w:rPr>
          <w:noProof/>
        </w:rPr>
        <w:t xml:space="preserve"> Front Cell Infect Microbiol, 2014. </w:t>
      </w:r>
      <w:r w:rsidRPr="00BD072B">
        <w:rPr>
          <w:b/>
          <w:noProof/>
        </w:rPr>
        <w:t>4</w:t>
      </w:r>
      <w:r>
        <w:rPr>
          <w:noProof/>
        </w:rPr>
        <w:t>: p. 39.</w:t>
      </w:r>
      <w:bookmarkEnd w:id="116"/>
    </w:p>
    <w:p w:rsidR="009475F0" w:rsidRDefault="009475F0" w:rsidP="001F2863">
      <w:pPr>
        <w:spacing w:line="240" w:lineRule="auto"/>
        <w:rPr>
          <w:noProof/>
        </w:rPr>
      </w:pPr>
    </w:p>
    <w:p w:rsidR="009475F0" w:rsidRDefault="009475F0"/>
    <w:p w:rsidR="00AF1C7A" w:rsidRDefault="00AF1C7A"/>
    <w:sectPr w:rsidR="00AF1C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9475F0"/>
    <w:rsid w:val="00000366"/>
    <w:rsid w:val="00002183"/>
    <w:rsid w:val="00003122"/>
    <w:rsid w:val="000042DF"/>
    <w:rsid w:val="00004B68"/>
    <w:rsid w:val="0000595B"/>
    <w:rsid w:val="00005D12"/>
    <w:rsid w:val="00007B18"/>
    <w:rsid w:val="0001067B"/>
    <w:rsid w:val="00011854"/>
    <w:rsid w:val="00013AC6"/>
    <w:rsid w:val="00017554"/>
    <w:rsid w:val="00021251"/>
    <w:rsid w:val="00021DD4"/>
    <w:rsid w:val="00022332"/>
    <w:rsid w:val="00022B76"/>
    <w:rsid w:val="000245FD"/>
    <w:rsid w:val="00025FB0"/>
    <w:rsid w:val="00026AAE"/>
    <w:rsid w:val="00031ED6"/>
    <w:rsid w:val="00033E41"/>
    <w:rsid w:val="00034E4D"/>
    <w:rsid w:val="00040339"/>
    <w:rsid w:val="00041ECA"/>
    <w:rsid w:val="000446A3"/>
    <w:rsid w:val="000446A6"/>
    <w:rsid w:val="00046B42"/>
    <w:rsid w:val="00050E28"/>
    <w:rsid w:val="00053D46"/>
    <w:rsid w:val="00053E23"/>
    <w:rsid w:val="00053EA3"/>
    <w:rsid w:val="00054661"/>
    <w:rsid w:val="00054C58"/>
    <w:rsid w:val="00054E7B"/>
    <w:rsid w:val="0005507E"/>
    <w:rsid w:val="000557CA"/>
    <w:rsid w:val="000562E2"/>
    <w:rsid w:val="00056DED"/>
    <w:rsid w:val="00057727"/>
    <w:rsid w:val="000601CF"/>
    <w:rsid w:val="00060CCD"/>
    <w:rsid w:val="0006296B"/>
    <w:rsid w:val="000629EC"/>
    <w:rsid w:val="00062BDB"/>
    <w:rsid w:val="00063B74"/>
    <w:rsid w:val="0006462E"/>
    <w:rsid w:val="00065541"/>
    <w:rsid w:val="00065579"/>
    <w:rsid w:val="0007026B"/>
    <w:rsid w:val="000705E6"/>
    <w:rsid w:val="00070B45"/>
    <w:rsid w:val="00070FE4"/>
    <w:rsid w:val="00071B8A"/>
    <w:rsid w:val="000722D3"/>
    <w:rsid w:val="00072F6B"/>
    <w:rsid w:val="00075426"/>
    <w:rsid w:val="00076F07"/>
    <w:rsid w:val="00080312"/>
    <w:rsid w:val="00081228"/>
    <w:rsid w:val="00081545"/>
    <w:rsid w:val="00082A69"/>
    <w:rsid w:val="00083AFB"/>
    <w:rsid w:val="00083B11"/>
    <w:rsid w:val="000845ED"/>
    <w:rsid w:val="00085436"/>
    <w:rsid w:val="00086793"/>
    <w:rsid w:val="00087FB9"/>
    <w:rsid w:val="00091C86"/>
    <w:rsid w:val="00091FEE"/>
    <w:rsid w:val="00093702"/>
    <w:rsid w:val="0009704D"/>
    <w:rsid w:val="000A0648"/>
    <w:rsid w:val="000A2676"/>
    <w:rsid w:val="000A37B6"/>
    <w:rsid w:val="000A3927"/>
    <w:rsid w:val="000A5A9A"/>
    <w:rsid w:val="000B39C6"/>
    <w:rsid w:val="000B49F3"/>
    <w:rsid w:val="000B6A7E"/>
    <w:rsid w:val="000B6D0D"/>
    <w:rsid w:val="000B6DE4"/>
    <w:rsid w:val="000B702F"/>
    <w:rsid w:val="000C1068"/>
    <w:rsid w:val="000C346A"/>
    <w:rsid w:val="000C36D2"/>
    <w:rsid w:val="000C3AC1"/>
    <w:rsid w:val="000C45E6"/>
    <w:rsid w:val="000D099D"/>
    <w:rsid w:val="000D0A41"/>
    <w:rsid w:val="000D14CA"/>
    <w:rsid w:val="000D1BB7"/>
    <w:rsid w:val="000D2F2F"/>
    <w:rsid w:val="000D3A10"/>
    <w:rsid w:val="000D4A5F"/>
    <w:rsid w:val="000D5001"/>
    <w:rsid w:val="000E2BA2"/>
    <w:rsid w:val="000E5395"/>
    <w:rsid w:val="000E5C53"/>
    <w:rsid w:val="000E6138"/>
    <w:rsid w:val="000E7001"/>
    <w:rsid w:val="000F1F7E"/>
    <w:rsid w:val="000F3960"/>
    <w:rsid w:val="000F4478"/>
    <w:rsid w:val="000F54A4"/>
    <w:rsid w:val="000F6B7A"/>
    <w:rsid w:val="00100374"/>
    <w:rsid w:val="00100D36"/>
    <w:rsid w:val="0010149D"/>
    <w:rsid w:val="00101D21"/>
    <w:rsid w:val="00101DDB"/>
    <w:rsid w:val="00104F45"/>
    <w:rsid w:val="00106FB4"/>
    <w:rsid w:val="0011275E"/>
    <w:rsid w:val="0011283C"/>
    <w:rsid w:val="00112950"/>
    <w:rsid w:val="00112BC2"/>
    <w:rsid w:val="00113BC6"/>
    <w:rsid w:val="001160C3"/>
    <w:rsid w:val="00117971"/>
    <w:rsid w:val="00120662"/>
    <w:rsid w:val="0012158E"/>
    <w:rsid w:val="0012311E"/>
    <w:rsid w:val="00125CCF"/>
    <w:rsid w:val="00126F03"/>
    <w:rsid w:val="001271D6"/>
    <w:rsid w:val="001272C8"/>
    <w:rsid w:val="00127DAE"/>
    <w:rsid w:val="00130C07"/>
    <w:rsid w:val="00135F00"/>
    <w:rsid w:val="00136443"/>
    <w:rsid w:val="001402A3"/>
    <w:rsid w:val="00142B5E"/>
    <w:rsid w:val="00146D33"/>
    <w:rsid w:val="00147D86"/>
    <w:rsid w:val="001501A7"/>
    <w:rsid w:val="00150C3E"/>
    <w:rsid w:val="00152340"/>
    <w:rsid w:val="00152429"/>
    <w:rsid w:val="00152E6F"/>
    <w:rsid w:val="0015406D"/>
    <w:rsid w:val="00160451"/>
    <w:rsid w:val="00162376"/>
    <w:rsid w:val="00163398"/>
    <w:rsid w:val="00163858"/>
    <w:rsid w:val="00164640"/>
    <w:rsid w:val="001669D4"/>
    <w:rsid w:val="001706B2"/>
    <w:rsid w:val="00171354"/>
    <w:rsid w:val="00171392"/>
    <w:rsid w:val="001743E7"/>
    <w:rsid w:val="00174E76"/>
    <w:rsid w:val="001757A8"/>
    <w:rsid w:val="00175A71"/>
    <w:rsid w:val="00176735"/>
    <w:rsid w:val="0018134F"/>
    <w:rsid w:val="0018447A"/>
    <w:rsid w:val="001845E6"/>
    <w:rsid w:val="00185653"/>
    <w:rsid w:val="0018581C"/>
    <w:rsid w:val="00185D3F"/>
    <w:rsid w:val="001871EA"/>
    <w:rsid w:val="00190966"/>
    <w:rsid w:val="00191DD7"/>
    <w:rsid w:val="001932B7"/>
    <w:rsid w:val="00195096"/>
    <w:rsid w:val="00195498"/>
    <w:rsid w:val="00196AA2"/>
    <w:rsid w:val="00196BA8"/>
    <w:rsid w:val="00197DFD"/>
    <w:rsid w:val="001A052E"/>
    <w:rsid w:val="001A1F46"/>
    <w:rsid w:val="001A2026"/>
    <w:rsid w:val="001A5D88"/>
    <w:rsid w:val="001B2D54"/>
    <w:rsid w:val="001B3483"/>
    <w:rsid w:val="001B455B"/>
    <w:rsid w:val="001B48A9"/>
    <w:rsid w:val="001B5078"/>
    <w:rsid w:val="001C08D9"/>
    <w:rsid w:val="001C4274"/>
    <w:rsid w:val="001C5684"/>
    <w:rsid w:val="001C5D76"/>
    <w:rsid w:val="001C60AF"/>
    <w:rsid w:val="001C7CC7"/>
    <w:rsid w:val="001D003C"/>
    <w:rsid w:val="001D0C31"/>
    <w:rsid w:val="001D2447"/>
    <w:rsid w:val="001D4111"/>
    <w:rsid w:val="001D4A80"/>
    <w:rsid w:val="001D54A4"/>
    <w:rsid w:val="001D7C9B"/>
    <w:rsid w:val="001E2031"/>
    <w:rsid w:val="001E2495"/>
    <w:rsid w:val="001E29E0"/>
    <w:rsid w:val="001E2F10"/>
    <w:rsid w:val="001E2F4A"/>
    <w:rsid w:val="001E36DC"/>
    <w:rsid w:val="001E3877"/>
    <w:rsid w:val="001E3F74"/>
    <w:rsid w:val="001E4289"/>
    <w:rsid w:val="001E60D3"/>
    <w:rsid w:val="001E690F"/>
    <w:rsid w:val="001E6914"/>
    <w:rsid w:val="001E755A"/>
    <w:rsid w:val="001F03AA"/>
    <w:rsid w:val="001F0F10"/>
    <w:rsid w:val="001F1152"/>
    <w:rsid w:val="001F2863"/>
    <w:rsid w:val="001F3113"/>
    <w:rsid w:val="001F3954"/>
    <w:rsid w:val="001F4167"/>
    <w:rsid w:val="001F41B6"/>
    <w:rsid w:val="001F5C6C"/>
    <w:rsid w:val="001F6BEB"/>
    <w:rsid w:val="001F7141"/>
    <w:rsid w:val="00201E32"/>
    <w:rsid w:val="00201EF3"/>
    <w:rsid w:val="0020347E"/>
    <w:rsid w:val="002040E8"/>
    <w:rsid w:val="00204964"/>
    <w:rsid w:val="00205F9C"/>
    <w:rsid w:val="0020745E"/>
    <w:rsid w:val="002108BE"/>
    <w:rsid w:val="00211119"/>
    <w:rsid w:val="002134C4"/>
    <w:rsid w:val="0021449D"/>
    <w:rsid w:val="00214CAB"/>
    <w:rsid w:val="00215D8D"/>
    <w:rsid w:val="00220A41"/>
    <w:rsid w:val="002212C0"/>
    <w:rsid w:val="0022246D"/>
    <w:rsid w:val="00222F49"/>
    <w:rsid w:val="00223A74"/>
    <w:rsid w:val="002241B1"/>
    <w:rsid w:val="00227848"/>
    <w:rsid w:val="00230405"/>
    <w:rsid w:val="00233682"/>
    <w:rsid w:val="00233C76"/>
    <w:rsid w:val="00235346"/>
    <w:rsid w:val="002360CC"/>
    <w:rsid w:val="00236BC1"/>
    <w:rsid w:val="002406A2"/>
    <w:rsid w:val="00241385"/>
    <w:rsid w:val="00241A11"/>
    <w:rsid w:val="0024230E"/>
    <w:rsid w:val="00242B0E"/>
    <w:rsid w:val="00243A13"/>
    <w:rsid w:val="002462FF"/>
    <w:rsid w:val="002473C4"/>
    <w:rsid w:val="00247558"/>
    <w:rsid w:val="002502CF"/>
    <w:rsid w:val="0025100D"/>
    <w:rsid w:val="00252582"/>
    <w:rsid w:val="00253556"/>
    <w:rsid w:val="00254E8E"/>
    <w:rsid w:val="002565A7"/>
    <w:rsid w:val="00262B4B"/>
    <w:rsid w:val="00263FE2"/>
    <w:rsid w:val="0026461B"/>
    <w:rsid w:val="00264821"/>
    <w:rsid w:val="00266F07"/>
    <w:rsid w:val="00267232"/>
    <w:rsid w:val="0026761B"/>
    <w:rsid w:val="00267751"/>
    <w:rsid w:val="0027040B"/>
    <w:rsid w:val="00272991"/>
    <w:rsid w:val="00275C63"/>
    <w:rsid w:val="00276548"/>
    <w:rsid w:val="00276A44"/>
    <w:rsid w:val="00280913"/>
    <w:rsid w:val="00281427"/>
    <w:rsid w:val="002820E3"/>
    <w:rsid w:val="002821DE"/>
    <w:rsid w:val="0028251F"/>
    <w:rsid w:val="0028281A"/>
    <w:rsid w:val="002869D1"/>
    <w:rsid w:val="00290152"/>
    <w:rsid w:val="002918C2"/>
    <w:rsid w:val="0029256A"/>
    <w:rsid w:val="002934CC"/>
    <w:rsid w:val="00293628"/>
    <w:rsid w:val="0029362C"/>
    <w:rsid w:val="00293A79"/>
    <w:rsid w:val="002949B6"/>
    <w:rsid w:val="00294D57"/>
    <w:rsid w:val="0029647C"/>
    <w:rsid w:val="00296F8D"/>
    <w:rsid w:val="002A0CB7"/>
    <w:rsid w:val="002A1093"/>
    <w:rsid w:val="002A4137"/>
    <w:rsid w:val="002A41D7"/>
    <w:rsid w:val="002A47ED"/>
    <w:rsid w:val="002A4AC2"/>
    <w:rsid w:val="002A4D1D"/>
    <w:rsid w:val="002A5C47"/>
    <w:rsid w:val="002A7AF2"/>
    <w:rsid w:val="002B169E"/>
    <w:rsid w:val="002B2ECD"/>
    <w:rsid w:val="002B3297"/>
    <w:rsid w:val="002B378D"/>
    <w:rsid w:val="002B3887"/>
    <w:rsid w:val="002B4168"/>
    <w:rsid w:val="002B568A"/>
    <w:rsid w:val="002B7D20"/>
    <w:rsid w:val="002C3A2F"/>
    <w:rsid w:val="002C6575"/>
    <w:rsid w:val="002C6735"/>
    <w:rsid w:val="002C715A"/>
    <w:rsid w:val="002D55CD"/>
    <w:rsid w:val="002D618B"/>
    <w:rsid w:val="002D65B4"/>
    <w:rsid w:val="002E075C"/>
    <w:rsid w:val="002E0A5F"/>
    <w:rsid w:val="002E1661"/>
    <w:rsid w:val="002E17C2"/>
    <w:rsid w:val="002E21A5"/>
    <w:rsid w:val="002E2ED9"/>
    <w:rsid w:val="002E2F85"/>
    <w:rsid w:val="002E32F2"/>
    <w:rsid w:val="002E6993"/>
    <w:rsid w:val="002F0C61"/>
    <w:rsid w:val="002F13D6"/>
    <w:rsid w:val="002F1896"/>
    <w:rsid w:val="002F3974"/>
    <w:rsid w:val="002F4F3F"/>
    <w:rsid w:val="002F6194"/>
    <w:rsid w:val="002F76CF"/>
    <w:rsid w:val="00302B45"/>
    <w:rsid w:val="00303442"/>
    <w:rsid w:val="003036A5"/>
    <w:rsid w:val="00304138"/>
    <w:rsid w:val="00305440"/>
    <w:rsid w:val="00306538"/>
    <w:rsid w:val="00306540"/>
    <w:rsid w:val="00306838"/>
    <w:rsid w:val="00306CA6"/>
    <w:rsid w:val="00310A22"/>
    <w:rsid w:val="00311081"/>
    <w:rsid w:val="003163C5"/>
    <w:rsid w:val="00317B4F"/>
    <w:rsid w:val="00317FA5"/>
    <w:rsid w:val="003210AA"/>
    <w:rsid w:val="00322A1C"/>
    <w:rsid w:val="00322D87"/>
    <w:rsid w:val="00323C42"/>
    <w:rsid w:val="003240FA"/>
    <w:rsid w:val="00324BC6"/>
    <w:rsid w:val="0033111D"/>
    <w:rsid w:val="003320AB"/>
    <w:rsid w:val="003341B7"/>
    <w:rsid w:val="003350EC"/>
    <w:rsid w:val="003369D6"/>
    <w:rsid w:val="00341C10"/>
    <w:rsid w:val="00343A70"/>
    <w:rsid w:val="00343E09"/>
    <w:rsid w:val="0034488A"/>
    <w:rsid w:val="00346432"/>
    <w:rsid w:val="00350921"/>
    <w:rsid w:val="00350FE3"/>
    <w:rsid w:val="00351A5B"/>
    <w:rsid w:val="00353ADB"/>
    <w:rsid w:val="00353D34"/>
    <w:rsid w:val="0035475C"/>
    <w:rsid w:val="0035487A"/>
    <w:rsid w:val="00356C3B"/>
    <w:rsid w:val="00357241"/>
    <w:rsid w:val="00360293"/>
    <w:rsid w:val="0036139F"/>
    <w:rsid w:val="0036456E"/>
    <w:rsid w:val="00365DD1"/>
    <w:rsid w:val="00366AE8"/>
    <w:rsid w:val="003707B2"/>
    <w:rsid w:val="003721EF"/>
    <w:rsid w:val="00374647"/>
    <w:rsid w:val="00375DB5"/>
    <w:rsid w:val="00377DF6"/>
    <w:rsid w:val="003807BC"/>
    <w:rsid w:val="003809DB"/>
    <w:rsid w:val="00381D14"/>
    <w:rsid w:val="003827AD"/>
    <w:rsid w:val="00384DB6"/>
    <w:rsid w:val="00384DCE"/>
    <w:rsid w:val="00394447"/>
    <w:rsid w:val="003965C9"/>
    <w:rsid w:val="003966D7"/>
    <w:rsid w:val="003A10BF"/>
    <w:rsid w:val="003A12B5"/>
    <w:rsid w:val="003A1F94"/>
    <w:rsid w:val="003A361B"/>
    <w:rsid w:val="003A5B69"/>
    <w:rsid w:val="003B2B36"/>
    <w:rsid w:val="003B2D46"/>
    <w:rsid w:val="003B3EB5"/>
    <w:rsid w:val="003B54B1"/>
    <w:rsid w:val="003B5B21"/>
    <w:rsid w:val="003B73B6"/>
    <w:rsid w:val="003C2224"/>
    <w:rsid w:val="003C30AA"/>
    <w:rsid w:val="003C508E"/>
    <w:rsid w:val="003C5202"/>
    <w:rsid w:val="003C5C5C"/>
    <w:rsid w:val="003D0A45"/>
    <w:rsid w:val="003D0D2B"/>
    <w:rsid w:val="003D1051"/>
    <w:rsid w:val="003D2EA8"/>
    <w:rsid w:val="003D52B7"/>
    <w:rsid w:val="003D6D5A"/>
    <w:rsid w:val="003D7489"/>
    <w:rsid w:val="003D7FEF"/>
    <w:rsid w:val="003E2EAF"/>
    <w:rsid w:val="003E44AA"/>
    <w:rsid w:val="003E4E27"/>
    <w:rsid w:val="003E5EDE"/>
    <w:rsid w:val="003E6FE0"/>
    <w:rsid w:val="003E78A3"/>
    <w:rsid w:val="003E7CDB"/>
    <w:rsid w:val="003F1BCE"/>
    <w:rsid w:val="003F36C6"/>
    <w:rsid w:val="003F69E1"/>
    <w:rsid w:val="003F792D"/>
    <w:rsid w:val="0040030D"/>
    <w:rsid w:val="0040088F"/>
    <w:rsid w:val="00402D40"/>
    <w:rsid w:val="00403C24"/>
    <w:rsid w:val="00405326"/>
    <w:rsid w:val="0040694D"/>
    <w:rsid w:val="0041035E"/>
    <w:rsid w:val="004103E3"/>
    <w:rsid w:val="00411DAC"/>
    <w:rsid w:val="004121A5"/>
    <w:rsid w:val="00416F67"/>
    <w:rsid w:val="00420814"/>
    <w:rsid w:val="00421388"/>
    <w:rsid w:val="0042169A"/>
    <w:rsid w:val="00421811"/>
    <w:rsid w:val="00421B12"/>
    <w:rsid w:val="00421D6C"/>
    <w:rsid w:val="00423A5A"/>
    <w:rsid w:val="00423F50"/>
    <w:rsid w:val="0042409E"/>
    <w:rsid w:val="00425417"/>
    <w:rsid w:val="004258A0"/>
    <w:rsid w:val="00426C6E"/>
    <w:rsid w:val="004270AC"/>
    <w:rsid w:val="00427CEA"/>
    <w:rsid w:val="00430147"/>
    <w:rsid w:val="004321EB"/>
    <w:rsid w:val="004327B9"/>
    <w:rsid w:val="00433410"/>
    <w:rsid w:val="0043410F"/>
    <w:rsid w:val="004345A2"/>
    <w:rsid w:val="0043719C"/>
    <w:rsid w:val="0044002D"/>
    <w:rsid w:val="00442AFA"/>
    <w:rsid w:val="00442D91"/>
    <w:rsid w:val="0044315F"/>
    <w:rsid w:val="004434CF"/>
    <w:rsid w:val="00444383"/>
    <w:rsid w:val="00446F84"/>
    <w:rsid w:val="004474C9"/>
    <w:rsid w:val="004476F1"/>
    <w:rsid w:val="00450117"/>
    <w:rsid w:val="004506A0"/>
    <w:rsid w:val="004517DE"/>
    <w:rsid w:val="00451DF1"/>
    <w:rsid w:val="00452177"/>
    <w:rsid w:val="00452659"/>
    <w:rsid w:val="0045604B"/>
    <w:rsid w:val="00457136"/>
    <w:rsid w:val="00457527"/>
    <w:rsid w:val="00461DB9"/>
    <w:rsid w:val="00462ECA"/>
    <w:rsid w:val="004633BF"/>
    <w:rsid w:val="00464338"/>
    <w:rsid w:val="00465598"/>
    <w:rsid w:val="004662F3"/>
    <w:rsid w:val="0046638C"/>
    <w:rsid w:val="00466753"/>
    <w:rsid w:val="004717EB"/>
    <w:rsid w:val="00471AC5"/>
    <w:rsid w:val="0047208F"/>
    <w:rsid w:val="004729D9"/>
    <w:rsid w:val="004731DA"/>
    <w:rsid w:val="00474F21"/>
    <w:rsid w:val="004750DB"/>
    <w:rsid w:val="00475395"/>
    <w:rsid w:val="00476F3C"/>
    <w:rsid w:val="00476FC8"/>
    <w:rsid w:val="00477E7F"/>
    <w:rsid w:val="00477FE1"/>
    <w:rsid w:val="0048174C"/>
    <w:rsid w:val="00481C1A"/>
    <w:rsid w:val="0048660C"/>
    <w:rsid w:val="00490A1E"/>
    <w:rsid w:val="00491829"/>
    <w:rsid w:val="004918C0"/>
    <w:rsid w:val="00491B46"/>
    <w:rsid w:val="0049276C"/>
    <w:rsid w:val="00492961"/>
    <w:rsid w:val="00495C98"/>
    <w:rsid w:val="00496698"/>
    <w:rsid w:val="004A0117"/>
    <w:rsid w:val="004A08DD"/>
    <w:rsid w:val="004A0CF8"/>
    <w:rsid w:val="004A26CA"/>
    <w:rsid w:val="004A2805"/>
    <w:rsid w:val="004A3B4C"/>
    <w:rsid w:val="004A592D"/>
    <w:rsid w:val="004A68A3"/>
    <w:rsid w:val="004A6C17"/>
    <w:rsid w:val="004A6EB2"/>
    <w:rsid w:val="004B1A7D"/>
    <w:rsid w:val="004B58A3"/>
    <w:rsid w:val="004B6D1F"/>
    <w:rsid w:val="004C0D1C"/>
    <w:rsid w:val="004C1052"/>
    <w:rsid w:val="004C1945"/>
    <w:rsid w:val="004C43EB"/>
    <w:rsid w:val="004C5B84"/>
    <w:rsid w:val="004C5DFB"/>
    <w:rsid w:val="004C647A"/>
    <w:rsid w:val="004D0BA0"/>
    <w:rsid w:val="004D23D3"/>
    <w:rsid w:val="004D4B6B"/>
    <w:rsid w:val="004D6F37"/>
    <w:rsid w:val="004E04B5"/>
    <w:rsid w:val="004E0FA2"/>
    <w:rsid w:val="004E5AA5"/>
    <w:rsid w:val="004E7382"/>
    <w:rsid w:val="004F0128"/>
    <w:rsid w:val="004F01B3"/>
    <w:rsid w:val="004F0A0D"/>
    <w:rsid w:val="004F17BF"/>
    <w:rsid w:val="004F17C7"/>
    <w:rsid w:val="004F2AAA"/>
    <w:rsid w:val="004F3304"/>
    <w:rsid w:val="004F3BE6"/>
    <w:rsid w:val="004F3C5B"/>
    <w:rsid w:val="004F44BA"/>
    <w:rsid w:val="004F4D4F"/>
    <w:rsid w:val="004F4F6A"/>
    <w:rsid w:val="004F59C3"/>
    <w:rsid w:val="00503DC2"/>
    <w:rsid w:val="00505433"/>
    <w:rsid w:val="0050598D"/>
    <w:rsid w:val="00505F93"/>
    <w:rsid w:val="00507A6B"/>
    <w:rsid w:val="00507F09"/>
    <w:rsid w:val="005107E0"/>
    <w:rsid w:val="00510DCF"/>
    <w:rsid w:val="00514E1A"/>
    <w:rsid w:val="0051603E"/>
    <w:rsid w:val="005162B2"/>
    <w:rsid w:val="00517B5F"/>
    <w:rsid w:val="00517E84"/>
    <w:rsid w:val="005207B1"/>
    <w:rsid w:val="0052087D"/>
    <w:rsid w:val="00521441"/>
    <w:rsid w:val="00522853"/>
    <w:rsid w:val="00522BC3"/>
    <w:rsid w:val="00522F38"/>
    <w:rsid w:val="005239AF"/>
    <w:rsid w:val="00526291"/>
    <w:rsid w:val="00526FA7"/>
    <w:rsid w:val="00530EA2"/>
    <w:rsid w:val="00531E66"/>
    <w:rsid w:val="005331DF"/>
    <w:rsid w:val="0053347B"/>
    <w:rsid w:val="00533763"/>
    <w:rsid w:val="00535843"/>
    <w:rsid w:val="00535AA8"/>
    <w:rsid w:val="00537C16"/>
    <w:rsid w:val="00541D29"/>
    <w:rsid w:val="005423F5"/>
    <w:rsid w:val="0054342F"/>
    <w:rsid w:val="0054535B"/>
    <w:rsid w:val="0054770E"/>
    <w:rsid w:val="0055083F"/>
    <w:rsid w:val="00551BDE"/>
    <w:rsid w:val="00551E24"/>
    <w:rsid w:val="00552D78"/>
    <w:rsid w:val="00553CC0"/>
    <w:rsid w:val="005546BF"/>
    <w:rsid w:val="005546EE"/>
    <w:rsid w:val="00554B90"/>
    <w:rsid w:val="005550FC"/>
    <w:rsid w:val="00556EC3"/>
    <w:rsid w:val="00556FDB"/>
    <w:rsid w:val="00557AB1"/>
    <w:rsid w:val="00560EFD"/>
    <w:rsid w:val="0056137C"/>
    <w:rsid w:val="005617FF"/>
    <w:rsid w:val="00562836"/>
    <w:rsid w:val="00562B71"/>
    <w:rsid w:val="005650D5"/>
    <w:rsid w:val="00566704"/>
    <w:rsid w:val="00566E76"/>
    <w:rsid w:val="00567968"/>
    <w:rsid w:val="005714D3"/>
    <w:rsid w:val="005725EA"/>
    <w:rsid w:val="00574228"/>
    <w:rsid w:val="00575ED8"/>
    <w:rsid w:val="005762E1"/>
    <w:rsid w:val="00581B08"/>
    <w:rsid w:val="00582013"/>
    <w:rsid w:val="00582845"/>
    <w:rsid w:val="005841A4"/>
    <w:rsid w:val="005847F9"/>
    <w:rsid w:val="00585A9A"/>
    <w:rsid w:val="005866AF"/>
    <w:rsid w:val="005867FE"/>
    <w:rsid w:val="00593C98"/>
    <w:rsid w:val="00596C5C"/>
    <w:rsid w:val="00597D0D"/>
    <w:rsid w:val="00597FA8"/>
    <w:rsid w:val="005A08C2"/>
    <w:rsid w:val="005A13A8"/>
    <w:rsid w:val="005A22D7"/>
    <w:rsid w:val="005A3043"/>
    <w:rsid w:val="005A513D"/>
    <w:rsid w:val="005A68A9"/>
    <w:rsid w:val="005B291B"/>
    <w:rsid w:val="005B6766"/>
    <w:rsid w:val="005B7115"/>
    <w:rsid w:val="005B7EDC"/>
    <w:rsid w:val="005C0215"/>
    <w:rsid w:val="005C0638"/>
    <w:rsid w:val="005C373F"/>
    <w:rsid w:val="005C4554"/>
    <w:rsid w:val="005C4875"/>
    <w:rsid w:val="005C5361"/>
    <w:rsid w:val="005C7915"/>
    <w:rsid w:val="005C7A96"/>
    <w:rsid w:val="005D08B6"/>
    <w:rsid w:val="005D0E15"/>
    <w:rsid w:val="005D2B1C"/>
    <w:rsid w:val="005D2B4E"/>
    <w:rsid w:val="005D668F"/>
    <w:rsid w:val="005E1AC5"/>
    <w:rsid w:val="005E324B"/>
    <w:rsid w:val="005E4198"/>
    <w:rsid w:val="005E458B"/>
    <w:rsid w:val="005E6629"/>
    <w:rsid w:val="005E7878"/>
    <w:rsid w:val="005F0344"/>
    <w:rsid w:val="005F153C"/>
    <w:rsid w:val="005F2D2A"/>
    <w:rsid w:val="005F63F9"/>
    <w:rsid w:val="005F6B3A"/>
    <w:rsid w:val="00600D8D"/>
    <w:rsid w:val="00601310"/>
    <w:rsid w:val="00601AC2"/>
    <w:rsid w:val="00607F44"/>
    <w:rsid w:val="006212C6"/>
    <w:rsid w:val="00621538"/>
    <w:rsid w:val="00622451"/>
    <w:rsid w:val="006229DF"/>
    <w:rsid w:val="006248B0"/>
    <w:rsid w:val="00626C2E"/>
    <w:rsid w:val="00627C45"/>
    <w:rsid w:val="006307BA"/>
    <w:rsid w:val="0063254C"/>
    <w:rsid w:val="00634B7B"/>
    <w:rsid w:val="00634EC0"/>
    <w:rsid w:val="00635851"/>
    <w:rsid w:val="00636DAA"/>
    <w:rsid w:val="006374B6"/>
    <w:rsid w:val="0064211E"/>
    <w:rsid w:val="00645853"/>
    <w:rsid w:val="00647194"/>
    <w:rsid w:val="0064788E"/>
    <w:rsid w:val="00647A88"/>
    <w:rsid w:val="0065128C"/>
    <w:rsid w:val="00651367"/>
    <w:rsid w:val="006515A6"/>
    <w:rsid w:val="00651C53"/>
    <w:rsid w:val="006529B3"/>
    <w:rsid w:val="00653129"/>
    <w:rsid w:val="00655673"/>
    <w:rsid w:val="00656636"/>
    <w:rsid w:val="00657CB7"/>
    <w:rsid w:val="00660097"/>
    <w:rsid w:val="00661A87"/>
    <w:rsid w:val="006628C2"/>
    <w:rsid w:val="00662F71"/>
    <w:rsid w:val="00663043"/>
    <w:rsid w:val="0066514C"/>
    <w:rsid w:val="006657CD"/>
    <w:rsid w:val="00666CED"/>
    <w:rsid w:val="00667370"/>
    <w:rsid w:val="00670CC7"/>
    <w:rsid w:val="006716FB"/>
    <w:rsid w:val="006745F2"/>
    <w:rsid w:val="00675604"/>
    <w:rsid w:val="00676546"/>
    <w:rsid w:val="00676874"/>
    <w:rsid w:val="00676A27"/>
    <w:rsid w:val="00680F65"/>
    <w:rsid w:val="00685035"/>
    <w:rsid w:val="00687A66"/>
    <w:rsid w:val="006903EF"/>
    <w:rsid w:val="00690BA2"/>
    <w:rsid w:val="00690C97"/>
    <w:rsid w:val="0069151F"/>
    <w:rsid w:val="00692702"/>
    <w:rsid w:val="006936D0"/>
    <w:rsid w:val="006936DF"/>
    <w:rsid w:val="00694F61"/>
    <w:rsid w:val="00696560"/>
    <w:rsid w:val="00696776"/>
    <w:rsid w:val="0069721B"/>
    <w:rsid w:val="00697AB5"/>
    <w:rsid w:val="006A11F7"/>
    <w:rsid w:val="006A2312"/>
    <w:rsid w:val="006A36E6"/>
    <w:rsid w:val="006A3B43"/>
    <w:rsid w:val="006A3F96"/>
    <w:rsid w:val="006A44F7"/>
    <w:rsid w:val="006A48C7"/>
    <w:rsid w:val="006A5C18"/>
    <w:rsid w:val="006A6065"/>
    <w:rsid w:val="006A69BA"/>
    <w:rsid w:val="006A6E5B"/>
    <w:rsid w:val="006B02EE"/>
    <w:rsid w:val="006B1BDD"/>
    <w:rsid w:val="006B47A6"/>
    <w:rsid w:val="006B5CC6"/>
    <w:rsid w:val="006B6A90"/>
    <w:rsid w:val="006C0093"/>
    <w:rsid w:val="006C0E22"/>
    <w:rsid w:val="006C2B8E"/>
    <w:rsid w:val="006C2E6C"/>
    <w:rsid w:val="006C3911"/>
    <w:rsid w:val="006C5E95"/>
    <w:rsid w:val="006C7FFC"/>
    <w:rsid w:val="006D2D50"/>
    <w:rsid w:val="006D68B9"/>
    <w:rsid w:val="006E0A47"/>
    <w:rsid w:val="006E1899"/>
    <w:rsid w:val="006E18DA"/>
    <w:rsid w:val="006E4882"/>
    <w:rsid w:val="006F1A24"/>
    <w:rsid w:val="006F1D3E"/>
    <w:rsid w:val="006F2CEA"/>
    <w:rsid w:val="006F42A4"/>
    <w:rsid w:val="006F453E"/>
    <w:rsid w:val="006F4BE9"/>
    <w:rsid w:val="006F5936"/>
    <w:rsid w:val="006F615D"/>
    <w:rsid w:val="006F658F"/>
    <w:rsid w:val="006F679B"/>
    <w:rsid w:val="006F6941"/>
    <w:rsid w:val="007006E1"/>
    <w:rsid w:val="0070170F"/>
    <w:rsid w:val="00702156"/>
    <w:rsid w:val="007033C7"/>
    <w:rsid w:val="0070434A"/>
    <w:rsid w:val="007049BA"/>
    <w:rsid w:val="007065D1"/>
    <w:rsid w:val="00706D82"/>
    <w:rsid w:val="00710F05"/>
    <w:rsid w:val="0071171A"/>
    <w:rsid w:val="007154E0"/>
    <w:rsid w:val="007159C8"/>
    <w:rsid w:val="00715E65"/>
    <w:rsid w:val="00716EE7"/>
    <w:rsid w:val="0071713C"/>
    <w:rsid w:val="0072019D"/>
    <w:rsid w:val="00722784"/>
    <w:rsid w:val="00722830"/>
    <w:rsid w:val="00722A57"/>
    <w:rsid w:val="007245CF"/>
    <w:rsid w:val="007311E4"/>
    <w:rsid w:val="00731A25"/>
    <w:rsid w:val="00732BE2"/>
    <w:rsid w:val="007331A2"/>
    <w:rsid w:val="00734AA7"/>
    <w:rsid w:val="007351FB"/>
    <w:rsid w:val="00735B36"/>
    <w:rsid w:val="00736AE8"/>
    <w:rsid w:val="00737C5D"/>
    <w:rsid w:val="00737EB3"/>
    <w:rsid w:val="00743138"/>
    <w:rsid w:val="00743651"/>
    <w:rsid w:val="00743CA8"/>
    <w:rsid w:val="007456D3"/>
    <w:rsid w:val="00745823"/>
    <w:rsid w:val="00745DC3"/>
    <w:rsid w:val="00746A8F"/>
    <w:rsid w:val="007478D5"/>
    <w:rsid w:val="007503F6"/>
    <w:rsid w:val="007520F9"/>
    <w:rsid w:val="007522B0"/>
    <w:rsid w:val="00753A32"/>
    <w:rsid w:val="00753FAC"/>
    <w:rsid w:val="00755C40"/>
    <w:rsid w:val="00756D61"/>
    <w:rsid w:val="00756FD6"/>
    <w:rsid w:val="00762002"/>
    <w:rsid w:val="007640B3"/>
    <w:rsid w:val="007679B6"/>
    <w:rsid w:val="00767E71"/>
    <w:rsid w:val="0077168B"/>
    <w:rsid w:val="00775A53"/>
    <w:rsid w:val="00776A82"/>
    <w:rsid w:val="00777ACA"/>
    <w:rsid w:val="00782FF0"/>
    <w:rsid w:val="00784C7C"/>
    <w:rsid w:val="00786A1C"/>
    <w:rsid w:val="00787E2C"/>
    <w:rsid w:val="00794FEE"/>
    <w:rsid w:val="007956C0"/>
    <w:rsid w:val="00795D39"/>
    <w:rsid w:val="00797843"/>
    <w:rsid w:val="00797D66"/>
    <w:rsid w:val="007A07C7"/>
    <w:rsid w:val="007A0C47"/>
    <w:rsid w:val="007A1D4E"/>
    <w:rsid w:val="007A209E"/>
    <w:rsid w:val="007A284A"/>
    <w:rsid w:val="007A2DF7"/>
    <w:rsid w:val="007A38AF"/>
    <w:rsid w:val="007A5133"/>
    <w:rsid w:val="007A5DED"/>
    <w:rsid w:val="007A770B"/>
    <w:rsid w:val="007A7F97"/>
    <w:rsid w:val="007B2910"/>
    <w:rsid w:val="007B62FB"/>
    <w:rsid w:val="007B6AF7"/>
    <w:rsid w:val="007C08FB"/>
    <w:rsid w:val="007C1727"/>
    <w:rsid w:val="007C2272"/>
    <w:rsid w:val="007C3555"/>
    <w:rsid w:val="007C66B9"/>
    <w:rsid w:val="007C6794"/>
    <w:rsid w:val="007C6EC6"/>
    <w:rsid w:val="007D0706"/>
    <w:rsid w:val="007D1815"/>
    <w:rsid w:val="007D1C66"/>
    <w:rsid w:val="007D28C0"/>
    <w:rsid w:val="007D2C5A"/>
    <w:rsid w:val="007D2FD9"/>
    <w:rsid w:val="007D3523"/>
    <w:rsid w:val="007D51E6"/>
    <w:rsid w:val="007D7F81"/>
    <w:rsid w:val="007E1262"/>
    <w:rsid w:val="007E16B7"/>
    <w:rsid w:val="007E1F26"/>
    <w:rsid w:val="007E5D5A"/>
    <w:rsid w:val="007E6BC9"/>
    <w:rsid w:val="007F015E"/>
    <w:rsid w:val="007F0BEE"/>
    <w:rsid w:val="007F2ECC"/>
    <w:rsid w:val="007F2EF7"/>
    <w:rsid w:val="007F4360"/>
    <w:rsid w:val="00801A3A"/>
    <w:rsid w:val="00803256"/>
    <w:rsid w:val="00803A50"/>
    <w:rsid w:val="008047A7"/>
    <w:rsid w:val="0080553D"/>
    <w:rsid w:val="00805752"/>
    <w:rsid w:val="00805819"/>
    <w:rsid w:val="00806DEB"/>
    <w:rsid w:val="0080764F"/>
    <w:rsid w:val="008100E8"/>
    <w:rsid w:val="00811381"/>
    <w:rsid w:val="00811AD4"/>
    <w:rsid w:val="00813217"/>
    <w:rsid w:val="00814640"/>
    <w:rsid w:val="00815EE0"/>
    <w:rsid w:val="00815FDA"/>
    <w:rsid w:val="00817B74"/>
    <w:rsid w:val="00821496"/>
    <w:rsid w:val="008215CE"/>
    <w:rsid w:val="008227E0"/>
    <w:rsid w:val="008230AE"/>
    <w:rsid w:val="008236A7"/>
    <w:rsid w:val="00823C76"/>
    <w:rsid w:val="00825B13"/>
    <w:rsid w:val="00825CE1"/>
    <w:rsid w:val="00827307"/>
    <w:rsid w:val="00832166"/>
    <w:rsid w:val="00832992"/>
    <w:rsid w:val="00833713"/>
    <w:rsid w:val="0083384A"/>
    <w:rsid w:val="008341BA"/>
    <w:rsid w:val="008347E5"/>
    <w:rsid w:val="008352C3"/>
    <w:rsid w:val="00840939"/>
    <w:rsid w:val="00843C0F"/>
    <w:rsid w:val="008467C2"/>
    <w:rsid w:val="00850E89"/>
    <w:rsid w:val="00851626"/>
    <w:rsid w:val="00852155"/>
    <w:rsid w:val="0085413F"/>
    <w:rsid w:val="008543D1"/>
    <w:rsid w:val="00854AC8"/>
    <w:rsid w:val="00857056"/>
    <w:rsid w:val="00857AAA"/>
    <w:rsid w:val="00861176"/>
    <w:rsid w:val="00861202"/>
    <w:rsid w:val="00862D89"/>
    <w:rsid w:val="008635C1"/>
    <w:rsid w:val="00863FD1"/>
    <w:rsid w:val="0086531D"/>
    <w:rsid w:val="00867E3D"/>
    <w:rsid w:val="00874114"/>
    <w:rsid w:val="008758C1"/>
    <w:rsid w:val="00877544"/>
    <w:rsid w:val="00877D63"/>
    <w:rsid w:val="00880CD3"/>
    <w:rsid w:val="008810C5"/>
    <w:rsid w:val="008825BF"/>
    <w:rsid w:val="00885058"/>
    <w:rsid w:val="008878A1"/>
    <w:rsid w:val="008907F6"/>
    <w:rsid w:val="00892DBC"/>
    <w:rsid w:val="008933C3"/>
    <w:rsid w:val="008936CC"/>
    <w:rsid w:val="00893806"/>
    <w:rsid w:val="00894842"/>
    <w:rsid w:val="008948DA"/>
    <w:rsid w:val="00895FB4"/>
    <w:rsid w:val="008965DF"/>
    <w:rsid w:val="008A1631"/>
    <w:rsid w:val="008A1634"/>
    <w:rsid w:val="008A29D2"/>
    <w:rsid w:val="008A459D"/>
    <w:rsid w:val="008A50E9"/>
    <w:rsid w:val="008A5C89"/>
    <w:rsid w:val="008A77D0"/>
    <w:rsid w:val="008B0A45"/>
    <w:rsid w:val="008B23B8"/>
    <w:rsid w:val="008B3398"/>
    <w:rsid w:val="008B39AC"/>
    <w:rsid w:val="008B5608"/>
    <w:rsid w:val="008B5803"/>
    <w:rsid w:val="008B5C1E"/>
    <w:rsid w:val="008B6E69"/>
    <w:rsid w:val="008B7EC2"/>
    <w:rsid w:val="008C175F"/>
    <w:rsid w:val="008C2F3D"/>
    <w:rsid w:val="008C3684"/>
    <w:rsid w:val="008C3740"/>
    <w:rsid w:val="008C5025"/>
    <w:rsid w:val="008C533E"/>
    <w:rsid w:val="008C79D4"/>
    <w:rsid w:val="008D1308"/>
    <w:rsid w:val="008D177A"/>
    <w:rsid w:val="008D1783"/>
    <w:rsid w:val="008D22BB"/>
    <w:rsid w:val="008D2495"/>
    <w:rsid w:val="008D29F0"/>
    <w:rsid w:val="008D2D8B"/>
    <w:rsid w:val="008D67FD"/>
    <w:rsid w:val="008D74B0"/>
    <w:rsid w:val="008D788B"/>
    <w:rsid w:val="008E104F"/>
    <w:rsid w:val="008E1165"/>
    <w:rsid w:val="008E12A3"/>
    <w:rsid w:val="008E43FD"/>
    <w:rsid w:val="008E5634"/>
    <w:rsid w:val="008E577D"/>
    <w:rsid w:val="008E70C1"/>
    <w:rsid w:val="008F037A"/>
    <w:rsid w:val="008F0B0E"/>
    <w:rsid w:val="008F4F84"/>
    <w:rsid w:val="008F5828"/>
    <w:rsid w:val="008F5882"/>
    <w:rsid w:val="008F6186"/>
    <w:rsid w:val="008F7D70"/>
    <w:rsid w:val="009026B5"/>
    <w:rsid w:val="00903EC1"/>
    <w:rsid w:val="0090437D"/>
    <w:rsid w:val="00904BD6"/>
    <w:rsid w:val="00906986"/>
    <w:rsid w:val="009079CE"/>
    <w:rsid w:val="009101ED"/>
    <w:rsid w:val="0091073B"/>
    <w:rsid w:val="00913496"/>
    <w:rsid w:val="0091370E"/>
    <w:rsid w:val="00914340"/>
    <w:rsid w:val="009144E5"/>
    <w:rsid w:val="0091522E"/>
    <w:rsid w:val="00915239"/>
    <w:rsid w:val="0092075A"/>
    <w:rsid w:val="00920920"/>
    <w:rsid w:val="00922FD5"/>
    <w:rsid w:val="00923435"/>
    <w:rsid w:val="00923CEB"/>
    <w:rsid w:val="0092474B"/>
    <w:rsid w:val="00927A8B"/>
    <w:rsid w:val="00934F5E"/>
    <w:rsid w:val="00935BB8"/>
    <w:rsid w:val="00935EE9"/>
    <w:rsid w:val="009375E7"/>
    <w:rsid w:val="0093769B"/>
    <w:rsid w:val="00940074"/>
    <w:rsid w:val="00940207"/>
    <w:rsid w:val="00940E46"/>
    <w:rsid w:val="0094257C"/>
    <w:rsid w:val="00943AF3"/>
    <w:rsid w:val="00943CA1"/>
    <w:rsid w:val="00945FCE"/>
    <w:rsid w:val="009475F0"/>
    <w:rsid w:val="00947705"/>
    <w:rsid w:val="00947A4D"/>
    <w:rsid w:val="00947C5E"/>
    <w:rsid w:val="0095065D"/>
    <w:rsid w:val="0095075C"/>
    <w:rsid w:val="0095079A"/>
    <w:rsid w:val="00950D66"/>
    <w:rsid w:val="009538AA"/>
    <w:rsid w:val="009540C1"/>
    <w:rsid w:val="00954278"/>
    <w:rsid w:val="00954443"/>
    <w:rsid w:val="009607C7"/>
    <w:rsid w:val="00961C50"/>
    <w:rsid w:val="0096410E"/>
    <w:rsid w:val="0096638F"/>
    <w:rsid w:val="0096639B"/>
    <w:rsid w:val="00966A43"/>
    <w:rsid w:val="00967032"/>
    <w:rsid w:val="00967395"/>
    <w:rsid w:val="0097287E"/>
    <w:rsid w:val="00972AB4"/>
    <w:rsid w:val="00973AC0"/>
    <w:rsid w:val="00973EC9"/>
    <w:rsid w:val="0097461A"/>
    <w:rsid w:val="00974E94"/>
    <w:rsid w:val="00975968"/>
    <w:rsid w:val="00975E2A"/>
    <w:rsid w:val="00977C47"/>
    <w:rsid w:val="00977CDA"/>
    <w:rsid w:val="009836D1"/>
    <w:rsid w:val="0098396E"/>
    <w:rsid w:val="00991966"/>
    <w:rsid w:val="009921C8"/>
    <w:rsid w:val="00992500"/>
    <w:rsid w:val="00993E44"/>
    <w:rsid w:val="0099487F"/>
    <w:rsid w:val="009A27DD"/>
    <w:rsid w:val="009A58E8"/>
    <w:rsid w:val="009A5CA2"/>
    <w:rsid w:val="009A6059"/>
    <w:rsid w:val="009A7EA5"/>
    <w:rsid w:val="009A7F3B"/>
    <w:rsid w:val="009B1FFA"/>
    <w:rsid w:val="009B3416"/>
    <w:rsid w:val="009B48FF"/>
    <w:rsid w:val="009B4C20"/>
    <w:rsid w:val="009B54B8"/>
    <w:rsid w:val="009B7432"/>
    <w:rsid w:val="009C1E40"/>
    <w:rsid w:val="009C2F95"/>
    <w:rsid w:val="009C6127"/>
    <w:rsid w:val="009C6882"/>
    <w:rsid w:val="009D13A6"/>
    <w:rsid w:val="009D1D3D"/>
    <w:rsid w:val="009D2202"/>
    <w:rsid w:val="009D2496"/>
    <w:rsid w:val="009D29A2"/>
    <w:rsid w:val="009D2AD2"/>
    <w:rsid w:val="009D3F04"/>
    <w:rsid w:val="009D46D9"/>
    <w:rsid w:val="009D63C4"/>
    <w:rsid w:val="009E2662"/>
    <w:rsid w:val="009E5B4C"/>
    <w:rsid w:val="009E63E5"/>
    <w:rsid w:val="009E65A7"/>
    <w:rsid w:val="009E6665"/>
    <w:rsid w:val="009E7F03"/>
    <w:rsid w:val="009F19F9"/>
    <w:rsid w:val="009F385A"/>
    <w:rsid w:val="009F38B1"/>
    <w:rsid w:val="009F69DE"/>
    <w:rsid w:val="00A00A9E"/>
    <w:rsid w:val="00A015F4"/>
    <w:rsid w:val="00A0295A"/>
    <w:rsid w:val="00A030AB"/>
    <w:rsid w:val="00A04BD0"/>
    <w:rsid w:val="00A11661"/>
    <w:rsid w:val="00A13DCB"/>
    <w:rsid w:val="00A13E49"/>
    <w:rsid w:val="00A15988"/>
    <w:rsid w:val="00A200A9"/>
    <w:rsid w:val="00A21C92"/>
    <w:rsid w:val="00A23251"/>
    <w:rsid w:val="00A23874"/>
    <w:rsid w:val="00A2555D"/>
    <w:rsid w:val="00A2632E"/>
    <w:rsid w:val="00A2734F"/>
    <w:rsid w:val="00A27B2C"/>
    <w:rsid w:val="00A30673"/>
    <w:rsid w:val="00A33208"/>
    <w:rsid w:val="00A35A01"/>
    <w:rsid w:val="00A36036"/>
    <w:rsid w:val="00A41934"/>
    <w:rsid w:val="00A4325C"/>
    <w:rsid w:val="00A441B4"/>
    <w:rsid w:val="00A4648E"/>
    <w:rsid w:val="00A468F7"/>
    <w:rsid w:val="00A46A96"/>
    <w:rsid w:val="00A51BA5"/>
    <w:rsid w:val="00A51F90"/>
    <w:rsid w:val="00A52773"/>
    <w:rsid w:val="00A52E55"/>
    <w:rsid w:val="00A53975"/>
    <w:rsid w:val="00A54302"/>
    <w:rsid w:val="00A622E6"/>
    <w:rsid w:val="00A63EE5"/>
    <w:rsid w:val="00A64325"/>
    <w:rsid w:val="00A647BA"/>
    <w:rsid w:val="00A6493C"/>
    <w:rsid w:val="00A66503"/>
    <w:rsid w:val="00A6659A"/>
    <w:rsid w:val="00A6663E"/>
    <w:rsid w:val="00A66E7F"/>
    <w:rsid w:val="00A679FF"/>
    <w:rsid w:val="00A71832"/>
    <w:rsid w:val="00A71DFB"/>
    <w:rsid w:val="00A71FA1"/>
    <w:rsid w:val="00A722E8"/>
    <w:rsid w:val="00A73234"/>
    <w:rsid w:val="00A746AA"/>
    <w:rsid w:val="00A7476F"/>
    <w:rsid w:val="00A76F24"/>
    <w:rsid w:val="00A804A0"/>
    <w:rsid w:val="00A8101D"/>
    <w:rsid w:val="00A818FD"/>
    <w:rsid w:val="00A81B76"/>
    <w:rsid w:val="00A826D0"/>
    <w:rsid w:val="00A82B3D"/>
    <w:rsid w:val="00A87979"/>
    <w:rsid w:val="00A90771"/>
    <w:rsid w:val="00A90CBB"/>
    <w:rsid w:val="00A90D67"/>
    <w:rsid w:val="00A9100C"/>
    <w:rsid w:val="00A94923"/>
    <w:rsid w:val="00A94CFE"/>
    <w:rsid w:val="00A94D0A"/>
    <w:rsid w:val="00A95555"/>
    <w:rsid w:val="00A959A6"/>
    <w:rsid w:val="00A95A25"/>
    <w:rsid w:val="00A978AA"/>
    <w:rsid w:val="00A97D75"/>
    <w:rsid w:val="00AA0F66"/>
    <w:rsid w:val="00AA1020"/>
    <w:rsid w:val="00AA189B"/>
    <w:rsid w:val="00AA2710"/>
    <w:rsid w:val="00AA46A1"/>
    <w:rsid w:val="00AA4770"/>
    <w:rsid w:val="00AA4FC1"/>
    <w:rsid w:val="00AA5535"/>
    <w:rsid w:val="00AA5AB7"/>
    <w:rsid w:val="00AA6B30"/>
    <w:rsid w:val="00AA73F0"/>
    <w:rsid w:val="00AA7C07"/>
    <w:rsid w:val="00AB0265"/>
    <w:rsid w:val="00AB1DF1"/>
    <w:rsid w:val="00AB2100"/>
    <w:rsid w:val="00AB26EB"/>
    <w:rsid w:val="00AB3108"/>
    <w:rsid w:val="00AB44B9"/>
    <w:rsid w:val="00AB5114"/>
    <w:rsid w:val="00AB66EB"/>
    <w:rsid w:val="00AC13F0"/>
    <w:rsid w:val="00AC1546"/>
    <w:rsid w:val="00AC332F"/>
    <w:rsid w:val="00AC3C46"/>
    <w:rsid w:val="00AC43F5"/>
    <w:rsid w:val="00AC4A15"/>
    <w:rsid w:val="00AC5340"/>
    <w:rsid w:val="00AC56E8"/>
    <w:rsid w:val="00AC613B"/>
    <w:rsid w:val="00AC6C28"/>
    <w:rsid w:val="00AC6E9F"/>
    <w:rsid w:val="00AC738F"/>
    <w:rsid w:val="00AC7818"/>
    <w:rsid w:val="00AD37BF"/>
    <w:rsid w:val="00AD43B8"/>
    <w:rsid w:val="00AD4EF0"/>
    <w:rsid w:val="00AD6CDD"/>
    <w:rsid w:val="00AD73E7"/>
    <w:rsid w:val="00AE011B"/>
    <w:rsid w:val="00AE013B"/>
    <w:rsid w:val="00AE2065"/>
    <w:rsid w:val="00AE2D58"/>
    <w:rsid w:val="00AE30E2"/>
    <w:rsid w:val="00AE6E0A"/>
    <w:rsid w:val="00AE7496"/>
    <w:rsid w:val="00AF1AEC"/>
    <w:rsid w:val="00AF1C7A"/>
    <w:rsid w:val="00AF688B"/>
    <w:rsid w:val="00AF7DD1"/>
    <w:rsid w:val="00B00043"/>
    <w:rsid w:val="00B002AE"/>
    <w:rsid w:val="00B01B73"/>
    <w:rsid w:val="00B03BAE"/>
    <w:rsid w:val="00B064E6"/>
    <w:rsid w:val="00B1098B"/>
    <w:rsid w:val="00B143FD"/>
    <w:rsid w:val="00B15059"/>
    <w:rsid w:val="00B150CD"/>
    <w:rsid w:val="00B1539C"/>
    <w:rsid w:val="00B15B26"/>
    <w:rsid w:val="00B15C69"/>
    <w:rsid w:val="00B1705C"/>
    <w:rsid w:val="00B17E2D"/>
    <w:rsid w:val="00B2057D"/>
    <w:rsid w:val="00B20C25"/>
    <w:rsid w:val="00B224CB"/>
    <w:rsid w:val="00B23922"/>
    <w:rsid w:val="00B24055"/>
    <w:rsid w:val="00B264FA"/>
    <w:rsid w:val="00B26524"/>
    <w:rsid w:val="00B3075F"/>
    <w:rsid w:val="00B3277D"/>
    <w:rsid w:val="00B43FE5"/>
    <w:rsid w:val="00B45349"/>
    <w:rsid w:val="00B45D4A"/>
    <w:rsid w:val="00B470F0"/>
    <w:rsid w:val="00B473FF"/>
    <w:rsid w:val="00B478F8"/>
    <w:rsid w:val="00B501A0"/>
    <w:rsid w:val="00B5070C"/>
    <w:rsid w:val="00B50F68"/>
    <w:rsid w:val="00B5462A"/>
    <w:rsid w:val="00B54F97"/>
    <w:rsid w:val="00B6079D"/>
    <w:rsid w:val="00B62B1E"/>
    <w:rsid w:val="00B64B27"/>
    <w:rsid w:val="00B65BB3"/>
    <w:rsid w:val="00B67D3F"/>
    <w:rsid w:val="00B71373"/>
    <w:rsid w:val="00B7326E"/>
    <w:rsid w:val="00B74032"/>
    <w:rsid w:val="00B74C06"/>
    <w:rsid w:val="00B80984"/>
    <w:rsid w:val="00B8195D"/>
    <w:rsid w:val="00B8250F"/>
    <w:rsid w:val="00B83ABD"/>
    <w:rsid w:val="00B83D7F"/>
    <w:rsid w:val="00B85FE9"/>
    <w:rsid w:val="00B86432"/>
    <w:rsid w:val="00B87289"/>
    <w:rsid w:val="00B90458"/>
    <w:rsid w:val="00B9310D"/>
    <w:rsid w:val="00B937D8"/>
    <w:rsid w:val="00B940EF"/>
    <w:rsid w:val="00B9476F"/>
    <w:rsid w:val="00B947E3"/>
    <w:rsid w:val="00B94FC2"/>
    <w:rsid w:val="00B95913"/>
    <w:rsid w:val="00B95C9A"/>
    <w:rsid w:val="00B966F6"/>
    <w:rsid w:val="00B96719"/>
    <w:rsid w:val="00B96E8D"/>
    <w:rsid w:val="00B9712C"/>
    <w:rsid w:val="00BA1959"/>
    <w:rsid w:val="00BA1E6F"/>
    <w:rsid w:val="00BA283C"/>
    <w:rsid w:val="00BA2871"/>
    <w:rsid w:val="00BA3030"/>
    <w:rsid w:val="00BA3574"/>
    <w:rsid w:val="00BA3A4A"/>
    <w:rsid w:val="00BA5234"/>
    <w:rsid w:val="00BA5331"/>
    <w:rsid w:val="00BB0F45"/>
    <w:rsid w:val="00BB1435"/>
    <w:rsid w:val="00BB1462"/>
    <w:rsid w:val="00BB1F73"/>
    <w:rsid w:val="00BB48A7"/>
    <w:rsid w:val="00BB4D40"/>
    <w:rsid w:val="00BB6B30"/>
    <w:rsid w:val="00BC0132"/>
    <w:rsid w:val="00BC0358"/>
    <w:rsid w:val="00BC10EF"/>
    <w:rsid w:val="00BC545F"/>
    <w:rsid w:val="00BC652E"/>
    <w:rsid w:val="00BC6990"/>
    <w:rsid w:val="00BC7F62"/>
    <w:rsid w:val="00BC7FC0"/>
    <w:rsid w:val="00BD069A"/>
    <w:rsid w:val="00BD17A8"/>
    <w:rsid w:val="00BD1EF4"/>
    <w:rsid w:val="00BD24BB"/>
    <w:rsid w:val="00BD4385"/>
    <w:rsid w:val="00BD73FD"/>
    <w:rsid w:val="00BE03E4"/>
    <w:rsid w:val="00BE2DA0"/>
    <w:rsid w:val="00BE2FD1"/>
    <w:rsid w:val="00BE3AB9"/>
    <w:rsid w:val="00BE3F5A"/>
    <w:rsid w:val="00BE40EF"/>
    <w:rsid w:val="00BE6824"/>
    <w:rsid w:val="00BE6C58"/>
    <w:rsid w:val="00BE7848"/>
    <w:rsid w:val="00BE7ADB"/>
    <w:rsid w:val="00BF0AD8"/>
    <w:rsid w:val="00BF0BAE"/>
    <w:rsid w:val="00BF0D33"/>
    <w:rsid w:val="00BF1E07"/>
    <w:rsid w:val="00BF3240"/>
    <w:rsid w:val="00BF5691"/>
    <w:rsid w:val="00BF5A9C"/>
    <w:rsid w:val="00BF6D05"/>
    <w:rsid w:val="00BF719E"/>
    <w:rsid w:val="00C01EF3"/>
    <w:rsid w:val="00C0531A"/>
    <w:rsid w:val="00C066BF"/>
    <w:rsid w:val="00C1086D"/>
    <w:rsid w:val="00C109C9"/>
    <w:rsid w:val="00C11169"/>
    <w:rsid w:val="00C119A1"/>
    <w:rsid w:val="00C127E9"/>
    <w:rsid w:val="00C1584E"/>
    <w:rsid w:val="00C1726B"/>
    <w:rsid w:val="00C21CCB"/>
    <w:rsid w:val="00C222FF"/>
    <w:rsid w:val="00C2306C"/>
    <w:rsid w:val="00C24F0A"/>
    <w:rsid w:val="00C273AE"/>
    <w:rsid w:val="00C31A3A"/>
    <w:rsid w:val="00C31BDB"/>
    <w:rsid w:val="00C3279B"/>
    <w:rsid w:val="00C41A7A"/>
    <w:rsid w:val="00C45920"/>
    <w:rsid w:val="00C46ACF"/>
    <w:rsid w:val="00C478F6"/>
    <w:rsid w:val="00C47F2A"/>
    <w:rsid w:val="00C51D50"/>
    <w:rsid w:val="00C523E3"/>
    <w:rsid w:val="00C5310E"/>
    <w:rsid w:val="00C56351"/>
    <w:rsid w:val="00C6101D"/>
    <w:rsid w:val="00C62121"/>
    <w:rsid w:val="00C62AB0"/>
    <w:rsid w:val="00C647E2"/>
    <w:rsid w:val="00C648BB"/>
    <w:rsid w:val="00C66AA0"/>
    <w:rsid w:val="00C67237"/>
    <w:rsid w:val="00C675CA"/>
    <w:rsid w:val="00C70834"/>
    <w:rsid w:val="00C74C9C"/>
    <w:rsid w:val="00C76E15"/>
    <w:rsid w:val="00C77EC0"/>
    <w:rsid w:val="00C82BFD"/>
    <w:rsid w:val="00C83458"/>
    <w:rsid w:val="00C83AD0"/>
    <w:rsid w:val="00C90574"/>
    <w:rsid w:val="00C90F9D"/>
    <w:rsid w:val="00C912B4"/>
    <w:rsid w:val="00C91FB2"/>
    <w:rsid w:val="00C953AD"/>
    <w:rsid w:val="00C9586F"/>
    <w:rsid w:val="00C96003"/>
    <w:rsid w:val="00C96A2A"/>
    <w:rsid w:val="00C97178"/>
    <w:rsid w:val="00CA0D4C"/>
    <w:rsid w:val="00CA0DF2"/>
    <w:rsid w:val="00CA47EB"/>
    <w:rsid w:val="00CA4F41"/>
    <w:rsid w:val="00CA5990"/>
    <w:rsid w:val="00CB01E1"/>
    <w:rsid w:val="00CB25E6"/>
    <w:rsid w:val="00CB25E7"/>
    <w:rsid w:val="00CB39AE"/>
    <w:rsid w:val="00CB47B0"/>
    <w:rsid w:val="00CB4C6F"/>
    <w:rsid w:val="00CB6B3D"/>
    <w:rsid w:val="00CC0CFC"/>
    <w:rsid w:val="00CC1486"/>
    <w:rsid w:val="00CC2B9C"/>
    <w:rsid w:val="00CC3207"/>
    <w:rsid w:val="00CC3292"/>
    <w:rsid w:val="00CC62BF"/>
    <w:rsid w:val="00CC677F"/>
    <w:rsid w:val="00CC691A"/>
    <w:rsid w:val="00CC727D"/>
    <w:rsid w:val="00CC7528"/>
    <w:rsid w:val="00CC7871"/>
    <w:rsid w:val="00CC7AF4"/>
    <w:rsid w:val="00CD03FD"/>
    <w:rsid w:val="00CD1177"/>
    <w:rsid w:val="00CD1C0F"/>
    <w:rsid w:val="00CD26D2"/>
    <w:rsid w:val="00CD426C"/>
    <w:rsid w:val="00CD4E2E"/>
    <w:rsid w:val="00CD6E46"/>
    <w:rsid w:val="00CE1D52"/>
    <w:rsid w:val="00CE5718"/>
    <w:rsid w:val="00CE6815"/>
    <w:rsid w:val="00CE6880"/>
    <w:rsid w:val="00CE71B9"/>
    <w:rsid w:val="00CE7827"/>
    <w:rsid w:val="00CE7A7E"/>
    <w:rsid w:val="00CF13B9"/>
    <w:rsid w:val="00CF33EB"/>
    <w:rsid w:val="00CF3FF5"/>
    <w:rsid w:val="00CF44DA"/>
    <w:rsid w:val="00CF513D"/>
    <w:rsid w:val="00CF585E"/>
    <w:rsid w:val="00CF5A9B"/>
    <w:rsid w:val="00CF5E8E"/>
    <w:rsid w:val="00CF6032"/>
    <w:rsid w:val="00CF638C"/>
    <w:rsid w:val="00CF64FF"/>
    <w:rsid w:val="00CF6E19"/>
    <w:rsid w:val="00D00ACE"/>
    <w:rsid w:val="00D01103"/>
    <w:rsid w:val="00D02972"/>
    <w:rsid w:val="00D03ADB"/>
    <w:rsid w:val="00D067B3"/>
    <w:rsid w:val="00D07397"/>
    <w:rsid w:val="00D075D1"/>
    <w:rsid w:val="00D07A7C"/>
    <w:rsid w:val="00D113A3"/>
    <w:rsid w:val="00D113AF"/>
    <w:rsid w:val="00D12BFB"/>
    <w:rsid w:val="00D12C51"/>
    <w:rsid w:val="00D13874"/>
    <w:rsid w:val="00D13C30"/>
    <w:rsid w:val="00D14D3C"/>
    <w:rsid w:val="00D16484"/>
    <w:rsid w:val="00D1732F"/>
    <w:rsid w:val="00D176FF"/>
    <w:rsid w:val="00D17FC3"/>
    <w:rsid w:val="00D21F36"/>
    <w:rsid w:val="00D22F0C"/>
    <w:rsid w:val="00D23B61"/>
    <w:rsid w:val="00D23D75"/>
    <w:rsid w:val="00D26DAD"/>
    <w:rsid w:val="00D27AB2"/>
    <w:rsid w:val="00D30437"/>
    <w:rsid w:val="00D31E83"/>
    <w:rsid w:val="00D32EF8"/>
    <w:rsid w:val="00D3525B"/>
    <w:rsid w:val="00D40B08"/>
    <w:rsid w:val="00D451E3"/>
    <w:rsid w:val="00D4694B"/>
    <w:rsid w:val="00D47313"/>
    <w:rsid w:val="00D47F42"/>
    <w:rsid w:val="00D50619"/>
    <w:rsid w:val="00D51839"/>
    <w:rsid w:val="00D51A8C"/>
    <w:rsid w:val="00D53883"/>
    <w:rsid w:val="00D53A02"/>
    <w:rsid w:val="00D53C71"/>
    <w:rsid w:val="00D545E6"/>
    <w:rsid w:val="00D56D12"/>
    <w:rsid w:val="00D5789D"/>
    <w:rsid w:val="00D57B6D"/>
    <w:rsid w:val="00D57F75"/>
    <w:rsid w:val="00D60581"/>
    <w:rsid w:val="00D61935"/>
    <w:rsid w:val="00D6223D"/>
    <w:rsid w:val="00D623EF"/>
    <w:rsid w:val="00D667E7"/>
    <w:rsid w:val="00D675DB"/>
    <w:rsid w:val="00D7007F"/>
    <w:rsid w:val="00D71043"/>
    <w:rsid w:val="00D72D2B"/>
    <w:rsid w:val="00D730DE"/>
    <w:rsid w:val="00D80703"/>
    <w:rsid w:val="00D82F79"/>
    <w:rsid w:val="00D87EE6"/>
    <w:rsid w:val="00D90394"/>
    <w:rsid w:val="00D922EC"/>
    <w:rsid w:val="00D930D0"/>
    <w:rsid w:val="00D93F97"/>
    <w:rsid w:val="00D94BC2"/>
    <w:rsid w:val="00D96E86"/>
    <w:rsid w:val="00DA0617"/>
    <w:rsid w:val="00DA1105"/>
    <w:rsid w:val="00DA2370"/>
    <w:rsid w:val="00DA2C21"/>
    <w:rsid w:val="00DA4954"/>
    <w:rsid w:val="00DA545F"/>
    <w:rsid w:val="00DB319A"/>
    <w:rsid w:val="00DB3EA1"/>
    <w:rsid w:val="00DB4193"/>
    <w:rsid w:val="00DB5A90"/>
    <w:rsid w:val="00DB5FAA"/>
    <w:rsid w:val="00DB7C85"/>
    <w:rsid w:val="00DC31DC"/>
    <w:rsid w:val="00DC48C7"/>
    <w:rsid w:val="00DC594B"/>
    <w:rsid w:val="00DC7D53"/>
    <w:rsid w:val="00DD0294"/>
    <w:rsid w:val="00DD0EF9"/>
    <w:rsid w:val="00DD1D19"/>
    <w:rsid w:val="00DD3C2A"/>
    <w:rsid w:val="00DD4E98"/>
    <w:rsid w:val="00DD5430"/>
    <w:rsid w:val="00DD5812"/>
    <w:rsid w:val="00DD5FD2"/>
    <w:rsid w:val="00DE0AFC"/>
    <w:rsid w:val="00DE0EC6"/>
    <w:rsid w:val="00DE0F11"/>
    <w:rsid w:val="00DE1B64"/>
    <w:rsid w:val="00DE20AB"/>
    <w:rsid w:val="00DE6174"/>
    <w:rsid w:val="00DE6AA8"/>
    <w:rsid w:val="00DE7023"/>
    <w:rsid w:val="00DE75D5"/>
    <w:rsid w:val="00DE7C20"/>
    <w:rsid w:val="00DE7D75"/>
    <w:rsid w:val="00DE7DA2"/>
    <w:rsid w:val="00DF02B9"/>
    <w:rsid w:val="00DF05D8"/>
    <w:rsid w:val="00DF7F99"/>
    <w:rsid w:val="00E008A0"/>
    <w:rsid w:val="00E0412B"/>
    <w:rsid w:val="00E04248"/>
    <w:rsid w:val="00E05224"/>
    <w:rsid w:val="00E06426"/>
    <w:rsid w:val="00E064F8"/>
    <w:rsid w:val="00E06E0D"/>
    <w:rsid w:val="00E07AC6"/>
    <w:rsid w:val="00E10456"/>
    <w:rsid w:val="00E12FB8"/>
    <w:rsid w:val="00E13240"/>
    <w:rsid w:val="00E13DF5"/>
    <w:rsid w:val="00E15081"/>
    <w:rsid w:val="00E16787"/>
    <w:rsid w:val="00E2095E"/>
    <w:rsid w:val="00E22D51"/>
    <w:rsid w:val="00E23757"/>
    <w:rsid w:val="00E23998"/>
    <w:rsid w:val="00E24641"/>
    <w:rsid w:val="00E249DA"/>
    <w:rsid w:val="00E2589E"/>
    <w:rsid w:val="00E25B1B"/>
    <w:rsid w:val="00E25D46"/>
    <w:rsid w:val="00E25F75"/>
    <w:rsid w:val="00E31437"/>
    <w:rsid w:val="00E31977"/>
    <w:rsid w:val="00E35A41"/>
    <w:rsid w:val="00E370E7"/>
    <w:rsid w:val="00E37CA0"/>
    <w:rsid w:val="00E40F66"/>
    <w:rsid w:val="00E41050"/>
    <w:rsid w:val="00E43806"/>
    <w:rsid w:val="00E43FE2"/>
    <w:rsid w:val="00E46831"/>
    <w:rsid w:val="00E5320A"/>
    <w:rsid w:val="00E53D29"/>
    <w:rsid w:val="00E55AD6"/>
    <w:rsid w:val="00E56FB3"/>
    <w:rsid w:val="00E5728F"/>
    <w:rsid w:val="00E5764A"/>
    <w:rsid w:val="00E57765"/>
    <w:rsid w:val="00E57EA4"/>
    <w:rsid w:val="00E61B03"/>
    <w:rsid w:val="00E625B4"/>
    <w:rsid w:val="00E63217"/>
    <w:rsid w:val="00E6419C"/>
    <w:rsid w:val="00E64823"/>
    <w:rsid w:val="00E64CDA"/>
    <w:rsid w:val="00E64F32"/>
    <w:rsid w:val="00E66748"/>
    <w:rsid w:val="00E66FB7"/>
    <w:rsid w:val="00E67449"/>
    <w:rsid w:val="00E67CC5"/>
    <w:rsid w:val="00E70241"/>
    <w:rsid w:val="00E7111A"/>
    <w:rsid w:val="00E71CF1"/>
    <w:rsid w:val="00E722D8"/>
    <w:rsid w:val="00E7336F"/>
    <w:rsid w:val="00E73CB6"/>
    <w:rsid w:val="00E7489D"/>
    <w:rsid w:val="00E756EA"/>
    <w:rsid w:val="00E76683"/>
    <w:rsid w:val="00E76C87"/>
    <w:rsid w:val="00E80326"/>
    <w:rsid w:val="00E87152"/>
    <w:rsid w:val="00E87171"/>
    <w:rsid w:val="00E87B83"/>
    <w:rsid w:val="00E90F17"/>
    <w:rsid w:val="00E91A5F"/>
    <w:rsid w:val="00E932B7"/>
    <w:rsid w:val="00E941FF"/>
    <w:rsid w:val="00E95BF7"/>
    <w:rsid w:val="00E962DC"/>
    <w:rsid w:val="00E97574"/>
    <w:rsid w:val="00EA088C"/>
    <w:rsid w:val="00EA0CC6"/>
    <w:rsid w:val="00EA4904"/>
    <w:rsid w:val="00EA4B95"/>
    <w:rsid w:val="00EA4D8A"/>
    <w:rsid w:val="00EB64EB"/>
    <w:rsid w:val="00EB6C1C"/>
    <w:rsid w:val="00EB775F"/>
    <w:rsid w:val="00EB77FF"/>
    <w:rsid w:val="00EC0726"/>
    <w:rsid w:val="00EC1E6D"/>
    <w:rsid w:val="00EC2215"/>
    <w:rsid w:val="00EC279B"/>
    <w:rsid w:val="00EC2B62"/>
    <w:rsid w:val="00EC4112"/>
    <w:rsid w:val="00EC5F65"/>
    <w:rsid w:val="00EC7505"/>
    <w:rsid w:val="00EC7D87"/>
    <w:rsid w:val="00ED2081"/>
    <w:rsid w:val="00ED2B2E"/>
    <w:rsid w:val="00ED6FF6"/>
    <w:rsid w:val="00ED731F"/>
    <w:rsid w:val="00ED7A51"/>
    <w:rsid w:val="00EE079E"/>
    <w:rsid w:val="00EE1FB3"/>
    <w:rsid w:val="00EE334F"/>
    <w:rsid w:val="00EE3BE1"/>
    <w:rsid w:val="00EE5501"/>
    <w:rsid w:val="00EE580D"/>
    <w:rsid w:val="00EE5F62"/>
    <w:rsid w:val="00EF0F55"/>
    <w:rsid w:val="00EF3BC9"/>
    <w:rsid w:val="00EF3C38"/>
    <w:rsid w:val="00EF560A"/>
    <w:rsid w:val="00EF5787"/>
    <w:rsid w:val="00EF57B0"/>
    <w:rsid w:val="00EF6803"/>
    <w:rsid w:val="00EF7722"/>
    <w:rsid w:val="00EF7ACB"/>
    <w:rsid w:val="00F00550"/>
    <w:rsid w:val="00F02E41"/>
    <w:rsid w:val="00F03449"/>
    <w:rsid w:val="00F037B0"/>
    <w:rsid w:val="00F03A54"/>
    <w:rsid w:val="00F055E1"/>
    <w:rsid w:val="00F0685F"/>
    <w:rsid w:val="00F10D3C"/>
    <w:rsid w:val="00F1151F"/>
    <w:rsid w:val="00F129E8"/>
    <w:rsid w:val="00F20973"/>
    <w:rsid w:val="00F212E8"/>
    <w:rsid w:val="00F213FC"/>
    <w:rsid w:val="00F24612"/>
    <w:rsid w:val="00F24712"/>
    <w:rsid w:val="00F25647"/>
    <w:rsid w:val="00F27233"/>
    <w:rsid w:val="00F27843"/>
    <w:rsid w:val="00F278E7"/>
    <w:rsid w:val="00F31D7D"/>
    <w:rsid w:val="00F326D6"/>
    <w:rsid w:val="00F32EFF"/>
    <w:rsid w:val="00F3517B"/>
    <w:rsid w:val="00F35FC9"/>
    <w:rsid w:val="00F379C8"/>
    <w:rsid w:val="00F410B6"/>
    <w:rsid w:val="00F421BC"/>
    <w:rsid w:val="00F42C9B"/>
    <w:rsid w:val="00F45623"/>
    <w:rsid w:val="00F51001"/>
    <w:rsid w:val="00F53AD2"/>
    <w:rsid w:val="00F545B0"/>
    <w:rsid w:val="00F55FD7"/>
    <w:rsid w:val="00F56D11"/>
    <w:rsid w:val="00F603CC"/>
    <w:rsid w:val="00F61E8A"/>
    <w:rsid w:val="00F64D5D"/>
    <w:rsid w:val="00F65036"/>
    <w:rsid w:val="00F65A1E"/>
    <w:rsid w:val="00F664B9"/>
    <w:rsid w:val="00F70FFC"/>
    <w:rsid w:val="00F71CE6"/>
    <w:rsid w:val="00F73B92"/>
    <w:rsid w:val="00F8797A"/>
    <w:rsid w:val="00F90FA9"/>
    <w:rsid w:val="00F91AC9"/>
    <w:rsid w:val="00F93842"/>
    <w:rsid w:val="00F96C90"/>
    <w:rsid w:val="00F96C9F"/>
    <w:rsid w:val="00F970A1"/>
    <w:rsid w:val="00F977F8"/>
    <w:rsid w:val="00FA1006"/>
    <w:rsid w:val="00FA36F6"/>
    <w:rsid w:val="00FA6A3A"/>
    <w:rsid w:val="00FA7AAE"/>
    <w:rsid w:val="00FA7ED3"/>
    <w:rsid w:val="00FB1A5F"/>
    <w:rsid w:val="00FB2EB3"/>
    <w:rsid w:val="00FB2F2A"/>
    <w:rsid w:val="00FB4880"/>
    <w:rsid w:val="00FB6082"/>
    <w:rsid w:val="00FC0258"/>
    <w:rsid w:val="00FC0548"/>
    <w:rsid w:val="00FC59BA"/>
    <w:rsid w:val="00FC69C9"/>
    <w:rsid w:val="00FC7DE9"/>
    <w:rsid w:val="00FD12D0"/>
    <w:rsid w:val="00FD384A"/>
    <w:rsid w:val="00FD5156"/>
    <w:rsid w:val="00FE06F2"/>
    <w:rsid w:val="00FE14E9"/>
    <w:rsid w:val="00FE2EE1"/>
    <w:rsid w:val="00FE39EE"/>
    <w:rsid w:val="00FE5ACB"/>
    <w:rsid w:val="00FE6444"/>
    <w:rsid w:val="00FF084F"/>
    <w:rsid w:val="00FF2B18"/>
    <w:rsid w:val="00FF3B73"/>
    <w:rsid w:val="00FF43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475F0"/>
    <w:pPr>
      <w:spacing w:after="200" w:line="276" w:lineRule="auto"/>
    </w:pPr>
    <w:rPr>
      <w:sz w:val="22"/>
      <w:szCs w:val="22"/>
      <w:lang w:val="en-US" w:eastAsia="en-US"/>
    </w:rPr>
  </w:style>
  <w:style w:type="character" w:default="1" w:styleId="Absatz-Standardschriftart">
    <w:name w:val="Default Paragraph Font"/>
    <w:uiPriority w:val="1"/>
    <w:semiHidden/>
    <w:unhideWhenUsed/>
    <w:rsid w:val="009475F0"/>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9475F0"/>
  </w:style>
  <w:style w:type="character" w:customStyle="1" w:styleId="author-a-z66z9z67zz84z5qz82zkmz71z6cz87zhoz77z">
    <w:name w:val="author-a-z66z9z67zz84z5qz82zkmz71z6cz87zhoz77z"/>
    <w:rsid w:val="009475F0"/>
  </w:style>
  <w:style w:type="character" w:customStyle="1" w:styleId="author-a-z66z9rdmkz65zz70zg7z66z7z82zz73zo1">
    <w:name w:val="author-a-z66z9rdmkz65zz70zg7z66z7z82zz73zo1"/>
    <w:rsid w:val="009475F0"/>
  </w:style>
  <w:style w:type="character" w:customStyle="1" w:styleId="author-a-z80zz75zz87zz73zc460z78z56e9ioz86z">
    <w:name w:val="author-a-z80zz75zz87zz73zc460z78z56e9ioz86z"/>
    <w:rsid w:val="009475F0"/>
  </w:style>
  <w:style w:type="character" w:customStyle="1" w:styleId="author-a-z67zz75zz70zn1z83zbz67zz70zz85zhxyz75z7p">
    <w:name w:val="author-a-z67zz75zz70zn1z83zbz67zz70zz85zhxyz75z7p"/>
    <w:rsid w:val="009475F0"/>
  </w:style>
  <w:style w:type="character" w:customStyle="1" w:styleId="author-a-z122z9vhz69zw0z74z0z70zxnz89zz85zz83zz66z">
    <w:name w:val="author-a-z122z9vhz69zw0z74z0z70zxnz89zz85zz83zz66z"/>
    <w:rsid w:val="009475F0"/>
  </w:style>
  <w:style w:type="character" w:customStyle="1" w:styleId="author-a-5z65zz70zfv5kk0i5z122z7z82zi9">
    <w:name w:val="author-a-5z65zz70zfv5kk0i5z122z7z82zi9"/>
    <w:rsid w:val="009475F0"/>
  </w:style>
  <w:style w:type="character" w:customStyle="1" w:styleId="author-a-9tisy2o1z71z89v22z80z9">
    <w:name w:val="author-a-9tisy2o1z71z89v22z80z9"/>
    <w:rsid w:val="009475F0"/>
  </w:style>
  <w:style w:type="character" w:customStyle="1" w:styleId="author-a-e7z75zz71zz88zz73zjz67z5z75z1tz85zz74z07">
    <w:name w:val="author-a-e7z75zz71zz88zz73zjz67z5z75z1tz85zz74z07"/>
    <w:rsid w:val="009475F0"/>
  </w:style>
  <w:style w:type="character" w:customStyle="1" w:styleId="author-a-okz85zz80zahz89zuz81z6z79zcz72zrz66ze">
    <w:name w:val="author-a-okz85zz80zahz89zuz81z6z79zcz72zrz66ze"/>
    <w:rsid w:val="009475F0"/>
  </w:style>
  <w:style w:type="character" w:styleId="Hyperlink">
    <w:name w:val="Hyperlink"/>
    <w:uiPriority w:val="99"/>
    <w:unhideWhenUsed/>
    <w:rsid w:val="009475F0"/>
    <w:rPr>
      <w:color w:val="0000FF"/>
      <w:u w:val="single"/>
    </w:rPr>
  </w:style>
  <w:style w:type="paragraph" w:styleId="Sprechblasentext">
    <w:name w:val="Balloon Text"/>
    <w:basedOn w:val="Standard"/>
    <w:link w:val="SprechblasentextZchn"/>
    <w:uiPriority w:val="99"/>
    <w:semiHidden/>
    <w:unhideWhenUsed/>
    <w:rsid w:val="009475F0"/>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9475F0"/>
    <w:rPr>
      <w:rFonts w:ascii="Tahoma" w:hAnsi="Tahoma" w:cs="Tahoma"/>
      <w:sz w:val="16"/>
      <w:szCs w:val="16"/>
    </w:rPr>
  </w:style>
  <w:style w:type="character" w:styleId="Kommentarzeichen">
    <w:name w:val="annotation reference"/>
    <w:uiPriority w:val="99"/>
    <w:semiHidden/>
    <w:unhideWhenUsed/>
    <w:rsid w:val="009475F0"/>
    <w:rPr>
      <w:sz w:val="16"/>
      <w:szCs w:val="16"/>
    </w:rPr>
  </w:style>
  <w:style w:type="paragraph" w:styleId="Kommentartext">
    <w:name w:val="annotation text"/>
    <w:basedOn w:val="Standard"/>
    <w:link w:val="KommentartextZchn"/>
    <w:uiPriority w:val="99"/>
    <w:semiHidden/>
    <w:unhideWhenUsed/>
    <w:rsid w:val="009475F0"/>
    <w:rPr>
      <w:sz w:val="20"/>
      <w:szCs w:val="20"/>
    </w:rPr>
  </w:style>
  <w:style w:type="character" w:customStyle="1" w:styleId="KommentartextZchn">
    <w:name w:val="Kommentartext Zchn"/>
    <w:basedOn w:val="Absatz-Standardschriftart"/>
    <w:link w:val="Kommentartext"/>
    <w:uiPriority w:val="99"/>
    <w:semiHidden/>
    <w:rsid w:val="009475F0"/>
  </w:style>
  <w:style w:type="paragraph" w:styleId="Kommentarthema">
    <w:name w:val="annotation subject"/>
    <w:basedOn w:val="Kommentartext"/>
    <w:next w:val="Kommentartext"/>
    <w:link w:val="KommentarthemaZchn"/>
    <w:uiPriority w:val="99"/>
    <w:semiHidden/>
    <w:unhideWhenUsed/>
    <w:rsid w:val="009475F0"/>
    <w:rPr>
      <w:b/>
      <w:bCs/>
    </w:rPr>
  </w:style>
  <w:style w:type="character" w:customStyle="1" w:styleId="KommentarthemaZchn">
    <w:name w:val="Kommentarthema Zchn"/>
    <w:link w:val="Kommentarthema"/>
    <w:uiPriority w:val="99"/>
    <w:semiHidden/>
    <w:rsid w:val="009475F0"/>
    <w:rPr>
      <w:b/>
      <w:bCs/>
    </w:rPr>
  </w:style>
  <w:style w:type="character" w:styleId="Hervorhebung">
    <w:name w:val="Emphasis"/>
    <w:uiPriority w:val="20"/>
    <w:qFormat/>
    <w:rsid w:val="009475F0"/>
    <w:rPr>
      <w:i/>
      <w:iCs/>
    </w:rPr>
  </w:style>
  <w:style w:type="character" w:customStyle="1" w:styleId="xbe">
    <w:name w:val="_xbe"/>
    <w:rsid w:val="009475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475F0"/>
    <w:pPr>
      <w:spacing w:after="200" w:line="276" w:lineRule="auto"/>
    </w:pPr>
    <w:rPr>
      <w:sz w:val="22"/>
      <w:szCs w:val="22"/>
      <w:lang w:val="en-US" w:eastAsia="en-US"/>
    </w:rPr>
  </w:style>
  <w:style w:type="character" w:default="1" w:styleId="Absatz-Standardschriftart">
    <w:name w:val="Default Paragraph Font"/>
    <w:uiPriority w:val="1"/>
    <w:semiHidden/>
    <w:unhideWhenUsed/>
    <w:rsid w:val="009475F0"/>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9475F0"/>
  </w:style>
  <w:style w:type="character" w:customStyle="1" w:styleId="author-a-z66z9z67zz84z5qz82zkmz71z6cz87zhoz77z">
    <w:name w:val="author-a-z66z9z67zz84z5qz82zkmz71z6cz87zhoz77z"/>
    <w:rsid w:val="009475F0"/>
  </w:style>
  <w:style w:type="character" w:customStyle="1" w:styleId="author-a-z66z9rdmkz65zz70zg7z66z7z82zz73zo1">
    <w:name w:val="author-a-z66z9rdmkz65zz70zg7z66z7z82zz73zo1"/>
    <w:rsid w:val="009475F0"/>
  </w:style>
  <w:style w:type="character" w:customStyle="1" w:styleId="author-a-z80zz75zz87zz73zc460z78z56e9ioz86z">
    <w:name w:val="author-a-z80zz75zz87zz73zc460z78z56e9ioz86z"/>
    <w:rsid w:val="009475F0"/>
  </w:style>
  <w:style w:type="character" w:customStyle="1" w:styleId="author-a-z67zz75zz70zn1z83zbz67zz70zz85zhxyz75z7p">
    <w:name w:val="author-a-z67zz75zz70zn1z83zbz67zz70zz85zhxyz75z7p"/>
    <w:rsid w:val="009475F0"/>
  </w:style>
  <w:style w:type="character" w:customStyle="1" w:styleId="author-a-z122z9vhz69zw0z74z0z70zxnz89zz85zz83zz66z">
    <w:name w:val="author-a-z122z9vhz69zw0z74z0z70zxnz89zz85zz83zz66z"/>
    <w:rsid w:val="009475F0"/>
  </w:style>
  <w:style w:type="character" w:customStyle="1" w:styleId="author-a-5z65zz70zfv5kk0i5z122z7z82zi9">
    <w:name w:val="author-a-5z65zz70zfv5kk0i5z122z7z82zi9"/>
    <w:rsid w:val="009475F0"/>
  </w:style>
  <w:style w:type="character" w:customStyle="1" w:styleId="author-a-9tisy2o1z71z89v22z80z9">
    <w:name w:val="author-a-9tisy2o1z71z89v22z80z9"/>
    <w:rsid w:val="009475F0"/>
  </w:style>
  <w:style w:type="character" w:customStyle="1" w:styleId="author-a-e7z75zz71zz88zz73zjz67z5z75z1tz85zz74z07">
    <w:name w:val="author-a-e7z75zz71zz88zz73zjz67z5z75z1tz85zz74z07"/>
    <w:rsid w:val="009475F0"/>
  </w:style>
  <w:style w:type="character" w:customStyle="1" w:styleId="author-a-okz85zz80zahz89zuz81z6z79zcz72zrz66ze">
    <w:name w:val="author-a-okz85zz80zahz89zuz81z6z79zcz72zrz66ze"/>
    <w:rsid w:val="009475F0"/>
  </w:style>
  <w:style w:type="character" w:styleId="Hyperlink">
    <w:name w:val="Hyperlink"/>
    <w:uiPriority w:val="99"/>
    <w:unhideWhenUsed/>
    <w:rsid w:val="009475F0"/>
    <w:rPr>
      <w:color w:val="0000FF"/>
      <w:u w:val="single"/>
    </w:rPr>
  </w:style>
  <w:style w:type="paragraph" w:styleId="Sprechblasentext">
    <w:name w:val="Balloon Text"/>
    <w:basedOn w:val="Standard"/>
    <w:link w:val="SprechblasentextZchn"/>
    <w:uiPriority w:val="99"/>
    <w:semiHidden/>
    <w:unhideWhenUsed/>
    <w:rsid w:val="009475F0"/>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9475F0"/>
    <w:rPr>
      <w:rFonts w:ascii="Tahoma" w:hAnsi="Tahoma" w:cs="Tahoma"/>
      <w:sz w:val="16"/>
      <w:szCs w:val="16"/>
    </w:rPr>
  </w:style>
  <w:style w:type="character" w:styleId="Kommentarzeichen">
    <w:name w:val="annotation reference"/>
    <w:uiPriority w:val="99"/>
    <w:semiHidden/>
    <w:unhideWhenUsed/>
    <w:rsid w:val="009475F0"/>
    <w:rPr>
      <w:sz w:val="16"/>
      <w:szCs w:val="16"/>
    </w:rPr>
  </w:style>
  <w:style w:type="paragraph" w:styleId="Kommentartext">
    <w:name w:val="annotation text"/>
    <w:basedOn w:val="Standard"/>
    <w:link w:val="KommentartextZchn"/>
    <w:uiPriority w:val="99"/>
    <w:semiHidden/>
    <w:unhideWhenUsed/>
    <w:rsid w:val="009475F0"/>
    <w:rPr>
      <w:sz w:val="20"/>
      <w:szCs w:val="20"/>
    </w:rPr>
  </w:style>
  <w:style w:type="character" w:customStyle="1" w:styleId="KommentartextZchn">
    <w:name w:val="Kommentartext Zchn"/>
    <w:basedOn w:val="Absatz-Standardschriftart"/>
    <w:link w:val="Kommentartext"/>
    <w:uiPriority w:val="99"/>
    <w:semiHidden/>
    <w:rsid w:val="009475F0"/>
  </w:style>
  <w:style w:type="paragraph" w:styleId="Kommentarthema">
    <w:name w:val="annotation subject"/>
    <w:basedOn w:val="Kommentartext"/>
    <w:next w:val="Kommentartext"/>
    <w:link w:val="KommentarthemaZchn"/>
    <w:uiPriority w:val="99"/>
    <w:semiHidden/>
    <w:unhideWhenUsed/>
    <w:rsid w:val="009475F0"/>
    <w:rPr>
      <w:b/>
      <w:bCs/>
    </w:rPr>
  </w:style>
  <w:style w:type="character" w:customStyle="1" w:styleId="KommentarthemaZchn">
    <w:name w:val="Kommentarthema Zchn"/>
    <w:link w:val="Kommentarthema"/>
    <w:uiPriority w:val="99"/>
    <w:semiHidden/>
    <w:rsid w:val="009475F0"/>
    <w:rPr>
      <w:b/>
      <w:bCs/>
    </w:rPr>
  </w:style>
  <w:style w:type="character" w:styleId="Hervorhebung">
    <w:name w:val="Emphasis"/>
    <w:uiPriority w:val="20"/>
    <w:qFormat/>
    <w:rsid w:val="009475F0"/>
    <w:rPr>
      <w:i/>
      <w:iCs/>
    </w:rPr>
  </w:style>
  <w:style w:type="character" w:customStyle="1" w:styleId="xbe">
    <w:name w:val="_xbe"/>
    <w:rsid w:val="00947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stell@helmholtz-muenchen.de" TargetMode="External"/><Relationship Id="rId3" Type="http://schemas.microsoft.com/office/2007/relationships/stylesWithEffects" Target="stylesWithEffects.xml"/><Relationship Id="rId7" Type="http://schemas.openxmlformats.org/officeDocument/2006/relationships/hyperlink" Target="mailto:marion.engel@helmholtz-muenche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vid.endesfelder@helmholtz-muenchen.d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7924</Words>
  <Characters>49923</Characters>
  <Application>Microsoft Office Word</Application>
  <DocSecurity>0</DocSecurity>
  <Lines>416</Lines>
  <Paragraphs>115</Paragraphs>
  <ScaleCrop>false</ScaleCrop>
  <HeadingPairs>
    <vt:vector size="2" baseType="variant">
      <vt:variant>
        <vt:lpstr>Titel</vt:lpstr>
      </vt:variant>
      <vt:variant>
        <vt:i4>1</vt:i4>
      </vt:variant>
    </vt:vector>
  </HeadingPairs>
  <TitlesOfParts>
    <vt:vector size="1" baseType="lpstr">
      <vt:lpstr/>
    </vt:vector>
  </TitlesOfParts>
  <Company>Helmholtz Zentrum München</Company>
  <LinksUpToDate>false</LinksUpToDate>
  <CharactersWithSpaces>57732</CharactersWithSpaces>
  <SharedDoc>false</SharedDoc>
  <HLinks>
    <vt:vector size="18" baseType="variant">
      <vt:variant>
        <vt:i4>4456500</vt:i4>
      </vt:variant>
      <vt:variant>
        <vt:i4>6</vt:i4>
      </vt:variant>
      <vt:variant>
        <vt:i4>0</vt:i4>
      </vt:variant>
      <vt:variant>
        <vt:i4>5</vt:i4>
      </vt:variant>
      <vt:variant>
        <vt:lpwstr>mailto:castell@helmholtz-muenchen.de</vt:lpwstr>
      </vt:variant>
      <vt:variant>
        <vt:lpwstr/>
      </vt:variant>
      <vt:variant>
        <vt:i4>3145752</vt:i4>
      </vt:variant>
      <vt:variant>
        <vt:i4>3</vt:i4>
      </vt:variant>
      <vt:variant>
        <vt:i4>0</vt:i4>
      </vt:variant>
      <vt:variant>
        <vt:i4>5</vt:i4>
      </vt:variant>
      <vt:variant>
        <vt:lpwstr>mailto:marion.engel@helmholtz-muenchen.de</vt:lpwstr>
      </vt:variant>
      <vt:variant>
        <vt:lpwstr/>
      </vt:variant>
      <vt:variant>
        <vt:i4>2752527</vt:i4>
      </vt:variant>
      <vt:variant>
        <vt:i4>0</vt:i4>
      </vt:variant>
      <vt:variant>
        <vt:i4>0</vt:i4>
      </vt:variant>
      <vt:variant>
        <vt:i4>5</vt:i4>
      </vt:variant>
      <vt:variant>
        <vt:lpwstr>mailto:david.endesfelder@helmholtz-muenchen.de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david.endesfelder</dc:creator>
  <cp:lastModifiedBy>corinna.schneider</cp:lastModifiedBy>
  <cp:revision>2</cp:revision>
  <dcterms:created xsi:type="dcterms:W3CDTF">2016-05-10T13:11:00Z</dcterms:created>
  <dcterms:modified xsi:type="dcterms:W3CDTF">2016-05-10T13:11:00Z</dcterms:modified>
</cp:coreProperties>
</file>