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64B" w:rsidRDefault="00F7664B" w:rsidP="00F7664B">
      <w:r>
        <w:t xml:space="preserve">Supporting information </w:t>
      </w:r>
    </w:p>
    <w:p w:rsidR="00F7664B" w:rsidRPr="00F7664B" w:rsidRDefault="00F7664B" w:rsidP="00F7664B">
      <w:pPr>
        <w:rPr>
          <w:b/>
        </w:rPr>
      </w:pPr>
      <w:r w:rsidRPr="00F7664B">
        <w:rPr>
          <w:b/>
        </w:rPr>
        <w:t>S</w:t>
      </w:r>
      <w:r w:rsidR="007F0C00">
        <w:rPr>
          <w:b/>
        </w:rPr>
        <w:t>1</w:t>
      </w:r>
      <w:bookmarkStart w:id="0" w:name="_GoBack"/>
      <w:bookmarkEnd w:id="0"/>
      <w:r w:rsidRPr="00F7664B">
        <w:rPr>
          <w:b/>
        </w:rPr>
        <w:t xml:space="preserve"> Table</w:t>
      </w:r>
    </w:p>
    <w:p w:rsidR="00F7664B" w:rsidRDefault="00F7664B"/>
    <w:tbl>
      <w:tblPr>
        <w:tblStyle w:val="Tabellenraster"/>
        <w:tblpPr w:leftFromText="180" w:rightFromText="180" w:vertAnchor="page" w:horzAnchor="margin" w:tblpY="2928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F7664B" w:rsidTr="00F7664B">
        <w:tc>
          <w:tcPr>
            <w:tcW w:w="2322" w:type="dxa"/>
          </w:tcPr>
          <w:p w:rsidR="00F7664B" w:rsidRDefault="00F7664B" w:rsidP="00F7664B"/>
        </w:tc>
        <w:tc>
          <w:tcPr>
            <w:tcW w:w="2322" w:type="dxa"/>
          </w:tcPr>
          <w:p w:rsidR="00F7664B" w:rsidRDefault="00F7664B" w:rsidP="00F7664B">
            <w:proofErr w:type="spellStart"/>
            <w:r>
              <w:t>HeLa</w:t>
            </w:r>
            <w:proofErr w:type="spellEnd"/>
          </w:p>
        </w:tc>
        <w:tc>
          <w:tcPr>
            <w:tcW w:w="2322" w:type="dxa"/>
          </w:tcPr>
          <w:p w:rsidR="00F7664B" w:rsidRDefault="00F7664B" w:rsidP="00F7664B">
            <w:r>
              <w:t xml:space="preserve">MCF-7 </w:t>
            </w:r>
          </w:p>
        </w:tc>
        <w:tc>
          <w:tcPr>
            <w:tcW w:w="2322" w:type="dxa"/>
          </w:tcPr>
          <w:p w:rsidR="00F7664B" w:rsidRDefault="00F7664B" w:rsidP="00F7664B">
            <w:r>
              <w:t>U2OS</w:t>
            </w:r>
          </w:p>
        </w:tc>
      </w:tr>
      <w:tr w:rsidR="00F7664B" w:rsidTr="00F7664B">
        <w:tc>
          <w:tcPr>
            <w:tcW w:w="2322" w:type="dxa"/>
          </w:tcPr>
          <w:p w:rsidR="00F7664B" w:rsidRDefault="00F7664B" w:rsidP="00F7664B">
            <w:r>
              <w:t>relative band intensity Jarid1A</w:t>
            </w:r>
          </w:p>
        </w:tc>
        <w:tc>
          <w:tcPr>
            <w:tcW w:w="2322" w:type="dxa"/>
          </w:tcPr>
          <w:p w:rsidR="00F7664B" w:rsidRDefault="00F7664B" w:rsidP="00F7664B">
            <w:r>
              <w:t>1.00 ± 0</w:t>
            </w:r>
          </w:p>
        </w:tc>
        <w:tc>
          <w:tcPr>
            <w:tcW w:w="2322" w:type="dxa"/>
          </w:tcPr>
          <w:p w:rsidR="00F7664B" w:rsidRDefault="00F7664B" w:rsidP="00F7664B">
            <w:r>
              <w:t>1.00 ± 0.42</w:t>
            </w:r>
          </w:p>
        </w:tc>
        <w:tc>
          <w:tcPr>
            <w:tcW w:w="2322" w:type="dxa"/>
          </w:tcPr>
          <w:p w:rsidR="00F7664B" w:rsidRDefault="00F7664B" w:rsidP="00F7664B">
            <w:r>
              <w:t>0.43 ± 0.23</w:t>
            </w:r>
          </w:p>
        </w:tc>
      </w:tr>
      <w:tr w:rsidR="00F7664B" w:rsidTr="00F7664B">
        <w:tc>
          <w:tcPr>
            <w:tcW w:w="2322" w:type="dxa"/>
          </w:tcPr>
          <w:p w:rsidR="00F7664B" w:rsidRDefault="00F7664B" w:rsidP="00F7664B">
            <w:r>
              <w:t>relative band intensity Jarid1B</w:t>
            </w:r>
          </w:p>
        </w:tc>
        <w:tc>
          <w:tcPr>
            <w:tcW w:w="2322" w:type="dxa"/>
          </w:tcPr>
          <w:p w:rsidR="00F7664B" w:rsidRDefault="00F7664B" w:rsidP="00F7664B">
            <w:r>
              <w:t>1.00 ± 0</w:t>
            </w:r>
          </w:p>
        </w:tc>
        <w:tc>
          <w:tcPr>
            <w:tcW w:w="2322" w:type="dxa"/>
          </w:tcPr>
          <w:p w:rsidR="00F7664B" w:rsidRDefault="00F7664B" w:rsidP="00F7664B">
            <w:r>
              <w:t>0.99 ± 0.20</w:t>
            </w:r>
          </w:p>
        </w:tc>
        <w:tc>
          <w:tcPr>
            <w:tcW w:w="2322" w:type="dxa"/>
          </w:tcPr>
          <w:p w:rsidR="00F7664B" w:rsidRDefault="00F7664B" w:rsidP="00F7664B">
            <w:r>
              <w:t>0.48 ± 0.02</w:t>
            </w:r>
          </w:p>
        </w:tc>
      </w:tr>
      <w:tr w:rsidR="00F7664B" w:rsidTr="00F7664B">
        <w:tc>
          <w:tcPr>
            <w:tcW w:w="2322" w:type="dxa"/>
          </w:tcPr>
          <w:p w:rsidR="00F7664B" w:rsidRDefault="00F7664B" w:rsidP="00F7664B">
            <w:r>
              <w:t xml:space="preserve">ratio </w:t>
            </w:r>
          </w:p>
        </w:tc>
        <w:tc>
          <w:tcPr>
            <w:tcW w:w="2322" w:type="dxa"/>
          </w:tcPr>
          <w:p w:rsidR="00F7664B" w:rsidRDefault="00F7664B" w:rsidP="00F7664B">
            <w:r>
              <w:t>1.00</w:t>
            </w:r>
          </w:p>
        </w:tc>
        <w:tc>
          <w:tcPr>
            <w:tcW w:w="2322" w:type="dxa"/>
          </w:tcPr>
          <w:p w:rsidR="00F7664B" w:rsidRDefault="00F7664B" w:rsidP="00F7664B">
            <w:r>
              <w:t>1.01</w:t>
            </w:r>
          </w:p>
        </w:tc>
        <w:tc>
          <w:tcPr>
            <w:tcW w:w="2322" w:type="dxa"/>
          </w:tcPr>
          <w:p w:rsidR="00F7664B" w:rsidRDefault="00F7664B" w:rsidP="00F7664B">
            <w:r>
              <w:t>0.89</w:t>
            </w:r>
          </w:p>
        </w:tc>
      </w:tr>
    </w:tbl>
    <w:p w:rsidR="00F7664B" w:rsidRDefault="00F7664B">
      <w:proofErr w:type="gramStart"/>
      <w:r>
        <w:t>Comparison of relative band intensities corresponding to Jarid1A and Jarid1B proteins af</w:t>
      </w:r>
      <w:r w:rsidR="00E55F51">
        <w:t>t</w:t>
      </w:r>
      <w:r>
        <w:t>er normalization with Tubulin loading control.</w:t>
      </w:r>
      <w:proofErr w:type="gramEnd"/>
      <w:r>
        <w:t xml:space="preserve"> </w:t>
      </w:r>
      <w:r w:rsidR="00E55F51">
        <w:t xml:space="preserve">Intensities in </w:t>
      </w:r>
      <w:proofErr w:type="spellStart"/>
      <w:r w:rsidR="00E55F51">
        <w:t>HeLa</w:t>
      </w:r>
      <w:proofErr w:type="spellEnd"/>
      <w:r w:rsidR="00E55F51">
        <w:t xml:space="preserve"> cells were set as 100%. </w:t>
      </w:r>
      <w:r>
        <w:t>All bands to be compared were on the same blot. Data are from 2 Western Blots</w:t>
      </w:r>
      <w:r w:rsidR="00E55F51">
        <w:t>.</w:t>
      </w:r>
    </w:p>
    <w:sectPr w:rsidR="00F766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64B"/>
    <w:rsid w:val="00417B85"/>
    <w:rsid w:val="00603045"/>
    <w:rsid w:val="007F0C00"/>
    <w:rsid w:val="00E55F51"/>
    <w:rsid w:val="00F7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6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6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Klinikum der Universitaet Muenchen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2016-05-23T10:01:00Z</dcterms:created>
  <dcterms:modified xsi:type="dcterms:W3CDTF">2016-05-23T10:01:00Z</dcterms:modified>
</cp:coreProperties>
</file>