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BBC" w:rsidRPr="00943661" w:rsidRDefault="002E14FE" w:rsidP="003C1143">
      <w:pPr>
        <w:spacing w:after="0" w:line="240" w:lineRule="auto"/>
        <w:jc w:val="both"/>
        <w:rPr>
          <w:rFonts w:ascii="Arial" w:eastAsia="Times New Roman" w:hAnsi="Arial" w:cs="Arial"/>
          <w:b/>
          <w:lang w:eastAsia="de-DE"/>
        </w:rPr>
      </w:pPr>
      <w:bookmarkStart w:id="0" w:name="_GoBack"/>
      <w:r w:rsidRPr="00943661">
        <w:rPr>
          <w:rFonts w:ascii="Arial" w:eastAsia="Times New Roman" w:hAnsi="Arial" w:cs="Arial"/>
          <w:b/>
          <w:lang w:eastAsia="de-DE"/>
        </w:rPr>
        <w:t>Supplementary</w:t>
      </w:r>
      <w:r w:rsidR="00CD2BBC" w:rsidRPr="00943661">
        <w:rPr>
          <w:rFonts w:ascii="Arial" w:eastAsia="Times New Roman" w:hAnsi="Arial" w:cs="Arial"/>
          <w:b/>
          <w:lang w:eastAsia="de-DE"/>
        </w:rPr>
        <w:t xml:space="preserve"> </w:t>
      </w:r>
      <w:r w:rsidRPr="00943661">
        <w:rPr>
          <w:rFonts w:ascii="Arial" w:eastAsia="Times New Roman" w:hAnsi="Arial" w:cs="Arial"/>
          <w:b/>
          <w:lang w:eastAsia="de-DE"/>
        </w:rPr>
        <w:t>T</w:t>
      </w:r>
      <w:r w:rsidR="00CD2BBC" w:rsidRPr="00943661">
        <w:rPr>
          <w:rFonts w:ascii="Arial" w:eastAsia="Times New Roman" w:hAnsi="Arial" w:cs="Arial"/>
          <w:b/>
          <w:lang w:eastAsia="de-DE"/>
        </w:rPr>
        <w:t xml:space="preserve">able 2: Compound heterozygous variants in individuals 1 and 2 </w:t>
      </w:r>
      <w:r w:rsidR="00BA7315" w:rsidRPr="00943661">
        <w:rPr>
          <w:rFonts w:ascii="Arial" w:eastAsia="Times New Roman" w:hAnsi="Arial" w:cs="Arial"/>
          <w:b/>
          <w:lang w:eastAsia="de-DE"/>
        </w:rPr>
        <w:t xml:space="preserve">which passed the filter </w:t>
      </w:r>
      <w:r w:rsidR="00DD1CE8" w:rsidRPr="00943661">
        <w:rPr>
          <w:rFonts w:ascii="Arial" w:eastAsia="Times New Roman" w:hAnsi="Arial" w:cs="Arial"/>
          <w:b/>
          <w:lang w:eastAsia="de-DE"/>
        </w:rPr>
        <w:t>criteria</w:t>
      </w:r>
      <w:r w:rsidRPr="00943661">
        <w:rPr>
          <w:rFonts w:ascii="Arial" w:eastAsia="Times New Roman" w:hAnsi="Arial" w:cs="Arial"/>
          <w:b/>
          <w:lang w:eastAsia="de-DE"/>
        </w:rPr>
        <w:t>.</w:t>
      </w:r>
    </w:p>
    <w:p w:rsidR="00C34BDF" w:rsidRPr="00943661" w:rsidRDefault="00C34BDF" w:rsidP="003C1143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r w:rsidRPr="00943661">
        <w:rPr>
          <w:rFonts w:ascii="Arial" w:eastAsia="Times New Roman" w:hAnsi="Arial" w:cs="Arial"/>
          <w:lang w:eastAsia="de-DE"/>
        </w:rPr>
        <w:t>The genes affected by the compound heterozygous variants were either a) not listed as disease-associated in OMIM or in the comprehensive in-house curated list of autosomal recessive genes</w:t>
      </w:r>
      <w:r w:rsidR="003C1143" w:rsidRPr="00943661">
        <w:rPr>
          <w:rFonts w:ascii="Arial" w:eastAsia="Times New Roman" w:hAnsi="Arial" w:cs="Arial"/>
          <w:lang w:eastAsia="de-DE"/>
        </w:rPr>
        <w:t xml:space="preserve"> (column “Disease</w:t>
      </w:r>
      <w:r w:rsidR="002D4776" w:rsidRPr="00943661">
        <w:rPr>
          <w:rFonts w:ascii="Arial" w:eastAsia="Times New Roman" w:hAnsi="Arial" w:cs="Arial"/>
          <w:lang w:eastAsia="de-DE"/>
        </w:rPr>
        <w:t>-associated</w:t>
      </w:r>
      <w:r w:rsidR="003C1143" w:rsidRPr="00943661">
        <w:rPr>
          <w:rFonts w:ascii="Arial" w:eastAsia="Times New Roman" w:hAnsi="Arial" w:cs="Arial"/>
          <w:lang w:eastAsia="de-DE"/>
        </w:rPr>
        <w:t xml:space="preserve"> gene</w:t>
      </w:r>
      <w:r w:rsidR="00BA7315" w:rsidRPr="00943661">
        <w:rPr>
          <w:rFonts w:ascii="Arial" w:eastAsia="Times New Roman" w:hAnsi="Arial" w:cs="Arial"/>
          <w:lang w:eastAsia="de-DE"/>
        </w:rPr>
        <w:t>?</w:t>
      </w:r>
      <w:r w:rsidR="003C1143" w:rsidRPr="00943661">
        <w:rPr>
          <w:rFonts w:ascii="Arial" w:eastAsia="Times New Roman" w:hAnsi="Arial" w:cs="Arial"/>
          <w:lang w:eastAsia="de-DE"/>
        </w:rPr>
        <w:t>”)</w:t>
      </w:r>
      <w:r w:rsidRPr="00943661">
        <w:rPr>
          <w:rFonts w:ascii="Arial" w:eastAsia="Times New Roman" w:hAnsi="Arial" w:cs="Arial"/>
          <w:lang w:eastAsia="de-DE"/>
        </w:rPr>
        <w:t xml:space="preserve"> or b) listed as disease-associated in OMIM either for unrelated phenotypes or for phenotypes clinically excluded in the patients such as deafness. </w:t>
      </w:r>
      <w:r w:rsidR="00500529" w:rsidRPr="00943661">
        <w:rPr>
          <w:rFonts w:ascii="Arial" w:eastAsia="Times New Roman" w:hAnsi="Arial" w:cs="Arial"/>
          <w:lang w:eastAsia="de-DE"/>
        </w:rPr>
        <w:t>Additionally, seven of the variants in question were rather frequent with minor allele frequencies (MAF) &gt; 0.5%.</w:t>
      </w:r>
    </w:p>
    <w:p w:rsidR="00D55A56" w:rsidRPr="00943661" w:rsidRDefault="00D55A56" w:rsidP="003C1143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r w:rsidRPr="00943661">
        <w:rPr>
          <w:rFonts w:ascii="Arial" w:eastAsia="Times New Roman" w:hAnsi="Arial" w:cs="Arial"/>
          <w:lang w:eastAsia="de-DE"/>
        </w:rPr>
        <w:t>MAF</w:t>
      </w:r>
      <w:r w:rsidR="00221FC0" w:rsidRPr="00943661">
        <w:rPr>
          <w:rFonts w:ascii="Arial" w:eastAsia="Times New Roman" w:hAnsi="Arial" w:cs="Arial"/>
          <w:lang w:eastAsia="de-DE"/>
        </w:rPr>
        <w:t>:</w:t>
      </w:r>
      <w:r w:rsidR="00BA7315" w:rsidRPr="00943661">
        <w:rPr>
          <w:rFonts w:ascii="Arial" w:eastAsia="Times New Roman" w:hAnsi="Arial" w:cs="Arial"/>
          <w:lang w:eastAsia="de-DE"/>
        </w:rPr>
        <w:t xml:space="preserve"> minor allele frequency;</w:t>
      </w:r>
      <w:r w:rsidRPr="00943661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943661">
        <w:rPr>
          <w:rFonts w:ascii="Arial" w:eastAsia="Times New Roman" w:hAnsi="Arial" w:cs="Arial"/>
          <w:lang w:eastAsia="de-DE"/>
        </w:rPr>
        <w:t>ExAC</w:t>
      </w:r>
      <w:proofErr w:type="spellEnd"/>
      <w:r w:rsidRPr="00943661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943661">
        <w:rPr>
          <w:rFonts w:ascii="Arial" w:eastAsia="Times New Roman" w:hAnsi="Arial" w:cs="Arial"/>
          <w:lang w:eastAsia="de-DE"/>
        </w:rPr>
        <w:t>ea</w:t>
      </w:r>
      <w:proofErr w:type="spellEnd"/>
      <w:r w:rsidRPr="00943661">
        <w:rPr>
          <w:rFonts w:ascii="Arial" w:eastAsia="Times New Roman" w:hAnsi="Arial" w:cs="Arial"/>
          <w:lang w:eastAsia="de-DE"/>
        </w:rPr>
        <w:t xml:space="preserve">: </w:t>
      </w:r>
      <w:r w:rsidR="00BA7315" w:rsidRPr="00943661">
        <w:rPr>
          <w:rFonts w:ascii="Arial" w:eastAsia="Times New Roman" w:hAnsi="Arial" w:cs="Arial"/>
          <w:lang w:eastAsia="de-DE"/>
        </w:rPr>
        <w:t>European (Non-Finnish);</w:t>
      </w:r>
      <w:r w:rsidRPr="00943661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943661">
        <w:rPr>
          <w:rFonts w:ascii="Arial" w:eastAsia="Times New Roman" w:hAnsi="Arial" w:cs="Arial"/>
          <w:lang w:eastAsia="de-DE"/>
        </w:rPr>
        <w:t>ExAC</w:t>
      </w:r>
      <w:proofErr w:type="spellEnd"/>
      <w:r w:rsidRPr="00943661">
        <w:rPr>
          <w:rFonts w:ascii="Arial" w:eastAsia="Times New Roman" w:hAnsi="Arial" w:cs="Arial"/>
          <w:lang w:eastAsia="de-DE"/>
        </w:rPr>
        <w:t xml:space="preserve"> </w:t>
      </w:r>
      <w:proofErr w:type="gramStart"/>
      <w:r w:rsidRPr="00943661">
        <w:rPr>
          <w:rFonts w:ascii="Arial" w:eastAsia="Times New Roman" w:hAnsi="Arial" w:cs="Arial"/>
          <w:lang w:eastAsia="de-DE"/>
        </w:rPr>
        <w:t>aa</w:t>
      </w:r>
      <w:proofErr w:type="gramEnd"/>
      <w:r w:rsidRPr="00943661">
        <w:rPr>
          <w:rFonts w:ascii="Arial" w:eastAsia="Times New Roman" w:hAnsi="Arial" w:cs="Arial"/>
          <w:lang w:eastAsia="de-DE"/>
        </w:rPr>
        <w:t>: African</w:t>
      </w:r>
      <w:r w:rsidR="00221FC0" w:rsidRPr="00943661">
        <w:rPr>
          <w:rFonts w:ascii="Arial" w:eastAsia="Times New Roman" w:hAnsi="Arial" w:cs="Arial"/>
          <w:lang w:eastAsia="de-DE"/>
        </w:rPr>
        <w:t>; NA: not applicable</w:t>
      </w:r>
    </w:p>
    <w:bookmarkEnd w:id="0"/>
    <w:p w:rsidR="00E040C4" w:rsidRPr="00943661" w:rsidRDefault="00E040C4" w:rsidP="003C1143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de-DE"/>
        </w:rPr>
      </w:pPr>
    </w:p>
    <w:p w:rsidR="00DB5C59" w:rsidRPr="00943661" w:rsidRDefault="00DB5C59" w:rsidP="003C1143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de-DE"/>
        </w:rPr>
      </w:pPr>
    </w:p>
    <w:tbl>
      <w:tblPr>
        <w:tblW w:w="497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"/>
        <w:gridCol w:w="794"/>
        <w:gridCol w:w="1092"/>
        <w:gridCol w:w="1248"/>
        <w:gridCol w:w="1152"/>
        <w:gridCol w:w="3086"/>
        <w:gridCol w:w="997"/>
        <w:gridCol w:w="736"/>
        <w:gridCol w:w="538"/>
        <w:gridCol w:w="538"/>
        <w:gridCol w:w="546"/>
        <w:gridCol w:w="1160"/>
        <w:gridCol w:w="1775"/>
      </w:tblGrid>
      <w:tr w:rsidR="0006784F" w:rsidRPr="00943661" w:rsidTr="0006784F">
        <w:trPr>
          <w:trHeight w:val="390"/>
        </w:trPr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Individual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Gene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  <w:t>Disease</w:t>
            </w:r>
            <w:r w:rsidR="002D4776"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  <w:t>-associated</w:t>
            </w: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  <w:t xml:space="preserve"> gene?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Inheritance</w:t>
            </w:r>
            <w:proofErr w:type="spellEnd"/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  <w:t>Chromosomal position of variant (hg 19)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Consequence</w:t>
            </w:r>
            <w:proofErr w:type="spellEnd"/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 xml:space="preserve"> 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dbSNP</w:t>
            </w:r>
            <w:proofErr w:type="spellEnd"/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 xml:space="preserve"> 142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MAF</w:t>
            </w: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br/>
              <w:t xml:space="preserve">in-house </w:t>
            </w:r>
            <w:proofErr w:type="spellStart"/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controls</w:t>
            </w:r>
            <w:proofErr w:type="spellEnd"/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MAF</w:t>
            </w: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br/>
            </w:r>
            <w:proofErr w:type="spellStart"/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ExAC</w:t>
            </w:r>
            <w:proofErr w:type="spellEnd"/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 xml:space="preserve"> </w:t>
            </w:r>
            <w:proofErr w:type="spellStart"/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ea</w:t>
            </w:r>
            <w:proofErr w:type="spellEnd"/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 xml:space="preserve">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MAF</w:t>
            </w: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br/>
            </w:r>
            <w:proofErr w:type="spellStart"/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ExAC</w:t>
            </w:r>
            <w:proofErr w:type="spellEnd"/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 xml:space="preserve"> </w:t>
            </w:r>
            <w:proofErr w:type="spellStart"/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aa</w:t>
            </w:r>
            <w:proofErr w:type="spellEnd"/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 xml:space="preserve"> 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CADD</w:t>
            </w:r>
          </w:p>
          <w:p w:rsidR="00571625" w:rsidRPr="00943661" w:rsidRDefault="0057162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Score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SIFT (Score)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PolyPhen</w:t>
            </w:r>
            <w:proofErr w:type="spellEnd"/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 xml:space="preserve"> (Score)</w:t>
            </w:r>
          </w:p>
        </w:tc>
      </w:tr>
      <w:tr w:rsidR="0006784F" w:rsidRPr="00943661" w:rsidTr="0006784F">
        <w:trPr>
          <w:trHeight w:val="240"/>
        </w:trPr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# 1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  <w:t>MKNK1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no</w:t>
            </w:r>
            <w:proofErr w:type="spellEnd"/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paternal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chr1:47027296</w:t>
            </w:r>
          </w:p>
        </w:tc>
        <w:tc>
          <w:tcPr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  <w:t>NM_003684.5:c.982A&gt;G (p.(Ile328Val))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26.40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tolerated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(0.06)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F176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probably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</w:t>
            </w: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damaging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(1.00)</w:t>
            </w:r>
          </w:p>
        </w:tc>
      </w:tr>
      <w:tr w:rsidR="0006784F" w:rsidRPr="00943661" w:rsidTr="0006784F">
        <w:trPr>
          <w:trHeight w:val="240"/>
        </w:trPr>
        <w:tc>
          <w:tcPr>
            <w:tcW w:w="27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maternal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chr1:47046211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NM_003684.5:c.225T&gt;C (p.(=))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2.82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tolerated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(1.00)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NA</w:t>
            </w:r>
          </w:p>
        </w:tc>
      </w:tr>
      <w:tr w:rsidR="0006784F" w:rsidRPr="00943661" w:rsidTr="0006784F">
        <w:trPr>
          <w:trHeight w:val="240"/>
        </w:trPr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# 1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  <w:t>DCLK2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no</w:t>
            </w:r>
            <w:proofErr w:type="spellEnd"/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maternal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chr4:151120219</w:t>
            </w:r>
          </w:p>
        </w:tc>
        <w:tc>
          <w:tcPr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NM_001040260.3:c.961+964C&gt;G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21.70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NA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NA</w:t>
            </w:r>
          </w:p>
        </w:tc>
      </w:tr>
      <w:tr w:rsidR="0006784F" w:rsidRPr="00943661" w:rsidTr="0006784F">
        <w:trPr>
          <w:trHeight w:val="240"/>
        </w:trPr>
        <w:tc>
          <w:tcPr>
            <w:tcW w:w="27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3E5699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paternal/</w:t>
            </w:r>
            <w:r w:rsidR="008B7965"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maternal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chr4:151141918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  <w:t>NM_001040260.3:c.1120A&gt;C (p.(Ile374Leu))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rs148315360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0.35%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0.65%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0.12%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8.30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tolerated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(1.00)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F176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benign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(0.00)</w:t>
            </w:r>
          </w:p>
        </w:tc>
      </w:tr>
      <w:tr w:rsidR="0006784F" w:rsidRPr="00943661" w:rsidTr="0006784F">
        <w:trPr>
          <w:trHeight w:val="240"/>
        </w:trPr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# 1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  <w:t>CMYA5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no</w:t>
            </w:r>
            <w:proofErr w:type="spellEnd"/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paternal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chr5:79025987</w:t>
            </w:r>
          </w:p>
        </w:tc>
        <w:tc>
          <w:tcPr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  <w:t>NM_153610.3:c.1399G&gt;A (p.(Glu467Lys))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24.50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damaging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(0.04)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F176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possibly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</w:t>
            </w: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damaging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(0.59)</w:t>
            </w:r>
          </w:p>
        </w:tc>
      </w:tr>
      <w:tr w:rsidR="0006784F" w:rsidRPr="00943661" w:rsidTr="0006784F">
        <w:trPr>
          <w:trHeight w:val="240"/>
        </w:trPr>
        <w:tc>
          <w:tcPr>
            <w:tcW w:w="27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maternal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chr5:79026030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  <w:t>NM_153610.3:c.1442A&gt;T (p.(Lys481Ile))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0.04%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14.20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damaging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(0.02)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F176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probably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</w:t>
            </w: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damaging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(0.97)</w:t>
            </w:r>
          </w:p>
        </w:tc>
      </w:tr>
      <w:tr w:rsidR="0006784F" w:rsidRPr="00943661" w:rsidTr="0006784F">
        <w:trPr>
          <w:trHeight w:val="240"/>
        </w:trPr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# 1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  <w:t>SLITRK6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  <w:t>yes (MIM #609681: unrelated (Deafness and myopia))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paternal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chr13:86368449</w:t>
            </w:r>
          </w:p>
        </w:tc>
        <w:tc>
          <w:tcPr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  <w:t>NM_032229.2:c.2195G&gt;A (p.(Gly732Glu))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rs74591375 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0.77%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1.45%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0.39%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11.65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tolerated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(0.59)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F176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benign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(0.09)</w:t>
            </w:r>
          </w:p>
        </w:tc>
      </w:tr>
      <w:tr w:rsidR="0006784F" w:rsidRPr="00943661" w:rsidTr="0006784F">
        <w:trPr>
          <w:trHeight w:val="240"/>
        </w:trPr>
        <w:tc>
          <w:tcPr>
            <w:tcW w:w="27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maternal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chr13:86368561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  <w:t>NM_032229.2:c.2083T&gt;A (p.(Phe695Ile))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23.10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damaging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(0.01)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F176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probably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</w:t>
            </w: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damaging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(0.99)</w:t>
            </w:r>
          </w:p>
        </w:tc>
      </w:tr>
      <w:tr w:rsidR="0006784F" w:rsidRPr="00943661" w:rsidTr="0006784F">
        <w:trPr>
          <w:trHeight w:val="240"/>
        </w:trPr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# 2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  <w:t>KALRN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  <w:t>yes (MIM #604605: unrelated (Coronary heart disease, susceptibility to, 5))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paternal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chr3:124281895</w:t>
            </w:r>
          </w:p>
        </w:tc>
        <w:tc>
          <w:tcPr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  <w:t>NM_001024660.3:c.5135G&gt;A (p.(Arg1712Gln))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0.01%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0.03%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29.30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damaging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(0.05)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F176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probably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</w:t>
            </w: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damaging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(1.00)</w:t>
            </w:r>
          </w:p>
        </w:tc>
      </w:tr>
      <w:tr w:rsidR="0006784F" w:rsidRPr="00943661" w:rsidTr="0006784F">
        <w:trPr>
          <w:trHeight w:val="240"/>
        </w:trPr>
        <w:tc>
          <w:tcPr>
            <w:tcW w:w="27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maternal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chr3:124376592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  <w:t>NM_001024660.3:c.5975C&gt;A (p.(Ala1992Glu))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0.01%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23.50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tolerated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(0.31)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450296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possibly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</w:t>
            </w: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damaging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(0.68)</w:t>
            </w:r>
          </w:p>
        </w:tc>
      </w:tr>
      <w:tr w:rsidR="0006784F" w:rsidRPr="00943661" w:rsidTr="0006784F">
        <w:trPr>
          <w:trHeight w:val="240"/>
        </w:trPr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# 2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  <w:t>CMYA5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no</w:t>
            </w:r>
            <w:proofErr w:type="spellEnd"/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maternal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chr5:79033848</w:t>
            </w:r>
          </w:p>
        </w:tc>
        <w:tc>
          <w:tcPr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NM_153610.3:c.9260C&gt;T (p.(Thr3087Ile))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0.02%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8.99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damaging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(0.05)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F176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benign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(0.00)</w:t>
            </w:r>
          </w:p>
        </w:tc>
      </w:tr>
      <w:tr w:rsidR="0006784F" w:rsidRPr="00943661" w:rsidTr="0006784F">
        <w:trPr>
          <w:trHeight w:val="240"/>
        </w:trPr>
        <w:tc>
          <w:tcPr>
            <w:tcW w:w="27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paternal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chr5:79041099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NM_153610.3:c.10789A&gt;T (p.(Lys3597*))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rs185458523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0.12%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0.34%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0.03%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55.00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NA</w:t>
            </w:r>
          </w:p>
        </w:tc>
      </w:tr>
      <w:tr w:rsidR="0006784F" w:rsidRPr="00943661" w:rsidTr="0006784F">
        <w:trPr>
          <w:trHeight w:val="240"/>
        </w:trPr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# 2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  <w:t>CHD1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no</w:t>
            </w:r>
            <w:proofErr w:type="spellEnd"/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maternal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chr5:98224802</w:t>
            </w:r>
          </w:p>
        </w:tc>
        <w:tc>
          <w:tcPr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  <w:t>NM_001270.2:c.2321A&gt;T (p.(Tyr774Phe))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rs144567251 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0.53%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0.52%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0.04%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19.75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tolerated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(0.69)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F176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benign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(0.00)</w:t>
            </w:r>
          </w:p>
        </w:tc>
      </w:tr>
      <w:tr w:rsidR="0006784F" w:rsidRPr="00943661" w:rsidTr="0006784F">
        <w:trPr>
          <w:trHeight w:val="240"/>
        </w:trPr>
        <w:tc>
          <w:tcPr>
            <w:tcW w:w="27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paternal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chr5:98228403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NM_001270.2:c.2006A&gt;T (p.(Glu669Val))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rs61759467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1.02%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2.44%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0.49%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32.00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damaging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(0.00)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F176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probably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</w:t>
            </w: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damaging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(1.00)</w:t>
            </w:r>
          </w:p>
        </w:tc>
      </w:tr>
      <w:tr w:rsidR="0006784F" w:rsidRPr="00943661" w:rsidTr="0006784F">
        <w:trPr>
          <w:trHeight w:val="240"/>
        </w:trPr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# 2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  <w:t>MAMDC4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no</w:t>
            </w:r>
            <w:proofErr w:type="spellEnd"/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paternal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chr9:139747911</w:t>
            </w:r>
          </w:p>
        </w:tc>
        <w:tc>
          <w:tcPr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NM_206920.2:c.328+1G&gt;T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0.04%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0.01%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22.80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NA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NA</w:t>
            </w:r>
          </w:p>
        </w:tc>
      </w:tr>
      <w:tr w:rsidR="0006784F" w:rsidRPr="00943661" w:rsidTr="0006784F">
        <w:trPr>
          <w:trHeight w:val="240"/>
        </w:trPr>
        <w:tc>
          <w:tcPr>
            <w:tcW w:w="27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maternal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chr9:139754427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NM_206920.2:c.3283C&gt;T (p.(Arg1095Trp))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rs138623341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0.22%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0.61%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0.23%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12.55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tolerated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(0.14)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F176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benign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(0.01)</w:t>
            </w:r>
          </w:p>
        </w:tc>
      </w:tr>
      <w:tr w:rsidR="0006784F" w:rsidRPr="00943661" w:rsidTr="0006784F">
        <w:trPr>
          <w:trHeight w:val="240"/>
        </w:trPr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# 2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  <w:t>KIAA0430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no</w:t>
            </w:r>
            <w:proofErr w:type="spellEnd"/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maternal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chr16:15709857</w:t>
            </w:r>
          </w:p>
        </w:tc>
        <w:tc>
          <w:tcPr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  <w:t>NM_014647.3:c.3083C&gt;A (p.(Pro1028Gln))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0.01%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0.05%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23.80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tolerated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(0.07)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433F9C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probably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</w:t>
            </w: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damaging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(0.98)</w:t>
            </w:r>
          </w:p>
        </w:tc>
      </w:tr>
      <w:tr w:rsidR="0006784F" w:rsidRPr="00943661" w:rsidTr="0006784F">
        <w:trPr>
          <w:trHeight w:val="240"/>
        </w:trPr>
        <w:tc>
          <w:tcPr>
            <w:tcW w:w="27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paternal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chr16:15729816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NM_014647.3:c.528T&gt;A (p.(Phe176Leu))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0.02%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9.87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tolerated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(0.11)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433F9C" w:rsidP="00F176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benign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(0.00)</w:t>
            </w:r>
          </w:p>
        </w:tc>
      </w:tr>
      <w:tr w:rsidR="0006784F" w:rsidRPr="00943661" w:rsidTr="0006784F">
        <w:trPr>
          <w:trHeight w:val="240"/>
        </w:trPr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# 2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  <w:t>MYO15A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  <w:t>yes (MIM #602666: unrelated (Deafness, autosomal recessive 3))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maternal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chr17:18023499</w:t>
            </w:r>
          </w:p>
        </w:tc>
        <w:tc>
          <w:tcPr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  <w:t>NM_016239.3:c.1385G&gt;A (p.(Gly462Asp))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rs145292219 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0.75%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0.95%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0.10%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20.50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tolerated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(0.09)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F176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benign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(0.11)</w:t>
            </w:r>
          </w:p>
        </w:tc>
      </w:tr>
      <w:tr w:rsidR="0006784F" w:rsidRPr="00943661" w:rsidTr="0006784F">
        <w:trPr>
          <w:trHeight w:val="240"/>
        </w:trPr>
        <w:tc>
          <w:tcPr>
            <w:tcW w:w="27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paternal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chr17:18075496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NM_016239.3:c.10242C&gt;T (p.(=))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rs188485743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0.34%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0.80%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0.23%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17.97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tolerated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(1.00)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NA</w:t>
            </w:r>
          </w:p>
        </w:tc>
      </w:tr>
      <w:tr w:rsidR="0006784F" w:rsidRPr="00943661" w:rsidTr="0006784F">
        <w:trPr>
          <w:trHeight w:val="240"/>
        </w:trPr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# 2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lang w:val="de-DE" w:eastAsia="de-DE"/>
              </w:rPr>
              <w:t>SIPA1L3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no</w:t>
            </w:r>
            <w:proofErr w:type="spellEnd"/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maternal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chr19:38610313</w:t>
            </w:r>
          </w:p>
        </w:tc>
        <w:tc>
          <w:tcPr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  <w:t>NM_015073.1:c.2659G&gt;A (p.(Asp887Asn))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rs151167786 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0.19%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0.11%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0.02%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23.60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tolerated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(0.09)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benign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 (0.23)</w:t>
            </w:r>
          </w:p>
        </w:tc>
      </w:tr>
      <w:tr w:rsidR="0006784F" w:rsidRPr="008B7965" w:rsidTr="0006784F">
        <w:trPr>
          <w:trHeight w:val="240"/>
        </w:trPr>
        <w:tc>
          <w:tcPr>
            <w:tcW w:w="27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3E56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paternal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chr19:38684207</w:t>
            </w:r>
          </w:p>
        </w:tc>
        <w:tc>
          <w:tcPr>
            <w:tcW w:w="1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NM_015073.1:c.4627C&gt;G (p.(Leu1543Val))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24.40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damaging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(0.00)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7965" w:rsidRPr="00943661" w:rsidRDefault="008B7965" w:rsidP="008B7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probably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</w:t>
            </w:r>
            <w:proofErr w:type="spellStart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damaging</w:t>
            </w:r>
            <w:proofErr w:type="spellEnd"/>
            <w:r w:rsidRPr="00943661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 (0.99)</w:t>
            </w:r>
          </w:p>
        </w:tc>
      </w:tr>
    </w:tbl>
    <w:p w:rsidR="00CD2BBC" w:rsidRPr="008B7965" w:rsidRDefault="00CD2BBC" w:rsidP="00D3378D"/>
    <w:sectPr w:rsidR="00CD2BBC" w:rsidRPr="008B7965" w:rsidSect="00FE62AC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2AC"/>
    <w:rsid w:val="0006784F"/>
    <w:rsid w:val="000A3DEC"/>
    <w:rsid w:val="001103FB"/>
    <w:rsid w:val="00130F5E"/>
    <w:rsid w:val="00135114"/>
    <w:rsid w:val="00181B59"/>
    <w:rsid w:val="001D04C6"/>
    <w:rsid w:val="00221FC0"/>
    <w:rsid w:val="002241BF"/>
    <w:rsid w:val="00256B45"/>
    <w:rsid w:val="002C2494"/>
    <w:rsid w:val="002D4776"/>
    <w:rsid w:val="002E14FE"/>
    <w:rsid w:val="002E35CB"/>
    <w:rsid w:val="002E65BC"/>
    <w:rsid w:val="003948E9"/>
    <w:rsid w:val="003C1143"/>
    <w:rsid w:val="003E5699"/>
    <w:rsid w:val="003F7FBD"/>
    <w:rsid w:val="00433F9C"/>
    <w:rsid w:val="00450296"/>
    <w:rsid w:val="004A154D"/>
    <w:rsid w:val="00500529"/>
    <w:rsid w:val="00510FE3"/>
    <w:rsid w:val="00571625"/>
    <w:rsid w:val="005E61A2"/>
    <w:rsid w:val="00687C43"/>
    <w:rsid w:val="006B4283"/>
    <w:rsid w:val="006C06CC"/>
    <w:rsid w:val="00706C6B"/>
    <w:rsid w:val="00752FD1"/>
    <w:rsid w:val="00870F31"/>
    <w:rsid w:val="008711B6"/>
    <w:rsid w:val="008946AF"/>
    <w:rsid w:val="008B7965"/>
    <w:rsid w:val="008F58C3"/>
    <w:rsid w:val="009259D2"/>
    <w:rsid w:val="00943661"/>
    <w:rsid w:val="00A811B2"/>
    <w:rsid w:val="00A92BF2"/>
    <w:rsid w:val="00B04082"/>
    <w:rsid w:val="00B65C59"/>
    <w:rsid w:val="00B802DA"/>
    <w:rsid w:val="00BA7315"/>
    <w:rsid w:val="00C23AE7"/>
    <w:rsid w:val="00C34BDF"/>
    <w:rsid w:val="00C532E0"/>
    <w:rsid w:val="00CD1499"/>
    <w:rsid w:val="00CD2BBC"/>
    <w:rsid w:val="00CE2C27"/>
    <w:rsid w:val="00D3378D"/>
    <w:rsid w:val="00D55A56"/>
    <w:rsid w:val="00DB5C59"/>
    <w:rsid w:val="00DD1CE8"/>
    <w:rsid w:val="00E040C4"/>
    <w:rsid w:val="00F17670"/>
    <w:rsid w:val="00FE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D3378D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5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5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D3378D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5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5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Institut f. Humangenetik, Universitätsklinikum Bonn</Company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 Engels</dc:creator>
  <cp:lastModifiedBy>Hartmut Engels</cp:lastModifiedBy>
  <cp:revision>29</cp:revision>
  <dcterms:created xsi:type="dcterms:W3CDTF">2016-02-12T16:27:00Z</dcterms:created>
  <dcterms:modified xsi:type="dcterms:W3CDTF">2016-06-01T14:57:00Z</dcterms:modified>
</cp:coreProperties>
</file>