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433D90" w14:textId="52DE37FD" w:rsidR="00755ACB" w:rsidRPr="00CD3105" w:rsidRDefault="004D49A2" w:rsidP="0035580E">
      <w:pPr>
        <w:spacing w:after="0"/>
        <w:rPr>
          <w:rFonts w:ascii="Arial" w:hAnsi="Arial" w:cs="Arial"/>
          <w:b/>
          <w:lang w:val="en-US"/>
        </w:rPr>
      </w:pPr>
      <w:r w:rsidRPr="00CD3105">
        <w:rPr>
          <w:rFonts w:ascii="Arial" w:hAnsi="Arial" w:cs="Arial"/>
          <w:b/>
          <w:lang w:val="en-US"/>
        </w:rPr>
        <w:t>Supplementary Table 1</w:t>
      </w:r>
      <w:r w:rsidR="001A0B2B" w:rsidRPr="00CD3105">
        <w:rPr>
          <w:rFonts w:ascii="Arial" w:hAnsi="Arial" w:cs="Arial"/>
          <w:b/>
          <w:lang w:val="en-US"/>
        </w:rPr>
        <w:t xml:space="preserve">: </w:t>
      </w:r>
      <w:r w:rsidR="001A0B2B" w:rsidRPr="00CD3105">
        <w:rPr>
          <w:rFonts w:ascii="Arial" w:hAnsi="Arial" w:cs="Arial"/>
          <w:b/>
          <w:i/>
          <w:lang w:val="en-US"/>
        </w:rPr>
        <w:t>TCF20</w:t>
      </w:r>
      <w:r w:rsidR="001A0B2B" w:rsidRPr="00CD3105">
        <w:rPr>
          <w:rFonts w:ascii="Arial" w:hAnsi="Arial" w:cs="Arial"/>
          <w:b/>
          <w:lang w:val="en-US"/>
        </w:rPr>
        <w:t xml:space="preserve"> frameshift and nonsense variants </w:t>
      </w:r>
      <w:r w:rsidR="00755ACB" w:rsidRPr="00CD3105">
        <w:rPr>
          <w:rFonts w:ascii="Arial" w:hAnsi="Arial" w:cs="Arial"/>
          <w:b/>
          <w:lang w:val="en-US"/>
        </w:rPr>
        <w:t>(</w:t>
      </w:r>
      <w:r w:rsidR="008C38DD" w:rsidRPr="00CD3105">
        <w:rPr>
          <w:rFonts w:ascii="Arial" w:hAnsi="Arial" w:cs="Arial"/>
          <w:b/>
          <w:lang w:val="en-US"/>
        </w:rPr>
        <w:t>n</w:t>
      </w:r>
      <w:r w:rsidR="00755ACB" w:rsidRPr="00CD3105">
        <w:rPr>
          <w:rFonts w:ascii="Arial" w:hAnsi="Arial" w:cs="Arial"/>
          <w:b/>
          <w:lang w:val="en-US"/>
        </w:rPr>
        <w:t xml:space="preserve">=4) </w:t>
      </w:r>
      <w:r w:rsidR="001A0B2B" w:rsidRPr="00CD3105">
        <w:rPr>
          <w:rFonts w:ascii="Arial" w:hAnsi="Arial" w:cs="Arial"/>
          <w:b/>
          <w:lang w:val="en-US"/>
        </w:rPr>
        <w:t xml:space="preserve">deposited in the </w:t>
      </w:r>
      <w:proofErr w:type="spellStart"/>
      <w:r w:rsidR="001A0B2B" w:rsidRPr="00CD3105">
        <w:rPr>
          <w:rFonts w:ascii="Arial" w:hAnsi="Arial" w:cs="Arial"/>
          <w:b/>
          <w:lang w:val="en-US"/>
        </w:rPr>
        <w:t>ExAC</w:t>
      </w:r>
      <w:proofErr w:type="spellEnd"/>
      <w:r w:rsidR="001A0B2B" w:rsidRPr="00CD3105">
        <w:rPr>
          <w:rFonts w:ascii="Arial" w:hAnsi="Arial" w:cs="Arial"/>
          <w:b/>
          <w:lang w:val="en-US"/>
        </w:rPr>
        <w:t xml:space="preserve"> database. </w:t>
      </w:r>
    </w:p>
    <w:p w14:paraId="479DB400" w14:textId="0FCDD1D7" w:rsidR="00704CE7" w:rsidRPr="00CD3105" w:rsidRDefault="001A0B2B" w:rsidP="0077534B">
      <w:pPr>
        <w:jc w:val="both"/>
        <w:rPr>
          <w:rFonts w:ascii="Arial" w:eastAsia="Times New Roman" w:hAnsi="Arial" w:cs="Arial"/>
          <w:color w:val="000000"/>
          <w:lang w:val="en-US" w:eastAsia="de-DE"/>
        </w:rPr>
      </w:pPr>
      <w:r w:rsidRPr="00CD3105">
        <w:rPr>
          <w:rFonts w:ascii="Arial" w:hAnsi="Arial" w:cs="Arial"/>
          <w:lang w:val="en-US"/>
        </w:rPr>
        <w:t xml:space="preserve">Three of the four </w:t>
      </w:r>
      <w:r w:rsidR="0018397A" w:rsidRPr="00CD3105">
        <w:rPr>
          <w:rFonts w:ascii="Arial" w:hAnsi="Arial" w:cs="Arial"/>
          <w:lang w:val="en-US"/>
        </w:rPr>
        <w:t xml:space="preserve">frameshift and nonsense </w:t>
      </w:r>
      <w:r w:rsidRPr="00CD3105">
        <w:rPr>
          <w:rFonts w:ascii="Arial" w:hAnsi="Arial" w:cs="Arial"/>
          <w:lang w:val="en-US"/>
        </w:rPr>
        <w:t xml:space="preserve">variants </w:t>
      </w:r>
      <w:r w:rsidR="00755ACB" w:rsidRPr="00CD3105">
        <w:rPr>
          <w:rFonts w:ascii="Arial" w:hAnsi="Arial" w:cs="Arial"/>
          <w:lang w:val="en-US"/>
        </w:rPr>
        <w:t xml:space="preserve">in the </w:t>
      </w:r>
      <w:proofErr w:type="spellStart"/>
      <w:r w:rsidR="00755ACB" w:rsidRPr="00CD3105">
        <w:rPr>
          <w:rFonts w:ascii="Arial" w:hAnsi="Arial" w:cs="Arial"/>
          <w:lang w:val="en-US"/>
        </w:rPr>
        <w:t>ExAC</w:t>
      </w:r>
      <w:proofErr w:type="spellEnd"/>
      <w:r w:rsidR="00755ACB" w:rsidRPr="00CD3105">
        <w:rPr>
          <w:rFonts w:ascii="Arial" w:hAnsi="Arial" w:cs="Arial"/>
          <w:lang w:val="en-US"/>
        </w:rPr>
        <w:t xml:space="preserve"> datab</w:t>
      </w:r>
      <w:r w:rsidR="006F0385" w:rsidRPr="00CD3105">
        <w:rPr>
          <w:rFonts w:ascii="Arial" w:hAnsi="Arial" w:cs="Arial"/>
          <w:lang w:val="en-US"/>
        </w:rPr>
        <w:t>a</w:t>
      </w:r>
      <w:r w:rsidR="00755ACB" w:rsidRPr="00CD3105">
        <w:rPr>
          <w:rFonts w:ascii="Arial" w:hAnsi="Arial" w:cs="Arial"/>
          <w:lang w:val="en-US"/>
        </w:rPr>
        <w:t xml:space="preserve">se are </w:t>
      </w:r>
      <w:r w:rsidR="008C38DD" w:rsidRPr="00CD3105">
        <w:rPr>
          <w:rFonts w:ascii="Arial" w:hAnsi="Arial" w:cs="Arial"/>
          <w:lang w:val="en-US"/>
        </w:rPr>
        <w:t xml:space="preserve">classified as </w:t>
      </w:r>
      <w:r w:rsidR="00755ACB" w:rsidRPr="00CD3105">
        <w:rPr>
          <w:rFonts w:ascii="Arial" w:hAnsi="Arial" w:cs="Arial"/>
          <w:lang w:val="en-US"/>
        </w:rPr>
        <w:t>disputable (highlighted in gray and column “Flags”). These variants</w:t>
      </w:r>
      <w:r w:rsidR="00875F9F" w:rsidRPr="00CD3105">
        <w:rPr>
          <w:rFonts w:ascii="Arial" w:hAnsi="Arial" w:cs="Arial"/>
          <w:lang w:val="en-US"/>
        </w:rPr>
        <w:t xml:space="preserve"> have </w:t>
      </w:r>
      <w:proofErr w:type="spellStart"/>
      <w:r w:rsidR="00875F9F" w:rsidRPr="00CD3105">
        <w:rPr>
          <w:rFonts w:ascii="Arial" w:hAnsi="Arial" w:cs="Arial"/>
          <w:lang w:val="en-US"/>
        </w:rPr>
        <w:t>i</w:t>
      </w:r>
      <w:proofErr w:type="spellEnd"/>
      <w:r w:rsidR="00875F9F" w:rsidRPr="00CD3105">
        <w:rPr>
          <w:rFonts w:ascii="Arial" w:hAnsi="Arial" w:cs="Arial"/>
          <w:lang w:val="en-US"/>
        </w:rPr>
        <w:t xml:space="preserve">) a </w:t>
      </w:r>
      <w:proofErr w:type="spellStart"/>
      <w:r w:rsidR="00875F9F" w:rsidRPr="00CD3105">
        <w:rPr>
          <w:rFonts w:ascii="Arial" w:hAnsi="Arial" w:cs="Arial"/>
          <w:lang w:val="en-US"/>
        </w:rPr>
        <w:t>QualByDepth</w:t>
      </w:r>
      <w:proofErr w:type="spellEnd"/>
      <w:r w:rsidR="00875F9F" w:rsidRPr="00CD3105">
        <w:rPr>
          <w:rFonts w:ascii="Arial" w:hAnsi="Arial" w:cs="Arial"/>
          <w:lang w:val="en-US"/>
        </w:rPr>
        <w:t xml:space="preserve"> (QD) below 2 and therefore </w:t>
      </w:r>
      <w:r w:rsidR="008C38DD" w:rsidRPr="00CD3105">
        <w:rPr>
          <w:rFonts w:ascii="Arial" w:hAnsi="Arial" w:cs="Arial"/>
          <w:lang w:val="en-US"/>
        </w:rPr>
        <w:t xml:space="preserve">are </w:t>
      </w:r>
      <w:r w:rsidR="00875F9F" w:rsidRPr="00CD3105">
        <w:rPr>
          <w:rFonts w:ascii="Arial" w:hAnsi="Arial" w:cs="Arial"/>
          <w:lang w:val="en-US"/>
        </w:rPr>
        <w:t xml:space="preserve">considered </w:t>
      </w:r>
      <w:r w:rsidR="008C38DD" w:rsidRPr="00CD3105">
        <w:rPr>
          <w:rFonts w:ascii="Arial" w:hAnsi="Arial" w:cs="Arial"/>
          <w:lang w:val="en-US"/>
        </w:rPr>
        <w:t>“</w:t>
      </w:r>
      <w:r w:rsidR="00875F9F" w:rsidRPr="00CD3105">
        <w:rPr>
          <w:rFonts w:ascii="Arial" w:hAnsi="Arial" w:cs="Arial"/>
          <w:lang w:val="en-US"/>
        </w:rPr>
        <w:t>bad</w:t>
      </w:r>
      <w:r w:rsidR="008C38DD" w:rsidRPr="00CD3105">
        <w:rPr>
          <w:rFonts w:ascii="Arial" w:hAnsi="Arial" w:cs="Arial"/>
          <w:lang w:val="en-US"/>
        </w:rPr>
        <w:t>”</w:t>
      </w:r>
      <w:r w:rsidR="00875F9F" w:rsidRPr="00CD3105">
        <w:rPr>
          <w:rFonts w:ascii="Arial" w:hAnsi="Arial" w:cs="Arial"/>
          <w:lang w:val="en-US"/>
        </w:rPr>
        <w:t xml:space="preserve"> (Van der </w:t>
      </w:r>
      <w:proofErr w:type="spellStart"/>
      <w:r w:rsidR="00875F9F" w:rsidRPr="00CD3105">
        <w:rPr>
          <w:rFonts w:ascii="Arial" w:hAnsi="Arial" w:cs="Arial"/>
          <w:lang w:val="en-US"/>
        </w:rPr>
        <w:t>Auwera</w:t>
      </w:r>
      <w:proofErr w:type="spellEnd"/>
      <w:r w:rsidR="00875F9F" w:rsidRPr="00CD3105">
        <w:rPr>
          <w:rFonts w:ascii="Arial" w:hAnsi="Arial" w:cs="Arial"/>
          <w:lang w:val="en-US"/>
        </w:rPr>
        <w:t xml:space="preserve"> et al., 2014) and ii) are located in a </w:t>
      </w:r>
      <w:proofErr w:type="spellStart"/>
      <w:r w:rsidR="00875F9F" w:rsidRPr="00CD3105">
        <w:rPr>
          <w:rFonts w:ascii="Arial" w:hAnsi="Arial" w:cs="Arial"/>
          <w:lang w:val="en-US"/>
        </w:rPr>
        <w:t>homopolymer</w:t>
      </w:r>
      <w:proofErr w:type="spellEnd"/>
      <w:r w:rsidR="00875F9F" w:rsidRPr="00CD3105">
        <w:rPr>
          <w:rFonts w:ascii="Arial" w:hAnsi="Arial" w:cs="Arial"/>
          <w:lang w:val="en-US"/>
        </w:rPr>
        <w:t xml:space="preserve"> run of seven G</w:t>
      </w:r>
      <w:r w:rsidR="008C38DD" w:rsidRPr="00CD3105">
        <w:rPr>
          <w:rFonts w:ascii="Arial" w:hAnsi="Arial" w:cs="Arial"/>
          <w:lang w:val="en-US"/>
        </w:rPr>
        <w:t xml:space="preserve"> nucleotides</w:t>
      </w:r>
      <w:r w:rsidR="00875F9F" w:rsidRPr="00CD3105">
        <w:rPr>
          <w:rFonts w:ascii="Arial" w:hAnsi="Arial" w:cs="Arial"/>
          <w:lang w:val="en-US"/>
        </w:rPr>
        <w:t xml:space="preserve"> and</w:t>
      </w:r>
      <w:r w:rsidR="00352E92" w:rsidRPr="00CD3105">
        <w:rPr>
          <w:rFonts w:ascii="Arial" w:hAnsi="Arial" w:cs="Arial"/>
          <w:lang w:val="en-US"/>
        </w:rPr>
        <w:t xml:space="preserve"> </w:t>
      </w:r>
      <w:r w:rsidR="004A432D" w:rsidRPr="00CD3105">
        <w:rPr>
          <w:rFonts w:ascii="Arial" w:hAnsi="Arial" w:cs="Arial"/>
          <w:lang w:val="en-US"/>
        </w:rPr>
        <w:t xml:space="preserve">thus </w:t>
      </w:r>
      <w:r w:rsidR="008C38DD" w:rsidRPr="00CD3105">
        <w:rPr>
          <w:rFonts w:ascii="Arial" w:hAnsi="Arial" w:cs="Arial"/>
          <w:lang w:val="en-US"/>
        </w:rPr>
        <w:t xml:space="preserve">are </w:t>
      </w:r>
      <w:r w:rsidR="00352E92" w:rsidRPr="00CD3105">
        <w:rPr>
          <w:rFonts w:ascii="Arial" w:hAnsi="Arial" w:cs="Arial"/>
          <w:lang w:val="en-US"/>
        </w:rPr>
        <w:t xml:space="preserve">most likely a sequencing artifact. In addition, the pipeline LOFTEE (Loss-Of-Function Transcript Effect Estimator) classified the two variants at </w:t>
      </w:r>
      <w:r w:rsidR="00352E92" w:rsidRPr="00CD3105">
        <w:rPr>
          <w:rFonts w:ascii="Arial" w:eastAsia="Times New Roman" w:hAnsi="Arial" w:cs="Arial"/>
          <w:color w:val="000000"/>
          <w:lang w:val="en-US" w:eastAsia="de-DE"/>
        </w:rPr>
        <w:t xml:space="preserve">chr22: 42,564,715 as </w:t>
      </w:r>
      <w:r w:rsidR="00DE4E2D" w:rsidRPr="00CD3105">
        <w:rPr>
          <w:rFonts w:ascii="Arial" w:eastAsia="Times New Roman" w:hAnsi="Arial" w:cs="Arial"/>
          <w:color w:val="000000"/>
          <w:lang w:val="en-US" w:eastAsia="de-DE"/>
        </w:rPr>
        <w:t xml:space="preserve">“low-confidence” LOF variants since they are very close to the </w:t>
      </w:r>
      <w:r w:rsidR="008277A8" w:rsidRPr="00CD3105">
        <w:rPr>
          <w:rFonts w:ascii="Arial" w:eastAsia="Times New Roman" w:hAnsi="Arial" w:cs="Arial"/>
          <w:color w:val="000000"/>
          <w:lang w:val="en-US" w:eastAsia="de-DE"/>
        </w:rPr>
        <w:t xml:space="preserve">N-terminus </w:t>
      </w:r>
      <w:r w:rsidR="00DE4E2D" w:rsidRPr="00CD3105">
        <w:rPr>
          <w:rFonts w:ascii="Arial" w:eastAsia="Times New Roman" w:hAnsi="Arial" w:cs="Arial"/>
          <w:color w:val="000000"/>
          <w:lang w:val="en-US" w:eastAsia="de-DE"/>
        </w:rPr>
        <w:t>of the protein and affect</w:t>
      </w:r>
      <w:r w:rsidR="00C571EA" w:rsidRPr="00CD3105">
        <w:rPr>
          <w:rFonts w:ascii="Arial" w:eastAsia="Times New Roman" w:hAnsi="Arial" w:cs="Arial"/>
          <w:color w:val="000000"/>
          <w:lang w:val="en-US" w:eastAsia="de-DE"/>
        </w:rPr>
        <w:t xml:space="preserve"> only</w:t>
      </w:r>
      <w:r w:rsidR="00DE4E2D" w:rsidRPr="00CD3105">
        <w:rPr>
          <w:rFonts w:ascii="Arial" w:eastAsia="Times New Roman" w:hAnsi="Arial" w:cs="Arial"/>
          <w:color w:val="000000"/>
          <w:lang w:val="en-US" w:eastAsia="de-DE"/>
        </w:rPr>
        <w:t xml:space="preserve"> one isoform. Only the </w:t>
      </w:r>
      <w:r w:rsidR="008277A8" w:rsidRPr="00CD3105">
        <w:rPr>
          <w:rFonts w:ascii="Arial" w:eastAsia="Times New Roman" w:hAnsi="Arial" w:cs="Arial"/>
          <w:color w:val="000000"/>
          <w:lang w:val="en-US" w:eastAsia="de-DE"/>
        </w:rPr>
        <w:t xml:space="preserve">nonsense </w:t>
      </w:r>
      <w:r w:rsidR="00DE4E2D" w:rsidRPr="00CD3105">
        <w:rPr>
          <w:rFonts w:ascii="Arial" w:eastAsia="Times New Roman" w:hAnsi="Arial" w:cs="Arial"/>
          <w:color w:val="000000"/>
          <w:lang w:val="en-US" w:eastAsia="de-DE"/>
        </w:rPr>
        <w:t>variant at chr22: 42,609,973</w:t>
      </w:r>
      <w:r w:rsidR="00280BCA" w:rsidRPr="00CD3105">
        <w:rPr>
          <w:rFonts w:ascii="Arial" w:eastAsia="Times New Roman" w:hAnsi="Arial" w:cs="Arial"/>
          <w:color w:val="000000"/>
          <w:lang w:val="en-US" w:eastAsia="de-DE"/>
        </w:rPr>
        <w:t xml:space="preserve"> </w:t>
      </w:r>
      <w:r w:rsidR="00C571EA" w:rsidRPr="00CD3105">
        <w:rPr>
          <w:rFonts w:ascii="Arial" w:eastAsia="Times New Roman" w:hAnsi="Arial" w:cs="Arial"/>
          <w:color w:val="000000"/>
          <w:lang w:val="en-US" w:eastAsia="de-DE"/>
        </w:rPr>
        <w:t xml:space="preserve">which </w:t>
      </w:r>
      <w:proofErr w:type="gramStart"/>
      <w:r w:rsidR="00C571EA" w:rsidRPr="00CD3105">
        <w:rPr>
          <w:rFonts w:ascii="Arial" w:eastAsia="Times New Roman" w:hAnsi="Arial" w:cs="Arial"/>
          <w:color w:val="000000"/>
          <w:lang w:val="en-US" w:eastAsia="de-DE"/>
        </w:rPr>
        <w:t>is</w:t>
      </w:r>
      <w:proofErr w:type="gramEnd"/>
      <w:r w:rsidR="00C571EA" w:rsidRPr="00CD3105">
        <w:rPr>
          <w:rFonts w:ascii="Arial" w:eastAsia="Times New Roman" w:hAnsi="Arial" w:cs="Arial"/>
          <w:color w:val="000000"/>
          <w:lang w:val="en-US" w:eastAsia="de-DE"/>
        </w:rPr>
        <w:t xml:space="preserve"> predicted to </w:t>
      </w:r>
      <w:r w:rsidR="00280BCA" w:rsidRPr="00CD3105">
        <w:rPr>
          <w:rFonts w:ascii="Arial" w:eastAsia="Times New Roman" w:hAnsi="Arial" w:cs="Arial"/>
          <w:color w:val="000000"/>
          <w:lang w:val="en-US" w:eastAsia="de-DE"/>
        </w:rPr>
        <w:t xml:space="preserve">lead to </w:t>
      </w:r>
      <w:r w:rsidR="00C571EA" w:rsidRPr="00CD3105">
        <w:rPr>
          <w:rFonts w:ascii="Arial" w:eastAsia="Times New Roman" w:hAnsi="Arial" w:cs="Arial"/>
          <w:color w:val="000000"/>
          <w:lang w:val="en-US" w:eastAsia="de-DE"/>
        </w:rPr>
        <w:t>a</w:t>
      </w:r>
      <w:r w:rsidR="000D201D" w:rsidRPr="00CD3105">
        <w:rPr>
          <w:rFonts w:ascii="Arial" w:eastAsia="Times New Roman" w:hAnsi="Arial" w:cs="Arial"/>
          <w:color w:val="000000"/>
          <w:lang w:val="en-US" w:eastAsia="de-DE"/>
        </w:rPr>
        <w:t xml:space="preserve"> </w:t>
      </w:r>
      <w:r w:rsidR="00280BCA" w:rsidRPr="00CD3105">
        <w:rPr>
          <w:rFonts w:ascii="Arial" w:eastAsia="Times New Roman" w:hAnsi="Arial" w:cs="Arial"/>
          <w:color w:val="000000"/>
          <w:lang w:val="en-US" w:eastAsia="de-DE"/>
        </w:rPr>
        <w:t>premature stop at position 447</w:t>
      </w:r>
      <w:r w:rsidR="008277A8" w:rsidRPr="00CD3105">
        <w:rPr>
          <w:rFonts w:ascii="Arial" w:eastAsia="Times New Roman" w:hAnsi="Arial" w:cs="Arial"/>
          <w:color w:val="000000"/>
          <w:lang w:val="en-US" w:eastAsia="de-DE"/>
        </w:rPr>
        <w:t xml:space="preserve"> may</w:t>
      </w:r>
      <w:r w:rsidR="00DE4E2D" w:rsidRPr="00CD3105">
        <w:rPr>
          <w:rFonts w:ascii="Arial" w:eastAsia="Times New Roman" w:hAnsi="Arial" w:cs="Arial"/>
          <w:color w:val="000000"/>
          <w:lang w:val="en-US" w:eastAsia="de-DE"/>
        </w:rPr>
        <w:t xml:space="preserve"> be </w:t>
      </w:r>
      <w:r w:rsidR="006D41E8" w:rsidRPr="00CD3105">
        <w:rPr>
          <w:rFonts w:ascii="Arial" w:eastAsia="Times New Roman" w:hAnsi="Arial" w:cs="Arial"/>
          <w:color w:val="000000"/>
          <w:lang w:val="en-US" w:eastAsia="de-DE"/>
        </w:rPr>
        <w:t xml:space="preserve">valid. This variant </w:t>
      </w:r>
      <w:r w:rsidR="00DB152A" w:rsidRPr="00CD3105">
        <w:rPr>
          <w:rFonts w:ascii="Arial" w:eastAsia="Times New Roman" w:hAnsi="Arial" w:cs="Arial"/>
          <w:color w:val="000000"/>
          <w:lang w:val="en-US" w:eastAsia="de-DE"/>
        </w:rPr>
        <w:t xml:space="preserve">with a minor allele frequency of 0.00082% </w:t>
      </w:r>
      <w:r w:rsidR="006D41E8" w:rsidRPr="00CD3105">
        <w:rPr>
          <w:rFonts w:ascii="Arial" w:eastAsia="Times New Roman" w:hAnsi="Arial" w:cs="Arial"/>
          <w:color w:val="000000"/>
          <w:lang w:val="en-US" w:eastAsia="de-DE"/>
        </w:rPr>
        <w:t>is present in</w:t>
      </w:r>
      <w:r w:rsidR="00A74548" w:rsidRPr="00CD3105">
        <w:rPr>
          <w:rFonts w:ascii="Arial" w:eastAsia="Times New Roman" w:hAnsi="Arial" w:cs="Arial"/>
          <w:color w:val="000000"/>
          <w:lang w:val="en-US" w:eastAsia="de-DE"/>
        </w:rPr>
        <w:t xml:space="preserve"> only</w:t>
      </w:r>
      <w:r w:rsidR="006D41E8" w:rsidRPr="00CD3105">
        <w:rPr>
          <w:rFonts w:ascii="Arial" w:eastAsia="Times New Roman" w:hAnsi="Arial" w:cs="Arial"/>
          <w:color w:val="000000"/>
          <w:lang w:val="en-US" w:eastAsia="de-DE"/>
        </w:rPr>
        <w:t xml:space="preserve"> one </w:t>
      </w:r>
      <w:r w:rsidR="00C571EA" w:rsidRPr="00CD3105">
        <w:rPr>
          <w:rFonts w:ascii="Arial" w:eastAsia="Times New Roman" w:hAnsi="Arial" w:cs="Arial"/>
          <w:color w:val="000000"/>
          <w:lang w:val="en-US" w:eastAsia="de-DE"/>
        </w:rPr>
        <w:t xml:space="preserve">heterozygous </w:t>
      </w:r>
      <w:r w:rsidR="006D41E8" w:rsidRPr="00CD3105">
        <w:rPr>
          <w:rFonts w:ascii="Arial" w:eastAsia="Times New Roman" w:hAnsi="Arial" w:cs="Arial"/>
          <w:color w:val="000000"/>
          <w:lang w:val="en-US" w:eastAsia="de-DE"/>
        </w:rPr>
        <w:t>individual</w:t>
      </w:r>
      <w:r w:rsidR="00DB152A" w:rsidRPr="00CD3105">
        <w:rPr>
          <w:rFonts w:ascii="Arial" w:eastAsia="Times New Roman" w:hAnsi="Arial" w:cs="Arial"/>
          <w:color w:val="000000"/>
          <w:lang w:val="en-US" w:eastAsia="de-DE"/>
        </w:rPr>
        <w:t xml:space="preserve">. </w:t>
      </w:r>
      <w:r w:rsidR="00D93776" w:rsidRPr="00CD3105">
        <w:rPr>
          <w:rFonts w:ascii="Arial" w:eastAsia="Times New Roman" w:hAnsi="Arial" w:cs="Arial"/>
          <w:color w:val="000000"/>
          <w:lang w:val="en-US" w:eastAsia="de-DE"/>
        </w:rPr>
        <w:t xml:space="preserve">However, </w:t>
      </w:r>
      <w:proofErr w:type="spellStart"/>
      <w:r w:rsidR="00D93776" w:rsidRPr="00CD3105">
        <w:rPr>
          <w:rFonts w:ascii="Arial" w:eastAsia="Times New Roman" w:hAnsi="Arial" w:cs="Arial"/>
          <w:color w:val="000000"/>
          <w:lang w:val="en-US" w:eastAsia="de-DE"/>
        </w:rPr>
        <w:t>ExA</w:t>
      </w:r>
      <w:r w:rsidR="00111DAB" w:rsidRPr="00CD3105">
        <w:rPr>
          <w:rFonts w:ascii="Arial" w:eastAsia="Times New Roman" w:hAnsi="Arial" w:cs="Arial"/>
          <w:color w:val="000000"/>
          <w:lang w:val="en-US" w:eastAsia="de-DE"/>
        </w:rPr>
        <w:t>C</w:t>
      </w:r>
      <w:proofErr w:type="spellEnd"/>
      <w:r w:rsidR="00D93776" w:rsidRPr="00CD3105">
        <w:rPr>
          <w:rFonts w:ascii="Arial" w:eastAsia="Times New Roman" w:hAnsi="Arial" w:cs="Arial"/>
          <w:color w:val="000000"/>
          <w:lang w:val="en-US" w:eastAsia="de-DE"/>
        </w:rPr>
        <w:t xml:space="preserve"> variants are not confirmed by independent methods. </w:t>
      </w:r>
      <w:r w:rsidR="00DF7941" w:rsidRPr="00CD3105">
        <w:rPr>
          <w:rFonts w:ascii="Arial" w:eastAsia="Times New Roman" w:hAnsi="Arial" w:cs="Arial"/>
          <w:color w:val="000000"/>
          <w:lang w:val="en-US" w:eastAsia="de-DE"/>
        </w:rPr>
        <w:t>Since</w:t>
      </w:r>
      <w:r w:rsidR="00603BF1" w:rsidRPr="00CD3105">
        <w:rPr>
          <w:rFonts w:ascii="Arial" w:eastAsia="Times New Roman" w:hAnsi="Arial" w:cs="Arial"/>
          <w:color w:val="000000"/>
          <w:lang w:val="en-US" w:eastAsia="de-DE"/>
        </w:rPr>
        <w:t xml:space="preserve"> </w:t>
      </w:r>
      <w:r w:rsidR="003C2997" w:rsidRPr="00CD3105">
        <w:rPr>
          <w:rFonts w:ascii="Arial" w:eastAsia="Times New Roman" w:hAnsi="Arial" w:cs="Arial"/>
          <w:color w:val="000000"/>
          <w:lang w:val="en-US" w:eastAsia="de-DE"/>
        </w:rPr>
        <w:t>the</w:t>
      </w:r>
      <w:r w:rsidR="00280BCA" w:rsidRPr="00CD3105">
        <w:rPr>
          <w:rFonts w:ascii="Arial" w:eastAsia="Times New Roman" w:hAnsi="Arial" w:cs="Arial"/>
          <w:color w:val="000000"/>
          <w:lang w:val="en-US" w:eastAsia="de-DE"/>
        </w:rPr>
        <w:t xml:space="preserve"> </w:t>
      </w:r>
      <w:proofErr w:type="spellStart"/>
      <w:r w:rsidR="00280BCA" w:rsidRPr="00CD3105">
        <w:rPr>
          <w:rFonts w:ascii="Arial" w:eastAsia="Times New Roman" w:hAnsi="Arial" w:cs="Arial"/>
          <w:color w:val="000000"/>
          <w:lang w:val="en-US" w:eastAsia="de-DE"/>
        </w:rPr>
        <w:t>ExAC</w:t>
      </w:r>
      <w:proofErr w:type="spellEnd"/>
      <w:r w:rsidR="00280BCA" w:rsidRPr="00CD3105">
        <w:rPr>
          <w:rFonts w:ascii="Arial" w:eastAsia="Times New Roman" w:hAnsi="Arial" w:cs="Arial"/>
          <w:color w:val="000000"/>
          <w:lang w:val="en-US" w:eastAsia="de-DE"/>
        </w:rPr>
        <w:t xml:space="preserve"> consortium </w:t>
      </w:r>
      <w:r w:rsidR="003C2997" w:rsidRPr="00CD3105">
        <w:rPr>
          <w:rFonts w:ascii="Arial" w:eastAsia="Times New Roman" w:hAnsi="Arial" w:cs="Arial"/>
          <w:color w:val="000000"/>
          <w:lang w:val="en-US" w:eastAsia="de-DE"/>
        </w:rPr>
        <w:t>exclude</w:t>
      </w:r>
      <w:r w:rsidR="00DF7941" w:rsidRPr="00CD3105">
        <w:rPr>
          <w:rFonts w:ascii="Arial" w:eastAsia="Times New Roman" w:hAnsi="Arial" w:cs="Arial"/>
          <w:color w:val="000000"/>
          <w:lang w:val="en-US" w:eastAsia="de-DE"/>
        </w:rPr>
        <w:t>s</w:t>
      </w:r>
      <w:r w:rsidR="00280BCA" w:rsidRPr="00CD3105">
        <w:rPr>
          <w:rFonts w:ascii="Arial" w:eastAsia="Times New Roman" w:hAnsi="Arial" w:cs="Arial"/>
          <w:color w:val="000000"/>
          <w:lang w:val="en-US" w:eastAsia="de-DE"/>
        </w:rPr>
        <w:t xml:space="preserve"> individuals affected by severe pediatric diseases</w:t>
      </w:r>
      <w:r w:rsidR="003C2997" w:rsidRPr="00CD3105">
        <w:rPr>
          <w:rFonts w:ascii="Arial" w:eastAsia="Times New Roman" w:hAnsi="Arial" w:cs="Arial"/>
          <w:color w:val="000000"/>
          <w:lang w:val="en-US" w:eastAsia="de-DE"/>
        </w:rPr>
        <w:t xml:space="preserve">, </w:t>
      </w:r>
      <w:r w:rsidR="00DF7941" w:rsidRPr="00CD3105">
        <w:rPr>
          <w:rFonts w:ascii="Arial" w:eastAsia="Times New Roman" w:hAnsi="Arial" w:cs="Arial"/>
          <w:color w:val="000000"/>
          <w:lang w:val="en-US" w:eastAsia="de-DE"/>
        </w:rPr>
        <w:t>the variant carrier should be a “healthy control person”</w:t>
      </w:r>
      <w:r w:rsidR="008277A8" w:rsidRPr="00CD3105">
        <w:rPr>
          <w:rFonts w:ascii="Arial" w:eastAsia="Times New Roman" w:hAnsi="Arial" w:cs="Arial"/>
          <w:i/>
          <w:color w:val="000000"/>
          <w:lang w:val="en-US" w:eastAsia="de-DE"/>
        </w:rPr>
        <w:t xml:space="preserve">. </w:t>
      </w:r>
      <w:r w:rsidR="00D93776" w:rsidRPr="00CD3105">
        <w:rPr>
          <w:rFonts w:ascii="Arial" w:eastAsia="Times New Roman" w:hAnsi="Arial" w:cs="Arial"/>
          <w:color w:val="000000"/>
          <w:lang w:val="en-US" w:eastAsia="de-DE"/>
        </w:rPr>
        <w:t xml:space="preserve">Thus, </w:t>
      </w:r>
      <w:r w:rsidR="00603BF1" w:rsidRPr="00CD3105">
        <w:rPr>
          <w:rFonts w:ascii="Arial" w:eastAsia="Times New Roman" w:hAnsi="Arial" w:cs="Arial"/>
          <w:color w:val="000000"/>
          <w:lang w:val="en-US" w:eastAsia="de-DE"/>
        </w:rPr>
        <w:t xml:space="preserve">this finding could indicate that </w:t>
      </w:r>
      <w:r w:rsidR="00D93776" w:rsidRPr="00CD3105">
        <w:rPr>
          <w:rFonts w:ascii="Arial" w:eastAsia="Times New Roman" w:hAnsi="Arial" w:cs="Arial"/>
          <w:color w:val="000000"/>
          <w:lang w:val="en-US" w:eastAsia="de-DE"/>
        </w:rPr>
        <w:t xml:space="preserve">at least some </w:t>
      </w:r>
      <w:r w:rsidR="00603BF1" w:rsidRPr="00CD3105">
        <w:rPr>
          <w:rFonts w:ascii="Arial" w:eastAsia="Times New Roman" w:hAnsi="Arial" w:cs="Arial"/>
          <w:i/>
          <w:color w:val="000000"/>
          <w:lang w:val="en-US" w:eastAsia="de-DE"/>
        </w:rPr>
        <w:t>TCF20</w:t>
      </w:r>
      <w:r w:rsidR="00603BF1" w:rsidRPr="00CD3105">
        <w:rPr>
          <w:rFonts w:ascii="Arial" w:eastAsia="Times New Roman" w:hAnsi="Arial" w:cs="Arial"/>
          <w:color w:val="000000"/>
          <w:lang w:val="en-US" w:eastAsia="de-DE"/>
        </w:rPr>
        <w:t xml:space="preserve"> </w:t>
      </w:r>
      <w:r w:rsidR="00CC5455" w:rsidRPr="00CD3105">
        <w:rPr>
          <w:rFonts w:ascii="Arial" w:eastAsia="Times New Roman" w:hAnsi="Arial" w:cs="Arial"/>
          <w:color w:val="000000"/>
          <w:lang w:val="en-US" w:eastAsia="de-DE"/>
        </w:rPr>
        <w:t xml:space="preserve">LOF </w:t>
      </w:r>
      <w:r w:rsidR="00603BF1" w:rsidRPr="00CD3105">
        <w:rPr>
          <w:rFonts w:ascii="Arial" w:eastAsia="Times New Roman" w:hAnsi="Arial" w:cs="Arial"/>
          <w:color w:val="000000"/>
          <w:lang w:val="en-US" w:eastAsia="de-DE"/>
        </w:rPr>
        <w:t xml:space="preserve">variants </w:t>
      </w:r>
      <w:r w:rsidR="00D93776" w:rsidRPr="00CD3105">
        <w:rPr>
          <w:rFonts w:ascii="Arial" w:eastAsia="Times New Roman" w:hAnsi="Arial" w:cs="Arial"/>
          <w:color w:val="000000"/>
          <w:lang w:val="en-US" w:eastAsia="de-DE"/>
        </w:rPr>
        <w:t xml:space="preserve">may indeed </w:t>
      </w:r>
      <w:r w:rsidR="00603BF1" w:rsidRPr="00CD3105">
        <w:rPr>
          <w:rFonts w:ascii="Arial" w:eastAsia="Times New Roman" w:hAnsi="Arial" w:cs="Arial"/>
          <w:color w:val="000000"/>
          <w:lang w:val="en-US" w:eastAsia="de-DE"/>
        </w:rPr>
        <w:t xml:space="preserve">not </w:t>
      </w:r>
      <w:r w:rsidR="00D93776" w:rsidRPr="00CD3105">
        <w:rPr>
          <w:rFonts w:ascii="Arial" w:eastAsia="Times New Roman" w:hAnsi="Arial" w:cs="Arial"/>
          <w:color w:val="000000"/>
          <w:lang w:val="en-US" w:eastAsia="de-DE"/>
        </w:rPr>
        <w:t xml:space="preserve">be </w:t>
      </w:r>
      <w:r w:rsidR="000D201D" w:rsidRPr="00CD3105">
        <w:rPr>
          <w:rFonts w:ascii="Arial" w:eastAsia="Times New Roman" w:hAnsi="Arial" w:cs="Arial"/>
          <w:color w:val="000000"/>
          <w:lang w:val="en-US" w:eastAsia="de-DE"/>
        </w:rPr>
        <w:t xml:space="preserve">completely </w:t>
      </w:r>
      <w:r w:rsidR="00603BF1" w:rsidRPr="00CD3105">
        <w:rPr>
          <w:rFonts w:ascii="Arial" w:eastAsia="Times New Roman" w:hAnsi="Arial" w:cs="Arial"/>
          <w:color w:val="000000"/>
          <w:lang w:val="en-US" w:eastAsia="de-DE"/>
        </w:rPr>
        <w:t>penetrant</w:t>
      </w:r>
      <w:r w:rsidR="00D93776" w:rsidRPr="00CD3105">
        <w:rPr>
          <w:rFonts w:ascii="Arial" w:eastAsia="Times New Roman" w:hAnsi="Arial" w:cs="Arial"/>
          <w:color w:val="000000"/>
          <w:lang w:val="en-US" w:eastAsia="de-DE"/>
        </w:rPr>
        <w:t xml:space="preserve"> as has been shown for other, well-established intellectual disability genes such as </w:t>
      </w:r>
      <w:r w:rsidR="00D93776" w:rsidRPr="00CD3105">
        <w:rPr>
          <w:rFonts w:ascii="Arial" w:eastAsia="Times New Roman" w:hAnsi="Arial" w:cs="Arial"/>
          <w:i/>
          <w:color w:val="000000"/>
          <w:lang w:val="en-US" w:eastAsia="de-DE"/>
        </w:rPr>
        <w:t>ASXL1</w:t>
      </w:r>
      <w:r w:rsidR="00D93776" w:rsidRPr="00CD3105">
        <w:rPr>
          <w:rFonts w:ascii="Arial" w:eastAsia="Times New Roman" w:hAnsi="Arial" w:cs="Arial"/>
          <w:color w:val="000000"/>
          <w:lang w:val="en-US" w:eastAsia="de-DE"/>
        </w:rPr>
        <w:t xml:space="preserve"> and </w:t>
      </w:r>
      <w:r w:rsidR="00D93776" w:rsidRPr="00CD3105">
        <w:rPr>
          <w:rFonts w:ascii="Arial" w:eastAsia="Times New Roman" w:hAnsi="Arial" w:cs="Arial"/>
          <w:i/>
          <w:color w:val="000000"/>
          <w:lang w:val="en-US" w:eastAsia="de-DE"/>
        </w:rPr>
        <w:t>ARID1B</w:t>
      </w:r>
      <w:r w:rsidR="00D93776" w:rsidRPr="00CD3105">
        <w:rPr>
          <w:lang w:val="en-US"/>
        </w:rPr>
        <w:t xml:space="preserve"> </w:t>
      </w:r>
      <w:r w:rsidR="00D93776" w:rsidRPr="00CD3105">
        <w:rPr>
          <w:rFonts w:ascii="Arial" w:eastAsia="Times New Roman" w:hAnsi="Arial" w:cs="Arial"/>
          <w:color w:val="000000"/>
          <w:lang w:val="en-US" w:eastAsia="de-DE"/>
        </w:rPr>
        <w:fldChar w:fldCharType="begin"/>
      </w:r>
      <w:r w:rsidR="00D93776" w:rsidRPr="00CD3105">
        <w:rPr>
          <w:rFonts w:ascii="Arial" w:eastAsia="Times New Roman" w:hAnsi="Arial" w:cs="Arial"/>
          <w:color w:val="000000"/>
          <w:lang w:val="en-US" w:eastAsia="de-DE"/>
        </w:rPr>
        <w:instrText xml:space="preserve"> ADDIN EN.CITE &lt;EndNote&gt;&lt;Cite&gt;&lt;Author&gt;Ropers&lt;/Author&gt;&lt;Year&gt;2015&lt;/Year&gt;&lt;RecNum&gt;30&lt;/RecNum&gt;&lt;DisplayText&gt;&lt;style face="superscript"&gt;1&lt;/style&gt;&lt;/DisplayText&gt;&lt;record&gt;&lt;rec-number&gt;30&lt;/rec-number&gt;&lt;foreign-keys&gt;&lt;key app="EN" db-id="xzt925d2s9xwwse9xtkpat9dx2ds0ap9xa0s" timestamp="1455115277"&gt;30&lt;/key&gt;&lt;/foreign-keys&gt;&lt;ref-type name="Journal Article"&gt;17&lt;/ref-type&gt;&lt;contributors&gt;&lt;authors&gt;&lt;author&gt;Ropers, H. H.&lt;/author&gt;&lt;author&gt;Wienker, T.&lt;/author&gt;&lt;/authors&gt;&lt;/contributors&gt;&lt;auth-address&gt;Institute for Human Genetics, University Medicine, Langenbeckstrasse 1, Building 601, 55131 Mainz, Germany; Max Planck Institute for Molecular Genetics, Ihnestrasse 73, 14195 Berlin, Germany. Electronic address: ropers@molgen.mpg.de.&amp;#xD;Max Planck Institute for Molecular Genetics, Ihnestrasse 73, 14195 Berlin, Germany.&lt;/auth-address&gt;&lt;titles&gt;&lt;title&gt;Penetrance of pathogenic mutations in haploinsufficient genes for intellectual disability and related disorders&lt;/title&gt;&lt;secondary-title&gt;Eur J Med Genet&lt;/secondary-title&gt;&lt;/titles&gt;&lt;periodical&gt;&lt;full-title&gt;Eur J Med Genet&lt;/full-title&gt;&lt;/periodical&gt;&lt;pages&gt;715-8&lt;/pages&gt;&lt;volume&gt;58&lt;/volume&gt;&lt;number&gt;12&lt;/number&gt;&lt;dates&gt;&lt;year&gt;2015&lt;/year&gt;&lt;pub-dates&gt;&lt;date&gt;Dec&lt;/date&gt;&lt;/pub-dates&gt;&lt;/dates&gt;&lt;isbn&gt;1878-0849 (Electronic)&amp;#xD;1769-7212 (Linking)&lt;/isbn&gt;&lt;accession-num&gt;26506440&lt;/accession-num&gt;&lt;urls&gt;&lt;related-urls&gt;&lt;url&gt;http://www.ncbi.nlm.nih.gov/pubmed/26506440&lt;/url&gt;&lt;/related-urls&gt;&lt;/urls&gt;&lt;electronic-resource-num&gt;10.1016/j.ejmg.2015.10.007&lt;/electronic-resource-num&gt;&lt;/record&gt;&lt;/Cite&gt;&lt;/EndNote&gt;</w:instrText>
      </w:r>
      <w:r w:rsidR="00D93776" w:rsidRPr="00CD3105">
        <w:rPr>
          <w:rFonts w:ascii="Arial" w:eastAsia="Times New Roman" w:hAnsi="Arial" w:cs="Arial"/>
          <w:color w:val="000000"/>
          <w:lang w:val="en-US" w:eastAsia="de-DE"/>
        </w:rPr>
        <w:fldChar w:fldCharType="separate"/>
      </w:r>
      <w:r w:rsidR="00D93776" w:rsidRPr="00CD3105">
        <w:rPr>
          <w:rFonts w:ascii="Arial" w:eastAsia="Times New Roman" w:hAnsi="Arial" w:cs="Arial"/>
          <w:noProof/>
          <w:color w:val="000000"/>
          <w:vertAlign w:val="superscript"/>
          <w:lang w:val="en-US" w:eastAsia="de-DE"/>
        </w:rPr>
        <w:t>1</w:t>
      </w:r>
      <w:r w:rsidR="00D93776" w:rsidRPr="00CD3105">
        <w:rPr>
          <w:rFonts w:ascii="Arial" w:eastAsia="Times New Roman" w:hAnsi="Arial" w:cs="Arial"/>
          <w:color w:val="000000"/>
          <w:lang w:val="en-US" w:eastAsia="de-DE"/>
        </w:rPr>
        <w:fldChar w:fldCharType="end"/>
      </w:r>
      <w:r w:rsidR="00D93776" w:rsidRPr="00CD3105">
        <w:rPr>
          <w:rFonts w:ascii="Arial" w:eastAsia="Times New Roman" w:hAnsi="Arial" w:cs="Arial"/>
          <w:color w:val="000000"/>
          <w:lang w:val="en-US" w:eastAsia="de-DE"/>
        </w:rPr>
        <w:t xml:space="preserve">. </w:t>
      </w:r>
      <w:r w:rsidR="00603BF1" w:rsidRPr="00CD3105">
        <w:rPr>
          <w:rFonts w:ascii="Arial" w:eastAsia="Times New Roman" w:hAnsi="Arial" w:cs="Arial"/>
          <w:color w:val="000000"/>
          <w:lang w:val="en-US" w:eastAsia="de-DE"/>
        </w:rPr>
        <w:t xml:space="preserve">However, given the number of </w:t>
      </w:r>
      <w:r w:rsidR="00CC5455" w:rsidRPr="00CD3105">
        <w:rPr>
          <w:rFonts w:ascii="Arial" w:eastAsia="Times New Roman" w:hAnsi="Arial" w:cs="Arial"/>
          <w:color w:val="000000"/>
          <w:lang w:val="en-US" w:eastAsia="de-DE"/>
        </w:rPr>
        <w:t xml:space="preserve">only </w:t>
      </w:r>
      <w:r w:rsidR="00603BF1" w:rsidRPr="00CD3105">
        <w:rPr>
          <w:rFonts w:ascii="Arial" w:eastAsia="Times New Roman" w:hAnsi="Arial" w:cs="Arial"/>
          <w:color w:val="000000"/>
          <w:lang w:val="en-US" w:eastAsia="de-DE"/>
        </w:rPr>
        <w:t>one</w:t>
      </w:r>
      <w:r w:rsidR="00CC5455" w:rsidRPr="00CD3105">
        <w:rPr>
          <w:rFonts w:ascii="Arial" w:eastAsia="Times New Roman" w:hAnsi="Arial" w:cs="Arial"/>
          <w:color w:val="000000"/>
          <w:lang w:val="en-US" w:eastAsia="de-DE"/>
        </w:rPr>
        <w:t xml:space="preserve"> healthy</w:t>
      </w:r>
      <w:r w:rsidR="00603BF1" w:rsidRPr="00CD3105">
        <w:rPr>
          <w:rFonts w:ascii="Arial" w:eastAsia="Times New Roman" w:hAnsi="Arial" w:cs="Arial"/>
          <w:color w:val="000000"/>
          <w:lang w:val="en-US" w:eastAsia="de-DE"/>
        </w:rPr>
        <w:t xml:space="preserve"> carrier with a</w:t>
      </w:r>
      <w:r w:rsidR="00D93776" w:rsidRPr="00CD3105">
        <w:rPr>
          <w:rFonts w:ascii="Arial" w:eastAsia="Times New Roman" w:hAnsi="Arial" w:cs="Arial"/>
          <w:color w:val="000000"/>
          <w:lang w:val="en-US" w:eastAsia="de-DE"/>
        </w:rPr>
        <w:t xml:space="preserve"> single unverified</w:t>
      </w:r>
      <w:r w:rsidR="00603BF1" w:rsidRPr="00CD3105">
        <w:rPr>
          <w:rFonts w:ascii="Arial" w:eastAsia="Times New Roman" w:hAnsi="Arial" w:cs="Arial"/>
          <w:color w:val="000000"/>
          <w:lang w:val="en-US" w:eastAsia="de-DE"/>
        </w:rPr>
        <w:t xml:space="preserve"> LOF</w:t>
      </w:r>
      <w:r w:rsidR="00CC5455" w:rsidRPr="00CD3105">
        <w:rPr>
          <w:rFonts w:ascii="Arial" w:eastAsia="Times New Roman" w:hAnsi="Arial" w:cs="Arial"/>
          <w:color w:val="000000"/>
          <w:lang w:val="en-US" w:eastAsia="de-DE"/>
        </w:rPr>
        <w:t xml:space="preserve"> variant, no </w:t>
      </w:r>
      <w:r w:rsidR="00CA59BF" w:rsidRPr="00CD3105">
        <w:rPr>
          <w:rFonts w:ascii="Arial" w:eastAsia="Times New Roman" w:hAnsi="Arial" w:cs="Arial"/>
          <w:color w:val="000000"/>
          <w:lang w:val="en-US" w:eastAsia="de-DE"/>
        </w:rPr>
        <w:t>final conclusion</w:t>
      </w:r>
      <w:r w:rsidR="00D93776" w:rsidRPr="00CD3105">
        <w:rPr>
          <w:rFonts w:ascii="Arial" w:eastAsia="Times New Roman" w:hAnsi="Arial" w:cs="Arial"/>
          <w:color w:val="000000"/>
          <w:lang w:val="en-US" w:eastAsia="de-DE"/>
        </w:rPr>
        <w:t>s</w:t>
      </w:r>
      <w:r w:rsidR="0018397A" w:rsidRPr="00CD3105">
        <w:rPr>
          <w:rFonts w:ascii="Arial" w:eastAsia="Times New Roman" w:hAnsi="Arial" w:cs="Arial"/>
          <w:color w:val="000000"/>
          <w:lang w:val="en-US" w:eastAsia="de-DE"/>
        </w:rPr>
        <w:t xml:space="preserve"> </w:t>
      </w:r>
      <w:r w:rsidR="00D93776" w:rsidRPr="00CD3105">
        <w:rPr>
          <w:rFonts w:ascii="Arial" w:eastAsia="Times New Roman" w:hAnsi="Arial" w:cs="Arial"/>
          <w:color w:val="000000"/>
          <w:lang w:val="en-US" w:eastAsia="de-DE"/>
        </w:rPr>
        <w:t>regarding a potential</w:t>
      </w:r>
      <w:r w:rsidR="001137A0" w:rsidRPr="00CD3105">
        <w:rPr>
          <w:rFonts w:ascii="Arial" w:eastAsia="Times New Roman" w:hAnsi="Arial" w:cs="Arial"/>
          <w:color w:val="000000"/>
          <w:lang w:val="en-US" w:eastAsia="de-DE"/>
        </w:rPr>
        <w:t>ly</w:t>
      </w:r>
      <w:r w:rsidR="00D93776" w:rsidRPr="00CD3105">
        <w:rPr>
          <w:rFonts w:ascii="Arial" w:eastAsia="Times New Roman" w:hAnsi="Arial" w:cs="Arial"/>
          <w:color w:val="000000"/>
          <w:lang w:val="en-US" w:eastAsia="de-DE"/>
        </w:rPr>
        <w:t xml:space="preserve"> incomplete penetrance should </w:t>
      </w:r>
      <w:r w:rsidR="00CC5455" w:rsidRPr="00CD3105">
        <w:rPr>
          <w:rFonts w:ascii="Arial" w:eastAsia="Times New Roman" w:hAnsi="Arial" w:cs="Arial"/>
          <w:color w:val="000000"/>
          <w:lang w:val="en-US" w:eastAsia="de-DE"/>
        </w:rPr>
        <w:t>be drawn.</w:t>
      </w:r>
      <w:r w:rsidR="00D93776" w:rsidRPr="00CD3105">
        <w:rPr>
          <w:rFonts w:ascii="Arial" w:eastAsia="Times New Roman" w:hAnsi="Arial" w:cs="Arial"/>
          <w:color w:val="000000"/>
          <w:lang w:val="en-US" w:eastAsia="de-DE"/>
        </w:rPr>
        <w:t xml:space="preserve"> </w:t>
      </w:r>
    </w:p>
    <w:p w14:paraId="080F330E" w14:textId="77777777" w:rsidR="0077534B" w:rsidRPr="00CD3105" w:rsidRDefault="0077534B" w:rsidP="0077534B">
      <w:pPr>
        <w:jc w:val="both"/>
        <w:rPr>
          <w:rFonts w:ascii="Arial" w:hAnsi="Arial" w:cs="Arial"/>
          <w:lang w:val="en-US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0"/>
        <w:gridCol w:w="1011"/>
        <w:gridCol w:w="921"/>
        <w:gridCol w:w="1321"/>
        <w:gridCol w:w="2182"/>
        <w:gridCol w:w="1090"/>
        <w:gridCol w:w="1197"/>
        <w:gridCol w:w="1103"/>
        <w:gridCol w:w="860"/>
        <w:gridCol w:w="591"/>
        <w:gridCol w:w="2291"/>
      </w:tblGrid>
      <w:tr w:rsidR="0077534B" w:rsidRPr="00CD3105" w14:paraId="682187B8" w14:textId="77777777" w:rsidTr="001A0B2B">
        <w:trPr>
          <w:trHeight w:val="300"/>
        </w:trPr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A264566" w14:textId="40F93049" w:rsidR="001A0B2B" w:rsidRPr="00CD3105" w:rsidRDefault="001A0B2B" w:rsidP="001A0B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CD31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Chr</w:t>
            </w:r>
            <w:proofErr w:type="spellEnd"/>
            <w:r w:rsidRPr="00CD31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: Position</w:t>
            </w:r>
            <w:r w:rsidR="00DD4400" w:rsidRPr="00CD31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 xml:space="preserve"> (hg19)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941456D" w14:textId="77777777" w:rsidR="001A0B2B" w:rsidRPr="00CD3105" w:rsidRDefault="001A0B2B" w:rsidP="001A0B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CD31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Reference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8114B9B" w14:textId="77777777" w:rsidR="001A0B2B" w:rsidRPr="00CD3105" w:rsidRDefault="001A0B2B" w:rsidP="001A0B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CD31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Alternate</w:t>
            </w:r>
            <w:proofErr w:type="spellEnd"/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A8E2716" w14:textId="77777777" w:rsidR="001A0B2B" w:rsidRPr="00CD3105" w:rsidRDefault="001A0B2B" w:rsidP="001A0B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CD31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Transcript</w:t>
            </w:r>
            <w:proofErr w:type="spellEnd"/>
          </w:p>
          <w:p w14:paraId="6A7E7685" w14:textId="77777777" w:rsidR="001A0B2B" w:rsidRPr="00CD3105" w:rsidRDefault="001A0B2B" w:rsidP="001A0B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CD31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Consequence</w:t>
            </w:r>
            <w:proofErr w:type="spellEnd"/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095AC01" w14:textId="77777777" w:rsidR="001A0B2B" w:rsidRPr="00CD3105" w:rsidRDefault="001A0B2B" w:rsidP="001A0B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CD31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Protein</w:t>
            </w:r>
          </w:p>
          <w:p w14:paraId="58F4541D" w14:textId="77777777" w:rsidR="001A0B2B" w:rsidRPr="00CD3105" w:rsidRDefault="001A0B2B" w:rsidP="001A0B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CD31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Consequence</w:t>
            </w:r>
            <w:proofErr w:type="spell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04BCDC1" w14:textId="77777777" w:rsidR="001A0B2B" w:rsidRPr="00CD3105" w:rsidRDefault="001A0B2B" w:rsidP="001A0B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CD31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Annotation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7212A32" w14:textId="77777777" w:rsidR="001A0B2B" w:rsidRPr="00CD3105" w:rsidRDefault="001A0B2B" w:rsidP="001A0B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CD31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Allele</w:t>
            </w:r>
          </w:p>
          <w:p w14:paraId="7E5CAC22" w14:textId="77777777" w:rsidR="001A0B2B" w:rsidRPr="00CD3105" w:rsidRDefault="001A0B2B" w:rsidP="001A0B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CD31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Number</w:t>
            </w:r>
            <w:proofErr w:type="spellEnd"/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4448ABD" w14:textId="77777777" w:rsidR="001A0B2B" w:rsidRPr="00CD3105" w:rsidRDefault="001A0B2B" w:rsidP="001A0B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CD31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Allele</w:t>
            </w:r>
          </w:p>
          <w:p w14:paraId="148B4E34" w14:textId="77777777" w:rsidR="001A0B2B" w:rsidRPr="00CD3105" w:rsidRDefault="001A0B2B" w:rsidP="001A0B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CD31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Count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F43D6B1" w14:textId="77777777" w:rsidR="001A0B2B" w:rsidRPr="00CD3105" w:rsidRDefault="001A0B2B" w:rsidP="001A0B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CD31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MAF [%]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89007D0" w14:textId="77777777" w:rsidR="001A0B2B" w:rsidRPr="00CD3105" w:rsidRDefault="001A0B2B" w:rsidP="001A0B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CD31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QD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888834A" w14:textId="77777777" w:rsidR="001A0B2B" w:rsidRPr="00CD3105" w:rsidRDefault="001A0B2B" w:rsidP="001A0B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CD31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Flags</w:t>
            </w:r>
          </w:p>
        </w:tc>
      </w:tr>
      <w:tr w:rsidR="001A0B2B" w:rsidRPr="00CD3105" w14:paraId="7E4CEF80" w14:textId="77777777" w:rsidTr="001A0B2B">
        <w:trPr>
          <w:trHeight w:val="300"/>
        </w:trPr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96095E0" w14:textId="77777777" w:rsidR="001A0B2B" w:rsidRPr="00CD3105" w:rsidRDefault="001A0B2B" w:rsidP="001A0B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</w:pP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chr22: 42</w:t>
            </w:r>
            <w:r w:rsidR="00755ACB"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,</w:t>
            </w: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610</w:t>
            </w:r>
            <w:r w:rsidR="00755ACB"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,</w:t>
            </w: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947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962B221" w14:textId="77777777" w:rsidR="001A0B2B" w:rsidRPr="00CD3105" w:rsidRDefault="001A0B2B" w:rsidP="001A0B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</w:pP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T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A586A37" w14:textId="77777777" w:rsidR="001A0B2B" w:rsidRPr="00CD3105" w:rsidRDefault="001A0B2B" w:rsidP="001A0B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</w:pP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TG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CEF8BBC" w14:textId="77777777" w:rsidR="001A0B2B" w:rsidRPr="00CD3105" w:rsidRDefault="001A0B2B" w:rsidP="001A0B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</w:pP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c.364dupC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CD07747" w14:textId="1EC92A42" w:rsidR="001A0B2B" w:rsidRPr="00CD3105" w:rsidRDefault="001A0B2B" w:rsidP="001A0B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</w:pP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p.</w:t>
            </w:r>
            <w:r w:rsidR="004379C7"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(</w:t>
            </w: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Gln122ProfsTer12</w:t>
            </w:r>
            <w:r w:rsidR="004379C7"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)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47C9951" w14:textId="77777777" w:rsidR="001A0B2B" w:rsidRPr="00CD3105" w:rsidRDefault="001A0B2B" w:rsidP="001A0B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</w:pP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frameshift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B126695" w14:textId="77777777" w:rsidR="001A0B2B" w:rsidRPr="00CD3105" w:rsidRDefault="001A0B2B" w:rsidP="001A0B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</w:pP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121230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BF637C6" w14:textId="77777777" w:rsidR="001A0B2B" w:rsidRPr="00CD3105" w:rsidRDefault="001A0B2B" w:rsidP="001A0B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</w:pP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FC67202" w14:textId="77777777" w:rsidR="001A0B2B" w:rsidRPr="00CD3105" w:rsidRDefault="001A0B2B" w:rsidP="001A0B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</w:pP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0.00082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B1090B7" w14:textId="77777777" w:rsidR="001A0B2B" w:rsidRPr="00CD3105" w:rsidRDefault="001A0B2B" w:rsidP="001A0B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</w:pP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0.38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14:paraId="058C9C18" w14:textId="77777777" w:rsidR="001A0B2B" w:rsidRPr="00CD3105" w:rsidRDefault="001A0B2B" w:rsidP="001A0B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</w:pP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 xml:space="preserve">QD, homopolymer </w:t>
            </w:r>
          </w:p>
        </w:tc>
      </w:tr>
      <w:tr w:rsidR="001A0B2B" w:rsidRPr="00CD3105" w14:paraId="73897694" w14:textId="77777777" w:rsidTr="001A0B2B">
        <w:trPr>
          <w:trHeight w:val="300"/>
        </w:trPr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CF6D6" w14:textId="77777777" w:rsidR="001A0B2B" w:rsidRPr="00CD3105" w:rsidRDefault="001A0B2B" w:rsidP="001A0B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</w:pP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chr22: 42</w:t>
            </w:r>
            <w:r w:rsidR="00755ACB"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,</w:t>
            </w: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609</w:t>
            </w:r>
            <w:r w:rsidR="00755ACB"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,</w:t>
            </w: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973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65AF8" w14:textId="77777777" w:rsidR="001A0B2B" w:rsidRPr="00CD3105" w:rsidRDefault="001A0B2B" w:rsidP="001A0B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</w:pP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G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C8CCC" w14:textId="77777777" w:rsidR="001A0B2B" w:rsidRPr="00CD3105" w:rsidRDefault="001A0B2B" w:rsidP="001A0B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</w:pP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A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24A7F" w14:textId="77777777" w:rsidR="001A0B2B" w:rsidRPr="00CD3105" w:rsidRDefault="001A0B2B" w:rsidP="001A0B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</w:pP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c.1339C&gt;T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0D98D" w14:textId="07C8DA47" w:rsidR="001A0B2B" w:rsidRPr="00CD3105" w:rsidRDefault="001A0B2B" w:rsidP="001A0B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e-DE"/>
              </w:rPr>
              <w:t>p.</w:t>
            </w:r>
            <w:r w:rsidR="004379C7"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e-DE"/>
              </w:rPr>
              <w:t>(</w:t>
            </w: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e-DE"/>
              </w:rPr>
              <w:t>Arg447Ter</w:t>
            </w:r>
            <w:r w:rsidR="004379C7"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)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6FA40" w14:textId="77777777" w:rsidR="001A0B2B" w:rsidRPr="00CD3105" w:rsidRDefault="001A0B2B" w:rsidP="001A0B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e-DE"/>
              </w:rPr>
              <w:t>stop gained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B1ED2" w14:textId="77777777" w:rsidR="001A0B2B" w:rsidRPr="00CD3105" w:rsidRDefault="001A0B2B" w:rsidP="001A0B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e-DE"/>
              </w:rPr>
              <w:t>121408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A59A0" w14:textId="77777777" w:rsidR="001A0B2B" w:rsidRPr="00CD3105" w:rsidRDefault="001A0B2B" w:rsidP="001A0B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e-DE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D01DA" w14:textId="77777777" w:rsidR="001A0B2B" w:rsidRPr="00CD3105" w:rsidRDefault="001A0B2B" w:rsidP="001A0B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e-DE"/>
              </w:rPr>
              <w:t>0.00082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CE0EA" w14:textId="77777777" w:rsidR="001A0B2B" w:rsidRPr="00CD3105" w:rsidRDefault="001A0B2B" w:rsidP="001A0B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e-DE"/>
              </w:rPr>
              <w:t>11.07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BD26E3" w14:textId="77777777" w:rsidR="001A0B2B" w:rsidRPr="00CD3105" w:rsidRDefault="001A0B2B" w:rsidP="001A0B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e-DE"/>
              </w:rPr>
            </w:pPr>
          </w:p>
        </w:tc>
      </w:tr>
      <w:tr w:rsidR="001A0B2B" w:rsidRPr="00CD3105" w14:paraId="2AE64F1C" w14:textId="77777777" w:rsidTr="001A0B2B">
        <w:trPr>
          <w:trHeight w:val="300"/>
        </w:trPr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B96FABB" w14:textId="77777777" w:rsidR="001A0B2B" w:rsidRPr="00CD3105" w:rsidRDefault="001A0B2B" w:rsidP="001A0B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e-DE"/>
              </w:rPr>
              <w:t>chr22: 42</w:t>
            </w:r>
            <w:r w:rsidR="00755ACB"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e-DE"/>
              </w:rPr>
              <w:t>,</w:t>
            </w: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e-DE"/>
              </w:rPr>
              <w:t>564</w:t>
            </w:r>
            <w:r w:rsidR="00755ACB"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e-DE"/>
              </w:rPr>
              <w:t>,</w:t>
            </w: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e-DE"/>
              </w:rPr>
              <w:t>715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A1DE41F" w14:textId="77777777" w:rsidR="001A0B2B" w:rsidRPr="00CD3105" w:rsidRDefault="001A0B2B" w:rsidP="001A0B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e-DE"/>
              </w:rPr>
              <w:t>A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7C573C6" w14:textId="77777777" w:rsidR="001A0B2B" w:rsidRPr="00CD3105" w:rsidRDefault="001A0B2B" w:rsidP="001A0B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e-DE"/>
              </w:rPr>
              <w:t>AG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CF725BC" w14:textId="77777777" w:rsidR="001A0B2B" w:rsidRPr="00CD3105" w:rsidRDefault="001A0B2B" w:rsidP="001A0B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e-DE"/>
              </w:rPr>
              <w:t>c.5826dupC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06F569F" w14:textId="3F6A8C57" w:rsidR="001A0B2B" w:rsidRPr="00CD3105" w:rsidRDefault="001A0B2B" w:rsidP="001A0B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e-DE"/>
              </w:rPr>
              <w:t>p.</w:t>
            </w:r>
            <w:r w:rsidR="004379C7"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e-DE"/>
              </w:rPr>
              <w:t>(</w:t>
            </w: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e-DE"/>
              </w:rPr>
              <w:t>Gln1944AlafsTer39</w:t>
            </w:r>
            <w:r w:rsidR="004379C7"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)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A5AC384" w14:textId="77777777" w:rsidR="001A0B2B" w:rsidRPr="00CD3105" w:rsidRDefault="001A0B2B" w:rsidP="001A0B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e-DE"/>
              </w:rPr>
              <w:t>frameshift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70B69CF" w14:textId="77777777" w:rsidR="001A0B2B" w:rsidRPr="00CD3105" w:rsidRDefault="001A0B2B" w:rsidP="001A0B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e-DE"/>
              </w:rPr>
              <w:t>97734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BE6FAC0" w14:textId="77777777" w:rsidR="001A0B2B" w:rsidRPr="00CD3105" w:rsidRDefault="001A0B2B" w:rsidP="001A0B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e-DE"/>
              </w:rPr>
              <w:t>13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72E5557" w14:textId="77777777" w:rsidR="001A0B2B" w:rsidRPr="00CD3105" w:rsidRDefault="001A0B2B" w:rsidP="001A0B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e-DE"/>
              </w:rPr>
              <w:t>0.01330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78CD049" w14:textId="77777777" w:rsidR="001A0B2B" w:rsidRPr="00CD3105" w:rsidRDefault="001A0B2B" w:rsidP="001A0B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e-DE"/>
              </w:rPr>
              <w:t>0.38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14:paraId="601F46A7" w14:textId="77777777" w:rsidR="001A0B2B" w:rsidRPr="00CD3105" w:rsidRDefault="001A0B2B" w:rsidP="001A0B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</w:pP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e-DE"/>
              </w:rPr>
              <w:t xml:space="preserve">QD, </w:t>
            </w: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 xml:space="preserve">homopolymer, LC </w:t>
            </w:r>
            <w:proofErr w:type="spellStart"/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LoF</w:t>
            </w:r>
            <w:proofErr w:type="spellEnd"/>
          </w:p>
        </w:tc>
      </w:tr>
      <w:tr w:rsidR="001A0B2B" w:rsidRPr="00CD3105" w14:paraId="34D1E8E4" w14:textId="77777777" w:rsidTr="001A0B2B">
        <w:trPr>
          <w:trHeight w:val="300"/>
        </w:trPr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075A1DD" w14:textId="77777777" w:rsidR="001A0B2B" w:rsidRPr="00CD3105" w:rsidRDefault="001A0B2B" w:rsidP="001A0B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</w:pP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chr22: 42</w:t>
            </w:r>
            <w:r w:rsidR="00755ACB"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,</w:t>
            </w: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564</w:t>
            </w:r>
            <w:r w:rsidR="00755ACB"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,</w:t>
            </w: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715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BCF7A12" w14:textId="77777777" w:rsidR="001A0B2B" w:rsidRPr="00CD3105" w:rsidRDefault="001A0B2B" w:rsidP="001A0B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</w:pP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AG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18AD5C4" w14:textId="77777777" w:rsidR="001A0B2B" w:rsidRPr="00CD3105" w:rsidRDefault="001A0B2B" w:rsidP="001A0B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</w:pP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A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6376FC8" w14:textId="77777777" w:rsidR="001A0B2B" w:rsidRPr="00CD3105" w:rsidRDefault="001A0B2B" w:rsidP="001A0B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</w:pP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c.5826delC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7C8329C" w14:textId="7596C86F" w:rsidR="001A0B2B" w:rsidRPr="00CD3105" w:rsidRDefault="001A0B2B" w:rsidP="001A0B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</w:pP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p.</w:t>
            </w:r>
            <w:r w:rsidR="004379C7"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 xml:space="preserve"> (</w:t>
            </w: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Leu1943CysfsTer118</w:t>
            </w:r>
            <w:r w:rsidR="004379C7"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)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64A5FA4" w14:textId="77777777" w:rsidR="001A0B2B" w:rsidRPr="00CD3105" w:rsidRDefault="001A0B2B" w:rsidP="001A0B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</w:pP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frameshift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E43EFAB" w14:textId="77777777" w:rsidR="001A0B2B" w:rsidRPr="00CD3105" w:rsidRDefault="001A0B2B" w:rsidP="001A0B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</w:pP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97734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F4E4BD5" w14:textId="77777777" w:rsidR="001A0B2B" w:rsidRPr="00CD3105" w:rsidRDefault="001A0B2B" w:rsidP="001A0B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</w:pP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9C02CFB" w14:textId="77777777" w:rsidR="001A0B2B" w:rsidRPr="00CD3105" w:rsidRDefault="001A0B2B" w:rsidP="001A0B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</w:pP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0.00102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C8A63BD" w14:textId="77777777" w:rsidR="001A0B2B" w:rsidRPr="00CD3105" w:rsidRDefault="001A0B2B" w:rsidP="001A0B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</w:pP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0.38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14:paraId="7421193B" w14:textId="77777777" w:rsidR="001A0B2B" w:rsidRPr="00CD3105" w:rsidRDefault="001A0B2B" w:rsidP="001A0B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</w:pPr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 xml:space="preserve">QD, homopolymer, LC </w:t>
            </w:r>
            <w:proofErr w:type="spellStart"/>
            <w:r w:rsidRPr="00CD3105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LoF</w:t>
            </w:r>
            <w:proofErr w:type="spellEnd"/>
          </w:p>
        </w:tc>
      </w:tr>
    </w:tbl>
    <w:p w14:paraId="73E0416D" w14:textId="77777777" w:rsidR="00704CE7" w:rsidRPr="00CD3105" w:rsidRDefault="00704CE7">
      <w:pPr>
        <w:rPr>
          <w:rFonts w:ascii="Arial" w:hAnsi="Arial" w:cs="Arial"/>
        </w:rPr>
      </w:pPr>
    </w:p>
    <w:p w14:paraId="7D3AE130" w14:textId="1C314C4D" w:rsidR="00DF7941" w:rsidRPr="00CD3105" w:rsidRDefault="000D201D" w:rsidP="006F07C3">
      <w:pPr>
        <w:rPr>
          <w:rFonts w:ascii="Arial" w:eastAsia="Times New Roman" w:hAnsi="Arial" w:cs="Arial"/>
          <w:color w:val="000000"/>
          <w:sz w:val="18"/>
          <w:szCs w:val="18"/>
          <w:lang w:val="en-US" w:eastAsia="de-DE"/>
        </w:rPr>
      </w:pPr>
      <w:r w:rsidRPr="00CD3105">
        <w:rPr>
          <w:rFonts w:ascii="Arial" w:hAnsi="Arial" w:cs="Arial"/>
          <w:sz w:val="18"/>
          <w:szCs w:val="18"/>
          <w:lang w:val="en-US"/>
        </w:rPr>
        <w:t>QD:</w:t>
      </w:r>
      <w:r w:rsidR="008277A8" w:rsidRPr="00CD3105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="008277A8" w:rsidRPr="00CD3105">
        <w:rPr>
          <w:rFonts w:ascii="Arial" w:hAnsi="Arial" w:cs="Arial"/>
          <w:sz w:val="18"/>
          <w:szCs w:val="18"/>
          <w:lang w:val="en-US"/>
        </w:rPr>
        <w:t>QualByDepth</w:t>
      </w:r>
      <w:proofErr w:type="spellEnd"/>
      <w:r w:rsidRPr="00CD3105">
        <w:rPr>
          <w:rFonts w:ascii="Arial" w:hAnsi="Arial" w:cs="Arial"/>
          <w:sz w:val="18"/>
          <w:szCs w:val="18"/>
          <w:lang w:val="en-US"/>
        </w:rPr>
        <w:t xml:space="preserve">, </w:t>
      </w:r>
      <w:r w:rsidRPr="00CD3105">
        <w:rPr>
          <w:rFonts w:ascii="Arial" w:eastAsia="Times New Roman" w:hAnsi="Arial" w:cs="Arial"/>
          <w:color w:val="000000"/>
          <w:sz w:val="18"/>
          <w:szCs w:val="18"/>
          <w:lang w:val="en-US" w:eastAsia="de-DE"/>
        </w:rPr>
        <w:t xml:space="preserve">LC </w:t>
      </w:r>
      <w:proofErr w:type="spellStart"/>
      <w:r w:rsidRPr="00CD3105">
        <w:rPr>
          <w:rFonts w:ascii="Arial" w:eastAsia="Times New Roman" w:hAnsi="Arial" w:cs="Arial"/>
          <w:color w:val="000000"/>
          <w:sz w:val="18"/>
          <w:szCs w:val="18"/>
          <w:lang w:val="en-US" w:eastAsia="de-DE"/>
        </w:rPr>
        <w:t>LoF</w:t>
      </w:r>
      <w:proofErr w:type="spellEnd"/>
      <w:r w:rsidRPr="00CD3105">
        <w:rPr>
          <w:rFonts w:ascii="Arial" w:eastAsia="Times New Roman" w:hAnsi="Arial" w:cs="Arial"/>
          <w:color w:val="000000"/>
          <w:sz w:val="18"/>
          <w:szCs w:val="18"/>
          <w:lang w:val="en-US" w:eastAsia="de-DE"/>
        </w:rPr>
        <w:t xml:space="preserve">: low-confidence” LOF variant according to </w:t>
      </w:r>
      <w:r w:rsidRPr="00CD3105">
        <w:rPr>
          <w:rFonts w:ascii="Arial" w:hAnsi="Arial" w:cs="Arial"/>
          <w:sz w:val="18"/>
          <w:szCs w:val="18"/>
          <w:lang w:val="en-US"/>
        </w:rPr>
        <w:t xml:space="preserve">LOFTEE, </w:t>
      </w:r>
      <w:r w:rsidRPr="00CD3105">
        <w:rPr>
          <w:rFonts w:ascii="Arial" w:eastAsia="Times New Roman" w:hAnsi="Arial" w:cs="Arial"/>
          <w:color w:val="000000"/>
          <w:sz w:val="18"/>
          <w:szCs w:val="18"/>
          <w:lang w:val="en-US" w:eastAsia="de-DE"/>
        </w:rPr>
        <w:t>MAF: minor allele frequency</w:t>
      </w:r>
    </w:p>
    <w:p w14:paraId="56DDF289" w14:textId="77777777" w:rsidR="00DF7941" w:rsidRPr="00CD3105" w:rsidRDefault="00DF7941">
      <w:pPr>
        <w:rPr>
          <w:rFonts w:ascii="Arial" w:eastAsia="Times New Roman" w:hAnsi="Arial" w:cs="Arial"/>
          <w:color w:val="000000"/>
          <w:sz w:val="18"/>
          <w:szCs w:val="18"/>
          <w:lang w:val="en-US" w:eastAsia="de-DE"/>
        </w:rPr>
      </w:pPr>
    </w:p>
    <w:p w14:paraId="1BAE549A" w14:textId="77777777" w:rsidR="00DF7941" w:rsidRPr="00CD3105" w:rsidRDefault="00DF7941" w:rsidP="00DF7941">
      <w:pPr>
        <w:pStyle w:val="EndNoteBibliography"/>
        <w:ind w:left="720" w:hanging="720"/>
        <w:rPr>
          <w:rFonts w:ascii="Arial" w:hAnsi="Arial" w:cs="Arial"/>
          <w:sz w:val="18"/>
          <w:szCs w:val="18"/>
        </w:rPr>
      </w:pPr>
      <w:r w:rsidRPr="00CD3105">
        <w:rPr>
          <w:rFonts w:ascii="Arial" w:hAnsi="Arial" w:cs="Arial"/>
          <w:sz w:val="18"/>
          <w:szCs w:val="18"/>
        </w:rPr>
        <w:fldChar w:fldCharType="begin"/>
      </w:r>
      <w:r w:rsidRPr="00CD3105">
        <w:rPr>
          <w:rFonts w:ascii="Arial" w:hAnsi="Arial" w:cs="Arial"/>
          <w:sz w:val="18"/>
          <w:szCs w:val="18"/>
        </w:rPr>
        <w:instrText xml:space="preserve"> ADDIN EN.REFLIST </w:instrText>
      </w:r>
      <w:r w:rsidRPr="00CD3105">
        <w:rPr>
          <w:rFonts w:ascii="Arial" w:hAnsi="Arial" w:cs="Arial"/>
          <w:sz w:val="18"/>
          <w:szCs w:val="18"/>
        </w:rPr>
        <w:fldChar w:fldCharType="separate"/>
      </w:r>
      <w:r w:rsidRPr="00CD3105">
        <w:rPr>
          <w:rFonts w:ascii="Arial" w:hAnsi="Arial" w:cs="Arial"/>
          <w:sz w:val="18"/>
          <w:szCs w:val="18"/>
        </w:rPr>
        <w:t xml:space="preserve">1. Ropers HH, Wienker T. Penetrance of Pathogenic Mutations in Haploinsufficient Genes for Intellectual Disability and Related Disorders. </w:t>
      </w:r>
      <w:r w:rsidRPr="00CD3105">
        <w:rPr>
          <w:rFonts w:ascii="Arial" w:hAnsi="Arial" w:cs="Arial"/>
          <w:i/>
          <w:sz w:val="18"/>
          <w:szCs w:val="18"/>
        </w:rPr>
        <w:t xml:space="preserve">Eur J Med Genet </w:t>
      </w:r>
      <w:r w:rsidRPr="00CD3105">
        <w:rPr>
          <w:rFonts w:ascii="Arial" w:hAnsi="Arial" w:cs="Arial"/>
          <w:sz w:val="18"/>
          <w:szCs w:val="18"/>
        </w:rPr>
        <w:t xml:space="preserve">2015; </w:t>
      </w:r>
      <w:r w:rsidRPr="00CD3105">
        <w:rPr>
          <w:rFonts w:ascii="Arial" w:hAnsi="Arial" w:cs="Arial"/>
          <w:b/>
          <w:sz w:val="18"/>
          <w:szCs w:val="18"/>
        </w:rPr>
        <w:t>58</w:t>
      </w:r>
      <w:r w:rsidRPr="00CD3105">
        <w:rPr>
          <w:rFonts w:ascii="Arial" w:hAnsi="Arial" w:cs="Arial"/>
          <w:sz w:val="18"/>
          <w:szCs w:val="18"/>
        </w:rPr>
        <w:t>: 715-718.</w:t>
      </w:r>
    </w:p>
    <w:p w14:paraId="65E5B93C" w14:textId="771B14A9" w:rsidR="006365B1" w:rsidRPr="00DC23EF" w:rsidRDefault="00DF7941">
      <w:pPr>
        <w:rPr>
          <w:rFonts w:ascii="Arial" w:hAnsi="Arial" w:cs="Arial"/>
          <w:lang w:val="en-US"/>
        </w:rPr>
      </w:pPr>
      <w:r w:rsidRPr="00CD3105">
        <w:rPr>
          <w:rFonts w:ascii="Arial" w:hAnsi="Arial" w:cs="Arial"/>
          <w:sz w:val="18"/>
          <w:szCs w:val="18"/>
          <w:lang w:val="en-US"/>
        </w:rPr>
        <w:fldChar w:fldCharType="end"/>
      </w:r>
      <w:bookmarkStart w:id="0" w:name="_GoBack"/>
      <w:bookmarkEnd w:id="0"/>
    </w:p>
    <w:sectPr w:rsidR="006365B1" w:rsidRPr="00DC23EF" w:rsidSect="001A0B2B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D21EC"/>
    <w:multiLevelType w:val="hybridMultilevel"/>
    <w:tmpl w:val="628AA440"/>
    <w:lvl w:ilvl="0" w:tplc="DB7CD5C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/ENInstantFormat&gt;"/>
    <w:docVar w:name="EN.Layout" w:val="&lt;ENLayout&gt;&lt;Style&gt;EJHG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xzt925d2s9xwwse9xtkpat9dx2ds0ap9xa0s&quot;&gt;TCF20&lt;record-ids&gt;&lt;item&gt;30&lt;/item&gt;&lt;/record-ids&gt;&lt;/item&gt;&lt;/Libraries&gt;"/>
  </w:docVars>
  <w:rsids>
    <w:rsidRoot w:val="00704CE7"/>
    <w:rsid w:val="00080DA5"/>
    <w:rsid w:val="000D201D"/>
    <w:rsid w:val="00111DAB"/>
    <w:rsid w:val="001137A0"/>
    <w:rsid w:val="0018397A"/>
    <w:rsid w:val="001A0B2B"/>
    <w:rsid w:val="00280BCA"/>
    <w:rsid w:val="002A032A"/>
    <w:rsid w:val="00303E1E"/>
    <w:rsid w:val="00352E92"/>
    <w:rsid w:val="0035580E"/>
    <w:rsid w:val="003C2997"/>
    <w:rsid w:val="003F66DF"/>
    <w:rsid w:val="004379C7"/>
    <w:rsid w:val="0046627F"/>
    <w:rsid w:val="004A432D"/>
    <w:rsid w:val="004D49A2"/>
    <w:rsid w:val="00603BF1"/>
    <w:rsid w:val="00635B62"/>
    <w:rsid w:val="006365B1"/>
    <w:rsid w:val="006D41E8"/>
    <w:rsid w:val="006F0385"/>
    <w:rsid w:val="006F07C3"/>
    <w:rsid w:val="00704CE7"/>
    <w:rsid w:val="00755ACB"/>
    <w:rsid w:val="0077534B"/>
    <w:rsid w:val="008277A8"/>
    <w:rsid w:val="00875F9F"/>
    <w:rsid w:val="008C38DD"/>
    <w:rsid w:val="00A74548"/>
    <w:rsid w:val="00B101F8"/>
    <w:rsid w:val="00C571EA"/>
    <w:rsid w:val="00CA59BF"/>
    <w:rsid w:val="00CC5455"/>
    <w:rsid w:val="00CD3105"/>
    <w:rsid w:val="00D93776"/>
    <w:rsid w:val="00DB152A"/>
    <w:rsid w:val="00DC23EF"/>
    <w:rsid w:val="00DD4212"/>
    <w:rsid w:val="00DD4400"/>
    <w:rsid w:val="00DE4E2D"/>
    <w:rsid w:val="00DF7941"/>
    <w:rsid w:val="00ED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2F4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C571E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571E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571E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571E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571EA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EA"/>
    <w:rPr>
      <w:rFonts w:ascii="Tahoma" w:hAnsi="Tahoma" w:cs="Tahoma"/>
      <w:sz w:val="16"/>
      <w:szCs w:val="16"/>
    </w:rPr>
  </w:style>
  <w:style w:type="paragraph" w:customStyle="1" w:styleId="EndNoteBibliographyTitle">
    <w:name w:val="EndNote Bibliography Title"/>
    <w:basedOn w:val="Standard"/>
    <w:link w:val="EndNoteBibliographyTitleZchn"/>
    <w:rsid w:val="00DF7941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DF7941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Standard"/>
    <w:link w:val="EndNoteBibliographyZchn"/>
    <w:rsid w:val="00DF7941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Zchn">
    <w:name w:val="EndNote Bibliography Zchn"/>
    <w:basedOn w:val="Absatz-Standardschriftart"/>
    <w:link w:val="EndNoteBibliography"/>
    <w:rsid w:val="00DF7941"/>
    <w:rPr>
      <w:rFonts w:ascii="Calibri" w:hAnsi="Calibri"/>
      <w:noProof/>
      <w:lang w:val="en-US"/>
    </w:rPr>
  </w:style>
  <w:style w:type="paragraph" w:styleId="berarbeitung">
    <w:name w:val="Revision"/>
    <w:hidden/>
    <w:uiPriority w:val="99"/>
    <w:semiHidden/>
    <w:rsid w:val="00D93776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6F07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C571E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571E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571E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571E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571EA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EA"/>
    <w:rPr>
      <w:rFonts w:ascii="Tahoma" w:hAnsi="Tahoma" w:cs="Tahoma"/>
      <w:sz w:val="16"/>
      <w:szCs w:val="16"/>
    </w:rPr>
  </w:style>
  <w:style w:type="paragraph" w:customStyle="1" w:styleId="EndNoteBibliographyTitle">
    <w:name w:val="EndNote Bibliography Title"/>
    <w:basedOn w:val="Standard"/>
    <w:link w:val="EndNoteBibliographyTitleZchn"/>
    <w:rsid w:val="00DF7941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DF7941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Standard"/>
    <w:link w:val="EndNoteBibliographyZchn"/>
    <w:rsid w:val="00DF7941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Zchn">
    <w:name w:val="EndNote Bibliography Zchn"/>
    <w:basedOn w:val="Absatz-Standardschriftart"/>
    <w:link w:val="EndNoteBibliography"/>
    <w:rsid w:val="00DF7941"/>
    <w:rPr>
      <w:rFonts w:ascii="Calibri" w:hAnsi="Calibri"/>
      <w:noProof/>
      <w:lang w:val="en-US"/>
    </w:rPr>
  </w:style>
  <w:style w:type="paragraph" w:styleId="berarbeitung">
    <w:name w:val="Revision"/>
    <w:hidden/>
    <w:uiPriority w:val="99"/>
    <w:semiHidden/>
    <w:rsid w:val="00D93776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6F07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7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534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Humangenetik</Company>
  <LinksUpToDate>false</LinksUpToDate>
  <CharactersWithSpaces>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Becker</dc:creator>
  <cp:keywords/>
  <dc:description/>
  <cp:lastModifiedBy>Hartmut Engels</cp:lastModifiedBy>
  <cp:revision>32</cp:revision>
  <dcterms:created xsi:type="dcterms:W3CDTF">2016-02-10T11:07:00Z</dcterms:created>
  <dcterms:modified xsi:type="dcterms:W3CDTF">2016-06-01T14:58:00Z</dcterms:modified>
</cp:coreProperties>
</file>