
<file path=[Content_Types].xml><?xml version="1.0" encoding="utf-8"?>
<Types xmlns="http://schemas.openxmlformats.org/package/2006/content-types">
  <Default Extension="xml" ContentType="application/xml"/>
  <Default Extension="tiff" ContentType="image/tiff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C54E352" w14:textId="77777777" w:rsidR="001C5C00" w:rsidRDefault="001C5C00" w:rsidP="001C5C00">
      <w:pPr>
        <w:keepNext/>
        <w:spacing w:line="480" w:lineRule="auto"/>
      </w:pPr>
      <w:r>
        <w:rPr>
          <w:rFonts w:ascii="Arial" w:hAnsi="Arial" w:cs="Arial"/>
          <w:b/>
          <w:bCs/>
          <w:noProof/>
          <w:sz w:val="24"/>
          <w:szCs w:val="24"/>
          <w:lang w:eastAsia="de-DE"/>
        </w:rPr>
        <w:drawing>
          <wp:inline distT="0" distB="0" distL="0" distR="0" wp14:anchorId="467C3B3D" wp14:editId="573014C9">
            <wp:extent cx="6912000" cy="2721600"/>
            <wp:effectExtent l="0" t="0" r="0" b="0"/>
            <wp:docPr id="3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Suppl. fig 4.tif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2000" cy="272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A19FCD" w14:textId="3CC8062C" w:rsidR="001C5C00" w:rsidRPr="00AB17CC" w:rsidRDefault="001C5C00" w:rsidP="001C5C00">
      <w:pPr>
        <w:pStyle w:val="Beschriftung"/>
        <w:spacing w:line="480" w:lineRule="auto"/>
        <w:rPr>
          <w:rFonts w:ascii="Arial" w:hAnsi="Arial" w:cs="Arial"/>
          <w:b w:val="0"/>
          <w:bCs w:val="0"/>
          <w:sz w:val="24"/>
          <w:szCs w:val="24"/>
          <w:lang w:val="en-US"/>
        </w:rPr>
      </w:pPr>
      <w:r w:rsidRPr="00BD6A6A">
        <w:rPr>
          <w:rFonts w:ascii="Arial" w:hAnsi="Arial" w:cs="Arial"/>
          <w:bCs w:val="0"/>
          <w:sz w:val="24"/>
          <w:szCs w:val="24"/>
          <w:lang w:val="en-US"/>
        </w:rPr>
        <w:t>Suppl. Fig.</w:t>
      </w:r>
      <w:r>
        <w:rPr>
          <w:rFonts w:ascii="Arial" w:hAnsi="Arial" w:cs="Arial"/>
          <w:bCs w:val="0"/>
          <w:sz w:val="24"/>
          <w:szCs w:val="24"/>
          <w:lang w:val="en-US"/>
        </w:rPr>
        <w:t xml:space="preserve"> </w:t>
      </w:r>
      <w:r w:rsidR="007F253E">
        <w:rPr>
          <w:rFonts w:ascii="Arial" w:hAnsi="Arial" w:cs="Arial"/>
          <w:bCs w:val="0"/>
          <w:sz w:val="24"/>
          <w:szCs w:val="24"/>
          <w:lang w:val="en-US"/>
        </w:rPr>
        <w:t>1</w:t>
      </w:r>
      <w:r w:rsidRPr="00BD6A6A">
        <w:rPr>
          <w:rFonts w:ascii="Arial" w:hAnsi="Arial" w:cs="Arial"/>
          <w:bCs w:val="0"/>
          <w:sz w:val="24"/>
          <w:szCs w:val="24"/>
          <w:lang w:val="en-US"/>
        </w:rPr>
        <w:tab/>
      </w:r>
      <w:r w:rsidRPr="002E21F3">
        <w:rPr>
          <w:rFonts w:ascii="Arial" w:hAnsi="Arial" w:cs="Arial"/>
          <w:bCs w:val="0"/>
          <w:sz w:val="24"/>
          <w:szCs w:val="24"/>
          <w:lang w:val="en-US"/>
        </w:rPr>
        <w:t>NK cell-specific cytotoxicity of PBMCs of 2</w:t>
      </w:r>
      <w:r w:rsidRPr="00BC3B2F">
        <w:rPr>
          <w:rFonts w:ascii="Arial" w:hAnsi="Arial" w:cs="Arial"/>
          <w:bCs w:val="0"/>
          <w:sz w:val="24"/>
          <w:szCs w:val="24"/>
          <w:vertAlign w:val="superscript"/>
          <w:lang w:val="en-US"/>
        </w:rPr>
        <w:t>nd</w:t>
      </w:r>
      <w:r w:rsidRPr="002E21F3">
        <w:rPr>
          <w:rFonts w:ascii="Arial" w:hAnsi="Arial" w:cs="Arial"/>
          <w:bCs w:val="0"/>
          <w:sz w:val="24"/>
          <w:szCs w:val="24"/>
          <w:lang w:val="en-US"/>
        </w:rPr>
        <w:t xml:space="preserve"> line STS patients is </w:t>
      </w:r>
      <w:r w:rsidR="00F1211A" w:rsidRPr="005E598C">
        <w:rPr>
          <w:rFonts w:ascii="Arial" w:hAnsi="Arial" w:cs="Arial"/>
          <w:bCs w:val="0"/>
          <w:sz w:val="24"/>
          <w:szCs w:val="24"/>
          <w:u w:val="single"/>
          <w:lang w:val="en-US"/>
        </w:rPr>
        <w:t>independent of</w:t>
      </w:r>
      <w:r w:rsidR="0087591F" w:rsidRPr="005E598C">
        <w:rPr>
          <w:rFonts w:ascii="Arial" w:hAnsi="Arial" w:cs="Arial"/>
          <w:bCs w:val="0"/>
          <w:sz w:val="24"/>
          <w:szCs w:val="24"/>
          <w:u w:val="single"/>
          <w:lang w:val="en-US"/>
        </w:rPr>
        <w:t xml:space="preserve"> the time</w:t>
      </w:r>
      <w:r w:rsidR="00B27DAB" w:rsidRPr="005E598C">
        <w:rPr>
          <w:rFonts w:ascii="Arial" w:hAnsi="Arial" w:cs="Arial"/>
          <w:bCs w:val="0"/>
          <w:sz w:val="24"/>
          <w:szCs w:val="24"/>
          <w:u w:val="single"/>
          <w:lang w:val="en-US"/>
        </w:rPr>
        <w:t xml:space="preserve"> interval</w:t>
      </w:r>
      <w:r w:rsidR="00F1211A" w:rsidRPr="005E598C">
        <w:rPr>
          <w:rFonts w:ascii="Arial" w:hAnsi="Arial" w:cs="Arial"/>
          <w:bCs w:val="0"/>
          <w:sz w:val="24"/>
          <w:szCs w:val="24"/>
          <w:u w:val="single"/>
          <w:lang w:val="en-US"/>
        </w:rPr>
        <w:t xml:space="preserve"> since last chemotherapy</w:t>
      </w:r>
      <w:r w:rsidR="0087591F" w:rsidRPr="005E598C">
        <w:rPr>
          <w:rFonts w:ascii="Arial" w:hAnsi="Arial" w:cs="Arial"/>
          <w:bCs w:val="0"/>
          <w:sz w:val="24"/>
          <w:szCs w:val="24"/>
          <w:u w:val="single"/>
          <w:lang w:val="en-US"/>
        </w:rPr>
        <w:t>, but decreases with disease progression</w:t>
      </w:r>
      <w:r w:rsidR="0087591F">
        <w:rPr>
          <w:rFonts w:ascii="Arial" w:hAnsi="Arial" w:cs="Arial"/>
          <w:bCs w:val="0"/>
          <w:sz w:val="24"/>
          <w:szCs w:val="24"/>
          <w:lang w:val="en-US"/>
        </w:rPr>
        <w:t>.</w:t>
      </w:r>
      <w:r w:rsidRPr="002E21F3">
        <w:rPr>
          <w:rFonts w:ascii="Arial" w:hAnsi="Arial" w:cs="Arial"/>
          <w:b w:val="0"/>
          <w:bCs w:val="0"/>
          <w:sz w:val="24"/>
          <w:szCs w:val="24"/>
          <w:lang w:val="en-US"/>
        </w:rPr>
        <w:t xml:space="preserve"> </w:t>
      </w:r>
      <w:r w:rsidR="00AB50ED" w:rsidRPr="005E598C">
        <w:rPr>
          <w:rFonts w:ascii="Arial" w:hAnsi="Arial" w:cs="Arial"/>
          <w:bCs w:val="0"/>
          <w:sz w:val="24"/>
          <w:szCs w:val="24"/>
          <w:lang w:val="en-US"/>
        </w:rPr>
        <w:t>(A)</w:t>
      </w:r>
      <w:r w:rsidR="00AB50ED">
        <w:rPr>
          <w:rFonts w:ascii="Arial" w:hAnsi="Arial" w:cs="Arial"/>
          <w:b w:val="0"/>
          <w:bCs w:val="0"/>
          <w:sz w:val="24"/>
          <w:szCs w:val="24"/>
          <w:lang w:val="en-US"/>
        </w:rPr>
        <w:t xml:space="preserve"> </w:t>
      </w:r>
      <w:r w:rsidRPr="002E21F3">
        <w:rPr>
          <w:rFonts w:ascii="Arial" w:hAnsi="Arial" w:cs="Arial"/>
          <w:b w:val="0"/>
          <w:bCs w:val="0"/>
          <w:sz w:val="24"/>
          <w:szCs w:val="24"/>
          <w:lang w:val="en-US"/>
        </w:rPr>
        <w:t>NK-specific cytotoxicity of PBMCs of 2</w:t>
      </w:r>
      <w:r w:rsidRPr="002E21F3">
        <w:rPr>
          <w:rFonts w:ascii="Arial" w:hAnsi="Arial" w:cs="Arial"/>
          <w:b w:val="0"/>
          <w:bCs w:val="0"/>
          <w:sz w:val="24"/>
          <w:szCs w:val="24"/>
          <w:vertAlign w:val="superscript"/>
          <w:lang w:val="en-US"/>
        </w:rPr>
        <w:t>nd</w:t>
      </w:r>
      <w:r w:rsidRPr="002E21F3">
        <w:rPr>
          <w:rFonts w:ascii="Arial" w:hAnsi="Arial" w:cs="Arial"/>
          <w:b w:val="0"/>
          <w:bCs w:val="0"/>
          <w:sz w:val="24"/>
          <w:szCs w:val="24"/>
          <w:lang w:val="en-US"/>
        </w:rPr>
        <w:t xml:space="preserve"> line STS patients with a time interval of </w:t>
      </w:r>
      <w:r w:rsidRPr="002E21F3">
        <w:rPr>
          <w:rFonts w:ascii="Arial" w:hAnsi="Arial" w:cs="Arial"/>
          <w:b w:val="0"/>
          <w:bCs w:val="0"/>
          <w:sz w:val="24"/>
          <w:szCs w:val="24"/>
          <w:lang w:val="en-US"/>
        </w:rPr>
        <w:sym w:font="Symbol" w:char="F0A3"/>
      </w:r>
      <w:r w:rsidRPr="002E21F3">
        <w:rPr>
          <w:rFonts w:ascii="Arial" w:hAnsi="Arial" w:cs="Arial"/>
          <w:b w:val="0"/>
          <w:bCs w:val="0"/>
          <w:sz w:val="24"/>
          <w:szCs w:val="24"/>
          <w:lang w:val="en-US"/>
        </w:rPr>
        <w:t xml:space="preserve"> 5 months (n=6) and &gt; 5 months (n=5) since last chemotherapeutic treatment</w:t>
      </w:r>
      <w:r w:rsidR="0087591F" w:rsidRPr="005E598C">
        <w:rPr>
          <w:rFonts w:ascii="Arial" w:hAnsi="Arial" w:cs="Arial"/>
          <w:b w:val="0"/>
          <w:bCs w:val="0"/>
          <w:sz w:val="24"/>
          <w:szCs w:val="24"/>
          <w:u w:val="single"/>
          <w:lang w:val="en-US"/>
        </w:rPr>
        <w:t xml:space="preserve">. </w:t>
      </w:r>
      <w:r w:rsidR="00B27DAB" w:rsidRPr="005E598C">
        <w:rPr>
          <w:rFonts w:ascii="Arial" w:hAnsi="Arial" w:cs="Arial"/>
          <w:b w:val="0"/>
          <w:bCs w:val="0"/>
          <w:sz w:val="24"/>
          <w:szCs w:val="24"/>
          <w:u w:val="single"/>
          <w:lang w:val="en-US"/>
        </w:rPr>
        <w:t xml:space="preserve">The red triangle marks the NK cell-specific lysis of a patient with </w:t>
      </w:r>
      <w:r w:rsidR="00B27DAB" w:rsidRPr="005E598C">
        <w:rPr>
          <w:rFonts w:ascii="Arial" w:hAnsi="Arial" w:cs="Arial"/>
          <w:b w:val="0"/>
          <w:sz w:val="24"/>
          <w:szCs w:val="24"/>
          <w:u w:val="single"/>
          <w:lang w:val="en-US"/>
        </w:rPr>
        <w:t>very late relapse of clear cell sarcoma almost 18 years after initial treatment (see discussion).</w:t>
      </w:r>
      <w:r w:rsidR="00B27DAB" w:rsidRPr="005E598C">
        <w:rPr>
          <w:rFonts w:ascii="Arial" w:hAnsi="Arial" w:cs="Arial"/>
          <w:b w:val="0"/>
          <w:bCs w:val="0"/>
          <w:sz w:val="24"/>
          <w:szCs w:val="24"/>
          <w:u w:val="single"/>
          <w:lang w:val="en-US"/>
        </w:rPr>
        <w:t xml:space="preserve"> </w:t>
      </w:r>
      <w:r w:rsidR="0087591F" w:rsidRPr="005E598C">
        <w:rPr>
          <w:rFonts w:ascii="Arial" w:hAnsi="Arial" w:cs="Arial"/>
          <w:bCs w:val="0"/>
          <w:sz w:val="24"/>
          <w:szCs w:val="24"/>
          <w:u w:val="single"/>
          <w:lang w:val="en-US"/>
        </w:rPr>
        <w:t>(B)</w:t>
      </w:r>
      <w:r w:rsidR="0087591F" w:rsidRPr="005E598C">
        <w:rPr>
          <w:rFonts w:ascii="Arial" w:hAnsi="Arial" w:cs="Arial"/>
          <w:b w:val="0"/>
          <w:bCs w:val="0"/>
          <w:sz w:val="24"/>
          <w:szCs w:val="24"/>
          <w:u w:val="single"/>
          <w:lang w:val="en-US"/>
        </w:rPr>
        <w:t xml:space="preserve"> NK-specific cytotoxicity of PBMCs of 2</w:t>
      </w:r>
      <w:r w:rsidR="0087591F" w:rsidRPr="005E598C">
        <w:rPr>
          <w:rFonts w:ascii="Arial" w:hAnsi="Arial" w:cs="Arial"/>
          <w:b w:val="0"/>
          <w:bCs w:val="0"/>
          <w:sz w:val="24"/>
          <w:szCs w:val="24"/>
          <w:u w:val="single"/>
          <w:vertAlign w:val="superscript"/>
          <w:lang w:val="en-US"/>
        </w:rPr>
        <w:t>nd</w:t>
      </w:r>
      <w:r w:rsidR="0087591F" w:rsidRPr="005E598C">
        <w:rPr>
          <w:rFonts w:ascii="Arial" w:hAnsi="Arial" w:cs="Arial"/>
          <w:b w:val="0"/>
          <w:bCs w:val="0"/>
          <w:sz w:val="24"/>
          <w:szCs w:val="24"/>
          <w:u w:val="single"/>
          <w:lang w:val="en-US"/>
        </w:rPr>
        <w:t xml:space="preserve"> line STS patients with metastatic (n=7) and non-metastatic (n=4) disease at time of blood withdrawal. </w:t>
      </w:r>
      <w:r w:rsidR="0087591F" w:rsidRPr="005E598C">
        <w:rPr>
          <w:rFonts w:ascii="Arial" w:hAnsi="Arial" w:cs="Arial"/>
          <w:bCs w:val="0"/>
          <w:sz w:val="24"/>
          <w:szCs w:val="24"/>
          <w:u w:val="single"/>
          <w:lang w:val="en-US"/>
        </w:rPr>
        <w:t>(C)</w:t>
      </w:r>
      <w:r w:rsidR="0087591F" w:rsidRPr="005E598C">
        <w:rPr>
          <w:rFonts w:ascii="Arial" w:hAnsi="Arial" w:cs="Arial"/>
          <w:b w:val="0"/>
          <w:bCs w:val="0"/>
          <w:sz w:val="24"/>
          <w:szCs w:val="24"/>
          <w:u w:val="single"/>
          <w:lang w:val="en-US"/>
        </w:rPr>
        <w:t xml:space="preserve"> NK-specific cytotoxicity of PBMCs of </w:t>
      </w:r>
      <w:r w:rsidR="00F1211A" w:rsidRPr="005E598C">
        <w:rPr>
          <w:rFonts w:ascii="Arial" w:hAnsi="Arial" w:cs="Arial"/>
          <w:b w:val="0"/>
          <w:bCs w:val="0"/>
          <w:sz w:val="24"/>
          <w:szCs w:val="24"/>
          <w:u w:val="single"/>
          <w:lang w:val="en-US"/>
        </w:rPr>
        <w:t>non-metastatic 1</w:t>
      </w:r>
      <w:r w:rsidR="00F1211A" w:rsidRPr="005E598C">
        <w:rPr>
          <w:rFonts w:ascii="Arial" w:hAnsi="Arial" w:cs="Arial"/>
          <w:b w:val="0"/>
          <w:bCs w:val="0"/>
          <w:sz w:val="24"/>
          <w:szCs w:val="24"/>
          <w:u w:val="single"/>
          <w:vertAlign w:val="superscript"/>
          <w:lang w:val="en-US"/>
        </w:rPr>
        <w:t>st</w:t>
      </w:r>
      <w:r w:rsidR="00F1211A" w:rsidRPr="005E598C">
        <w:rPr>
          <w:rFonts w:ascii="Arial" w:hAnsi="Arial" w:cs="Arial"/>
          <w:b w:val="0"/>
          <w:bCs w:val="0"/>
          <w:sz w:val="24"/>
          <w:szCs w:val="24"/>
          <w:u w:val="single"/>
          <w:lang w:val="en-US"/>
        </w:rPr>
        <w:t xml:space="preserve"> line STS patients (n=</w:t>
      </w:r>
      <w:r w:rsidR="007B0047" w:rsidRPr="005E598C">
        <w:rPr>
          <w:rFonts w:ascii="Arial" w:hAnsi="Arial" w:cs="Arial"/>
          <w:b w:val="0"/>
          <w:bCs w:val="0"/>
          <w:sz w:val="24"/>
          <w:szCs w:val="24"/>
          <w:u w:val="single"/>
          <w:lang w:val="en-US"/>
        </w:rPr>
        <w:t>13)</w:t>
      </w:r>
      <w:r w:rsidR="00F1211A" w:rsidRPr="005E598C">
        <w:rPr>
          <w:rFonts w:ascii="Arial" w:hAnsi="Arial" w:cs="Arial"/>
          <w:b w:val="0"/>
          <w:bCs w:val="0"/>
          <w:sz w:val="24"/>
          <w:szCs w:val="24"/>
          <w:u w:val="single"/>
          <w:lang w:val="en-US"/>
        </w:rPr>
        <w:t xml:space="preserve"> and non-metastatic </w:t>
      </w:r>
      <w:r w:rsidR="0087591F" w:rsidRPr="005E598C">
        <w:rPr>
          <w:rFonts w:ascii="Arial" w:hAnsi="Arial" w:cs="Arial"/>
          <w:b w:val="0"/>
          <w:bCs w:val="0"/>
          <w:sz w:val="24"/>
          <w:szCs w:val="24"/>
          <w:u w:val="single"/>
          <w:lang w:val="en-US"/>
        </w:rPr>
        <w:t>2</w:t>
      </w:r>
      <w:r w:rsidR="0087591F" w:rsidRPr="005E598C">
        <w:rPr>
          <w:rFonts w:ascii="Arial" w:hAnsi="Arial" w:cs="Arial"/>
          <w:b w:val="0"/>
          <w:bCs w:val="0"/>
          <w:sz w:val="24"/>
          <w:szCs w:val="24"/>
          <w:u w:val="single"/>
          <w:vertAlign w:val="superscript"/>
          <w:lang w:val="en-US"/>
        </w:rPr>
        <w:t>nd</w:t>
      </w:r>
      <w:r w:rsidR="0087591F" w:rsidRPr="005E598C">
        <w:rPr>
          <w:rFonts w:ascii="Arial" w:hAnsi="Arial" w:cs="Arial"/>
          <w:b w:val="0"/>
          <w:bCs w:val="0"/>
          <w:sz w:val="24"/>
          <w:szCs w:val="24"/>
          <w:u w:val="single"/>
          <w:lang w:val="en-US"/>
        </w:rPr>
        <w:t xml:space="preserve"> line STS patients (n=4). </w:t>
      </w:r>
      <w:r w:rsidR="0087591F" w:rsidRPr="005E598C">
        <w:rPr>
          <w:rFonts w:ascii="Arial" w:hAnsi="Arial" w:cs="Arial"/>
          <w:bCs w:val="0"/>
          <w:sz w:val="24"/>
          <w:szCs w:val="24"/>
          <w:u w:val="single"/>
          <w:lang w:val="en-US"/>
        </w:rPr>
        <w:t>(A-C</w:t>
      </w:r>
      <w:r w:rsidR="00AB50ED" w:rsidRPr="005E598C">
        <w:rPr>
          <w:rFonts w:ascii="Arial" w:hAnsi="Arial" w:cs="Arial"/>
          <w:bCs w:val="0"/>
          <w:sz w:val="24"/>
          <w:szCs w:val="24"/>
          <w:u w:val="single"/>
          <w:lang w:val="en-US"/>
        </w:rPr>
        <w:t>)</w:t>
      </w:r>
      <w:r w:rsidR="00AB50ED" w:rsidRPr="005E598C">
        <w:rPr>
          <w:rFonts w:ascii="Arial" w:hAnsi="Arial" w:cs="Arial"/>
          <w:b w:val="0"/>
          <w:bCs w:val="0"/>
          <w:sz w:val="24"/>
          <w:szCs w:val="24"/>
          <w:u w:val="single"/>
          <w:lang w:val="en-US"/>
        </w:rPr>
        <w:t xml:space="preserve"> Cytotoxicity was assessed </w:t>
      </w:r>
      <w:r w:rsidRPr="002E21F3">
        <w:rPr>
          <w:rFonts w:ascii="Arial" w:hAnsi="Arial" w:cs="Arial"/>
          <w:b w:val="0"/>
          <w:bCs w:val="0"/>
          <w:sz w:val="24"/>
          <w:szCs w:val="24"/>
          <w:lang w:val="en-US"/>
        </w:rPr>
        <w:t xml:space="preserve">against radiolabeled K562 target cells </w:t>
      </w:r>
      <w:r w:rsidR="00F1211A">
        <w:rPr>
          <w:rFonts w:ascii="Arial" w:hAnsi="Arial" w:cs="Arial"/>
          <w:b w:val="0"/>
          <w:bCs w:val="0"/>
          <w:sz w:val="24"/>
          <w:szCs w:val="24"/>
          <w:lang w:val="en-US"/>
        </w:rPr>
        <w:t>using</w:t>
      </w:r>
      <w:r w:rsidR="008E58AE">
        <w:rPr>
          <w:rFonts w:ascii="Arial" w:hAnsi="Arial" w:cs="Arial"/>
          <w:b w:val="0"/>
          <w:bCs w:val="0"/>
          <w:sz w:val="24"/>
          <w:szCs w:val="24"/>
          <w:lang w:val="en-US"/>
        </w:rPr>
        <w:t xml:space="preserve"> the</w:t>
      </w:r>
      <w:r w:rsidRPr="002E21F3">
        <w:rPr>
          <w:rFonts w:ascii="Arial" w:hAnsi="Arial" w:cs="Arial"/>
          <w:b w:val="0"/>
          <w:bCs w:val="0"/>
          <w:sz w:val="24"/>
          <w:szCs w:val="24"/>
          <w:lang w:val="en-US"/>
        </w:rPr>
        <w:t xml:space="preserve"> 4h </w:t>
      </w:r>
      <w:r w:rsidRPr="002E21F3">
        <w:rPr>
          <w:rFonts w:ascii="Arial" w:hAnsi="Arial" w:cs="Arial"/>
          <w:b w:val="0"/>
          <w:bCs w:val="0"/>
          <w:sz w:val="24"/>
          <w:szCs w:val="24"/>
          <w:vertAlign w:val="superscript"/>
          <w:lang w:val="en-US"/>
        </w:rPr>
        <w:t>51</w:t>
      </w:r>
      <w:r w:rsidRPr="002E21F3">
        <w:rPr>
          <w:rFonts w:ascii="Arial" w:hAnsi="Arial" w:cs="Arial"/>
          <w:b w:val="0"/>
          <w:bCs w:val="0"/>
          <w:sz w:val="24"/>
          <w:szCs w:val="24"/>
          <w:lang w:val="en-US"/>
        </w:rPr>
        <w:t>Cr release assay. PBMC/K562 ratio was 20:1 for all experiments. Box plots represent the median, .75 and .25 percentiles, with whiskers showing minimum and maximum values. Each symbol corresponds to one sample.</w:t>
      </w:r>
      <w:r>
        <w:rPr>
          <w:rFonts w:ascii="Arial" w:hAnsi="Arial" w:cs="Arial"/>
          <w:b w:val="0"/>
          <w:bCs w:val="0"/>
          <w:sz w:val="24"/>
          <w:szCs w:val="24"/>
          <w:lang w:val="en-US"/>
        </w:rPr>
        <w:t xml:space="preserve"> </w:t>
      </w:r>
      <w:r w:rsidR="00FB4C59">
        <w:rPr>
          <w:rFonts w:ascii="Arial" w:hAnsi="Arial" w:cs="Arial"/>
          <w:b w:val="0"/>
          <w:bCs w:val="0"/>
          <w:sz w:val="24"/>
          <w:szCs w:val="24"/>
          <w:lang w:val="en-US"/>
        </w:rPr>
        <w:t>For statistical analysis,</w:t>
      </w:r>
      <w:r w:rsidRPr="002E21F3">
        <w:rPr>
          <w:rFonts w:ascii="Arial" w:hAnsi="Arial" w:cs="Arial"/>
          <w:b w:val="0"/>
          <w:bCs w:val="0"/>
          <w:sz w:val="24"/>
          <w:szCs w:val="24"/>
          <w:lang w:val="en-US"/>
        </w:rPr>
        <w:t xml:space="preserve"> Mann-Whitney-U test was used.</w:t>
      </w:r>
    </w:p>
    <w:p w14:paraId="6706380D" w14:textId="6185EE04" w:rsidR="008B6718" w:rsidRDefault="00851455" w:rsidP="00851455">
      <w:pPr>
        <w:spacing w:line="480" w:lineRule="auto"/>
        <w:rPr>
          <w:rFonts w:ascii="Arial" w:hAnsi="Arial" w:cs="Arial"/>
          <w:b/>
          <w:sz w:val="24"/>
          <w:szCs w:val="24"/>
          <w:lang w:val="en-US"/>
        </w:rPr>
      </w:pPr>
      <w:r w:rsidRPr="00851455">
        <w:rPr>
          <w:rFonts w:ascii="Arial" w:hAnsi="Arial" w:cs="Arial"/>
          <w:b/>
          <w:sz w:val="24"/>
          <w:szCs w:val="24"/>
          <w:lang w:val="en-US"/>
        </w:rPr>
        <w:t xml:space="preserve"> </w:t>
      </w:r>
    </w:p>
    <w:p w14:paraId="1ADE0DAC" w14:textId="6CE99AA6" w:rsidR="00BD6A6A" w:rsidRDefault="00914EC9" w:rsidP="005A28E3">
      <w:pPr>
        <w:spacing w:after="0" w:line="240" w:lineRule="auto"/>
      </w:pPr>
      <w:r>
        <w:rPr>
          <w:noProof/>
          <w:lang w:eastAsia="de-DE"/>
        </w:rPr>
        <w:lastRenderedPageBreak/>
        <w:drawing>
          <wp:inline distT="0" distB="0" distL="0" distR="0" wp14:anchorId="58E20AE3" wp14:editId="42B5C216">
            <wp:extent cx="5731510" cy="7637780"/>
            <wp:effectExtent l="0" t="0" r="8890" b="7620"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l. Fig 1.tif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63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ECD482" w14:textId="34AE2830" w:rsidR="000A0F19" w:rsidRPr="00BD6A6A" w:rsidRDefault="00BD6A6A" w:rsidP="00BD6A6A">
      <w:pPr>
        <w:spacing w:after="0" w:line="480" w:lineRule="auto"/>
        <w:rPr>
          <w:rFonts w:ascii="Arial" w:hAnsi="Arial" w:cs="Arial"/>
          <w:b/>
          <w:sz w:val="24"/>
          <w:szCs w:val="24"/>
          <w:lang w:val="en-US"/>
        </w:rPr>
      </w:pPr>
      <w:r w:rsidRPr="00BD6A6A">
        <w:rPr>
          <w:rFonts w:ascii="Arial" w:hAnsi="Arial" w:cs="Arial"/>
          <w:b/>
          <w:sz w:val="24"/>
          <w:szCs w:val="24"/>
          <w:lang w:val="en-US"/>
        </w:rPr>
        <w:t xml:space="preserve">Suppl. Fig. </w:t>
      </w:r>
      <w:r w:rsidR="001C5C00">
        <w:rPr>
          <w:rFonts w:ascii="Arial" w:hAnsi="Arial" w:cs="Arial"/>
          <w:b/>
          <w:sz w:val="24"/>
          <w:szCs w:val="24"/>
          <w:lang w:val="en-US"/>
        </w:rPr>
        <w:t>2</w:t>
      </w:r>
      <w:r w:rsidRPr="00AB17CC">
        <w:rPr>
          <w:lang w:val="en-US"/>
        </w:rPr>
        <w:tab/>
      </w:r>
      <w:r w:rsidR="00FB4C59" w:rsidRPr="005A28E3">
        <w:rPr>
          <w:rFonts w:ascii="Arial" w:hAnsi="Arial" w:cs="Arial"/>
          <w:b/>
          <w:sz w:val="24"/>
          <w:szCs w:val="24"/>
          <w:lang w:val="en-US"/>
        </w:rPr>
        <w:t>(A)</w:t>
      </w:r>
      <w:r w:rsidR="00FB4C59" w:rsidRPr="005A28E3">
        <w:rPr>
          <w:rFonts w:ascii="Arial" w:hAnsi="Arial" w:cs="Arial"/>
          <w:sz w:val="24"/>
          <w:szCs w:val="24"/>
          <w:lang w:val="en-US"/>
        </w:rPr>
        <w:t xml:space="preserve"> NK cell identification by gating CD3</w:t>
      </w:r>
      <w:r w:rsidR="00FB4C59" w:rsidRPr="005A28E3">
        <w:rPr>
          <w:rFonts w:ascii="Arial" w:hAnsi="Arial" w:cs="Arial"/>
          <w:sz w:val="24"/>
          <w:szCs w:val="24"/>
          <w:vertAlign w:val="superscript"/>
          <w:lang w:val="en-US"/>
        </w:rPr>
        <w:t>-</w:t>
      </w:r>
      <w:r w:rsidR="00FB4C59" w:rsidRPr="005A28E3">
        <w:rPr>
          <w:rFonts w:ascii="Arial" w:hAnsi="Arial" w:cs="Arial"/>
          <w:sz w:val="24"/>
          <w:szCs w:val="24"/>
          <w:lang w:val="en-US"/>
        </w:rPr>
        <w:t>CD56</w:t>
      </w:r>
      <w:r w:rsidR="00FB4C59" w:rsidRPr="005A28E3">
        <w:rPr>
          <w:rFonts w:ascii="Arial" w:hAnsi="Arial" w:cs="Arial"/>
          <w:sz w:val="24"/>
          <w:szCs w:val="24"/>
          <w:vertAlign w:val="superscript"/>
          <w:lang w:val="en-US"/>
        </w:rPr>
        <w:t>+</w:t>
      </w:r>
      <w:r w:rsidR="00FB4C59" w:rsidRPr="005A28E3">
        <w:rPr>
          <w:rFonts w:ascii="Arial" w:hAnsi="Arial" w:cs="Arial"/>
          <w:sz w:val="24"/>
          <w:szCs w:val="24"/>
          <w:lang w:val="en-US"/>
        </w:rPr>
        <w:t xml:space="preserve"> cells among live single PBMCs</w:t>
      </w:r>
      <w:r w:rsidR="00FB4C59">
        <w:rPr>
          <w:rFonts w:ascii="Arial" w:hAnsi="Arial" w:cs="Arial"/>
          <w:sz w:val="24"/>
          <w:szCs w:val="24"/>
          <w:lang w:val="en-US"/>
        </w:rPr>
        <w:t xml:space="preserve">. </w:t>
      </w:r>
      <w:r w:rsidR="00FB4C59" w:rsidRPr="005A28E3">
        <w:rPr>
          <w:rFonts w:ascii="Arial" w:hAnsi="Arial" w:cs="Arial"/>
          <w:b/>
          <w:sz w:val="24"/>
          <w:szCs w:val="24"/>
          <w:lang w:val="en-US"/>
        </w:rPr>
        <w:t>(</w:t>
      </w:r>
      <w:r w:rsidR="00C662F9" w:rsidRPr="009741DB">
        <w:rPr>
          <w:rFonts w:ascii="Arial" w:hAnsi="Arial" w:cs="Arial"/>
          <w:b/>
          <w:sz w:val="24"/>
          <w:szCs w:val="24"/>
          <w:lang w:val="en-US"/>
        </w:rPr>
        <w:t>B</w:t>
      </w:r>
      <w:r w:rsidR="00FB4C59" w:rsidRPr="005A28E3">
        <w:rPr>
          <w:rFonts w:ascii="Arial" w:hAnsi="Arial" w:cs="Arial"/>
          <w:b/>
          <w:sz w:val="24"/>
          <w:szCs w:val="24"/>
          <w:lang w:val="en-US"/>
        </w:rPr>
        <w:t>)</w:t>
      </w:r>
      <w:r w:rsidR="00C662F9" w:rsidRPr="005A28E3">
        <w:rPr>
          <w:rFonts w:ascii="Arial" w:hAnsi="Arial" w:cs="Arial"/>
          <w:sz w:val="24"/>
          <w:szCs w:val="24"/>
          <w:lang w:val="en-US"/>
        </w:rPr>
        <w:t xml:space="preserve"> </w:t>
      </w:r>
      <w:r w:rsidR="00FB4C59">
        <w:rPr>
          <w:rFonts w:ascii="Arial" w:hAnsi="Arial" w:cs="Arial"/>
          <w:sz w:val="24"/>
          <w:szCs w:val="24"/>
          <w:lang w:val="en-US"/>
        </w:rPr>
        <w:t>NK cell subset identification exemplified by repre</w:t>
      </w:r>
      <w:r w:rsidR="00C662F9" w:rsidRPr="00FB4C59">
        <w:rPr>
          <w:rFonts w:ascii="Arial" w:hAnsi="Arial" w:cs="Arial"/>
          <w:sz w:val="24"/>
          <w:szCs w:val="24"/>
          <w:lang w:val="en-US"/>
        </w:rPr>
        <w:t xml:space="preserve">sentative </w:t>
      </w:r>
      <w:r w:rsidR="009741DB">
        <w:rPr>
          <w:rFonts w:ascii="Arial" w:hAnsi="Arial" w:cs="Arial"/>
          <w:sz w:val="24"/>
          <w:szCs w:val="24"/>
          <w:lang w:val="en-US"/>
        </w:rPr>
        <w:t>dot plots</w:t>
      </w:r>
      <w:r w:rsidR="00C662F9" w:rsidRPr="00FB4C59">
        <w:rPr>
          <w:rFonts w:ascii="Arial" w:hAnsi="Arial" w:cs="Arial"/>
          <w:sz w:val="24"/>
          <w:szCs w:val="24"/>
          <w:lang w:val="en-US"/>
        </w:rPr>
        <w:t xml:space="preserve"> of HD, 1</w:t>
      </w:r>
      <w:r w:rsidR="00C662F9" w:rsidRPr="005A28E3">
        <w:rPr>
          <w:rFonts w:ascii="Arial" w:hAnsi="Arial" w:cs="Arial"/>
          <w:sz w:val="24"/>
          <w:szCs w:val="24"/>
          <w:vertAlign w:val="superscript"/>
          <w:lang w:val="en-US"/>
        </w:rPr>
        <w:t>st</w:t>
      </w:r>
      <w:r w:rsidR="00C662F9" w:rsidRPr="00FB4C59">
        <w:rPr>
          <w:rFonts w:ascii="Arial" w:hAnsi="Arial" w:cs="Arial"/>
          <w:sz w:val="24"/>
          <w:szCs w:val="24"/>
          <w:lang w:val="en-US"/>
        </w:rPr>
        <w:t>, 2</w:t>
      </w:r>
      <w:r w:rsidR="00C662F9" w:rsidRPr="005A28E3">
        <w:rPr>
          <w:rFonts w:ascii="Arial" w:hAnsi="Arial" w:cs="Arial"/>
          <w:sz w:val="24"/>
          <w:szCs w:val="24"/>
          <w:vertAlign w:val="superscript"/>
          <w:lang w:val="en-US"/>
        </w:rPr>
        <w:t>nd</w:t>
      </w:r>
      <w:r w:rsidR="00C662F9" w:rsidRPr="00FB4C59">
        <w:rPr>
          <w:rFonts w:ascii="Arial" w:hAnsi="Arial" w:cs="Arial"/>
          <w:sz w:val="24"/>
          <w:szCs w:val="24"/>
          <w:lang w:val="en-US"/>
        </w:rPr>
        <w:t xml:space="preserve"> line STS and RCC patients.</w:t>
      </w:r>
      <w:r w:rsidR="00C662F9">
        <w:rPr>
          <w:rFonts w:ascii="Arial" w:hAnsi="Arial" w:cs="Arial"/>
          <w:sz w:val="24"/>
          <w:szCs w:val="24"/>
          <w:lang w:val="en-US"/>
        </w:rPr>
        <w:t xml:space="preserve"> </w:t>
      </w:r>
      <w:r w:rsidR="000A0F19" w:rsidRPr="00AB17CC">
        <w:rPr>
          <w:rFonts w:ascii="Arial" w:hAnsi="Arial" w:cs="Arial"/>
          <w:b/>
          <w:sz w:val="24"/>
          <w:szCs w:val="24"/>
          <w:lang w:val="en-US"/>
        </w:rPr>
        <w:br w:type="page"/>
      </w:r>
    </w:p>
    <w:p w14:paraId="20EBF240" w14:textId="77777777" w:rsidR="00BD6A6A" w:rsidRDefault="000A0F19" w:rsidP="00BD6A6A">
      <w:pPr>
        <w:keepNext/>
        <w:spacing w:after="0" w:line="240" w:lineRule="auto"/>
      </w:pPr>
      <w:r>
        <w:rPr>
          <w:rFonts w:ascii="Arial" w:hAnsi="Arial" w:cs="Arial"/>
          <w:bCs/>
          <w:noProof/>
          <w:sz w:val="24"/>
          <w:szCs w:val="24"/>
          <w:lang w:eastAsia="de-DE"/>
        </w:rPr>
        <w:lastRenderedPageBreak/>
        <w:drawing>
          <wp:inline distT="0" distB="0" distL="0" distR="0" wp14:anchorId="1814DA8C" wp14:editId="51096A18">
            <wp:extent cx="3150000" cy="6404400"/>
            <wp:effectExtent l="0" t="0" r="0" b="0"/>
            <wp:docPr id="16" name="Bild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Suppl. fig 3.tif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0000" cy="640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84BC42" w14:textId="36B9FA88" w:rsidR="00BD6A6A" w:rsidRPr="00851455" w:rsidRDefault="00BD6A6A" w:rsidP="00BD6A6A">
      <w:pPr>
        <w:spacing w:after="0" w:line="480" w:lineRule="auto"/>
        <w:rPr>
          <w:rFonts w:ascii="Arial" w:hAnsi="Arial" w:cs="Arial"/>
          <w:sz w:val="24"/>
          <w:szCs w:val="24"/>
          <w:lang w:val="en-US"/>
        </w:rPr>
      </w:pPr>
      <w:r w:rsidRPr="00BD6A6A">
        <w:rPr>
          <w:rFonts w:ascii="Arial" w:eastAsia="MS Mincho" w:hAnsi="Arial" w:cs="Arial"/>
          <w:b/>
          <w:bCs/>
          <w:sz w:val="24"/>
          <w:szCs w:val="24"/>
          <w:lang w:val="en-US" w:eastAsia="de-DE"/>
        </w:rPr>
        <w:t xml:space="preserve">Suppl. Fig. </w:t>
      </w:r>
      <w:r w:rsidRPr="00BD6A6A">
        <w:rPr>
          <w:rFonts w:ascii="Arial" w:eastAsia="MS Mincho" w:hAnsi="Arial" w:cs="Arial"/>
          <w:b/>
          <w:bCs/>
          <w:sz w:val="24"/>
          <w:szCs w:val="24"/>
          <w:lang w:val="en-US" w:eastAsia="de-DE"/>
        </w:rPr>
        <w:fldChar w:fldCharType="begin"/>
      </w:r>
      <w:r w:rsidRPr="00BD6A6A">
        <w:rPr>
          <w:rFonts w:ascii="Arial" w:eastAsia="MS Mincho" w:hAnsi="Arial" w:cs="Arial"/>
          <w:b/>
          <w:bCs/>
          <w:sz w:val="24"/>
          <w:szCs w:val="24"/>
          <w:lang w:val="en-US" w:eastAsia="de-DE"/>
        </w:rPr>
        <w:instrText xml:space="preserve"> SEQ Suppl._Fig. \* ARABIC </w:instrText>
      </w:r>
      <w:r w:rsidRPr="00BD6A6A">
        <w:rPr>
          <w:rFonts w:ascii="Arial" w:eastAsia="MS Mincho" w:hAnsi="Arial" w:cs="Arial"/>
          <w:b/>
          <w:bCs/>
          <w:sz w:val="24"/>
          <w:szCs w:val="24"/>
          <w:lang w:val="en-US" w:eastAsia="de-DE"/>
        </w:rPr>
        <w:fldChar w:fldCharType="separate"/>
      </w:r>
      <w:r w:rsidRPr="00BD6A6A">
        <w:rPr>
          <w:rFonts w:ascii="Arial" w:eastAsia="MS Mincho" w:hAnsi="Arial" w:cs="Arial"/>
          <w:b/>
          <w:bCs/>
          <w:sz w:val="24"/>
          <w:szCs w:val="24"/>
          <w:lang w:val="en-US" w:eastAsia="de-DE"/>
        </w:rPr>
        <w:t>3</w:t>
      </w:r>
      <w:r w:rsidRPr="00BD6A6A">
        <w:rPr>
          <w:rFonts w:ascii="Arial" w:eastAsia="MS Mincho" w:hAnsi="Arial" w:cs="Arial"/>
          <w:b/>
          <w:bCs/>
          <w:sz w:val="24"/>
          <w:szCs w:val="24"/>
          <w:lang w:val="en-US" w:eastAsia="de-DE"/>
        </w:rPr>
        <w:fldChar w:fldCharType="end"/>
      </w:r>
      <w:r w:rsidRPr="00AB17CC">
        <w:rPr>
          <w:lang w:val="en-US"/>
        </w:rPr>
        <w:tab/>
      </w:r>
      <w:r w:rsidRPr="002E21F3">
        <w:rPr>
          <w:rFonts w:ascii="Arial" w:eastAsia="MS Mincho" w:hAnsi="Arial" w:cs="Arial"/>
          <w:b/>
          <w:bCs/>
          <w:sz w:val="24"/>
          <w:szCs w:val="24"/>
          <w:lang w:val="en-US" w:eastAsia="de-DE"/>
        </w:rPr>
        <w:t>NK-specific cytotoxicity, normalized to the percentage of NK cells among PBMCs, differs significantly between HD and STS patients. (A)</w:t>
      </w:r>
      <w:r w:rsidRPr="002E21F3">
        <w:rPr>
          <w:rFonts w:ascii="Arial" w:eastAsia="MS Mincho" w:hAnsi="Arial" w:cs="Arial"/>
          <w:bCs/>
          <w:sz w:val="24"/>
          <w:szCs w:val="24"/>
          <w:lang w:val="en-US" w:eastAsia="de-DE"/>
        </w:rPr>
        <w:t xml:space="preserve"> NK-specific cytotoxicity of PBMCs of healthy donors (HD, n=8), 1</w:t>
      </w:r>
      <w:r w:rsidRPr="002E21F3">
        <w:rPr>
          <w:rFonts w:ascii="Arial" w:eastAsia="MS Mincho" w:hAnsi="Arial" w:cs="Arial"/>
          <w:bCs/>
          <w:sz w:val="24"/>
          <w:szCs w:val="24"/>
          <w:vertAlign w:val="superscript"/>
          <w:lang w:val="en-US" w:eastAsia="de-DE"/>
        </w:rPr>
        <w:t>st</w:t>
      </w:r>
      <w:r w:rsidRPr="002E21F3">
        <w:rPr>
          <w:rFonts w:ascii="Arial" w:eastAsia="MS Mincho" w:hAnsi="Arial" w:cs="Arial"/>
          <w:bCs/>
          <w:sz w:val="24"/>
          <w:szCs w:val="24"/>
          <w:lang w:val="en-US" w:eastAsia="de-DE"/>
        </w:rPr>
        <w:t xml:space="preserve"> line STS patients (n=6), 2</w:t>
      </w:r>
      <w:r w:rsidRPr="002E21F3">
        <w:rPr>
          <w:rFonts w:ascii="Arial" w:eastAsia="MS Mincho" w:hAnsi="Arial" w:cs="Arial"/>
          <w:bCs/>
          <w:sz w:val="24"/>
          <w:szCs w:val="24"/>
          <w:vertAlign w:val="superscript"/>
          <w:lang w:val="en-US" w:eastAsia="de-DE"/>
        </w:rPr>
        <w:t>nd</w:t>
      </w:r>
      <w:r w:rsidRPr="002E21F3">
        <w:rPr>
          <w:rFonts w:ascii="Arial" w:eastAsia="MS Mincho" w:hAnsi="Arial" w:cs="Arial"/>
          <w:bCs/>
          <w:sz w:val="24"/>
          <w:szCs w:val="24"/>
          <w:lang w:val="en-US" w:eastAsia="de-DE"/>
        </w:rPr>
        <w:t xml:space="preserve"> line STS patients (n=5) and RCC patients (n=4) against radiolabeled K562 target cells was assessed by 4h </w:t>
      </w:r>
      <w:r w:rsidRPr="002E21F3">
        <w:rPr>
          <w:rFonts w:ascii="Arial" w:eastAsia="MS Mincho" w:hAnsi="Arial" w:cs="Arial"/>
          <w:bCs/>
          <w:sz w:val="24"/>
          <w:szCs w:val="24"/>
          <w:vertAlign w:val="superscript"/>
          <w:lang w:val="en-US" w:eastAsia="de-DE"/>
        </w:rPr>
        <w:t>51</w:t>
      </w:r>
      <w:r w:rsidRPr="002E21F3">
        <w:rPr>
          <w:rFonts w:ascii="Arial" w:eastAsia="MS Mincho" w:hAnsi="Arial" w:cs="Arial"/>
          <w:bCs/>
          <w:sz w:val="24"/>
          <w:szCs w:val="24"/>
          <w:lang w:val="en-US" w:eastAsia="de-DE"/>
        </w:rPr>
        <w:t>Cr release assay and normalized to the percentage of CD3</w:t>
      </w:r>
      <w:r w:rsidRPr="002E21F3">
        <w:rPr>
          <w:rFonts w:ascii="Arial" w:eastAsia="MS Mincho" w:hAnsi="Arial" w:cs="Arial"/>
          <w:bCs/>
          <w:sz w:val="24"/>
          <w:szCs w:val="24"/>
          <w:vertAlign w:val="superscript"/>
          <w:lang w:val="en-US" w:eastAsia="de-DE"/>
        </w:rPr>
        <w:t>-</w:t>
      </w:r>
      <w:r w:rsidRPr="002E21F3">
        <w:rPr>
          <w:rFonts w:ascii="Arial" w:eastAsia="MS Mincho" w:hAnsi="Arial" w:cs="Arial"/>
          <w:bCs/>
          <w:sz w:val="24"/>
          <w:szCs w:val="24"/>
          <w:lang w:val="en-US" w:eastAsia="de-DE"/>
        </w:rPr>
        <w:t>CD56</w:t>
      </w:r>
      <w:r w:rsidRPr="002E21F3">
        <w:rPr>
          <w:rFonts w:ascii="Arial" w:eastAsia="MS Mincho" w:hAnsi="Arial" w:cs="Arial"/>
          <w:bCs/>
          <w:sz w:val="24"/>
          <w:szCs w:val="24"/>
          <w:vertAlign w:val="superscript"/>
          <w:lang w:val="en-US" w:eastAsia="de-DE"/>
        </w:rPr>
        <w:t>+</w:t>
      </w:r>
      <w:r w:rsidRPr="002E21F3">
        <w:rPr>
          <w:rFonts w:ascii="Arial" w:eastAsia="MS Mincho" w:hAnsi="Arial" w:cs="Arial"/>
          <w:bCs/>
          <w:sz w:val="24"/>
          <w:szCs w:val="24"/>
          <w:lang w:val="en-US" w:eastAsia="de-DE"/>
        </w:rPr>
        <w:t xml:space="preserve"> NK cells among PBMCs (as assessed by polychromatic flow cytometry). </w:t>
      </w:r>
      <w:r w:rsidRPr="002E21F3">
        <w:rPr>
          <w:rFonts w:ascii="Arial" w:eastAsia="MS Mincho" w:hAnsi="Arial" w:cs="Arial"/>
          <w:b/>
          <w:bCs/>
          <w:sz w:val="24"/>
          <w:szCs w:val="24"/>
          <w:lang w:val="en-US" w:eastAsia="de-DE"/>
        </w:rPr>
        <w:t>(B)</w:t>
      </w:r>
      <w:r w:rsidRPr="002E21F3">
        <w:rPr>
          <w:rFonts w:ascii="Arial" w:eastAsia="MS Mincho" w:hAnsi="Arial" w:cs="Arial"/>
          <w:bCs/>
          <w:sz w:val="24"/>
          <w:szCs w:val="24"/>
          <w:lang w:val="en-US" w:eastAsia="de-DE"/>
        </w:rPr>
        <w:t xml:space="preserve"> NK-specific cytotoxicity of </w:t>
      </w:r>
      <w:r w:rsidR="00EB18C9">
        <w:rPr>
          <w:rFonts w:ascii="Arial" w:eastAsia="MS Mincho" w:hAnsi="Arial" w:cs="Arial"/>
          <w:bCs/>
          <w:sz w:val="24"/>
          <w:szCs w:val="24"/>
          <w:lang w:val="en-US" w:eastAsia="de-DE"/>
        </w:rPr>
        <w:t>PBMCs of healthy donors (HD, n=8</w:t>
      </w:r>
      <w:r w:rsidRPr="002E21F3">
        <w:rPr>
          <w:rFonts w:ascii="Arial" w:eastAsia="MS Mincho" w:hAnsi="Arial" w:cs="Arial"/>
          <w:bCs/>
          <w:sz w:val="24"/>
          <w:szCs w:val="24"/>
          <w:lang w:val="en-US" w:eastAsia="de-DE"/>
        </w:rPr>
        <w:t xml:space="preserve">), </w:t>
      </w:r>
      <w:r w:rsidRPr="002E21F3">
        <w:rPr>
          <w:rFonts w:ascii="Arial" w:eastAsia="MS Mincho" w:hAnsi="Arial" w:cs="Arial"/>
          <w:bCs/>
          <w:sz w:val="24"/>
          <w:szCs w:val="24"/>
          <w:lang w:val="en-US" w:eastAsia="de-DE"/>
        </w:rPr>
        <w:lastRenderedPageBreak/>
        <w:t>1</w:t>
      </w:r>
      <w:r w:rsidRPr="002E21F3">
        <w:rPr>
          <w:rFonts w:ascii="Arial" w:eastAsia="MS Mincho" w:hAnsi="Arial" w:cs="Arial"/>
          <w:bCs/>
          <w:sz w:val="24"/>
          <w:szCs w:val="24"/>
          <w:vertAlign w:val="superscript"/>
          <w:lang w:val="en-US" w:eastAsia="de-DE"/>
        </w:rPr>
        <w:t xml:space="preserve">st </w:t>
      </w:r>
      <w:r w:rsidRPr="002E21F3">
        <w:rPr>
          <w:rFonts w:ascii="Arial" w:eastAsia="MS Mincho" w:hAnsi="Arial" w:cs="Arial"/>
          <w:bCs/>
          <w:sz w:val="24"/>
          <w:szCs w:val="24"/>
          <w:lang w:val="en-US" w:eastAsia="de-DE"/>
        </w:rPr>
        <w:t>line STS patients (n=6), 2</w:t>
      </w:r>
      <w:r w:rsidRPr="002E21F3">
        <w:rPr>
          <w:rFonts w:ascii="Arial" w:eastAsia="MS Mincho" w:hAnsi="Arial" w:cs="Arial"/>
          <w:bCs/>
          <w:sz w:val="24"/>
          <w:szCs w:val="24"/>
          <w:vertAlign w:val="superscript"/>
          <w:lang w:val="en-US" w:eastAsia="de-DE"/>
        </w:rPr>
        <w:t>nd</w:t>
      </w:r>
      <w:r w:rsidRPr="002E21F3">
        <w:rPr>
          <w:rFonts w:ascii="Arial" w:eastAsia="MS Mincho" w:hAnsi="Arial" w:cs="Arial"/>
          <w:bCs/>
          <w:sz w:val="24"/>
          <w:szCs w:val="24"/>
          <w:lang w:val="en-US" w:eastAsia="de-DE"/>
        </w:rPr>
        <w:t xml:space="preserve"> line STS patients (n=5) and RCC patients (n=4) against radiolabeled K562 target cells was assessed by 4h </w:t>
      </w:r>
      <w:r w:rsidRPr="002E21F3">
        <w:rPr>
          <w:rFonts w:ascii="Arial" w:eastAsia="MS Mincho" w:hAnsi="Arial" w:cs="Arial"/>
          <w:bCs/>
          <w:sz w:val="24"/>
          <w:szCs w:val="24"/>
          <w:vertAlign w:val="superscript"/>
          <w:lang w:val="en-US" w:eastAsia="de-DE"/>
        </w:rPr>
        <w:t>51</w:t>
      </w:r>
      <w:r w:rsidRPr="002E21F3">
        <w:rPr>
          <w:rFonts w:ascii="Arial" w:eastAsia="MS Mincho" w:hAnsi="Arial" w:cs="Arial"/>
          <w:bCs/>
          <w:sz w:val="24"/>
          <w:szCs w:val="24"/>
          <w:lang w:val="en-US" w:eastAsia="de-DE"/>
        </w:rPr>
        <w:t>Cr release assay and normalized to the percentage of CD3</w:t>
      </w:r>
      <w:r w:rsidRPr="002E21F3">
        <w:rPr>
          <w:rFonts w:ascii="Arial" w:eastAsia="MS Mincho" w:hAnsi="Arial" w:cs="Arial"/>
          <w:bCs/>
          <w:sz w:val="24"/>
          <w:szCs w:val="24"/>
          <w:vertAlign w:val="superscript"/>
          <w:lang w:val="en-US" w:eastAsia="de-DE"/>
        </w:rPr>
        <w:t>-</w:t>
      </w:r>
      <w:r w:rsidRPr="002E21F3">
        <w:rPr>
          <w:rFonts w:ascii="Arial" w:eastAsia="MS Mincho" w:hAnsi="Arial" w:cs="Arial"/>
          <w:bCs/>
          <w:sz w:val="24"/>
          <w:szCs w:val="24"/>
          <w:lang w:val="en-US" w:eastAsia="de-DE"/>
        </w:rPr>
        <w:t>CD56</w:t>
      </w:r>
      <w:r w:rsidRPr="002E21F3">
        <w:rPr>
          <w:rFonts w:ascii="Arial" w:eastAsia="MS Mincho" w:hAnsi="Arial" w:cs="Arial"/>
          <w:bCs/>
          <w:sz w:val="24"/>
          <w:szCs w:val="24"/>
          <w:vertAlign w:val="superscript"/>
          <w:lang w:val="en-US" w:eastAsia="de-DE"/>
        </w:rPr>
        <w:t>dim</w:t>
      </w:r>
      <w:r w:rsidRPr="002E21F3">
        <w:rPr>
          <w:rFonts w:ascii="Arial" w:eastAsia="MS Mincho" w:hAnsi="Arial" w:cs="Arial"/>
          <w:bCs/>
          <w:sz w:val="24"/>
          <w:szCs w:val="24"/>
          <w:lang w:val="en-US" w:eastAsia="de-DE"/>
        </w:rPr>
        <w:t xml:space="preserve"> NK cells among PBMCs (as assessed by polychromatic flow cytometry). </w:t>
      </w:r>
      <w:r w:rsidRPr="002E21F3">
        <w:rPr>
          <w:rFonts w:ascii="Arial" w:eastAsia="MS Mincho" w:hAnsi="Arial" w:cs="Arial"/>
          <w:b/>
          <w:bCs/>
          <w:sz w:val="24"/>
          <w:szCs w:val="24"/>
          <w:lang w:val="en-US" w:eastAsia="de-DE"/>
        </w:rPr>
        <w:t>(A, B)</w:t>
      </w:r>
      <w:r w:rsidRPr="002E21F3">
        <w:rPr>
          <w:rFonts w:ascii="Arial" w:eastAsia="MS Mincho" w:hAnsi="Arial" w:cs="Arial"/>
          <w:bCs/>
          <w:sz w:val="24"/>
          <w:szCs w:val="24"/>
          <w:lang w:val="en-US" w:eastAsia="de-DE"/>
        </w:rPr>
        <w:t xml:space="preserve"> PBMC/K562 ratio was 20:1 for all experiments. Box plots represent the median, .75 and .25 percentiles, with whiskers showing minimum and maximum values. Each symbol corresponds to one sample. For statistical analysis, </w:t>
      </w:r>
      <w:proofErr w:type="spellStart"/>
      <w:r>
        <w:rPr>
          <w:rFonts w:ascii="Arial" w:eastAsia="MS Mincho" w:hAnsi="Arial" w:cs="Arial"/>
          <w:bCs/>
          <w:sz w:val="24"/>
          <w:szCs w:val="24"/>
          <w:lang w:val="en-US" w:eastAsia="de-DE"/>
        </w:rPr>
        <w:t>Kruskal</w:t>
      </w:r>
      <w:proofErr w:type="spellEnd"/>
      <w:r>
        <w:rPr>
          <w:rFonts w:ascii="Arial" w:eastAsia="MS Mincho" w:hAnsi="Arial" w:cs="Arial"/>
          <w:bCs/>
          <w:sz w:val="24"/>
          <w:szCs w:val="24"/>
          <w:lang w:val="en-US" w:eastAsia="de-DE"/>
        </w:rPr>
        <w:t>-</w:t>
      </w:r>
      <w:r w:rsidRPr="00435966">
        <w:rPr>
          <w:rFonts w:ascii="Arial" w:eastAsia="MS Mincho" w:hAnsi="Arial" w:cs="Arial"/>
          <w:bCs/>
          <w:sz w:val="24"/>
          <w:szCs w:val="24"/>
          <w:lang w:val="en-US" w:eastAsia="de-DE"/>
        </w:rPr>
        <w:t xml:space="preserve">Wallis </w:t>
      </w:r>
      <w:r w:rsidR="00435966" w:rsidRPr="00435966">
        <w:rPr>
          <w:rFonts w:ascii="Arial" w:hAnsi="Arial" w:cs="Arial"/>
          <w:bCs/>
          <w:sz w:val="24"/>
          <w:szCs w:val="24"/>
          <w:lang w:val="en-US"/>
        </w:rPr>
        <w:t xml:space="preserve">with Dunn’s post hoc </w:t>
      </w:r>
      <w:r>
        <w:rPr>
          <w:rFonts w:ascii="Arial" w:eastAsia="MS Mincho" w:hAnsi="Arial" w:cs="Arial"/>
          <w:bCs/>
          <w:sz w:val="24"/>
          <w:szCs w:val="24"/>
          <w:lang w:val="en-US" w:eastAsia="de-DE"/>
        </w:rPr>
        <w:t>test was used.</w:t>
      </w:r>
      <w:r w:rsidR="00435966" w:rsidRPr="005E598C">
        <w:rPr>
          <w:rFonts w:ascii="Arial" w:eastAsia="MS Mincho" w:hAnsi="Arial" w:cs="Arial"/>
          <w:bCs/>
          <w:sz w:val="24"/>
          <w:szCs w:val="24"/>
          <w:u w:val="single"/>
          <w:lang w:val="en-US" w:eastAsia="de-DE"/>
        </w:rPr>
        <w:t xml:space="preserve"> The uppermost p value represents the result of the </w:t>
      </w:r>
      <w:proofErr w:type="spellStart"/>
      <w:r w:rsidR="00435966" w:rsidRPr="005E598C">
        <w:rPr>
          <w:rFonts w:ascii="Arial" w:eastAsia="MS Mincho" w:hAnsi="Arial" w:cs="Arial"/>
          <w:bCs/>
          <w:sz w:val="24"/>
          <w:szCs w:val="24"/>
          <w:u w:val="single"/>
          <w:lang w:val="en-US" w:eastAsia="de-DE"/>
        </w:rPr>
        <w:t>Kruskal</w:t>
      </w:r>
      <w:proofErr w:type="spellEnd"/>
      <w:r w:rsidR="00435966" w:rsidRPr="005E598C">
        <w:rPr>
          <w:rFonts w:ascii="Arial" w:eastAsia="MS Mincho" w:hAnsi="Arial" w:cs="Arial"/>
          <w:bCs/>
          <w:sz w:val="24"/>
          <w:szCs w:val="24"/>
          <w:u w:val="single"/>
          <w:lang w:val="en-US" w:eastAsia="de-DE"/>
        </w:rPr>
        <w:t xml:space="preserve">-Wallis test, whereas the p values below (with bracketed lines) represent results of the post hoc tests. </w:t>
      </w:r>
      <w:bookmarkStart w:id="0" w:name="_GoBack"/>
      <w:bookmarkEnd w:id="0"/>
    </w:p>
    <w:sectPr w:rsidR="00BD6A6A" w:rsidRPr="00851455" w:rsidSect="00B72AEF">
      <w:footerReference w:type="even" r:id="rId10"/>
      <w:footerReference w:type="default" r:id="rId1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99AB148" w14:textId="77777777" w:rsidR="004D3623" w:rsidRDefault="004D3623">
      <w:pPr>
        <w:spacing w:after="0" w:line="240" w:lineRule="auto"/>
      </w:pPr>
      <w:r>
        <w:separator/>
      </w:r>
    </w:p>
  </w:endnote>
  <w:endnote w:type="continuationSeparator" w:id="0">
    <w:p w14:paraId="24B845D1" w14:textId="77777777" w:rsidR="004D3623" w:rsidRDefault="004D36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MS Mincho">
    <w:panose1 w:val="02020609040205080304"/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7FBDBC" w14:textId="77777777" w:rsidR="00A35354" w:rsidRDefault="00BD6A6A" w:rsidP="00886FE8">
    <w:pPr>
      <w:pStyle w:val="Fuzeile"/>
      <w:framePr w:wrap="none" w:vAnchor="text" w:hAnchor="margin" w:xAlign="center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1F9ECE4F" w14:textId="77777777" w:rsidR="00A35354" w:rsidRDefault="004D3623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41F8DE" w14:textId="77777777" w:rsidR="00A35354" w:rsidRDefault="00BD6A6A" w:rsidP="00886FE8">
    <w:pPr>
      <w:pStyle w:val="Fuzeile"/>
      <w:framePr w:wrap="none" w:vAnchor="text" w:hAnchor="margin" w:xAlign="center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5E598C">
      <w:rPr>
        <w:rStyle w:val="Seitenzahl"/>
        <w:noProof/>
      </w:rPr>
      <w:t>1</w:t>
    </w:r>
    <w:r>
      <w:rPr>
        <w:rStyle w:val="Seitenzahl"/>
      </w:rPr>
      <w:fldChar w:fldCharType="end"/>
    </w:r>
  </w:p>
  <w:p w14:paraId="46F553A2" w14:textId="77777777" w:rsidR="00A35354" w:rsidRDefault="004D3623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D0F2389" w14:textId="77777777" w:rsidR="004D3623" w:rsidRDefault="004D3623">
      <w:pPr>
        <w:spacing w:after="0" w:line="240" w:lineRule="auto"/>
      </w:pPr>
      <w:r>
        <w:separator/>
      </w:r>
    </w:p>
  </w:footnote>
  <w:footnote w:type="continuationSeparator" w:id="0">
    <w:p w14:paraId="70A9C0CA" w14:textId="77777777" w:rsidR="004D3623" w:rsidRDefault="004D362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1D"/>
    <w:multiLevelType w:val="multilevel"/>
    <w:tmpl w:val="26E4478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6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1455"/>
    <w:rsid w:val="000007F9"/>
    <w:rsid w:val="000209C0"/>
    <w:rsid w:val="000A0F19"/>
    <w:rsid w:val="000A7D3D"/>
    <w:rsid w:val="001063C3"/>
    <w:rsid w:val="00140AB8"/>
    <w:rsid w:val="00144157"/>
    <w:rsid w:val="001C5C00"/>
    <w:rsid w:val="001F03C8"/>
    <w:rsid w:val="00214655"/>
    <w:rsid w:val="0030573C"/>
    <w:rsid w:val="003144AC"/>
    <w:rsid w:val="003200D1"/>
    <w:rsid w:val="00327AC9"/>
    <w:rsid w:val="003532B8"/>
    <w:rsid w:val="00376071"/>
    <w:rsid w:val="003959E3"/>
    <w:rsid w:val="003C6B9C"/>
    <w:rsid w:val="003D173E"/>
    <w:rsid w:val="00435966"/>
    <w:rsid w:val="004508C5"/>
    <w:rsid w:val="004551A8"/>
    <w:rsid w:val="004651BA"/>
    <w:rsid w:val="004C50C3"/>
    <w:rsid w:val="004C7AA5"/>
    <w:rsid w:val="004D3623"/>
    <w:rsid w:val="005A28E3"/>
    <w:rsid w:val="005E598C"/>
    <w:rsid w:val="00641B53"/>
    <w:rsid w:val="00651B8D"/>
    <w:rsid w:val="007135D4"/>
    <w:rsid w:val="007B0047"/>
    <w:rsid w:val="007C1600"/>
    <w:rsid w:val="007F253E"/>
    <w:rsid w:val="00806716"/>
    <w:rsid w:val="00851455"/>
    <w:rsid w:val="00852833"/>
    <w:rsid w:val="0087591F"/>
    <w:rsid w:val="00880B2E"/>
    <w:rsid w:val="00894903"/>
    <w:rsid w:val="008B2486"/>
    <w:rsid w:val="008B6718"/>
    <w:rsid w:val="008D38BE"/>
    <w:rsid w:val="008E58AE"/>
    <w:rsid w:val="00914EC9"/>
    <w:rsid w:val="009163F6"/>
    <w:rsid w:val="00934419"/>
    <w:rsid w:val="00971DFD"/>
    <w:rsid w:val="009741DB"/>
    <w:rsid w:val="009A1CD1"/>
    <w:rsid w:val="009B2086"/>
    <w:rsid w:val="00A751DD"/>
    <w:rsid w:val="00AB17CC"/>
    <w:rsid w:val="00AB50ED"/>
    <w:rsid w:val="00B27DAB"/>
    <w:rsid w:val="00B33138"/>
    <w:rsid w:val="00B61164"/>
    <w:rsid w:val="00B72AEF"/>
    <w:rsid w:val="00B863B9"/>
    <w:rsid w:val="00BB44CD"/>
    <w:rsid w:val="00BD06A0"/>
    <w:rsid w:val="00BD6A6A"/>
    <w:rsid w:val="00C662F9"/>
    <w:rsid w:val="00C8213E"/>
    <w:rsid w:val="00C97773"/>
    <w:rsid w:val="00D6760F"/>
    <w:rsid w:val="00D83C37"/>
    <w:rsid w:val="00DD481A"/>
    <w:rsid w:val="00DF2051"/>
    <w:rsid w:val="00DF564A"/>
    <w:rsid w:val="00E80BCD"/>
    <w:rsid w:val="00EA2090"/>
    <w:rsid w:val="00EB0BF0"/>
    <w:rsid w:val="00EB12DD"/>
    <w:rsid w:val="00EB18C9"/>
    <w:rsid w:val="00EC7DE5"/>
    <w:rsid w:val="00F07F0A"/>
    <w:rsid w:val="00F1211A"/>
    <w:rsid w:val="00F91AF2"/>
    <w:rsid w:val="00FB0B83"/>
    <w:rsid w:val="00FB4C59"/>
    <w:rsid w:val="00FC27F8"/>
    <w:rsid w:val="00FE60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F4FD9F6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Beschriftung">
    <w:name w:val="caption"/>
    <w:basedOn w:val="Standard"/>
    <w:next w:val="Standard"/>
    <w:uiPriority w:val="35"/>
    <w:unhideWhenUsed/>
    <w:qFormat/>
    <w:rsid w:val="00851455"/>
    <w:rPr>
      <w:b/>
      <w:bCs/>
      <w:sz w:val="20"/>
      <w:szCs w:val="20"/>
    </w:rPr>
  </w:style>
  <w:style w:type="character" w:styleId="Kommentarzeichen">
    <w:name w:val="annotation reference"/>
    <w:uiPriority w:val="99"/>
    <w:semiHidden/>
    <w:unhideWhenUsed/>
    <w:rsid w:val="00214655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214655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214655"/>
    <w:rPr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14655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214655"/>
    <w:rPr>
      <w:b/>
      <w:bCs/>
      <w:lang w:val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146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214655"/>
    <w:rPr>
      <w:rFonts w:ascii="Tahoma" w:hAnsi="Tahoma" w:cs="Tahoma"/>
      <w:sz w:val="16"/>
      <w:szCs w:val="16"/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BD6A6A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BD6A6A"/>
    <w:rPr>
      <w:sz w:val="22"/>
      <w:szCs w:val="22"/>
      <w:lang w:eastAsia="en-US"/>
    </w:rPr>
  </w:style>
  <w:style w:type="character" w:styleId="Seitenzahl">
    <w:name w:val="page number"/>
    <w:basedOn w:val="Absatz-Standardschriftart"/>
    <w:uiPriority w:val="99"/>
    <w:semiHidden/>
    <w:unhideWhenUsed/>
    <w:rsid w:val="00BD6A6A"/>
  </w:style>
  <w:style w:type="character" w:styleId="Zeilennummer">
    <w:name w:val="line number"/>
    <w:basedOn w:val="Absatz-Standardschriftart"/>
    <w:uiPriority w:val="99"/>
    <w:semiHidden/>
    <w:unhideWhenUsed/>
    <w:rsid w:val="00BD6A6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2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tiff"/><Relationship Id="rId8" Type="http://schemas.openxmlformats.org/officeDocument/2006/relationships/image" Target="media/image2.tiff"/><Relationship Id="rId9" Type="http://schemas.openxmlformats.org/officeDocument/2006/relationships/image" Target="media/image3.tiff"/><Relationship Id="rId1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363</Words>
  <Characters>2290</Characters>
  <Application>Microsoft Macintosh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Helmholtz Zentrum München</Company>
  <LinksUpToDate>false</LinksUpToDate>
  <CharactersWithSpaces>2648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noessner</dc:creator>
  <cp:keywords/>
  <cp:lastModifiedBy>Veit Bücklein</cp:lastModifiedBy>
  <cp:revision>2</cp:revision>
  <dcterms:created xsi:type="dcterms:W3CDTF">2016-03-31T21:43:00Z</dcterms:created>
  <dcterms:modified xsi:type="dcterms:W3CDTF">2016-03-31T21:43:00Z</dcterms:modified>
</cp:coreProperties>
</file>