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04" w:rsidRPr="001F1010" w:rsidRDefault="00981F04" w:rsidP="00981F04">
      <w:pPr>
        <w:ind w:left="426" w:hanging="426"/>
        <w:rPr>
          <w:rFonts w:asciiTheme="majorHAnsi" w:hAnsiTheme="majorHAnsi" w:cs="Times New Roman"/>
          <w:b/>
        </w:rPr>
      </w:pPr>
      <w:bookmarkStart w:id="0" w:name="_GoBack"/>
      <w:bookmarkEnd w:id="0"/>
      <w:r w:rsidRPr="001F1010">
        <w:rPr>
          <w:rFonts w:asciiTheme="majorHAnsi" w:hAnsiTheme="majorHAnsi" w:cs="Times New Roman"/>
          <w:b/>
        </w:rPr>
        <w:t>Supplement 1: IPCRG scaling up activities</w:t>
      </w:r>
    </w:p>
    <w:p w:rsidR="00981F04" w:rsidRPr="001F1010" w:rsidRDefault="00981F04" w:rsidP="00981F04"/>
    <w:tbl>
      <w:tblPr>
        <w:tblW w:w="10807" w:type="dxa"/>
        <w:tblInd w:w="55" w:type="dxa"/>
        <w:tblLayout w:type="fixed"/>
        <w:tblCellMar>
          <w:left w:w="70" w:type="dxa"/>
          <w:right w:w="70" w:type="dxa"/>
        </w:tblCellMar>
        <w:tblLook w:val="04A0" w:firstRow="1" w:lastRow="0" w:firstColumn="1" w:lastColumn="0" w:noHBand="0" w:noVBand="1"/>
      </w:tblPr>
      <w:tblGrid>
        <w:gridCol w:w="1433"/>
        <w:gridCol w:w="2835"/>
        <w:gridCol w:w="2551"/>
        <w:gridCol w:w="2552"/>
        <w:gridCol w:w="1276"/>
        <w:gridCol w:w="160"/>
      </w:tblGrid>
      <w:tr w:rsidR="00981F04" w:rsidRPr="006C2B1F" w:rsidTr="00F16270">
        <w:trPr>
          <w:trHeight w:val="600"/>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bookmarkStart w:id="1" w:name="RANGE!A1:D19"/>
            <w:r w:rsidRPr="009F2B0E">
              <w:rPr>
                <w:rFonts w:asciiTheme="majorHAnsi" w:eastAsia="Times New Roman" w:hAnsiTheme="majorHAnsi" w:cs="Arial"/>
                <w:b/>
                <w:bCs/>
              </w:rPr>
              <w:t>Strategy papers</w:t>
            </w:r>
            <w:bookmarkEnd w:id="1"/>
          </w:p>
        </w:tc>
        <w:tc>
          <w:tcPr>
            <w:tcW w:w="2835" w:type="dxa"/>
            <w:tcBorders>
              <w:top w:val="single" w:sz="4" w:space="0" w:color="auto"/>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Description of resource</w:t>
            </w:r>
          </w:p>
        </w:tc>
        <w:tc>
          <w:tcPr>
            <w:tcW w:w="2551" w:type="dxa"/>
            <w:tcBorders>
              <w:top w:val="single" w:sz="4" w:space="0" w:color="auto"/>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Link to European resource/contact</w:t>
            </w:r>
          </w:p>
        </w:tc>
        <w:tc>
          <w:tcPr>
            <w:tcW w:w="2552" w:type="dxa"/>
            <w:tcBorders>
              <w:top w:val="single" w:sz="4" w:space="0" w:color="auto"/>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Link to outside Europe resource or contact</w:t>
            </w:r>
          </w:p>
        </w:tc>
        <w:tc>
          <w:tcPr>
            <w:tcW w:w="1276" w:type="dxa"/>
            <w:tcBorders>
              <w:top w:val="nil"/>
              <w:left w:val="nil"/>
              <w:bottom w:val="nil"/>
              <w:right w:val="nil"/>
            </w:tcBorders>
            <w:shd w:val="clear" w:color="auto" w:fill="auto"/>
            <w:hideMark/>
          </w:tcPr>
          <w:p w:rsidR="00981F04" w:rsidRPr="009F2B0E" w:rsidRDefault="00981F04" w:rsidP="00F16270">
            <w:pPr>
              <w:rPr>
                <w:rFonts w:asciiTheme="majorHAnsi" w:eastAsia="Times New Roman" w:hAnsiTheme="majorHAnsi" w:cs="Times New Roman"/>
                <w:color w:val="DD0806"/>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Theme="majorHAnsi" w:eastAsia="Times New Roman" w:hAnsiTheme="majorHAnsi" w:cs="Times New Roman"/>
                <w:sz w:val="20"/>
                <w:szCs w:val="20"/>
              </w:rPr>
            </w:pPr>
          </w:p>
        </w:tc>
      </w:tr>
      <w:tr w:rsidR="00981F04" w:rsidRPr="001F1010" w:rsidTr="00F16270">
        <w:trPr>
          <w:trHeight w:val="78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Primary care strengthening</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Referenced position paper on primary care and respiratory disease</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473E29" w:rsidP="00F16270">
            <w:pPr>
              <w:rPr>
                <w:rFonts w:ascii="Arial Narrow" w:eastAsia="Times New Roman" w:hAnsi="Arial Narrow" w:cs="Times New Roman"/>
                <w:color w:val="0000D4"/>
                <w:sz w:val="18"/>
                <w:szCs w:val="18"/>
                <w:u w:val="single"/>
              </w:rPr>
            </w:pPr>
            <w:hyperlink r:id="rId5" w:history="1">
              <w:r w:rsidR="00981F04" w:rsidRPr="001F1010">
                <w:rPr>
                  <w:rFonts w:ascii="Arial Narrow" w:eastAsia="Times New Roman" w:hAnsi="Arial Narrow" w:cs="Times New Roman"/>
                  <w:color w:val="0000D4"/>
                  <w:sz w:val="18"/>
                  <w:szCs w:val="18"/>
                  <w:u w:val="single"/>
                </w:rPr>
                <w:t>http://www.theipcrg.org/display/OurNetwork/POSITION+PAPER+1+Primary+care+and+chronic+lung+disease</w:t>
              </w:r>
            </w:hyperlink>
          </w:p>
        </w:tc>
        <w:tc>
          <w:tcPr>
            <w:tcW w:w="2552" w:type="dxa"/>
            <w:tcBorders>
              <w:top w:val="nil"/>
              <w:left w:val="nil"/>
              <w:bottom w:val="single" w:sz="4" w:space="0" w:color="auto"/>
              <w:right w:val="single" w:sz="4" w:space="0" w:color="auto"/>
            </w:tcBorders>
            <w:shd w:val="clear" w:color="000000" w:fill="FFFFFF"/>
            <w:hideMark/>
          </w:tcPr>
          <w:p w:rsidR="00981F04" w:rsidRPr="009F2B0E" w:rsidRDefault="00473E29" w:rsidP="00F16270">
            <w:pPr>
              <w:rPr>
                <w:rFonts w:ascii="Arial Narrow" w:eastAsia="Times New Roman" w:hAnsi="Arial Narrow" w:cs="Times New Roman"/>
                <w:color w:val="0000D4"/>
                <w:sz w:val="18"/>
                <w:szCs w:val="18"/>
                <w:u w:val="single"/>
              </w:rPr>
            </w:pPr>
            <w:hyperlink r:id="rId6" w:history="1">
              <w:r w:rsidR="00981F04" w:rsidRPr="001F1010">
                <w:rPr>
                  <w:rFonts w:ascii="Arial Narrow" w:eastAsia="Times New Roman" w:hAnsi="Arial Narrow" w:cs="Times New Roman"/>
                  <w:color w:val="0000D4"/>
                  <w:sz w:val="18"/>
                  <w:szCs w:val="18"/>
                  <w:u w:val="single"/>
                </w:rPr>
                <w:t>http://www.theipcrg.org/display/OurNetwork/POSITION+PAPER+1+Primary+care+and+chronic+lung+disease</w:t>
              </w:r>
            </w:hyperlink>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983"/>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Education for primary care clinicians about respiratory care: what works</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McDonnell J, Williams S, Chavannes NH, de Sousa JC, Fardy HJ, Fletcher M et al. Effecting change in primary care management of respiratory conditions: a global scoping exercise and literature review of educational interventions to inform the IPCRG's E-Quality initiative. Prim Care Respir J. 2012 Dec;21(4):431-436. </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Available from: 10.4104/pcrj.2012.00071  and IPCRG website http://www.theipcrg.org/display/TeachColleagues/Teaching+colleagues</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Available from: 10.4104/pcrj.2012.00071  and IPCRG website http://www.theipcrg.org/display/TeachColleagues/Teaching+colleagues</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66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Education for respiratory clinicians: how to build capacity</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McDonnell J, Correia de Sousa J, Baxter N, Pinnock H, Roman-Rodriquez M, van der Molen T, Williams S.  Building capacity to improve respiratory care: the education strategy of the International Primary Care Respiratory Group 2014–2020       </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http://www.nature.com/articles/npjpcrm201472 and more information from http://www.theipcrg.org/display/TeachColleagues/Teaching+colleagues</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http://www.nature.com/articles/npjpcrm201472 and more information from http://www.theipcrg.org/display/TeachColleagues/Teaching+colleagues</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64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Research questions to meet primary care practitioner needs</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Pinnock H, Ostrem A, Rodriguez MR, Ryan D, Stallberg B, Thomas M, Tsiligianni I, Williams S, Yusuf O.  The International Primary Care Respiratory Group (IPCRG) Re</w:t>
            </w:r>
            <w:r>
              <w:rPr>
                <w:rFonts w:ascii="Arial Narrow" w:eastAsia="Times New Roman" w:hAnsi="Arial Narrow" w:cs="Times New Roman"/>
                <w:sz w:val="18"/>
                <w:szCs w:val="18"/>
              </w:rPr>
              <w:t>search Needs Statement 2010.</w:t>
            </w:r>
            <w:r>
              <w:rPr>
                <w:rFonts w:ascii="Arial Narrow" w:eastAsia="Times New Roman" w:hAnsi="Arial Narrow" w:cs="Times New Roman"/>
                <w:sz w:val="18"/>
                <w:szCs w:val="18"/>
              </w:rPr>
              <w:br/>
            </w:r>
            <w:r>
              <w:rPr>
                <w:rFonts w:ascii="Arial Narrow" w:eastAsia="Times New Roman" w:hAnsi="Arial Narrow" w:cs="Times New Roman"/>
                <w:sz w:val="18"/>
                <w:szCs w:val="18"/>
              </w:rPr>
              <w:br/>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http://www.nature.com/articles/pcrj201021#abstract             more information from http://www.theipcrg.org/display/DoResearch/Prioritised+primary+care+respiratory+research+questions+from+our+reseach+needs+statement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http://www.nature.com/articles/pcrj201021#abstract             more information from http://www.theipcrg.org/display/DoResearch/Prioritised+primary+care+respiratory+research+questions+from+our+reseach+needs+statement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42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Research questions to meet primary care practitioner needs (prioritised)</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Pinnock H et al. Prioritising the respiratory research needs of primary care: the International Primary Care Respiratory Group (IPCRG) e-Delphi exercise. Prim Care Respir J 2012;21(1):19-27.</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http://www.nature.com/articles/pcrj20126    and more information from http://www.theipcrg.org/display/DoResearch/Prioritised+primary+care+respiratory+research+questions+from+our+reseach+needs+statement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http://www.nature.com/articles/pcrj20126    and more information from http://www.theipcrg.org/display/DoResearch/Prioritised+primary+care+respiratory+research+questions+from+our+reseach+needs+statement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3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color w:val="0000D4"/>
                <w:sz w:val="20"/>
                <w:szCs w:val="20"/>
              </w:rPr>
            </w:pPr>
            <w:r w:rsidRPr="009F2B0E">
              <w:rPr>
                <w:rFonts w:ascii="Arial Narrow" w:eastAsia="Times New Roman" w:hAnsi="Arial Narrow" w:cs="Times New Roman"/>
                <w:color w:val="0000D4"/>
                <w:sz w:val="20"/>
                <w:szCs w:val="20"/>
              </w:rPr>
              <w:t> </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color w:val="0000D4"/>
                <w:sz w:val="20"/>
                <w:szCs w:val="20"/>
              </w:rPr>
            </w:pPr>
            <w:r w:rsidRPr="009F2B0E">
              <w:rPr>
                <w:rFonts w:ascii="Arial Narrow" w:eastAsia="Times New Roman" w:hAnsi="Arial Narrow" w:cs="Times New Roman"/>
                <w:color w:val="0000D4"/>
                <w:sz w:val="20"/>
                <w:szCs w:val="20"/>
              </w:rPr>
              <w:t> </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color w:val="0000D4"/>
                <w:sz w:val="20"/>
                <w:szCs w:val="20"/>
              </w:rPr>
            </w:pPr>
            <w:r w:rsidRPr="009F2B0E">
              <w:rPr>
                <w:rFonts w:ascii="Arial Narrow" w:eastAsia="Times New Roman" w:hAnsi="Arial Narrow" w:cs="Times New Roman"/>
                <w:color w:val="0000D4"/>
                <w:sz w:val="20"/>
                <w:szCs w:val="20"/>
              </w:rPr>
              <w:t>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color w:val="0000D4"/>
                <w:sz w:val="20"/>
                <w:szCs w:val="20"/>
              </w:rPr>
            </w:pPr>
            <w:r w:rsidRPr="009F2B0E">
              <w:rPr>
                <w:rFonts w:ascii="Arial Narrow" w:eastAsia="Times New Roman" w:hAnsi="Arial Narrow" w:cs="Times New Roman"/>
                <w:color w:val="0000D4"/>
                <w:sz w:val="20"/>
                <w:szCs w:val="20"/>
              </w:rPr>
              <w: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6C2B1F" w:rsidTr="00F16270">
        <w:trPr>
          <w:trHeight w:val="9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Chronic respiratory disease</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Description of resource</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Link to European resource/contact</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Theme="majorHAnsi" w:eastAsia="Times New Roman" w:hAnsiTheme="majorHAnsi" w:cs="Arial"/>
                <w:b/>
                <w:bCs/>
              </w:rPr>
            </w:pPr>
            <w:r w:rsidRPr="009F2B0E">
              <w:rPr>
                <w:rFonts w:asciiTheme="majorHAnsi" w:eastAsia="Times New Roman" w:hAnsiTheme="majorHAnsi" w:cs="Arial"/>
                <w:b/>
                <w:bCs/>
              </w:rPr>
              <w:t>Link to outside Europe resource or contact</w:t>
            </w:r>
          </w:p>
        </w:tc>
        <w:tc>
          <w:tcPr>
            <w:tcW w:w="1276" w:type="dxa"/>
            <w:tcBorders>
              <w:top w:val="nil"/>
              <w:left w:val="nil"/>
              <w:bottom w:val="nil"/>
              <w:right w:val="nil"/>
            </w:tcBorders>
            <w:shd w:val="clear" w:color="auto" w:fill="auto"/>
            <w:hideMark/>
          </w:tcPr>
          <w:p w:rsidR="00981F04" w:rsidRPr="009F2B0E" w:rsidRDefault="00981F04" w:rsidP="00F16270">
            <w:pPr>
              <w:rPr>
                <w:rFonts w:asciiTheme="majorHAnsi" w:eastAsia="Times New Roman" w:hAnsiTheme="majorHAnsi"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Theme="majorHAnsi" w:eastAsia="Times New Roman" w:hAnsiTheme="majorHAnsi" w:cs="Times New Roman"/>
                <w:sz w:val="20"/>
                <w:szCs w:val="20"/>
              </w:rPr>
            </w:pPr>
          </w:p>
        </w:tc>
      </w:tr>
      <w:tr w:rsidR="00981F04" w:rsidRPr="001F1010" w:rsidTr="00F16270">
        <w:trPr>
          <w:trHeight w:val="76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Health protection: immunisation</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Review of the literature on respiratory disease and immunisation.</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Will be submitted for publication by December 2015 and a short online version produced for IPCRG website.</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Will be submitted for publication by December 2015 and a short online version produced for IPCRG website.</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76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lastRenderedPageBreak/>
              <w:t xml:space="preserve">Diagnosis and management of </w:t>
            </w:r>
            <w:r>
              <w:rPr>
                <w:rFonts w:ascii="Arial Narrow" w:eastAsia="Times New Roman" w:hAnsi="Arial Narrow" w:cs="Times New Roman"/>
                <w:sz w:val="18"/>
                <w:szCs w:val="18"/>
              </w:rPr>
              <w:t>CHRONIC RESPIRATORY DISEASE</w:t>
            </w:r>
            <w:r w:rsidRPr="009F2B0E">
              <w:rPr>
                <w:rFonts w:ascii="Arial Narrow" w:eastAsia="Times New Roman" w:hAnsi="Arial Narrow" w:cs="Times New Roman"/>
                <w:sz w:val="18"/>
                <w:szCs w:val="18"/>
              </w:rPr>
              <w:t xml:space="preserve"> in primary care</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Slidesets used for WONCA (global family doctor association) meetings from 2011 to 2014 to inform grass-roots GPs. IPCRG is the respiratory special interest group of WONCA Europe</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http://www.theipcrg.org/display/wonca/WONCA+2011+Presentations                  http://www.theipcrg.org/display/wonca/WONCA+2012+Presentations                 http://www.theipcrg.org/display/wonca/WONCA+2013+Presentations                         http://www.theipcrg.org/display/wonca/WONCA+2014+presentations</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24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Asthma, COPD, tobacco dependence, allergic rhinitis, sleep apnoea</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Map of national  guidelines 2013/14; summary; classified by country and by disease</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http://ipcrg.new.quintor.nl/display/ResMapping/Asthma</w:t>
            </w:r>
            <w:r w:rsidRPr="009F2B0E">
              <w:rPr>
                <w:rFonts w:ascii="Arial Narrow" w:eastAsia="Times New Roman" w:hAnsi="Arial Narrow" w:cs="Times New Roman"/>
                <w:sz w:val="18"/>
                <w:szCs w:val="18"/>
              </w:rPr>
              <w:br/>
              <w:t>http://ipcrg.new.quintor.nl/pages/viewpage.action?pageId=6455884</w:t>
            </w:r>
            <w:r w:rsidRPr="009F2B0E">
              <w:rPr>
                <w:rFonts w:ascii="Arial Narrow" w:eastAsia="Times New Roman" w:hAnsi="Arial Narrow" w:cs="Times New Roman"/>
                <w:sz w:val="18"/>
                <w:szCs w:val="18"/>
              </w:rPr>
              <w:br/>
              <w:t>http://www.theipcrg.org/display/ResMapping/Support+for+stopping+smoking</w:t>
            </w:r>
            <w:r w:rsidRPr="009F2B0E">
              <w:rPr>
                <w:rFonts w:ascii="Arial Narrow" w:eastAsia="Times New Roman" w:hAnsi="Arial Narrow" w:cs="Times New Roman"/>
                <w:sz w:val="18"/>
                <w:szCs w:val="18"/>
              </w:rPr>
              <w:br/>
              <w:t>http://ipcrg.new.quintor.nl/display/ResMapping/Allergic+rhinitis</w:t>
            </w:r>
            <w:r w:rsidRPr="009F2B0E">
              <w:rPr>
                <w:rFonts w:ascii="Arial Narrow" w:eastAsia="Times New Roman" w:hAnsi="Arial Narrow" w:cs="Times New Roman"/>
                <w:sz w:val="18"/>
                <w:szCs w:val="18"/>
              </w:rPr>
              <w:br/>
              <w:t>http://www.theipcrg.org/pages/viewpage.action?pageId=6455895</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http://ipcrg.new.quintor.nl/display/ResMapping/Asthma</w:t>
            </w:r>
            <w:r w:rsidRPr="009F2B0E">
              <w:rPr>
                <w:rFonts w:ascii="Arial Narrow" w:eastAsia="Times New Roman" w:hAnsi="Arial Narrow" w:cs="Times New Roman"/>
                <w:sz w:val="18"/>
                <w:szCs w:val="18"/>
              </w:rPr>
              <w:br/>
              <w:t>http://ipcrg.new.quintor.nl/pages/viewpage.action?pageId=6455884</w:t>
            </w:r>
            <w:r w:rsidRPr="009F2B0E">
              <w:rPr>
                <w:rFonts w:ascii="Arial Narrow" w:eastAsia="Times New Roman" w:hAnsi="Arial Narrow" w:cs="Times New Roman"/>
                <w:sz w:val="18"/>
                <w:szCs w:val="18"/>
              </w:rPr>
              <w:br/>
              <w:t>http://www.theipcrg.org/display/ResMapping/Support+for+stopping+smoking</w:t>
            </w:r>
            <w:r w:rsidRPr="009F2B0E">
              <w:rPr>
                <w:rFonts w:ascii="Arial Narrow" w:eastAsia="Times New Roman" w:hAnsi="Arial Narrow" w:cs="Times New Roman"/>
                <w:sz w:val="18"/>
                <w:szCs w:val="18"/>
              </w:rPr>
              <w:br/>
              <w:t>http://ipcrg.new.quintor.nl/display/ResMapping/Allergic+rhinitis</w:t>
            </w:r>
            <w:r w:rsidRPr="009F2B0E">
              <w:rPr>
                <w:rFonts w:ascii="Arial Narrow" w:eastAsia="Times New Roman" w:hAnsi="Arial Narrow" w:cs="Times New Roman"/>
                <w:sz w:val="18"/>
                <w:szCs w:val="18"/>
              </w:rPr>
              <w:br/>
              <w:t>http://www.theipcrg.org/pages/viewpage.action?pageId=6455895</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color w:val="DD0806"/>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22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Asthma</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Teach the teacher programme, difficult to manage asthma including a desktop helper translated into multiple European languages</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http://ipcrg.new.quintor.nl/display/TreatP/Home+-+Difficult+to+manage+asthma</w:t>
            </w:r>
            <w:r w:rsidRPr="009F2B0E">
              <w:rPr>
                <w:rFonts w:ascii="Arial Narrow" w:eastAsia="Times New Roman" w:hAnsi="Arial Narrow" w:cs="Times New Roman"/>
                <w:sz w:val="18"/>
                <w:szCs w:val="18"/>
              </w:rPr>
              <w:br/>
              <w:t>http://www.theipcrg.org/display/TreatP/Desktop+helper+difficult+to+manage+asthma</w:t>
            </w:r>
            <w:r w:rsidRPr="009F2B0E">
              <w:rPr>
                <w:rFonts w:ascii="Arial Narrow" w:eastAsia="Times New Roman" w:hAnsi="Arial Narrow" w:cs="Times New Roman"/>
                <w:sz w:val="18"/>
                <w:szCs w:val="18"/>
              </w:rPr>
              <w:br/>
              <w:t>http://www.theipcrg.org/display/TreatP/Difficult+to+manage+asthma+-+Position+Paper</w:t>
            </w:r>
            <w:r w:rsidRPr="009F2B0E">
              <w:rPr>
                <w:rFonts w:ascii="Arial Narrow" w:eastAsia="Times New Roman" w:hAnsi="Arial Narrow" w:cs="Times New Roman"/>
                <w:sz w:val="18"/>
                <w:szCs w:val="18"/>
              </w:rPr>
              <w:br/>
              <w:t xml:space="preserve">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5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Allergic rhinitis (AR)</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Links to primary care resources on AR</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473E29" w:rsidP="00F16270">
            <w:pPr>
              <w:rPr>
                <w:rFonts w:ascii="Arial Narrow" w:eastAsia="Times New Roman" w:hAnsi="Arial Narrow" w:cs="Times New Roman"/>
                <w:color w:val="0000D4"/>
                <w:sz w:val="18"/>
                <w:szCs w:val="18"/>
                <w:u w:val="single"/>
              </w:rPr>
            </w:pPr>
            <w:hyperlink r:id="rId7" w:history="1">
              <w:r w:rsidR="00981F04" w:rsidRPr="001F1010">
                <w:rPr>
                  <w:rFonts w:ascii="Arial Narrow" w:eastAsia="Times New Roman" w:hAnsi="Arial Narrow" w:cs="Times New Roman"/>
                  <w:color w:val="0000D4"/>
                  <w:sz w:val="18"/>
                  <w:szCs w:val="18"/>
                  <w:u w:val="single"/>
                </w:rPr>
                <w:t>http://www.theipcrg.org/display/TreatP/Treating+Allergic+Rhinitis</w:t>
              </w:r>
            </w:hyperlink>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color w:val="DD0806"/>
                <w:sz w:val="20"/>
                <w:szCs w:val="20"/>
              </w:rPr>
            </w:pPr>
          </w:p>
        </w:tc>
      </w:tr>
      <w:tr w:rsidR="00981F04" w:rsidRPr="001F1010" w:rsidTr="00F16270">
        <w:trPr>
          <w:trHeight w:val="286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Tobacco dependence</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Review of tobacco dependence guidelines for primary care and analysis of how evidence-based they are and how primary care was engaged</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Sheals, K., Allistone, G. &amp; McEwen A. (2014) The nature and extent of national tobacco treatment guidelines for primary care: Report for the International Primary Care Respiratory Group. London, National Centre for Smoking Cessation and Training. Final report (5 December 2014).  http://www.theipcrg.org/display/RESSMO/Tobacco+treatment%3A+list+of+national+guidelines+and+scope+of+guidelines+for+primary+care</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Sheals, K., Allistone, G. &amp; McEwen A. (2014) The nature and extent of national tobacco treatment guidelines for primary care: Report for the International Primary Care Respiratory Group. London, National Centre for Smoking Cessation and Training. Final report (5 December 2014).  http://www.theipcrg.org/display/RESSMO/Tobacco+treatment%3A+list+of+national+guidelines+and+scope+of+guidelines+for+primary+care</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color w:val="DD0806"/>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20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Tobacco dependence</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Tackling the smoking epidemic set of resources including desktop helpers (due for review November 2015), Powerpoint slides and online resource</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http://www.theipcrg.org/display/TreatP/Tobacco+Dependence               http://www.theipcrg.org/display/TreatP/IPCRG+Opinion+3%3A+Helping+patients+quit+smoking</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http://www.theipcrg.org/display/TreatP/Tobacco+Dependence               http://www.theipcrg.org/display/TreatP/IPCRG+Opinion+3%3A+Helping+patients+quit+smoking</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308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Chronic respiratory disease in low income countries (the FRESH AIR movement)</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Progress reports and papers from the IPCRG movement to describe the prevalence of smoke from smoking cigarettes, pipes and roll-ups and from indoor air pollution generated by cooking and heating biomass fuel and kerosene lighting. Note that a new Horizon 2020 FRESH AIR programme is due to launch in October 2015.</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Protocols for prevalence study and intervention study available on request to IPCRG          http://www.theipcrg.org/display/DoResearch/FRESH+AIR</w:t>
            </w:r>
            <w:r w:rsidRPr="009F2B0E">
              <w:rPr>
                <w:rFonts w:ascii="Arial Narrow" w:eastAsia="Times New Roman" w:hAnsi="Arial Narrow" w:cs="Times New Roman"/>
                <w:sz w:val="18"/>
                <w:szCs w:val="18"/>
              </w:rPr>
              <w:br/>
              <w:t>http://www.theipcrg.org/display/DoResearch/About+FRESH+AIR+Uganda</w:t>
            </w:r>
            <w:r w:rsidRPr="009F2B0E">
              <w:rPr>
                <w:rFonts w:ascii="Arial Narrow" w:eastAsia="Times New Roman" w:hAnsi="Arial Narrow" w:cs="Times New Roman"/>
                <w:sz w:val="18"/>
                <w:szCs w:val="18"/>
              </w:rPr>
              <w:br/>
              <w:t>http://www.theipcrg.org/display/DoResearch/FRESH+AIR+India</w:t>
            </w:r>
            <w:r w:rsidRPr="009F2B0E">
              <w:rPr>
                <w:rFonts w:ascii="Arial Narrow" w:eastAsia="Times New Roman" w:hAnsi="Arial Narrow" w:cs="Times New Roman"/>
                <w:sz w:val="18"/>
                <w:szCs w:val="18"/>
              </w:rPr>
              <w:br/>
              <w:t>http://www.theipcrg.org/display/DoResearch/FRESH+AIR+Kyrgyzstan</w:t>
            </w:r>
            <w:r w:rsidRPr="009F2B0E">
              <w:rPr>
                <w:rFonts w:ascii="Arial Narrow" w:eastAsia="Times New Roman" w:hAnsi="Arial Narrow" w:cs="Times New Roman"/>
                <w:sz w:val="18"/>
                <w:szCs w:val="18"/>
              </w:rPr>
              <w:br/>
              <w:t>http://www.theipcrg.org/pages/viewpage.action?pageId=8781866</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308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COPD</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Desktop "how to" helpers on palliative care, earlier diagnosis, spirometry; some in multiple languages</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http://www.theipcrg.org/display/TreatP/Treating+Patients+Home               http://www.theipcrg.org/display/TreatP/IPCRG+Opinion+5+-+Early+diagnosis+of+COPD             http://www.theipcrg.org/display/TreatP/IPCRG+Opinion+2%3A+Theophylline+Opinion+Sheet        http://www.theipcrg.org/display/TreatP/IPCRG+Opinion+1%3A+Opinion+Sheet+on+Spirometry  http://www.theipcrg.org/display/TreatP/IPCRG+Opinion+4%3A+Palliative+Care+Opinion+Sheet   </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http://www.theipcrg.org/display/TreatP/Treating+Patients+Home               http://www.theipcrg.org/display/TreatP/IPCRG+Opinion+5+-+Early+diagnosis+of+COPD             http://www.theipcrg.org/display/TreatP/IPCRG+Opinion+2%3A+Theophylline+Opinion+Sheet        http://www.theipcrg.org/display/TreatP/IPCRG+Opinion+1%3A+Opinion+Sheet+on+Spirometry  http://www.theipcrg.org/display/TreatP/IPCRG+Opinion+4%3A+Palliative+Care+Opinion+Sheet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18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Use of routine primary care datasets to identify best practice or problems that need an intervention</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IPCRG set up UNLOCK to combine data sets from routine primary care.  A number of projects have now been published</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473E29" w:rsidP="00F16270">
            <w:pPr>
              <w:rPr>
                <w:rFonts w:ascii="Arial Narrow" w:eastAsia="Times New Roman" w:hAnsi="Arial Narrow" w:cs="Times New Roman"/>
                <w:color w:val="0000D4"/>
                <w:sz w:val="18"/>
                <w:szCs w:val="18"/>
                <w:u w:val="single"/>
              </w:rPr>
            </w:pPr>
            <w:hyperlink r:id="rId8" w:history="1">
              <w:r w:rsidR="00981F04" w:rsidRPr="001F1010">
                <w:rPr>
                  <w:rFonts w:ascii="Arial Narrow" w:eastAsia="Times New Roman" w:hAnsi="Arial Narrow" w:cs="Times New Roman"/>
                  <w:color w:val="0000D4"/>
                  <w:sz w:val="18"/>
                  <w:szCs w:val="18"/>
                  <w:u w:val="single"/>
                </w:rPr>
                <w:t>http://www.theipcrg.org/display/DoResearch/About+UNLOCK</w:t>
              </w:r>
            </w:hyperlink>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 xml:space="preserve">Colleagues from outside Europe are involved but have not yet published. </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r w:rsidR="00981F04" w:rsidRPr="001F1010" w:rsidTr="00F16270">
        <w:trPr>
          <w:trHeight w:val="1920"/>
        </w:trPr>
        <w:tc>
          <w:tcPr>
            <w:tcW w:w="1433" w:type="dxa"/>
            <w:tcBorders>
              <w:top w:val="nil"/>
              <w:left w:val="single" w:sz="4" w:space="0" w:color="auto"/>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Mental health and respiratory disease</w:t>
            </w:r>
          </w:p>
        </w:tc>
        <w:tc>
          <w:tcPr>
            <w:tcW w:w="2835"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A review paper on mental health and respiratory disease, looking at both people with mental health problems who are at high risk of smoking and therefore respiratory problems and also people with asthma and COPD who have anxiety and depression, and the effectieness of interventions.</w:t>
            </w:r>
          </w:p>
        </w:tc>
        <w:tc>
          <w:tcPr>
            <w:tcW w:w="2551"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Review due for submission to peer-reviewed journal December 2015 and a summary position paper online for IPCRG</w:t>
            </w:r>
          </w:p>
        </w:tc>
        <w:tc>
          <w:tcPr>
            <w:tcW w:w="2552" w:type="dxa"/>
            <w:tcBorders>
              <w:top w:val="nil"/>
              <w:left w:val="nil"/>
              <w:bottom w:val="single" w:sz="4" w:space="0" w:color="auto"/>
              <w:right w:val="single" w:sz="4" w:space="0" w:color="auto"/>
            </w:tcBorders>
            <w:shd w:val="clear" w:color="000000" w:fill="FFFFFF"/>
            <w:hideMark/>
          </w:tcPr>
          <w:p w:rsidR="00981F04" w:rsidRPr="009F2B0E" w:rsidRDefault="00981F04" w:rsidP="00F16270">
            <w:pPr>
              <w:rPr>
                <w:rFonts w:ascii="Arial Narrow" w:eastAsia="Times New Roman" w:hAnsi="Arial Narrow" w:cs="Times New Roman"/>
                <w:sz w:val="18"/>
                <w:szCs w:val="18"/>
              </w:rPr>
            </w:pPr>
            <w:r w:rsidRPr="009F2B0E">
              <w:rPr>
                <w:rFonts w:ascii="Arial Narrow" w:eastAsia="Times New Roman" w:hAnsi="Arial Narrow" w:cs="Times New Roman"/>
                <w:sz w:val="18"/>
                <w:szCs w:val="18"/>
              </w:rPr>
              <w:t>Review due for submission to peer-reviewed journal December 2015 and a summary position paper online for IPCRG</w:t>
            </w:r>
          </w:p>
        </w:tc>
        <w:tc>
          <w:tcPr>
            <w:tcW w:w="1276"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c>
          <w:tcPr>
            <w:tcW w:w="160" w:type="dxa"/>
            <w:tcBorders>
              <w:top w:val="nil"/>
              <w:left w:val="nil"/>
              <w:bottom w:val="nil"/>
              <w:right w:val="nil"/>
            </w:tcBorders>
            <w:shd w:val="clear" w:color="auto" w:fill="auto"/>
            <w:hideMark/>
          </w:tcPr>
          <w:p w:rsidR="00981F04" w:rsidRPr="009F2B0E" w:rsidRDefault="00981F04" w:rsidP="00F16270">
            <w:pPr>
              <w:rPr>
                <w:rFonts w:ascii="Verdana" w:eastAsia="Times New Roman" w:hAnsi="Verdana" w:cs="Times New Roman"/>
                <w:sz w:val="20"/>
                <w:szCs w:val="20"/>
              </w:rPr>
            </w:pPr>
          </w:p>
        </w:tc>
      </w:tr>
    </w:tbl>
    <w:p w:rsidR="00637085" w:rsidRDefault="00637085"/>
    <w:sectPr w:rsidR="00637085" w:rsidSect="00637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04"/>
    <w:rsid w:val="00062F6A"/>
    <w:rsid w:val="000A4D68"/>
    <w:rsid w:val="00272AF2"/>
    <w:rsid w:val="004048D5"/>
    <w:rsid w:val="00473E29"/>
    <w:rsid w:val="00637085"/>
    <w:rsid w:val="00981F04"/>
    <w:rsid w:val="00C25C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ipcrg.org/display/DoResearch/About+UNLOCK" TargetMode="External"/><Relationship Id="rId3" Type="http://schemas.openxmlformats.org/officeDocument/2006/relationships/settings" Target="settings.xml"/><Relationship Id="rId7" Type="http://schemas.openxmlformats.org/officeDocument/2006/relationships/hyperlink" Target="http://www.theipcrg.org/display/TreatP/Treating+Allergic+Rhiniti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ipcrg.org/display/OurNetwork/POSITION+PAPER+1+Primary+care+and+chronic+lung+disease" TargetMode="External"/><Relationship Id="rId5" Type="http://schemas.openxmlformats.org/officeDocument/2006/relationships/hyperlink" Target="http://www.theipcrg.org/display/OurNetwork/POSITION+PAPER+1+Primary+care+and+chronic+lung+dise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8550</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0004163</dc:creator>
  <cp:lastModifiedBy>katrin.rauner</cp:lastModifiedBy>
  <cp:revision>2</cp:revision>
  <dcterms:created xsi:type="dcterms:W3CDTF">2016-08-03T08:50:00Z</dcterms:created>
  <dcterms:modified xsi:type="dcterms:W3CDTF">2016-08-03T08:50:00Z</dcterms:modified>
</cp:coreProperties>
</file>