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12299" w:type="dxa"/>
        <w:tblLook w:val="04A0" w:firstRow="1" w:lastRow="0" w:firstColumn="1" w:lastColumn="0" w:noHBand="0" w:noVBand="1"/>
      </w:tblPr>
      <w:tblGrid>
        <w:gridCol w:w="1293"/>
        <w:gridCol w:w="4344"/>
        <w:gridCol w:w="1417"/>
        <w:gridCol w:w="5245"/>
      </w:tblGrid>
      <w:tr w:rsidR="00FE6F78" w:rsidTr="000F7D2D">
        <w:tc>
          <w:tcPr>
            <w:tcW w:w="1293" w:type="dxa"/>
            <w:shd w:val="clear" w:color="auto" w:fill="auto"/>
            <w:tcMar>
              <w:left w:w="108" w:type="dxa"/>
            </w:tcMar>
          </w:tcPr>
          <w:p w:rsidR="00FE6F78" w:rsidRPr="000F7D2D" w:rsidRDefault="0088422B" w:rsidP="000F7D2D">
            <w:pPr>
              <w:tabs>
                <w:tab w:val="center" w:pos="1141"/>
                <w:tab w:val="right" w:pos="2282"/>
              </w:tabs>
              <w:spacing w:before="240"/>
              <w:jc w:val="center"/>
            </w:pPr>
            <w:bookmarkStart w:id="0" w:name="_GoBack"/>
            <w:bookmarkEnd w:id="0"/>
            <w:r w:rsidRPr="000F7D2D">
              <w:rPr>
                <w:b/>
              </w:rPr>
              <w:t>P</w:t>
            </w:r>
            <w:r w:rsidR="00946BE8" w:rsidRPr="000F7D2D">
              <w:rPr>
                <w:b/>
              </w:rPr>
              <w:t>athway ID</w:t>
            </w:r>
          </w:p>
        </w:tc>
        <w:tc>
          <w:tcPr>
            <w:tcW w:w="4344" w:type="dxa"/>
            <w:shd w:val="clear" w:color="auto" w:fill="auto"/>
            <w:tcMar>
              <w:left w:w="108" w:type="dxa"/>
            </w:tcMar>
          </w:tcPr>
          <w:p w:rsidR="00FE6F78" w:rsidRPr="000F7D2D" w:rsidRDefault="003A303A" w:rsidP="000F7D2D">
            <w:pPr>
              <w:spacing w:before="240"/>
              <w:jc w:val="center"/>
            </w:pPr>
            <w:r w:rsidRPr="000F7D2D">
              <w:rPr>
                <w:b/>
              </w:rPr>
              <w:t>Pathway name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:rsidR="00FE6F78" w:rsidRPr="000F7D2D" w:rsidRDefault="003A303A" w:rsidP="000F7D2D">
            <w:pPr>
              <w:spacing w:before="240"/>
              <w:jc w:val="center"/>
            </w:pPr>
            <w:r w:rsidRPr="000F7D2D">
              <w:rPr>
                <w:b/>
              </w:rPr>
              <w:t>Pathway size</w:t>
            </w:r>
          </w:p>
        </w:tc>
        <w:tc>
          <w:tcPr>
            <w:tcW w:w="5245" w:type="dxa"/>
            <w:shd w:val="clear" w:color="auto" w:fill="auto"/>
            <w:tcMar>
              <w:left w:w="108" w:type="dxa"/>
            </w:tcMar>
          </w:tcPr>
          <w:p w:rsidR="00FE6F78" w:rsidRPr="000F7D2D" w:rsidRDefault="003A303A" w:rsidP="000F7D2D">
            <w:pPr>
              <w:spacing w:before="240"/>
              <w:jc w:val="center"/>
            </w:pPr>
            <w:r w:rsidRPr="000F7D2D">
              <w:rPr>
                <w:b/>
              </w:rPr>
              <w:t>Hits</w:t>
            </w:r>
          </w:p>
        </w:tc>
      </w:tr>
      <w:tr w:rsidR="00FE6F78" w:rsidTr="000F7D2D">
        <w:tc>
          <w:tcPr>
            <w:tcW w:w="1293" w:type="dxa"/>
            <w:shd w:val="clear" w:color="auto" w:fill="FFFFFF"/>
            <w:tcMar>
              <w:left w:w="108" w:type="dxa"/>
            </w:tcMar>
            <w:vAlign w:val="center"/>
          </w:tcPr>
          <w:p w:rsidR="00FE6F78" w:rsidRPr="000F7D2D" w:rsidRDefault="003A303A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WP2740</w:t>
            </w:r>
          </w:p>
        </w:tc>
        <w:tc>
          <w:tcPr>
            <w:tcW w:w="4344" w:type="dxa"/>
            <w:shd w:val="clear" w:color="auto" w:fill="FFFFFF"/>
            <w:tcMar>
              <w:left w:w="108" w:type="dxa"/>
            </w:tcMar>
            <w:vAlign w:val="center"/>
          </w:tcPr>
          <w:p w:rsidR="00FE6F78" w:rsidRPr="000F7D2D" w:rsidRDefault="003A303A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Glycerophospholipid biosynthesis</w:t>
            </w:r>
          </w:p>
        </w:tc>
        <w:tc>
          <w:tcPr>
            <w:tcW w:w="1417" w:type="dxa"/>
            <w:shd w:val="clear" w:color="auto" w:fill="FFFFFF"/>
            <w:tcMar>
              <w:left w:w="108" w:type="dxa"/>
            </w:tcMar>
          </w:tcPr>
          <w:p w:rsidR="00FE6F78" w:rsidRPr="000F7D2D" w:rsidRDefault="003A303A" w:rsidP="00721DA5">
            <w:pPr>
              <w:spacing w:after="0"/>
              <w:jc w:val="center"/>
              <w:rPr>
                <w:rFonts w:cs="Arial"/>
                <w:color w:val="4F4F4F"/>
              </w:rPr>
            </w:pPr>
            <w:r w:rsidRPr="000F7D2D">
              <w:rPr>
                <w:rFonts w:cs="Arial"/>
                <w:color w:val="4F4F4F"/>
              </w:rPr>
              <w:t>10</w:t>
            </w:r>
            <w:r w:rsidR="00721DA5" w:rsidRPr="000F7D2D">
              <w:rPr>
                <w:rFonts w:cs="Arial"/>
                <w:color w:val="4F4F4F"/>
              </w:rPr>
              <w:t>1</w:t>
            </w:r>
          </w:p>
        </w:tc>
        <w:tc>
          <w:tcPr>
            <w:tcW w:w="5245" w:type="dxa"/>
            <w:shd w:val="clear" w:color="auto" w:fill="FFFFFF"/>
            <w:tcMar>
              <w:left w:w="108" w:type="dxa"/>
            </w:tcMar>
            <w:vAlign w:val="center"/>
          </w:tcPr>
          <w:p w:rsidR="00FE6F78" w:rsidRPr="000F7D2D" w:rsidRDefault="00721DA5" w:rsidP="00721DA5">
            <w:pPr>
              <w:spacing w:after="0"/>
              <w:jc w:val="center"/>
            </w:pPr>
            <w:r w:rsidRPr="000F7D2D">
              <w:rPr>
                <w:rFonts w:cs="Arial"/>
                <w:i/>
                <w:color w:val="4F4F4F"/>
              </w:rPr>
              <w:t>PLB1</w:t>
            </w:r>
            <w:r w:rsidR="00946BE8" w:rsidRPr="000F7D2D">
              <w:rPr>
                <w:rFonts w:cs="Arial"/>
                <w:i/>
                <w:color w:val="4F4F4F"/>
              </w:rPr>
              <w:t xml:space="preserve"> </w:t>
            </w:r>
            <w:r w:rsidR="00946BE8" w:rsidRPr="000F7D2D">
              <w:rPr>
                <w:rFonts w:cs="Arial"/>
                <w:color w:val="4F4F4F"/>
              </w:rPr>
              <w:t xml:space="preserve">- </w:t>
            </w:r>
            <w:r w:rsidRPr="000F7D2D">
              <w:rPr>
                <w:rFonts w:cs="Arial"/>
                <w:i/>
                <w:color w:val="4F4F4F"/>
              </w:rPr>
              <w:t>PISD</w:t>
            </w:r>
            <w:r w:rsidR="00946BE8" w:rsidRPr="000F7D2D">
              <w:rPr>
                <w:rFonts w:cs="Arial"/>
                <w:i/>
                <w:color w:val="4F4F4F"/>
              </w:rPr>
              <w:t xml:space="preserve"> </w:t>
            </w:r>
            <w:r w:rsidR="00946BE8" w:rsidRPr="000F7D2D">
              <w:rPr>
                <w:rFonts w:cs="Arial"/>
                <w:color w:val="4F4F4F"/>
              </w:rPr>
              <w:t xml:space="preserve">– Serine - </w:t>
            </w:r>
            <w:r w:rsidRPr="000F7D2D">
              <w:rPr>
                <w:rFonts w:cs="Arial"/>
                <w:color w:val="4F4F4F"/>
              </w:rPr>
              <w:t>1,2-diacyl-sn-glycero-3-</w:t>
            </w:r>
            <w:r w:rsidR="000F7D2D" w:rsidRPr="000F7D2D">
              <w:rPr>
                <w:rFonts w:cs="Arial"/>
                <w:color w:val="4F4F4F"/>
              </w:rPr>
              <w:t>phosphocholine (</w:t>
            </w:r>
            <w:r w:rsidRPr="000F7D2D">
              <w:rPr>
                <w:rFonts w:cs="Arial"/>
                <w:color w:val="4F4F4F"/>
              </w:rPr>
              <w:t>1+)</w:t>
            </w:r>
          </w:p>
        </w:tc>
      </w:tr>
      <w:tr w:rsidR="00721DA5" w:rsidTr="000F7D2D">
        <w:tc>
          <w:tcPr>
            <w:tcW w:w="1293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WP1880</w:t>
            </w:r>
          </w:p>
        </w:tc>
        <w:tc>
          <w:tcPr>
            <w:tcW w:w="4344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Phase II conjugation</w:t>
            </w:r>
          </w:p>
        </w:tc>
        <w:tc>
          <w:tcPr>
            <w:tcW w:w="1417" w:type="dxa"/>
            <w:shd w:val="clear" w:color="auto" w:fill="F2F5F9"/>
            <w:tcMar>
              <w:left w:w="108" w:type="dxa"/>
            </w:tcMar>
          </w:tcPr>
          <w:p w:rsidR="00721DA5" w:rsidRPr="000F7D2D" w:rsidRDefault="00721DA5" w:rsidP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139</w:t>
            </w:r>
          </w:p>
        </w:tc>
        <w:tc>
          <w:tcPr>
            <w:tcW w:w="5245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i/>
                <w:color w:val="4F4F4F"/>
              </w:rPr>
              <w:t>MTRR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Serine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Threonine</w:t>
            </w:r>
          </w:p>
        </w:tc>
      </w:tr>
      <w:tr w:rsidR="00721DA5" w:rsidTr="000F7D2D">
        <w:tc>
          <w:tcPr>
            <w:tcW w:w="1293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WP1533</w:t>
            </w:r>
          </w:p>
        </w:tc>
        <w:tc>
          <w:tcPr>
            <w:tcW w:w="4344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Vitamin B12 Metabolism</w:t>
            </w:r>
          </w:p>
        </w:tc>
        <w:tc>
          <w:tcPr>
            <w:tcW w:w="1417" w:type="dxa"/>
            <w:shd w:val="clear" w:color="auto" w:fill="FFFFFF"/>
            <w:tcMar>
              <w:left w:w="108" w:type="dxa"/>
            </w:tcMar>
          </w:tcPr>
          <w:p w:rsidR="00721DA5" w:rsidRPr="000F7D2D" w:rsidRDefault="00721DA5" w:rsidP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112</w:t>
            </w:r>
          </w:p>
        </w:tc>
        <w:tc>
          <w:tcPr>
            <w:tcW w:w="5245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MTRR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Serine</w:t>
            </w:r>
          </w:p>
        </w:tc>
      </w:tr>
      <w:tr w:rsidR="00721DA5" w:rsidTr="000F7D2D">
        <w:tc>
          <w:tcPr>
            <w:tcW w:w="1293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  <w:lang w:val="sv-SE"/>
              </w:rPr>
              <w:t>WP2650</w:t>
            </w:r>
          </w:p>
        </w:tc>
        <w:tc>
          <w:tcPr>
            <w:tcW w:w="4344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  <w:rPr>
                <w:rFonts w:cs="Arial"/>
                <w:color w:val="4F4F4F"/>
              </w:rPr>
            </w:pPr>
            <w:r w:rsidRPr="000F7D2D">
              <w:rPr>
                <w:rFonts w:cs="Arial"/>
                <w:color w:val="4F4F4F"/>
              </w:rPr>
              <w:t>Arachidonic acid metabolism</w:t>
            </w:r>
          </w:p>
        </w:tc>
        <w:tc>
          <w:tcPr>
            <w:tcW w:w="1417" w:type="dxa"/>
            <w:shd w:val="clear" w:color="auto" w:fill="F2F5F9"/>
            <w:tcMar>
              <w:left w:w="108" w:type="dxa"/>
            </w:tcMar>
          </w:tcPr>
          <w:p w:rsidR="00721DA5" w:rsidRPr="000F7D2D" w:rsidRDefault="00721DA5" w:rsidP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102</w:t>
            </w:r>
          </w:p>
        </w:tc>
        <w:tc>
          <w:tcPr>
            <w:tcW w:w="5245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ALOX5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 xml:space="preserve"> 1,2-diacyl-sn-glycero-3-</w:t>
            </w:r>
            <w:r w:rsidR="000F7D2D" w:rsidRPr="000F7D2D">
              <w:rPr>
                <w:rFonts w:cs="Arial"/>
                <w:color w:val="4F4F4F"/>
              </w:rPr>
              <w:t>phosphocholine (</w:t>
            </w:r>
            <w:r w:rsidRPr="000F7D2D">
              <w:rPr>
                <w:rFonts w:cs="Arial"/>
                <w:color w:val="4F4F4F"/>
              </w:rPr>
              <w:t>1+)</w:t>
            </w:r>
          </w:p>
        </w:tc>
      </w:tr>
      <w:tr w:rsidR="00721DA5" w:rsidTr="000F7D2D">
        <w:tc>
          <w:tcPr>
            <w:tcW w:w="1293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WP1857</w:t>
            </w:r>
          </w:p>
        </w:tc>
        <w:tc>
          <w:tcPr>
            <w:tcW w:w="4344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Metabolism of water-soluble vitamins and cofactors</w:t>
            </w:r>
          </w:p>
        </w:tc>
        <w:tc>
          <w:tcPr>
            <w:tcW w:w="1417" w:type="dxa"/>
            <w:shd w:val="clear" w:color="auto" w:fill="FFFFFF"/>
            <w:tcMar>
              <w:left w:w="108" w:type="dxa"/>
            </w:tcMar>
          </w:tcPr>
          <w:p w:rsidR="00721DA5" w:rsidRPr="000F7D2D" w:rsidRDefault="00721DA5" w:rsidP="00721DA5">
            <w:pPr>
              <w:spacing w:after="0"/>
              <w:jc w:val="center"/>
            </w:pPr>
            <w:bookmarkStart w:id="1" w:name="_GoBack2"/>
            <w:bookmarkEnd w:id="1"/>
            <w:r w:rsidRPr="000F7D2D">
              <w:rPr>
                <w:rFonts w:cs="Arial"/>
                <w:color w:val="4F4F4F"/>
              </w:rPr>
              <w:t>168</w:t>
            </w:r>
          </w:p>
        </w:tc>
        <w:tc>
          <w:tcPr>
            <w:tcW w:w="5245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MTRR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Serine</w:t>
            </w:r>
          </w:p>
        </w:tc>
      </w:tr>
      <w:tr w:rsidR="00721DA5" w:rsidTr="000F7D2D">
        <w:tc>
          <w:tcPr>
            <w:tcW w:w="1293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WP2693</w:t>
            </w:r>
          </w:p>
        </w:tc>
        <w:tc>
          <w:tcPr>
            <w:tcW w:w="4344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Metabolism of amino acids and derivatives</w:t>
            </w:r>
          </w:p>
        </w:tc>
        <w:tc>
          <w:tcPr>
            <w:tcW w:w="1417" w:type="dxa"/>
            <w:shd w:val="clear" w:color="auto" w:fill="F2F5F9"/>
            <w:tcMar>
              <w:left w:w="108" w:type="dxa"/>
            </w:tcMar>
          </w:tcPr>
          <w:p w:rsidR="00721DA5" w:rsidRPr="000F7D2D" w:rsidRDefault="00721DA5" w:rsidP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3</w:t>
            </w:r>
            <w:r w:rsidR="00127388" w:rsidRPr="000F7D2D">
              <w:rPr>
                <w:rFonts w:cs="Arial"/>
                <w:color w:val="4F4F4F"/>
              </w:rPr>
              <w:t>58</w:t>
            </w:r>
          </w:p>
        </w:tc>
        <w:tc>
          <w:tcPr>
            <w:tcW w:w="5245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MTRR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Serine</w:t>
            </w:r>
          </w:p>
        </w:tc>
      </w:tr>
      <w:tr w:rsidR="00721DA5" w:rsidTr="000F7D2D">
        <w:tc>
          <w:tcPr>
            <w:tcW w:w="1293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WP176</w:t>
            </w:r>
          </w:p>
        </w:tc>
        <w:tc>
          <w:tcPr>
            <w:tcW w:w="4344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Folate metabolism</w:t>
            </w:r>
          </w:p>
        </w:tc>
        <w:tc>
          <w:tcPr>
            <w:tcW w:w="1417" w:type="dxa"/>
            <w:shd w:val="clear" w:color="auto" w:fill="FFFFFF"/>
            <w:tcMar>
              <w:left w:w="108" w:type="dxa"/>
            </w:tcMar>
          </w:tcPr>
          <w:p w:rsidR="00721DA5" w:rsidRPr="000F7D2D" w:rsidRDefault="00127388" w:rsidP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132</w:t>
            </w:r>
          </w:p>
        </w:tc>
        <w:tc>
          <w:tcPr>
            <w:tcW w:w="5245" w:type="dxa"/>
            <w:shd w:val="clear" w:color="auto" w:fill="FFFFFF"/>
            <w:tcMar>
              <w:left w:w="108" w:type="dxa"/>
            </w:tcMar>
            <w:vAlign w:val="center"/>
          </w:tcPr>
          <w:p w:rsidR="00721DA5" w:rsidRPr="000F7D2D" w:rsidRDefault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MTRR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Serine</w:t>
            </w:r>
          </w:p>
        </w:tc>
      </w:tr>
      <w:tr w:rsidR="00721DA5" w:rsidTr="000F7D2D">
        <w:tc>
          <w:tcPr>
            <w:tcW w:w="1293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>
            <w:pPr>
              <w:spacing w:after="0"/>
              <w:jc w:val="center"/>
            </w:pPr>
            <w:r w:rsidRPr="000F7D2D">
              <w:rPr>
                <w:rFonts w:cs="Arial"/>
                <w:color w:val="4F4F4F"/>
                <w:lang w:val="sv-SE"/>
              </w:rPr>
              <w:t>WP2719</w:t>
            </w:r>
          </w:p>
        </w:tc>
        <w:tc>
          <w:tcPr>
            <w:tcW w:w="4344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721DA5" w:rsidP="000F7D2D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Fc</w:t>
            </w:r>
            <w:r w:rsidR="000F7D2D">
              <w:rPr>
                <w:rFonts w:cs="Arial"/>
                <w:color w:val="4F4F4F"/>
              </w:rPr>
              <w:t xml:space="preserve"> </w:t>
            </w:r>
            <w:r w:rsidRPr="000F7D2D">
              <w:rPr>
                <w:rFonts w:cs="Arial"/>
                <w:color w:val="4F4F4F"/>
              </w:rPr>
              <w:t>gamma receptor dependent phagocytosis</w:t>
            </w:r>
          </w:p>
        </w:tc>
        <w:tc>
          <w:tcPr>
            <w:tcW w:w="1417" w:type="dxa"/>
            <w:shd w:val="clear" w:color="auto" w:fill="F2F5F9"/>
            <w:tcMar>
              <w:left w:w="108" w:type="dxa"/>
            </w:tcMar>
          </w:tcPr>
          <w:p w:rsidR="00721DA5" w:rsidRPr="000F7D2D" w:rsidRDefault="00127388" w:rsidP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79</w:t>
            </w:r>
          </w:p>
        </w:tc>
        <w:tc>
          <w:tcPr>
            <w:tcW w:w="5245" w:type="dxa"/>
            <w:shd w:val="clear" w:color="auto" w:fill="F2F5F9"/>
            <w:tcMar>
              <w:left w:w="108" w:type="dxa"/>
            </w:tcMar>
            <w:vAlign w:val="center"/>
          </w:tcPr>
          <w:p w:rsidR="00721DA5" w:rsidRPr="000F7D2D" w:rsidRDefault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MYO10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 xml:space="preserve"> 1,2-diacyl-sn-glycero-3-</w:t>
            </w:r>
            <w:r w:rsidR="000F7D2D" w:rsidRPr="000F7D2D">
              <w:rPr>
                <w:rFonts w:cs="Arial"/>
                <w:color w:val="4F4F4F"/>
              </w:rPr>
              <w:t>phosphocholine (</w:t>
            </w:r>
            <w:r w:rsidRPr="000F7D2D">
              <w:rPr>
                <w:rFonts w:cs="Arial"/>
                <w:color w:val="4F4F4F"/>
              </w:rPr>
              <w:t>1+)</w:t>
            </w:r>
          </w:p>
        </w:tc>
      </w:tr>
      <w:tr w:rsidR="00721DA5" w:rsidTr="000F7D2D">
        <w:tc>
          <w:tcPr>
            <w:tcW w:w="129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WP15</w:t>
            </w:r>
          </w:p>
        </w:tc>
        <w:tc>
          <w:tcPr>
            <w:tcW w:w="434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721DA5" w:rsidRPr="000F7D2D" w:rsidRDefault="00721DA5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Selenium Micronutrient Network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721DA5" w:rsidRPr="000F7D2D" w:rsidRDefault="00127388" w:rsidP="00127388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188</w:t>
            </w: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721DA5" w:rsidRPr="000F7D2D" w:rsidRDefault="00127388" w:rsidP="004979A3">
            <w:pPr>
              <w:spacing w:after="0"/>
              <w:jc w:val="center"/>
            </w:pPr>
            <w:r w:rsidRPr="000F7D2D">
              <w:rPr>
                <w:rFonts w:cs="Arial"/>
                <w:color w:val="4F4F4F"/>
              </w:rPr>
              <w:t>ALOX5</w:t>
            </w:r>
            <w:r w:rsidR="006E35E8" w:rsidRPr="000F7D2D">
              <w:rPr>
                <w:rFonts w:cs="Arial"/>
                <w:color w:val="4F4F4F"/>
              </w:rPr>
              <w:t xml:space="preserve"> - </w:t>
            </w:r>
            <w:r w:rsidRPr="000F7D2D">
              <w:rPr>
                <w:rFonts w:cs="Arial"/>
                <w:color w:val="4F4F4F"/>
              </w:rPr>
              <w:t>Serine</w:t>
            </w:r>
          </w:p>
        </w:tc>
      </w:tr>
    </w:tbl>
    <w:p w:rsidR="00FE6F78" w:rsidRDefault="00FE6F78"/>
    <w:sectPr w:rsidR="00FE6F78" w:rsidSect="000F7D2D">
      <w:pgSz w:w="15840" w:h="12240" w:orient="landscape"/>
      <w:pgMar w:top="1800" w:right="1440" w:bottom="1800" w:left="1440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78"/>
    <w:rsid w:val="000F7D2D"/>
    <w:rsid w:val="00127388"/>
    <w:rsid w:val="00203BE0"/>
    <w:rsid w:val="003A303A"/>
    <w:rsid w:val="006E35E8"/>
    <w:rsid w:val="00721DA5"/>
    <w:rsid w:val="0088422B"/>
    <w:rsid w:val="00946BE8"/>
    <w:rsid w:val="00FE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spacing w:after="16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</w:style>
  <w:style w:type="table" w:styleId="Tabellenraster">
    <w:name w:val="Table Grid"/>
    <w:basedOn w:val="NormaleTabelle"/>
    <w:uiPriority w:val="39"/>
    <w:rsid w:val="0056223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spacing w:after="16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</w:style>
  <w:style w:type="table" w:styleId="Tabellenraster">
    <w:name w:val="Table Grid"/>
    <w:basedOn w:val="NormaleTabelle"/>
    <w:uiPriority w:val="39"/>
    <w:rsid w:val="0056223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UserID</dc:creator>
  <cp:lastModifiedBy>katrin.rauner</cp:lastModifiedBy>
  <cp:revision>2</cp:revision>
  <dcterms:created xsi:type="dcterms:W3CDTF">2016-08-05T08:49:00Z</dcterms:created>
  <dcterms:modified xsi:type="dcterms:W3CDTF">2016-08-05T08:49:00Z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