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B6" w:rsidRDefault="007A6FB6">
      <w:pPr>
        <w:rPr>
          <w:rFonts w:ascii="Calibri-Bold" w:hAnsi="Calibri-Bold" w:hint="eastAsia"/>
          <w:b/>
          <w:bCs/>
          <w:color w:val="000000"/>
        </w:rPr>
      </w:pPr>
      <w:bookmarkStart w:id="0" w:name="_GoBack"/>
      <w:bookmarkEnd w:id="0"/>
      <w:r>
        <w:rPr>
          <w:rFonts w:ascii="Calibri-Bold" w:hAnsi="Calibri-Bold"/>
          <w:b/>
          <w:bCs/>
          <w:color w:val="000000"/>
        </w:rPr>
        <w:t>Supplement:</w:t>
      </w:r>
    </w:p>
    <w:p w:rsidR="007A6FB6" w:rsidRPr="007A6FB6" w:rsidRDefault="007A6FB6" w:rsidP="007A6FB6">
      <w:pPr>
        <w:rPr>
          <w:rFonts w:ascii="Calibri-Bold" w:hAnsi="Calibri-Bold" w:hint="eastAsia"/>
          <w:b/>
          <w:bCs/>
          <w:color w:val="000000"/>
        </w:rPr>
      </w:pPr>
      <w:r w:rsidRPr="007A6FB6">
        <w:rPr>
          <w:rFonts w:ascii="Calibri-Bold" w:hAnsi="Calibri-Bold"/>
          <w:b/>
          <w:bCs/>
          <w:color w:val="000000"/>
        </w:rPr>
        <w:t>TAGLN2, a novel regulator involved in H</w:t>
      </w:r>
      <w:r w:rsidR="00AD6CD5">
        <w:rPr>
          <w:rFonts w:ascii="Calibri-Bold" w:hAnsi="Calibri-Bold"/>
          <w:b/>
          <w:bCs/>
          <w:color w:val="000000"/>
        </w:rPr>
        <w:t xml:space="preserve">epatitis </w:t>
      </w:r>
      <w:r w:rsidRPr="007A6FB6">
        <w:rPr>
          <w:rFonts w:ascii="Calibri-Bold" w:hAnsi="Calibri-Bold"/>
          <w:b/>
          <w:bCs/>
          <w:color w:val="000000"/>
        </w:rPr>
        <w:t>B</w:t>
      </w:r>
      <w:r w:rsidR="00AD6CD5">
        <w:rPr>
          <w:rFonts w:ascii="Calibri-Bold" w:hAnsi="Calibri-Bold"/>
          <w:b/>
          <w:bCs/>
          <w:color w:val="000000"/>
        </w:rPr>
        <w:t xml:space="preserve"> </w:t>
      </w:r>
      <w:r w:rsidRPr="007A6FB6">
        <w:rPr>
          <w:rFonts w:ascii="Calibri-Bold" w:hAnsi="Calibri-Bold"/>
          <w:b/>
          <w:bCs/>
          <w:color w:val="000000"/>
        </w:rPr>
        <w:t>V</w:t>
      </w:r>
      <w:r w:rsidR="00AD6CD5">
        <w:rPr>
          <w:rFonts w:ascii="Calibri-Bold" w:hAnsi="Calibri-Bold"/>
          <w:b/>
          <w:bCs/>
          <w:color w:val="000000"/>
        </w:rPr>
        <w:t>irus</w:t>
      </w:r>
      <w:r w:rsidRPr="007A6FB6">
        <w:rPr>
          <w:rFonts w:ascii="Calibri-Bold" w:hAnsi="Calibri-Bold"/>
          <w:b/>
          <w:bCs/>
          <w:color w:val="000000"/>
        </w:rPr>
        <w:t xml:space="preserve"> </w:t>
      </w:r>
      <w:r w:rsidR="00101F87" w:rsidRPr="007A6FB6">
        <w:rPr>
          <w:rFonts w:ascii="Calibri-Bold" w:hAnsi="Calibri-Bold"/>
          <w:b/>
          <w:bCs/>
          <w:color w:val="000000"/>
        </w:rPr>
        <w:t xml:space="preserve">replication </w:t>
      </w:r>
      <w:r w:rsidRPr="007A6FB6">
        <w:rPr>
          <w:rFonts w:ascii="Calibri-Bold" w:hAnsi="Calibri-Bold"/>
          <w:b/>
          <w:bCs/>
          <w:color w:val="000000"/>
        </w:rPr>
        <w:t xml:space="preserve">and </w:t>
      </w:r>
      <w:r w:rsidR="00101F87" w:rsidRPr="007A6FB6">
        <w:rPr>
          <w:rFonts w:ascii="Calibri-Bold" w:hAnsi="Calibri-Bold"/>
          <w:b/>
          <w:bCs/>
          <w:color w:val="000000"/>
        </w:rPr>
        <w:t>transcription</w:t>
      </w:r>
    </w:p>
    <w:p w:rsidR="007A6FB6" w:rsidRPr="007A6FB6" w:rsidRDefault="007A6FB6" w:rsidP="007A6FB6">
      <w:pPr>
        <w:rPr>
          <w:rFonts w:ascii="Calibri-Bold" w:hAnsi="Calibri-Bold" w:hint="eastAsia"/>
          <w:bCs/>
          <w:color w:val="000000"/>
        </w:rPr>
      </w:pPr>
      <w:r w:rsidRPr="007A6FB6">
        <w:rPr>
          <w:rFonts w:ascii="Calibri-Bold" w:hAnsi="Calibri-Bold"/>
          <w:bCs/>
          <w:color w:val="000000"/>
        </w:rPr>
        <w:t>Youjia Yu</w:t>
      </w:r>
      <w:r w:rsidRPr="00AD6CD5">
        <w:rPr>
          <w:rFonts w:ascii="Calibri-Bold" w:hAnsi="Calibri-Bold"/>
          <w:bCs/>
          <w:color w:val="000000"/>
          <w:vertAlign w:val="superscript"/>
        </w:rPr>
        <w:t xml:space="preserve"> </w:t>
      </w:r>
      <w:r w:rsidR="00AD6CD5" w:rsidRPr="00AD6CD5">
        <w:rPr>
          <w:rFonts w:ascii="Calibri-Bold" w:hAnsi="Calibri-Bold"/>
          <w:bCs/>
          <w:color w:val="000000"/>
          <w:vertAlign w:val="superscript"/>
        </w:rPr>
        <w:t>a</w:t>
      </w:r>
      <w:r w:rsidRPr="00AD6CD5">
        <w:rPr>
          <w:rFonts w:ascii="Calibri-Bold" w:hAnsi="Calibri-Bold"/>
          <w:bCs/>
          <w:color w:val="000000"/>
          <w:vertAlign w:val="superscript"/>
        </w:rPr>
        <w:t>,†</w:t>
      </w:r>
      <w:r w:rsidRPr="007A6FB6">
        <w:rPr>
          <w:rFonts w:ascii="Calibri-Bold" w:hAnsi="Calibri-Bold"/>
          <w:bCs/>
          <w:color w:val="000000"/>
        </w:rPr>
        <w:t xml:space="preserve">, Zhiliang He </w:t>
      </w:r>
      <w:r w:rsidR="00AD6CD5" w:rsidRPr="00AD6CD5">
        <w:rPr>
          <w:rFonts w:ascii="Calibri-Bold" w:hAnsi="Calibri-Bold"/>
          <w:bCs/>
          <w:color w:val="000000"/>
          <w:vertAlign w:val="superscript"/>
        </w:rPr>
        <w:t>b</w:t>
      </w:r>
      <w:r w:rsidRPr="00AD6CD5">
        <w:rPr>
          <w:rFonts w:ascii="Calibri-Bold" w:hAnsi="Calibri-Bold"/>
          <w:bCs/>
          <w:color w:val="000000"/>
          <w:vertAlign w:val="superscript"/>
        </w:rPr>
        <w:t>, †</w:t>
      </w:r>
      <w:r w:rsidRPr="007A6FB6">
        <w:rPr>
          <w:rFonts w:ascii="Calibri-Bold" w:hAnsi="Calibri-Bold"/>
          <w:bCs/>
          <w:color w:val="000000"/>
        </w:rPr>
        <w:t xml:space="preserve">, Yong Cao </w:t>
      </w:r>
      <w:r w:rsidR="00AD6CD5" w:rsidRPr="00AD6CD5">
        <w:rPr>
          <w:rFonts w:ascii="Calibri-Bold" w:hAnsi="Calibri-Bold"/>
          <w:bCs/>
          <w:color w:val="000000"/>
          <w:vertAlign w:val="superscript"/>
        </w:rPr>
        <w:t>a</w:t>
      </w:r>
      <w:r w:rsidRPr="007A6FB6">
        <w:rPr>
          <w:rFonts w:ascii="Calibri-Bold" w:hAnsi="Calibri-Bold"/>
          <w:bCs/>
          <w:color w:val="000000"/>
        </w:rPr>
        <w:t xml:space="preserve">, Hong Tang </w:t>
      </w:r>
      <w:r w:rsidR="00AD6CD5" w:rsidRPr="00AD6CD5">
        <w:rPr>
          <w:rFonts w:ascii="Calibri-Bold" w:hAnsi="Calibri-Bold"/>
          <w:bCs/>
          <w:color w:val="000000"/>
          <w:vertAlign w:val="superscript"/>
        </w:rPr>
        <w:t>b,c</w:t>
      </w:r>
      <w:r w:rsidRPr="007A6FB6">
        <w:rPr>
          <w:rFonts w:ascii="Calibri-Bold" w:hAnsi="Calibri-Bold"/>
          <w:bCs/>
          <w:color w:val="000000"/>
        </w:rPr>
        <w:t xml:space="preserve">,*, Feijun Huang </w:t>
      </w:r>
      <w:r w:rsidR="00AD6CD5" w:rsidRPr="00AD6CD5">
        <w:rPr>
          <w:rFonts w:ascii="Calibri-Bold" w:hAnsi="Calibri-Bold"/>
          <w:bCs/>
          <w:color w:val="000000"/>
          <w:vertAlign w:val="superscript"/>
        </w:rPr>
        <w:t>a</w:t>
      </w:r>
      <w:r w:rsidRPr="007A6FB6">
        <w:rPr>
          <w:rFonts w:ascii="Calibri-Bold" w:hAnsi="Calibri-Bold"/>
          <w:bCs/>
          <w:color w:val="000000"/>
        </w:rPr>
        <w:t>,*</w:t>
      </w:r>
    </w:p>
    <w:p w:rsidR="007A6FB6" w:rsidRPr="00FB00FE" w:rsidRDefault="007A6FB6">
      <w:pPr>
        <w:rPr>
          <w:rFonts w:ascii="Calibri-Bold" w:hAnsi="Calibri-Bold" w:hint="eastAsia"/>
          <w:b/>
          <w:bCs/>
          <w:color w:val="000000"/>
        </w:rPr>
      </w:pPr>
    </w:p>
    <w:p w:rsidR="003A4F40" w:rsidRPr="007A6FB6" w:rsidRDefault="00F1460F">
      <w:pPr>
        <w:rPr>
          <w:rFonts w:ascii="Times New Roman" w:hAnsi="Times New Roman" w:cs="Times New Roman"/>
          <w:b/>
        </w:rPr>
      </w:pPr>
      <w:r w:rsidRPr="00FB00FE">
        <w:rPr>
          <w:rFonts w:ascii="Times New Roman" w:hAnsi="Times New Roman" w:cs="Times New Roman"/>
          <w:b/>
        </w:rPr>
        <w:t>Table 1</w:t>
      </w:r>
      <w:r w:rsidR="00FB425C" w:rsidRPr="00FB00FE">
        <w:rPr>
          <w:rFonts w:ascii="Times New Roman" w:hAnsi="Times New Roman" w:cs="Times New Roman"/>
          <w:b/>
        </w:rPr>
        <w:t xml:space="preserve"> </w:t>
      </w:r>
      <w:r w:rsidR="00FB425C" w:rsidRPr="00FB00FE">
        <w:rPr>
          <w:rFonts w:ascii="Times New Roman" w:hAnsi="Times New Roman" w:cs="Times New Roman"/>
          <w:b/>
          <w:color w:val="000000"/>
          <w:sz w:val="20"/>
          <w:szCs w:val="20"/>
        </w:rPr>
        <w:t>The AUC and P values in HBV-HCC tissues measured by ROC curve analysis</w:t>
      </w:r>
      <w:r w:rsidR="00FB425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tbl>
      <w:tblPr>
        <w:tblW w:w="606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160"/>
        <w:gridCol w:w="1840"/>
      </w:tblGrid>
      <w:tr w:rsidR="00F1460F" w:rsidRPr="00F1460F" w:rsidTr="00F1460F">
        <w:trPr>
          <w:trHeight w:val="270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AUC (95% CI)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0.607(0.384-0.83)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0.506(0.355-0.657)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0.939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0.526(0.361-0.692)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0.748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ishak score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0.519(0.355-0.683)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0.828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0.72(0.582-0.857)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invasion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0.507(0.349-0.664)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metastasis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0.512(0.349-0.674)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0.885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AFP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0.645(0.489-0.8)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0.092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0.532(0.318-0.746)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0.749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0.505(0.354-0.656)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0.95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0.567(0.414-0.72)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HBsAg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0.566(0.377-0.755)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0.46</w:t>
            </w:r>
          </w:p>
        </w:tc>
      </w:tr>
      <w:tr w:rsidR="00F1460F" w:rsidRPr="00F1460F" w:rsidTr="00F1460F">
        <w:trPr>
          <w:trHeight w:val="270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HBeAg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0.634(0.462-0.806)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460F" w:rsidRPr="00F1460F" w:rsidRDefault="00F1460F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</w:tr>
    </w:tbl>
    <w:p w:rsidR="00F1460F" w:rsidRDefault="00F1460F"/>
    <w:p w:rsidR="00DD10BE" w:rsidRPr="00FB00FE" w:rsidRDefault="00DD10BE">
      <w:pPr>
        <w:rPr>
          <w:b/>
        </w:rPr>
      </w:pPr>
      <w:r w:rsidRPr="00FB00FE">
        <w:rPr>
          <w:rFonts w:ascii="Times New Roman" w:hAnsi="Times New Roman" w:cs="Times New Roman" w:hint="eastAsia"/>
          <w:b/>
          <w:color w:val="000000"/>
          <w:sz w:val="20"/>
          <w:szCs w:val="20"/>
        </w:rPr>
        <w:t>Table</w:t>
      </w:r>
      <w:r w:rsidRPr="00FB00F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</w:t>
      </w:r>
      <w:r w:rsidR="00FB425C" w:rsidRPr="00FB00F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The AUC and P values in adjacent non-tumoral tissues measured by ROC curve analysis.</w:t>
      </w:r>
    </w:p>
    <w:tbl>
      <w:tblPr>
        <w:tblW w:w="64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600"/>
        <w:gridCol w:w="1840"/>
      </w:tblGrid>
      <w:tr w:rsidR="00DD10BE" w:rsidRPr="00C7267B" w:rsidTr="00731717">
        <w:trPr>
          <w:trHeight w:val="270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F1460F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F1460F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AUC (95% CI)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F1460F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460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0.52(0.322-0.717)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0.101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0.532(0.38-0.684)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0.078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0.511(0.355-0.667)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0.08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DD10BE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ISHAK</w:t>
            </w: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score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0.705(0.568-0.841)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0.609(0.456-0.761)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0.078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invasion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0.529(0.378-0.68)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0.077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metastasis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0.567(0.416-0.719)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0.077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AFP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0.502(0.34-0.663)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0.083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0.503(0.28-0.727)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0.114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0.594(0.447-0.741)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0.075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0.502(0.35-0.654)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0.078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HBsAg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0.542(0.387-0.698)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0.079</w:t>
            </w:r>
          </w:p>
        </w:tc>
      </w:tr>
      <w:tr w:rsidR="00DD10BE" w:rsidRPr="00C7267B" w:rsidTr="00731717">
        <w:trPr>
          <w:trHeight w:val="27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HBeAg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0.629(0.461-0.798)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DD10BE" w:rsidRPr="00C7267B" w:rsidRDefault="00DD10BE" w:rsidP="00DD10BE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7267B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0.086</w:t>
            </w:r>
          </w:p>
        </w:tc>
      </w:tr>
    </w:tbl>
    <w:p w:rsidR="00DD10BE" w:rsidRDefault="00DD10BE"/>
    <w:sectPr w:rsidR="00DD10B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15" w:rsidRDefault="00BC5E15" w:rsidP="00AD6CD5">
      <w:pPr>
        <w:spacing w:after="0" w:line="240" w:lineRule="auto"/>
      </w:pPr>
      <w:r>
        <w:separator/>
      </w:r>
    </w:p>
  </w:endnote>
  <w:endnote w:type="continuationSeparator" w:id="0">
    <w:p w:rsidR="00BC5E15" w:rsidRDefault="00BC5E15" w:rsidP="00A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15" w:rsidRDefault="00BC5E15" w:rsidP="00AD6CD5">
      <w:pPr>
        <w:spacing w:after="0" w:line="240" w:lineRule="auto"/>
      </w:pPr>
      <w:r>
        <w:separator/>
      </w:r>
    </w:p>
  </w:footnote>
  <w:footnote w:type="continuationSeparator" w:id="0">
    <w:p w:rsidR="00BC5E15" w:rsidRDefault="00BC5E15" w:rsidP="00AD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0F"/>
    <w:rsid w:val="00101F87"/>
    <w:rsid w:val="003A4F40"/>
    <w:rsid w:val="006F537B"/>
    <w:rsid w:val="007A6FB6"/>
    <w:rsid w:val="00A25840"/>
    <w:rsid w:val="00A43093"/>
    <w:rsid w:val="00AD6CD5"/>
    <w:rsid w:val="00BC5E15"/>
    <w:rsid w:val="00DD10BE"/>
    <w:rsid w:val="00E35B41"/>
    <w:rsid w:val="00F1460F"/>
    <w:rsid w:val="00FB00FE"/>
    <w:rsid w:val="00F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CD5"/>
    <w:pPr>
      <w:pBdr>
        <w:bottom w:val="single" w:sz="6" w:space="1" w:color="auto"/>
      </w:pBdr>
      <w:tabs>
        <w:tab w:val="center" w:pos="4703"/>
        <w:tab w:val="right" w:pos="94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CD5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D6CD5"/>
    <w:pPr>
      <w:tabs>
        <w:tab w:val="center" w:pos="4703"/>
        <w:tab w:val="right" w:pos="9406"/>
      </w:tabs>
      <w:snapToGrid w:val="0"/>
      <w:spacing w:line="240" w:lineRule="auto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D6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CD5"/>
    <w:pPr>
      <w:pBdr>
        <w:bottom w:val="single" w:sz="6" w:space="1" w:color="auto"/>
      </w:pBdr>
      <w:tabs>
        <w:tab w:val="center" w:pos="4703"/>
        <w:tab w:val="right" w:pos="94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CD5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D6CD5"/>
    <w:pPr>
      <w:tabs>
        <w:tab w:val="center" w:pos="4703"/>
        <w:tab w:val="right" w:pos="9406"/>
      </w:tabs>
      <w:snapToGrid w:val="0"/>
      <w:spacing w:line="240" w:lineRule="auto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D6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4</DocSecurity>
  <Lines>9</Lines>
  <Paragraphs>2</Paragraphs>
  <ScaleCrop>false</ScaleCrop>
  <Company>Helmholtz Zentrum München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katrin.rauner</cp:lastModifiedBy>
  <cp:revision>2</cp:revision>
  <dcterms:created xsi:type="dcterms:W3CDTF">2016-08-12T10:15:00Z</dcterms:created>
  <dcterms:modified xsi:type="dcterms:W3CDTF">2016-08-12T10:15:00Z</dcterms:modified>
</cp:coreProperties>
</file>