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79C" w:rsidRPr="00E9617A" w:rsidRDefault="004F079C" w:rsidP="00583A6F">
      <w:pPr>
        <w:spacing w:line="480" w:lineRule="auto"/>
        <w:rPr>
          <w:rFonts w:ascii="Times New Roman" w:hAnsi="Times New Roman"/>
          <w:b/>
          <w:noProof/>
        </w:rPr>
      </w:pPr>
      <w:r w:rsidRPr="00E9617A">
        <w:rPr>
          <w:rFonts w:ascii="Times New Roman" w:hAnsi="Times New Roman"/>
          <w:b/>
          <w:noProof/>
        </w:rPr>
        <w:t xml:space="preserve">HDAC inhibition protects degenerating cone photoreceptors </w:t>
      </w:r>
      <w:r w:rsidRPr="00E9617A">
        <w:rPr>
          <w:rFonts w:ascii="Times New Roman" w:hAnsi="Times New Roman"/>
          <w:b/>
          <w:i/>
          <w:noProof/>
        </w:rPr>
        <w:t xml:space="preserve">in vivo </w:t>
      </w:r>
      <w:r w:rsidRPr="00E9617A">
        <w:rPr>
          <w:rFonts w:ascii="Times New Roman" w:hAnsi="Times New Roman"/>
          <w:b/>
        </w:rPr>
        <w:t>in the</w:t>
      </w:r>
      <w:r w:rsidRPr="00E9617A">
        <w:rPr>
          <w:rFonts w:ascii="Times New Roman" w:hAnsi="Times New Roman"/>
          <w:b/>
          <w:i/>
        </w:rPr>
        <w:t xml:space="preserve"> cpfl1 </w:t>
      </w:r>
      <w:r w:rsidRPr="00E9617A">
        <w:rPr>
          <w:rFonts w:ascii="Times New Roman" w:hAnsi="Times New Roman"/>
          <w:b/>
        </w:rPr>
        <w:t>mouse</w:t>
      </w:r>
    </w:p>
    <w:p w:rsidR="004F079C" w:rsidRPr="00E9617A" w:rsidRDefault="004F079C" w:rsidP="00583A6F">
      <w:pPr>
        <w:spacing w:line="480" w:lineRule="auto"/>
        <w:rPr>
          <w:rFonts w:ascii="Times New Roman" w:hAnsi="Times New Roman"/>
          <w:noProof/>
        </w:rPr>
      </w:pPr>
      <w:r w:rsidRPr="00E9617A">
        <w:rPr>
          <w:rFonts w:ascii="Times New Roman" w:hAnsi="Times New Roman"/>
          <w:noProof/>
        </w:rPr>
        <w:t xml:space="preserve">Dragana Trifunović, Blanca Arango-Gonzalez, Antonella Comitato, Melanie Barth, </w:t>
      </w:r>
      <w:r w:rsidR="007163E8" w:rsidRPr="00E9617A">
        <w:rPr>
          <w:rFonts w:ascii="Times New Roman" w:hAnsi="Times New Roman"/>
          <w:noProof/>
        </w:rPr>
        <w:t xml:space="preserve">Eva M. del Amo, Manoj Kulkarni, </w:t>
      </w:r>
      <w:r w:rsidRPr="00E9617A">
        <w:rPr>
          <w:rFonts w:ascii="Times New Roman" w:hAnsi="Times New Roman"/>
          <w:noProof/>
        </w:rPr>
        <w:t>Ayse Sahaboglu, Stefanie M. Hauck, Arto Urtti, Yvan Arsenijevic, Marius Ueffing, Valeria Marigo, François Paquet-Durand</w:t>
      </w:r>
    </w:p>
    <w:p w:rsidR="004F079C" w:rsidRPr="00E9617A" w:rsidRDefault="00106D08" w:rsidP="00583A6F">
      <w:pPr>
        <w:spacing w:after="0"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3pt;height:312.75pt">
            <v:imagedata r:id="rId8" o:title="HDAC after TSA"/>
          </v:shape>
        </w:pict>
      </w:r>
    </w:p>
    <w:p w:rsidR="004F079C" w:rsidRPr="005F5299" w:rsidRDefault="004F079C" w:rsidP="00583A6F">
      <w:pPr>
        <w:spacing w:line="480" w:lineRule="auto"/>
        <w:rPr>
          <w:rFonts w:ascii="Times New Roman" w:hAnsi="Times New Roman"/>
          <w:color w:val="000000"/>
        </w:rPr>
      </w:pPr>
      <w:r w:rsidRPr="00E9617A">
        <w:rPr>
          <w:rFonts w:ascii="Times New Roman" w:hAnsi="Times New Roman"/>
          <w:b/>
        </w:rPr>
        <w:t xml:space="preserve">Figure </w:t>
      </w:r>
      <w:r>
        <w:rPr>
          <w:rFonts w:ascii="Times New Roman" w:hAnsi="Times New Roman"/>
          <w:b/>
        </w:rPr>
        <w:t>S</w:t>
      </w:r>
      <w:r w:rsidRPr="00E9617A">
        <w:rPr>
          <w:rFonts w:ascii="Times New Roman" w:hAnsi="Times New Roman"/>
          <w:b/>
        </w:rPr>
        <w:t>1</w:t>
      </w:r>
      <w:r w:rsidRPr="00E9617A">
        <w:rPr>
          <w:rFonts w:ascii="Times New Roman" w:hAnsi="Times New Roman"/>
        </w:rPr>
        <w:t xml:space="preserve">. HDAC activity was assessed </w:t>
      </w:r>
      <w:r w:rsidRPr="00E9617A">
        <w:rPr>
          <w:rFonts w:ascii="Times New Roman" w:hAnsi="Times New Roman"/>
          <w:i/>
        </w:rPr>
        <w:t>in vivo</w:t>
      </w:r>
      <w:r w:rsidRPr="00E9617A">
        <w:rPr>
          <w:rFonts w:ascii="Times New Roman" w:hAnsi="Times New Roman"/>
        </w:rPr>
        <w:t xml:space="preserve"> in wild-type (</w:t>
      </w:r>
      <w:proofErr w:type="spellStart"/>
      <w:r w:rsidRPr="00E9617A">
        <w:rPr>
          <w:rFonts w:ascii="Times New Roman" w:hAnsi="Times New Roman"/>
        </w:rPr>
        <w:t>wt</w:t>
      </w:r>
      <w:proofErr w:type="spellEnd"/>
      <w:r w:rsidRPr="00E9617A">
        <w:rPr>
          <w:rFonts w:ascii="Times New Roman" w:hAnsi="Times New Roman"/>
        </w:rPr>
        <w:t xml:space="preserve">) and </w:t>
      </w:r>
      <w:r w:rsidRPr="00E9617A">
        <w:rPr>
          <w:rFonts w:ascii="Times New Roman" w:hAnsi="Times New Roman"/>
          <w:i/>
        </w:rPr>
        <w:t>cpfl1</w:t>
      </w:r>
      <w:r w:rsidRPr="00E9617A">
        <w:rPr>
          <w:rFonts w:ascii="Times New Roman" w:hAnsi="Times New Roman"/>
        </w:rPr>
        <w:t xml:space="preserve"> photoreceptors at PN14 by an </w:t>
      </w:r>
      <w:r w:rsidRPr="00E9617A">
        <w:rPr>
          <w:rFonts w:ascii="Times New Roman" w:hAnsi="Times New Roman"/>
          <w:i/>
        </w:rPr>
        <w:t>in situ</w:t>
      </w:r>
      <w:r w:rsidRPr="00E9617A">
        <w:rPr>
          <w:rFonts w:ascii="Times New Roman" w:hAnsi="Times New Roman"/>
        </w:rPr>
        <w:t xml:space="preserve"> activity assay (a, b). The percentage of photoreceptors positive for </w:t>
      </w:r>
      <w:r>
        <w:rPr>
          <w:rFonts w:ascii="Times New Roman" w:hAnsi="Times New Roman"/>
        </w:rPr>
        <w:t xml:space="preserve">HDAC activity in the </w:t>
      </w:r>
      <w:proofErr w:type="spellStart"/>
      <w:r>
        <w:rPr>
          <w:rFonts w:ascii="Times New Roman" w:hAnsi="Times New Roman"/>
        </w:rPr>
        <w:t>wt</w:t>
      </w:r>
      <w:proofErr w:type="spellEnd"/>
      <w:r>
        <w:rPr>
          <w:rFonts w:ascii="Times New Roman" w:hAnsi="Times New Roman"/>
        </w:rPr>
        <w:t xml:space="preserve"> ONL was </w:t>
      </w:r>
      <w:r w:rsidRPr="00E9617A">
        <w:rPr>
          <w:rFonts w:ascii="Times New Roman" w:hAnsi="Times New Roman"/>
        </w:rPr>
        <w:t xml:space="preserve">negligible, </w:t>
      </w:r>
      <w:r>
        <w:rPr>
          <w:rFonts w:ascii="Times New Roman" w:hAnsi="Times New Roman"/>
        </w:rPr>
        <w:t>(</w:t>
      </w:r>
      <w:r w:rsidRPr="00E9617A">
        <w:rPr>
          <w:rFonts w:ascii="Times New Roman" w:hAnsi="Times New Roman"/>
        </w:rPr>
        <w:t>0.021%</w:t>
      </w:r>
      <w:r>
        <w:rPr>
          <w:rFonts w:ascii="Times New Roman" w:hAnsi="Times New Roman"/>
        </w:rPr>
        <w:t>)</w:t>
      </w:r>
      <w:r w:rsidRPr="00E9617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and</w:t>
      </w:r>
      <w:r w:rsidRPr="00E9617A">
        <w:rPr>
          <w:rFonts w:ascii="Times New Roman" w:hAnsi="Times New Roman"/>
        </w:rPr>
        <w:t xml:space="preserve"> in </w:t>
      </w:r>
      <w:r w:rsidRPr="00E9617A">
        <w:rPr>
          <w:rFonts w:ascii="Times New Roman" w:hAnsi="Times New Roman"/>
          <w:i/>
        </w:rPr>
        <w:t>cpfl1</w:t>
      </w:r>
      <w:r w:rsidRPr="00E9617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retina</w:t>
      </w:r>
      <w:r w:rsidRPr="00E9617A">
        <w:rPr>
          <w:rFonts w:ascii="Times New Roman" w:hAnsi="Times New Roman"/>
        </w:rPr>
        <w:t xml:space="preserve"> the number of HDAC positive cells was significantly increased to 0.12% (f). High numbers of HDAC positive cells were also present in sham treated retinas (c), similar to previously published data for </w:t>
      </w:r>
      <w:r w:rsidRPr="00E9617A">
        <w:rPr>
          <w:rFonts w:ascii="Times New Roman" w:hAnsi="Times New Roman"/>
          <w:i/>
        </w:rPr>
        <w:t>cpfl1</w:t>
      </w:r>
      <w:r w:rsidRPr="00E9617A">
        <w:rPr>
          <w:rFonts w:ascii="Times New Roman" w:hAnsi="Times New Roman"/>
        </w:rPr>
        <w:t xml:space="preserve"> retina </w:t>
      </w:r>
      <w:r w:rsidRPr="00E9617A">
        <w:rPr>
          <w:rFonts w:ascii="Times New Roman" w:hAnsi="Times New Roman"/>
          <w:noProof/>
        </w:rPr>
        <w:t>(1)</w:t>
      </w:r>
      <w:r w:rsidRPr="00E9617A">
        <w:rPr>
          <w:rFonts w:ascii="Times New Roman" w:hAnsi="Times New Roman"/>
        </w:rPr>
        <w:t xml:space="preserve">. TSA treatment </w:t>
      </w:r>
      <w:r w:rsidRPr="00E9617A">
        <w:rPr>
          <w:rFonts w:ascii="Times New Roman" w:hAnsi="Times New Roman"/>
          <w:i/>
        </w:rPr>
        <w:t>in vivo</w:t>
      </w:r>
      <w:r w:rsidRPr="00E9617A">
        <w:rPr>
          <w:rFonts w:ascii="Times New Roman" w:hAnsi="Times New Roman"/>
        </w:rPr>
        <w:t xml:space="preserve"> led to a significant decrease in HDAC positive cells 10 days post-treatment (d, g). The specificity of the HDAC </w:t>
      </w:r>
      <w:r w:rsidRPr="00E9617A">
        <w:rPr>
          <w:rFonts w:ascii="Times New Roman" w:hAnsi="Times New Roman"/>
          <w:i/>
        </w:rPr>
        <w:t>in situ</w:t>
      </w:r>
      <w:r w:rsidRPr="00E9617A">
        <w:rPr>
          <w:rFonts w:ascii="Times New Roman" w:hAnsi="Times New Roman"/>
        </w:rPr>
        <w:t xml:space="preserve"> activity assay was confirmed by omitting the assay substrate (e). </w:t>
      </w:r>
      <w:r w:rsidRPr="00011AE9">
        <w:rPr>
          <w:rFonts w:ascii="Times New Roman" w:hAnsi="Times New Roman"/>
        </w:rPr>
        <w:t>ONL-outer nuclear layer, INL-inner nuclear layer, GCL-ganglion cell layer.</w:t>
      </w:r>
      <w:r w:rsidRPr="00E9617A">
        <w:rPr>
          <w:rFonts w:ascii="Times New Roman" w:hAnsi="Times New Roman"/>
        </w:rPr>
        <w:t xml:space="preserve"> </w:t>
      </w:r>
      <w:r w:rsidRPr="005F5299">
        <w:rPr>
          <w:rFonts w:ascii="Times New Roman" w:hAnsi="Times New Roman"/>
          <w:color w:val="000000"/>
        </w:rPr>
        <w:t>Scale bars are 20</w:t>
      </w:r>
      <w:r w:rsidR="007B3841">
        <w:rPr>
          <w:rFonts w:ascii="Times New Roman" w:hAnsi="Times New Roman"/>
          <w:color w:val="000000"/>
        </w:rPr>
        <w:t xml:space="preserve"> </w:t>
      </w:r>
      <w:r w:rsidRPr="005F5299">
        <w:rPr>
          <w:rFonts w:ascii="Times New Roman" w:hAnsi="Times New Roman"/>
          <w:color w:val="000000"/>
        </w:rPr>
        <w:t>µm.</w:t>
      </w:r>
    </w:p>
    <w:p w:rsidR="004F079C" w:rsidRPr="00E9617A" w:rsidRDefault="00A811E6" w:rsidP="00583A6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pict>
          <v:shape id="Picture 2" o:spid="_x0000_i1026" type="#_x0000_t75" style="width:467.7pt;height:214.85pt;visibility:visible">
            <v:imagedata r:id="rId9" o:title=""/>
          </v:shape>
        </w:pict>
      </w:r>
    </w:p>
    <w:p w:rsidR="004F079C" w:rsidRPr="00E9617A" w:rsidRDefault="004F079C" w:rsidP="00583A6F">
      <w:pPr>
        <w:spacing w:line="480" w:lineRule="auto"/>
        <w:rPr>
          <w:rFonts w:ascii="Times New Roman" w:hAnsi="Times New Roman"/>
        </w:rPr>
      </w:pPr>
      <w:r w:rsidRPr="00E9617A">
        <w:rPr>
          <w:rFonts w:ascii="Times New Roman" w:hAnsi="Times New Roman"/>
          <w:b/>
        </w:rPr>
        <w:t xml:space="preserve">Figure </w:t>
      </w:r>
      <w:r>
        <w:rPr>
          <w:rFonts w:ascii="Times New Roman" w:hAnsi="Times New Roman"/>
          <w:b/>
        </w:rPr>
        <w:t>S</w:t>
      </w:r>
      <w:r w:rsidRPr="00E9617A">
        <w:rPr>
          <w:rFonts w:ascii="Times New Roman" w:hAnsi="Times New Roman"/>
          <w:b/>
        </w:rPr>
        <w:t>2</w:t>
      </w:r>
      <w:r w:rsidRPr="00E9617A">
        <w:rPr>
          <w:rFonts w:ascii="Times New Roman" w:hAnsi="Times New Roman"/>
        </w:rPr>
        <w:t>. The PCA score plot of the training set of the intravitreal clearance model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(2)</w:t>
      </w:r>
      <w:r w:rsidRPr="00E9617A">
        <w:rPr>
          <w:rFonts w:ascii="Times New Roman" w:hAnsi="Times New Roman"/>
        </w:rPr>
        <w:t xml:space="preserve">. The full triangles represent the position in the chemical space of the compounds that trained the model, while the ellipse indicates the model applicability domain. The open triangle represents </w:t>
      </w:r>
      <w:proofErr w:type="spellStart"/>
      <w:r w:rsidRPr="00E9617A">
        <w:rPr>
          <w:rFonts w:ascii="Times New Roman" w:hAnsi="Times New Roman"/>
        </w:rPr>
        <w:t>Trichostatin</w:t>
      </w:r>
      <w:proofErr w:type="spellEnd"/>
      <w:r w:rsidRPr="00E9617A">
        <w:rPr>
          <w:rFonts w:ascii="Times New Roman" w:hAnsi="Times New Roman"/>
        </w:rPr>
        <w:t xml:space="preserve"> A, a position that falls inside the ellipse and therefore inside the range of the model.</w:t>
      </w:r>
    </w:p>
    <w:p w:rsidR="004F079C" w:rsidRPr="00E9617A" w:rsidRDefault="004F079C" w:rsidP="00583A6F">
      <w:pPr>
        <w:spacing w:line="480" w:lineRule="auto"/>
        <w:rPr>
          <w:rFonts w:ascii="Times New Roman" w:hAnsi="Times New Roman"/>
        </w:rPr>
      </w:pPr>
    </w:p>
    <w:p w:rsidR="004F079C" w:rsidRPr="00E9617A" w:rsidRDefault="004F079C" w:rsidP="00583A6F">
      <w:pPr>
        <w:spacing w:line="480" w:lineRule="auto"/>
        <w:rPr>
          <w:rFonts w:ascii="Times New Roman" w:hAnsi="Times New Roman"/>
          <w:b/>
        </w:rPr>
      </w:pPr>
      <w:r w:rsidRPr="00E9617A">
        <w:rPr>
          <w:rFonts w:ascii="Times New Roman" w:hAnsi="Times New Roman"/>
          <w:b/>
        </w:rPr>
        <w:t>Note 1</w:t>
      </w:r>
    </w:p>
    <w:p w:rsidR="004F079C" w:rsidRPr="00E9617A" w:rsidRDefault="004F079C" w:rsidP="00583A6F">
      <w:pPr>
        <w:spacing w:line="480" w:lineRule="auto"/>
        <w:rPr>
          <w:rFonts w:ascii="Times New Roman" w:hAnsi="Times New Roman"/>
        </w:rPr>
      </w:pPr>
      <w:r w:rsidRPr="00E9617A">
        <w:rPr>
          <w:rFonts w:ascii="Times New Roman" w:hAnsi="Times New Roman"/>
        </w:rPr>
        <w:t xml:space="preserve">Small lipophilic compounds are eliminated from the vitreous primarily through retinal pigment epithelium (RPE) </w:t>
      </w:r>
      <w:r>
        <w:rPr>
          <w:rFonts w:ascii="Times New Roman" w:hAnsi="Times New Roman"/>
          <w:noProof/>
        </w:rPr>
        <w:t>(3)</w:t>
      </w:r>
      <w:r w:rsidRPr="00E9617A">
        <w:rPr>
          <w:rFonts w:ascii="Times New Roman" w:hAnsi="Times New Roman"/>
        </w:rPr>
        <w:t xml:space="preserve">. The intravitreal clearance (CL) of small lipophilic compounds in mice is expected to be 30 times smaller than in the rabbit. This is based on the equation CL = P x S, where P is the drug permeability in the RPE and S is the surface area of the RPE. The surface areas of the RPE in mice and rabbit are </w:t>
      </w:r>
      <w:r w:rsidRPr="00011AE9">
        <w:rPr>
          <w:rFonts w:ascii="Times New Roman" w:hAnsi="Times New Roman"/>
        </w:rPr>
        <w:t xml:space="preserve">16.5 mm </w:t>
      </w:r>
      <w:r>
        <w:rPr>
          <w:rFonts w:ascii="Times New Roman" w:hAnsi="Times New Roman"/>
          <w:noProof/>
        </w:rPr>
        <w:t>(2, 4)</w:t>
      </w:r>
      <w:r w:rsidRPr="00E9617A">
        <w:rPr>
          <w:rFonts w:ascii="Times New Roman" w:hAnsi="Times New Roman"/>
        </w:rPr>
        <w:t xml:space="preserve"> and </w:t>
      </w:r>
      <w:r w:rsidRPr="00011AE9">
        <w:rPr>
          <w:rFonts w:ascii="Times New Roman" w:hAnsi="Times New Roman"/>
        </w:rPr>
        <w:t xml:space="preserve">520 mm </w:t>
      </w:r>
      <w:r>
        <w:rPr>
          <w:rFonts w:ascii="Times New Roman" w:hAnsi="Times New Roman"/>
          <w:noProof/>
        </w:rPr>
        <w:t>(2, 5)</w:t>
      </w:r>
      <w:r w:rsidRPr="00011AE9">
        <w:rPr>
          <w:rFonts w:ascii="Times New Roman" w:hAnsi="Times New Roman"/>
        </w:rPr>
        <w:t>,</w:t>
      </w:r>
      <w:r w:rsidRPr="00E9617A">
        <w:rPr>
          <w:rFonts w:ascii="Times New Roman" w:hAnsi="Times New Roman"/>
        </w:rPr>
        <w:t xml:space="preserve"> respectively. Assuming similar permeability in the RPE of mouse and rabbit, the intravitreal clearance in mouse would be 0.015 ml/h (rabbit value: 0.478 ml/h). The expected half-life in the vitreous can be calculated using the equation: t</w:t>
      </w:r>
      <w:r w:rsidRPr="00E9617A">
        <w:rPr>
          <w:rFonts w:ascii="Times New Roman" w:hAnsi="Times New Roman"/>
          <w:vertAlign w:val="subscript"/>
        </w:rPr>
        <w:t>1/2</w:t>
      </w:r>
      <w:r w:rsidRPr="00E9617A">
        <w:rPr>
          <w:rFonts w:ascii="Times New Roman" w:hAnsi="Times New Roman"/>
        </w:rPr>
        <w:t xml:space="preserve"> = ln2 </w:t>
      </w:r>
      <w:proofErr w:type="spellStart"/>
      <w:proofErr w:type="gramStart"/>
      <w:r w:rsidRPr="00E9617A">
        <w:rPr>
          <w:rFonts w:ascii="Times New Roman" w:hAnsi="Times New Roman"/>
        </w:rPr>
        <w:t>V</w:t>
      </w:r>
      <w:r w:rsidRPr="00E9617A">
        <w:rPr>
          <w:rFonts w:ascii="Times New Roman" w:hAnsi="Times New Roman"/>
          <w:vertAlign w:val="subscript"/>
        </w:rPr>
        <w:t>d</w:t>
      </w:r>
      <w:proofErr w:type="spellEnd"/>
      <w:proofErr w:type="gramEnd"/>
      <w:r w:rsidRPr="00E9617A">
        <w:rPr>
          <w:rFonts w:ascii="Times New Roman" w:hAnsi="Times New Roman"/>
        </w:rPr>
        <w:t xml:space="preserve"> / CL (</w:t>
      </w:r>
      <w:proofErr w:type="spellStart"/>
      <w:r w:rsidRPr="00E9617A">
        <w:rPr>
          <w:rFonts w:ascii="Times New Roman" w:hAnsi="Times New Roman"/>
        </w:rPr>
        <w:t>V</w:t>
      </w:r>
      <w:r w:rsidRPr="00E9617A">
        <w:rPr>
          <w:rFonts w:ascii="Times New Roman" w:hAnsi="Times New Roman"/>
          <w:vertAlign w:val="subscript"/>
        </w:rPr>
        <w:t>d</w:t>
      </w:r>
      <w:proofErr w:type="spellEnd"/>
      <w:r w:rsidRPr="00E9617A">
        <w:rPr>
          <w:rFonts w:ascii="Times New Roman" w:hAnsi="Times New Roman"/>
        </w:rPr>
        <w:t xml:space="preserve"> = </w:t>
      </w:r>
      <w:r w:rsidR="00A811E6">
        <w:rPr>
          <w:rFonts w:ascii="Times New Roman" w:hAnsi="Times New Roman"/>
        </w:rPr>
        <w:t xml:space="preserve">volume of distribution close to the </w:t>
      </w:r>
      <w:r w:rsidR="00A811E6" w:rsidRPr="00E9617A">
        <w:rPr>
          <w:rFonts w:ascii="Times New Roman" w:hAnsi="Times New Roman"/>
        </w:rPr>
        <w:t>anatomical volume of the vitreous; in mouse 5 µl</w:t>
      </w:r>
      <w:r w:rsidRPr="00E9617A">
        <w:rPr>
          <w:rFonts w:ascii="Times New Roman" w:hAnsi="Times New Roman"/>
        </w:rPr>
        <w:t xml:space="preserve">).  The expected half-life in the </w:t>
      </w:r>
      <w:r w:rsidRPr="00E9617A">
        <w:rPr>
          <w:rFonts w:ascii="Times New Roman" w:hAnsi="Times New Roman"/>
        </w:rPr>
        <w:lastRenderedPageBreak/>
        <w:t>mouse is 17.4 minutes</w:t>
      </w:r>
      <w:r w:rsidR="00A811E6">
        <w:rPr>
          <w:rFonts w:ascii="Times New Roman" w:hAnsi="Times New Roman"/>
        </w:rPr>
        <w:t xml:space="preserve">, so </w:t>
      </w:r>
      <w:r w:rsidR="00A811E6" w:rsidRPr="00E9617A">
        <w:rPr>
          <w:rFonts w:ascii="Times New Roman" w:hAnsi="Times New Roman"/>
        </w:rPr>
        <w:t>one order magnitude</w:t>
      </w:r>
      <w:r w:rsidR="00A811E6">
        <w:rPr>
          <w:rFonts w:ascii="Times New Roman" w:hAnsi="Times New Roman"/>
        </w:rPr>
        <w:t xml:space="preserve"> shorter than the </w:t>
      </w:r>
      <w:r w:rsidR="00A811E6" w:rsidRPr="00E9617A">
        <w:rPr>
          <w:rFonts w:ascii="Times New Roman" w:hAnsi="Times New Roman"/>
        </w:rPr>
        <w:t xml:space="preserve">half-life in </w:t>
      </w:r>
      <w:r w:rsidR="00A811E6">
        <w:rPr>
          <w:rFonts w:ascii="Times New Roman" w:hAnsi="Times New Roman"/>
        </w:rPr>
        <w:t xml:space="preserve">the </w:t>
      </w:r>
      <w:r w:rsidR="00A811E6" w:rsidRPr="00E9617A">
        <w:rPr>
          <w:rFonts w:ascii="Times New Roman" w:hAnsi="Times New Roman"/>
        </w:rPr>
        <w:t>rabbit</w:t>
      </w:r>
      <w:r w:rsidR="00A811E6">
        <w:rPr>
          <w:rFonts w:ascii="Times New Roman" w:hAnsi="Times New Roman"/>
        </w:rPr>
        <w:t xml:space="preserve"> eye</w:t>
      </w:r>
      <w:r w:rsidR="00A811E6" w:rsidRPr="00E9617A">
        <w:rPr>
          <w:rFonts w:ascii="Times New Roman" w:hAnsi="Times New Roman"/>
        </w:rPr>
        <w:t xml:space="preserve"> (1.7-3.3 hours</w:t>
      </w:r>
      <w:r w:rsidR="00A811E6">
        <w:rPr>
          <w:rFonts w:ascii="Times New Roman" w:hAnsi="Times New Roman"/>
        </w:rPr>
        <w:t xml:space="preserve">; CL= 0.478 ml/h and </w:t>
      </w:r>
      <w:proofErr w:type="spellStart"/>
      <w:r w:rsidR="00A811E6" w:rsidRPr="00E9617A">
        <w:rPr>
          <w:rFonts w:ascii="Times New Roman" w:hAnsi="Times New Roman"/>
        </w:rPr>
        <w:t>V</w:t>
      </w:r>
      <w:r w:rsidR="00A811E6" w:rsidRPr="00E9617A">
        <w:rPr>
          <w:rFonts w:ascii="Times New Roman" w:hAnsi="Times New Roman"/>
          <w:vertAlign w:val="subscript"/>
        </w:rPr>
        <w:t>d</w:t>
      </w:r>
      <w:proofErr w:type="spellEnd"/>
      <w:r w:rsidR="00A811E6" w:rsidRPr="00E9617A">
        <w:rPr>
          <w:rFonts w:ascii="Times New Roman" w:hAnsi="Times New Roman"/>
        </w:rPr>
        <w:t xml:space="preserve"> </w:t>
      </w:r>
      <w:r w:rsidR="00A811E6">
        <w:rPr>
          <w:rFonts w:ascii="Times New Roman" w:hAnsi="Times New Roman"/>
        </w:rPr>
        <w:t>of 1.18-2.18 ml (2) range that covers 80% of the rabbit compound data set)</w:t>
      </w:r>
      <w:r w:rsidR="00A811E6" w:rsidRPr="00E9617A">
        <w:rPr>
          <w:rFonts w:ascii="Times New Roman" w:hAnsi="Times New Roman"/>
        </w:rPr>
        <w:t>.</w:t>
      </w:r>
      <w:r w:rsidRPr="00E9617A">
        <w:rPr>
          <w:rFonts w:ascii="Times New Roman" w:hAnsi="Times New Roman"/>
        </w:rPr>
        <w:t>.</w:t>
      </w:r>
    </w:p>
    <w:p w:rsidR="004F079C" w:rsidRPr="00E9617A" w:rsidRDefault="004F079C" w:rsidP="00583A6F">
      <w:pPr>
        <w:spacing w:line="480" w:lineRule="auto"/>
        <w:rPr>
          <w:rFonts w:ascii="Times New Roman" w:hAnsi="Times New Roman"/>
        </w:rPr>
      </w:pPr>
    </w:p>
    <w:p w:rsidR="004F079C" w:rsidRPr="00E9617A" w:rsidRDefault="00A811E6" w:rsidP="00583A6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i1027" type="#_x0000_t75" style="width:370.35pt;height:329.45pt">
            <v:imagedata r:id="rId10" o:title="IBA1+Glyphos"/>
          </v:shape>
        </w:pict>
      </w:r>
    </w:p>
    <w:p w:rsidR="004F079C" w:rsidRPr="00E9617A" w:rsidRDefault="004F079C" w:rsidP="00583A6F">
      <w:pPr>
        <w:spacing w:after="0" w:line="480" w:lineRule="auto"/>
        <w:rPr>
          <w:rFonts w:ascii="Times New Roman" w:eastAsia="Times New Roman" w:hAnsi="Times New Roman"/>
          <w:b/>
        </w:rPr>
      </w:pPr>
      <w:r w:rsidRPr="00E9617A">
        <w:rPr>
          <w:rFonts w:ascii="Times New Roman" w:eastAsia="Times New Roman" w:hAnsi="Times New Roman"/>
          <w:b/>
        </w:rPr>
        <w:t xml:space="preserve">Figure </w:t>
      </w:r>
      <w:r>
        <w:rPr>
          <w:rFonts w:ascii="Times New Roman" w:eastAsia="Times New Roman" w:hAnsi="Times New Roman"/>
          <w:b/>
        </w:rPr>
        <w:t>S</w:t>
      </w:r>
      <w:r w:rsidRPr="00E9617A">
        <w:rPr>
          <w:rFonts w:ascii="Times New Roman" w:eastAsia="Times New Roman" w:hAnsi="Times New Roman"/>
          <w:b/>
        </w:rPr>
        <w:t xml:space="preserve">3. </w:t>
      </w:r>
      <w:r w:rsidRPr="00E9617A">
        <w:rPr>
          <w:rFonts w:ascii="Times New Roman" w:eastAsia="Times New Roman" w:hAnsi="Times New Roman"/>
        </w:rPr>
        <w:t xml:space="preserve">To assess if HDAC inhibition had an effect on activated microglia, we performed co-labeling of IBA1 (magenta) and </w:t>
      </w:r>
      <w:proofErr w:type="spellStart"/>
      <w:r w:rsidRPr="00E9617A">
        <w:rPr>
          <w:rFonts w:ascii="Times New Roman" w:eastAsia="Times New Roman" w:hAnsi="Times New Roman"/>
        </w:rPr>
        <w:t>Glyphos</w:t>
      </w:r>
      <w:proofErr w:type="spellEnd"/>
      <w:r w:rsidRPr="00E9617A">
        <w:rPr>
          <w:rFonts w:ascii="Times New Roman" w:eastAsia="Times New Roman" w:hAnsi="Times New Roman"/>
        </w:rPr>
        <w:t xml:space="preserve"> (green). Although some activated microglia were present in INL and GCL, no sign of microglial invasion into the ONL </w:t>
      </w:r>
      <w:r w:rsidR="00633188">
        <w:rPr>
          <w:rFonts w:ascii="Times New Roman" w:eastAsia="Times New Roman" w:hAnsi="Times New Roman"/>
        </w:rPr>
        <w:t>was</w:t>
      </w:r>
      <w:r w:rsidR="00633188" w:rsidRPr="00E9617A">
        <w:rPr>
          <w:rFonts w:ascii="Times New Roman" w:eastAsia="Times New Roman" w:hAnsi="Times New Roman"/>
        </w:rPr>
        <w:t xml:space="preserve"> </w:t>
      </w:r>
      <w:r w:rsidRPr="00E9617A">
        <w:rPr>
          <w:rFonts w:ascii="Times New Roman" w:eastAsia="Times New Roman" w:hAnsi="Times New Roman"/>
        </w:rPr>
        <w:t xml:space="preserve">visible, neither in </w:t>
      </w:r>
      <w:r w:rsidRPr="00E9617A">
        <w:rPr>
          <w:rFonts w:ascii="Times New Roman" w:eastAsia="Times New Roman" w:hAnsi="Times New Roman"/>
          <w:i/>
        </w:rPr>
        <w:t>cpfl1</w:t>
      </w:r>
      <w:r w:rsidRPr="00E9617A">
        <w:rPr>
          <w:rFonts w:ascii="Times New Roman" w:eastAsia="Times New Roman" w:hAnsi="Times New Roman"/>
        </w:rPr>
        <w:t xml:space="preserve"> retinas after</w:t>
      </w:r>
      <w:r w:rsidRPr="00E9617A">
        <w:rPr>
          <w:rFonts w:ascii="Times New Roman" w:eastAsia="Times New Roman" w:hAnsi="Times New Roman"/>
          <w:i/>
        </w:rPr>
        <w:t xml:space="preserve"> in vitro (</w:t>
      </w:r>
      <w:r w:rsidRPr="00E9617A">
        <w:rPr>
          <w:rFonts w:ascii="Times New Roman" w:eastAsia="Times New Roman" w:hAnsi="Times New Roman"/>
        </w:rPr>
        <w:t xml:space="preserve">a, d), and </w:t>
      </w:r>
      <w:r w:rsidRPr="00E9617A">
        <w:rPr>
          <w:rFonts w:ascii="Times New Roman" w:eastAsia="Times New Roman" w:hAnsi="Times New Roman"/>
          <w:i/>
        </w:rPr>
        <w:t>in vivo</w:t>
      </w:r>
      <w:r w:rsidRPr="00E9617A">
        <w:rPr>
          <w:rFonts w:ascii="Times New Roman" w:eastAsia="Times New Roman" w:hAnsi="Times New Roman"/>
        </w:rPr>
        <w:t xml:space="preserve"> treatments (b, e), nor in </w:t>
      </w:r>
      <w:proofErr w:type="spellStart"/>
      <w:r w:rsidRPr="00E9617A">
        <w:rPr>
          <w:rFonts w:ascii="Times New Roman" w:eastAsia="Times New Roman" w:hAnsi="Times New Roman"/>
        </w:rPr>
        <w:t>wt</w:t>
      </w:r>
      <w:proofErr w:type="spellEnd"/>
      <w:r w:rsidRPr="00E9617A">
        <w:rPr>
          <w:rFonts w:ascii="Times New Roman" w:eastAsia="Times New Roman" w:hAnsi="Times New Roman"/>
        </w:rPr>
        <w:t xml:space="preserve"> retina (c, f). Importantly, no change in microglia activity was observed after TSA treatment (a-c </w:t>
      </w:r>
      <w:r w:rsidRPr="00E9617A">
        <w:rPr>
          <w:rFonts w:ascii="Times New Roman" w:eastAsia="Times New Roman" w:hAnsi="Times New Roman"/>
          <w:i/>
        </w:rPr>
        <w:t>vs</w:t>
      </w:r>
      <w:r w:rsidRPr="00E9617A">
        <w:rPr>
          <w:rFonts w:ascii="Times New Roman" w:eastAsia="Times New Roman" w:hAnsi="Times New Roman"/>
        </w:rPr>
        <w:t>. d-f), suggesting that cone survival was not related to changes in microglia. ONL-outer nuclear layer, INL-inner nuclear layer, GCL-ganglion cell layer. Scale bars are 20 µm.</w:t>
      </w:r>
    </w:p>
    <w:p w:rsidR="004F079C" w:rsidRPr="00E9617A" w:rsidRDefault="004F079C" w:rsidP="00583A6F">
      <w:pPr>
        <w:spacing w:line="480" w:lineRule="auto"/>
        <w:rPr>
          <w:rFonts w:ascii="Times New Roman" w:hAnsi="Times New Roman"/>
          <w:b/>
        </w:rPr>
      </w:pPr>
    </w:p>
    <w:p w:rsidR="004F079C" w:rsidRPr="00E9617A" w:rsidRDefault="004F079C" w:rsidP="00583A6F">
      <w:pPr>
        <w:spacing w:line="480" w:lineRule="auto"/>
        <w:rPr>
          <w:rFonts w:ascii="Times New Roman" w:hAnsi="Times New Roman"/>
          <w:b/>
        </w:rPr>
      </w:pPr>
    </w:p>
    <w:p w:rsidR="004F079C" w:rsidRPr="00E9617A" w:rsidRDefault="00A811E6" w:rsidP="00583A6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_x0000_i1028" type="#_x0000_t75" style="width:467.7pt;height:179.7pt">
            <v:imagedata r:id="rId11" o:title="cGMP+pVASP-1"/>
          </v:shape>
        </w:pict>
      </w:r>
    </w:p>
    <w:p w:rsidR="004F079C" w:rsidRPr="00E9617A" w:rsidRDefault="004F079C" w:rsidP="00583A6F">
      <w:pPr>
        <w:spacing w:line="480" w:lineRule="auto"/>
        <w:rPr>
          <w:rFonts w:ascii="Times New Roman" w:hAnsi="Times New Roman"/>
        </w:rPr>
      </w:pPr>
      <w:r w:rsidRPr="00E9617A">
        <w:rPr>
          <w:rFonts w:ascii="Times New Roman" w:hAnsi="Times New Roman"/>
          <w:b/>
        </w:rPr>
        <w:t xml:space="preserve">Figure </w:t>
      </w:r>
      <w:r>
        <w:rPr>
          <w:rFonts w:ascii="Times New Roman" w:hAnsi="Times New Roman"/>
          <w:b/>
        </w:rPr>
        <w:t>S</w:t>
      </w:r>
      <w:r w:rsidRPr="00E9617A">
        <w:rPr>
          <w:rFonts w:ascii="Times New Roman" w:hAnsi="Times New Roman"/>
          <w:b/>
        </w:rPr>
        <w:t>4.</w:t>
      </w:r>
      <w:r w:rsidRPr="00E9617A">
        <w:rPr>
          <w:rFonts w:ascii="Times New Roman" w:hAnsi="Times New Roman"/>
        </w:rPr>
        <w:t xml:space="preserve"> Co-labeling of cGMP (magenta) and </w:t>
      </w:r>
      <w:proofErr w:type="spellStart"/>
      <w:r w:rsidRPr="00E9617A">
        <w:rPr>
          <w:rFonts w:ascii="Times New Roman" w:hAnsi="Times New Roman"/>
        </w:rPr>
        <w:t>Glyphos</w:t>
      </w:r>
      <w:proofErr w:type="spellEnd"/>
      <w:r w:rsidRPr="00E9617A">
        <w:rPr>
          <w:rFonts w:ascii="Times New Roman" w:hAnsi="Times New Roman"/>
        </w:rPr>
        <w:t xml:space="preserve"> (green) in sham-treated and TSA treated retinas showed no quantitative difference in cGMP accumulation (a). While in untreated retinas cGMP accumulation was detectable in </w:t>
      </w:r>
      <w:r w:rsidRPr="00E9617A">
        <w:rPr>
          <w:rFonts w:ascii="Times New Roman" w:hAnsi="Times New Roman"/>
          <w:i/>
        </w:rPr>
        <w:t>cpfl1</w:t>
      </w:r>
      <w:r w:rsidRPr="00E9617A">
        <w:rPr>
          <w:rFonts w:ascii="Times New Roman" w:hAnsi="Times New Roman"/>
        </w:rPr>
        <w:t xml:space="preserve"> cone segments and cell bodies, in TSA treated retinas, cGMP was detectable mostly in cone segments. A staining for </w:t>
      </w:r>
      <w:proofErr w:type="spellStart"/>
      <w:r w:rsidRPr="00E9617A">
        <w:rPr>
          <w:rFonts w:ascii="Times New Roman" w:hAnsi="Times New Roman"/>
        </w:rPr>
        <w:t>pVASP</w:t>
      </w:r>
      <w:proofErr w:type="spellEnd"/>
      <w:r w:rsidRPr="00E9617A">
        <w:rPr>
          <w:rFonts w:ascii="Times New Roman" w:hAnsi="Times New Roman"/>
        </w:rPr>
        <w:t xml:space="preserve"> (magenta), as a measure of PKG activity, was combined with </w:t>
      </w:r>
      <w:proofErr w:type="spellStart"/>
      <w:r w:rsidRPr="00E9617A">
        <w:rPr>
          <w:rFonts w:ascii="Times New Roman" w:hAnsi="Times New Roman"/>
        </w:rPr>
        <w:t>Glyphos</w:t>
      </w:r>
      <w:proofErr w:type="spellEnd"/>
      <w:r w:rsidRPr="00E9617A">
        <w:rPr>
          <w:rFonts w:ascii="Times New Roman" w:hAnsi="Times New Roman"/>
        </w:rPr>
        <w:t xml:space="preserve"> staining (green), showing no obvious differences with and without TSA treatment (b). ONL-outer nuclear layer. </w:t>
      </w:r>
      <w:r w:rsidRPr="00CD5F7B">
        <w:rPr>
          <w:rFonts w:ascii="Times New Roman" w:hAnsi="Times New Roman"/>
        </w:rPr>
        <w:t>Scale bar is 20 µm.</w:t>
      </w:r>
    </w:p>
    <w:p w:rsidR="004F079C" w:rsidRPr="00E9617A" w:rsidRDefault="004F079C" w:rsidP="00583A6F">
      <w:pPr>
        <w:spacing w:line="480" w:lineRule="auto"/>
        <w:rPr>
          <w:rFonts w:ascii="Times New Roman" w:hAnsi="Times New Roman"/>
        </w:rPr>
      </w:pPr>
    </w:p>
    <w:p w:rsidR="004F079C" w:rsidRPr="00E9617A" w:rsidRDefault="00A811E6" w:rsidP="00583A6F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pict>
          <v:shape id="_x0000_i1029" type="#_x0000_t75" style="width:236.15pt;height:256.3pt">
            <v:imagedata r:id="rId12" o:title="Glyphos + PNA-1"/>
          </v:shape>
        </w:pict>
      </w:r>
    </w:p>
    <w:p w:rsidR="004F079C" w:rsidRPr="00E9617A" w:rsidRDefault="004F079C" w:rsidP="00583A6F">
      <w:pPr>
        <w:spacing w:line="480" w:lineRule="auto"/>
        <w:rPr>
          <w:rFonts w:ascii="Times New Roman" w:hAnsi="Times New Roman"/>
        </w:rPr>
      </w:pPr>
      <w:r w:rsidRPr="00E9617A">
        <w:rPr>
          <w:rFonts w:ascii="Times New Roman" w:hAnsi="Times New Roman"/>
          <w:b/>
        </w:rPr>
        <w:t xml:space="preserve">Figure </w:t>
      </w:r>
      <w:r>
        <w:rPr>
          <w:rFonts w:ascii="Times New Roman" w:hAnsi="Times New Roman"/>
          <w:b/>
        </w:rPr>
        <w:t>S</w:t>
      </w:r>
      <w:r w:rsidRPr="00E9617A">
        <w:rPr>
          <w:rFonts w:ascii="Times New Roman" w:hAnsi="Times New Roman"/>
          <w:b/>
        </w:rPr>
        <w:t>5.</w:t>
      </w:r>
      <w:r w:rsidRPr="00E9617A">
        <w:rPr>
          <w:rFonts w:ascii="Times New Roman" w:hAnsi="Times New Roman"/>
        </w:rPr>
        <w:t xml:space="preserve"> Glycogen phosphorylase (</w:t>
      </w:r>
      <w:proofErr w:type="spellStart"/>
      <w:r w:rsidRPr="00E9617A">
        <w:rPr>
          <w:rFonts w:ascii="Times New Roman" w:hAnsi="Times New Roman"/>
        </w:rPr>
        <w:t>Glyphos</w:t>
      </w:r>
      <w:proofErr w:type="spellEnd"/>
      <w:r w:rsidRPr="00E9617A">
        <w:rPr>
          <w:rFonts w:ascii="Times New Roman" w:hAnsi="Times New Roman"/>
        </w:rPr>
        <w:t xml:space="preserve">) is a cone-specific marker as evidenced by co-labeling of cones by </w:t>
      </w:r>
      <w:proofErr w:type="spellStart"/>
      <w:r w:rsidRPr="00E9617A">
        <w:rPr>
          <w:rFonts w:ascii="Times New Roman" w:hAnsi="Times New Roman"/>
        </w:rPr>
        <w:t>Glyphos</w:t>
      </w:r>
      <w:proofErr w:type="spellEnd"/>
      <w:r w:rsidRPr="00E9617A">
        <w:rPr>
          <w:rFonts w:ascii="Times New Roman" w:hAnsi="Times New Roman"/>
        </w:rPr>
        <w:t xml:space="preserve"> (in green) and peanut-agglutinin (PNA), another well-established cone marker (magenta). In wild-type retina, at PN24, all </w:t>
      </w:r>
      <w:proofErr w:type="spellStart"/>
      <w:r w:rsidRPr="00E9617A">
        <w:rPr>
          <w:rFonts w:ascii="Times New Roman" w:hAnsi="Times New Roman"/>
        </w:rPr>
        <w:t>Glyphos</w:t>
      </w:r>
      <w:proofErr w:type="spellEnd"/>
      <w:r w:rsidRPr="00E9617A">
        <w:rPr>
          <w:rFonts w:ascii="Times New Roman" w:hAnsi="Times New Roman"/>
        </w:rPr>
        <w:t xml:space="preserve">-labeled cone photoreceptors were also positive for PNA, and </w:t>
      </w:r>
      <w:r w:rsidRPr="00E9617A">
        <w:rPr>
          <w:rFonts w:ascii="Times New Roman" w:hAnsi="Times New Roman"/>
          <w:i/>
        </w:rPr>
        <w:t>vice versa</w:t>
      </w:r>
      <w:r w:rsidRPr="00E9617A">
        <w:rPr>
          <w:rFonts w:ascii="Times New Roman" w:hAnsi="Times New Roman"/>
        </w:rPr>
        <w:t xml:space="preserve">. ONL-outer nuclear layer, INL-inner nuclear layer, GCL-ganglion cell layer. </w:t>
      </w:r>
      <w:r w:rsidRPr="007126BE">
        <w:rPr>
          <w:rFonts w:ascii="Times New Roman" w:hAnsi="Times New Roman"/>
        </w:rPr>
        <w:t>Scale bar is 20 µm.</w:t>
      </w:r>
    </w:p>
    <w:p w:rsidR="004F079C" w:rsidRPr="00E9617A" w:rsidRDefault="004F079C" w:rsidP="00583A6F">
      <w:pPr>
        <w:spacing w:line="480" w:lineRule="auto"/>
        <w:rPr>
          <w:rFonts w:ascii="Times New Roman" w:hAnsi="Times New Roman"/>
          <w:b/>
        </w:rPr>
      </w:pPr>
    </w:p>
    <w:p w:rsidR="004F079C" w:rsidRPr="00E9617A" w:rsidRDefault="004F079C" w:rsidP="00583A6F">
      <w:pPr>
        <w:spacing w:after="0" w:line="480" w:lineRule="auto"/>
        <w:rPr>
          <w:rFonts w:ascii="Times New Roman" w:hAnsi="Times New Roman"/>
          <w:b/>
          <w:lang w:val="en-GB"/>
        </w:rPr>
      </w:pPr>
      <w:r w:rsidRPr="00E9617A">
        <w:rPr>
          <w:rFonts w:ascii="Times New Roman" w:hAnsi="Times New Roman"/>
          <w:b/>
          <w:lang w:val="en-GB"/>
        </w:rPr>
        <w:t xml:space="preserve">References for supplementary material </w:t>
      </w:r>
    </w:p>
    <w:p w:rsidR="004F079C" w:rsidRPr="001260AE" w:rsidRDefault="004F079C" w:rsidP="00583A6F">
      <w:pPr>
        <w:pStyle w:val="EndNoteBibliography"/>
        <w:spacing w:after="0" w:line="480" w:lineRule="auto"/>
        <w:ind w:left="284" w:hanging="284"/>
      </w:pPr>
      <w:r w:rsidRPr="001260AE">
        <w:t>1</w:t>
      </w:r>
      <w:r w:rsidR="00583A6F">
        <w:t xml:space="preserve">. </w:t>
      </w:r>
      <w:r w:rsidRPr="001260AE">
        <w:t>Arango-Gonzalez, B., Trifunovic, D., Sahaboglu, A., Kranz, K., Michalakis, S., Farinelli, P., Koch, S., Koch, F., Cottet, S., Janssen-Bienhold, U.</w:t>
      </w:r>
      <w:r w:rsidRPr="001260AE">
        <w:rPr>
          <w:i/>
        </w:rPr>
        <w:t xml:space="preserve"> et al.</w:t>
      </w:r>
      <w:r w:rsidRPr="001260AE">
        <w:t xml:space="preserve"> (2014) Identification of a common non-apoptotic cell death mechanism in hereditary retinal degeneration. </w:t>
      </w:r>
      <w:r w:rsidRPr="001260AE">
        <w:rPr>
          <w:i/>
        </w:rPr>
        <w:t>PLoS.ONE.</w:t>
      </w:r>
      <w:r w:rsidRPr="001260AE">
        <w:t xml:space="preserve">, </w:t>
      </w:r>
      <w:r w:rsidRPr="001260AE">
        <w:rPr>
          <w:b/>
        </w:rPr>
        <w:t>9</w:t>
      </w:r>
      <w:r w:rsidRPr="001260AE">
        <w:t>, e112142.</w:t>
      </w:r>
    </w:p>
    <w:p w:rsidR="004F079C" w:rsidRPr="001260AE" w:rsidRDefault="004F079C" w:rsidP="00583A6F">
      <w:pPr>
        <w:pStyle w:val="EndNoteBibliography"/>
        <w:spacing w:after="0" w:line="480" w:lineRule="auto"/>
        <w:ind w:left="284" w:hanging="284"/>
      </w:pPr>
      <w:r w:rsidRPr="001260AE">
        <w:t>2</w:t>
      </w:r>
      <w:r w:rsidR="00583A6F">
        <w:t xml:space="preserve">. </w:t>
      </w:r>
      <w:r w:rsidRPr="001260AE">
        <w:t xml:space="preserve">del Amo, E.M., Vellonen, K.S., Kidron, H. and Urtti, A. (2015) Intravitreal clearance and volume of distribution of compounds in rabbits: In silico prediction and pharmacokinetic simulations for drug development. </w:t>
      </w:r>
      <w:r w:rsidRPr="001260AE">
        <w:rPr>
          <w:i/>
        </w:rPr>
        <w:t>Eur J Pharm Biopharm</w:t>
      </w:r>
      <w:r w:rsidRPr="001260AE">
        <w:t xml:space="preserve">, </w:t>
      </w:r>
      <w:r w:rsidRPr="001260AE">
        <w:rPr>
          <w:b/>
        </w:rPr>
        <w:t>95</w:t>
      </w:r>
      <w:r w:rsidRPr="001260AE">
        <w:t>, 215-226.</w:t>
      </w:r>
    </w:p>
    <w:p w:rsidR="004F079C" w:rsidRPr="001260AE" w:rsidRDefault="004F079C" w:rsidP="00583A6F">
      <w:pPr>
        <w:pStyle w:val="EndNoteBibliography"/>
        <w:spacing w:after="0" w:line="480" w:lineRule="auto"/>
        <w:ind w:left="284" w:hanging="284"/>
      </w:pPr>
      <w:r w:rsidRPr="001260AE">
        <w:lastRenderedPageBreak/>
        <w:t>3</w:t>
      </w:r>
      <w:r w:rsidR="00583A6F">
        <w:t xml:space="preserve">. </w:t>
      </w:r>
      <w:r w:rsidRPr="001260AE">
        <w:t xml:space="preserve">Del Amo, E.M. and Urtti, A. (2015) Rabbit as an animal model for intravitreal pharmacokinetics: Clinical predictability and quality of the published data. </w:t>
      </w:r>
      <w:r w:rsidRPr="001260AE">
        <w:rPr>
          <w:i/>
        </w:rPr>
        <w:t>Experimental eye research</w:t>
      </w:r>
      <w:r w:rsidRPr="001260AE">
        <w:t xml:space="preserve">, </w:t>
      </w:r>
      <w:r w:rsidRPr="001260AE">
        <w:rPr>
          <w:b/>
        </w:rPr>
        <w:t>137</w:t>
      </w:r>
      <w:r w:rsidRPr="001260AE">
        <w:t>, 111-124.</w:t>
      </w:r>
    </w:p>
    <w:p w:rsidR="004F079C" w:rsidRPr="009946A5" w:rsidRDefault="004F079C" w:rsidP="00583A6F">
      <w:pPr>
        <w:pStyle w:val="EndNoteBibliography"/>
        <w:spacing w:after="0" w:line="480" w:lineRule="auto"/>
        <w:ind w:left="284" w:hanging="284"/>
        <w:rPr>
          <w:lang w:val="de-DE"/>
        </w:rPr>
      </w:pPr>
      <w:r w:rsidRPr="001260AE">
        <w:t>4</w:t>
      </w:r>
      <w:r w:rsidR="00583A6F">
        <w:t xml:space="preserve">. </w:t>
      </w:r>
      <w:r w:rsidRPr="001260AE">
        <w:t xml:space="preserve">Jeon, C.J., Strettoi, E. and Masland, R.H. (1998) The major cell populations of the mouse retina. </w:t>
      </w:r>
      <w:r w:rsidRPr="009946A5">
        <w:rPr>
          <w:i/>
          <w:lang w:val="de-DE"/>
        </w:rPr>
        <w:t>J.Neurosci.</w:t>
      </w:r>
      <w:r w:rsidRPr="009946A5">
        <w:rPr>
          <w:lang w:val="de-DE"/>
        </w:rPr>
        <w:t xml:space="preserve">, </w:t>
      </w:r>
      <w:r w:rsidRPr="009946A5">
        <w:rPr>
          <w:b/>
          <w:lang w:val="de-DE"/>
        </w:rPr>
        <w:t>18</w:t>
      </w:r>
      <w:r w:rsidRPr="009946A5">
        <w:rPr>
          <w:lang w:val="de-DE"/>
        </w:rPr>
        <w:t>, 8936-8946.</w:t>
      </w:r>
    </w:p>
    <w:p w:rsidR="00AC27CB" w:rsidRDefault="004F079C" w:rsidP="00583A6F">
      <w:pPr>
        <w:pStyle w:val="EndNoteBibliography"/>
        <w:spacing w:line="480" w:lineRule="auto"/>
        <w:ind w:left="284" w:hanging="284"/>
      </w:pPr>
      <w:r w:rsidRPr="009946A5">
        <w:rPr>
          <w:lang w:val="de-DE"/>
        </w:rPr>
        <w:t>5</w:t>
      </w:r>
      <w:r w:rsidR="00583A6F">
        <w:rPr>
          <w:lang w:val="de-DE"/>
        </w:rPr>
        <w:t xml:space="preserve">. </w:t>
      </w:r>
      <w:r w:rsidRPr="009946A5">
        <w:rPr>
          <w:lang w:val="de-DE"/>
        </w:rPr>
        <w:t xml:space="preserve">Reichenbach, A., Ziegert, M., Schnitzer, J., Pritz-Hohmeier, S., Schaaf, P., Schober, W. and Schneider, H. (1994) Development of the rabbit retina. </w:t>
      </w:r>
      <w:r w:rsidRPr="001260AE">
        <w:t xml:space="preserve">V. The question of 'columnar units'. </w:t>
      </w:r>
      <w:r w:rsidRPr="001260AE">
        <w:rPr>
          <w:i/>
        </w:rPr>
        <w:t>Brain Res Dev Brain Res</w:t>
      </w:r>
      <w:r w:rsidRPr="001260AE">
        <w:t xml:space="preserve">, </w:t>
      </w:r>
      <w:r w:rsidRPr="001260AE">
        <w:rPr>
          <w:b/>
        </w:rPr>
        <w:t>79</w:t>
      </w:r>
      <w:r w:rsidRPr="001260AE">
        <w:t>, 72-84.</w:t>
      </w:r>
      <w:bookmarkStart w:id="0" w:name="_GoBack"/>
      <w:bookmarkEnd w:id="0"/>
    </w:p>
    <w:sectPr w:rsidR="00AC27CB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D08" w:rsidRDefault="00106D08">
      <w:pPr>
        <w:spacing w:after="0" w:line="240" w:lineRule="auto"/>
      </w:pPr>
      <w:r>
        <w:separator/>
      </w:r>
    </w:p>
  </w:endnote>
  <w:endnote w:type="continuationSeparator" w:id="0">
    <w:p w:rsidR="00106D08" w:rsidRDefault="00106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7CB" w:rsidRDefault="00CA75F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83A6F">
      <w:rPr>
        <w:noProof/>
      </w:rPr>
      <w:t>3</w:t>
    </w:r>
    <w:r>
      <w:rPr>
        <w:noProof/>
      </w:rPr>
      <w:fldChar w:fldCharType="end"/>
    </w:r>
  </w:p>
  <w:p w:rsidR="00AC27CB" w:rsidRDefault="00AC27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D08" w:rsidRDefault="00106D08">
      <w:pPr>
        <w:spacing w:after="0" w:line="240" w:lineRule="auto"/>
      </w:pPr>
      <w:r>
        <w:separator/>
      </w:r>
    </w:p>
  </w:footnote>
  <w:footnote w:type="continuationSeparator" w:id="0">
    <w:p w:rsidR="00106D08" w:rsidRDefault="00106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B0D"/>
    <w:multiLevelType w:val="hybridMultilevel"/>
    <w:tmpl w:val="2B5A80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F079C"/>
    <w:rsid w:val="000F4932"/>
    <w:rsid w:val="00106D08"/>
    <w:rsid w:val="0039183E"/>
    <w:rsid w:val="00456DD3"/>
    <w:rsid w:val="00457855"/>
    <w:rsid w:val="00495354"/>
    <w:rsid w:val="004F079C"/>
    <w:rsid w:val="0052405C"/>
    <w:rsid w:val="00583A6F"/>
    <w:rsid w:val="005F5299"/>
    <w:rsid w:val="00633188"/>
    <w:rsid w:val="00641F27"/>
    <w:rsid w:val="007163E8"/>
    <w:rsid w:val="007373AC"/>
    <w:rsid w:val="007B3841"/>
    <w:rsid w:val="007D2E3C"/>
    <w:rsid w:val="00860687"/>
    <w:rsid w:val="0091692F"/>
    <w:rsid w:val="00974F5B"/>
    <w:rsid w:val="00A811E6"/>
    <w:rsid w:val="00AC27CB"/>
    <w:rsid w:val="00AD0011"/>
    <w:rsid w:val="00B61119"/>
    <w:rsid w:val="00C108E6"/>
    <w:rsid w:val="00CA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79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0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079C"/>
    <w:rPr>
      <w:rFonts w:ascii="Tahoma" w:eastAsia="Calibri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4F079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4F079C"/>
    <w:rPr>
      <w:rFonts w:ascii="Calibri" w:eastAsia="Calibri" w:hAnsi="Calibri" w:cs="Times New Roman"/>
      <w:noProof/>
    </w:rPr>
  </w:style>
  <w:style w:type="paragraph" w:customStyle="1" w:styleId="EndNoteBibliography">
    <w:name w:val="EndNote Bibliography"/>
    <w:basedOn w:val="Normal"/>
    <w:link w:val="EndNoteBibliographyChar"/>
    <w:rsid w:val="004F079C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4F079C"/>
    <w:rPr>
      <w:rFonts w:ascii="Calibri" w:eastAsia="Calibri" w:hAnsi="Calibri" w:cs="Times New Roman"/>
      <w:noProof/>
    </w:rPr>
  </w:style>
  <w:style w:type="paragraph" w:styleId="Header">
    <w:name w:val="header"/>
    <w:basedOn w:val="Normal"/>
    <w:link w:val="HeaderChar"/>
    <w:uiPriority w:val="99"/>
    <w:unhideWhenUsed/>
    <w:rsid w:val="004F0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4F079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F07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4F079C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semiHidden/>
    <w:unhideWhenUsed/>
    <w:rsid w:val="004F07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7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F079C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79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079C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</cp:lastModifiedBy>
  <cp:revision>4</cp:revision>
  <dcterms:created xsi:type="dcterms:W3CDTF">2016-08-04T10:02:00Z</dcterms:created>
  <dcterms:modified xsi:type="dcterms:W3CDTF">2016-08-04T12:29:00Z</dcterms:modified>
</cp:coreProperties>
</file>