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19A3" w:rsidRPr="001B3C10" w:rsidRDefault="008C19A3" w:rsidP="008C19A3">
      <w:pPr>
        <w:spacing w:line="480" w:lineRule="auto"/>
        <w:rPr>
          <w:rFonts w:ascii="Times New Roman" w:hAnsi="Times New Roman" w:cs="Times New Roman"/>
          <w:sz w:val="20"/>
          <w:szCs w:val="20"/>
        </w:rPr>
      </w:pPr>
      <w:r w:rsidRPr="001B3C10">
        <w:rPr>
          <w:rFonts w:ascii="Times New Roman" w:hAnsi="Times New Roman" w:cs="Times New Roman"/>
          <w:b/>
          <w:sz w:val="20"/>
          <w:szCs w:val="20"/>
        </w:rPr>
        <w:t xml:space="preserve">TITLE: </w:t>
      </w:r>
      <w:r w:rsidRPr="001B3C10">
        <w:rPr>
          <w:rFonts w:ascii="Times New Roman" w:hAnsi="Times New Roman" w:cs="Times New Roman"/>
          <w:sz w:val="20"/>
          <w:szCs w:val="20"/>
        </w:rPr>
        <w:t xml:space="preserve">A Whole-Blood Transcriptome Meta-Analysis Identifies Gene Expression Signatures of Cigarette Smoking </w:t>
      </w:r>
    </w:p>
    <w:p w:rsidR="008C19A3" w:rsidRPr="000F7486" w:rsidRDefault="008C19A3" w:rsidP="008C19A3">
      <w:pPr>
        <w:spacing w:line="480" w:lineRule="auto"/>
        <w:rPr>
          <w:rFonts w:ascii="Times New Roman" w:hAnsi="Times New Roman" w:cs="Times New Roman"/>
          <w:b/>
          <w:sz w:val="10"/>
          <w:szCs w:val="20"/>
        </w:rPr>
      </w:pPr>
    </w:p>
    <w:p w:rsidR="008C19A3" w:rsidRPr="0096265B" w:rsidRDefault="008C19A3" w:rsidP="008C19A3">
      <w:pPr>
        <w:jc w:val="both"/>
        <w:rPr>
          <w:rFonts w:ascii="Times New Roman" w:hAnsi="Times New Roman" w:cs="Times New Roman"/>
          <w:sz w:val="20"/>
          <w:szCs w:val="20"/>
        </w:rPr>
      </w:pPr>
      <w:r w:rsidRPr="0096265B">
        <w:rPr>
          <w:rFonts w:ascii="Times New Roman" w:hAnsi="Times New Roman" w:cs="Times New Roman"/>
          <w:sz w:val="20"/>
          <w:szCs w:val="20"/>
        </w:rPr>
        <w:t>Tianxiao Huan</w:t>
      </w:r>
      <w:r w:rsidRPr="0096265B">
        <w:rPr>
          <w:rFonts w:ascii="Times New Roman" w:hAnsi="Times New Roman" w:cs="Times New Roman"/>
          <w:sz w:val="20"/>
          <w:szCs w:val="20"/>
          <w:vertAlign w:val="superscript"/>
        </w:rPr>
        <w:t>1,2†</w:t>
      </w:r>
      <w:r w:rsidRPr="0096265B">
        <w:rPr>
          <w:rFonts w:ascii="Times New Roman" w:hAnsi="Times New Roman" w:cs="Times New Roman"/>
          <w:sz w:val="20"/>
          <w:szCs w:val="20"/>
        </w:rPr>
        <w:t>, Roby Joehanes</w:t>
      </w:r>
      <w:r w:rsidRPr="0096265B">
        <w:rPr>
          <w:rFonts w:ascii="Times New Roman" w:hAnsi="Times New Roman" w:cs="Times New Roman"/>
          <w:sz w:val="20"/>
          <w:szCs w:val="20"/>
          <w:vertAlign w:val="superscript"/>
        </w:rPr>
        <w:t>1,2,3†</w:t>
      </w:r>
      <w:r w:rsidRPr="0096265B">
        <w:rPr>
          <w:rFonts w:ascii="Times New Roman" w:hAnsi="Times New Roman" w:cs="Times New Roman"/>
          <w:sz w:val="20"/>
          <w:szCs w:val="20"/>
        </w:rPr>
        <w:t>, Claudia Schurmann</w:t>
      </w:r>
      <w:r w:rsidRPr="0096265B">
        <w:rPr>
          <w:rFonts w:ascii="Times New Roman" w:hAnsi="Times New Roman" w:cs="Times New Roman"/>
          <w:sz w:val="20"/>
          <w:szCs w:val="20"/>
          <w:vertAlign w:val="superscript"/>
        </w:rPr>
        <w:t>4,5,6†</w:t>
      </w:r>
      <w:r w:rsidRPr="0096265B">
        <w:rPr>
          <w:rFonts w:ascii="Times New Roman" w:hAnsi="Times New Roman" w:cs="Times New Roman"/>
          <w:sz w:val="20"/>
          <w:szCs w:val="20"/>
        </w:rPr>
        <w:t>, Katharina Schramm</w:t>
      </w:r>
      <w:r w:rsidRPr="0096265B">
        <w:rPr>
          <w:rFonts w:ascii="Times New Roman" w:hAnsi="Times New Roman" w:cs="Times New Roman"/>
          <w:sz w:val="20"/>
          <w:szCs w:val="20"/>
          <w:vertAlign w:val="superscript"/>
        </w:rPr>
        <w:t>7,8†</w:t>
      </w:r>
      <w:r w:rsidRPr="0096265B">
        <w:rPr>
          <w:rFonts w:ascii="Times New Roman" w:hAnsi="Times New Roman" w:cs="Times New Roman"/>
          <w:sz w:val="20"/>
          <w:szCs w:val="20"/>
        </w:rPr>
        <w:t>, Luke C. Pilling</w:t>
      </w:r>
      <w:r w:rsidRPr="0096265B">
        <w:rPr>
          <w:rFonts w:ascii="Times New Roman" w:hAnsi="Times New Roman" w:cs="Times New Roman"/>
          <w:sz w:val="20"/>
          <w:szCs w:val="20"/>
          <w:vertAlign w:val="superscript"/>
        </w:rPr>
        <w:t>9†</w:t>
      </w:r>
      <w:r w:rsidRPr="0096265B">
        <w:rPr>
          <w:rFonts w:ascii="Times New Roman" w:hAnsi="Times New Roman" w:cs="Times New Roman"/>
          <w:sz w:val="20"/>
          <w:szCs w:val="20"/>
        </w:rPr>
        <w:t>, Marjolein J. Peters</w:t>
      </w:r>
      <w:r w:rsidRPr="0096265B">
        <w:rPr>
          <w:rFonts w:ascii="Times New Roman" w:hAnsi="Times New Roman" w:cs="Times New Roman"/>
          <w:sz w:val="20"/>
          <w:szCs w:val="20"/>
          <w:vertAlign w:val="superscript"/>
        </w:rPr>
        <w:t>10,11†</w:t>
      </w:r>
      <w:r w:rsidRPr="0096265B">
        <w:rPr>
          <w:rFonts w:ascii="Times New Roman" w:hAnsi="Times New Roman" w:cs="Times New Roman"/>
          <w:sz w:val="20"/>
          <w:szCs w:val="20"/>
        </w:rPr>
        <w:t>, Reedik Mägi</w:t>
      </w:r>
      <w:r w:rsidRPr="0096265B">
        <w:rPr>
          <w:rFonts w:ascii="Times New Roman" w:hAnsi="Times New Roman" w:cs="Times New Roman"/>
          <w:sz w:val="20"/>
          <w:szCs w:val="20"/>
          <w:vertAlign w:val="superscript"/>
        </w:rPr>
        <w:t>12†</w:t>
      </w:r>
      <w:r w:rsidRPr="0096265B">
        <w:rPr>
          <w:rFonts w:ascii="Times New Roman" w:hAnsi="Times New Roman" w:cs="Times New Roman"/>
          <w:sz w:val="20"/>
          <w:szCs w:val="20"/>
        </w:rPr>
        <w:t>, Dawn DeMeo</w:t>
      </w:r>
      <w:r w:rsidRPr="0096265B">
        <w:rPr>
          <w:rFonts w:ascii="Times New Roman" w:hAnsi="Times New Roman" w:cs="Times New Roman"/>
          <w:sz w:val="20"/>
          <w:szCs w:val="20"/>
          <w:vertAlign w:val="superscript"/>
        </w:rPr>
        <w:t>13</w:t>
      </w:r>
      <w:r w:rsidRPr="0096265B">
        <w:rPr>
          <w:rFonts w:ascii="Times New Roman" w:hAnsi="Times New Roman" w:cs="Times New Roman"/>
          <w:sz w:val="20"/>
          <w:szCs w:val="20"/>
        </w:rPr>
        <w:t>, George T O'Connor</w:t>
      </w:r>
      <w:r w:rsidRPr="0096265B">
        <w:rPr>
          <w:rFonts w:ascii="Times New Roman" w:hAnsi="Times New Roman" w:cs="Times New Roman"/>
          <w:sz w:val="20"/>
          <w:szCs w:val="20"/>
          <w:vertAlign w:val="superscript"/>
        </w:rPr>
        <w:t>14</w:t>
      </w:r>
      <w:r w:rsidRPr="0096265B">
        <w:rPr>
          <w:rFonts w:ascii="Times New Roman" w:hAnsi="Times New Roman" w:cs="Times New Roman"/>
          <w:sz w:val="20"/>
          <w:szCs w:val="20"/>
        </w:rPr>
        <w:t>, Luigi Ferrucci</w:t>
      </w:r>
      <w:r w:rsidRPr="0096265B">
        <w:rPr>
          <w:rFonts w:ascii="Times New Roman" w:hAnsi="Times New Roman" w:cs="Times New Roman"/>
          <w:sz w:val="20"/>
          <w:szCs w:val="20"/>
          <w:vertAlign w:val="superscript"/>
        </w:rPr>
        <w:t>15</w:t>
      </w:r>
      <w:r w:rsidRPr="0096265B">
        <w:rPr>
          <w:rFonts w:ascii="Times New Roman" w:hAnsi="Times New Roman" w:cs="Times New Roman"/>
          <w:sz w:val="20"/>
          <w:szCs w:val="20"/>
        </w:rPr>
        <w:t>, Alexander Teumer</w:t>
      </w:r>
      <w:r w:rsidRPr="0096265B">
        <w:rPr>
          <w:rFonts w:ascii="Times New Roman" w:hAnsi="Times New Roman" w:cs="Times New Roman"/>
          <w:sz w:val="20"/>
          <w:szCs w:val="20"/>
          <w:vertAlign w:val="superscript"/>
        </w:rPr>
        <w:t>16</w:t>
      </w:r>
      <w:r w:rsidRPr="0096265B">
        <w:rPr>
          <w:rFonts w:ascii="Times New Roman" w:hAnsi="Times New Roman" w:cs="Times New Roman"/>
          <w:sz w:val="20"/>
          <w:szCs w:val="20"/>
        </w:rPr>
        <w:t>, Georg Homuth</w:t>
      </w:r>
      <w:r w:rsidRPr="0096265B">
        <w:rPr>
          <w:rFonts w:ascii="Times New Roman" w:hAnsi="Times New Roman" w:cs="Times New Roman"/>
          <w:sz w:val="20"/>
          <w:szCs w:val="20"/>
          <w:vertAlign w:val="superscript"/>
        </w:rPr>
        <w:t>6</w:t>
      </w:r>
      <w:r w:rsidRPr="0096265B">
        <w:rPr>
          <w:rFonts w:ascii="Times New Roman" w:hAnsi="Times New Roman" w:cs="Times New Roman"/>
          <w:sz w:val="20"/>
          <w:szCs w:val="20"/>
        </w:rPr>
        <w:t>, Reiner Biffar</w:t>
      </w:r>
      <w:r w:rsidRPr="0096265B">
        <w:rPr>
          <w:rFonts w:ascii="Times New Roman" w:hAnsi="Times New Roman" w:cs="Times New Roman"/>
          <w:sz w:val="20"/>
          <w:szCs w:val="20"/>
          <w:vertAlign w:val="superscript"/>
        </w:rPr>
        <w:t>17</w:t>
      </w:r>
      <w:r w:rsidRPr="0096265B">
        <w:rPr>
          <w:rFonts w:ascii="Times New Roman" w:hAnsi="Times New Roman" w:cs="Times New Roman"/>
          <w:sz w:val="20"/>
          <w:szCs w:val="20"/>
        </w:rPr>
        <w:t>, Uwe Völker</w:t>
      </w:r>
      <w:r w:rsidRPr="0096265B">
        <w:rPr>
          <w:rFonts w:ascii="Times New Roman" w:hAnsi="Times New Roman" w:cs="Times New Roman"/>
          <w:sz w:val="20"/>
          <w:szCs w:val="20"/>
          <w:vertAlign w:val="superscript"/>
        </w:rPr>
        <w:t>6</w:t>
      </w:r>
      <w:r w:rsidRPr="0096265B">
        <w:rPr>
          <w:rFonts w:ascii="Times New Roman" w:hAnsi="Times New Roman" w:cs="Times New Roman"/>
          <w:sz w:val="20"/>
          <w:szCs w:val="20"/>
        </w:rPr>
        <w:t>, Christian Herder</w:t>
      </w:r>
      <w:r w:rsidRPr="0096265B">
        <w:rPr>
          <w:rFonts w:ascii="Times New Roman" w:hAnsi="Times New Roman" w:cs="Times New Roman"/>
          <w:sz w:val="20"/>
          <w:szCs w:val="20"/>
          <w:vertAlign w:val="superscript"/>
        </w:rPr>
        <w:t>18, 19</w:t>
      </w:r>
      <w:r w:rsidRPr="0096265B">
        <w:rPr>
          <w:rFonts w:ascii="Times New Roman" w:hAnsi="Times New Roman" w:cs="Times New Roman"/>
          <w:sz w:val="20"/>
          <w:szCs w:val="20"/>
        </w:rPr>
        <w:t>, Melanie Waldenberger</w:t>
      </w:r>
      <w:r w:rsidRPr="0096265B">
        <w:rPr>
          <w:rFonts w:ascii="Times New Roman" w:hAnsi="Times New Roman" w:cs="Times New Roman"/>
          <w:sz w:val="20"/>
          <w:szCs w:val="20"/>
          <w:vertAlign w:val="superscript"/>
        </w:rPr>
        <w:t>20</w:t>
      </w:r>
      <w:r w:rsidRPr="0096265B">
        <w:rPr>
          <w:rFonts w:ascii="Times New Roman" w:hAnsi="Times New Roman" w:cs="Times New Roman"/>
          <w:sz w:val="20"/>
          <w:szCs w:val="20"/>
        </w:rPr>
        <w:t>, Annette Peters</w:t>
      </w:r>
      <w:r w:rsidRPr="0096265B">
        <w:rPr>
          <w:rFonts w:ascii="Times New Roman" w:hAnsi="Times New Roman" w:cs="Times New Roman"/>
          <w:sz w:val="20"/>
          <w:szCs w:val="20"/>
          <w:vertAlign w:val="superscript"/>
        </w:rPr>
        <w:t>20,21</w:t>
      </w:r>
      <w:r w:rsidRPr="0096265B">
        <w:rPr>
          <w:rFonts w:ascii="Times New Roman" w:hAnsi="Times New Roman" w:cs="Times New Roman"/>
          <w:sz w:val="20"/>
          <w:szCs w:val="20"/>
        </w:rPr>
        <w:t>, Sonja Zeilinger</w:t>
      </w:r>
      <w:r w:rsidRPr="0096265B">
        <w:rPr>
          <w:rFonts w:ascii="Times New Roman" w:hAnsi="Times New Roman" w:cs="Times New Roman"/>
          <w:sz w:val="20"/>
          <w:szCs w:val="20"/>
          <w:vertAlign w:val="superscript"/>
        </w:rPr>
        <w:t>20</w:t>
      </w:r>
      <w:r w:rsidRPr="0096265B">
        <w:rPr>
          <w:rFonts w:ascii="Times New Roman" w:hAnsi="Times New Roman" w:cs="Times New Roman"/>
          <w:sz w:val="20"/>
          <w:szCs w:val="20"/>
        </w:rPr>
        <w:t>, Andres Metspalu</w:t>
      </w:r>
      <w:r w:rsidRPr="0096265B">
        <w:rPr>
          <w:rFonts w:ascii="Times New Roman" w:hAnsi="Times New Roman" w:cs="Times New Roman"/>
          <w:sz w:val="20"/>
          <w:szCs w:val="20"/>
          <w:vertAlign w:val="superscript"/>
        </w:rPr>
        <w:t>12</w:t>
      </w:r>
      <w:r w:rsidRPr="0096265B">
        <w:rPr>
          <w:rFonts w:ascii="Times New Roman" w:hAnsi="Times New Roman" w:cs="Times New Roman"/>
          <w:sz w:val="20"/>
          <w:szCs w:val="20"/>
        </w:rPr>
        <w:t>, Albert Hofman</w:t>
      </w:r>
      <w:r w:rsidRPr="0096265B">
        <w:rPr>
          <w:rFonts w:ascii="Times New Roman" w:hAnsi="Times New Roman" w:cs="Times New Roman"/>
          <w:sz w:val="20"/>
          <w:szCs w:val="20"/>
          <w:vertAlign w:val="superscript"/>
        </w:rPr>
        <w:t>11,22</w:t>
      </w:r>
      <w:r w:rsidRPr="0096265B">
        <w:rPr>
          <w:rFonts w:ascii="Times New Roman" w:hAnsi="Times New Roman" w:cs="Times New Roman"/>
          <w:sz w:val="20"/>
          <w:szCs w:val="20"/>
        </w:rPr>
        <w:t>, André G. Uitterlinden</w:t>
      </w:r>
      <w:r w:rsidRPr="0096265B">
        <w:rPr>
          <w:rFonts w:ascii="Times New Roman" w:hAnsi="Times New Roman" w:cs="Times New Roman"/>
          <w:sz w:val="20"/>
          <w:szCs w:val="20"/>
          <w:vertAlign w:val="superscript"/>
        </w:rPr>
        <w:t>10,11,22</w:t>
      </w:r>
      <w:r w:rsidRPr="0096265B">
        <w:rPr>
          <w:rFonts w:ascii="Times New Roman" w:hAnsi="Times New Roman" w:cs="Times New Roman"/>
          <w:sz w:val="20"/>
          <w:szCs w:val="20"/>
        </w:rPr>
        <w:t>, Dena G. Hernandez</w:t>
      </w:r>
      <w:r w:rsidRPr="0096265B">
        <w:rPr>
          <w:rFonts w:ascii="Times New Roman" w:hAnsi="Times New Roman" w:cs="Times New Roman"/>
          <w:sz w:val="20"/>
          <w:szCs w:val="20"/>
          <w:vertAlign w:val="superscript"/>
        </w:rPr>
        <w:t>23</w:t>
      </w:r>
      <w:r w:rsidRPr="0096265B">
        <w:rPr>
          <w:rFonts w:ascii="Times New Roman" w:hAnsi="Times New Roman" w:cs="Times New Roman"/>
          <w:sz w:val="20"/>
          <w:szCs w:val="20"/>
        </w:rPr>
        <w:t>, Andrew B. Singleton</w:t>
      </w:r>
      <w:r w:rsidRPr="0096265B">
        <w:rPr>
          <w:rFonts w:ascii="Times New Roman" w:hAnsi="Times New Roman" w:cs="Times New Roman"/>
          <w:sz w:val="20"/>
          <w:szCs w:val="20"/>
          <w:vertAlign w:val="superscript"/>
        </w:rPr>
        <w:t>23</w:t>
      </w:r>
      <w:r w:rsidRPr="0096265B">
        <w:rPr>
          <w:rFonts w:ascii="Times New Roman" w:hAnsi="Times New Roman" w:cs="Times New Roman"/>
          <w:sz w:val="20"/>
          <w:szCs w:val="20"/>
        </w:rPr>
        <w:t>, Stefania Bandinelli</w:t>
      </w:r>
      <w:r w:rsidRPr="0096265B">
        <w:rPr>
          <w:rFonts w:ascii="Times New Roman" w:hAnsi="Times New Roman" w:cs="Times New Roman"/>
          <w:sz w:val="20"/>
          <w:szCs w:val="20"/>
          <w:vertAlign w:val="superscript"/>
        </w:rPr>
        <w:t>24</w:t>
      </w:r>
      <w:r w:rsidRPr="0096265B">
        <w:rPr>
          <w:rFonts w:ascii="Times New Roman" w:hAnsi="Times New Roman" w:cs="Times New Roman"/>
          <w:sz w:val="20"/>
          <w:szCs w:val="20"/>
        </w:rPr>
        <w:t>, Peter J. Munson</w:t>
      </w:r>
      <w:r w:rsidRPr="0096265B">
        <w:rPr>
          <w:rFonts w:ascii="Times New Roman" w:hAnsi="Times New Roman" w:cs="Times New Roman"/>
          <w:sz w:val="20"/>
          <w:szCs w:val="20"/>
          <w:vertAlign w:val="superscript"/>
        </w:rPr>
        <w:t>25</w:t>
      </w:r>
      <w:r w:rsidRPr="0096265B">
        <w:rPr>
          <w:rFonts w:ascii="Times New Roman" w:hAnsi="Times New Roman" w:cs="Times New Roman"/>
          <w:sz w:val="20"/>
          <w:szCs w:val="20"/>
        </w:rPr>
        <w:t>, Honghuang Lin</w:t>
      </w:r>
      <w:r w:rsidRPr="0096265B">
        <w:rPr>
          <w:rFonts w:ascii="Times New Roman" w:hAnsi="Times New Roman" w:cs="Times New Roman"/>
          <w:sz w:val="20"/>
          <w:szCs w:val="20"/>
          <w:vertAlign w:val="superscript"/>
        </w:rPr>
        <w:t>14</w:t>
      </w:r>
      <w:r w:rsidRPr="0096265B">
        <w:rPr>
          <w:rFonts w:ascii="Times New Roman" w:hAnsi="Times New Roman" w:cs="Times New Roman"/>
          <w:sz w:val="20"/>
          <w:szCs w:val="20"/>
        </w:rPr>
        <w:t>, Emelia J. Benjamin</w:t>
      </w:r>
      <w:r w:rsidRPr="0096265B">
        <w:rPr>
          <w:rFonts w:ascii="Times New Roman" w:hAnsi="Times New Roman" w:cs="Times New Roman"/>
          <w:sz w:val="20"/>
          <w:szCs w:val="20"/>
          <w:vertAlign w:val="superscript"/>
        </w:rPr>
        <w:t>1,14</w:t>
      </w:r>
      <w:r w:rsidRPr="0096265B">
        <w:rPr>
          <w:rFonts w:ascii="Times New Roman" w:hAnsi="Times New Roman" w:cs="Times New Roman"/>
          <w:sz w:val="20"/>
          <w:szCs w:val="20"/>
        </w:rPr>
        <w:t>, Tõnu Esko</w:t>
      </w:r>
      <w:r w:rsidRPr="0096265B">
        <w:rPr>
          <w:rFonts w:ascii="Times New Roman" w:hAnsi="Times New Roman" w:cs="Times New Roman"/>
          <w:sz w:val="20"/>
          <w:szCs w:val="20"/>
          <w:vertAlign w:val="superscript"/>
        </w:rPr>
        <w:t>12,26,27*</w:t>
      </w:r>
      <w:r w:rsidRPr="0096265B">
        <w:rPr>
          <w:rFonts w:ascii="Times New Roman" w:hAnsi="Times New Roman" w:cs="Times New Roman"/>
          <w:sz w:val="20"/>
          <w:szCs w:val="20"/>
        </w:rPr>
        <w:t>, Hans J. Grabe</w:t>
      </w:r>
      <w:r w:rsidRPr="0096265B">
        <w:rPr>
          <w:rFonts w:ascii="Times New Roman" w:hAnsi="Times New Roman" w:cs="Times New Roman"/>
          <w:sz w:val="20"/>
          <w:szCs w:val="20"/>
          <w:vertAlign w:val="superscript"/>
        </w:rPr>
        <w:t>28,29*</w:t>
      </w:r>
      <w:r w:rsidRPr="0096265B">
        <w:rPr>
          <w:rFonts w:ascii="Times New Roman" w:hAnsi="Times New Roman" w:cs="Times New Roman"/>
          <w:sz w:val="20"/>
          <w:szCs w:val="20"/>
        </w:rPr>
        <w:t>, Holger Prokisch</w:t>
      </w:r>
      <w:r w:rsidRPr="0096265B">
        <w:rPr>
          <w:rFonts w:ascii="Times New Roman" w:hAnsi="Times New Roman" w:cs="Times New Roman"/>
          <w:sz w:val="20"/>
          <w:szCs w:val="20"/>
          <w:vertAlign w:val="superscript"/>
        </w:rPr>
        <w:t>7,8*</w:t>
      </w:r>
      <w:r w:rsidRPr="0096265B">
        <w:rPr>
          <w:rFonts w:ascii="Times New Roman" w:hAnsi="Times New Roman" w:cs="Times New Roman"/>
          <w:sz w:val="20"/>
          <w:szCs w:val="20"/>
        </w:rPr>
        <w:t>, Joyce B.J. van Meurs</w:t>
      </w:r>
      <w:r w:rsidRPr="0096265B">
        <w:rPr>
          <w:rFonts w:ascii="Times New Roman" w:hAnsi="Times New Roman" w:cs="Times New Roman"/>
          <w:sz w:val="20"/>
          <w:szCs w:val="20"/>
          <w:vertAlign w:val="superscript"/>
        </w:rPr>
        <w:t>10,11*</w:t>
      </w:r>
      <w:r w:rsidRPr="0096265B">
        <w:rPr>
          <w:rFonts w:ascii="Times New Roman" w:hAnsi="Times New Roman" w:cs="Times New Roman"/>
          <w:sz w:val="20"/>
          <w:szCs w:val="20"/>
        </w:rPr>
        <w:t>, David Melzer</w:t>
      </w:r>
      <w:r w:rsidRPr="0096265B">
        <w:rPr>
          <w:rFonts w:ascii="Times New Roman" w:hAnsi="Times New Roman" w:cs="Times New Roman"/>
          <w:sz w:val="20"/>
          <w:szCs w:val="20"/>
          <w:vertAlign w:val="superscript"/>
        </w:rPr>
        <w:t>9*</w:t>
      </w:r>
      <w:r w:rsidRPr="0096265B">
        <w:rPr>
          <w:rFonts w:ascii="Times New Roman" w:hAnsi="Times New Roman" w:cs="Times New Roman"/>
          <w:sz w:val="20"/>
          <w:szCs w:val="20"/>
        </w:rPr>
        <w:t>, Daniel Levy</w:t>
      </w:r>
      <w:r w:rsidRPr="0096265B">
        <w:rPr>
          <w:rFonts w:ascii="Times New Roman" w:hAnsi="Times New Roman" w:cs="Times New Roman"/>
          <w:sz w:val="20"/>
          <w:szCs w:val="20"/>
          <w:vertAlign w:val="superscript"/>
        </w:rPr>
        <w:t>1,2*</w:t>
      </w:r>
    </w:p>
    <w:p w:rsidR="008C19A3" w:rsidRPr="0096265B" w:rsidRDefault="008C19A3" w:rsidP="008C19A3">
      <w:pPr>
        <w:rPr>
          <w:rFonts w:ascii="Times New Roman" w:hAnsi="Times New Roman" w:cs="Times New Roman"/>
          <w:sz w:val="20"/>
          <w:szCs w:val="20"/>
        </w:rPr>
      </w:pP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1 The National Heart, Lung, and Blood Institute's and Boston University’s Framingham Heart Study, 73 Mt. Wayte Avenue, Framingham, MA,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2 The Population Sciences Branch, Division of Intramural Research, National Heart, Lung, and Blood Institute, Bethesda, MD,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3 Hebrew SeniorLife, Harvard Medical School, Boston, MA,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4 The Charles Bronfman Institute for Personalized Medicine, Icahn School of Medicine at Mount Sinai, New York City, New York,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5 Genetics of Obesity &amp; Related Metabolic Traits Program, Icahn School of Medicine at Mount Sinai, New York, New York,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6 Interfaculty Institute of Genetics and Functional Genomics, University Medicine Greifswald, Greifswald, Germany;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7 Institute of Human Genetics, Helmholz Zentrum München - German Research Center for Environmental Health, Neuherberg, Germany;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8 Institute of Human Genetics, Technical University Munich, Munich, Germany;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9 Epidemiology and Public Health Group, Institute of Biomedical and Clinical Science, University of Exeter Medical School, Exeter, United Kingdom;</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 xml:space="preserve">10 Department of Internal Medicine, Erasmus Medical Centre Rotterdam, The Netherlands; </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11 The Netherlands Genomics Initiative-sponsored Netherlands Consortium for Healthy Aging (NGI-NCHA), Leiden / Rotterdam, the Netherlands;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12 Estonian Genome Center, University of Tartu, Tartu, Estonia;</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13 Harvard Medical School, Boston, MA,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14 Boston University School of Medicine and School of Public Health, Boston, MA,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15 Clinical Research Branch, National Institute on Aging, Baltimore, MD,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16 Institute for Community Medicine, University of Greifswald, Greifswald, Germany;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17 Department of Prosthetic Dentistry, Gerostomatology and Dental Materials, Center of Oral Health, University Medicine Greifswald, Greifswald, Germany;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18 Institute for Clinical Diabetology, German Diabetes Center, Leibniz Center for Diabetes Research at Heinrich Heine University Düsseldorf, Düsseldorf, Germany;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19 German Center for Diabetes Research (DZD), München-Neuherberg, Germany;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20 Research Unit of Molecular Epidemiology, Helmholz Zentrum München - German Research Center for Environmental Health, Neuherberg, Germany;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21 Institute of Epidemiology II, Helmholz Zentrum München - German Research Center for Environmental Health, Neuherberg, Germany;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22 Department of Epidemiology, Erasmus Medical Center Rotterdam, the Netherlands;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23 Laboratory of Neurogenetics, National Institute on Aging, National Institutes of Health, Bethesda, MD,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24 Geriatric Unit, Azienda Sanitaria di Firenze, Florence, Italy.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25 Mathematical and Statistical Computing Laboratory, Center for Information Technology, National Institutes of Health,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26 Division of Endocrinology, Boston Children's Hospital, Boston, MA,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27 Broad Institute of MIT and Harvard, Cambridge, MA, United States;</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28 Department of Psychiatry and Psychotherapy, University Medicine Greifswald, Greifswald, Germany;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29 German Center for Neurodegenerative Diseases DZNE, Site Rostock/ Greifswald, Germany;</w:t>
      </w:r>
    </w:p>
    <w:p w:rsidR="008C19A3" w:rsidRPr="0096265B" w:rsidRDefault="008C19A3" w:rsidP="008C19A3">
      <w:pPr>
        <w:rPr>
          <w:rFonts w:ascii="Times New Roman" w:hAnsi="Times New Roman" w:cs="Times New Roman"/>
          <w:sz w:val="20"/>
          <w:szCs w:val="20"/>
        </w:rPr>
      </w:pPr>
    </w:p>
    <w:p w:rsidR="008C19A3" w:rsidRPr="0096265B" w:rsidRDefault="008C19A3" w:rsidP="008C19A3">
      <w:pPr>
        <w:rPr>
          <w:rFonts w:ascii="Times New Roman" w:hAnsi="Times New Roman" w:cs="Times New Roman"/>
          <w:b/>
          <w:sz w:val="20"/>
          <w:szCs w:val="20"/>
        </w:rPr>
      </w:pPr>
    </w:p>
    <w:p w:rsidR="008C19A3" w:rsidRPr="0096265B" w:rsidRDefault="008C19A3" w:rsidP="008C19A3">
      <w:pPr>
        <w:rPr>
          <w:rFonts w:ascii="Times New Roman" w:hAnsi="Times New Roman" w:cs="Times New Roman"/>
          <w:b/>
          <w:sz w:val="20"/>
          <w:szCs w:val="20"/>
        </w:rPr>
      </w:pPr>
      <w:r w:rsidRPr="0096265B">
        <w:rPr>
          <w:rFonts w:ascii="Times New Roman" w:hAnsi="Times New Roman" w:cs="Times New Roman"/>
          <w:b/>
          <w:sz w:val="20"/>
          <w:szCs w:val="20"/>
        </w:rPr>
        <w:t>† These authors contribute equally.</w:t>
      </w:r>
    </w:p>
    <w:p w:rsidR="008C19A3" w:rsidRPr="0096265B" w:rsidRDefault="008C19A3" w:rsidP="008C19A3">
      <w:pPr>
        <w:rPr>
          <w:rFonts w:ascii="Times New Roman" w:hAnsi="Times New Roman" w:cs="Times New Roman"/>
          <w:b/>
          <w:sz w:val="20"/>
          <w:szCs w:val="20"/>
        </w:rPr>
      </w:pPr>
    </w:p>
    <w:p w:rsidR="008C19A3" w:rsidRPr="0096265B" w:rsidRDefault="008C19A3" w:rsidP="008C19A3">
      <w:pPr>
        <w:rPr>
          <w:rFonts w:ascii="Times New Roman" w:hAnsi="Times New Roman" w:cs="Times New Roman"/>
          <w:b/>
          <w:sz w:val="20"/>
          <w:szCs w:val="20"/>
        </w:rPr>
      </w:pPr>
      <w:r w:rsidRPr="0096265B">
        <w:rPr>
          <w:rFonts w:ascii="Times New Roman" w:hAnsi="Times New Roman" w:cs="Times New Roman"/>
          <w:b/>
          <w:sz w:val="20"/>
          <w:szCs w:val="20"/>
        </w:rPr>
        <w:t>* Denoted corresponding authors contribute equally; and the correspondence should be addressed to:</w:t>
      </w:r>
    </w:p>
    <w:p w:rsidR="008C19A3" w:rsidRPr="0096265B" w:rsidRDefault="008C19A3" w:rsidP="008C19A3">
      <w:pPr>
        <w:rPr>
          <w:rFonts w:ascii="Times New Roman" w:hAnsi="Times New Roman" w:cs="Times New Roman"/>
          <w:sz w:val="20"/>
          <w:szCs w:val="20"/>
        </w:rPr>
      </w:pP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Daniel Levy, MD</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Framingham Heart Study</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Population Sciences Branch</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National Heart, Lung, and Blood Institute</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73 Mt. Wayte Avenue, Suite 2</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Framingham, MA 01702</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 xml:space="preserve">Email: </w:t>
      </w:r>
      <w:hyperlink r:id="rId6" w:history="1">
        <w:r w:rsidRPr="0096265B">
          <w:rPr>
            <w:rFonts w:ascii="Times New Roman" w:hAnsi="Times New Roman" w:cs="Times New Roman"/>
            <w:sz w:val="20"/>
            <w:szCs w:val="20"/>
          </w:rPr>
          <w:t>Levyd@nih.gov</w:t>
        </w:r>
      </w:hyperlink>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Phone: 508-935-3458</w:t>
      </w:r>
    </w:p>
    <w:p w:rsidR="008C19A3" w:rsidRPr="0096265B" w:rsidRDefault="008C19A3" w:rsidP="008C19A3">
      <w:pPr>
        <w:rPr>
          <w:rFonts w:ascii="Times New Roman" w:hAnsi="Times New Roman" w:cs="Times New Roman"/>
          <w:sz w:val="20"/>
          <w:szCs w:val="20"/>
        </w:rPr>
      </w:pPr>
      <w:r w:rsidRPr="0096265B">
        <w:rPr>
          <w:rFonts w:ascii="Times New Roman" w:hAnsi="Times New Roman" w:cs="Times New Roman"/>
          <w:sz w:val="20"/>
          <w:szCs w:val="20"/>
        </w:rPr>
        <w:t>Fax: 508-872-2678</w:t>
      </w:r>
    </w:p>
    <w:p w:rsidR="008C19A3" w:rsidRPr="0096265B" w:rsidRDefault="008C19A3" w:rsidP="008C19A3">
      <w:pPr>
        <w:rPr>
          <w:rFonts w:ascii="Times New Roman" w:hAnsi="Times New Roman" w:cs="Times New Roman"/>
          <w:sz w:val="20"/>
          <w:szCs w:val="20"/>
        </w:rPr>
      </w:pPr>
    </w:p>
    <w:p w:rsidR="00C62DB4" w:rsidRPr="008C19A3" w:rsidRDefault="00C62DB4" w:rsidP="008C19A3">
      <w:pPr>
        <w:spacing w:line="480" w:lineRule="auto"/>
        <w:rPr>
          <w:rFonts w:ascii="Times New Roman" w:hAnsi="Times New Roman" w:cs="Times New Roman"/>
          <w:b/>
          <w:sz w:val="18"/>
          <w:szCs w:val="20"/>
        </w:rPr>
      </w:pPr>
    </w:p>
    <w:p w:rsidR="008C19A3" w:rsidRDefault="008C19A3">
      <w:pPr>
        <w:spacing w:after="200" w:line="276" w:lineRule="auto"/>
        <w:rPr>
          <w:rFonts w:ascii="Times New Roman" w:hAnsi="Times New Roman" w:cs="Times New Roman"/>
          <w:b/>
          <w:sz w:val="28"/>
          <w:szCs w:val="28"/>
        </w:rPr>
      </w:pPr>
      <w:r>
        <w:rPr>
          <w:rFonts w:ascii="Times New Roman" w:hAnsi="Times New Roman" w:cs="Times New Roman"/>
          <w:b/>
          <w:sz w:val="28"/>
          <w:szCs w:val="28"/>
        </w:rPr>
        <w:br w:type="page"/>
      </w:r>
    </w:p>
    <w:p w:rsidR="005618C9" w:rsidRPr="008C19A3" w:rsidRDefault="005618C9" w:rsidP="008C19A3">
      <w:pPr>
        <w:spacing w:after="240" w:line="480" w:lineRule="auto"/>
        <w:rPr>
          <w:rFonts w:ascii="Times New Roman" w:hAnsi="Times New Roman" w:cs="Times New Roman"/>
          <w:b/>
          <w:sz w:val="28"/>
          <w:szCs w:val="28"/>
        </w:rPr>
      </w:pPr>
      <w:r w:rsidRPr="008C19A3">
        <w:rPr>
          <w:rFonts w:ascii="Times New Roman" w:hAnsi="Times New Roman" w:cs="Times New Roman"/>
          <w:b/>
          <w:sz w:val="28"/>
          <w:szCs w:val="28"/>
        </w:rPr>
        <w:lastRenderedPageBreak/>
        <w:t>Supplementary Methods</w:t>
      </w:r>
    </w:p>
    <w:p w:rsidR="005618C9" w:rsidRPr="008C19A3" w:rsidRDefault="005618C9"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Framingham Heart Study (FHS)</w:t>
      </w:r>
    </w:p>
    <w:p w:rsidR="005618C9" w:rsidRPr="008C19A3" w:rsidRDefault="005618C9" w:rsidP="00576E7A">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 xml:space="preserve">Study participants: </w:t>
      </w:r>
      <w:r w:rsidRPr="008C19A3">
        <w:rPr>
          <w:rFonts w:ascii="Times New Roman" w:hAnsi="Times New Roman" w:cs="Times New Roman"/>
          <w:sz w:val="20"/>
          <w:szCs w:val="20"/>
        </w:rPr>
        <w:t xml:space="preserve">Having given written, informed consent, participants were drawn from the </w:t>
      </w:r>
      <w:r w:rsidR="003D5679" w:rsidRPr="008C19A3">
        <w:rPr>
          <w:rFonts w:ascii="Times New Roman" w:hAnsi="Times New Roman" w:cs="Times New Roman"/>
          <w:sz w:val="20"/>
          <w:szCs w:val="20"/>
        </w:rPr>
        <w:t xml:space="preserve">FHS </w:t>
      </w:r>
      <w:r w:rsidRPr="008C19A3">
        <w:rPr>
          <w:rFonts w:ascii="Times New Roman" w:hAnsi="Times New Roman" w:cs="Times New Roman"/>
          <w:sz w:val="20"/>
          <w:szCs w:val="20"/>
        </w:rPr>
        <w:t>offspring and third generation cohorts, where recruitment procedures and clinical characteristics of have been reported previously. For this study, samples came from 2,770 individuals who attended the 8th offspring cohort</w:t>
      </w:r>
      <w:r w:rsidR="009758DF" w:rsidRPr="008C19A3">
        <w:rPr>
          <w:rFonts w:ascii="Times New Roman" w:hAnsi="Times New Roman" w:cs="Times New Roman"/>
          <w:sz w:val="20"/>
          <w:szCs w:val="20"/>
        </w:rPr>
        <w:t xml:space="preserve"> </w:t>
      </w:r>
      <w:r w:rsidR="009758DF" w:rsidRPr="008C19A3">
        <w:rPr>
          <w:rFonts w:ascii="Times New Roman" w:hAnsi="Times New Roman" w:cs="Times New Roman"/>
          <w:sz w:val="20"/>
          <w:szCs w:val="20"/>
        </w:rPr>
        <w:fldChar w:fldCharType="begin"/>
      </w:r>
      <w:r w:rsidR="005A69A2" w:rsidRPr="008C19A3">
        <w:rPr>
          <w:rFonts w:ascii="Times New Roman" w:hAnsi="Times New Roman" w:cs="Times New Roman"/>
          <w:sz w:val="20"/>
          <w:szCs w:val="20"/>
        </w:rPr>
        <w:instrText xml:space="preserve"> ADDIN EN.CITE &lt;EndNote&gt;&lt;Cite&gt;&lt;Author&gt;Feinleib&lt;/Author&gt;&lt;Year&gt;1975&lt;/Year&gt;&lt;RecNum&gt;79&lt;/RecNum&gt;&lt;DisplayText&gt;(1)&lt;/DisplayText&gt;&lt;record&gt;&lt;rec-number&gt;79&lt;/rec-number&gt;&lt;foreign-keys&gt;&lt;key app="EN" db-id="zft5dst5trf2d2ee0f65pda3eexa5ta2a0zz" timestamp="1449602503"&gt;79&lt;/key&gt;&lt;/foreign-keys&gt;&lt;ref-type name="Journal Article"&gt;17&lt;/ref-type&gt;&lt;contributors&gt;&lt;authors&gt;&lt;author&gt;Feinleib, Manning&lt;/author&gt;&lt;author&gt;Kannel, William B&lt;/author&gt;&lt;author&gt;Garrison, Robert J&lt;/author&gt;&lt;author&gt;McNamara, Patricia M&lt;/author&gt;&lt;author&gt;Castelli, William P&lt;/author&gt;&lt;/authors&gt;&lt;/contributors&gt;&lt;titles&gt;&lt;title&gt;The Framingham offspring study. Design and preliminary data&lt;/title&gt;&lt;secondary-title&gt;Preventive medicine&lt;/secondary-title&gt;&lt;/titles&gt;&lt;periodical&gt;&lt;full-title&gt;Preventive medicine&lt;/full-title&gt;&lt;/periodical&gt;&lt;pages&gt;518-525&lt;/pages&gt;&lt;volume&gt;4&lt;/volume&gt;&lt;number&gt;4&lt;/number&gt;&lt;dates&gt;&lt;year&gt;1975&lt;/year&gt;&lt;/dates&gt;&lt;isbn&gt;0091-7435&lt;/isbn&gt;&lt;urls&gt;&lt;/urls&gt;&lt;/record&gt;&lt;/Cite&gt;&lt;/EndNote&gt;</w:instrText>
      </w:r>
      <w:r w:rsidR="009758DF" w:rsidRPr="008C19A3">
        <w:rPr>
          <w:rFonts w:ascii="Times New Roman" w:hAnsi="Times New Roman" w:cs="Times New Roman"/>
          <w:sz w:val="20"/>
          <w:szCs w:val="20"/>
        </w:rPr>
        <w:fldChar w:fldCharType="separate"/>
      </w:r>
      <w:r w:rsidR="005A69A2" w:rsidRPr="008C19A3">
        <w:rPr>
          <w:rFonts w:ascii="Times New Roman" w:hAnsi="Times New Roman" w:cs="Times New Roman"/>
          <w:noProof/>
          <w:sz w:val="20"/>
          <w:szCs w:val="20"/>
        </w:rPr>
        <w:t>(1)</w:t>
      </w:r>
      <w:r w:rsidR="009758DF" w:rsidRPr="008C19A3">
        <w:rPr>
          <w:rFonts w:ascii="Times New Roman" w:hAnsi="Times New Roman" w:cs="Times New Roman"/>
          <w:sz w:val="20"/>
          <w:szCs w:val="20"/>
        </w:rPr>
        <w:fldChar w:fldCharType="end"/>
      </w:r>
      <w:r w:rsidRPr="008C19A3">
        <w:rPr>
          <w:rFonts w:ascii="Times New Roman" w:hAnsi="Times New Roman" w:cs="Times New Roman"/>
          <w:sz w:val="20"/>
          <w:szCs w:val="20"/>
        </w:rPr>
        <w:t xml:space="preserve"> examination cycle (2005-2008) and 3,341 individuals who attended 2nd examination cycle (2006-2009) of the third generation cohort</w:t>
      </w:r>
      <w:r w:rsidR="009758DF" w:rsidRPr="008C19A3">
        <w:rPr>
          <w:rFonts w:ascii="Times New Roman" w:hAnsi="Times New Roman" w:cs="Times New Roman"/>
          <w:sz w:val="20"/>
          <w:szCs w:val="20"/>
        </w:rPr>
        <w:t xml:space="preserve"> </w:t>
      </w:r>
      <w:r w:rsidR="009758DF" w:rsidRPr="008C19A3">
        <w:rPr>
          <w:rFonts w:ascii="Times New Roman" w:hAnsi="Times New Roman" w:cs="Times New Roman"/>
          <w:sz w:val="20"/>
          <w:szCs w:val="20"/>
        </w:rPr>
        <w:fldChar w:fldCharType="begin"/>
      </w:r>
      <w:r w:rsidR="005A69A2" w:rsidRPr="008C19A3">
        <w:rPr>
          <w:rFonts w:ascii="Times New Roman" w:hAnsi="Times New Roman" w:cs="Times New Roman"/>
          <w:sz w:val="20"/>
          <w:szCs w:val="20"/>
        </w:rPr>
        <w:instrText xml:space="preserve"> ADDIN EN.CITE &lt;EndNote&gt;&lt;Cite&gt;&lt;Author&gt;Splansky&lt;/Author&gt;&lt;Year&gt;2007&lt;/Year&gt;&lt;RecNum&gt;80&lt;/RecNum&gt;&lt;DisplayText&gt;(2)&lt;/DisplayText&gt;&lt;record&gt;&lt;rec-number&gt;80&lt;/rec-number&gt;&lt;foreign-keys&gt;&lt;key app="EN" db-id="zft5dst5trf2d2ee0f65pda3eexa5ta2a0zz" timestamp="1449602558"&gt;80&lt;/key&gt;&lt;/foreign-keys&gt;&lt;ref-type name="Journal Article"&gt;17&lt;/ref-type&gt;&lt;contributors&gt;&lt;authors&gt;&lt;author&gt;Splansky, Greta Lee&lt;/author&gt;&lt;author&gt;Corey, Diane&lt;/author&gt;&lt;author&gt;Yang, Qiong&lt;/author&gt;&lt;author&gt;Atwood, Larry D&lt;/author&gt;&lt;author&gt;Cupples, L Adrienne&lt;/author&gt;&lt;author&gt;Benjamin, Emelia J&lt;/author&gt;&lt;author&gt;D&amp;apos;Agostino, Ralph B&lt;/author&gt;&lt;author&gt;Fox, Caroline S&lt;/author&gt;&lt;author&gt;Larson, Martin G&lt;/author&gt;&lt;author&gt;Murabito, Joanne M&lt;/author&gt;&lt;/authors&gt;&lt;/contributors&gt;&lt;titles&gt;&lt;title&gt;The third generation cohort of the National Heart, Lung, and Blood Institute&amp;apos;s Framingham Heart Study: design, recruitment, and initial examination&lt;/title&gt;&lt;secondary-title&gt;American journal of epidemiology&lt;/secondary-title&gt;&lt;/titles&gt;&lt;periodical&gt;&lt;full-title&gt;American journal of epidemiology&lt;/full-title&gt;&lt;/periodical&gt;&lt;pages&gt;1328-1335&lt;/pages&gt;&lt;volume&gt;165&lt;/volume&gt;&lt;number&gt;11&lt;/number&gt;&lt;dates&gt;&lt;year&gt;2007&lt;/year&gt;&lt;/dates&gt;&lt;isbn&gt;0002-9262&lt;/isbn&gt;&lt;urls&gt;&lt;/urls&gt;&lt;/record&gt;&lt;/Cite&gt;&lt;/EndNote&gt;</w:instrText>
      </w:r>
      <w:r w:rsidR="009758DF" w:rsidRPr="008C19A3">
        <w:rPr>
          <w:rFonts w:ascii="Times New Roman" w:hAnsi="Times New Roman" w:cs="Times New Roman"/>
          <w:sz w:val="20"/>
          <w:szCs w:val="20"/>
        </w:rPr>
        <w:fldChar w:fldCharType="separate"/>
      </w:r>
      <w:r w:rsidR="005A69A2" w:rsidRPr="008C19A3">
        <w:rPr>
          <w:rFonts w:ascii="Times New Roman" w:hAnsi="Times New Roman" w:cs="Times New Roman"/>
          <w:noProof/>
          <w:sz w:val="20"/>
          <w:szCs w:val="20"/>
        </w:rPr>
        <w:t>(2)</w:t>
      </w:r>
      <w:r w:rsidR="009758DF" w:rsidRPr="008C19A3">
        <w:rPr>
          <w:rFonts w:ascii="Times New Roman" w:hAnsi="Times New Roman" w:cs="Times New Roman"/>
          <w:sz w:val="20"/>
          <w:szCs w:val="20"/>
        </w:rPr>
        <w:fldChar w:fldCharType="end"/>
      </w:r>
      <w:r w:rsidRPr="008C19A3">
        <w:rPr>
          <w:rFonts w:ascii="Times New Roman" w:hAnsi="Times New Roman" w:cs="Times New Roman"/>
          <w:sz w:val="20"/>
          <w:szCs w:val="20"/>
        </w:rPr>
        <w:t xml:space="preserve">. All protocols for participant examinations and collection of genetic materials were approved by the Boston Medical Center Institutional Review Board. </w:t>
      </w:r>
    </w:p>
    <w:p w:rsidR="005618C9" w:rsidRPr="008C19A3" w:rsidRDefault="005618C9" w:rsidP="008C19A3">
      <w:pPr>
        <w:spacing w:after="120" w:line="480" w:lineRule="auto"/>
        <w:ind w:firstLine="720"/>
        <w:rPr>
          <w:rFonts w:ascii="Times New Roman" w:hAnsi="Times New Roman" w:cs="Times New Roman"/>
          <w:b/>
          <w:sz w:val="20"/>
          <w:szCs w:val="20"/>
        </w:rPr>
      </w:pPr>
      <w:r w:rsidRPr="008C19A3">
        <w:rPr>
          <w:rFonts w:ascii="Times New Roman" w:hAnsi="Times New Roman" w:cs="Times New Roman"/>
          <w:b/>
          <w:sz w:val="20"/>
          <w:szCs w:val="20"/>
        </w:rPr>
        <w:t xml:space="preserve">Isolation of RNA from whole blood: </w:t>
      </w:r>
      <w:r w:rsidRPr="008C19A3">
        <w:rPr>
          <w:rFonts w:ascii="Times New Roman" w:hAnsi="Times New Roman" w:cs="Times New Roman"/>
          <w:sz w:val="20"/>
          <w:szCs w:val="20"/>
        </w:rPr>
        <w:t>We collected 2.5 ml of fasting peripheral whole blood sample from each FHS participant during examination into PAXgene™ tubes (PreAnalytiX, Hombrechtikon, Switzerland) and incubated it at room temperature for 4h for RNA stabilization. The samples were then stored at −80°C. Asuragen, Inc., performed total RNA enriched with miRNA isolation from frozen PAXgene blood tubes upon 16 hour thawing procedure at room temperature, according to the company’s standard operating procedures for 96 sample-per-batch automated RNA isolation as follows. Cells were lysed in guanidinium-containing buffer after centrifugation and washing to collect white blood cell pellets. After organic extraction, binding buffer and magnetic beads were added prior to the batch assay on KingFisher® 96 robot. For assay quality purposes, we collected two sets of measurements: a) the purity and quantity of total RNA samples, as determined by absorbance readings at 260 and 280 nm using a NanoDrop ND-1000 UV spectrophotometer; and b) the integrity of total RNA, as qualified by Agilent Bioanalyzer 2100 microfluidic electrophoresis, using the Nano Assay and the Caliper LabChip system.</w:t>
      </w:r>
    </w:p>
    <w:p w:rsidR="005618C9" w:rsidRPr="008C19A3" w:rsidRDefault="005618C9" w:rsidP="008C19A3">
      <w:pPr>
        <w:spacing w:after="120" w:line="480" w:lineRule="auto"/>
        <w:ind w:firstLine="720"/>
        <w:rPr>
          <w:rFonts w:ascii="Times New Roman" w:hAnsi="Times New Roman" w:cs="Times New Roman"/>
          <w:b/>
          <w:sz w:val="20"/>
          <w:szCs w:val="20"/>
        </w:rPr>
      </w:pPr>
      <w:r w:rsidRPr="008C19A3">
        <w:rPr>
          <w:rFonts w:ascii="Times New Roman" w:hAnsi="Times New Roman" w:cs="Times New Roman"/>
          <w:b/>
          <w:sz w:val="20"/>
          <w:szCs w:val="20"/>
        </w:rPr>
        <w:t xml:space="preserve">Preparation of cDNA from RNA: </w:t>
      </w:r>
      <w:r w:rsidRPr="008C19A3">
        <w:rPr>
          <w:rFonts w:ascii="Times New Roman" w:hAnsi="Times New Roman" w:cs="Times New Roman"/>
          <w:sz w:val="20"/>
          <w:szCs w:val="20"/>
        </w:rPr>
        <w:t xml:space="preserve">After isolation, 50 ng RNA samples were amplified using the WT-Ovation Pico RNA Amplification System (NuGEN, San Carlos, CA) per manufacturer’s recommended automated protocol using the genechip array station (GCAS), as follows. First strand cDNA was prepared using a unique first strand DNA/RNA chimeric primer mix and reverse transcriptase. Then, DNA/RNA Heteroduplex Double Stranded cDNA was generated as the substrate for Single-Primer Isothermal Amplification (SPIA), a linear amplification process developed by NuGEN. Amplified DNA, </w:t>
      </w:r>
      <w:r w:rsidRPr="008C19A3">
        <w:rPr>
          <w:rFonts w:ascii="Times New Roman" w:hAnsi="Times New Roman" w:cs="Times New Roman"/>
          <w:sz w:val="20"/>
          <w:szCs w:val="20"/>
        </w:rPr>
        <w:lastRenderedPageBreak/>
        <w:t>along with RNA, was then treated with RNase H to degrade the RNA in the DNA/RNA heteroduplex at the 5’ end of the first cDNA strand, which served as the initiation site for the next round of cDNA synthesis. The aforementioned process is repeated, resulting in rapid accumulation of SPIA cDNA in microgram amounts.</w:t>
      </w:r>
    </w:p>
    <w:p w:rsidR="005618C9" w:rsidRPr="008C19A3" w:rsidRDefault="005618C9" w:rsidP="008C19A3">
      <w:pPr>
        <w:spacing w:after="120" w:line="480" w:lineRule="auto"/>
        <w:ind w:firstLine="720"/>
        <w:rPr>
          <w:rFonts w:ascii="Times New Roman" w:hAnsi="Times New Roman" w:cs="Times New Roman"/>
          <w:b/>
          <w:sz w:val="20"/>
          <w:szCs w:val="20"/>
        </w:rPr>
      </w:pPr>
      <w:r w:rsidRPr="008C19A3">
        <w:rPr>
          <w:rFonts w:ascii="Times New Roman" w:hAnsi="Times New Roman" w:cs="Times New Roman"/>
          <w:b/>
          <w:sz w:val="20"/>
          <w:szCs w:val="20"/>
        </w:rPr>
        <w:t xml:space="preserve">Target Labeling and hybridization onto Affymetrix Genechips: </w:t>
      </w:r>
      <w:r w:rsidRPr="008C19A3">
        <w:rPr>
          <w:rFonts w:ascii="Times New Roman" w:hAnsi="Times New Roman" w:cs="Times New Roman"/>
          <w:sz w:val="20"/>
          <w:szCs w:val="20"/>
        </w:rPr>
        <w:t xml:space="preserve">After the amplification step, 3 μg of the amplified cDNA were processed with the WT-Ovation Exon Module in GCAS to produce sense strand ST-cDNA per manufacturer’s (NuGEN, San Carlos, CA) procedure. Next, 5 μg ST-cDNA was fragmented and labeled with the FL-Ovation™ cDNA Biotin Module using a proprietary two-step fragmentation and labeling process: 1) a combined chemical and enzymatic fragmentation process that yields single-stranded cDNA products in the 50- to 100-base range, and 2) this fragmented product is labeled via enzymatic attachment of a biotin-labeled nucleotide to the 3-hydroxyl end of the fragmented cDNA generated in the first step. Hybridization to Affymetrix Human Exon 1.0 ST microarrays was performed at 45ºC overnight, followed by washing and staining using FS450 fluidics station, and scanning using the 7G GCS3000 scanner, in accordance to the manufacturer’s protocol (Affymetrix, Santa Clara, CA). </w:t>
      </w:r>
    </w:p>
    <w:p w:rsidR="005618C9" w:rsidRPr="00576E7A" w:rsidRDefault="005618C9" w:rsidP="008C19A3">
      <w:pPr>
        <w:spacing w:after="120" w:line="480" w:lineRule="auto"/>
        <w:ind w:firstLine="720"/>
        <w:rPr>
          <w:rFonts w:ascii="Times New Roman" w:hAnsi="Times New Roman" w:cs="Times New Roman"/>
          <w:b/>
          <w:sz w:val="20"/>
          <w:szCs w:val="20"/>
        </w:rPr>
      </w:pPr>
      <w:r w:rsidRPr="008C19A3">
        <w:rPr>
          <w:rFonts w:ascii="Times New Roman" w:hAnsi="Times New Roman" w:cs="Times New Roman"/>
          <w:b/>
          <w:sz w:val="20"/>
          <w:szCs w:val="20"/>
        </w:rPr>
        <w:t xml:space="preserve">Microarray data collection and quality control: </w:t>
      </w:r>
      <w:r w:rsidRPr="008C19A3">
        <w:rPr>
          <w:rFonts w:ascii="Times New Roman" w:hAnsi="Times New Roman" w:cs="Times New Roman"/>
          <w:sz w:val="20"/>
          <w:szCs w:val="20"/>
        </w:rPr>
        <w:t>CEL files generated from the scanner were processed using the robust multi-chip average (RMA)</w:t>
      </w:r>
      <w:r w:rsidRPr="008C19A3">
        <w:rPr>
          <w:rFonts w:ascii="Times New Roman" w:hAnsi="Times New Roman" w:cs="Times New Roman"/>
          <w:sz w:val="20"/>
          <w:szCs w:val="20"/>
        </w:rPr>
        <w:fldChar w:fldCharType="begin"/>
      </w:r>
      <w:r w:rsidRPr="008C19A3">
        <w:rPr>
          <w:rFonts w:ascii="Times New Roman" w:hAnsi="Times New Roman" w:cs="Times New Roman"/>
          <w:sz w:val="20"/>
          <w:szCs w:val="20"/>
        </w:rPr>
        <w:instrText xml:space="preserve"> ADDIN ZOTERO_ITEM CSL_CITATION {"citationID":"19lmhv65cg","properties":{"formattedCitation":"{\\rtf \\super 7\\nosupersub{}}","plainCitation":"7"},"citationItems":[{"id":570,"uris":["http://zotero.org/users/517338/items/ZT3I4927"],"uri":["http://zotero.org/users/517338/items/ZT3I4927"],"itemData":{"id":570,"type":"article-journal","title":"Exploration, normalization, and summaries of high density oligonucleotide array probe level data","container-title":"Biostatistics (Oxford, England)","page":"249-264","volume":"4","issue":"2","abstract":"In this paper we report exploratory analyses of high-density oligonucleotide array data from the Affymetrix GeneChip system with the objective of improving upon currently used measures of gene expression. Our analyses make use of three data sets: a small experimental study consisting of five MGU74A mouse GeneChip arrays, part of the data from an extensive spike-in study conducted by Gene Logic and Wyeth's Genetics Institute involving 95 HG-U95A human GeneChip arrays; and part of a dilution study conducted by Gene Logic involving 75 HG-U95A GeneChip arrays. We display some familiar features of the perfect match and mismatch probe (PM and MM) values of these data, and examine the variance-mean relationship with probe-level data from probes believed to be defective, and so delivering noise only. We explain why we need to normalize the arrays to one another using probe level intensities. We then examine the behavior of the PM and MM using spike-in data and assess three commonly used summary measures: Affymetrix's (i) average difference (AvDiff) and (ii) MAS 5.0 signal, and (iii) the Li and Wong multiplicative model-based expression index (MBEI). The exploratory data analyses of the probe level data motivate a new summary measure that is a robust multi-array average (RMA) of background-adjusted, normalized, and log-transformed PM values. We evaluate the four expression summary measures using the dilution study data, assessing their behavior in terms of bias, variance and (for MBEI and RMA) model fit. Finally, we evaluate the algorithms in terms of their ability to detect known levels of differential expression using the spike-in data. We conclude that there is no obvious downside to using RMA and attaching a standard error (SE) to this quantity using a linear model which removes probe-specific affinities.","DOI":"10.1093/biostatistics/4.2.249","ISSN":"1465-4644","note":"PMID: 12925520","journalAbbreviation":"Biostatistics","author":[{"family":"Irizarry","given":"Rafael A"},{"family":"Hobbs","given":"Bridget"},{"family":"Collin","given":"Francois"},{"family":"Beazer-Barclay","given":"Yasmin D"},{"family":"Antonellis","given":"Kristen J"},{"family":"Scherf","given":"Uwe"},{"family":"Speed","given":"Terence P"}],"issued":{"date-parts":[["2003",4]]},"PMID":"12925520"}}],"schema":"https://github.com/citation-style-language/schema/raw/master/csl-citation.json"} </w:instrText>
      </w:r>
      <w:r w:rsidRPr="008C19A3">
        <w:rPr>
          <w:rFonts w:ascii="Times New Roman" w:hAnsi="Times New Roman" w:cs="Times New Roman"/>
          <w:sz w:val="20"/>
          <w:szCs w:val="20"/>
        </w:rPr>
        <w:fldChar w:fldCharType="separate"/>
      </w:r>
      <w:r w:rsidRPr="008C19A3">
        <w:rPr>
          <w:rFonts w:ascii="Times New Roman" w:hAnsi="Times New Roman" w:cs="Times New Roman"/>
          <w:sz w:val="20"/>
          <w:szCs w:val="20"/>
        </w:rPr>
        <w:t>7</w:t>
      </w:r>
      <w:r w:rsidRPr="008C19A3">
        <w:rPr>
          <w:rFonts w:ascii="Times New Roman" w:hAnsi="Times New Roman" w:cs="Times New Roman"/>
          <w:sz w:val="20"/>
          <w:szCs w:val="20"/>
        </w:rPr>
        <w:fldChar w:fldCharType="end"/>
      </w:r>
      <w:r w:rsidRPr="008C19A3">
        <w:rPr>
          <w:rFonts w:ascii="Times New Roman" w:hAnsi="Times New Roman" w:cs="Times New Roman"/>
          <w:sz w:val="20"/>
          <w:szCs w:val="20"/>
        </w:rPr>
        <w:t xml:space="preserve"> method available in the Affymetrix Power Tools (APT)</w:t>
      </w:r>
      <w:r w:rsidRPr="008C19A3">
        <w:rPr>
          <w:rFonts w:ascii="Times New Roman" w:hAnsi="Times New Roman" w:cs="Times New Roman"/>
          <w:sz w:val="20"/>
          <w:szCs w:val="20"/>
        </w:rPr>
        <w:fldChar w:fldCharType="begin"/>
      </w:r>
      <w:r w:rsidRPr="008C19A3">
        <w:rPr>
          <w:rFonts w:ascii="Times New Roman" w:hAnsi="Times New Roman" w:cs="Times New Roman"/>
          <w:sz w:val="20"/>
          <w:szCs w:val="20"/>
        </w:rPr>
        <w:instrText xml:space="preserve"> ADDIN ZOTERO_ITEM CSL_CITATION {"citationID":"rprb5458s","properties":{"formattedCitation":"{\\rtf \\super 8\\nosupersub{}}","plainCitation":"8"},"citationItems":[{"id":201,"uris":["http://zotero.org/users/517338/items/ECHXDANH"],"uri":["http://zotero.org/users/517338/items/ECHXDANH"],"itemData":{"id":201,"type":"book","title":"Affymetrix Power Tools","publisher":"Affymetrix","version":"1.12.0","URL":"http://www.affymetrix.com/partners_programs/programs/developer/tools/powertools.affx","author":[{"family":"Affymetrix","given":""}]}}],"schema":"https://github.com/citation-style-language/schema/raw/master/csl-citation.json"} </w:instrText>
      </w:r>
      <w:r w:rsidRPr="008C19A3">
        <w:rPr>
          <w:rFonts w:ascii="Times New Roman" w:hAnsi="Times New Roman" w:cs="Times New Roman"/>
          <w:sz w:val="20"/>
          <w:szCs w:val="20"/>
        </w:rPr>
        <w:fldChar w:fldCharType="separate"/>
      </w:r>
      <w:r w:rsidRPr="008C19A3">
        <w:rPr>
          <w:rFonts w:ascii="Times New Roman" w:hAnsi="Times New Roman" w:cs="Times New Roman"/>
          <w:sz w:val="20"/>
          <w:szCs w:val="20"/>
        </w:rPr>
        <w:t>8</w:t>
      </w:r>
      <w:r w:rsidRPr="008C19A3">
        <w:rPr>
          <w:rFonts w:ascii="Times New Roman" w:hAnsi="Times New Roman" w:cs="Times New Roman"/>
          <w:sz w:val="20"/>
          <w:szCs w:val="20"/>
        </w:rPr>
        <w:fldChar w:fldCharType="end"/>
      </w:r>
      <w:r w:rsidRPr="008C19A3">
        <w:rPr>
          <w:rFonts w:ascii="Times New Roman" w:hAnsi="Times New Roman" w:cs="Times New Roman"/>
          <w:sz w:val="20"/>
          <w:szCs w:val="20"/>
        </w:rPr>
        <w:t xml:space="preserve"> Software version 1.12.0 (Affymetrix) to produce intensity values for each gene chip. Based on NetAffx annotation version 33.1</w:t>
      </w:r>
      <w:r w:rsidRPr="008C19A3">
        <w:rPr>
          <w:rFonts w:ascii="Times New Roman" w:hAnsi="Times New Roman" w:cs="Times New Roman"/>
          <w:sz w:val="20"/>
          <w:szCs w:val="20"/>
        </w:rPr>
        <w:fldChar w:fldCharType="begin"/>
      </w:r>
      <w:r w:rsidRPr="008C19A3">
        <w:rPr>
          <w:rFonts w:ascii="Times New Roman" w:hAnsi="Times New Roman" w:cs="Times New Roman"/>
          <w:sz w:val="20"/>
          <w:szCs w:val="20"/>
        </w:rPr>
        <w:instrText xml:space="preserve"> ADDIN ZOTERO_ITEM CSL_CITATION {"citationID":"8nCItLC0","properties":{"formattedCitation":"{\\rtf \\super 9\\nosupersub{}}","plainCitation":"9"},"citationItems":[{"id":203,"uris":["http://zotero.org/users/517338/items/EGQQ3CUB"],"uri":["http://zotero.org/users/517338/items/EGQQ3CUB"],"itemData":{"id":203,"type":"article","title":"Transcript assignment for NetAffx(TM) Annotations","URL":"http://www.affymetrix.com/support/technical/byproduct.affx?product=huexon-st","author":[{"family":"Affymetrix","given":""}],"issued":{"date-parts":[["2006"]],"season":"24"}}}],"schema":"https://github.com/citation-style-language/schema/raw/master/csl-citation.json"} </w:instrText>
      </w:r>
      <w:r w:rsidRPr="008C19A3">
        <w:rPr>
          <w:rFonts w:ascii="Times New Roman" w:hAnsi="Times New Roman" w:cs="Times New Roman"/>
          <w:sz w:val="20"/>
          <w:szCs w:val="20"/>
        </w:rPr>
        <w:fldChar w:fldCharType="separate"/>
      </w:r>
      <w:r w:rsidRPr="008C19A3">
        <w:rPr>
          <w:rFonts w:ascii="Times New Roman" w:hAnsi="Times New Roman" w:cs="Times New Roman"/>
          <w:sz w:val="20"/>
          <w:szCs w:val="20"/>
        </w:rPr>
        <w:t>9</w:t>
      </w:r>
      <w:r w:rsidRPr="008C19A3">
        <w:rPr>
          <w:rFonts w:ascii="Times New Roman" w:hAnsi="Times New Roman" w:cs="Times New Roman"/>
          <w:sz w:val="20"/>
          <w:szCs w:val="20"/>
        </w:rPr>
        <w:fldChar w:fldCharType="end"/>
      </w:r>
      <w:r w:rsidRPr="008C19A3">
        <w:rPr>
          <w:rFonts w:ascii="Times New Roman" w:hAnsi="Times New Roman" w:cs="Times New Roman"/>
          <w:sz w:val="20"/>
          <w:szCs w:val="20"/>
        </w:rPr>
        <w:t>, a total of 287,329 Refseq-core</w:t>
      </w:r>
      <w:r w:rsidRPr="008C19A3">
        <w:rPr>
          <w:rFonts w:ascii="Times New Roman" w:hAnsi="Times New Roman" w:cs="Times New Roman"/>
          <w:sz w:val="20"/>
          <w:szCs w:val="20"/>
        </w:rPr>
        <w:fldChar w:fldCharType="begin"/>
      </w:r>
      <w:r w:rsidRPr="008C19A3">
        <w:rPr>
          <w:rFonts w:ascii="Times New Roman" w:hAnsi="Times New Roman" w:cs="Times New Roman"/>
          <w:sz w:val="20"/>
          <w:szCs w:val="20"/>
        </w:rPr>
        <w:instrText xml:space="preserve"> ADDIN ZOTERO_ITEM CSL_CITATION {"citationID":"mp477vat6","properties":{"formattedCitation":"{\\rtf \\super 10\\nosupersub{}}","plainCitation":"10"},"citationItems":[{"id":540,"uris":["http://zotero.org/users/517338/items/XABUIQCI"],"uri":["http://zotero.org/users/517338/items/XABUIQCI"],"itemData":{"id":540,"type":"article-journal","title":"RefSeq: an update on mammalian reference sequences","container-title":"Nucleic acids research","page":"D756-763","volume":"42","issue":"1","source":"NCBI PubMed","abstract":"The National Center for Biotechnology Information (NCBI) Reference Sequence (RefSeq) database is a collection of annotated genomic, transcript and protein sequence records derived from data in public sequence archives and from computation, curation and collaboration (http://www.ncbi.nlm.nih.gov/refseq/). We report here on growth of the mammalian and human subsets, changes to NCBI's eukaryotic annotation pipeline and modifications affecting transcript and protein records. Recent changes to NCBI's eukaryotic genome annotation pipeline provide higher throughput, and the addition of RNAseq data to the pipeline results in a significant expansion of the number of transcripts and novel exons annotated on mammalian RefSeq genomes. Recent annotation changes include reporting supporting evidence for transcript records, modification of exon feature annotation and the addition of a structured report of gene and sequence attributes of biological interest. We also describe a revised protein annotation policy for alternatively spliced transcripts with more divergent predicted proteins and we summarize the current status of the RefSeqGene project.","DOI":"10.1093/nar/gkt1114","ISSN":"1362-4962","note":"PMID: 24259432","shortTitle":"RefSeq","journalAbbreviation":"Nucleic Acids Res.","language":"eng","author":[{"family":"Pruitt","given":"Kim D"},{"family":"Brown","given":"Garth R"},{"family":"Hiatt","given":"Susan M"},{"family":"Thibaud-Nissen","given":"Françoise"},{"family":"Astashyn","given":"Alexander"},{"family":"Ermolaeva","given":"Olga"},{"family":"Farrell","given":"Catherine M"},{"family":"Hart","given":"Jennifer"},{"family":"Landrum","given":"Melissa J"},{"family":"McGarvey","given":"Kelly M"},{"family":"Murphy","given":"Michael R"},{"family":"O'Leary","given":"Nuala A"},{"family":"Pujar","given":"Shashikant"},{"family":"Rajput","given":"Bhanu"},{"family":"Rangwala","given":"Sanjida H"},{"family":"Riddick","given":"Lillian D"},{"family":"Shkeda","given":"Andrei"},{"family":"Sun","given":"Hanzhen"},{"family":"Tamez","given":"Pamela"},{"family":"Tully","given":"Raymond E"},{"family":"Wallin","given":"Craig"},{"family":"Webb","given":"David"},{"family":"Weber","given":"Janet"},{"family":"Wu","given":"Wendy"},{"family":"Dicuccio","given":"Michael"},{"family":"Kitts","given":"Paul"},{"family":"Maglott","given":"Donna R"},{"family":"Murphy","given":"Terence D"},{"family":"Ostell","given":"James M"}],"issued":{"date-parts":[["2014",1,1]]},"PMID":"24259432"}}],"schema":"https://github.com/citation-style-language/schema/raw/master/csl-citation.json"} </w:instrText>
      </w:r>
      <w:r w:rsidRPr="008C19A3">
        <w:rPr>
          <w:rFonts w:ascii="Times New Roman" w:hAnsi="Times New Roman" w:cs="Times New Roman"/>
          <w:sz w:val="20"/>
          <w:szCs w:val="20"/>
        </w:rPr>
        <w:fldChar w:fldCharType="separate"/>
      </w:r>
      <w:r w:rsidRPr="008C19A3">
        <w:rPr>
          <w:rFonts w:ascii="Times New Roman" w:hAnsi="Times New Roman" w:cs="Times New Roman"/>
          <w:sz w:val="20"/>
          <w:szCs w:val="20"/>
        </w:rPr>
        <w:t>10</w:t>
      </w:r>
      <w:r w:rsidRPr="008C19A3">
        <w:rPr>
          <w:rFonts w:ascii="Times New Roman" w:hAnsi="Times New Roman" w:cs="Times New Roman"/>
          <w:sz w:val="20"/>
          <w:szCs w:val="20"/>
        </w:rPr>
        <w:fldChar w:fldCharType="end"/>
      </w:r>
      <w:r w:rsidRPr="008C19A3">
        <w:rPr>
          <w:rFonts w:ascii="Times New Roman" w:hAnsi="Times New Roman" w:cs="Times New Roman"/>
          <w:sz w:val="20"/>
          <w:szCs w:val="20"/>
        </w:rPr>
        <w:t xml:space="preserve"> probesets representing 17,873 distinct genes from 6,111 samples were extracted from the APT. We excluded samples with outlying values for all_probeset_rle_mean≥0.7, a quality control (QC) metric found to be closely associated with sample quality</w:t>
      </w:r>
      <w:r w:rsidRPr="008C19A3">
        <w:rPr>
          <w:rFonts w:ascii="Times New Roman" w:hAnsi="Times New Roman" w:cs="Times New Roman"/>
          <w:sz w:val="20"/>
          <w:szCs w:val="20"/>
        </w:rPr>
        <w:fldChar w:fldCharType="begin"/>
      </w:r>
      <w:r w:rsidRPr="008C19A3">
        <w:rPr>
          <w:rFonts w:ascii="Times New Roman" w:hAnsi="Times New Roman" w:cs="Times New Roman"/>
          <w:sz w:val="20"/>
          <w:szCs w:val="20"/>
        </w:rPr>
        <w:instrText xml:space="preserve"> ADDIN ZOTERO_ITEM CSL_CITATION {"citationID":"1a325rl6ek","properties":{"formattedCitation":"{\\rtf \\super 11\\nosupersub{}}","plainCitation":"11"},"citationItems":[{"id":115,"uris":["http://zotero.org/users/517338/items/8T7P8PEA"],"uri":["http://zotero.org/users/517338/items/8T7P8PEA"],"itemData":{"id":115,"type":"article-journal","title":"Gene expression analysis of whole blood, peripheral blood mononuclear cells, and lymphoblastoid cell lines from the Framingham Heart Study","container-title":"Physiological genomics","page":"59-75","volume":"44","issue":"1","source":"NCBI PubMed","abstract":"Despite a growing number of reports of gene expression analysis from blood-derived RNA sources, there have been few systematic comparisons of various RNA sources in transcriptomic analysis or for biomarker discovery in the context of cardiovascular disease (CVD). As a pilot study of the Systems Approach to Biomarker Research (SABRe) in CVD Initiative, this investigation used Affymetrix Exon arrays to characterize gene expression of three blood-derived RNA sources: lymphoblastoid cell lines (LCL), whole blood using PAXgene tubes (PAX), and peripheral blood mononuclear cells (PBMC). Their performance was compared in relation to identifying transcript associations with sex and CVD risk factors, such as age, high-density lipoprotein, and smoking status, and the differential blood cell count. We also identified a set of exons that vary substantially between participants, but consistently in each RNA source. Such exons are thus stable phenotypes of the participant and may potentially become useful fingerprinting biomarkers. In agreement with previous studies, we found that each of the RNA sources is distinct. Unlike PAX and PBMC, LCL gene expression showed little association with the differential blood count. LCL, however, was able to detect two genes related to smoking status. PAX and PBMC identified Y-chromosome probe sets similarly and slightly better than LCL.","DOI":"10.1152/physiolgenomics.00130.2011","ISSN":"1531-2267","note":"PMID: 22045913","journalAbbreviation":"Physiol. Genomics","author":[{"family":"Joehanes","given":"Roby"},{"family":"Johnson","given":"Andrew D"},{"family":"Barb","given":"Jennifer J"},{"family":"Raghavachari","given":"Nalini"},{"family":"Liu","given":"Poching"},{"family":"Woodhouse","given":"Kimberly A"},{"family":"O'Donnell","given":"Christopher J"},{"family":"Munson","given":"Peter J"},{"family":"Levy","given":"Daniel"}],"issued":{"date-parts":[["2012",1,18]]},"accessed":{"date-parts":[["2012",6,8]]},"PMID":"22045913"}}],"schema":"https://github.com/citation-style-language/schema/raw/master/csl-citation.json"} </w:instrText>
      </w:r>
      <w:r w:rsidRPr="008C19A3">
        <w:rPr>
          <w:rFonts w:ascii="Times New Roman" w:hAnsi="Times New Roman" w:cs="Times New Roman"/>
          <w:sz w:val="20"/>
          <w:szCs w:val="20"/>
        </w:rPr>
        <w:fldChar w:fldCharType="separate"/>
      </w:r>
      <w:r w:rsidRPr="008C19A3">
        <w:rPr>
          <w:rFonts w:ascii="Times New Roman" w:hAnsi="Times New Roman" w:cs="Times New Roman"/>
          <w:sz w:val="20"/>
          <w:szCs w:val="20"/>
        </w:rPr>
        <w:t>11</w:t>
      </w:r>
      <w:r w:rsidRPr="008C19A3">
        <w:rPr>
          <w:rFonts w:ascii="Times New Roman" w:hAnsi="Times New Roman" w:cs="Times New Roman"/>
          <w:sz w:val="20"/>
          <w:szCs w:val="20"/>
        </w:rPr>
        <w:fldChar w:fldCharType="end"/>
      </w:r>
      <w:r w:rsidRPr="008C19A3">
        <w:rPr>
          <w:rFonts w:ascii="Times New Roman" w:hAnsi="Times New Roman" w:cs="Times New Roman"/>
          <w:sz w:val="20"/>
          <w:szCs w:val="20"/>
        </w:rPr>
        <w:t>. We checked chromosome Y-linked gene expression for agreement with reported sex. We selected 395 top expression SNPs (eSNPs) with minor allele frequency (MAF)≥0.4 to further confirm the identity of each sample by correlating them with their corresponding cis transcripts. The remaining 5,626 samples with satisfactory results constituted the study samples and were again normalized with RMA, retaining only core-level probesets</w:t>
      </w:r>
      <w:r w:rsidRPr="00576E7A">
        <w:rPr>
          <w:rFonts w:ascii="Times New Roman" w:hAnsi="Times New Roman" w:cs="Times New Roman"/>
          <w:sz w:val="20"/>
          <w:szCs w:val="20"/>
          <w:highlight w:val="yellow"/>
        </w:rPr>
        <w:t xml:space="preserve">. </w:t>
      </w:r>
      <w:r w:rsidR="00576E7A" w:rsidRPr="00576E7A">
        <w:rPr>
          <w:rFonts w:ascii="Times New Roman" w:eastAsia="Times New Roman" w:hAnsi="Times New Roman" w:cs="Times New Roman"/>
          <w:color w:val="000000"/>
          <w:sz w:val="20"/>
          <w:szCs w:val="17"/>
          <w:highlight w:val="yellow"/>
        </w:rPr>
        <w:t xml:space="preserve">In FHS, we selected the following factors as technical covariates: all_probeset_mean, all_probeset_stdev, neg_control_mean, neg_control_stdev, pos_control_mean, pos_control_stdev, all_probeset_rle_mean, all_probeset_mad_residual_mean, mm_mean, and </w:t>
      </w:r>
      <w:r w:rsidR="00576E7A" w:rsidRPr="00576E7A">
        <w:rPr>
          <w:rFonts w:ascii="Times New Roman" w:eastAsia="Times New Roman" w:hAnsi="Times New Roman" w:cs="Times New Roman"/>
          <w:color w:val="000000"/>
          <w:sz w:val="20"/>
          <w:szCs w:val="17"/>
          <w:highlight w:val="yellow"/>
        </w:rPr>
        <w:lastRenderedPageBreak/>
        <w:t>Batch_Lump, as well as the first principal component (PC1) on centered and unscaled robust multi-chip average (RMA) gene expression values. Th</w:t>
      </w:r>
      <w:r w:rsidR="0017624A">
        <w:rPr>
          <w:rFonts w:ascii="Times New Roman" w:eastAsia="Times New Roman" w:hAnsi="Times New Roman" w:cs="Times New Roman"/>
          <w:color w:val="000000"/>
          <w:sz w:val="20"/>
          <w:szCs w:val="17"/>
          <w:highlight w:val="yellow"/>
        </w:rPr>
        <w:t>e</w:t>
      </w:r>
      <w:r w:rsidR="00576E7A" w:rsidRPr="00576E7A">
        <w:rPr>
          <w:rFonts w:ascii="Times New Roman" w:eastAsia="Times New Roman" w:hAnsi="Times New Roman" w:cs="Times New Roman"/>
          <w:color w:val="000000"/>
          <w:sz w:val="20"/>
          <w:szCs w:val="17"/>
          <w:highlight w:val="yellow"/>
        </w:rPr>
        <w:t xml:space="preserve">se technical covariates and PC1 could explain 42% of gene expression variances in total. As shown in </w:t>
      </w:r>
      <w:r w:rsidR="00576E7A" w:rsidRPr="00DB7D5D">
        <w:rPr>
          <w:rFonts w:ascii="Times New Roman" w:eastAsia="Times New Roman" w:hAnsi="Times New Roman" w:cs="Times New Roman"/>
          <w:b/>
          <w:color w:val="000000"/>
          <w:sz w:val="20"/>
          <w:szCs w:val="17"/>
          <w:highlight w:val="yellow"/>
        </w:rPr>
        <w:t xml:space="preserve">Supplementary Table </w:t>
      </w:r>
      <w:r w:rsidR="0021278F" w:rsidRPr="0021278F">
        <w:rPr>
          <w:rFonts w:ascii="Times New Roman" w:eastAsia="Times New Roman" w:hAnsi="Times New Roman" w:cs="Times New Roman"/>
          <w:b/>
          <w:sz w:val="20"/>
          <w:szCs w:val="17"/>
          <w:highlight w:val="yellow"/>
        </w:rPr>
        <w:t>12</w:t>
      </w:r>
      <w:r w:rsidR="00576E7A" w:rsidRPr="00576E7A">
        <w:rPr>
          <w:rFonts w:ascii="Times New Roman" w:eastAsia="Times New Roman" w:hAnsi="Times New Roman" w:cs="Times New Roman"/>
          <w:color w:val="000000"/>
          <w:sz w:val="20"/>
          <w:szCs w:val="17"/>
          <w:highlight w:val="yellow"/>
        </w:rPr>
        <w:t>, the most significant ones are PC1 and Batch_lump, which could explain 25.7% and 6.3% of gene expression variance respectively.</w:t>
      </w:r>
    </w:p>
    <w:p w:rsidR="005618C9" w:rsidRPr="008C19A3" w:rsidRDefault="005618C9" w:rsidP="008C19A3">
      <w:pPr>
        <w:spacing w:after="120" w:line="480" w:lineRule="auto"/>
        <w:ind w:firstLine="720"/>
        <w:rPr>
          <w:rFonts w:ascii="Times New Roman" w:hAnsi="Times New Roman" w:cs="Times New Roman"/>
          <w:sz w:val="20"/>
          <w:szCs w:val="20"/>
        </w:rPr>
      </w:pPr>
      <w:r w:rsidRPr="008C19A3">
        <w:rPr>
          <w:rFonts w:ascii="Times New Roman" w:hAnsi="Times New Roman" w:cs="Times New Roman"/>
          <w:b/>
          <w:sz w:val="20"/>
          <w:szCs w:val="20"/>
        </w:rPr>
        <w:t xml:space="preserve">Whole blood cell counts: </w:t>
      </w:r>
      <w:r w:rsidRPr="008C19A3">
        <w:rPr>
          <w:rFonts w:ascii="Times New Roman" w:hAnsi="Times New Roman" w:cs="Times New Roman"/>
          <w:sz w:val="20"/>
          <w:szCs w:val="20"/>
        </w:rPr>
        <w:t>Of the 5,626 samples, 2,280, from the third generation cohort had whole blood complete blood cell counts (CBCs, Beckman Coulter, Brea, California). The cell counts of the remaining samples were imputed using a Partial Least Square (PLS) prediction based on the gene expression data. Cross-validated estimates of prediction accuracy (R2) for the CBC components (WBC, RBC, platelet, neutrophil percent, lymphocyte percent, monocyte percent, eosinophil percent and basophil percent) were 0.61, 0.41, 0.25, 0.83, 0.83, 0.81, 0.89, and 0.25, respectively. We conducted comparisons between results of using imputed cell counts and that of using measured ones and did not find significant difference. Thus, we used measured cell counts when available and imputed ones when not.</w:t>
      </w:r>
    </w:p>
    <w:p w:rsidR="005618C9" w:rsidRPr="008C19A3" w:rsidRDefault="005618C9"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InCHIANTI</w:t>
      </w:r>
    </w:p>
    <w:p w:rsidR="005618C9" w:rsidRPr="008C19A3" w:rsidRDefault="005618C9" w:rsidP="00576E7A">
      <w:pPr>
        <w:spacing w:after="120" w:line="480" w:lineRule="auto"/>
        <w:rPr>
          <w:rFonts w:ascii="Times New Roman" w:hAnsi="Times New Roman" w:cs="Times New Roman"/>
          <w:sz w:val="20"/>
          <w:szCs w:val="20"/>
        </w:rPr>
      </w:pPr>
      <w:r w:rsidRPr="008C19A3">
        <w:rPr>
          <w:rFonts w:ascii="Times New Roman" w:hAnsi="Times New Roman" w:cs="Times New Roman"/>
          <w:sz w:val="20"/>
          <w:szCs w:val="20"/>
        </w:rPr>
        <w:t>The InCHIANTI study (</w:t>
      </w:r>
      <w:hyperlink r:id="rId7" w:history="1">
        <w:r w:rsidR="005B1706" w:rsidRPr="008C19A3">
          <w:rPr>
            <w:rStyle w:val="Hyperlink"/>
            <w:rFonts w:ascii="Times New Roman" w:hAnsi="Times New Roman" w:cs="Times New Roman"/>
            <w:sz w:val="20"/>
            <w:szCs w:val="20"/>
          </w:rPr>
          <w:t>http://www.inchiantistudy.net</w:t>
        </w:r>
      </w:hyperlink>
      <w:r w:rsidRPr="008C19A3">
        <w:rPr>
          <w:rFonts w:ascii="Times New Roman" w:hAnsi="Times New Roman" w:cs="Times New Roman"/>
          <w:sz w:val="20"/>
          <w:szCs w:val="20"/>
        </w:rPr>
        <w:t>)</w:t>
      </w:r>
      <w:r w:rsidR="005B1706" w:rsidRPr="008C19A3">
        <w:rPr>
          <w:rFonts w:ascii="Times New Roman" w:hAnsi="Times New Roman" w:cs="Times New Roman"/>
          <w:sz w:val="20"/>
          <w:szCs w:val="20"/>
        </w:rPr>
        <w:t xml:space="preserve"> </w:t>
      </w:r>
      <w:r w:rsidR="005B1706" w:rsidRPr="008C19A3">
        <w:rPr>
          <w:rFonts w:ascii="Times New Roman" w:hAnsi="Times New Roman" w:cs="Times New Roman"/>
          <w:sz w:val="20"/>
          <w:szCs w:val="20"/>
        </w:rPr>
        <w:fldChar w:fldCharType="begin"/>
      </w:r>
      <w:r w:rsidR="005A69A2" w:rsidRPr="008C19A3">
        <w:rPr>
          <w:rFonts w:ascii="Times New Roman" w:hAnsi="Times New Roman" w:cs="Times New Roman"/>
          <w:sz w:val="20"/>
          <w:szCs w:val="20"/>
        </w:rPr>
        <w:instrText xml:space="preserve"> ADDIN EN.CITE &lt;EndNote&gt;&lt;Cite&gt;&lt;Author&gt;Ferrucci&lt;/Author&gt;&lt;Year&gt;2000&lt;/Year&gt;&lt;RecNum&gt;73&lt;/RecNum&gt;&lt;DisplayText&gt;(3)&lt;/DisplayText&gt;&lt;record&gt;&lt;rec-number&gt;73&lt;/rec-number&gt;&lt;foreign-keys&gt;&lt;key app="EN" db-id="zft5dst5trf2d2ee0f65pda3eexa5ta2a0zz" timestamp="1449602143"&gt;73&lt;/key&gt;&lt;/foreign-keys&gt;&lt;ref-type name="Journal Article"&gt;17&lt;/ref-type&gt;&lt;contributors&gt;&lt;authors&gt;&lt;author&gt;Ferrucci, Luigi&lt;/author&gt;&lt;author&gt;Bandinelli, Stefania&lt;/author&gt;&lt;author&gt;Benvenuti, Enrico&lt;/author&gt;&lt;author&gt;Iorio, Angelo&lt;/author&gt;&lt;author&gt;Macchi, Claudio&lt;/author&gt;&lt;author&gt;Harris, Tamara B&lt;/author&gt;&lt;author&gt;Guralnik, Jack M&lt;/author&gt;&lt;/authors&gt;&lt;/contributors&gt;&lt;titles&gt;&lt;title&gt;Subsystems contributing to the decline in ability to walk: bridging the gap between epidemiology and geriatric practice in the InCHIANTI study&lt;/title&gt;&lt;secondary-title&gt;Journal of the American Geriatrics Society&lt;/secondary-title&gt;&lt;/titles&gt;&lt;periodical&gt;&lt;full-title&gt;Journal of the American Geriatrics Society&lt;/full-title&gt;&lt;/periodical&gt;&lt;pages&gt;1618-1625&lt;/pages&gt;&lt;volume&gt;48&lt;/volume&gt;&lt;number&gt;12&lt;/number&gt;&lt;dates&gt;&lt;year&gt;2000&lt;/year&gt;&lt;/dates&gt;&lt;isbn&gt;1532-5415&lt;/isbn&gt;&lt;urls&gt;&lt;/urls&gt;&lt;/record&gt;&lt;/Cite&gt;&lt;/EndNote&gt;</w:instrText>
      </w:r>
      <w:r w:rsidR="005B1706" w:rsidRPr="008C19A3">
        <w:rPr>
          <w:rFonts w:ascii="Times New Roman" w:hAnsi="Times New Roman" w:cs="Times New Roman"/>
          <w:sz w:val="20"/>
          <w:szCs w:val="20"/>
        </w:rPr>
        <w:fldChar w:fldCharType="separate"/>
      </w:r>
      <w:r w:rsidR="005A69A2" w:rsidRPr="008C19A3">
        <w:rPr>
          <w:rFonts w:ascii="Times New Roman" w:hAnsi="Times New Roman" w:cs="Times New Roman"/>
          <w:noProof/>
          <w:sz w:val="20"/>
          <w:szCs w:val="20"/>
        </w:rPr>
        <w:t>(3)</w:t>
      </w:r>
      <w:r w:rsidR="005B1706" w:rsidRPr="008C19A3">
        <w:rPr>
          <w:rFonts w:ascii="Times New Roman" w:hAnsi="Times New Roman" w:cs="Times New Roman"/>
          <w:sz w:val="20"/>
          <w:szCs w:val="20"/>
        </w:rPr>
        <w:fldChar w:fldCharType="end"/>
      </w:r>
      <w:r w:rsidR="005B1706" w:rsidRPr="008C19A3">
        <w:rPr>
          <w:rFonts w:ascii="Times New Roman" w:hAnsi="Times New Roman" w:cs="Times New Roman"/>
          <w:sz w:val="20"/>
          <w:szCs w:val="20"/>
        </w:rPr>
        <w:t xml:space="preserve"> </w:t>
      </w:r>
      <w:r w:rsidRPr="008C19A3">
        <w:rPr>
          <w:rFonts w:ascii="Times New Roman" w:hAnsi="Times New Roman" w:cs="Times New Roman"/>
          <w:sz w:val="20"/>
          <w:szCs w:val="20"/>
        </w:rPr>
        <w:t xml:space="preserve">is a population-based, prospective study of human aging in the Tuscany area of Italy. 1,455 participants were enrolled at baseline (1998-2000), with follow-up waves every 3 years. Extensive interviews, questionnaires, medical examinations, physical tests and blood samples were taken at every wave. Ethical approval was granted by the Instituto Nazionale Riposo e Cura Anziani institutional review board in Italy, and participants gave informed consent to participate. </w:t>
      </w:r>
    </w:p>
    <w:p w:rsidR="005618C9" w:rsidRPr="008C19A3" w:rsidRDefault="005618C9" w:rsidP="008C19A3">
      <w:pPr>
        <w:spacing w:after="120" w:line="480" w:lineRule="auto"/>
        <w:ind w:firstLine="720"/>
        <w:rPr>
          <w:rFonts w:ascii="Times New Roman" w:hAnsi="Times New Roman" w:cs="Times New Roman"/>
          <w:sz w:val="20"/>
          <w:szCs w:val="20"/>
        </w:rPr>
      </w:pPr>
      <w:r w:rsidRPr="008C19A3">
        <w:rPr>
          <w:rFonts w:ascii="Times New Roman" w:hAnsi="Times New Roman" w:cs="Times New Roman"/>
          <w:sz w:val="20"/>
          <w:szCs w:val="20"/>
        </w:rPr>
        <w:t xml:space="preserve">Peripheral blood specimens were collected at wave 4 (year 9, 2008⁄9) from 712 individuals, using the PAXgene technology to preserve levels of mRNA transcripts as they were at the point of collection (Debey-Pascher et al., 2009). RNA was extracted from peripheral blood samples using the PAXgene Blood mRNA kit (Qiagen, Crawley, UK) according to the manufacturer’s instructions. RNA was biotinylated and amplified using the Illumina® TotalPrep(tm) -96 RNA Amplification Kit and directly hybridized with HumanHT-12_v3 Expression BeadChips that include 48,803 probes. Image data was collected on an Illumina iScan and analyzed using the Illumina and Beadstudio software (Illumina, San Diego, California, USA) as previously described </w:t>
      </w:r>
      <w:r w:rsidR="005B1706" w:rsidRPr="008C19A3">
        <w:rPr>
          <w:rFonts w:ascii="Times New Roman" w:hAnsi="Times New Roman" w:cs="Times New Roman"/>
          <w:sz w:val="20"/>
          <w:szCs w:val="20"/>
        </w:rPr>
        <w:fldChar w:fldCharType="begin"/>
      </w:r>
      <w:r w:rsidR="005A69A2" w:rsidRPr="008C19A3">
        <w:rPr>
          <w:rFonts w:ascii="Times New Roman" w:hAnsi="Times New Roman" w:cs="Times New Roman"/>
          <w:sz w:val="20"/>
          <w:szCs w:val="20"/>
        </w:rPr>
        <w:instrText xml:space="preserve"> ADDIN EN.CITE &lt;EndNote&gt;&lt;Cite&gt;&lt;Author&gt;Gibbs&lt;/Author&gt;&lt;Year&gt;2010&lt;/Year&gt;&lt;RecNum&gt;74&lt;/RecNum&gt;&lt;DisplayText&gt;(4)&lt;/DisplayText&gt;&lt;record&gt;&lt;rec-number&gt;74&lt;/rec-number&gt;&lt;foreign-keys&gt;&lt;key app="EN" db-id="zft5dst5trf2d2ee0f65pda3eexa5ta2a0zz" timestamp="1449602182"&gt;74&lt;/key&gt;&lt;/foreign-keys&gt;&lt;ref-type name="Journal Article"&gt;17&lt;/ref-type&gt;&lt;contributors&gt;&lt;authors&gt;&lt;author&gt;Gibbs, J Raphael&lt;/author&gt;&lt;author&gt;van der Brug, Marcel P&lt;/author&gt;&lt;author&gt;Hernandez, Dena G&lt;/author&gt;&lt;author&gt;Traynor, Bryan J&lt;/author&gt;&lt;author&gt;Nalls, Michael A&lt;/author&gt;&lt;author&gt;Lai, Shiao-Lin&lt;/author&gt;&lt;author&gt;Arepalli, Sampath&lt;/author&gt;&lt;author&gt;Dillman, Allissa&lt;/author&gt;&lt;author&gt;Rafferty, Ian P&lt;/author&gt;&lt;author&gt;Troncoso, Juan&lt;/author&gt;&lt;/authors&gt;&lt;/contributors&gt;&lt;titles&gt;&lt;title&gt;Abundant quantitative trait loci exist for DNA methylation and gene expression in human brain&lt;/title&gt;&lt;secondary-title&gt;PLoS Genet&lt;/secondary-title&gt;&lt;/titles&gt;&lt;periodical&gt;&lt;full-title&gt;PLoS Genet&lt;/full-title&gt;&lt;/periodical&gt;&lt;pages&gt;e1000952&lt;/pages&gt;&lt;volume&gt;6&lt;/volume&gt;&lt;number&gt;5&lt;/number&gt;&lt;dates&gt;&lt;year&gt;2010&lt;/year&gt;&lt;/dates&gt;&lt;urls&gt;&lt;/urls&gt;&lt;/record&gt;&lt;/Cite&gt;&lt;/EndNote&gt;</w:instrText>
      </w:r>
      <w:r w:rsidR="005B1706" w:rsidRPr="008C19A3">
        <w:rPr>
          <w:rFonts w:ascii="Times New Roman" w:hAnsi="Times New Roman" w:cs="Times New Roman"/>
          <w:sz w:val="20"/>
          <w:szCs w:val="20"/>
        </w:rPr>
        <w:fldChar w:fldCharType="separate"/>
      </w:r>
      <w:r w:rsidR="005A69A2" w:rsidRPr="008C19A3">
        <w:rPr>
          <w:rFonts w:ascii="Times New Roman" w:hAnsi="Times New Roman" w:cs="Times New Roman"/>
          <w:noProof/>
          <w:sz w:val="20"/>
          <w:szCs w:val="20"/>
        </w:rPr>
        <w:t>(4)</w:t>
      </w:r>
      <w:r w:rsidR="005B1706" w:rsidRPr="008C19A3">
        <w:rPr>
          <w:rFonts w:ascii="Times New Roman" w:hAnsi="Times New Roman" w:cs="Times New Roman"/>
          <w:sz w:val="20"/>
          <w:szCs w:val="20"/>
        </w:rPr>
        <w:fldChar w:fldCharType="end"/>
      </w:r>
      <w:r w:rsidRPr="008C19A3">
        <w:rPr>
          <w:rFonts w:ascii="Times New Roman" w:hAnsi="Times New Roman" w:cs="Times New Roman"/>
          <w:sz w:val="20"/>
          <w:szCs w:val="20"/>
        </w:rPr>
        <w:t xml:space="preserve">. All microarray experiments and analyses complied with MIAME </w:t>
      </w:r>
      <w:r w:rsidRPr="008C19A3">
        <w:rPr>
          <w:rFonts w:ascii="Times New Roman" w:hAnsi="Times New Roman" w:cs="Times New Roman"/>
          <w:sz w:val="20"/>
          <w:szCs w:val="20"/>
        </w:rPr>
        <w:lastRenderedPageBreak/>
        <w:t>guidelines. The total number of InCHIANTI samples with good quality whole-genome expression data equals 698, 695 of which also have cell-count data. Gene expression data is deposited in the GEO public database (GEO: GSE48152).</w:t>
      </w:r>
      <w:r w:rsidR="00576E7A">
        <w:rPr>
          <w:rFonts w:ascii="Times New Roman" w:hAnsi="Times New Roman" w:cs="Times New Roman"/>
          <w:sz w:val="20"/>
          <w:szCs w:val="20"/>
        </w:rPr>
        <w:t xml:space="preserve"> </w:t>
      </w:r>
      <w:r w:rsidR="00576E7A" w:rsidRPr="00576E7A">
        <w:rPr>
          <w:rFonts w:ascii="Times New Roman" w:eastAsia="Times New Roman" w:hAnsi="Times New Roman" w:cs="Times New Roman"/>
          <w:color w:val="000000"/>
          <w:sz w:val="20"/>
          <w:szCs w:val="17"/>
          <w:highlight w:val="yellow"/>
        </w:rPr>
        <w:t>InCHIANTI use</w:t>
      </w:r>
      <w:r w:rsidR="0017624A">
        <w:rPr>
          <w:rFonts w:ascii="Times New Roman" w:eastAsia="Times New Roman" w:hAnsi="Times New Roman" w:cs="Times New Roman"/>
          <w:color w:val="000000"/>
          <w:sz w:val="20"/>
          <w:szCs w:val="17"/>
          <w:highlight w:val="yellow"/>
        </w:rPr>
        <w:t xml:space="preserve">d technical covariates including </w:t>
      </w:r>
      <w:r w:rsidR="00576E7A" w:rsidRPr="00576E7A">
        <w:rPr>
          <w:rFonts w:ascii="Times New Roman" w:hAnsi="Times New Roman"/>
          <w:sz w:val="20"/>
          <w:highlight w:val="yellow"/>
        </w:rPr>
        <w:t>hybridization and amplification batch</w:t>
      </w:r>
      <w:r w:rsidR="00576E7A" w:rsidRPr="00576E7A">
        <w:rPr>
          <w:rFonts w:ascii="Times New Roman" w:eastAsia="Times New Roman" w:hAnsi="Times New Roman" w:cs="Times New Roman"/>
          <w:color w:val="000000"/>
          <w:sz w:val="20"/>
          <w:szCs w:val="17"/>
          <w:highlight w:val="yellow"/>
        </w:rPr>
        <w:t>.</w:t>
      </w:r>
    </w:p>
    <w:p w:rsidR="005618C9" w:rsidRPr="008C19A3" w:rsidRDefault="005618C9"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The Rotterdam Study</w:t>
      </w:r>
    </w:p>
    <w:p w:rsidR="005618C9" w:rsidRPr="008C19A3" w:rsidRDefault="005618C9" w:rsidP="00576E7A">
      <w:pPr>
        <w:spacing w:after="120" w:line="480" w:lineRule="auto"/>
        <w:rPr>
          <w:rFonts w:ascii="Times New Roman" w:hAnsi="Times New Roman" w:cs="Times New Roman"/>
          <w:sz w:val="20"/>
          <w:szCs w:val="20"/>
        </w:rPr>
      </w:pPr>
      <w:r w:rsidRPr="008C19A3">
        <w:rPr>
          <w:rFonts w:ascii="Times New Roman" w:hAnsi="Times New Roman" w:cs="Times New Roman"/>
          <w:sz w:val="20"/>
          <w:szCs w:val="20"/>
        </w:rPr>
        <w:t>The Rotterdam Study (RS) (</w:t>
      </w:r>
      <w:hyperlink r:id="rId8" w:history="1">
        <w:r w:rsidRPr="008C19A3">
          <w:rPr>
            <w:rFonts w:ascii="Times New Roman" w:hAnsi="Times New Roman" w:cs="Times New Roman"/>
            <w:sz w:val="20"/>
            <w:szCs w:val="20"/>
          </w:rPr>
          <w:t>www.epib.nl/rotterdamstudy</w:t>
        </w:r>
      </w:hyperlink>
      <w:r w:rsidRPr="008C19A3">
        <w:rPr>
          <w:rFonts w:ascii="Times New Roman" w:hAnsi="Times New Roman" w:cs="Times New Roman"/>
          <w:i/>
          <w:iCs/>
          <w:sz w:val="20"/>
          <w:szCs w:val="20"/>
        </w:rPr>
        <w:t xml:space="preserve">) </w:t>
      </w:r>
      <w:r w:rsidRPr="008C19A3">
        <w:rPr>
          <w:rFonts w:ascii="Times New Roman" w:hAnsi="Times New Roman" w:cs="Times New Roman"/>
          <w:sz w:val="20"/>
          <w:szCs w:val="20"/>
        </w:rPr>
        <w:t xml:space="preserve">is a large prospective, population-based cohort study in the district of Rotterdam, the Netherlands, investigating the prevalence, incidence, and risk factors of various chronic disabling diseases among elderly Caucasians aged 45 years and over. A detailed description of the design and rationale of the Rotterdam Study has been published elsewhere </w:t>
      </w:r>
      <w:r w:rsidR="005B1706" w:rsidRPr="008C19A3">
        <w:rPr>
          <w:rFonts w:ascii="Times New Roman" w:hAnsi="Times New Roman" w:cs="Times New Roman"/>
          <w:sz w:val="20"/>
          <w:szCs w:val="20"/>
        </w:rPr>
        <w:fldChar w:fldCharType="begin"/>
      </w:r>
      <w:r w:rsidR="005A69A2" w:rsidRPr="008C19A3">
        <w:rPr>
          <w:rFonts w:ascii="Times New Roman" w:hAnsi="Times New Roman" w:cs="Times New Roman"/>
          <w:sz w:val="20"/>
          <w:szCs w:val="20"/>
        </w:rPr>
        <w:instrText xml:space="preserve"> ADDIN EN.CITE &lt;EndNote&gt;&lt;Cite&gt;&lt;Author&gt;Hofman&lt;/Author&gt;&lt;Year&gt;2013&lt;/Year&gt;&lt;RecNum&gt;75&lt;/RecNum&gt;&lt;DisplayText&gt;(5)&lt;/DisplayText&gt;&lt;record&gt;&lt;rec-number&gt;75&lt;/rec-number&gt;&lt;foreign-keys&gt;&lt;key app="EN" db-id="zft5dst5trf2d2ee0f65pda3eexa5ta2a0zz" timestamp="1449602217"&gt;75&lt;/key&gt;&lt;/foreign-keys&gt;&lt;ref-type name="Journal Article"&gt;17&lt;/ref-type&gt;&lt;contributors&gt;&lt;authors&gt;&lt;author&gt;Hofman, Albert&lt;/author&gt;&lt;author&gt;Murad, Sarwa Darwish&lt;/author&gt;&lt;author&gt;van Duijn, Cornelia M&lt;/author&gt;&lt;author&gt;Franco, Oscar H&lt;/author&gt;&lt;author&gt;Goedegebure, André&lt;/author&gt;&lt;author&gt;Ikram, M Arfan&lt;/author&gt;&lt;author&gt;Klaver, Caroline CW&lt;/author&gt;&lt;author&gt;Nijsten, Tamar EC&lt;/author&gt;&lt;author&gt;Peeters, Robin P&lt;/author&gt;&lt;author&gt;Stricker, Bruno H Ch&lt;/author&gt;&lt;/authors&gt;&lt;/contributors&gt;&lt;titles&gt;&lt;title&gt;The Rotterdam Study: 2014 objectives and design update&lt;/title&gt;&lt;secondary-title&gt;European journal of epidemiology&lt;/secondary-title&gt;&lt;/titles&gt;&lt;periodical&gt;&lt;full-title&gt;European journal of epidemiology&lt;/full-title&gt;&lt;/periodical&gt;&lt;pages&gt;889-926&lt;/pages&gt;&lt;volume&gt;28&lt;/volume&gt;&lt;number&gt;11&lt;/number&gt;&lt;dates&gt;&lt;year&gt;2013&lt;/year&gt;&lt;/dates&gt;&lt;isbn&gt;0393-2990&lt;/isbn&gt;&lt;urls&gt;&lt;/urls&gt;&lt;/record&gt;&lt;/Cite&gt;&lt;/EndNote&gt;</w:instrText>
      </w:r>
      <w:r w:rsidR="005B1706" w:rsidRPr="008C19A3">
        <w:rPr>
          <w:rFonts w:ascii="Times New Roman" w:hAnsi="Times New Roman" w:cs="Times New Roman"/>
          <w:sz w:val="20"/>
          <w:szCs w:val="20"/>
        </w:rPr>
        <w:fldChar w:fldCharType="separate"/>
      </w:r>
      <w:r w:rsidR="005A69A2" w:rsidRPr="008C19A3">
        <w:rPr>
          <w:rFonts w:ascii="Times New Roman" w:hAnsi="Times New Roman" w:cs="Times New Roman"/>
          <w:noProof/>
          <w:sz w:val="20"/>
          <w:szCs w:val="20"/>
        </w:rPr>
        <w:t>(5)</w:t>
      </w:r>
      <w:r w:rsidR="005B1706" w:rsidRPr="008C19A3">
        <w:rPr>
          <w:rFonts w:ascii="Times New Roman" w:hAnsi="Times New Roman" w:cs="Times New Roman"/>
          <w:sz w:val="20"/>
          <w:szCs w:val="20"/>
        </w:rPr>
        <w:fldChar w:fldCharType="end"/>
      </w:r>
      <w:r w:rsidRPr="008C19A3">
        <w:rPr>
          <w:rFonts w:ascii="Times New Roman" w:hAnsi="Times New Roman" w:cs="Times New Roman"/>
          <w:sz w:val="20"/>
          <w:szCs w:val="20"/>
        </w:rPr>
        <w:t xml:space="preserve">. The Rotterdam Study has been approved by the Medical Ethics Committee of the Erasmus MC and by the Ministry of Health, Welfare and Sport of the Netherlands , implementing the “Wet Bevolkingsonderzoek: ERGO (Population Studies Act: Rotterdam Study)”. All participants provided written informed consent to participate in the study and to obtain information from their treating physicians. </w:t>
      </w:r>
    </w:p>
    <w:p w:rsidR="00C5102A" w:rsidRDefault="005618C9" w:rsidP="00576E7A">
      <w:pPr>
        <w:spacing w:after="120" w:line="480" w:lineRule="auto"/>
        <w:ind w:firstLine="720"/>
        <w:rPr>
          <w:rFonts w:ascii="Times New Roman" w:hAnsi="Times New Roman" w:cs="Times New Roman"/>
          <w:sz w:val="20"/>
          <w:szCs w:val="20"/>
        </w:rPr>
      </w:pPr>
      <w:r w:rsidRPr="008C19A3">
        <w:rPr>
          <w:rFonts w:ascii="Times New Roman" w:hAnsi="Times New Roman" w:cs="Times New Roman"/>
          <w:sz w:val="20"/>
          <w:szCs w:val="20"/>
        </w:rPr>
        <w:t xml:space="preserve">For the expression analyses, the Rotterdam Study III (RS-III) cohort was used: whole-blood was collected (PAXGene Tubes – Becton Dickinson) and total RNA was isolated (PAXGene Blood RNA kits - Qiagen). To ensure a constant high quality of the RNA preparations, all RNA samples were analysed using the Labchip GX (Calliper) according to the manufacturer’s instructions. Samples with an RNA Quality Score &gt; 7 were amplified and labelled (Ambion TotalPrep RNA), and hybridized to the Illumina HumanHT12v4 Expression Beadchips as described by the manufacturer’s protocol. Processing of the Rotterdam Study RNA samples was performed at the Genetic Laboratory of Internal Medicine, Erasmus University Medical Center Rotterdam. All samples were scanned on the Illumina iScan System (combined with an AutoLoader) using Illumina iScan image data acquisition software. Illumina GenomeStudio software (version 1.9.0) was used to generate output files for statistical analysis using R. Background normalization and imputation of missing probes was not performed. The RS-III expression dataset is available at GEO (Gene Expression Omnibus) public repository under the accession GSE 33828: 830 samples were available for analysis. </w:t>
      </w:r>
      <w:r w:rsidR="00576E7A" w:rsidRPr="00576E7A">
        <w:rPr>
          <w:rFonts w:ascii="Times New Roman" w:hAnsi="Times New Roman" w:cs="Times New Roman"/>
          <w:sz w:val="20"/>
          <w:szCs w:val="20"/>
          <w:highlight w:val="yellow"/>
        </w:rPr>
        <w:t xml:space="preserve">RS used technical covariates included RNA Quality Score (RQS), </w:t>
      </w:r>
      <w:r w:rsidR="0017624A">
        <w:rPr>
          <w:rFonts w:ascii="Times New Roman" w:hAnsi="Times New Roman" w:cs="Times New Roman"/>
          <w:sz w:val="20"/>
          <w:szCs w:val="20"/>
          <w:highlight w:val="yellow"/>
        </w:rPr>
        <w:t xml:space="preserve">and </w:t>
      </w:r>
      <w:r w:rsidR="00576E7A" w:rsidRPr="00576E7A">
        <w:rPr>
          <w:rFonts w:ascii="Times New Roman" w:hAnsi="Times New Roman" w:cs="Times New Roman"/>
          <w:sz w:val="20"/>
          <w:szCs w:val="20"/>
          <w:highlight w:val="yellow"/>
        </w:rPr>
        <w:t>plate ID (batch).</w:t>
      </w:r>
      <w:r w:rsidR="00576E7A">
        <w:rPr>
          <w:rFonts w:ascii="Times New Roman" w:hAnsi="Times New Roman" w:cs="Times New Roman"/>
          <w:sz w:val="20"/>
          <w:szCs w:val="20"/>
        </w:rPr>
        <w:t xml:space="preserve"> </w:t>
      </w:r>
      <w:r w:rsidRPr="008C19A3">
        <w:rPr>
          <w:rFonts w:ascii="Times New Roman" w:hAnsi="Times New Roman" w:cs="Times New Roman"/>
          <w:sz w:val="20"/>
          <w:szCs w:val="20"/>
        </w:rPr>
        <w:t xml:space="preserve">The RS-III gene expression dataset has been described before </w:t>
      </w:r>
      <w:r w:rsidR="005B1706" w:rsidRPr="008C19A3">
        <w:rPr>
          <w:rFonts w:ascii="Times New Roman" w:hAnsi="Times New Roman" w:cs="Times New Roman"/>
          <w:sz w:val="20"/>
          <w:szCs w:val="20"/>
        </w:rPr>
        <w:fldChar w:fldCharType="begin"/>
      </w:r>
      <w:r w:rsidR="005A69A2" w:rsidRPr="008C19A3">
        <w:rPr>
          <w:rFonts w:ascii="Times New Roman" w:hAnsi="Times New Roman" w:cs="Times New Roman"/>
          <w:sz w:val="20"/>
          <w:szCs w:val="20"/>
        </w:rPr>
        <w:instrText xml:space="preserve"> ADDIN EN.CITE &lt;EndNote&gt;&lt;Cite&gt;&lt;Author&gt;Westra&lt;/Author&gt;&lt;Year&gt;2013&lt;/Year&gt;&lt;RecNum&gt;76&lt;/RecNum&gt;&lt;DisplayText&gt;(6)&lt;/DisplayText&gt;&lt;record&gt;&lt;rec-number&gt;76&lt;/rec-number&gt;&lt;foreign-keys&gt;&lt;key app="EN" db-id="zft5dst5trf2d2ee0f65pda3eexa5ta2a0zz" timestamp="1449602251"&gt;76&lt;/key&gt;&lt;/foreign-keys&gt;&lt;ref-type name="Journal Article"&gt;17&lt;/ref-type&gt;&lt;contributors&gt;&lt;authors&gt;&lt;author&gt;Westra, Harm-Jan&lt;/author&gt;&lt;author&gt;Peters, Marjolein J&lt;/author&gt;&lt;author&gt;Esko, Tõnu&lt;/author&gt;&lt;author&gt;Yaghootkar, Hanieh&lt;/author&gt;&lt;author&gt;Schurmann, Claudia&lt;/author&gt;&lt;author&gt;Kettunen, Johannes&lt;/author&gt;&lt;author&gt;Christiansen, Mark W&lt;/author&gt;&lt;author&gt;Fairfax, Benjamin P&lt;/author&gt;&lt;author&gt;Schramm, Katharina&lt;/author&gt;&lt;author&gt;Powell, Joseph E&lt;/author&gt;&lt;/authors&gt;&lt;/contributors&gt;&lt;titles&gt;&lt;title&gt;Systematic identification of trans eQTLs as putative drivers of known disease associations&lt;/title&gt;&lt;secondary-title&gt;Nature genetics&lt;/secondary-title&gt;&lt;/titles&gt;&lt;periodical&gt;&lt;full-title&gt;Nature genetics&lt;/full-title&gt;&lt;/periodical&gt;&lt;pages&gt;1238-1243&lt;/pages&gt;&lt;volume&gt;45&lt;/volume&gt;&lt;number&gt;10&lt;/number&gt;&lt;dates&gt;&lt;year&gt;2013&lt;/year&gt;&lt;/dates&gt;&lt;isbn&gt;1061-4036&lt;/isbn&gt;&lt;urls&gt;&lt;/urls&gt;&lt;/record&gt;&lt;/Cite&gt;&lt;/EndNote&gt;</w:instrText>
      </w:r>
      <w:r w:rsidR="005B1706" w:rsidRPr="008C19A3">
        <w:rPr>
          <w:rFonts w:ascii="Times New Roman" w:hAnsi="Times New Roman" w:cs="Times New Roman"/>
          <w:sz w:val="20"/>
          <w:szCs w:val="20"/>
        </w:rPr>
        <w:fldChar w:fldCharType="separate"/>
      </w:r>
      <w:r w:rsidR="005A69A2" w:rsidRPr="008C19A3">
        <w:rPr>
          <w:rFonts w:ascii="Times New Roman" w:hAnsi="Times New Roman" w:cs="Times New Roman"/>
          <w:noProof/>
          <w:sz w:val="20"/>
          <w:szCs w:val="20"/>
        </w:rPr>
        <w:t>(6)</w:t>
      </w:r>
      <w:r w:rsidR="005B1706" w:rsidRPr="008C19A3">
        <w:rPr>
          <w:rFonts w:ascii="Times New Roman" w:hAnsi="Times New Roman" w:cs="Times New Roman"/>
          <w:sz w:val="20"/>
          <w:szCs w:val="20"/>
        </w:rPr>
        <w:fldChar w:fldCharType="end"/>
      </w:r>
      <w:r w:rsidRPr="008C19A3">
        <w:rPr>
          <w:rFonts w:ascii="Times New Roman" w:hAnsi="Times New Roman" w:cs="Times New Roman"/>
          <w:sz w:val="20"/>
          <w:szCs w:val="20"/>
        </w:rPr>
        <w:t xml:space="preserve">.  </w:t>
      </w:r>
    </w:p>
    <w:p w:rsidR="00F975E4" w:rsidRPr="00576E7A" w:rsidRDefault="00136F14" w:rsidP="008C19A3">
      <w:pPr>
        <w:spacing w:line="480" w:lineRule="auto"/>
        <w:rPr>
          <w:rFonts w:ascii="Times New Roman" w:hAnsi="Times New Roman" w:cs="Times New Roman"/>
          <w:b/>
        </w:rPr>
      </w:pPr>
      <w:r w:rsidRPr="008C19A3">
        <w:rPr>
          <w:rFonts w:ascii="Times New Roman" w:hAnsi="Times New Roman" w:cs="Times New Roman"/>
          <w:b/>
        </w:rPr>
        <w:lastRenderedPageBreak/>
        <w:t>KORA F4</w:t>
      </w:r>
    </w:p>
    <w:p w:rsidR="00576E7A" w:rsidRPr="008C19A3" w:rsidRDefault="00F975E4" w:rsidP="00576E7A">
      <w:pPr>
        <w:spacing w:after="120" w:line="480" w:lineRule="auto"/>
        <w:rPr>
          <w:rFonts w:ascii="Times New Roman" w:hAnsi="Times New Roman" w:cs="Times New Roman"/>
          <w:sz w:val="20"/>
          <w:szCs w:val="20"/>
        </w:rPr>
      </w:pPr>
      <w:r w:rsidRPr="008C19A3">
        <w:rPr>
          <w:rFonts w:ascii="Times New Roman" w:hAnsi="Times New Roman" w:cs="Times New Roman"/>
          <w:sz w:val="20"/>
          <w:szCs w:val="20"/>
        </w:rPr>
        <w:t xml:space="preserve">KORA F4 (Cooperative Heath Research in the Region of Augsburg) is a population-based survey in the region of Augsburg in Southern Germany. The KORA F4 cohort </w:t>
      </w:r>
      <w:r w:rsidR="00FE4FEB" w:rsidRPr="008C19A3">
        <w:rPr>
          <w:rFonts w:ascii="Times New Roman" w:hAnsi="Times New Roman" w:cs="Times New Roman"/>
          <w:sz w:val="20"/>
          <w:szCs w:val="20"/>
        </w:rPr>
        <w:t xml:space="preserve">(2006-2008) </w:t>
      </w:r>
      <w:r w:rsidRPr="008C19A3">
        <w:rPr>
          <w:rFonts w:ascii="Times New Roman" w:hAnsi="Times New Roman" w:cs="Times New Roman"/>
          <w:sz w:val="20"/>
          <w:szCs w:val="20"/>
        </w:rPr>
        <w:t xml:space="preserve">consists of 6640 samples with Caucasian origin. For the expression analysis a subset from </w:t>
      </w:r>
      <w:r w:rsidR="00FE4FEB" w:rsidRPr="008C19A3">
        <w:rPr>
          <w:rFonts w:ascii="Times New Roman" w:hAnsi="Times New Roman" w:cs="Times New Roman"/>
          <w:sz w:val="20"/>
          <w:szCs w:val="20"/>
        </w:rPr>
        <w:t>KORA F4</w:t>
      </w:r>
      <w:r w:rsidRPr="008C19A3">
        <w:rPr>
          <w:rFonts w:ascii="Times New Roman" w:hAnsi="Times New Roman" w:cs="Times New Roman"/>
          <w:sz w:val="20"/>
          <w:szCs w:val="20"/>
        </w:rPr>
        <w:t xml:space="preserve"> of 1002 elderly individuals aged 62 to 81 years was used</w:t>
      </w:r>
      <w:r w:rsidR="001E1E05" w:rsidRPr="008C19A3">
        <w:rPr>
          <w:rFonts w:ascii="Times New Roman" w:hAnsi="Times New Roman" w:cs="Times New Roman"/>
          <w:sz w:val="20"/>
          <w:szCs w:val="20"/>
        </w:rPr>
        <w:t xml:space="preserve"> </w:t>
      </w:r>
      <w:r w:rsidR="001E1E05" w:rsidRPr="008C19A3">
        <w:rPr>
          <w:rFonts w:ascii="Times New Roman" w:hAnsi="Times New Roman" w:cs="Times New Roman"/>
          <w:sz w:val="20"/>
          <w:szCs w:val="20"/>
        </w:rPr>
        <w:fldChar w:fldCharType="begin"/>
      </w:r>
      <w:r w:rsidR="001E1E05" w:rsidRPr="008C19A3">
        <w:rPr>
          <w:rFonts w:ascii="Times New Roman" w:hAnsi="Times New Roman" w:cs="Times New Roman"/>
          <w:sz w:val="20"/>
          <w:szCs w:val="20"/>
        </w:rPr>
        <w:instrText xml:space="preserve"> ADDIN EN.CITE &lt;EndNote&gt;&lt;Cite&gt;&lt;Author&gt;Schurmann&lt;/Author&gt;&lt;Year&gt;2012&lt;/Year&gt;&lt;RecNum&gt;91&lt;/RecNum&gt;&lt;DisplayText&gt;(7)&lt;/DisplayText&gt;&lt;record&gt;&lt;rec-number&gt;91&lt;/rec-number&gt;&lt;foreign-keys&gt;&lt;key app="EN" db-id="zft5dst5trf2d2ee0f65pda3eexa5ta2a0zz" timestamp="1456330298"&gt;91&lt;/key&gt;&lt;/foreign-keys&gt;&lt;ref-type name="Journal Article"&gt;17&lt;/ref-type&gt;&lt;contributors&gt;&lt;authors&gt;&lt;author&gt;Schurmann, Claudia&lt;/author&gt;&lt;author&gt;Heim, Katharina&lt;/author&gt;&lt;author&gt;Schillert, Arne&lt;/author&gt;&lt;author&gt;Blankenberg, Stefan&lt;/author&gt;&lt;author&gt;Carstensen, Maren&lt;/author&gt;&lt;author&gt;Dörr, Marcus&lt;/author&gt;&lt;author&gt;Endlich, Karlhans&lt;/author&gt;&lt;author&gt;Felix, Stephan B&lt;/author&gt;&lt;author&gt;Gieger, Christian&lt;/author&gt;&lt;author&gt;Grallert, Harald&lt;/author&gt;&lt;/authors&gt;&lt;/contributors&gt;&lt;titles&gt;&lt;title&gt;Analyzing illumina gene expression microarray data from different tissues: methodological aspects of data analysis in the metaxpress consortium&lt;/title&gt;&lt;secondary-title&gt;PloS one&lt;/secondary-title&gt;&lt;/titles&gt;&lt;periodical&gt;&lt;full-title&gt;PLoS One&lt;/full-title&gt;&lt;/periodical&gt;&lt;pages&gt;e50938&lt;/pages&gt;&lt;volume&gt;7&lt;/volume&gt;&lt;number&gt;12&lt;/number&gt;&lt;dates&gt;&lt;year&gt;2012&lt;/year&gt;&lt;/dates&gt;&lt;isbn&gt;1932-6203&lt;/isbn&gt;&lt;urls&gt;&lt;/urls&gt;&lt;/record&gt;&lt;/Cite&gt;&lt;/EndNote&gt;</w:instrText>
      </w:r>
      <w:r w:rsidR="001E1E05" w:rsidRPr="008C19A3">
        <w:rPr>
          <w:rFonts w:ascii="Times New Roman" w:hAnsi="Times New Roman" w:cs="Times New Roman"/>
          <w:sz w:val="20"/>
          <w:szCs w:val="20"/>
        </w:rPr>
        <w:fldChar w:fldCharType="separate"/>
      </w:r>
      <w:r w:rsidR="001E1E05" w:rsidRPr="008C19A3">
        <w:rPr>
          <w:rFonts w:ascii="Times New Roman" w:hAnsi="Times New Roman" w:cs="Times New Roman"/>
          <w:noProof/>
          <w:sz w:val="20"/>
          <w:szCs w:val="20"/>
        </w:rPr>
        <w:t>(7)</w:t>
      </w:r>
      <w:r w:rsidR="001E1E05" w:rsidRPr="008C19A3">
        <w:rPr>
          <w:rFonts w:ascii="Times New Roman" w:hAnsi="Times New Roman" w:cs="Times New Roman"/>
          <w:sz w:val="20"/>
          <w:szCs w:val="20"/>
        </w:rPr>
        <w:fldChar w:fldCharType="end"/>
      </w:r>
      <w:r w:rsidRPr="008C19A3">
        <w:rPr>
          <w:rFonts w:ascii="Times New Roman" w:hAnsi="Times New Roman" w:cs="Times New Roman"/>
          <w:sz w:val="20"/>
          <w:szCs w:val="20"/>
        </w:rPr>
        <w:t xml:space="preserve"> (). Gene expression profiling was performed using the Illumina HumanHT-12 v3 BeadChip as described elsewhere (Schurmann et al., 2012, PMID:  23236413). Briefly, RNA was isolated from whole blood using PAXgene Blood miRNA Kit (Qiagen, Hilden, Germany). Purity and integrity of the RNA was analyzed using the Agilent Bioanalyzer with the 6000 Nano LabChip reagent set (Agilent Technologies, Germany). RNA was reverse transcribed with TotalPrep-96 RNA Amp Kit (Ambion, Germany) and hybridized to the Illumina HumanHT-12 v3 Expression BeadChip. Missing values were imputed using the Illumina Software GenomeStudio. After quality control 989 samples were available for smoking analysis. </w:t>
      </w:r>
      <w:r w:rsidR="00576E7A" w:rsidRPr="00576E7A">
        <w:rPr>
          <w:rFonts w:ascii="Times New Roman" w:hAnsi="Times New Roman" w:cs="Times New Roman"/>
          <w:sz w:val="20"/>
          <w:szCs w:val="20"/>
          <w:highlight w:val="yellow"/>
        </w:rPr>
        <w:t>KORA F4 used technical covariates included RNA integrity number (RIN), batch</w:t>
      </w:r>
      <w:r w:rsidR="0017624A">
        <w:rPr>
          <w:rFonts w:ascii="Times New Roman" w:hAnsi="Times New Roman" w:cs="Times New Roman"/>
          <w:sz w:val="20"/>
          <w:szCs w:val="20"/>
          <w:highlight w:val="yellow"/>
        </w:rPr>
        <w:t>,</w:t>
      </w:r>
      <w:bookmarkStart w:id="0" w:name="_GoBack"/>
      <w:bookmarkEnd w:id="0"/>
      <w:r w:rsidR="00576E7A" w:rsidRPr="00576E7A">
        <w:rPr>
          <w:rFonts w:ascii="Times New Roman" w:hAnsi="Times New Roman" w:cs="Times New Roman"/>
          <w:sz w:val="20"/>
          <w:szCs w:val="20"/>
          <w:highlight w:val="yellow"/>
        </w:rPr>
        <w:t xml:space="preserve"> and sample storage time.</w:t>
      </w:r>
      <w:r w:rsidR="00576E7A">
        <w:rPr>
          <w:rFonts w:ascii="Times New Roman" w:hAnsi="Times New Roman" w:cs="Times New Roman"/>
          <w:sz w:val="20"/>
          <w:szCs w:val="20"/>
        </w:rPr>
        <w:t xml:space="preserve"> </w:t>
      </w:r>
      <w:r w:rsidRPr="008C19A3">
        <w:rPr>
          <w:rFonts w:ascii="Times New Roman" w:hAnsi="Times New Roman" w:cs="Times New Roman"/>
          <w:sz w:val="20"/>
          <w:szCs w:val="20"/>
        </w:rPr>
        <w:t>The gene expression data are online available on ArrayExpress (E-MTAB-1708).</w:t>
      </w:r>
    </w:p>
    <w:p w:rsidR="00136F14" w:rsidRPr="00576E7A" w:rsidRDefault="00136F14" w:rsidP="008C19A3">
      <w:pPr>
        <w:spacing w:line="480" w:lineRule="auto"/>
        <w:rPr>
          <w:rFonts w:ascii="Times New Roman" w:hAnsi="Times New Roman" w:cs="Times New Roman"/>
          <w:b/>
        </w:rPr>
      </w:pPr>
      <w:r w:rsidRPr="008C19A3">
        <w:rPr>
          <w:rFonts w:ascii="Times New Roman" w:hAnsi="Times New Roman" w:cs="Times New Roman"/>
          <w:b/>
        </w:rPr>
        <w:t xml:space="preserve">SHIP-TREND </w:t>
      </w:r>
    </w:p>
    <w:p w:rsidR="002E25A0" w:rsidRPr="008C19A3" w:rsidRDefault="006673F0" w:rsidP="00576E7A">
      <w:pPr>
        <w:spacing w:after="120" w:line="480" w:lineRule="auto"/>
        <w:rPr>
          <w:rFonts w:ascii="Times New Roman" w:hAnsi="Times New Roman" w:cs="Times New Roman"/>
          <w:sz w:val="20"/>
          <w:szCs w:val="20"/>
        </w:rPr>
      </w:pPr>
      <w:r w:rsidRPr="008C19A3">
        <w:rPr>
          <w:rFonts w:ascii="Times New Roman" w:hAnsi="Times New Roman" w:cs="Times New Roman"/>
          <w:sz w:val="20"/>
          <w:szCs w:val="20"/>
        </w:rPr>
        <w:t>The Study of Health in Pomerania (SHIP) is a longitudinal population-based cohort study in West Pomerania, a region in the northeast of Germany, assessing the prevalence and incidence of common population-relevant diseases and their risk factors. Baseline examinations for SHIP-TREND were carried out between 2008 and 2012, comprising 4420 participants. Study design and sampling methods were previously described</w:t>
      </w:r>
      <w:r w:rsidR="005B1706" w:rsidRPr="008C19A3">
        <w:rPr>
          <w:rFonts w:ascii="Times New Roman" w:hAnsi="Times New Roman" w:cs="Times New Roman"/>
          <w:sz w:val="20"/>
          <w:szCs w:val="20"/>
        </w:rPr>
        <w:t xml:space="preserve"> </w:t>
      </w:r>
      <w:r w:rsidR="005B1706" w:rsidRPr="008C19A3">
        <w:rPr>
          <w:rFonts w:ascii="Times New Roman" w:hAnsi="Times New Roman" w:cs="Times New Roman"/>
          <w:sz w:val="20"/>
          <w:szCs w:val="20"/>
        </w:rPr>
        <w:fldChar w:fldCharType="begin"/>
      </w:r>
      <w:r w:rsidR="001E1E05" w:rsidRPr="008C19A3">
        <w:rPr>
          <w:rFonts w:ascii="Times New Roman" w:hAnsi="Times New Roman" w:cs="Times New Roman"/>
          <w:sz w:val="20"/>
          <w:szCs w:val="20"/>
        </w:rPr>
        <w:instrText xml:space="preserve"> ADDIN EN.CITE &lt;EndNote&gt;&lt;Cite&gt;&lt;Author&gt;Völzke&lt;/Author&gt;&lt;Year&gt;2010&lt;/Year&gt;&lt;RecNum&gt;77&lt;/RecNum&gt;&lt;DisplayText&gt;(8)&lt;/DisplayText&gt;&lt;record&gt;&lt;rec-number&gt;77&lt;/rec-number&gt;&lt;foreign-keys&gt;&lt;key app="EN" db-id="zft5dst5trf2d2ee0f65pda3eexa5ta2a0zz" timestamp="1449602309"&gt;77&lt;/key&gt;&lt;/foreign-keys&gt;&lt;ref-type name="Journal Article"&gt;17&lt;/ref-type&gt;&lt;contributors&gt;&lt;authors&gt;&lt;author&gt;Völzke, Henry&lt;/author&gt;&lt;author&gt;Alte, Dietrich&lt;/author&gt;&lt;author&gt;Schmidt, Carsten Oliver&lt;/author&gt;&lt;author&gt;Radke, Dörte&lt;/author&gt;&lt;author&gt;Lorbeer, Roberto&lt;/author&gt;&lt;author&gt;Friedrich, Nele&lt;/author&gt;&lt;author&gt;Aumann, Nicole&lt;/author&gt;&lt;author&gt;Lau, Katharina&lt;/author&gt;&lt;author&gt;Piontek, Michael&lt;/author&gt;&lt;author&gt;Born, Gabriele&lt;/author&gt;&lt;/authors&gt;&lt;/contributors&gt;&lt;titles&gt;&lt;title&gt;Cohort profile: the study of health in Pomerania&lt;/title&gt;&lt;secondary-title&gt;International journal of epidemiology&lt;/secondary-title&gt;&lt;/titles&gt;&lt;periodical&gt;&lt;full-title&gt;International journal of epidemiology&lt;/full-title&gt;&lt;/periodical&gt;&lt;pages&gt;dyp394&lt;/pages&gt;&lt;dates&gt;&lt;year&gt;2010&lt;/year&gt;&lt;/dates&gt;&lt;isbn&gt;0300-5771&lt;/isbn&gt;&lt;urls&gt;&lt;/urls&gt;&lt;/record&gt;&lt;/Cite&gt;&lt;/EndNote&gt;</w:instrText>
      </w:r>
      <w:r w:rsidR="005B1706" w:rsidRPr="008C19A3">
        <w:rPr>
          <w:rFonts w:ascii="Times New Roman" w:hAnsi="Times New Roman" w:cs="Times New Roman"/>
          <w:sz w:val="20"/>
          <w:szCs w:val="20"/>
        </w:rPr>
        <w:fldChar w:fldCharType="separate"/>
      </w:r>
      <w:r w:rsidR="001E1E05" w:rsidRPr="008C19A3">
        <w:rPr>
          <w:rFonts w:ascii="Times New Roman" w:hAnsi="Times New Roman" w:cs="Times New Roman"/>
          <w:noProof/>
          <w:sz w:val="20"/>
          <w:szCs w:val="20"/>
        </w:rPr>
        <w:t>(8)</w:t>
      </w:r>
      <w:r w:rsidR="005B1706" w:rsidRPr="008C19A3">
        <w:rPr>
          <w:rFonts w:ascii="Times New Roman" w:hAnsi="Times New Roman" w:cs="Times New Roman"/>
          <w:sz w:val="20"/>
          <w:szCs w:val="20"/>
        </w:rPr>
        <w:fldChar w:fldCharType="end"/>
      </w:r>
      <w:r w:rsidRPr="008C19A3">
        <w:rPr>
          <w:rFonts w:ascii="Times New Roman" w:hAnsi="Times New Roman" w:cs="Times New Roman"/>
          <w:sz w:val="20"/>
          <w:szCs w:val="20"/>
        </w:rPr>
        <w:t>. The present project is based on a subset of 989 subjects aged 20 to 81 years of the SHIP-TREND study population with available phenotype and gene expression data. Weight and height were measured according to written standardized instructions in accordance with the World Health Organization standards (WHO 1987). The body mass index (BMI) was calculated as weight in kg divided by the square of height in meters. Blood cell counts were measured using the automated hematology analysers Sysmex XE-5000/XT-2000 (Sysmex Corporation, Kobe, Japan). All assays were performed according to the manufacturers’ recommendations by skilled technical personnel. Blood sample collection as well as RNA preparation were described in detail elsewhere</w:t>
      </w:r>
      <w:r w:rsidR="005B1706" w:rsidRPr="008C19A3">
        <w:rPr>
          <w:rFonts w:ascii="Times New Roman" w:hAnsi="Times New Roman" w:cs="Times New Roman"/>
          <w:sz w:val="20"/>
          <w:szCs w:val="20"/>
        </w:rPr>
        <w:t xml:space="preserve"> </w:t>
      </w:r>
      <w:r w:rsidR="005B1706" w:rsidRPr="008C19A3">
        <w:rPr>
          <w:rFonts w:ascii="Times New Roman" w:hAnsi="Times New Roman" w:cs="Times New Roman"/>
          <w:sz w:val="20"/>
          <w:szCs w:val="20"/>
        </w:rPr>
        <w:fldChar w:fldCharType="begin"/>
      </w:r>
      <w:r w:rsidR="001E1E05" w:rsidRPr="008C19A3">
        <w:rPr>
          <w:rFonts w:ascii="Times New Roman" w:hAnsi="Times New Roman" w:cs="Times New Roman"/>
          <w:sz w:val="20"/>
          <w:szCs w:val="20"/>
        </w:rPr>
        <w:instrText xml:space="preserve"> ADDIN EN.CITE &lt;EndNote&gt;&lt;Cite&gt;&lt;Author&gt;Schurmann&lt;/Author&gt;&lt;Year&gt;2012&lt;/Year&gt;&lt;RecNum&gt;78&lt;/RecNum&gt;&lt;DisplayText&gt;(7)&lt;/DisplayText&gt;&lt;record&gt;&lt;rec-number&gt;78&lt;/rec-number&gt;&lt;foreign-keys&gt;&lt;key app="EN" db-id="zft5dst5trf2d2ee0f65pda3eexa5ta2a0zz" timestamp="1449602347"&gt;78&lt;/key&gt;&lt;/foreign-keys&gt;&lt;ref-type name="Journal Article"&gt;17&lt;/ref-type&gt;&lt;contributors&gt;&lt;authors&gt;&lt;author&gt;Schurmann, Claudia&lt;/author&gt;&lt;author&gt;Heim, Katharina&lt;/author&gt;&lt;author&gt;Schillert, Arne&lt;/author&gt;&lt;author&gt;Blankenberg, Stefan&lt;/author&gt;&lt;author&gt;Carstensen, Maren&lt;/author&gt;&lt;author&gt;Dörr, Marcus&lt;/author&gt;&lt;author&gt;Endlich, Karlhans&lt;/author&gt;&lt;author&gt;Felix, Stephan B&lt;/author&gt;&lt;author&gt;Gieger, Christian&lt;/author&gt;&lt;author&gt;Grallert, Harald&lt;/author&gt;&lt;/authors&gt;&lt;/contributors&gt;&lt;titles&gt;&lt;title&gt;Analyzing illumina gene expression microarray data from different tissues: methodological aspects of data analysis in the metaxpress consortium&lt;/title&gt;&lt;secondary-title&gt;PloS one&lt;/secondary-title&gt;&lt;/titles&gt;&lt;periodical&gt;&lt;full-title&gt;PLoS One&lt;/full-title&gt;&lt;/periodical&gt;&lt;pages&gt;e50938&lt;/pages&gt;&lt;volume&gt;7&lt;/volume&gt;&lt;number&gt;12&lt;/number&gt;&lt;dates&gt;&lt;year&gt;2012&lt;/year&gt;&lt;/dates&gt;&lt;isbn&gt;1932-6203&lt;/isbn&gt;&lt;urls&gt;&lt;/urls&gt;&lt;/record&gt;&lt;/Cite&gt;&lt;/EndNote&gt;</w:instrText>
      </w:r>
      <w:r w:rsidR="005B1706" w:rsidRPr="008C19A3">
        <w:rPr>
          <w:rFonts w:ascii="Times New Roman" w:hAnsi="Times New Roman" w:cs="Times New Roman"/>
          <w:sz w:val="20"/>
          <w:szCs w:val="20"/>
        </w:rPr>
        <w:fldChar w:fldCharType="separate"/>
      </w:r>
      <w:r w:rsidR="001E1E05" w:rsidRPr="008C19A3">
        <w:rPr>
          <w:rFonts w:ascii="Times New Roman" w:hAnsi="Times New Roman" w:cs="Times New Roman"/>
          <w:noProof/>
          <w:sz w:val="20"/>
          <w:szCs w:val="20"/>
        </w:rPr>
        <w:t>(7)</w:t>
      </w:r>
      <w:r w:rsidR="005B1706" w:rsidRPr="008C19A3">
        <w:rPr>
          <w:rFonts w:ascii="Times New Roman" w:hAnsi="Times New Roman" w:cs="Times New Roman"/>
          <w:sz w:val="20"/>
          <w:szCs w:val="20"/>
        </w:rPr>
        <w:fldChar w:fldCharType="end"/>
      </w:r>
      <w:r w:rsidRPr="008C19A3">
        <w:rPr>
          <w:rFonts w:ascii="Times New Roman" w:hAnsi="Times New Roman" w:cs="Times New Roman"/>
          <w:sz w:val="20"/>
          <w:szCs w:val="20"/>
        </w:rPr>
        <w:t xml:space="preserve">. Briefly, fasting whole-blood samples were collected and stored in PAXgene Blood RNA Tubes (BD). RNA was prepared using the PAXgeneTM Blood miRNA Kit (QIAGEN, Hilden, Germany). Purity and concentration of RNA were determined using </w:t>
      </w:r>
      <w:r w:rsidRPr="008C19A3">
        <w:rPr>
          <w:rFonts w:ascii="Times New Roman" w:hAnsi="Times New Roman" w:cs="Times New Roman"/>
          <w:sz w:val="20"/>
          <w:szCs w:val="20"/>
        </w:rPr>
        <w:lastRenderedPageBreak/>
        <w:t>a NanoDrop ND-1000 UV-Vis Spectrophotometer (Thermo Scientific). Samples exhibiting an RNA integrity number (RIN) less than seven were excluded from further analysis. Whole genome expression profiling of the samples was conducted using the Illumina HumanHT-12 v3 BeadChip array. A detailed workflow for the analysis of Illumina gene expression microarray data was described recently within the MetaXpress consortium</w:t>
      </w:r>
      <w:r w:rsidR="00F74B2E" w:rsidRPr="008C19A3">
        <w:rPr>
          <w:rFonts w:ascii="Times New Roman" w:hAnsi="Times New Roman" w:cs="Times New Roman"/>
          <w:sz w:val="20"/>
          <w:szCs w:val="20"/>
        </w:rPr>
        <w:t xml:space="preserve"> </w:t>
      </w:r>
      <w:r w:rsidR="00F74B2E" w:rsidRPr="008C19A3">
        <w:rPr>
          <w:rFonts w:ascii="Times New Roman" w:hAnsi="Times New Roman" w:cs="Times New Roman"/>
          <w:sz w:val="20"/>
          <w:szCs w:val="20"/>
        </w:rPr>
        <w:fldChar w:fldCharType="begin"/>
      </w:r>
      <w:r w:rsidR="001E1E05" w:rsidRPr="008C19A3">
        <w:rPr>
          <w:rFonts w:ascii="Times New Roman" w:hAnsi="Times New Roman" w:cs="Times New Roman"/>
          <w:sz w:val="20"/>
          <w:szCs w:val="20"/>
        </w:rPr>
        <w:instrText xml:space="preserve"> ADDIN EN.CITE &lt;EndNote&gt;&lt;Cite&gt;&lt;Author&gt;Schurmann&lt;/Author&gt;&lt;Year&gt;2012&lt;/Year&gt;&lt;RecNum&gt;78&lt;/RecNum&gt;&lt;DisplayText&gt;(7)&lt;/DisplayText&gt;&lt;record&gt;&lt;rec-number&gt;78&lt;/rec-number&gt;&lt;foreign-keys&gt;&lt;key app="EN" db-id="zft5dst5trf2d2ee0f65pda3eexa5ta2a0zz" timestamp="1449602347"&gt;78&lt;/key&gt;&lt;/foreign-keys&gt;&lt;ref-type name="Journal Article"&gt;17&lt;/ref-type&gt;&lt;contributors&gt;&lt;authors&gt;&lt;author&gt;Schurmann, Claudia&lt;/author&gt;&lt;author&gt;Heim, Katharina&lt;/author&gt;&lt;author&gt;Schillert, Arne&lt;/author&gt;&lt;author&gt;Blankenberg, Stefan&lt;/author&gt;&lt;author&gt;Carstensen, Maren&lt;/author&gt;&lt;author&gt;Dörr, Marcus&lt;/author&gt;&lt;author&gt;Endlich, Karlhans&lt;/author&gt;&lt;author&gt;Felix, Stephan B&lt;/author&gt;&lt;author&gt;Gieger, Christian&lt;/author&gt;&lt;author&gt;Grallert, Harald&lt;/author&gt;&lt;/authors&gt;&lt;/contributors&gt;&lt;titles&gt;&lt;title&gt;Analyzing illumina gene expression microarray data from different tissues: methodological aspects of data analysis in the metaxpress consortium&lt;/title&gt;&lt;secondary-title&gt;PloS one&lt;/secondary-title&gt;&lt;/titles&gt;&lt;periodical&gt;&lt;full-title&gt;PLoS One&lt;/full-title&gt;&lt;/periodical&gt;&lt;pages&gt;e50938&lt;/pages&gt;&lt;volume&gt;7&lt;/volume&gt;&lt;number&gt;12&lt;/number&gt;&lt;dates&gt;&lt;year&gt;2012&lt;/year&gt;&lt;/dates&gt;&lt;isbn&gt;1932-6203&lt;/isbn&gt;&lt;urls&gt;&lt;/urls&gt;&lt;/record&gt;&lt;/Cite&gt;&lt;/EndNote&gt;</w:instrText>
      </w:r>
      <w:r w:rsidR="00F74B2E" w:rsidRPr="008C19A3">
        <w:rPr>
          <w:rFonts w:ascii="Times New Roman" w:hAnsi="Times New Roman" w:cs="Times New Roman"/>
          <w:sz w:val="20"/>
          <w:szCs w:val="20"/>
        </w:rPr>
        <w:fldChar w:fldCharType="separate"/>
      </w:r>
      <w:r w:rsidR="001E1E05" w:rsidRPr="008C19A3">
        <w:rPr>
          <w:rFonts w:ascii="Times New Roman" w:hAnsi="Times New Roman" w:cs="Times New Roman"/>
          <w:noProof/>
          <w:sz w:val="20"/>
          <w:szCs w:val="20"/>
        </w:rPr>
        <w:t>(7)</w:t>
      </w:r>
      <w:r w:rsidR="00F74B2E" w:rsidRPr="008C19A3">
        <w:rPr>
          <w:rFonts w:ascii="Times New Roman" w:hAnsi="Times New Roman" w:cs="Times New Roman"/>
          <w:sz w:val="20"/>
          <w:szCs w:val="20"/>
        </w:rPr>
        <w:fldChar w:fldCharType="end"/>
      </w:r>
      <w:r w:rsidRPr="008C19A3">
        <w:rPr>
          <w:rFonts w:ascii="Times New Roman" w:hAnsi="Times New Roman" w:cs="Times New Roman"/>
          <w:sz w:val="20"/>
          <w:szCs w:val="20"/>
        </w:rPr>
        <w:t>. The SHIP-TREND gene expression dataset is available at GEO (Gene Expression Omnibus) public repository under GSE36382.</w:t>
      </w:r>
    </w:p>
    <w:p w:rsidR="00C5102A" w:rsidRPr="008C19A3" w:rsidRDefault="006673F0" w:rsidP="008C19A3">
      <w:pPr>
        <w:spacing w:after="120" w:line="480" w:lineRule="auto"/>
        <w:ind w:firstLine="720"/>
        <w:rPr>
          <w:rFonts w:ascii="Times New Roman" w:hAnsi="Times New Roman" w:cs="Times New Roman"/>
          <w:sz w:val="20"/>
          <w:szCs w:val="20"/>
        </w:rPr>
      </w:pPr>
      <w:r w:rsidRPr="008C19A3">
        <w:rPr>
          <w:rFonts w:ascii="Times New Roman" w:hAnsi="Times New Roman" w:cs="Times New Roman"/>
          <w:sz w:val="20"/>
          <w:szCs w:val="20"/>
        </w:rPr>
        <w:t>Here, we use linear models regressing measured gene expression levels on smoking status with adjustment for sex, age, white blood cell counts, and technical covariates (</w:t>
      </w:r>
      <w:r w:rsidRPr="00576E7A">
        <w:rPr>
          <w:rFonts w:ascii="Times New Roman" w:hAnsi="Times New Roman" w:cs="Times New Roman"/>
          <w:sz w:val="20"/>
          <w:szCs w:val="20"/>
          <w:highlight w:val="yellow"/>
        </w:rPr>
        <w:t>RNA integrity number, time between RNA isolation and amplification, and plate layout after RNA amplification</w:t>
      </w:r>
      <w:r w:rsidRPr="008C19A3">
        <w:rPr>
          <w:rFonts w:ascii="Times New Roman" w:hAnsi="Times New Roman" w:cs="Times New Roman"/>
          <w:sz w:val="20"/>
          <w:szCs w:val="20"/>
        </w:rPr>
        <w:t>).</w:t>
      </w:r>
    </w:p>
    <w:p w:rsidR="00136F14" w:rsidRPr="008C19A3" w:rsidRDefault="00136F14" w:rsidP="008C19A3">
      <w:pPr>
        <w:spacing w:line="480" w:lineRule="auto"/>
        <w:rPr>
          <w:rFonts w:ascii="Times New Roman" w:hAnsi="Times New Roman" w:cs="Times New Roman"/>
          <w:b/>
        </w:rPr>
      </w:pPr>
      <w:r w:rsidRPr="008C19A3">
        <w:rPr>
          <w:rFonts w:ascii="Times New Roman" w:hAnsi="Times New Roman" w:cs="Times New Roman"/>
          <w:b/>
        </w:rPr>
        <w:t>EGCUT</w:t>
      </w:r>
    </w:p>
    <w:p w:rsidR="00E97B04" w:rsidRPr="008C19A3" w:rsidRDefault="00E97B04" w:rsidP="00576E7A">
      <w:pPr>
        <w:spacing w:after="120" w:line="480" w:lineRule="auto"/>
        <w:rPr>
          <w:rFonts w:ascii="Times New Roman" w:hAnsi="Times New Roman" w:cs="Times New Roman"/>
          <w:sz w:val="20"/>
          <w:szCs w:val="20"/>
        </w:rPr>
      </w:pPr>
      <w:r w:rsidRPr="008C19A3">
        <w:rPr>
          <w:rFonts w:ascii="Times New Roman" w:hAnsi="Times New Roman" w:cs="Times New Roman"/>
          <w:sz w:val="20"/>
          <w:szCs w:val="20"/>
        </w:rPr>
        <w:t>The Estonian Gene Expression Cohort</w:t>
      </w:r>
      <w:r w:rsidRPr="008C19A3">
        <w:rPr>
          <w:rFonts w:ascii="Times New Roman" w:hAnsi="Times New Roman" w:cs="Times New Roman"/>
          <w:sz w:val="20"/>
          <w:szCs w:val="20"/>
        </w:rPr>
        <w:fldChar w:fldCharType="begin"/>
      </w:r>
      <w:r w:rsidR="005A69A2" w:rsidRPr="008C19A3">
        <w:rPr>
          <w:rFonts w:ascii="Times New Roman" w:hAnsi="Times New Roman" w:cs="Times New Roman"/>
          <w:sz w:val="20"/>
          <w:szCs w:val="20"/>
        </w:rPr>
        <w:instrText xml:space="preserve"> ADDIN EN.CITE &lt;EndNote&gt;&lt;Cite&gt;&lt;Author&gt;Hense&lt;/Author&gt;&lt;Year&gt;1989&lt;/Year&gt;&lt;RecNum&gt;89&lt;/RecNum&gt;&lt;DisplayText&gt;(9)&lt;/DisplayText&gt;&lt;record&gt;&lt;rec-number&gt;89&lt;/rec-number&gt;&lt;foreign-keys&gt;&lt;key app="EN" db-id="zft5dst5trf2d2ee0f65pda3eexa5ta2a0zz" timestamp="1454993349"&gt;89&lt;/key&gt;&lt;/foreign-keys&gt;&lt;ref-type name="Journal Article"&gt;17&lt;/ref-type&gt;&lt;contributors&gt;&lt;authors&gt;&lt;author&gt;Hense, HW&lt;/author&gt;&lt;author&gt;Kuulasmaa, K&lt;/author&gt;&lt;author&gt;Zaborskis, A&lt;/author&gt;&lt;author&gt;Kupsc, W&lt;/author&gt;&lt;author&gt;Tuomilehto, J&lt;/author&gt;&lt;/authors&gt;&lt;/contributors&gt;&lt;titles&gt;&lt;title&gt;Quality assessment of blood pressure measurements in epidemiological surveys. The impact of last digit preference and the proportions of identical duplicate measurements. WHO Monica Project [corrected]&lt;/title&gt;&lt;secondary-title&gt;Revue d&amp;apos;épidémiologie et de santé publique&lt;/secondary-title&gt;&lt;/titles&gt;&lt;periodical&gt;&lt;full-title&gt;Revue d&amp;apos;épidémiologie et de santé publique&lt;/full-title&gt;&lt;/periodical&gt;&lt;pages&gt;463-468&lt;/pages&gt;&lt;volume&gt;38&lt;/volume&gt;&lt;number&gt;5-6&lt;/number&gt;&lt;dates&gt;&lt;year&gt;1989&lt;/year&gt;&lt;/dates&gt;&lt;isbn&gt;0398-7620&lt;/isbn&gt;&lt;urls&gt;&lt;/urls&gt;&lt;/record&gt;&lt;/Cite&gt;&lt;/EndNote&gt;</w:instrText>
      </w:r>
      <w:r w:rsidRPr="008C19A3">
        <w:rPr>
          <w:rFonts w:ascii="Times New Roman" w:hAnsi="Times New Roman" w:cs="Times New Roman"/>
          <w:sz w:val="20"/>
          <w:szCs w:val="20"/>
        </w:rPr>
        <w:fldChar w:fldCharType="separate"/>
      </w:r>
      <w:r w:rsidR="005A69A2" w:rsidRPr="008C19A3">
        <w:rPr>
          <w:rFonts w:ascii="Times New Roman" w:hAnsi="Times New Roman" w:cs="Times New Roman"/>
          <w:noProof/>
          <w:sz w:val="20"/>
          <w:szCs w:val="20"/>
        </w:rPr>
        <w:t>(9)</w:t>
      </w:r>
      <w:r w:rsidRPr="008C19A3">
        <w:rPr>
          <w:rFonts w:ascii="Times New Roman" w:hAnsi="Times New Roman" w:cs="Times New Roman"/>
          <w:sz w:val="20"/>
          <w:szCs w:val="20"/>
        </w:rPr>
        <w:fldChar w:fldCharType="end"/>
      </w:r>
      <w:r w:rsidRPr="008C19A3">
        <w:rPr>
          <w:rFonts w:ascii="Times New Roman" w:hAnsi="Times New Roman" w:cs="Times New Roman"/>
          <w:sz w:val="20"/>
          <w:szCs w:val="20"/>
        </w:rPr>
        <w:t xml:space="preserve"> is drawn from the population-based Biobank of the Estonian Genome Center of the University of Tartu (EGCUT). The whole project is conducted according to the Estonian Genes Research Act and all participants have signed the informed consent. The current cohort size is over 51,515 participants (collected between 2003 to 2010), from 18 years of age and up, which closely reflects the age distribution of the adult Estonian population. Each participant filled out a Computer Assisted Personal interview during 1-2 hours at a recruitment office, including personal data, genealogical data, lifestyle data and medical history (diseases recorded in ICD-10 systems; the use of medicaments). Individuals who reported usage of diuretics, β blockers, calcium channel blockers, or angiotensin-converting-enzyme inhibitors were excluded from current study. Height, weight and blood pressure phenotypes (SBP and DBP) were measured at the recruitment office according to standard medical procedures. Cell counts were assessed from fresh blood at the United Laboratories, Tartu University Hospital, Tartu, Estonia.</w:t>
      </w:r>
    </w:p>
    <w:p w:rsidR="00E97B04" w:rsidRPr="008C19A3" w:rsidRDefault="00E97B04" w:rsidP="008C19A3">
      <w:pPr>
        <w:spacing w:after="120" w:line="480" w:lineRule="auto"/>
        <w:ind w:firstLine="720"/>
        <w:rPr>
          <w:rFonts w:ascii="Times New Roman" w:hAnsi="Times New Roman" w:cs="Times New Roman"/>
          <w:sz w:val="20"/>
          <w:szCs w:val="20"/>
        </w:rPr>
      </w:pPr>
      <w:r w:rsidRPr="008C19A3">
        <w:rPr>
          <w:rFonts w:ascii="Times New Roman" w:hAnsi="Times New Roman" w:cs="Times New Roman"/>
          <w:sz w:val="20"/>
          <w:szCs w:val="20"/>
        </w:rPr>
        <w:t xml:space="preserve">Whole peripheral blood RNA samples were collected using Tempus Blood RNA Tubes (Life Technologies, NY, USA), and RNA was extracted using the Tempus Spin RNA Isolation Kit (Life Technologies, NY, USA). The quality and quantity of the RNA samples were measured using the NanoDrop 1000 Spectrophotometer (Thermo Fisher Scientific, DE, USA) and the Agilent 2100 </w:t>
      </w:r>
      <w:r w:rsidRPr="008C19A3">
        <w:rPr>
          <w:rFonts w:ascii="Times New Roman" w:hAnsi="Times New Roman" w:cs="Times New Roman"/>
          <w:sz w:val="20"/>
          <w:szCs w:val="20"/>
        </w:rPr>
        <w:lastRenderedPageBreak/>
        <w:t>Bioanalyzer (Agilent Technologies, CA, USA). Whole-Genome gene-expression levels were obtained by Illumina Human HT12v3 arrays (Illumina Inc, San Diego, US) according to the manufacturer’s protocols.</w:t>
      </w:r>
    </w:p>
    <w:p w:rsidR="00E97B04" w:rsidRPr="008C19A3" w:rsidRDefault="00E97B04" w:rsidP="008C19A3">
      <w:pPr>
        <w:spacing w:after="120" w:line="480" w:lineRule="auto"/>
        <w:ind w:firstLine="720"/>
        <w:rPr>
          <w:rFonts w:ascii="Times New Roman" w:hAnsi="Times New Roman" w:cs="Times New Roman"/>
          <w:sz w:val="20"/>
          <w:szCs w:val="20"/>
        </w:rPr>
      </w:pPr>
      <w:r w:rsidRPr="008C19A3">
        <w:rPr>
          <w:rFonts w:ascii="Times New Roman" w:hAnsi="Times New Roman" w:cs="Times New Roman"/>
          <w:sz w:val="20"/>
          <w:szCs w:val="20"/>
        </w:rPr>
        <w:t xml:space="preserve">Raw gene expression levels were quartile normalized and log2-transformed. A least squares linear regression model ( </w:t>
      </w:r>
      <w:r w:rsidRPr="00576E7A">
        <w:rPr>
          <w:rFonts w:ascii="Times New Roman" w:hAnsi="Times New Roman" w:cs="Times New Roman"/>
          <w:i/>
          <w:sz w:val="20"/>
          <w:szCs w:val="20"/>
        </w:rPr>
        <w:t>lm()</w:t>
      </w:r>
      <w:r w:rsidRPr="008C19A3">
        <w:rPr>
          <w:rFonts w:ascii="Times New Roman" w:hAnsi="Times New Roman" w:cs="Times New Roman"/>
          <w:sz w:val="20"/>
          <w:szCs w:val="20"/>
        </w:rPr>
        <w:t xml:space="preserve"> R function) was used to examine the association of the smoking status and the gene expression levels, adjusting for age, sex, </w:t>
      </w:r>
      <w:r w:rsidRPr="00576E7A">
        <w:rPr>
          <w:rFonts w:ascii="Times New Roman" w:hAnsi="Times New Roman" w:cs="Times New Roman"/>
          <w:sz w:val="20"/>
          <w:szCs w:val="20"/>
          <w:highlight w:val="yellow"/>
        </w:rPr>
        <w:t>RNA quality score (RIN), batch (as factors)</w:t>
      </w:r>
      <w:r w:rsidRPr="008C19A3">
        <w:rPr>
          <w:rFonts w:ascii="Times New Roman" w:hAnsi="Times New Roman" w:cs="Times New Roman"/>
          <w:sz w:val="20"/>
          <w:szCs w:val="20"/>
        </w:rPr>
        <w:t xml:space="preserve"> and cell counts. Gene expression levels were included as dependent variables, smoking status were used as explanatory variables, and the adjustments as covaraites. </w:t>
      </w:r>
    </w:p>
    <w:p w:rsidR="00E97B04" w:rsidRPr="008C19A3" w:rsidRDefault="00E97B04" w:rsidP="008C19A3">
      <w:pPr>
        <w:spacing w:after="120" w:line="480" w:lineRule="auto"/>
        <w:rPr>
          <w:rFonts w:ascii="Times New Roman" w:hAnsi="Times New Roman" w:cs="Times New Roman"/>
          <w:sz w:val="20"/>
          <w:szCs w:val="20"/>
        </w:rPr>
      </w:pPr>
    </w:p>
    <w:p w:rsidR="005618C9" w:rsidRPr="008C19A3" w:rsidRDefault="005618C9" w:rsidP="008C19A3">
      <w:pPr>
        <w:spacing w:line="480" w:lineRule="auto"/>
        <w:rPr>
          <w:rFonts w:ascii="Times New Roman" w:hAnsi="Times New Roman" w:cs="Times New Roman"/>
          <w:b/>
        </w:rPr>
      </w:pPr>
      <w:r w:rsidRPr="008C19A3">
        <w:rPr>
          <w:rFonts w:ascii="Times New Roman" w:hAnsi="Times New Roman" w:cs="Times New Roman"/>
          <w:b/>
        </w:rPr>
        <w:br w:type="page"/>
      </w:r>
    </w:p>
    <w:p w:rsidR="00A624FD" w:rsidRPr="008C19A3" w:rsidRDefault="00A624FD" w:rsidP="008C19A3">
      <w:pPr>
        <w:spacing w:after="240" w:line="480" w:lineRule="auto"/>
        <w:rPr>
          <w:rFonts w:ascii="Times New Roman" w:hAnsi="Times New Roman" w:cs="Times New Roman"/>
          <w:b/>
          <w:sz w:val="28"/>
          <w:szCs w:val="28"/>
        </w:rPr>
      </w:pPr>
      <w:r w:rsidRPr="008C19A3">
        <w:rPr>
          <w:rFonts w:ascii="Times New Roman" w:hAnsi="Times New Roman" w:cs="Times New Roman"/>
          <w:b/>
          <w:sz w:val="28"/>
          <w:szCs w:val="28"/>
        </w:rPr>
        <w:lastRenderedPageBreak/>
        <w:t>Supplementary Figures</w:t>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Suppl. Fig 1: Effect size and P value of differentially expressed genes of cigarette smoking when function of smoking status vs. pack-years</w:t>
      </w:r>
    </w:p>
    <w:p w:rsidR="00953C33" w:rsidRDefault="00953C33" w:rsidP="00953C33">
      <w:pPr>
        <w:spacing w:after="120" w:line="480" w:lineRule="auto"/>
        <w:rPr>
          <w:rFonts w:ascii="Times New Roman" w:hAnsi="Times New Roman" w:cs="Times New Roman"/>
          <w:sz w:val="20"/>
          <w:szCs w:val="20"/>
          <w:highlight w:val="yellow"/>
        </w:rPr>
      </w:pPr>
      <w:r w:rsidRPr="00953C33">
        <w:rPr>
          <w:rFonts w:ascii="Times New Roman" w:hAnsi="Times New Roman" w:cs="Times New Roman"/>
          <w:b/>
          <w:sz w:val="20"/>
          <w:szCs w:val="20"/>
          <w:highlight w:val="yellow"/>
        </w:rPr>
        <w:t>Suppl.  Fig 2: Plots T-values of genes differentially expressed for smoking with and without additional covariates adjustment</w:t>
      </w:r>
    </w:p>
    <w:p w:rsidR="00A624FD"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 xml:space="preserve">Suppl. Fig </w:t>
      </w:r>
      <w:r w:rsidR="00273991">
        <w:rPr>
          <w:rFonts w:ascii="Times New Roman" w:hAnsi="Times New Roman" w:cs="Times New Roman"/>
          <w:b/>
          <w:sz w:val="20"/>
          <w:szCs w:val="20"/>
        </w:rPr>
        <w:t>3</w:t>
      </w:r>
      <w:r w:rsidRPr="008C19A3">
        <w:rPr>
          <w:rFonts w:ascii="Times New Roman" w:hAnsi="Times New Roman" w:cs="Times New Roman"/>
          <w:b/>
          <w:sz w:val="20"/>
          <w:szCs w:val="20"/>
        </w:rPr>
        <w:t>: Effect size of differentially expressed genes of cigarette smoking in Illumina cohorts and FHS cohorts</w:t>
      </w:r>
    </w:p>
    <w:p w:rsidR="00A40D41" w:rsidRPr="00A40D41" w:rsidRDefault="00A40D41" w:rsidP="008C19A3">
      <w:pPr>
        <w:spacing w:after="120" w:line="480" w:lineRule="auto"/>
        <w:rPr>
          <w:rFonts w:ascii="Times New Roman" w:hAnsi="Times New Roman" w:cs="Times New Roman"/>
          <w:b/>
          <w:sz w:val="20"/>
          <w:szCs w:val="20"/>
          <w:highlight w:val="yellow"/>
        </w:rPr>
      </w:pPr>
      <w:r w:rsidRPr="00953C33">
        <w:rPr>
          <w:rFonts w:ascii="Times New Roman" w:hAnsi="Times New Roman" w:cs="Times New Roman"/>
          <w:b/>
          <w:sz w:val="20"/>
          <w:szCs w:val="20"/>
          <w:highlight w:val="yellow"/>
        </w:rPr>
        <w:t xml:space="preserve">Suppl.  Fig </w:t>
      </w:r>
      <w:r>
        <w:rPr>
          <w:rFonts w:ascii="Times New Roman" w:hAnsi="Times New Roman" w:cs="Times New Roman"/>
          <w:b/>
          <w:sz w:val="20"/>
          <w:szCs w:val="20"/>
          <w:highlight w:val="yellow"/>
        </w:rPr>
        <w:t>4</w:t>
      </w:r>
      <w:r w:rsidRPr="00A40D41">
        <w:rPr>
          <w:rFonts w:ascii="Times New Roman" w:hAnsi="Times New Roman" w:cs="Times New Roman"/>
          <w:b/>
          <w:sz w:val="20"/>
          <w:szCs w:val="20"/>
          <w:highlight w:val="yellow"/>
        </w:rPr>
        <w:t>: Plot Z-values of gene expression signatures in analysis contrasting current vs. never smoker</w:t>
      </w:r>
      <w:r>
        <w:rPr>
          <w:rFonts w:ascii="Times New Roman" w:hAnsi="Times New Roman" w:cs="Times New Roman"/>
          <w:b/>
          <w:sz w:val="20"/>
          <w:szCs w:val="20"/>
          <w:highlight w:val="yellow"/>
        </w:rPr>
        <w:t>s, and former vs. never smokers</w:t>
      </w:r>
    </w:p>
    <w:p w:rsidR="00A624FD"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 xml:space="preserve">Suppl. Fig </w:t>
      </w:r>
      <w:r w:rsidR="00A40D41">
        <w:rPr>
          <w:rFonts w:ascii="Times New Roman" w:hAnsi="Times New Roman" w:cs="Times New Roman"/>
          <w:b/>
          <w:sz w:val="20"/>
          <w:szCs w:val="20"/>
        </w:rPr>
        <w:t>5</w:t>
      </w:r>
      <w:r w:rsidRPr="008C19A3">
        <w:rPr>
          <w:rFonts w:ascii="Times New Roman" w:hAnsi="Times New Roman" w:cs="Times New Roman"/>
          <w:b/>
          <w:sz w:val="20"/>
          <w:szCs w:val="20"/>
        </w:rPr>
        <w:t>: Dynamic tree-cut plots the coexperssion network modules structure of smoking gene signatures</w:t>
      </w:r>
    </w:p>
    <w:p w:rsidR="005C2559" w:rsidRPr="005C2559" w:rsidRDefault="00953C33" w:rsidP="005C2559">
      <w:pPr>
        <w:spacing w:after="120" w:line="480" w:lineRule="auto"/>
        <w:rPr>
          <w:rFonts w:ascii="Times New Roman" w:hAnsi="Times New Roman" w:cs="Times New Roman"/>
          <w:b/>
          <w:sz w:val="20"/>
          <w:szCs w:val="20"/>
        </w:rPr>
      </w:pPr>
      <w:r>
        <w:rPr>
          <w:rFonts w:ascii="Times New Roman" w:hAnsi="Times New Roman" w:cs="Times New Roman"/>
          <w:b/>
          <w:sz w:val="20"/>
          <w:szCs w:val="20"/>
          <w:highlight w:val="yellow"/>
        </w:rPr>
        <w:t>Suppl. Fig</w:t>
      </w:r>
      <w:r w:rsidR="005C2559" w:rsidRPr="005C2559">
        <w:rPr>
          <w:rFonts w:ascii="Times New Roman" w:hAnsi="Times New Roman" w:cs="Times New Roman"/>
          <w:b/>
          <w:sz w:val="20"/>
          <w:szCs w:val="20"/>
          <w:highlight w:val="yellow"/>
        </w:rPr>
        <w:t xml:space="preserve"> </w:t>
      </w:r>
      <w:r w:rsidR="00A40D41">
        <w:rPr>
          <w:rFonts w:ascii="Times New Roman" w:hAnsi="Times New Roman" w:cs="Times New Roman"/>
          <w:b/>
          <w:sz w:val="20"/>
          <w:szCs w:val="20"/>
          <w:highlight w:val="yellow"/>
        </w:rPr>
        <w:t>6</w:t>
      </w:r>
      <w:r w:rsidR="005C2559" w:rsidRPr="005C2559">
        <w:rPr>
          <w:rFonts w:ascii="Times New Roman" w:hAnsi="Times New Roman" w:cs="Times New Roman"/>
          <w:b/>
          <w:sz w:val="20"/>
          <w:szCs w:val="20"/>
          <w:highlight w:val="yellow"/>
        </w:rPr>
        <w:t>: The overall analysis flowchart</w:t>
      </w:r>
    </w:p>
    <w:p w:rsidR="00E81E51" w:rsidRPr="00DF41E5" w:rsidRDefault="00E81E51" w:rsidP="00E81E51">
      <w:pPr>
        <w:spacing w:after="120" w:line="480" w:lineRule="auto"/>
        <w:rPr>
          <w:rFonts w:ascii="Times New Roman" w:hAnsi="Times New Roman" w:cs="Times New Roman"/>
          <w:b/>
          <w:sz w:val="20"/>
          <w:szCs w:val="20"/>
          <w:highlight w:val="yellow"/>
        </w:rPr>
      </w:pPr>
      <w:r>
        <w:rPr>
          <w:rFonts w:ascii="Times New Roman" w:hAnsi="Times New Roman" w:cs="Times New Roman"/>
          <w:b/>
          <w:sz w:val="20"/>
          <w:szCs w:val="20"/>
          <w:highlight w:val="yellow"/>
        </w:rPr>
        <w:t>Suppl. Fig</w:t>
      </w:r>
      <w:r w:rsidRPr="005C2559">
        <w:rPr>
          <w:rFonts w:ascii="Times New Roman" w:hAnsi="Times New Roman" w:cs="Times New Roman"/>
          <w:b/>
          <w:sz w:val="20"/>
          <w:szCs w:val="20"/>
          <w:highlight w:val="yellow"/>
        </w:rPr>
        <w:t xml:space="preserve"> </w:t>
      </w:r>
      <w:r w:rsidR="00A40D41">
        <w:rPr>
          <w:rFonts w:ascii="Times New Roman" w:hAnsi="Times New Roman" w:cs="Times New Roman"/>
          <w:b/>
          <w:sz w:val="20"/>
          <w:szCs w:val="20"/>
          <w:highlight w:val="yellow"/>
        </w:rPr>
        <w:t>7</w:t>
      </w:r>
      <w:r w:rsidRPr="00457B57">
        <w:rPr>
          <w:rFonts w:ascii="Times New Roman" w:hAnsi="Times New Roman" w:cs="Times New Roman"/>
          <w:b/>
          <w:sz w:val="20"/>
          <w:szCs w:val="20"/>
          <w:highlight w:val="yellow"/>
        </w:rPr>
        <w:t xml:space="preserve">: Correlations of gene coexpression network modules with blood cell types. The coexpression network modules </w:t>
      </w:r>
      <w:r>
        <w:rPr>
          <w:rFonts w:ascii="Times New Roman" w:hAnsi="Times New Roman" w:cs="Times New Roman"/>
          <w:b/>
          <w:sz w:val="20"/>
          <w:szCs w:val="20"/>
          <w:highlight w:val="yellow"/>
        </w:rPr>
        <w:t>were constructed in FHS cohorts</w:t>
      </w:r>
    </w:p>
    <w:p w:rsidR="005C2559" w:rsidRDefault="00953C33" w:rsidP="005C2559">
      <w:pPr>
        <w:spacing w:after="120" w:line="480" w:lineRule="auto"/>
        <w:rPr>
          <w:rFonts w:ascii="Times New Roman" w:hAnsi="Times New Roman" w:cs="Times New Roman"/>
          <w:b/>
          <w:sz w:val="20"/>
          <w:szCs w:val="20"/>
        </w:rPr>
      </w:pPr>
      <w:r>
        <w:rPr>
          <w:rFonts w:ascii="Times New Roman" w:hAnsi="Times New Roman" w:cs="Times New Roman"/>
          <w:b/>
          <w:sz w:val="20"/>
          <w:szCs w:val="20"/>
          <w:highlight w:val="yellow"/>
        </w:rPr>
        <w:t>Suppl. Fig</w:t>
      </w:r>
      <w:r w:rsidRPr="005C2559">
        <w:rPr>
          <w:rFonts w:ascii="Times New Roman" w:hAnsi="Times New Roman" w:cs="Times New Roman"/>
          <w:b/>
          <w:sz w:val="20"/>
          <w:szCs w:val="20"/>
          <w:highlight w:val="yellow"/>
        </w:rPr>
        <w:t xml:space="preserve"> </w:t>
      </w:r>
      <w:r w:rsidR="00A40D41">
        <w:rPr>
          <w:rFonts w:ascii="Times New Roman" w:hAnsi="Times New Roman" w:cs="Times New Roman"/>
          <w:b/>
          <w:sz w:val="20"/>
          <w:szCs w:val="20"/>
          <w:highlight w:val="yellow"/>
        </w:rPr>
        <w:t>8</w:t>
      </w:r>
      <w:r w:rsidR="005C2559" w:rsidRPr="005C2559">
        <w:rPr>
          <w:rFonts w:ascii="Times New Roman" w:hAnsi="Times New Roman" w:cs="Times New Roman"/>
          <w:b/>
          <w:sz w:val="20"/>
          <w:szCs w:val="20"/>
          <w:highlight w:val="yellow"/>
        </w:rPr>
        <w:t>: Distribution of CRP, IL6 and FEV1</w:t>
      </w:r>
    </w:p>
    <w:p w:rsidR="005C2559" w:rsidRPr="008C19A3" w:rsidRDefault="005C2559" w:rsidP="008C19A3">
      <w:pPr>
        <w:spacing w:after="120" w:line="480" w:lineRule="auto"/>
        <w:rPr>
          <w:rFonts w:ascii="Times New Roman" w:hAnsi="Times New Roman" w:cs="Times New Roman"/>
          <w:b/>
          <w:sz w:val="20"/>
          <w:szCs w:val="20"/>
        </w:rPr>
      </w:pPr>
    </w:p>
    <w:p w:rsidR="00A624FD" w:rsidRPr="008C19A3" w:rsidRDefault="00A624FD" w:rsidP="008C19A3">
      <w:pPr>
        <w:spacing w:after="200" w:line="480" w:lineRule="auto"/>
        <w:rPr>
          <w:rFonts w:ascii="Times New Roman" w:hAnsi="Times New Roman" w:cs="Times New Roman"/>
          <w:b/>
          <w:szCs w:val="20"/>
        </w:rPr>
      </w:pPr>
      <w:r w:rsidRPr="008C19A3">
        <w:rPr>
          <w:rFonts w:ascii="Times New Roman" w:hAnsi="Times New Roman" w:cs="Times New Roman"/>
          <w:b/>
          <w:szCs w:val="20"/>
        </w:rPr>
        <w:br w:type="page"/>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lastRenderedPageBreak/>
        <w:t xml:space="preserve">Suppl. Fig 1: Effect size and P value of differentially expressed genes of cigarette smoking when function of smoking status vs. pack-years. </w:t>
      </w:r>
      <w:r w:rsidRPr="008C19A3">
        <w:rPr>
          <w:rFonts w:ascii="Times New Roman" w:hAnsi="Times New Roman" w:cs="Times New Roman"/>
          <w:sz w:val="20"/>
          <w:szCs w:val="20"/>
        </w:rPr>
        <w:t xml:space="preserve">Cor is Pearson correlation of T values or –log10 transformed P values of differentially expressed genes of smoking when function of smoking status vs. pack-years. </w:t>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A                                                                         B</w:t>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noProof/>
          <w:sz w:val="20"/>
          <w:szCs w:val="20"/>
          <w:lang w:eastAsia="zh-CN"/>
        </w:rPr>
        <w:drawing>
          <wp:inline distT="0" distB="0" distL="0" distR="0" wp14:anchorId="44C64BFB" wp14:editId="065DBA99">
            <wp:extent cx="2561492" cy="23843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val_status_vs_packyears.tiff"/>
                    <pic:cNvPicPr/>
                  </pic:nvPicPr>
                  <pic:blipFill rotWithShape="1">
                    <a:blip r:embed="rId9">
                      <a:extLst>
                        <a:ext uri="{28A0092B-C50C-407E-A947-70E740481C1C}">
                          <a14:useLocalDpi xmlns:a14="http://schemas.microsoft.com/office/drawing/2010/main" val="0"/>
                        </a:ext>
                      </a:extLst>
                    </a:blip>
                    <a:srcRect t="13040"/>
                    <a:stretch/>
                  </pic:blipFill>
                  <pic:spPr bwMode="auto">
                    <a:xfrm>
                      <a:off x="0" y="0"/>
                      <a:ext cx="2562726" cy="2385474"/>
                    </a:xfrm>
                    <a:prstGeom prst="rect">
                      <a:avLst/>
                    </a:prstGeom>
                    <a:ln>
                      <a:noFill/>
                    </a:ln>
                    <a:extLst>
                      <a:ext uri="{53640926-AAD7-44D8-BBD7-CCE9431645EC}">
                        <a14:shadowObscured xmlns:a14="http://schemas.microsoft.com/office/drawing/2010/main"/>
                      </a:ext>
                    </a:extLst>
                  </pic:spPr>
                </pic:pic>
              </a:graphicData>
            </a:graphic>
          </wp:inline>
        </w:drawing>
      </w:r>
      <w:r w:rsidRPr="008C19A3">
        <w:rPr>
          <w:rFonts w:ascii="Times New Roman" w:hAnsi="Times New Roman" w:cs="Times New Roman"/>
          <w:b/>
          <w:noProof/>
          <w:sz w:val="20"/>
          <w:szCs w:val="20"/>
          <w:lang w:eastAsia="zh-CN"/>
        </w:rPr>
        <w:drawing>
          <wp:inline distT="0" distB="0" distL="0" distR="0" wp14:anchorId="54CC2DF6" wp14:editId="380C20EB">
            <wp:extent cx="2561493" cy="2378464"/>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val_status_vs_packyears.tiff"/>
                    <pic:cNvPicPr/>
                  </pic:nvPicPr>
                  <pic:blipFill rotWithShape="1">
                    <a:blip r:embed="rId10">
                      <a:extLst>
                        <a:ext uri="{28A0092B-C50C-407E-A947-70E740481C1C}">
                          <a14:useLocalDpi xmlns:a14="http://schemas.microsoft.com/office/drawing/2010/main" val="0"/>
                        </a:ext>
                      </a:extLst>
                    </a:blip>
                    <a:srcRect t="13254"/>
                    <a:stretch/>
                  </pic:blipFill>
                  <pic:spPr bwMode="auto">
                    <a:xfrm>
                      <a:off x="0" y="0"/>
                      <a:ext cx="2562726" cy="2379609"/>
                    </a:xfrm>
                    <a:prstGeom prst="rect">
                      <a:avLst/>
                    </a:prstGeom>
                    <a:ln>
                      <a:noFill/>
                    </a:ln>
                    <a:extLst>
                      <a:ext uri="{53640926-AAD7-44D8-BBD7-CCE9431645EC}">
                        <a14:shadowObscured xmlns:a14="http://schemas.microsoft.com/office/drawing/2010/main"/>
                      </a:ext>
                    </a:extLst>
                  </pic:spPr>
                </pic:pic>
              </a:graphicData>
            </a:graphic>
          </wp:inline>
        </w:drawing>
      </w:r>
    </w:p>
    <w:p w:rsidR="00A624FD" w:rsidRPr="008C19A3" w:rsidRDefault="00A624FD" w:rsidP="008C19A3">
      <w:pPr>
        <w:spacing w:line="480" w:lineRule="auto"/>
        <w:rPr>
          <w:rFonts w:ascii="Times New Roman" w:hAnsi="Times New Roman" w:cs="Times New Roman"/>
          <w:b/>
          <w:sz w:val="20"/>
          <w:szCs w:val="20"/>
        </w:rPr>
      </w:pPr>
      <w:r w:rsidRPr="008C19A3">
        <w:rPr>
          <w:rFonts w:ascii="Times New Roman" w:hAnsi="Times New Roman" w:cs="Times New Roman"/>
          <w:b/>
          <w:sz w:val="20"/>
          <w:szCs w:val="20"/>
        </w:rPr>
        <w:br w:type="page"/>
      </w:r>
    </w:p>
    <w:p w:rsidR="00953C33" w:rsidRDefault="00953C33" w:rsidP="00953C33">
      <w:pPr>
        <w:spacing w:after="120" w:line="480" w:lineRule="auto"/>
        <w:rPr>
          <w:rFonts w:ascii="Times New Roman" w:hAnsi="Times New Roman" w:cs="Times New Roman"/>
          <w:sz w:val="20"/>
          <w:szCs w:val="20"/>
          <w:highlight w:val="yellow"/>
        </w:rPr>
      </w:pPr>
      <w:r w:rsidRPr="00953C33">
        <w:rPr>
          <w:rFonts w:ascii="Times New Roman" w:hAnsi="Times New Roman" w:cs="Times New Roman"/>
          <w:b/>
          <w:sz w:val="20"/>
          <w:szCs w:val="20"/>
          <w:highlight w:val="yellow"/>
        </w:rPr>
        <w:lastRenderedPageBreak/>
        <w:t xml:space="preserve">Suppl.  Fig 2: Plots T-values of genes differentially expressed for smoking with and without additional covariates adjustment. </w:t>
      </w:r>
      <w:r w:rsidRPr="00DF41E5">
        <w:rPr>
          <w:rFonts w:ascii="Times New Roman" w:hAnsi="Times New Roman" w:cs="Times New Roman"/>
          <w:sz w:val="20"/>
          <w:szCs w:val="20"/>
          <w:highlight w:val="yellow"/>
        </w:rPr>
        <w:t xml:space="preserve">A) </w:t>
      </w:r>
      <w:r>
        <w:rPr>
          <w:rFonts w:ascii="Times New Roman" w:hAnsi="Times New Roman" w:cs="Times New Roman"/>
          <w:sz w:val="20"/>
          <w:szCs w:val="20"/>
          <w:highlight w:val="yellow"/>
        </w:rPr>
        <w:t>Current vs. N</w:t>
      </w:r>
      <w:r w:rsidRPr="00DF41E5">
        <w:rPr>
          <w:rFonts w:ascii="Times New Roman" w:hAnsi="Times New Roman" w:cs="Times New Roman"/>
          <w:sz w:val="20"/>
          <w:szCs w:val="20"/>
          <w:highlight w:val="yellow"/>
        </w:rPr>
        <w:t xml:space="preserve">ever smokers; B) </w:t>
      </w:r>
      <w:r>
        <w:rPr>
          <w:rFonts w:ascii="Times New Roman" w:hAnsi="Times New Roman" w:cs="Times New Roman"/>
          <w:sz w:val="20"/>
          <w:szCs w:val="20"/>
          <w:highlight w:val="yellow"/>
        </w:rPr>
        <w:t>Former vs. N</w:t>
      </w:r>
      <w:r w:rsidRPr="00DF41E5">
        <w:rPr>
          <w:rFonts w:ascii="Times New Roman" w:hAnsi="Times New Roman" w:cs="Times New Roman"/>
          <w:sz w:val="20"/>
          <w:szCs w:val="20"/>
          <w:highlight w:val="yellow"/>
        </w:rPr>
        <w:t>ever smokers. Covariates for tests included BMI, alcohol consumption (grams per day), physical activity (</w:t>
      </w:r>
      <w:r w:rsidRPr="00DF41E5">
        <w:rPr>
          <w:rFonts w:ascii="Times New Roman" w:hAnsi="Times New Roman" w:cs="Times New Roman"/>
          <w:color w:val="FF0000"/>
          <w:sz w:val="20"/>
          <w:szCs w:val="20"/>
          <w:highlight w:val="yellow"/>
        </w:rPr>
        <w:t>xx</w:t>
      </w:r>
      <w:r w:rsidRPr="00DF41E5">
        <w:rPr>
          <w:rFonts w:ascii="Times New Roman" w:hAnsi="Times New Roman" w:cs="Times New Roman"/>
          <w:sz w:val="20"/>
          <w:szCs w:val="20"/>
          <w:highlight w:val="yellow"/>
        </w:rPr>
        <w:t>), FE</w:t>
      </w:r>
      <w:r>
        <w:rPr>
          <w:rFonts w:ascii="Times New Roman" w:hAnsi="Times New Roman" w:cs="Times New Roman"/>
          <w:sz w:val="20"/>
          <w:szCs w:val="20"/>
          <w:highlight w:val="yellow"/>
        </w:rPr>
        <w:t xml:space="preserve">V1 prediction and prevalent CHD. These </w:t>
      </w:r>
      <w:r w:rsidR="00A62417">
        <w:rPr>
          <w:rFonts w:ascii="Times New Roman" w:hAnsi="Times New Roman" w:cs="Times New Roman"/>
          <w:sz w:val="20"/>
          <w:szCs w:val="20"/>
          <w:highlight w:val="yellow"/>
        </w:rPr>
        <w:t>comparisons</w:t>
      </w:r>
      <w:r>
        <w:rPr>
          <w:rFonts w:ascii="Times New Roman" w:hAnsi="Times New Roman" w:cs="Times New Roman"/>
          <w:sz w:val="20"/>
          <w:szCs w:val="20"/>
          <w:highlight w:val="yellow"/>
        </w:rPr>
        <w:t xml:space="preserve"> were only tested in FHS cohorts.</w:t>
      </w:r>
    </w:p>
    <w:p w:rsidR="00953C33" w:rsidRDefault="00953C33">
      <w:pPr>
        <w:spacing w:after="200" w:line="276" w:lineRule="auto"/>
        <w:rPr>
          <w:rFonts w:ascii="Times New Roman" w:hAnsi="Times New Roman" w:cs="Times New Roman"/>
          <w:sz w:val="20"/>
        </w:rPr>
      </w:pPr>
      <w:r w:rsidRPr="00DF0FEF">
        <w:rPr>
          <w:rFonts w:ascii="Times New Roman" w:hAnsi="Times New Roman" w:cs="Times New Roman"/>
          <w:sz w:val="20"/>
        </w:rPr>
        <w:t xml:space="preserve">A  </w:t>
      </w:r>
    </w:p>
    <w:p w:rsidR="00953C33" w:rsidRDefault="00953C33">
      <w:pPr>
        <w:spacing w:after="200" w:line="276" w:lineRule="auto"/>
        <w:rPr>
          <w:rFonts w:ascii="Times New Roman" w:hAnsi="Times New Roman" w:cs="Times New Roman"/>
          <w:b/>
          <w:sz w:val="20"/>
          <w:szCs w:val="20"/>
        </w:rPr>
      </w:pPr>
      <w:r>
        <w:rPr>
          <w:rFonts w:ascii="Times New Roman" w:hAnsi="Times New Roman" w:cs="Times New Roman"/>
          <w:noProof/>
          <w:lang w:eastAsia="zh-CN"/>
        </w:rPr>
        <w:drawing>
          <wp:inline distT="0" distB="0" distL="0" distR="0" wp14:anchorId="7D8644C2" wp14:editId="2308BCDE">
            <wp:extent cx="4697186" cy="4509801"/>
            <wp:effectExtent l="0" t="0" r="825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00201" cy="4512696"/>
                    </a:xfrm>
                    <a:prstGeom prst="rect">
                      <a:avLst/>
                    </a:prstGeom>
                    <a:noFill/>
                    <a:ln>
                      <a:noFill/>
                    </a:ln>
                  </pic:spPr>
                </pic:pic>
              </a:graphicData>
            </a:graphic>
          </wp:inline>
        </w:drawing>
      </w:r>
    </w:p>
    <w:p w:rsidR="00953C33" w:rsidRDefault="00953C33">
      <w:pPr>
        <w:spacing w:after="200" w:line="276" w:lineRule="auto"/>
        <w:rPr>
          <w:rFonts w:ascii="Times New Roman" w:hAnsi="Times New Roman" w:cs="Times New Roman"/>
          <w:b/>
          <w:sz w:val="20"/>
          <w:szCs w:val="20"/>
        </w:rPr>
      </w:pPr>
      <w:r>
        <w:rPr>
          <w:rFonts w:ascii="Times New Roman" w:hAnsi="Times New Roman" w:cs="Times New Roman"/>
          <w:b/>
          <w:sz w:val="20"/>
          <w:szCs w:val="20"/>
        </w:rPr>
        <w:br w:type="page"/>
      </w:r>
    </w:p>
    <w:p w:rsidR="00953C33" w:rsidRDefault="00953C33">
      <w:pPr>
        <w:spacing w:after="200" w:line="276" w:lineRule="auto"/>
        <w:rPr>
          <w:rFonts w:ascii="Times New Roman" w:hAnsi="Times New Roman" w:cs="Times New Roman"/>
          <w:b/>
          <w:sz w:val="20"/>
          <w:szCs w:val="20"/>
        </w:rPr>
      </w:pPr>
      <w:r>
        <w:rPr>
          <w:rFonts w:ascii="Times New Roman" w:hAnsi="Times New Roman" w:cs="Times New Roman"/>
          <w:b/>
          <w:sz w:val="20"/>
          <w:szCs w:val="20"/>
        </w:rPr>
        <w:lastRenderedPageBreak/>
        <w:t>B</w:t>
      </w:r>
    </w:p>
    <w:p w:rsidR="00953C33" w:rsidRDefault="00953C33">
      <w:pPr>
        <w:spacing w:after="200" w:line="276" w:lineRule="auto"/>
        <w:rPr>
          <w:rFonts w:ascii="Times New Roman" w:hAnsi="Times New Roman" w:cs="Times New Roman"/>
          <w:b/>
          <w:sz w:val="20"/>
          <w:szCs w:val="20"/>
        </w:rPr>
      </w:pPr>
      <w:r>
        <w:rPr>
          <w:rFonts w:ascii="Times New Roman" w:hAnsi="Times New Roman" w:cs="Times New Roman"/>
          <w:noProof/>
          <w:lang w:eastAsia="zh-CN"/>
        </w:rPr>
        <w:drawing>
          <wp:inline distT="0" distB="0" distL="0" distR="0" wp14:anchorId="19EE0270" wp14:editId="5AE04F6A">
            <wp:extent cx="4827814" cy="4605997"/>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29797" cy="4607889"/>
                    </a:xfrm>
                    <a:prstGeom prst="rect">
                      <a:avLst/>
                    </a:prstGeom>
                    <a:noFill/>
                    <a:ln>
                      <a:noFill/>
                    </a:ln>
                  </pic:spPr>
                </pic:pic>
              </a:graphicData>
            </a:graphic>
          </wp:inline>
        </w:drawing>
      </w:r>
      <w:r>
        <w:rPr>
          <w:rFonts w:ascii="Times New Roman" w:hAnsi="Times New Roman" w:cs="Times New Roman"/>
          <w:b/>
          <w:sz w:val="20"/>
          <w:szCs w:val="20"/>
        </w:rPr>
        <w:br w:type="page"/>
      </w:r>
    </w:p>
    <w:p w:rsidR="00A624FD" w:rsidRPr="008C19A3" w:rsidRDefault="00A624FD" w:rsidP="008C19A3">
      <w:pPr>
        <w:spacing w:after="120" w:line="480" w:lineRule="auto"/>
        <w:rPr>
          <w:rFonts w:ascii="Times New Roman" w:hAnsi="Times New Roman" w:cs="Times New Roman"/>
          <w:sz w:val="20"/>
          <w:szCs w:val="20"/>
        </w:rPr>
      </w:pPr>
      <w:r w:rsidRPr="008C19A3">
        <w:rPr>
          <w:rFonts w:ascii="Times New Roman" w:hAnsi="Times New Roman" w:cs="Times New Roman"/>
          <w:b/>
          <w:sz w:val="20"/>
          <w:szCs w:val="20"/>
        </w:rPr>
        <w:lastRenderedPageBreak/>
        <w:t xml:space="preserve">Suppl. Fig </w:t>
      </w:r>
      <w:r w:rsidR="00273991">
        <w:rPr>
          <w:rFonts w:ascii="Times New Roman" w:hAnsi="Times New Roman" w:cs="Times New Roman"/>
          <w:b/>
          <w:sz w:val="20"/>
          <w:szCs w:val="20"/>
        </w:rPr>
        <w:t>3</w:t>
      </w:r>
      <w:r w:rsidRPr="008C19A3">
        <w:rPr>
          <w:rFonts w:ascii="Times New Roman" w:hAnsi="Times New Roman" w:cs="Times New Roman"/>
          <w:b/>
          <w:sz w:val="20"/>
          <w:szCs w:val="20"/>
        </w:rPr>
        <w:t xml:space="preserve">: Effect size of differentially expressed genes of cigarette smoking in Illumina cohorts and FHS cohorts. </w:t>
      </w:r>
      <w:r w:rsidRPr="008C19A3">
        <w:rPr>
          <w:rFonts w:ascii="Times New Roman" w:hAnsi="Times New Roman" w:cs="Times New Roman"/>
          <w:sz w:val="20"/>
          <w:szCs w:val="20"/>
        </w:rPr>
        <w:t>This figure only plots differentially expressed genes for current vs. never smokers at FDR&lt;0.1 in Illumina cohorts (the discovery set).</w:t>
      </w:r>
    </w:p>
    <w:p w:rsidR="00A624FD" w:rsidRPr="008C19A3" w:rsidRDefault="00007C1C" w:rsidP="008C19A3">
      <w:pPr>
        <w:spacing w:after="120" w:line="480" w:lineRule="auto"/>
        <w:rPr>
          <w:rFonts w:ascii="Times New Roman" w:hAnsi="Times New Roman" w:cs="Times New Roman"/>
          <w:b/>
          <w:sz w:val="20"/>
          <w:szCs w:val="20"/>
        </w:rPr>
      </w:pPr>
      <w:r w:rsidRPr="008C19A3">
        <w:rPr>
          <w:rFonts w:ascii="Times New Roman" w:hAnsi="Times New Roman" w:cs="Times New Roman"/>
          <w:b/>
          <w:noProof/>
          <w:sz w:val="20"/>
          <w:szCs w:val="20"/>
          <w:lang w:eastAsia="zh-CN"/>
        </w:rPr>
        <w:drawing>
          <wp:inline distT="0" distB="0" distL="0" distR="0" wp14:anchorId="44579616" wp14:editId="6F25A51A">
            <wp:extent cx="27432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val_smoke_FHS_vs_illumia_FDR10_1.tiff"/>
                    <pic:cNvPicPr/>
                  </pic:nvPicPr>
                  <pic:blipFill>
                    <a:blip r:embed="rId13">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rsidR="00A624FD" w:rsidRPr="008C19A3" w:rsidRDefault="00A624FD" w:rsidP="008C19A3">
      <w:pPr>
        <w:spacing w:line="480" w:lineRule="auto"/>
        <w:rPr>
          <w:rFonts w:ascii="Times New Roman" w:hAnsi="Times New Roman" w:cs="Times New Roman"/>
          <w:b/>
          <w:sz w:val="20"/>
          <w:szCs w:val="20"/>
        </w:rPr>
      </w:pPr>
      <w:r w:rsidRPr="008C19A3">
        <w:rPr>
          <w:rFonts w:ascii="Times New Roman" w:hAnsi="Times New Roman" w:cs="Times New Roman"/>
          <w:b/>
          <w:sz w:val="20"/>
          <w:szCs w:val="20"/>
        </w:rPr>
        <w:br w:type="page"/>
      </w:r>
    </w:p>
    <w:p w:rsidR="00A40D41" w:rsidRPr="00A40D41" w:rsidRDefault="00A40D41" w:rsidP="00A40D41">
      <w:pPr>
        <w:spacing w:after="120" w:line="480" w:lineRule="auto"/>
        <w:rPr>
          <w:rFonts w:ascii="Times New Roman" w:hAnsi="Times New Roman" w:cs="Times New Roman"/>
          <w:b/>
          <w:sz w:val="20"/>
          <w:szCs w:val="20"/>
          <w:highlight w:val="yellow"/>
        </w:rPr>
      </w:pPr>
      <w:r w:rsidRPr="00953C33">
        <w:rPr>
          <w:rFonts w:ascii="Times New Roman" w:hAnsi="Times New Roman" w:cs="Times New Roman"/>
          <w:b/>
          <w:sz w:val="20"/>
          <w:szCs w:val="20"/>
          <w:highlight w:val="yellow"/>
        </w:rPr>
        <w:lastRenderedPageBreak/>
        <w:t xml:space="preserve">Suppl.  Fig </w:t>
      </w:r>
      <w:r>
        <w:rPr>
          <w:rFonts w:ascii="Times New Roman" w:hAnsi="Times New Roman" w:cs="Times New Roman"/>
          <w:b/>
          <w:sz w:val="20"/>
          <w:szCs w:val="20"/>
          <w:highlight w:val="yellow"/>
        </w:rPr>
        <w:t>4</w:t>
      </w:r>
      <w:r w:rsidRPr="00A40D41">
        <w:rPr>
          <w:rFonts w:ascii="Times New Roman" w:hAnsi="Times New Roman" w:cs="Times New Roman"/>
          <w:b/>
          <w:sz w:val="20"/>
          <w:szCs w:val="20"/>
          <w:highlight w:val="yellow"/>
        </w:rPr>
        <w:t>: Plot Z-values of gene expression signatures in analysis contrasting current vs. never smoker</w:t>
      </w:r>
      <w:r>
        <w:rPr>
          <w:rFonts w:ascii="Times New Roman" w:hAnsi="Times New Roman" w:cs="Times New Roman"/>
          <w:b/>
          <w:sz w:val="20"/>
          <w:szCs w:val="20"/>
          <w:highlight w:val="yellow"/>
        </w:rPr>
        <w:t>s, and former vs. never smokers</w:t>
      </w:r>
    </w:p>
    <w:p w:rsidR="00A40D41" w:rsidRDefault="00A40D41">
      <w:pPr>
        <w:spacing w:after="200" w:line="276" w:lineRule="auto"/>
        <w:rPr>
          <w:rFonts w:ascii="Times New Roman" w:hAnsi="Times New Roman" w:cs="Times New Roman"/>
          <w:b/>
          <w:sz w:val="20"/>
          <w:szCs w:val="20"/>
        </w:rPr>
      </w:pPr>
      <w:r>
        <w:rPr>
          <w:rFonts w:ascii="Times New Roman" w:eastAsia="Times New Roman" w:hAnsi="Times New Roman" w:cs="Times New Roman"/>
          <w:i/>
          <w:noProof/>
          <w:color w:val="000000"/>
          <w:sz w:val="20"/>
          <w:szCs w:val="17"/>
          <w:lang w:eastAsia="zh-CN"/>
        </w:rPr>
        <w:drawing>
          <wp:inline distT="0" distB="0" distL="0" distR="0" wp14:anchorId="07D56306" wp14:editId="20449408">
            <wp:extent cx="5089071" cy="463638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96447" cy="4643106"/>
                    </a:xfrm>
                    <a:prstGeom prst="rect">
                      <a:avLst/>
                    </a:prstGeom>
                    <a:noFill/>
                    <a:ln>
                      <a:noFill/>
                    </a:ln>
                  </pic:spPr>
                </pic:pic>
              </a:graphicData>
            </a:graphic>
          </wp:inline>
        </w:drawing>
      </w:r>
      <w:r>
        <w:rPr>
          <w:rFonts w:ascii="Times New Roman" w:hAnsi="Times New Roman" w:cs="Times New Roman"/>
          <w:b/>
          <w:sz w:val="20"/>
          <w:szCs w:val="20"/>
        </w:rPr>
        <w:br w:type="page"/>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lastRenderedPageBreak/>
        <w:t xml:space="preserve">Suppl. Fig </w:t>
      </w:r>
      <w:r w:rsidR="00A40D41">
        <w:rPr>
          <w:rFonts w:ascii="Times New Roman" w:hAnsi="Times New Roman" w:cs="Times New Roman"/>
          <w:b/>
          <w:sz w:val="20"/>
          <w:szCs w:val="20"/>
        </w:rPr>
        <w:t>5</w:t>
      </w:r>
      <w:r w:rsidRPr="008C19A3">
        <w:rPr>
          <w:rFonts w:ascii="Times New Roman" w:hAnsi="Times New Roman" w:cs="Times New Roman"/>
          <w:b/>
          <w:sz w:val="20"/>
          <w:szCs w:val="20"/>
        </w:rPr>
        <w:t xml:space="preserve">: Dynamic tree-cut plots the coexperssion network modules structure of smoking gene signatures. </w:t>
      </w:r>
      <w:r w:rsidRPr="008C19A3">
        <w:rPr>
          <w:rFonts w:ascii="Times New Roman" w:hAnsi="Times New Roman" w:cs="Times New Roman"/>
          <w:sz w:val="20"/>
          <w:szCs w:val="20"/>
        </w:rPr>
        <w:t>The gene clustering tree (dendrogram) was obtained from an average linkage hierarchical clustering of adjacency-based dissimilarity metric. The dynamic tree-cut algorithm was then used to choose the cut-off for module identification. The modules are highlighted as color blocks. The height of the tree (dendrogram) indicates the dissimilarity score among genes</w:t>
      </w:r>
      <w:r w:rsidRPr="008C19A3">
        <w:rPr>
          <w:rFonts w:ascii="Times New Roman" w:hAnsi="Times New Roman" w:cs="Times New Roman"/>
          <w:b/>
          <w:sz w:val="20"/>
          <w:szCs w:val="20"/>
        </w:rPr>
        <w:t>.</w:t>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noProof/>
          <w:sz w:val="20"/>
          <w:szCs w:val="20"/>
          <w:lang w:eastAsia="zh-CN"/>
        </w:rPr>
        <w:drawing>
          <wp:inline distT="0" distB="0" distL="0" distR="0" wp14:anchorId="123BD1DB" wp14:editId="1BEE7855">
            <wp:extent cx="4579666" cy="2743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d_geneExp_adjTechCell_adjAgeSexCohort_run7_topSig_imgHierModLabeled.png"/>
                    <pic:cNvPicPr/>
                  </pic:nvPicPr>
                  <pic:blipFill rotWithShape="1">
                    <a:blip r:embed="rId15">
                      <a:extLst>
                        <a:ext uri="{28A0092B-C50C-407E-A947-70E740481C1C}">
                          <a14:useLocalDpi xmlns:a14="http://schemas.microsoft.com/office/drawing/2010/main" val="0"/>
                        </a:ext>
                      </a:extLst>
                    </a:blip>
                    <a:srcRect l="2170" r="1"/>
                    <a:stretch/>
                  </pic:blipFill>
                  <pic:spPr bwMode="auto">
                    <a:xfrm>
                      <a:off x="0" y="0"/>
                      <a:ext cx="4579666" cy="2743200"/>
                    </a:xfrm>
                    <a:prstGeom prst="rect">
                      <a:avLst/>
                    </a:prstGeom>
                    <a:ln>
                      <a:noFill/>
                    </a:ln>
                    <a:extLst>
                      <a:ext uri="{53640926-AAD7-44D8-BBD7-CCE9431645EC}">
                        <a14:shadowObscured xmlns:a14="http://schemas.microsoft.com/office/drawing/2010/main"/>
                      </a:ext>
                    </a:extLst>
                  </pic:spPr>
                </pic:pic>
              </a:graphicData>
            </a:graphic>
          </wp:inline>
        </w:drawing>
      </w:r>
    </w:p>
    <w:p w:rsidR="00A624FD" w:rsidRPr="008C19A3" w:rsidRDefault="00A624FD" w:rsidP="008C19A3">
      <w:pPr>
        <w:spacing w:after="120" w:line="480" w:lineRule="auto"/>
        <w:rPr>
          <w:rFonts w:ascii="Times New Roman" w:hAnsi="Times New Roman" w:cs="Times New Roman"/>
          <w:b/>
          <w:bCs/>
          <w:sz w:val="20"/>
          <w:szCs w:val="20"/>
        </w:rPr>
      </w:pPr>
    </w:p>
    <w:p w:rsidR="00A624FD" w:rsidRPr="008C19A3" w:rsidRDefault="00A624FD" w:rsidP="008C19A3">
      <w:pPr>
        <w:spacing w:after="120" w:line="480" w:lineRule="auto"/>
        <w:rPr>
          <w:rFonts w:ascii="Times New Roman" w:hAnsi="Times New Roman" w:cs="Times New Roman"/>
          <w:b/>
          <w:sz w:val="20"/>
          <w:szCs w:val="20"/>
        </w:rPr>
      </w:pPr>
    </w:p>
    <w:p w:rsidR="00A624FD" w:rsidRPr="008C19A3" w:rsidRDefault="00A624FD" w:rsidP="008C19A3">
      <w:pPr>
        <w:spacing w:line="480" w:lineRule="auto"/>
        <w:rPr>
          <w:rFonts w:ascii="Times New Roman" w:hAnsi="Times New Roman" w:cs="Times New Roman"/>
          <w:b/>
          <w:sz w:val="20"/>
          <w:szCs w:val="20"/>
        </w:rPr>
      </w:pPr>
      <w:r w:rsidRPr="008C19A3">
        <w:rPr>
          <w:rFonts w:ascii="Times New Roman" w:hAnsi="Times New Roman" w:cs="Times New Roman"/>
          <w:b/>
          <w:sz w:val="20"/>
          <w:szCs w:val="20"/>
        </w:rPr>
        <w:br w:type="page"/>
      </w:r>
    </w:p>
    <w:p w:rsidR="00E73A9B" w:rsidRDefault="00E73A9B">
      <w:pPr>
        <w:spacing w:after="200" w:line="276" w:lineRule="auto"/>
        <w:rPr>
          <w:rFonts w:ascii="Times New Roman" w:hAnsi="Times New Roman" w:cs="Times New Roman"/>
          <w:b/>
          <w:sz w:val="28"/>
          <w:szCs w:val="28"/>
        </w:rPr>
      </w:pPr>
      <w:r>
        <w:rPr>
          <w:rFonts w:ascii="Times New Roman" w:hAnsi="Times New Roman" w:cs="Times New Roman"/>
          <w:b/>
          <w:sz w:val="20"/>
          <w:szCs w:val="20"/>
          <w:highlight w:val="yellow"/>
        </w:rPr>
        <w:lastRenderedPageBreak/>
        <w:t>Suppl. Fig</w:t>
      </w:r>
      <w:r w:rsidRPr="005C2559">
        <w:rPr>
          <w:rFonts w:ascii="Times New Roman" w:hAnsi="Times New Roman" w:cs="Times New Roman"/>
          <w:b/>
          <w:sz w:val="20"/>
          <w:szCs w:val="20"/>
          <w:highlight w:val="yellow"/>
        </w:rPr>
        <w:t xml:space="preserve"> </w:t>
      </w:r>
      <w:r w:rsidR="00A40D41">
        <w:rPr>
          <w:rFonts w:ascii="Times New Roman" w:hAnsi="Times New Roman" w:cs="Times New Roman"/>
          <w:b/>
          <w:sz w:val="20"/>
          <w:szCs w:val="20"/>
          <w:highlight w:val="yellow"/>
        </w:rPr>
        <w:t>6</w:t>
      </w:r>
      <w:r w:rsidRPr="005C2559">
        <w:rPr>
          <w:rFonts w:ascii="Times New Roman" w:hAnsi="Times New Roman" w:cs="Times New Roman"/>
          <w:b/>
          <w:sz w:val="20"/>
          <w:szCs w:val="20"/>
          <w:highlight w:val="yellow"/>
        </w:rPr>
        <w:t>: The overall analysis flowchart</w:t>
      </w:r>
      <w:r>
        <w:rPr>
          <w:rFonts w:ascii="Times New Roman" w:hAnsi="Times New Roman" w:cs="Times New Roman"/>
          <w:b/>
          <w:sz w:val="28"/>
          <w:szCs w:val="28"/>
        </w:rPr>
        <w:t xml:space="preserve"> </w:t>
      </w:r>
    </w:p>
    <w:p w:rsidR="00E73A9B" w:rsidRDefault="00E73A9B">
      <w:pPr>
        <w:spacing w:after="200" w:line="276" w:lineRule="auto"/>
        <w:rPr>
          <w:rFonts w:ascii="Times New Roman" w:hAnsi="Times New Roman" w:cs="Times New Roman"/>
          <w:b/>
          <w:sz w:val="28"/>
          <w:szCs w:val="28"/>
        </w:rPr>
      </w:pPr>
      <w:r>
        <w:rPr>
          <w:rFonts w:ascii="Times New Roman" w:hAnsi="Times New Roman" w:cs="Times New Roman"/>
          <w:noProof/>
          <w:lang w:eastAsia="zh-CN"/>
        </w:rPr>
        <w:drawing>
          <wp:inline distT="0" distB="0" distL="0" distR="0" wp14:anchorId="33E155A9" wp14:editId="66A004F1">
            <wp:extent cx="5828108" cy="3510643"/>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39497" cy="3517503"/>
                    </a:xfrm>
                    <a:prstGeom prst="rect">
                      <a:avLst/>
                    </a:prstGeom>
                    <a:noFill/>
                    <a:ln>
                      <a:noFill/>
                    </a:ln>
                  </pic:spPr>
                </pic:pic>
              </a:graphicData>
            </a:graphic>
          </wp:inline>
        </w:drawing>
      </w:r>
      <w:r>
        <w:rPr>
          <w:rFonts w:ascii="Times New Roman" w:hAnsi="Times New Roman" w:cs="Times New Roman"/>
          <w:b/>
          <w:sz w:val="28"/>
          <w:szCs w:val="28"/>
        </w:rPr>
        <w:br w:type="page"/>
      </w:r>
    </w:p>
    <w:p w:rsidR="00E81E51" w:rsidRPr="00DF41E5" w:rsidRDefault="00E81E51" w:rsidP="00E81E51">
      <w:pPr>
        <w:spacing w:after="120" w:line="480" w:lineRule="auto"/>
        <w:rPr>
          <w:rFonts w:ascii="Times New Roman" w:hAnsi="Times New Roman" w:cs="Times New Roman"/>
          <w:b/>
          <w:sz w:val="20"/>
          <w:szCs w:val="20"/>
          <w:highlight w:val="yellow"/>
        </w:rPr>
      </w:pPr>
      <w:r>
        <w:rPr>
          <w:rFonts w:ascii="Times New Roman" w:hAnsi="Times New Roman" w:cs="Times New Roman"/>
          <w:b/>
          <w:sz w:val="20"/>
          <w:szCs w:val="20"/>
          <w:highlight w:val="yellow"/>
        </w:rPr>
        <w:lastRenderedPageBreak/>
        <w:t>Suppl. Fig</w:t>
      </w:r>
      <w:r w:rsidRPr="005C2559">
        <w:rPr>
          <w:rFonts w:ascii="Times New Roman" w:hAnsi="Times New Roman" w:cs="Times New Roman"/>
          <w:b/>
          <w:sz w:val="20"/>
          <w:szCs w:val="20"/>
          <w:highlight w:val="yellow"/>
        </w:rPr>
        <w:t xml:space="preserve"> </w:t>
      </w:r>
      <w:r w:rsidR="00A40D41">
        <w:rPr>
          <w:rFonts w:ascii="Times New Roman" w:hAnsi="Times New Roman" w:cs="Times New Roman"/>
          <w:b/>
          <w:sz w:val="20"/>
          <w:szCs w:val="20"/>
          <w:highlight w:val="yellow"/>
        </w:rPr>
        <w:t>7</w:t>
      </w:r>
      <w:r w:rsidRPr="00457B57">
        <w:rPr>
          <w:rFonts w:ascii="Times New Roman" w:hAnsi="Times New Roman" w:cs="Times New Roman"/>
          <w:b/>
          <w:sz w:val="20"/>
          <w:szCs w:val="20"/>
          <w:highlight w:val="yellow"/>
        </w:rPr>
        <w:t xml:space="preserve">: Correlations of gene coexpression network modules with blood cell types. </w:t>
      </w:r>
      <w:r w:rsidR="00A34A5B" w:rsidRPr="00A34A5B">
        <w:rPr>
          <w:rFonts w:ascii="Times New Roman" w:eastAsia="Times New Roman" w:hAnsi="Times New Roman" w:cs="Times New Roman"/>
          <w:color w:val="000000"/>
          <w:sz w:val="20"/>
          <w:szCs w:val="17"/>
          <w:highlight w:val="yellow"/>
        </w:rPr>
        <w:t>The coexpression network modules were constructed in the FHS.</w:t>
      </w:r>
      <w:r w:rsidR="00A34A5B" w:rsidRPr="00A34A5B">
        <w:rPr>
          <w:rFonts w:ascii="Times New Roman" w:eastAsia="Times New Roman" w:hAnsi="Times New Roman" w:cs="Times New Roman"/>
          <w:b/>
          <w:color w:val="000000"/>
          <w:sz w:val="20"/>
          <w:szCs w:val="17"/>
          <w:highlight w:val="yellow"/>
        </w:rPr>
        <w:t xml:space="preserve"> </w:t>
      </w:r>
      <w:r w:rsidR="00A34A5B" w:rsidRPr="00A34A5B">
        <w:rPr>
          <w:rFonts w:ascii="Times New Roman" w:eastAsia="Times New Roman" w:hAnsi="Times New Roman" w:cs="Times New Roman"/>
          <w:color w:val="000000"/>
          <w:sz w:val="20"/>
          <w:szCs w:val="17"/>
          <w:highlight w:val="yellow"/>
        </w:rPr>
        <w:t>Each row is a coexpression network module and each column is a blood cell type. The pair of numbers in each row-cross-column show the Pearson correlation r (above) and the P-value (below) of the first principal component (PC1) of each module with cell type proportions. Because the gene expression data were at first adjusted for technical covariates and blood cell type proportions, and residuals were retained for coexpression network module construction, there is no correlation between PC1 and cell types.</w:t>
      </w:r>
    </w:p>
    <w:p w:rsidR="00E81E51" w:rsidRDefault="00E81E51">
      <w:pPr>
        <w:spacing w:after="200" w:line="276" w:lineRule="auto"/>
        <w:rPr>
          <w:rFonts w:ascii="Times New Roman" w:hAnsi="Times New Roman" w:cs="Times New Roman"/>
          <w:b/>
          <w:sz w:val="28"/>
          <w:szCs w:val="28"/>
        </w:rPr>
      </w:pPr>
      <w:r>
        <w:rPr>
          <w:rFonts w:ascii="Times New Roman" w:eastAsia="Times New Roman" w:hAnsi="Times New Roman" w:cs="Times New Roman"/>
          <w:b/>
          <w:noProof/>
          <w:color w:val="000000"/>
          <w:szCs w:val="17"/>
          <w:lang w:eastAsia="zh-CN"/>
        </w:rPr>
        <w:drawing>
          <wp:inline distT="0" distB="0" distL="0" distR="0" wp14:anchorId="4BD416EF" wp14:editId="22809F86">
            <wp:extent cx="5093270" cy="40059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3270" cy="4005943"/>
                    </a:xfrm>
                    <a:prstGeom prst="rect">
                      <a:avLst/>
                    </a:prstGeom>
                    <a:noFill/>
                    <a:ln>
                      <a:noFill/>
                    </a:ln>
                  </pic:spPr>
                </pic:pic>
              </a:graphicData>
            </a:graphic>
          </wp:inline>
        </w:drawing>
      </w:r>
      <w:r>
        <w:rPr>
          <w:rFonts w:ascii="Times New Roman" w:hAnsi="Times New Roman" w:cs="Times New Roman"/>
          <w:b/>
          <w:sz w:val="28"/>
          <w:szCs w:val="28"/>
        </w:rPr>
        <w:br w:type="page"/>
      </w:r>
    </w:p>
    <w:p w:rsidR="00E81E51" w:rsidRDefault="00E81E51" w:rsidP="00E81E51">
      <w:pPr>
        <w:spacing w:after="120" w:line="480" w:lineRule="auto"/>
        <w:rPr>
          <w:rFonts w:ascii="Times New Roman" w:hAnsi="Times New Roman" w:cs="Times New Roman"/>
          <w:b/>
          <w:sz w:val="20"/>
          <w:szCs w:val="20"/>
        </w:rPr>
      </w:pPr>
      <w:r>
        <w:rPr>
          <w:rFonts w:ascii="Times New Roman" w:hAnsi="Times New Roman" w:cs="Times New Roman"/>
          <w:b/>
          <w:sz w:val="20"/>
          <w:szCs w:val="20"/>
          <w:highlight w:val="yellow"/>
        </w:rPr>
        <w:lastRenderedPageBreak/>
        <w:t>Suppl. Fig</w:t>
      </w:r>
      <w:r w:rsidRPr="005C2559">
        <w:rPr>
          <w:rFonts w:ascii="Times New Roman" w:hAnsi="Times New Roman" w:cs="Times New Roman"/>
          <w:b/>
          <w:sz w:val="20"/>
          <w:szCs w:val="20"/>
          <w:highlight w:val="yellow"/>
        </w:rPr>
        <w:t xml:space="preserve"> </w:t>
      </w:r>
      <w:r w:rsidR="00A40D41">
        <w:rPr>
          <w:rFonts w:ascii="Times New Roman" w:hAnsi="Times New Roman" w:cs="Times New Roman"/>
          <w:b/>
          <w:sz w:val="20"/>
          <w:szCs w:val="20"/>
          <w:highlight w:val="yellow"/>
        </w:rPr>
        <w:t>8</w:t>
      </w:r>
      <w:r w:rsidRPr="005C2559">
        <w:rPr>
          <w:rFonts w:ascii="Times New Roman" w:hAnsi="Times New Roman" w:cs="Times New Roman"/>
          <w:b/>
          <w:sz w:val="20"/>
          <w:szCs w:val="20"/>
          <w:highlight w:val="yellow"/>
        </w:rPr>
        <w:t>: Distribution of CRP, IL6 and FEV1</w:t>
      </w:r>
    </w:p>
    <w:p w:rsidR="00E81E51" w:rsidRDefault="00E81E51">
      <w:pPr>
        <w:spacing w:after="200" w:line="276" w:lineRule="auto"/>
        <w:rPr>
          <w:rFonts w:ascii="Times New Roman" w:hAnsi="Times New Roman" w:cs="Times New Roman"/>
          <w:b/>
          <w:sz w:val="28"/>
          <w:szCs w:val="28"/>
        </w:rPr>
      </w:pPr>
      <w:r>
        <w:rPr>
          <w:rFonts w:ascii="Times New Roman" w:hAnsi="Times New Roman" w:cs="Times New Roman"/>
          <w:noProof/>
          <w:color w:val="000000"/>
          <w:szCs w:val="17"/>
          <w:lang w:eastAsia="zh-CN"/>
        </w:rPr>
        <w:drawing>
          <wp:inline distT="0" distB="0" distL="0" distR="0" wp14:anchorId="4F651435" wp14:editId="73C5050D">
            <wp:extent cx="5693419" cy="2013857"/>
            <wp:effectExtent l="0" t="0" r="254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93419" cy="2013857"/>
                    </a:xfrm>
                    <a:prstGeom prst="rect">
                      <a:avLst/>
                    </a:prstGeom>
                    <a:noFill/>
                    <a:ln>
                      <a:noFill/>
                    </a:ln>
                  </pic:spPr>
                </pic:pic>
              </a:graphicData>
            </a:graphic>
          </wp:inline>
        </w:drawing>
      </w:r>
      <w:r>
        <w:rPr>
          <w:rFonts w:ascii="Times New Roman" w:hAnsi="Times New Roman" w:cs="Times New Roman"/>
          <w:b/>
          <w:sz w:val="28"/>
          <w:szCs w:val="28"/>
        </w:rPr>
        <w:br w:type="page"/>
      </w:r>
    </w:p>
    <w:p w:rsidR="00A624FD" w:rsidRPr="008C19A3" w:rsidRDefault="00A624FD" w:rsidP="008C19A3">
      <w:pPr>
        <w:spacing w:after="240" w:line="480" w:lineRule="auto"/>
        <w:rPr>
          <w:rFonts w:ascii="Times New Roman" w:hAnsi="Times New Roman" w:cs="Times New Roman"/>
          <w:b/>
          <w:sz w:val="28"/>
          <w:szCs w:val="28"/>
        </w:rPr>
      </w:pPr>
      <w:r w:rsidRPr="008C19A3">
        <w:rPr>
          <w:rFonts w:ascii="Times New Roman" w:hAnsi="Times New Roman" w:cs="Times New Roman"/>
          <w:b/>
          <w:sz w:val="28"/>
          <w:szCs w:val="28"/>
        </w:rPr>
        <w:lastRenderedPageBreak/>
        <w:t>Supplementary Tables</w:t>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Suppl. Tab 1: Clinical Characteristics of study participants in each of the six cohorts</w:t>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Suppl. Tab 2: Differentially expressed genes for current vs. never smokers at FDR&lt;0.1</w:t>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Suppl. Tab 3: Smoking gene signatures overlapped with lung tissue results</w:t>
      </w:r>
    </w:p>
    <w:p w:rsidR="00A624FD"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Suppl. Tab 4: Smoking gene signatures overlapped with DNA methylation results</w:t>
      </w:r>
    </w:p>
    <w:p w:rsidR="00BF70D9" w:rsidRPr="008C19A3" w:rsidRDefault="00BF70D9" w:rsidP="008C19A3">
      <w:pPr>
        <w:spacing w:after="120" w:line="480" w:lineRule="auto"/>
        <w:rPr>
          <w:rFonts w:ascii="Times New Roman" w:hAnsi="Times New Roman" w:cs="Times New Roman"/>
          <w:b/>
          <w:sz w:val="20"/>
          <w:szCs w:val="20"/>
        </w:rPr>
      </w:pPr>
      <w:r w:rsidRPr="00BF70D9">
        <w:rPr>
          <w:rFonts w:ascii="Times New Roman" w:hAnsi="Times New Roman" w:cs="Times New Roman"/>
          <w:b/>
          <w:sz w:val="20"/>
          <w:szCs w:val="20"/>
          <w:highlight w:val="yellow"/>
        </w:rPr>
        <w:t xml:space="preserve">Suppl. Tab 5: Previously reported smoking-induced CpGs having adjacent genes showing differential expression at nominal </w:t>
      </w:r>
      <w:r w:rsidRPr="00BF70D9">
        <w:rPr>
          <w:rFonts w:ascii="Times New Roman" w:hAnsi="Times New Roman" w:cs="Times New Roman"/>
          <w:b/>
          <w:i/>
          <w:sz w:val="20"/>
          <w:szCs w:val="20"/>
          <w:highlight w:val="yellow"/>
        </w:rPr>
        <w:t>P</w:t>
      </w:r>
      <w:r w:rsidRPr="00BF70D9">
        <w:rPr>
          <w:rFonts w:ascii="Times New Roman" w:hAnsi="Times New Roman" w:cs="Times New Roman"/>
          <w:b/>
          <w:sz w:val="20"/>
          <w:szCs w:val="20"/>
          <w:highlight w:val="yellow"/>
        </w:rPr>
        <w:t>&lt;0.05</w:t>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 xml:space="preserve">Suppl. Tab </w:t>
      </w:r>
      <w:r w:rsidR="00BF70D9">
        <w:rPr>
          <w:rFonts w:ascii="Times New Roman" w:hAnsi="Times New Roman" w:cs="Times New Roman"/>
          <w:b/>
          <w:sz w:val="20"/>
          <w:szCs w:val="20"/>
        </w:rPr>
        <w:t>6</w:t>
      </w:r>
      <w:r w:rsidRPr="008C19A3">
        <w:rPr>
          <w:rFonts w:ascii="Times New Roman" w:hAnsi="Times New Roman" w:cs="Times New Roman"/>
          <w:b/>
          <w:sz w:val="20"/>
          <w:szCs w:val="20"/>
        </w:rPr>
        <w:t>: Differentially expressed genes for former vs. never smokers at FDR&lt;0.1</w:t>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 xml:space="preserve">Suppl. Tab </w:t>
      </w:r>
      <w:r w:rsidR="00BF70D9">
        <w:rPr>
          <w:rFonts w:ascii="Times New Roman" w:hAnsi="Times New Roman" w:cs="Times New Roman"/>
          <w:b/>
          <w:sz w:val="20"/>
          <w:szCs w:val="20"/>
        </w:rPr>
        <w:t>7</w:t>
      </w:r>
      <w:r w:rsidRPr="008C19A3">
        <w:rPr>
          <w:rFonts w:ascii="Times New Roman" w:hAnsi="Times New Roman" w:cs="Times New Roman"/>
          <w:b/>
          <w:sz w:val="20"/>
          <w:szCs w:val="20"/>
        </w:rPr>
        <w:t xml:space="preserve">: Linking smoking gene signatures and clinical traits via </w:t>
      </w:r>
      <w:r w:rsidRPr="008C19A3">
        <w:rPr>
          <w:rFonts w:ascii="Times New Roman" w:hAnsi="Times New Roman" w:cs="Times New Roman"/>
          <w:b/>
          <w:i/>
          <w:sz w:val="20"/>
          <w:szCs w:val="20"/>
        </w:rPr>
        <w:t>cis-/trans-</w:t>
      </w:r>
      <w:r w:rsidRPr="008C19A3">
        <w:rPr>
          <w:rFonts w:ascii="Times New Roman" w:hAnsi="Times New Roman" w:cs="Times New Roman"/>
          <w:b/>
          <w:sz w:val="20"/>
          <w:szCs w:val="20"/>
        </w:rPr>
        <w:t xml:space="preserve"> eSNPs</w:t>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 xml:space="preserve">Suppl. Tab </w:t>
      </w:r>
      <w:r w:rsidR="00BF70D9">
        <w:rPr>
          <w:rFonts w:ascii="Times New Roman" w:hAnsi="Times New Roman" w:cs="Times New Roman"/>
          <w:b/>
          <w:sz w:val="20"/>
          <w:szCs w:val="20"/>
        </w:rPr>
        <w:t>8</w:t>
      </w:r>
      <w:r w:rsidRPr="008C19A3">
        <w:rPr>
          <w:rFonts w:ascii="Times New Roman" w:hAnsi="Times New Roman" w:cs="Times New Roman"/>
          <w:b/>
          <w:sz w:val="20"/>
          <w:szCs w:val="20"/>
        </w:rPr>
        <w:t>: The associations of smoking with pulmonary function, CRP and IL6</w:t>
      </w:r>
    </w:p>
    <w:p w:rsidR="00A624FD" w:rsidRPr="008C19A3"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 xml:space="preserve">Suppl. Tab </w:t>
      </w:r>
      <w:r w:rsidR="00BF70D9">
        <w:rPr>
          <w:rFonts w:ascii="Times New Roman" w:hAnsi="Times New Roman" w:cs="Times New Roman"/>
          <w:b/>
          <w:sz w:val="20"/>
          <w:szCs w:val="20"/>
        </w:rPr>
        <w:t>9</w:t>
      </w:r>
      <w:r w:rsidRPr="008C19A3">
        <w:rPr>
          <w:rFonts w:ascii="Times New Roman" w:hAnsi="Times New Roman" w:cs="Times New Roman"/>
          <w:b/>
          <w:sz w:val="20"/>
          <w:szCs w:val="20"/>
        </w:rPr>
        <w:t>: Gene ontology enrichment analysis results of smoking-rel</w:t>
      </w:r>
      <w:r w:rsidR="00507C24">
        <w:rPr>
          <w:rFonts w:ascii="Times New Roman" w:hAnsi="Times New Roman" w:cs="Times New Roman"/>
          <w:b/>
          <w:sz w:val="20"/>
          <w:szCs w:val="20"/>
        </w:rPr>
        <w:t>ated gene coexpression modules</w:t>
      </w:r>
    </w:p>
    <w:p w:rsidR="00A624FD" w:rsidRDefault="00A624FD" w:rsidP="008C19A3">
      <w:pPr>
        <w:spacing w:after="120" w:line="480" w:lineRule="auto"/>
        <w:rPr>
          <w:rFonts w:ascii="Times New Roman" w:hAnsi="Times New Roman" w:cs="Times New Roman"/>
          <w:b/>
          <w:sz w:val="20"/>
          <w:szCs w:val="20"/>
        </w:rPr>
      </w:pPr>
      <w:r w:rsidRPr="008C19A3">
        <w:rPr>
          <w:rFonts w:ascii="Times New Roman" w:hAnsi="Times New Roman" w:cs="Times New Roman"/>
          <w:b/>
          <w:sz w:val="20"/>
          <w:szCs w:val="20"/>
        </w:rPr>
        <w:t xml:space="preserve">Suppl. Tab </w:t>
      </w:r>
      <w:r w:rsidR="00BF70D9">
        <w:rPr>
          <w:rFonts w:ascii="Times New Roman" w:hAnsi="Times New Roman" w:cs="Times New Roman"/>
          <w:b/>
          <w:sz w:val="20"/>
          <w:szCs w:val="20"/>
        </w:rPr>
        <w:t>10</w:t>
      </w:r>
      <w:r w:rsidRPr="008C19A3">
        <w:rPr>
          <w:rFonts w:ascii="Times New Roman" w:hAnsi="Times New Roman" w:cs="Times New Roman"/>
          <w:b/>
          <w:sz w:val="20"/>
          <w:szCs w:val="20"/>
        </w:rPr>
        <w:t xml:space="preserve">: SNP-by-Smoking interaction on gene expression </w:t>
      </w:r>
    </w:p>
    <w:p w:rsidR="006847F3" w:rsidRDefault="006847F3" w:rsidP="006847F3">
      <w:pPr>
        <w:spacing w:after="120" w:line="480" w:lineRule="auto"/>
        <w:rPr>
          <w:rFonts w:ascii="Times New Roman" w:hAnsi="Times New Roman" w:cs="Times New Roman"/>
          <w:b/>
          <w:sz w:val="20"/>
          <w:szCs w:val="20"/>
        </w:rPr>
      </w:pPr>
      <w:r w:rsidRPr="006847F3">
        <w:rPr>
          <w:rFonts w:ascii="Times New Roman" w:hAnsi="Times New Roman" w:cs="Times New Roman"/>
          <w:b/>
          <w:sz w:val="20"/>
          <w:szCs w:val="20"/>
          <w:highlight w:val="yellow"/>
        </w:rPr>
        <w:t>Suppl. Tab 11: The smoking-related gene expression signatures in association with measured cell types, Batch and PC1</w:t>
      </w:r>
    </w:p>
    <w:p w:rsidR="006847F3" w:rsidRDefault="006847F3" w:rsidP="006847F3">
      <w:pPr>
        <w:spacing w:after="120" w:line="480" w:lineRule="auto"/>
        <w:rPr>
          <w:rFonts w:ascii="Times New Roman" w:hAnsi="Times New Roman" w:cs="Times New Roman"/>
          <w:b/>
          <w:sz w:val="20"/>
          <w:szCs w:val="20"/>
        </w:rPr>
      </w:pPr>
      <w:r w:rsidRPr="006847F3">
        <w:rPr>
          <w:rFonts w:ascii="Times New Roman" w:hAnsi="Times New Roman" w:cs="Times New Roman"/>
          <w:b/>
          <w:sz w:val="20"/>
          <w:szCs w:val="20"/>
          <w:highlight w:val="yellow"/>
        </w:rPr>
        <w:t>Suppl. Tab 1</w:t>
      </w:r>
      <w:r>
        <w:rPr>
          <w:rFonts w:ascii="Times New Roman" w:hAnsi="Times New Roman" w:cs="Times New Roman"/>
          <w:b/>
          <w:sz w:val="20"/>
          <w:szCs w:val="20"/>
          <w:highlight w:val="yellow"/>
        </w:rPr>
        <w:t>2: Technical covariates included in the F</w:t>
      </w:r>
      <w:r w:rsidR="00C857AC">
        <w:rPr>
          <w:rFonts w:ascii="Times New Roman" w:hAnsi="Times New Roman" w:cs="Times New Roman"/>
          <w:b/>
          <w:sz w:val="20"/>
          <w:szCs w:val="20"/>
          <w:highlight w:val="yellow"/>
        </w:rPr>
        <w:t xml:space="preserve">HS gene </w:t>
      </w:r>
      <w:r w:rsidR="00C857AC" w:rsidRPr="00C857AC">
        <w:rPr>
          <w:rFonts w:ascii="Times New Roman" w:hAnsi="Times New Roman" w:cs="Times New Roman"/>
          <w:b/>
          <w:sz w:val="20"/>
          <w:szCs w:val="20"/>
          <w:highlight w:val="yellow"/>
        </w:rPr>
        <w:t>expression data normalization</w:t>
      </w:r>
    </w:p>
    <w:p w:rsidR="006847F3" w:rsidRDefault="006847F3" w:rsidP="006847F3">
      <w:pPr>
        <w:spacing w:after="120" w:line="480" w:lineRule="auto"/>
        <w:rPr>
          <w:rFonts w:ascii="Times New Roman" w:hAnsi="Times New Roman" w:cs="Times New Roman"/>
          <w:b/>
          <w:sz w:val="20"/>
          <w:szCs w:val="20"/>
        </w:rPr>
      </w:pPr>
    </w:p>
    <w:p w:rsidR="00A624FD" w:rsidRDefault="00A624FD">
      <w:pPr>
        <w:spacing w:after="200" w:line="276" w:lineRule="auto"/>
        <w:rPr>
          <w:rFonts w:ascii="Arial" w:hAnsi="Arial" w:cs="Arial"/>
          <w:b/>
          <w:szCs w:val="20"/>
        </w:rPr>
      </w:pPr>
      <w:r>
        <w:rPr>
          <w:rFonts w:ascii="Arial" w:hAnsi="Arial" w:cs="Arial"/>
          <w:b/>
          <w:szCs w:val="20"/>
        </w:rPr>
        <w:br w:type="page"/>
      </w:r>
    </w:p>
    <w:p w:rsidR="005E43DD" w:rsidRPr="001E488F" w:rsidRDefault="001E488F" w:rsidP="001E488F">
      <w:pPr>
        <w:spacing w:after="240" w:line="480" w:lineRule="auto"/>
        <w:rPr>
          <w:rFonts w:ascii="Arial" w:hAnsi="Arial" w:cs="Arial"/>
          <w:b/>
          <w:sz w:val="28"/>
          <w:szCs w:val="28"/>
        </w:rPr>
      </w:pPr>
      <w:r>
        <w:rPr>
          <w:rFonts w:ascii="Arial" w:hAnsi="Arial" w:cs="Arial"/>
          <w:b/>
          <w:sz w:val="28"/>
          <w:szCs w:val="28"/>
        </w:rPr>
        <w:lastRenderedPageBreak/>
        <w:t>References</w:t>
      </w:r>
    </w:p>
    <w:p w:rsidR="001E1E05" w:rsidRPr="006C4147" w:rsidRDefault="005B1706" w:rsidP="001E1E05">
      <w:pPr>
        <w:pStyle w:val="EndNoteBibliography"/>
        <w:rPr>
          <w:rFonts w:ascii="Times New Roman" w:hAnsi="Times New Roman" w:cs="Times New Roman"/>
          <w:sz w:val="22"/>
        </w:rPr>
      </w:pPr>
      <w:r w:rsidRPr="006C4147">
        <w:rPr>
          <w:rFonts w:ascii="Times New Roman" w:hAnsi="Times New Roman" w:cs="Times New Roman"/>
          <w:b/>
          <w:sz w:val="22"/>
          <w:szCs w:val="28"/>
        </w:rPr>
        <w:fldChar w:fldCharType="begin"/>
      </w:r>
      <w:r w:rsidRPr="006C4147">
        <w:rPr>
          <w:rFonts w:ascii="Times New Roman" w:hAnsi="Times New Roman" w:cs="Times New Roman"/>
          <w:b/>
          <w:sz w:val="22"/>
          <w:szCs w:val="28"/>
        </w:rPr>
        <w:instrText xml:space="preserve"> ADDIN EN.REFLIST </w:instrText>
      </w:r>
      <w:r w:rsidRPr="006C4147">
        <w:rPr>
          <w:rFonts w:ascii="Times New Roman" w:hAnsi="Times New Roman" w:cs="Times New Roman"/>
          <w:b/>
          <w:sz w:val="22"/>
          <w:szCs w:val="28"/>
        </w:rPr>
        <w:fldChar w:fldCharType="separate"/>
      </w:r>
      <w:r w:rsidR="001E1E05" w:rsidRPr="006C4147">
        <w:rPr>
          <w:rFonts w:ascii="Times New Roman" w:hAnsi="Times New Roman" w:cs="Times New Roman"/>
          <w:sz w:val="22"/>
        </w:rPr>
        <w:t>1</w:t>
      </w:r>
      <w:r w:rsidR="001E1E05" w:rsidRPr="006C4147">
        <w:rPr>
          <w:rFonts w:ascii="Times New Roman" w:hAnsi="Times New Roman" w:cs="Times New Roman"/>
          <w:sz w:val="22"/>
        </w:rPr>
        <w:tab/>
        <w:t xml:space="preserve">Feinleib, M., Kannel, W.B., Garrison, R.J., McNamara, P.M. and Castelli, W.P. (1975) The Framingham offspring study. Design and preliminary data. </w:t>
      </w:r>
      <w:r w:rsidR="001E1E05" w:rsidRPr="006C4147">
        <w:rPr>
          <w:rFonts w:ascii="Times New Roman" w:hAnsi="Times New Roman" w:cs="Times New Roman"/>
          <w:i/>
          <w:sz w:val="22"/>
        </w:rPr>
        <w:t>Preventive medicine</w:t>
      </w:r>
      <w:r w:rsidR="001E1E05" w:rsidRPr="006C4147">
        <w:rPr>
          <w:rFonts w:ascii="Times New Roman" w:hAnsi="Times New Roman" w:cs="Times New Roman"/>
          <w:sz w:val="22"/>
        </w:rPr>
        <w:t xml:space="preserve">, </w:t>
      </w:r>
      <w:r w:rsidR="001E1E05" w:rsidRPr="006C4147">
        <w:rPr>
          <w:rFonts w:ascii="Times New Roman" w:hAnsi="Times New Roman" w:cs="Times New Roman"/>
          <w:b/>
          <w:sz w:val="22"/>
        </w:rPr>
        <w:t>4</w:t>
      </w:r>
      <w:r w:rsidR="001E1E05" w:rsidRPr="006C4147">
        <w:rPr>
          <w:rFonts w:ascii="Times New Roman" w:hAnsi="Times New Roman" w:cs="Times New Roman"/>
          <w:sz w:val="22"/>
        </w:rPr>
        <w:t>, 518-525.</w:t>
      </w:r>
    </w:p>
    <w:p w:rsidR="001E1E05" w:rsidRPr="006C4147" w:rsidRDefault="001E1E05" w:rsidP="001E1E05">
      <w:pPr>
        <w:pStyle w:val="EndNoteBibliography"/>
        <w:rPr>
          <w:rFonts w:ascii="Times New Roman" w:hAnsi="Times New Roman" w:cs="Times New Roman"/>
          <w:sz w:val="22"/>
        </w:rPr>
      </w:pPr>
      <w:r w:rsidRPr="006C4147">
        <w:rPr>
          <w:rFonts w:ascii="Times New Roman" w:hAnsi="Times New Roman" w:cs="Times New Roman"/>
          <w:sz w:val="22"/>
        </w:rPr>
        <w:t>2</w:t>
      </w:r>
      <w:r w:rsidRPr="006C4147">
        <w:rPr>
          <w:rFonts w:ascii="Times New Roman" w:hAnsi="Times New Roman" w:cs="Times New Roman"/>
          <w:sz w:val="22"/>
        </w:rPr>
        <w:tab/>
        <w:t xml:space="preserve">Splansky, G.L., Corey, D., Yang, Q., Atwood, L.D., Cupples, L.A., Benjamin, E.J., D'Agostino, R.B., Fox, C.S., Larson, M.G. and Murabito, J.M. (2007) The third generation cohort of the National Heart, Lung, and Blood Institute's Framingham Heart Study: design, recruitment, and initial examination. </w:t>
      </w:r>
      <w:r w:rsidRPr="006C4147">
        <w:rPr>
          <w:rFonts w:ascii="Times New Roman" w:hAnsi="Times New Roman" w:cs="Times New Roman"/>
          <w:i/>
          <w:sz w:val="22"/>
        </w:rPr>
        <w:t>American journal of epidemiology</w:t>
      </w:r>
      <w:r w:rsidRPr="006C4147">
        <w:rPr>
          <w:rFonts w:ascii="Times New Roman" w:hAnsi="Times New Roman" w:cs="Times New Roman"/>
          <w:sz w:val="22"/>
        </w:rPr>
        <w:t xml:space="preserve">, </w:t>
      </w:r>
      <w:r w:rsidRPr="006C4147">
        <w:rPr>
          <w:rFonts w:ascii="Times New Roman" w:hAnsi="Times New Roman" w:cs="Times New Roman"/>
          <w:b/>
          <w:sz w:val="22"/>
        </w:rPr>
        <w:t>165</w:t>
      </w:r>
      <w:r w:rsidRPr="006C4147">
        <w:rPr>
          <w:rFonts w:ascii="Times New Roman" w:hAnsi="Times New Roman" w:cs="Times New Roman"/>
          <w:sz w:val="22"/>
        </w:rPr>
        <w:t>, 1328-1335.</w:t>
      </w:r>
    </w:p>
    <w:p w:rsidR="001E1E05" w:rsidRPr="006C4147" w:rsidRDefault="001E1E05" w:rsidP="001E1E05">
      <w:pPr>
        <w:pStyle w:val="EndNoteBibliography"/>
        <w:rPr>
          <w:rFonts w:ascii="Times New Roman" w:hAnsi="Times New Roman" w:cs="Times New Roman"/>
          <w:sz w:val="22"/>
        </w:rPr>
      </w:pPr>
      <w:r w:rsidRPr="006C4147">
        <w:rPr>
          <w:rFonts w:ascii="Times New Roman" w:hAnsi="Times New Roman" w:cs="Times New Roman"/>
          <w:sz w:val="22"/>
        </w:rPr>
        <w:t>3</w:t>
      </w:r>
      <w:r w:rsidRPr="006C4147">
        <w:rPr>
          <w:rFonts w:ascii="Times New Roman" w:hAnsi="Times New Roman" w:cs="Times New Roman"/>
          <w:sz w:val="22"/>
        </w:rPr>
        <w:tab/>
        <w:t xml:space="preserve">Ferrucci, L., Bandinelli, S., Benvenuti, E., Iorio, A., Macchi, C., Harris, T.B. and Guralnik, J.M. (2000) Subsystems contributing to the decline in ability to walk: bridging the gap between epidemiology and geriatric practice in the InCHIANTI study. </w:t>
      </w:r>
      <w:r w:rsidRPr="006C4147">
        <w:rPr>
          <w:rFonts w:ascii="Times New Roman" w:hAnsi="Times New Roman" w:cs="Times New Roman"/>
          <w:i/>
          <w:sz w:val="22"/>
        </w:rPr>
        <w:t>Journal of the American Geriatrics Society</w:t>
      </w:r>
      <w:r w:rsidRPr="006C4147">
        <w:rPr>
          <w:rFonts w:ascii="Times New Roman" w:hAnsi="Times New Roman" w:cs="Times New Roman"/>
          <w:sz w:val="22"/>
        </w:rPr>
        <w:t xml:space="preserve">, </w:t>
      </w:r>
      <w:r w:rsidRPr="006C4147">
        <w:rPr>
          <w:rFonts w:ascii="Times New Roman" w:hAnsi="Times New Roman" w:cs="Times New Roman"/>
          <w:b/>
          <w:sz w:val="22"/>
        </w:rPr>
        <w:t>48</w:t>
      </w:r>
      <w:r w:rsidRPr="006C4147">
        <w:rPr>
          <w:rFonts w:ascii="Times New Roman" w:hAnsi="Times New Roman" w:cs="Times New Roman"/>
          <w:sz w:val="22"/>
        </w:rPr>
        <w:t>, 1618-1625.</w:t>
      </w:r>
    </w:p>
    <w:p w:rsidR="001E1E05" w:rsidRPr="006C4147" w:rsidRDefault="001E1E05" w:rsidP="001E1E05">
      <w:pPr>
        <w:pStyle w:val="EndNoteBibliography"/>
        <w:rPr>
          <w:rFonts w:ascii="Times New Roman" w:hAnsi="Times New Roman" w:cs="Times New Roman"/>
          <w:sz w:val="22"/>
        </w:rPr>
      </w:pPr>
      <w:r w:rsidRPr="006C4147">
        <w:rPr>
          <w:rFonts w:ascii="Times New Roman" w:hAnsi="Times New Roman" w:cs="Times New Roman"/>
          <w:sz w:val="22"/>
        </w:rPr>
        <w:t>4</w:t>
      </w:r>
      <w:r w:rsidRPr="006C4147">
        <w:rPr>
          <w:rFonts w:ascii="Times New Roman" w:hAnsi="Times New Roman" w:cs="Times New Roman"/>
          <w:sz w:val="22"/>
        </w:rPr>
        <w:tab/>
        <w:t xml:space="preserve">Gibbs, J.R., van der Brug, M.P., Hernandez, D.G., Traynor, B.J., Nalls, M.A., Lai, S.-L., Arepalli, S., Dillman, A., Rafferty, I.P. and Troncoso, J. (2010) Abundant quantitative trait loci exist for DNA methylation and gene expression in human brain. </w:t>
      </w:r>
      <w:r w:rsidRPr="006C4147">
        <w:rPr>
          <w:rFonts w:ascii="Times New Roman" w:hAnsi="Times New Roman" w:cs="Times New Roman"/>
          <w:i/>
          <w:sz w:val="22"/>
        </w:rPr>
        <w:t>PLoS Genet</w:t>
      </w:r>
      <w:r w:rsidRPr="006C4147">
        <w:rPr>
          <w:rFonts w:ascii="Times New Roman" w:hAnsi="Times New Roman" w:cs="Times New Roman"/>
          <w:sz w:val="22"/>
        </w:rPr>
        <w:t xml:space="preserve">, </w:t>
      </w:r>
      <w:r w:rsidRPr="006C4147">
        <w:rPr>
          <w:rFonts w:ascii="Times New Roman" w:hAnsi="Times New Roman" w:cs="Times New Roman"/>
          <w:b/>
          <w:sz w:val="22"/>
        </w:rPr>
        <w:t>6</w:t>
      </w:r>
      <w:r w:rsidRPr="006C4147">
        <w:rPr>
          <w:rFonts w:ascii="Times New Roman" w:hAnsi="Times New Roman" w:cs="Times New Roman"/>
          <w:sz w:val="22"/>
        </w:rPr>
        <w:t>, e1000952.</w:t>
      </w:r>
    </w:p>
    <w:p w:rsidR="001E1E05" w:rsidRPr="006C4147" w:rsidRDefault="001E1E05" w:rsidP="001E1E05">
      <w:pPr>
        <w:pStyle w:val="EndNoteBibliography"/>
        <w:rPr>
          <w:rFonts w:ascii="Times New Roman" w:hAnsi="Times New Roman" w:cs="Times New Roman"/>
          <w:sz w:val="22"/>
        </w:rPr>
      </w:pPr>
      <w:r w:rsidRPr="006C4147">
        <w:rPr>
          <w:rFonts w:ascii="Times New Roman" w:hAnsi="Times New Roman" w:cs="Times New Roman"/>
          <w:sz w:val="22"/>
        </w:rPr>
        <w:t>5</w:t>
      </w:r>
      <w:r w:rsidRPr="006C4147">
        <w:rPr>
          <w:rFonts w:ascii="Times New Roman" w:hAnsi="Times New Roman" w:cs="Times New Roman"/>
          <w:sz w:val="22"/>
        </w:rPr>
        <w:tab/>
        <w:t xml:space="preserve">Hofman, A., Murad, S.D., van Duijn, C.M., Franco, O.H., Goedegebure, A., Ikram, M.A., Klaver, C.C., Nijsten, T.E., Peeters, R.P. and Stricker, B.H.C. (2013) The Rotterdam Study: 2014 objectives and design update. </w:t>
      </w:r>
      <w:r w:rsidRPr="006C4147">
        <w:rPr>
          <w:rFonts w:ascii="Times New Roman" w:hAnsi="Times New Roman" w:cs="Times New Roman"/>
          <w:i/>
          <w:sz w:val="22"/>
        </w:rPr>
        <w:t>European journal of epidemiology</w:t>
      </w:r>
      <w:r w:rsidRPr="006C4147">
        <w:rPr>
          <w:rFonts w:ascii="Times New Roman" w:hAnsi="Times New Roman" w:cs="Times New Roman"/>
          <w:sz w:val="22"/>
        </w:rPr>
        <w:t xml:space="preserve">, </w:t>
      </w:r>
      <w:r w:rsidRPr="006C4147">
        <w:rPr>
          <w:rFonts w:ascii="Times New Roman" w:hAnsi="Times New Roman" w:cs="Times New Roman"/>
          <w:b/>
          <w:sz w:val="22"/>
        </w:rPr>
        <w:t>28</w:t>
      </w:r>
      <w:r w:rsidRPr="006C4147">
        <w:rPr>
          <w:rFonts w:ascii="Times New Roman" w:hAnsi="Times New Roman" w:cs="Times New Roman"/>
          <w:sz w:val="22"/>
        </w:rPr>
        <w:t>, 889-926.</w:t>
      </w:r>
    </w:p>
    <w:p w:rsidR="001E1E05" w:rsidRPr="006C4147" w:rsidRDefault="001E1E05" w:rsidP="001E1E05">
      <w:pPr>
        <w:pStyle w:val="EndNoteBibliography"/>
        <w:rPr>
          <w:rFonts w:ascii="Times New Roman" w:hAnsi="Times New Roman" w:cs="Times New Roman"/>
          <w:sz w:val="22"/>
        </w:rPr>
      </w:pPr>
      <w:r w:rsidRPr="006C4147">
        <w:rPr>
          <w:rFonts w:ascii="Times New Roman" w:hAnsi="Times New Roman" w:cs="Times New Roman"/>
          <w:sz w:val="22"/>
        </w:rPr>
        <w:t>6</w:t>
      </w:r>
      <w:r w:rsidRPr="006C4147">
        <w:rPr>
          <w:rFonts w:ascii="Times New Roman" w:hAnsi="Times New Roman" w:cs="Times New Roman"/>
          <w:sz w:val="22"/>
        </w:rPr>
        <w:tab/>
        <w:t xml:space="preserve">Westra, H.-J., Peters, M.J., Esko, T., Yaghootkar, H., Schurmann, C., Kettunen, J., Christiansen, M.W., Fairfax, B.P., Schramm, K. and Powell, J.E. (2013) Systematic identification of trans eQTLs as putative drivers of known disease associations. </w:t>
      </w:r>
      <w:r w:rsidRPr="006C4147">
        <w:rPr>
          <w:rFonts w:ascii="Times New Roman" w:hAnsi="Times New Roman" w:cs="Times New Roman"/>
          <w:i/>
          <w:sz w:val="22"/>
        </w:rPr>
        <w:t>Nature genetics</w:t>
      </w:r>
      <w:r w:rsidRPr="006C4147">
        <w:rPr>
          <w:rFonts w:ascii="Times New Roman" w:hAnsi="Times New Roman" w:cs="Times New Roman"/>
          <w:sz w:val="22"/>
        </w:rPr>
        <w:t xml:space="preserve">, </w:t>
      </w:r>
      <w:r w:rsidRPr="006C4147">
        <w:rPr>
          <w:rFonts w:ascii="Times New Roman" w:hAnsi="Times New Roman" w:cs="Times New Roman"/>
          <w:b/>
          <w:sz w:val="22"/>
        </w:rPr>
        <w:t>45</w:t>
      </w:r>
      <w:r w:rsidRPr="006C4147">
        <w:rPr>
          <w:rFonts w:ascii="Times New Roman" w:hAnsi="Times New Roman" w:cs="Times New Roman"/>
          <w:sz w:val="22"/>
        </w:rPr>
        <w:t>, 1238-1243.</w:t>
      </w:r>
    </w:p>
    <w:p w:rsidR="001E1E05" w:rsidRPr="006C4147" w:rsidRDefault="001E1E05" w:rsidP="001E1E05">
      <w:pPr>
        <w:pStyle w:val="EndNoteBibliography"/>
        <w:rPr>
          <w:rFonts w:ascii="Times New Roman" w:hAnsi="Times New Roman" w:cs="Times New Roman"/>
          <w:sz w:val="22"/>
        </w:rPr>
      </w:pPr>
      <w:r w:rsidRPr="006C4147">
        <w:rPr>
          <w:rFonts w:ascii="Times New Roman" w:hAnsi="Times New Roman" w:cs="Times New Roman"/>
          <w:sz w:val="22"/>
        </w:rPr>
        <w:t>7</w:t>
      </w:r>
      <w:r w:rsidRPr="006C4147">
        <w:rPr>
          <w:rFonts w:ascii="Times New Roman" w:hAnsi="Times New Roman" w:cs="Times New Roman"/>
          <w:sz w:val="22"/>
        </w:rPr>
        <w:tab/>
        <w:t xml:space="preserve">Schurmann, C., Heim, K., Schillert, A., Blankenberg, S., Carstensen, M., Dörr, M., Endlich, K., Felix, S.B., Gieger, C. and Grallert, H. (2012) Analyzing illumina gene expression microarray data from different tissues: methodological aspects of data analysis in the metaxpress consortium. </w:t>
      </w:r>
      <w:r w:rsidRPr="006C4147">
        <w:rPr>
          <w:rFonts w:ascii="Times New Roman" w:hAnsi="Times New Roman" w:cs="Times New Roman"/>
          <w:i/>
          <w:sz w:val="22"/>
        </w:rPr>
        <w:t>PloS one</w:t>
      </w:r>
      <w:r w:rsidRPr="006C4147">
        <w:rPr>
          <w:rFonts w:ascii="Times New Roman" w:hAnsi="Times New Roman" w:cs="Times New Roman"/>
          <w:sz w:val="22"/>
        </w:rPr>
        <w:t xml:space="preserve">, </w:t>
      </w:r>
      <w:r w:rsidRPr="006C4147">
        <w:rPr>
          <w:rFonts w:ascii="Times New Roman" w:hAnsi="Times New Roman" w:cs="Times New Roman"/>
          <w:b/>
          <w:sz w:val="22"/>
        </w:rPr>
        <w:t>7</w:t>
      </w:r>
      <w:r w:rsidRPr="006C4147">
        <w:rPr>
          <w:rFonts w:ascii="Times New Roman" w:hAnsi="Times New Roman" w:cs="Times New Roman"/>
          <w:sz w:val="22"/>
        </w:rPr>
        <w:t>, e50938.</w:t>
      </w:r>
    </w:p>
    <w:p w:rsidR="001E1E05" w:rsidRPr="006C4147" w:rsidRDefault="001E1E05" w:rsidP="001E1E05">
      <w:pPr>
        <w:pStyle w:val="EndNoteBibliography"/>
        <w:rPr>
          <w:rFonts w:ascii="Times New Roman" w:hAnsi="Times New Roman" w:cs="Times New Roman"/>
          <w:sz w:val="22"/>
        </w:rPr>
      </w:pPr>
      <w:r w:rsidRPr="006C4147">
        <w:rPr>
          <w:rFonts w:ascii="Times New Roman" w:hAnsi="Times New Roman" w:cs="Times New Roman"/>
          <w:sz w:val="22"/>
        </w:rPr>
        <w:t>8</w:t>
      </w:r>
      <w:r w:rsidRPr="006C4147">
        <w:rPr>
          <w:rFonts w:ascii="Times New Roman" w:hAnsi="Times New Roman" w:cs="Times New Roman"/>
          <w:sz w:val="22"/>
        </w:rPr>
        <w:tab/>
        <w:t xml:space="preserve">Völzke, H., Alte, D., Schmidt, C.O., Radke, D., Lorbeer, R., Friedrich, N., Aumann, N., Lau, K., Piontek, M. and Born, G. (2010) Cohort profile: the study of health in Pomerania. </w:t>
      </w:r>
      <w:r w:rsidRPr="006C4147">
        <w:rPr>
          <w:rFonts w:ascii="Times New Roman" w:hAnsi="Times New Roman" w:cs="Times New Roman"/>
          <w:i/>
          <w:sz w:val="22"/>
        </w:rPr>
        <w:t>International journal of epidemiology</w:t>
      </w:r>
      <w:r w:rsidRPr="006C4147">
        <w:rPr>
          <w:rFonts w:ascii="Times New Roman" w:hAnsi="Times New Roman" w:cs="Times New Roman"/>
          <w:sz w:val="22"/>
        </w:rPr>
        <w:t>, in press., dyp394.</w:t>
      </w:r>
    </w:p>
    <w:p w:rsidR="001E1E05" w:rsidRPr="006C4147" w:rsidRDefault="001E1E05" w:rsidP="001E1E05">
      <w:pPr>
        <w:pStyle w:val="EndNoteBibliography"/>
        <w:rPr>
          <w:rFonts w:ascii="Times New Roman" w:hAnsi="Times New Roman" w:cs="Times New Roman"/>
          <w:sz w:val="22"/>
        </w:rPr>
      </w:pPr>
      <w:r w:rsidRPr="006C4147">
        <w:rPr>
          <w:rFonts w:ascii="Times New Roman" w:hAnsi="Times New Roman" w:cs="Times New Roman"/>
          <w:sz w:val="22"/>
        </w:rPr>
        <w:t>9</w:t>
      </w:r>
      <w:r w:rsidRPr="006C4147">
        <w:rPr>
          <w:rFonts w:ascii="Times New Roman" w:hAnsi="Times New Roman" w:cs="Times New Roman"/>
          <w:sz w:val="22"/>
        </w:rPr>
        <w:tab/>
        <w:t xml:space="preserve">Hense, H., Kuulasmaa, K., Zaborskis, A., Kupsc, W. and Tuomilehto, J. (1989) Quality assessment of blood pressure measurements in epidemiological surveys. The impact of last digit preference and the proportions of identical duplicate measurements. WHO Monica Project [corrected]. </w:t>
      </w:r>
      <w:r w:rsidRPr="006C4147">
        <w:rPr>
          <w:rFonts w:ascii="Times New Roman" w:hAnsi="Times New Roman" w:cs="Times New Roman"/>
          <w:i/>
          <w:sz w:val="22"/>
        </w:rPr>
        <w:t>Revue d'épidémiologie et de santé publique</w:t>
      </w:r>
      <w:r w:rsidRPr="006C4147">
        <w:rPr>
          <w:rFonts w:ascii="Times New Roman" w:hAnsi="Times New Roman" w:cs="Times New Roman"/>
          <w:sz w:val="22"/>
        </w:rPr>
        <w:t xml:space="preserve">, </w:t>
      </w:r>
      <w:r w:rsidRPr="006C4147">
        <w:rPr>
          <w:rFonts w:ascii="Times New Roman" w:hAnsi="Times New Roman" w:cs="Times New Roman"/>
          <w:b/>
          <w:sz w:val="22"/>
        </w:rPr>
        <w:t>38</w:t>
      </w:r>
      <w:r w:rsidRPr="006C4147">
        <w:rPr>
          <w:rFonts w:ascii="Times New Roman" w:hAnsi="Times New Roman" w:cs="Times New Roman"/>
          <w:sz w:val="22"/>
        </w:rPr>
        <w:t>, 463-468.</w:t>
      </w:r>
    </w:p>
    <w:p w:rsidR="003D5679" w:rsidRPr="003D5679" w:rsidRDefault="005B1706" w:rsidP="002F747C">
      <w:pPr>
        <w:spacing w:after="240" w:line="480" w:lineRule="auto"/>
        <w:rPr>
          <w:rFonts w:ascii="Arial" w:hAnsi="Arial" w:cs="Arial"/>
          <w:b/>
          <w:szCs w:val="28"/>
        </w:rPr>
      </w:pPr>
      <w:r w:rsidRPr="006C4147">
        <w:rPr>
          <w:rFonts w:ascii="Times New Roman" w:hAnsi="Times New Roman" w:cs="Times New Roman"/>
          <w:b/>
          <w:sz w:val="22"/>
          <w:szCs w:val="28"/>
        </w:rPr>
        <w:fldChar w:fldCharType="end"/>
      </w:r>
    </w:p>
    <w:sectPr w:rsidR="003D5679" w:rsidRPr="003D5679" w:rsidSect="005618C9">
      <w:footerReference w:type="default" r:id="rId19"/>
      <w:type w:val="continuous"/>
      <w:pgSz w:w="12240" w:h="15840" w:code="1"/>
      <w:pgMar w:top="1440" w:right="1800" w:bottom="1440" w:left="180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A2872" w:rsidRDefault="000A2872" w:rsidP="000225FC">
      <w:r>
        <w:separator/>
      </w:r>
    </w:p>
  </w:endnote>
  <w:endnote w:type="continuationSeparator" w:id="0">
    <w:p w:rsidR="000A2872" w:rsidRDefault="000A2872" w:rsidP="000225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5193048"/>
      <w:docPartObj>
        <w:docPartGallery w:val="Page Numbers (Bottom of Page)"/>
        <w:docPartUnique/>
      </w:docPartObj>
    </w:sdtPr>
    <w:sdtEndPr>
      <w:rPr>
        <w:noProof/>
      </w:rPr>
    </w:sdtEndPr>
    <w:sdtContent>
      <w:p w:rsidR="000225FC" w:rsidRDefault="000225FC">
        <w:pPr>
          <w:pStyle w:val="Footer"/>
          <w:jc w:val="center"/>
        </w:pPr>
        <w:r>
          <w:fldChar w:fldCharType="begin"/>
        </w:r>
        <w:r>
          <w:instrText xml:space="preserve"> PAGE   \* MERGEFORMAT </w:instrText>
        </w:r>
        <w:r>
          <w:fldChar w:fldCharType="separate"/>
        </w:r>
        <w:r w:rsidR="0017624A">
          <w:rPr>
            <w:noProof/>
          </w:rPr>
          <w:t>7</w:t>
        </w:r>
        <w:r>
          <w:rPr>
            <w:noProof/>
          </w:rPr>
          <w:fldChar w:fldCharType="end"/>
        </w:r>
      </w:p>
    </w:sdtContent>
  </w:sdt>
  <w:p w:rsidR="000225FC" w:rsidRDefault="000225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A2872" w:rsidRDefault="000A2872" w:rsidP="000225FC">
      <w:r>
        <w:separator/>
      </w:r>
    </w:p>
  </w:footnote>
  <w:footnote w:type="continuationSeparator" w:id="0">
    <w:p w:rsidR="000A2872" w:rsidRDefault="000A2872" w:rsidP="000225F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20"/>
  <w:hyphenationZone w:val="425"/>
  <w:drawingGridHorizontalSpacing w:val="110"/>
  <w:drawingGridVerticalSpacing w:val="163"/>
  <w:displayHorizontalDrawingGridEvery w:val="0"/>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Human Mol Genetics&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ft5dst5trf2d2ee0f65pda3eexa5ta2a0zz&quot;&gt;lib_sk_geneExp&lt;record-ids&gt;&lt;item&gt;73&lt;/item&gt;&lt;item&gt;74&lt;/item&gt;&lt;item&gt;75&lt;/item&gt;&lt;item&gt;76&lt;/item&gt;&lt;item&gt;77&lt;/item&gt;&lt;item&gt;78&lt;/item&gt;&lt;item&gt;79&lt;/item&gt;&lt;item&gt;80&lt;/item&gt;&lt;item&gt;89&lt;/item&gt;&lt;item&gt;91&lt;/item&gt;&lt;/record-ids&gt;&lt;/item&gt;&lt;/Libraries&gt;"/>
  </w:docVars>
  <w:rsids>
    <w:rsidRoot w:val="00724803"/>
    <w:rsid w:val="00007C1C"/>
    <w:rsid w:val="000225FC"/>
    <w:rsid w:val="000A2872"/>
    <w:rsid w:val="001171D1"/>
    <w:rsid w:val="001223ED"/>
    <w:rsid w:val="00136F14"/>
    <w:rsid w:val="00137D44"/>
    <w:rsid w:val="0017624A"/>
    <w:rsid w:val="001E1E05"/>
    <w:rsid w:val="001E488F"/>
    <w:rsid w:val="0021278F"/>
    <w:rsid w:val="002453B9"/>
    <w:rsid w:val="00273991"/>
    <w:rsid w:val="002E25A0"/>
    <w:rsid w:val="002F747C"/>
    <w:rsid w:val="0034547F"/>
    <w:rsid w:val="00396338"/>
    <w:rsid w:val="003D5679"/>
    <w:rsid w:val="00457B57"/>
    <w:rsid w:val="00507C24"/>
    <w:rsid w:val="005618C9"/>
    <w:rsid w:val="00576E7A"/>
    <w:rsid w:val="00580C7A"/>
    <w:rsid w:val="005A69A2"/>
    <w:rsid w:val="005B1706"/>
    <w:rsid w:val="005C2559"/>
    <w:rsid w:val="005C6B46"/>
    <w:rsid w:val="005E43DD"/>
    <w:rsid w:val="006673F0"/>
    <w:rsid w:val="006847F3"/>
    <w:rsid w:val="006C4147"/>
    <w:rsid w:val="00724803"/>
    <w:rsid w:val="007802B6"/>
    <w:rsid w:val="007970D5"/>
    <w:rsid w:val="00814153"/>
    <w:rsid w:val="00857C71"/>
    <w:rsid w:val="008A3804"/>
    <w:rsid w:val="008C19A3"/>
    <w:rsid w:val="00937D94"/>
    <w:rsid w:val="00944E39"/>
    <w:rsid w:val="00953C33"/>
    <w:rsid w:val="009758DF"/>
    <w:rsid w:val="0099757B"/>
    <w:rsid w:val="009B0757"/>
    <w:rsid w:val="00A34A5B"/>
    <w:rsid w:val="00A40D41"/>
    <w:rsid w:val="00A62417"/>
    <w:rsid w:val="00A624FD"/>
    <w:rsid w:val="00A82015"/>
    <w:rsid w:val="00BF70D9"/>
    <w:rsid w:val="00C5102A"/>
    <w:rsid w:val="00C62DB4"/>
    <w:rsid w:val="00C857AC"/>
    <w:rsid w:val="00C94206"/>
    <w:rsid w:val="00DB7D5D"/>
    <w:rsid w:val="00DF41E5"/>
    <w:rsid w:val="00E256D8"/>
    <w:rsid w:val="00E73A9B"/>
    <w:rsid w:val="00E81E51"/>
    <w:rsid w:val="00E97B04"/>
    <w:rsid w:val="00EA591B"/>
    <w:rsid w:val="00EC2D8F"/>
    <w:rsid w:val="00F74B2E"/>
    <w:rsid w:val="00F975E4"/>
    <w:rsid w:val="00FE4F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26B56E"/>
  <w15:docId w15:val="{34D603A8-BFDD-428A-8B42-D0E29DFB47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5618C9"/>
    <w:pPr>
      <w:spacing w:after="0" w:line="240" w:lineRule="auto"/>
    </w:pPr>
    <w:rPr>
      <w:rFonts w:eastAsiaTheme="minorEastAsia"/>
      <w:sz w:val="24"/>
      <w:szCs w:val="24"/>
    </w:rPr>
  </w:style>
  <w:style w:type="paragraph" w:styleId="Heading2">
    <w:name w:val="heading 2"/>
    <w:basedOn w:val="Normal"/>
    <w:next w:val="Normal"/>
    <w:link w:val="Heading2Char"/>
    <w:uiPriority w:val="9"/>
    <w:unhideWhenUsed/>
    <w:qFormat/>
    <w:rsid w:val="005618C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618C9"/>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5618C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5618C9"/>
    <w:rPr>
      <w:rFonts w:asciiTheme="majorHAnsi" w:eastAsiaTheme="majorEastAsia" w:hAnsiTheme="majorHAnsi" w:cstheme="majorBidi"/>
      <w:b/>
      <w:bCs/>
      <w:color w:val="4F81BD" w:themeColor="accent1"/>
      <w:sz w:val="24"/>
      <w:szCs w:val="24"/>
    </w:rPr>
  </w:style>
  <w:style w:type="character" w:styleId="CommentReference">
    <w:name w:val="annotation reference"/>
    <w:basedOn w:val="DefaultParagraphFont"/>
    <w:uiPriority w:val="99"/>
    <w:semiHidden/>
    <w:unhideWhenUsed/>
    <w:rsid w:val="005618C9"/>
    <w:rPr>
      <w:sz w:val="16"/>
      <w:szCs w:val="16"/>
    </w:rPr>
  </w:style>
  <w:style w:type="paragraph" w:styleId="CommentText">
    <w:name w:val="annotation text"/>
    <w:basedOn w:val="Normal"/>
    <w:link w:val="CommentTextChar"/>
    <w:uiPriority w:val="99"/>
    <w:semiHidden/>
    <w:unhideWhenUsed/>
    <w:rsid w:val="005618C9"/>
    <w:rPr>
      <w:sz w:val="20"/>
      <w:szCs w:val="20"/>
    </w:rPr>
  </w:style>
  <w:style w:type="character" w:customStyle="1" w:styleId="CommentTextChar">
    <w:name w:val="Comment Text Char"/>
    <w:basedOn w:val="DefaultParagraphFont"/>
    <w:link w:val="CommentText"/>
    <w:uiPriority w:val="99"/>
    <w:semiHidden/>
    <w:rsid w:val="005618C9"/>
    <w:rPr>
      <w:rFonts w:eastAsiaTheme="minorEastAsia"/>
      <w:sz w:val="20"/>
      <w:szCs w:val="20"/>
    </w:rPr>
  </w:style>
  <w:style w:type="paragraph" w:styleId="BalloonText">
    <w:name w:val="Balloon Text"/>
    <w:basedOn w:val="Normal"/>
    <w:link w:val="BalloonTextChar"/>
    <w:uiPriority w:val="99"/>
    <w:semiHidden/>
    <w:unhideWhenUsed/>
    <w:rsid w:val="005618C9"/>
    <w:rPr>
      <w:rFonts w:ascii="Tahoma" w:hAnsi="Tahoma" w:cs="Tahoma"/>
      <w:sz w:val="16"/>
      <w:szCs w:val="16"/>
    </w:rPr>
  </w:style>
  <w:style w:type="character" w:customStyle="1" w:styleId="BalloonTextChar">
    <w:name w:val="Balloon Text Char"/>
    <w:basedOn w:val="DefaultParagraphFont"/>
    <w:link w:val="BalloonText"/>
    <w:uiPriority w:val="99"/>
    <w:semiHidden/>
    <w:rsid w:val="005618C9"/>
    <w:rPr>
      <w:rFonts w:ascii="Tahoma" w:eastAsiaTheme="minorEastAsia" w:hAnsi="Tahoma" w:cs="Tahoma"/>
      <w:sz w:val="16"/>
      <w:szCs w:val="16"/>
    </w:rPr>
  </w:style>
  <w:style w:type="character" w:styleId="Hyperlink">
    <w:name w:val="Hyperlink"/>
    <w:basedOn w:val="DefaultParagraphFont"/>
    <w:uiPriority w:val="99"/>
    <w:unhideWhenUsed/>
    <w:rsid w:val="005618C9"/>
    <w:rPr>
      <w:color w:val="0000FF" w:themeColor="hyperlink"/>
      <w:u w:val="single"/>
    </w:rPr>
  </w:style>
  <w:style w:type="character" w:customStyle="1" w:styleId="Style10Char">
    <w:name w:val="Style10 Char"/>
    <w:basedOn w:val="DefaultParagraphFont"/>
    <w:link w:val="Style10"/>
    <w:locked/>
    <w:rsid w:val="005618C9"/>
    <w:rPr>
      <w:rFonts w:ascii="Calibri" w:hAnsi="Calibri"/>
      <w:lang w:eastAsia="nl-NL"/>
    </w:rPr>
  </w:style>
  <w:style w:type="paragraph" w:customStyle="1" w:styleId="Style10">
    <w:name w:val="Style10"/>
    <w:basedOn w:val="Normal"/>
    <w:link w:val="Style10Char"/>
    <w:qFormat/>
    <w:rsid w:val="005618C9"/>
    <w:pPr>
      <w:spacing w:before="220" w:after="220" w:line="360" w:lineRule="auto"/>
      <w:contextualSpacing/>
    </w:pPr>
    <w:rPr>
      <w:rFonts w:ascii="Calibri" w:eastAsiaTheme="minorHAnsi" w:hAnsi="Calibri"/>
      <w:sz w:val="22"/>
      <w:szCs w:val="22"/>
      <w:lang w:eastAsia="nl-NL"/>
    </w:rPr>
  </w:style>
  <w:style w:type="character" w:styleId="HTMLCite">
    <w:name w:val="HTML Cite"/>
    <w:basedOn w:val="DefaultParagraphFont"/>
    <w:uiPriority w:val="99"/>
    <w:semiHidden/>
    <w:unhideWhenUsed/>
    <w:rsid w:val="005618C9"/>
    <w:rPr>
      <w:i/>
      <w:iCs/>
    </w:rPr>
  </w:style>
  <w:style w:type="paragraph" w:customStyle="1" w:styleId="EndNoteBibliographyTitle">
    <w:name w:val="EndNote Bibliography Title"/>
    <w:basedOn w:val="Normal"/>
    <w:link w:val="EndNoteBibliographyTitleChar"/>
    <w:rsid w:val="005B1706"/>
    <w:pPr>
      <w:jc w:val="center"/>
    </w:pPr>
    <w:rPr>
      <w:rFonts w:ascii="Calibri" w:hAnsi="Calibri"/>
      <w:noProof/>
    </w:rPr>
  </w:style>
  <w:style w:type="character" w:customStyle="1" w:styleId="EndNoteBibliographyTitleChar">
    <w:name w:val="EndNote Bibliography Title Char"/>
    <w:basedOn w:val="DefaultParagraphFont"/>
    <w:link w:val="EndNoteBibliographyTitle"/>
    <w:rsid w:val="005B1706"/>
    <w:rPr>
      <w:rFonts w:ascii="Calibri" w:eastAsiaTheme="minorEastAsia" w:hAnsi="Calibri"/>
      <w:noProof/>
      <w:sz w:val="24"/>
      <w:szCs w:val="24"/>
    </w:rPr>
  </w:style>
  <w:style w:type="paragraph" w:customStyle="1" w:styleId="EndNoteBibliography">
    <w:name w:val="EndNote Bibliography"/>
    <w:basedOn w:val="Normal"/>
    <w:link w:val="EndNoteBibliographyChar"/>
    <w:rsid w:val="005B1706"/>
    <w:rPr>
      <w:rFonts w:ascii="Calibri" w:hAnsi="Calibri"/>
      <w:noProof/>
    </w:rPr>
  </w:style>
  <w:style w:type="character" w:customStyle="1" w:styleId="EndNoteBibliographyChar">
    <w:name w:val="EndNote Bibliography Char"/>
    <w:basedOn w:val="DefaultParagraphFont"/>
    <w:link w:val="EndNoteBibliography"/>
    <w:rsid w:val="005B1706"/>
    <w:rPr>
      <w:rFonts w:ascii="Calibri" w:eastAsiaTheme="minorEastAsia" w:hAnsi="Calibri"/>
      <w:noProof/>
      <w:sz w:val="24"/>
      <w:szCs w:val="24"/>
    </w:rPr>
  </w:style>
  <w:style w:type="paragraph" w:styleId="CommentSubject">
    <w:name w:val="annotation subject"/>
    <w:basedOn w:val="CommentText"/>
    <w:next w:val="CommentText"/>
    <w:link w:val="CommentSubjectChar"/>
    <w:uiPriority w:val="99"/>
    <w:semiHidden/>
    <w:unhideWhenUsed/>
    <w:rsid w:val="00FE4FEB"/>
    <w:rPr>
      <w:b/>
      <w:bCs/>
    </w:rPr>
  </w:style>
  <w:style w:type="character" w:customStyle="1" w:styleId="CommentSubjectChar">
    <w:name w:val="Comment Subject Char"/>
    <w:basedOn w:val="CommentTextChar"/>
    <w:link w:val="CommentSubject"/>
    <w:uiPriority w:val="99"/>
    <w:semiHidden/>
    <w:rsid w:val="00FE4FEB"/>
    <w:rPr>
      <w:rFonts w:eastAsiaTheme="minorEastAsia"/>
      <w:b/>
      <w:bCs/>
      <w:sz w:val="20"/>
      <w:szCs w:val="20"/>
    </w:rPr>
  </w:style>
  <w:style w:type="paragraph" w:styleId="Header">
    <w:name w:val="header"/>
    <w:basedOn w:val="Normal"/>
    <w:link w:val="HeaderChar"/>
    <w:uiPriority w:val="99"/>
    <w:unhideWhenUsed/>
    <w:rsid w:val="000225FC"/>
    <w:pPr>
      <w:tabs>
        <w:tab w:val="center" w:pos="4680"/>
        <w:tab w:val="right" w:pos="9360"/>
      </w:tabs>
    </w:pPr>
  </w:style>
  <w:style w:type="character" w:customStyle="1" w:styleId="HeaderChar">
    <w:name w:val="Header Char"/>
    <w:basedOn w:val="DefaultParagraphFont"/>
    <w:link w:val="Header"/>
    <w:uiPriority w:val="99"/>
    <w:rsid w:val="000225FC"/>
    <w:rPr>
      <w:rFonts w:eastAsiaTheme="minorEastAsia"/>
      <w:sz w:val="24"/>
      <w:szCs w:val="24"/>
    </w:rPr>
  </w:style>
  <w:style w:type="paragraph" w:styleId="Footer">
    <w:name w:val="footer"/>
    <w:basedOn w:val="Normal"/>
    <w:link w:val="FooterChar"/>
    <w:uiPriority w:val="99"/>
    <w:unhideWhenUsed/>
    <w:rsid w:val="000225FC"/>
    <w:pPr>
      <w:tabs>
        <w:tab w:val="center" w:pos="4680"/>
        <w:tab w:val="right" w:pos="9360"/>
      </w:tabs>
    </w:pPr>
  </w:style>
  <w:style w:type="character" w:customStyle="1" w:styleId="FooterChar">
    <w:name w:val="Footer Char"/>
    <w:basedOn w:val="DefaultParagraphFont"/>
    <w:link w:val="Footer"/>
    <w:uiPriority w:val="99"/>
    <w:rsid w:val="000225FC"/>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pib.nl/rotterdamstudy" TargetMode="External"/><Relationship Id="rId13" Type="http://schemas.openxmlformats.org/officeDocument/2006/relationships/image" Target="media/image5.tiff"/><Relationship Id="rId18" Type="http://schemas.openxmlformats.org/officeDocument/2006/relationships/image" Target="media/image10.emf"/><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hyperlink" Target="http://www.inchiantistudy.net" TargetMode="Externa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settings" Target="settings.xml"/><Relationship Id="rId16" Type="http://schemas.openxmlformats.org/officeDocument/2006/relationships/image" Target="media/image8.emf"/><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mailto:Levyd@nih.gov" TargetMode="External"/><Relationship Id="rId11" Type="http://schemas.openxmlformats.org/officeDocument/2006/relationships/image" Target="media/image3.emf"/><Relationship Id="rId5" Type="http://schemas.openxmlformats.org/officeDocument/2006/relationships/endnotes" Target="endnotes.xml"/><Relationship Id="rId15" Type="http://schemas.openxmlformats.org/officeDocument/2006/relationships/image" Target="media/image7.png"/><Relationship Id="rId10" Type="http://schemas.openxmlformats.org/officeDocument/2006/relationships/image" Target="media/image2.tiff"/><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1.tiff"/><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TotalTime>
  <Pages>21</Pages>
  <Words>7315</Words>
  <Characters>41700</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Company>NHLBI</Company>
  <LinksUpToDate>false</LinksUpToDate>
  <CharactersWithSpaces>48918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Huan, Tianxiao (NIH/NHLBI) [C]</dc:creator>
  <cp:keywords/>
  <dc:description/>
  <cp:lastModifiedBy>Huan, Tianxiao (NIH/NHLBI) [C]</cp:lastModifiedBy>
  <cp:revision>60</cp:revision>
  <dcterms:created xsi:type="dcterms:W3CDTF">2015-11-19T20:48:00Z</dcterms:created>
  <dcterms:modified xsi:type="dcterms:W3CDTF">2016-07-20T20:08:00Z</dcterms:modified>
</cp:coreProperties>
</file>