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2F" w:rsidRPr="00B0155F" w:rsidRDefault="00B0155F">
      <w:pPr>
        <w:rPr>
          <w:b/>
          <w:color w:val="auto"/>
          <w:sz w:val="24"/>
        </w:rPr>
      </w:pPr>
      <w:r w:rsidRPr="00B0155F">
        <w:rPr>
          <w:b/>
          <w:color w:val="auto"/>
          <w:sz w:val="24"/>
        </w:rPr>
        <w:t>Supporting Information Legends</w:t>
      </w:r>
    </w:p>
    <w:p w:rsidR="00B0155F" w:rsidRDefault="00B0155F"/>
    <w:p w:rsidR="00B0155F" w:rsidRDefault="00B0155F"/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eastAsiaTheme="minorEastAsia" w:cs="Arial"/>
          <w:sz w:val="22"/>
          <w:szCs w:val="22"/>
          <w:lang w:val="en-GB" w:eastAsia="zh-TW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S1.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 xml:space="preserve">Comparisons of diversity between two different breeding pools and </w:t>
      </w:r>
      <w:r w:rsidRPr="00BB183A">
        <w:rPr>
          <w:rFonts w:cs="Arial"/>
          <w:i/>
          <w:color w:val="auto"/>
          <w:sz w:val="22"/>
          <w:szCs w:val="22"/>
          <w:lang w:val="en-GB"/>
        </w:rPr>
        <w:t xml:space="preserve">S. </w:t>
      </w:r>
      <w:proofErr w:type="spellStart"/>
      <w:r w:rsidRPr="00BB183A">
        <w:rPr>
          <w:rFonts w:cs="Arial"/>
          <w:i/>
          <w:color w:val="auto"/>
          <w:sz w:val="22"/>
          <w:szCs w:val="22"/>
          <w:lang w:val="en-GB"/>
        </w:rPr>
        <w:t>vavilovii</w:t>
      </w:r>
      <w:proofErr w:type="spellEnd"/>
      <w:r>
        <w:rPr>
          <w:rFonts w:cs="Arial"/>
          <w:i/>
          <w:color w:val="auto"/>
          <w:sz w:val="22"/>
          <w:szCs w:val="22"/>
          <w:lang w:val="en-GB"/>
        </w:rPr>
        <w:t>.</w:t>
      </w:r>
      <w:proofErr w:type="gramEnd"/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For the total number of SNVs (8,626,622) the percentage of shared and pool- or species-specific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polymorphisms is shown for seed (red) and pollen (blue) parent pool and 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S. </w:t>
      </w:r>
      <w:proofErr w:type="spellStart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vavilovii</w:t>
      </w:r>
      <w:proofErr w:type="spellEnd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(brown).</w:t>
      </w:r>
    </w:p>
    <w:p w:rsidR="00290D57" w:rsidRPr="00290D57" w:rsidRDefault="00290D57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S2.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Comparison of rye genes with non-synonymous SNVs (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nsSNVs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>) in the seed and pollen parent pools</w:t>
      </w:r>
      <w:r>
        <w:rPr>
          <w:rFonts w:cs="Arial"/>
          <w:color w:val="auto"/>
          <w:sz w:val="22"/>
          <w:szCs w:val="22"/>
          <w:lang w:val="en-GB"/>
        </w:rPr>
        <w:t>.</w:t>
      </w:r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The Venn diagram shows the number of genes that are affected by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nsSNV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mutation(s) in at least one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rye inbred line of the seed (red) or pollen (blue) parent pool. In total, 9,675 rye gene models carry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one or more radical mutations, whereas 18,109 gene models carry no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nsSNVs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>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S3.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Comparison of 2,934 gene model candidates showing presence/absence variation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diverging patterns of presence and absence observed in the rye gene-space between 11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resequenced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genotypes (10 inbred lines and 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S. </w:t>
      </w:r>
      <w:proofErr w:type="spellStart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vavilovii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) are represented by a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heatmap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for read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coverage breadth ranging from yellow (full coverage of a gene model) to red (less than 5% of the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gene length was covered).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S4.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Genotype proportion in the complete variant data set and the selected set of the Rye600k array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complete variant data set comprised 8,626,622 unique variant positions in the Lo7 assembly and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Rye600k variant data set 590,593 variant positions obtained from whole-genome sequencing.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bar plot shows which proportion (%) of the complete variant positions (blue) or the Rye600k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variant positions (red) were detected in each genotype, i.e. where the genotype showed the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alternative allele compared to the Lo7 reference allele. Absolute numbers of variants are given in the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table below. The figure shows that the design of the Rye600k used a significant proportion of </w:t>
      </w:r>
      <w:proofErr w:type="spellStart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S.vavilovii</w:t>
      </w:r>
      <w:proofErr w:type="spellEnd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SNVs to cover polymorphisms representative for rye genetic resources.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290D57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S5.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Phylogenetic tree constructed (A) from complete set of chromosome assigned SNVs and (B) from the Rye600k high density array</w:t>
      </w:r>
      <w:r>
        <w:rPr>
          <w:rFonts w:cs="Arial"/>
          <w:color w:val="auto"/>
          <w:sz w:val="22"/>
          <w:szCs w:val="22"/>
          <w:lang w:val="en-GB"/>
        </w:rPr>
        <w:t>.</w:t>
      </w:r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The tree was constructed from concatenated WGS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of Lo7. The different rye breeding lines cluster in seed parent pool (red) and pollen parent pool (blue) and in between the close relative </w:t>
      </w:r>
      <w:proofErr w:type="spellStart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S.vavilovii</w:t>
      </w:r>
      <w:proofErr w:type="spellEnd"/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(brown). Values at the branches were scaled in terms of expected numbers of substitutions. The scale was normalized to 1 defined as the average rate of changes using all changes observed in the dataset. For details see DNAML description (</w:t>
      </w:r>
      <w:r w:rsidR="00290D57">
        <w:rPr>
          <w:rFonts w:eastAsiaTheme="minorEastAsia" w:cs="Arial"/>
          <w:color w:val="0000FF"/>
          <w:sz w:val="22"/>
          <w:szCs w:val="22"/>
          <w:lang w:val="en-GB" w:eastAsia="zh-TW"/>
        </w:rPr>
        <w:t>http://evolution.genetics.washington.edu/phylip/doc/dnaml.html</w:t>
      </w:r>
      <w:r w:rsidR="00290D57">
        <w:rPr>
          <w:rFonts w:eastAsiaTheme="minorEastAsia" w:cs="Arial"/>
          <w:sz w:val="22"/>
          <w:szCs w:val="22"/>
          <w:lang w:val="en-GB" w:eastAsia="zh-TW"/>
        </w:rPr>
        <w:t>).</w:t>
      </w:r>
    </w:p>
    <w:p w:rsidR="00290D57" w:rsidRPr="00BB183A" w:rsidRDefault="00290D57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</w:p>
    <w:p w:rsidR="00290D57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eastAsiaTheme="minorEastAsia" w:cs="Arial"/>
          <w:sz w:val="22"/>
          <w:szCs w:val="22"/>
          <w:lang w:val="en-GB" w:eastAsia="zh-TW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S6.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Collinearity between the genetic maps of rye and wheat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order of gene-</w:t>
      </w:r>
      <w:r w:rsidR="00290D57">
        <w:rPr>
          <w:rFonts w:eastAsiaTheme="minorEastAsia" w:cs="Arial"/>
          <w:sz w:val="22"/>
          <w:szCs w:val="22"/>
          <w:lang w:val="en-GB" w:eastAsia="zh-TW"/>
        </w:rPr>
        <w:t>b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earing sequence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in the high-density genetic map of rye (x-axis) was compared to the order of their orthologous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in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the assemblies of the three wheat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subgenomes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A, B and D (Mayer et al. 2014) (y-axis). Chromosomes are separated by blue lines. Positions of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genetic centromeres are marked with dotted grey lines.</w:t>
      </w:r>
    </w:p>
    <w:p w:rsidR="00290D57" w:rsidRPr="00BB183A" w:rsidRDefault="00290D57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S7.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Position of genetic centromeres in the rye genetic map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Top: The number of anchored WGS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(y-axis) were tabulated in 5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cM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bins and plotted along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the genetic map (x-axis). The position of 5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cM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bins with the highest number of anchored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was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denoted as the position of the genetic centromere and marked with a red line. A second region of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suppressed recombination on chromosome arm 5RL, putatively caused by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neocentric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activity, is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marked with a green line.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Bottom: The positions of the genetic </w:t>
      </w:r>
      <w:r w:rsidR="00290D57">
        <w:rPr>
          <w:rFonts w:eastAsiaTheme="minorEastAsia" w:cs="Arial"/>
          <w:sz w:val="22"/>
          <w:szCs w:val="22"/>
          <w:lang w:val="en-GB" w:eastAsia="zh-TW"/>
        </w:rPr>
        <w:lastRenderedPageBreak/>
        <w:t xml:space="preserve">centromeres were determined for bin sizes of 5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cM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and 1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cM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as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the bin with the largest number of anchored sequence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(see table).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S8.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Genome-wide map of selection signals between the seed parent pool and genetic resources</w:t>
      </w:r>
      <w:r>
        <w:rPr>
          <w:rFonts w:cs="Arial"/>
          <w:color w:val="auto"/>
          <w:sz w:val="22"/>
          <w:szCs w:val="22"/>
          <w:lang w:val="en-GB"/>
        </w:rPr>
        <w:t>.</w:t>
      </w:r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plots for the seven rye chromosomes are based on 78,731 genetically mapped SNVs from the Rye600k array. The blue and red SNVs are the top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1% 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X</w:t>
      </w:r>
      <w:r w:rsidR="00290D57" w:rsidRPr="00290D57">
        <w:rPr>
          <w:rFonts w:eastAsiaTheme="minorEastAsia" w:cs="Arial"/>
          <w:i/>
          <w:iCs/>
          <w:sz w:val="22"/>
          <w:vertAlign w:val="superscript"/>
          <w:lang w:val="en-GB" w:eastAsia="zh-TW"/>
        </w:rPr>
        <w:t>T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X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values. The red SNVs are shared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Lositan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(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F</w:t>
      </w:r>
      <w:r w:rsidR="00290D57">
        <w:rPr>
          <w:rFonts w:eastAsiaTheme="minorEastAsia" w:cs="Arial"/>
          <w:i/>
          <w:iCs/>
          <w:sz w:val="14"/>
          <w:szCs w:val="14"/>
          <w:lang w:val="en-GB" w:eastAsia="zh-TW"/>
        </w:rPr>
        <w:t>ST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) outliers and top 1% 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X</w:t>
      </w:r>
      <w:r w:rsidR="00290D57" w:rsidRPr="00290D57">
        <w:rPr>
          <w:rFonts w:eastAsiaTheme="minorEastAsia" w:cs="Arial"/>
          <w:i/>
          <w:iCs/>
          <w:sz w:val="22"/>
          <w:vertAlign w:val="superscript"/>
          <w:lang w:val="en-GB" w:eastAsia="zh-TW"/>
        </w:rPr>
        <w:t>T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X </w:t>
      </w:r>
      <w:r w:rsidR="00290D57">
        <w:rPr>
          <w:rFonts w:eastAsiaTheme="minorEastAsia" w:cs="Arial"/>
          <w:sz w:val="22"/>
          <w:szCs w:val="22"/>
          <w:lang w:val="en-GB" w:eastAsia="zh-TW"/>
        </w:rPr>
        <w:t>values. Centromere positions are indicated by the triangle on the x-axis.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S9.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Genome-wide map of selection signals between the pollen parent pool and genetic resources</w:t>
      </w:r>
      <w:r>
        <w:rPr>
          <w:rFonts w:cs="Arial"/>
          <w:color w:val="auto"/>
          <w:sz w:val="22"/>
          <w:szCs w:val="22"/>
          <w:lang w:val="en-GB"/>
        </w:rPr>
        <w:t>.</w:t>
      </w:r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plots for the seven rye chromosomes are based on 78,731 genetically mapped SNVs from the Rye600k array. The blue and red SNVs are the top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1% 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X</w:t>
      </w:r>
      <w:r w:rsidR="00290D57" w:rsidRPr="00290D57">
        <w:rPr>
          <w:rFonts w:eastAsiaTheme="minorEastAsia" w:cs="Arial"/>
          <w:i/>
          <w:iCs/>
          <w:sz w:val="22"/>
          <w:vertAlign w:val="superscript"/>
          <w:lang w:val="en-GB" w:eastAsia="zh-TW"/>
        </w:rPr>
        <w:t>T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X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values. The red SNVs are shared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Lositan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(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F</w:t>
      </w:r>
      <w:r w:rsidR="00290D57">
        <w:rPr>
          <w:rFonts w:eastAsiaTheme="minorEastAsia" w:cs="Arial"/>
          <w:i/>
          <w:iCs/>
          <w:sz w:val="14"/>
          <w:szCs w:val="14"/>
          <w:lang w:val="en-GB" w:eastAsia="zh-TW"/>
        </w:rPr>
        <w:t>ST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) outliers and top 1% 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>X</w:t>
      </w:r>
      <w:r w:rsidR="00290D57" w:rsidRPr="00290D57">
        <w:rPr>
          <w:rFonts w:eastAsiaTheme="minorEastAsia" w:cs="Arial"/>
          <w:i/>
          <w:iCs/>
          <w:sz w:val="22"/>
          <w:vertAlign w:val="superscript"/>
          <w:lang w:val="en-GB" w:eastAsia="zh-TW"/>
        </w:rPr>
        <w:t>T</w:t>
      </w:r>
      <w:r w:rsidR="00290D57">
        <w:rPr>
          <w:rFonts w:eastAsiaTheme="minorEastAsia" w:cs="Arial"/>
          <w:i/>
          <w:iCs/>
          <w:sz w:val="22"/>
          <w:szCs w:val="22"/>
          <w:lang w:val="en-GB" w:eastAsia="zh-TW"/>
        </w:rPr>
        <w:t xml:space="preserve">X </w:t>
      </w:r>
      <w:r w:rsidR="00290D57">
        <w:rPr>
          <w:rFonts w:eastAsiaTheme="minorEastAsia" w:cs="Arial"/>
          <w:sz w:val="22"/>
          <w:szCs w:val="22"/>
          <w:lang w:val="en-GB" w:eastAsia="zh-TW"/>
        </w:rPr>
        <w:t>values. Centromere positions are indicated by the triangle on the x-axis.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S10.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Hierarchical scaffolding scheme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The scaffolding process was divided into the three sub-processes: A) Chromosome sorting of WGS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and mate-pair (MP) libraries using CARMA. B) Chromosome-specific scaffolding using a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hierarchical approach that started with short distance (LJD3, 3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kbp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>) MP libraries and subsequently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inserted the remaining libraries with increasing distances (LJD8, 8 kb and LJD20, 20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kbp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). The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subprocess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was performed for each chromosome individually. C) Genome scaffolding applying the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hierarchical approach using the complete set (assigned and un-assigned sequences) of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scaffolded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and un-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scaffolded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WGS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>. To avoid chimeric sequences, the scaffolding process was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supervised using the information of a genetic map. With this control the scaffolding of WGS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contigs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that had a genetic distance &gt;1cM was not permitted.</w:t>
      </w:r>
    </w:p>
    <w:p w:rsidR="00290D57" w:rsidRPr="00BB183A" w:rsidRDefault="00290D57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Pr="00BB183A" w:rsidRDefault="00B0155F" w:rsidP="00290D57">
      <w:pPr>
        <w:tabs>
          <w:tab w:val="clear" w:pos="708"/>
        </w:tabs>
        <w:suppressAutoHyphens w:val="0"/>
        <w:overflowPunct/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Figure S11.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Process and parameter settings of the Rye600k array design</w:t>
      </w:r>
      <w:r>
        <w:rPr>
          <w:rFonts w:cs="Arial"/>
          <w:color w:val="auto"/>
          <w:sz w:val="22"/>
          <w:szCs w:val="22"/>
          <w:lang w:val="en-GB"/>
        </w:rPr>
        <w:t>.</w:t>
      </w:r>
      <w:r w:rsidR="00290D57">
        <w:rPr>
          <w:rFonts w:cs="Arial"/>
          <w:color w:val="auto"/>
          <w:sz w:val="22"/>
          <w:szCs w:val="22"/>
          <w:lang w:val="en-GB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A) The process was divided in two phases. Phase I aggregated a wide spectrum of pre-computed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information and the phase II combined these features of a SNV to select markers with the best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priority setting. In total 8.6 million SNVs were analysed that all fulfilled the prior requirements of a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qualitative variant call. At the end of the evaluation 600,843 markers were represented on the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Rye600k array (including 10,250 markers from a previous custom Illumina </w:t>
      </w:r>
      <w:proofErr w:type="spellStart"/>
      <w:r w:rsidR="00290D57">
        <w:rPr>
          <w:rFonts w:eastAsiaTheme="minorEastAsia" w:cs="Arial"/>
          <w:sz w:val="22"/>
          <w:szCs w:val="22"/>
          <w:lang w:val="en-GB" w:eastAsia="zh-TW"/>
        </w:rPr>
        <w:t>Infinium</w:t>
      </w:r>
      <w:proofErr w:type="spellEnd"/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SNP array).</w:t>
      </w:r>
      <w:r w:rsidR="00290D57">
        <w:rPr>
          <w:rFonts w:eastAsiaTheme="minorEastAsia" w:cs="Arial"/>
          <w:sz w:val="22"/>
          <w:szCs w:val="22"/>
          <w:lang w:val="en-GB" w:eastAsia="zh-TW"/>
        </w:rPr>
        <w:t xml:space="preserve"> </w:t>
      </w:r>
      <w:r w:rsidR="00290D57">
        <w:rPr>
          <w:rFonts w:eastAsiaTheme="minorEastAsia" w:cs="Arial"/>
          <w:sz w:val="22"/>
          <w:szCs w:val="22"/>
          <w:lang w:val="en-GB" w:eastAsia="zh-TW"/>
        </w:rPr>
        <w:t>B) Parameter settings for selection of SNVs for the Rye600k array using three stringency thresholds.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S1.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EBI/ENA sequence information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S2.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Statistics of the WGS sequencing and read quality processing of reference line Lo7</w:t>
      </w:r>
      <w:r>
        <w:rPr>
          <w:rFonts w:cs="Arial"/>
          <w:color w:val="auto"/>
          <w:sz w:val="22"/>
          <w:szCs w:val="22"/>
          <w:lang w:val="en-GB"/>
        </w:rPr>
        <w:t>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S3.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High-confidence gene set of rye</w:t>
      </w:r>
      <w:r>
        <w:rPr>
          <w:rFonts w:cs="Arial"/>
          <w:color w:val="auto"/>
          <w:sz w:val="22"/>
          <w:szCs w:val="22"/>
          <w:lang w:val="en-GB"/>
        </w:rPr>
        <w:t>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S4.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>BUSCO analysis of genome (WGS assembly), protein and transcript data sets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S5.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Transposable element composition of the rye genome in the Lo7 WGS assembly and in 800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Mbp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 xml:space="preserve"> of random Illumina reads</w:t>
      </w:r>
      <w:r>
        <w:rPr>
          <w:rFonts w:cs="Arial"/>
          <w:color w:val="auto"/>
          <w:sz w:val="22"/>
          <w:szCs w:val="22"/>
          <w:lang w:val="en-GB"/>
        </w:rPr>
        <w:t>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lastRenderedPageBreak/>
        <w:t>Table S6.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Statistics for resequencing results and read alignment statistics of the 10 rye inbred lines and </w:t>
      </w:r>
      <w:r w:rsidRPr="00BB183A">
        <w:rPr>
          <w:rFonts w:cs="Arial"/>
          <w:i/>
          <w:color w:val="auto"/>
          <w:sz w:val="22"/>
          <w:szCs w:val="22"/>
          <w:lang w:val="en-GB"/>
        </w:rPr>
        <w:t xml:space="preserve">S. </w:t>
      </w:r>
      <w:proofErr w:type="spellStart"/>
      <w:r w:rsidRPr="00BB183A">
        <w:rPr>
          <w:rFonts w:cs="Arial"/>
          <w:i/>
          <w:color w:val="auto"/>
          <w:sz w:val="22"/>
          <w:szCs w:val="22"/>
          <w:lang w:val="en-GB"/>
        </w:rPr>
        <w:t>vavilovii</w:t>
      </w:r>
      <w:proofErr w:type="spellEnd"/>
      <w:r>
        <w:rPr>
          <w:rFonts w:cs="Arial"/>
          <w:i/>
          <w:color w:val="auto"/>
          <w:sz w:val="22"/>
          <w:szCs w:val="22"/>
          <w:lang w:val="en-GB"/>
        </w:rPr>
        <w:t>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S7.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Functional annotation of SNVs discovered in 10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resequenced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 xml:space="preserve"> rye inbred lines and </w:t>
      </w:r>
      <w:r w:rsidRPr="00BB183A">
        <w:rPr>
          <w:rFonts w:cs="Arial"/>
          <w:i/>
          <w:color w:val="auto"/>
          <w:sz w:val="22"/>
          <w:szCs w:val="22"/>
          <w:lang w:val="en-GB"/>
        </w:rPr>
        <w:t xml:space="preserve">S. </w:t>
      </w:r>
      <w:proofErr w:type="spellStart"/>
      <w:r w:rsidRPr="00BB183A">
        <w:rPr>
          <w:rFonts w:cs="Arial"/>
          <w:i/>
          <w:color w:val="auto"/>
          <w:sz w:val="22"/>
          <w:szCs w:val="22"/>
          <w:lang w:val="en-GB"/>
        </w:rPr>
        <w:t>vavilovii</w:t>
      </w:r>
      <w:proofErr w:type="spellEnd"/>
      <w:r>
        <w:rPr>
          <w:rFonts w:cs="Arial"/>
          <w:i/>
          <w:color w:val="auto"/>
          <w:sz w:val="22"/>
          <w:szCs w:val="22"/>
          <w:lang w:val="en-GB"/>
        </w:rPr>
        <w:t>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S8.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 xml:space="preserve">Classification of SNVs on the Rye600k array according to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Affymetrix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 xml:space="preserve"> SNV categories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S9.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Overview statistics for the Lo7 </w:t>
      </w:r>
      <w:r w:rsidRPr="00BB183A">
        <w:rPr>
          <w:rFonts w:cs="Arial"/>
          <w:color w:val="auto"/>
          <w:sz w:val="22"/>
          <w:szCs w:val="22"/>
          <w:lang w:val="en-GB"/>
        </w:rPr>
        <w:sym w:font="Symbol" w:char="F0B4"/>
      </w:r>
      <w:r w:rsidRPr="00BB183A">
        <w:rPr>
          <w:rFonts w:cs="Arial"/>
          <w:color w:val="auto"/>
          <w:sz w:val="22"/>
          <w:szCs w:val="22"/>
          <w:lang w:val="en-GB"/>
        </w:rPr>
        <w:t xml:space="preserve"> Lo225 high-density genetic map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S10.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 xml:space="preserve">Rice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orthologs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 xml:space="preserve"> for selection candidates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S11.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gramStart"/>
      <w:r w:rsidRPr="00BB183A">
        <w:rPr>
          <w:rFonts w:cs="Arial"/>
          <w:color w:val="auto"/>
          <w:sz w:val="22"/>
          <w:szCs w:val="22"/>
          <w:lang w:val="en-GB"/>
        </w:rPr>
        <w:t xml:space="preserve">Nucleotide diversity π for 22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contigs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 xml:space="preserve"> harbouring SNVs which were under selection</w:t>
      </w:r>
      <w:r>
        <w:rPr>
          <w:rFonts w:cs="Arial"/>
          <w:color w:val="auto"/>
          <w:sz w:val="22"/>
          <w:szCs w:val="22"/>
          <w:lang w:val="en-GB"/>
        </w:rPr>
        <w:t>.</w:t>
      </w:r>
      <w:proofErr w:type="gramEnd"/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S12.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Assignment of WGS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contigs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 xml:space="preserve"> and scaffolds to rye chromosomes based on </w:t>
      </w:r>
      <w:proofErr w:type="spellStart"/>
      <w:r w:rsidRPr="00BB183A">
        <w:rPr>
          <w:rFonts w:cs="Arial"/>
          <w:color w:val="auto"/>
          <w:sz w:val="22"/>
          <w:szCs w:val="22"/>
          <w:lang w:val="en-GB"/>
        </w:rPr>
        <w:t>CarmA</w:t>
      </w:r>
      <w:proofErr w:type="spellEnd"/>
      <w:r w:rsidRPr="00BB183A">
        <w:rPr>
          <w:rFonts w:cs="Arial"/>
          <w:color w:val="auto"/>
          <w:sz w:val="22"/>
          <w:szCs w:val="22"/>
          <w:lang w:val="en-GB"/>
        </w:rPr>
        <w:t>, 88k genetic map and Rye Genome Zipper</w:t>
      </w:r>
      <w:r>
        <w:rPr>
          <w:rFonts w:cs="Arial"/>
          <w:color w:val="auto"/>
          <w:sz w:val="22"/>
          <w:szCs w:val="22"/>
          <w:lang w:val="en-GB"/>
        </w:rPr>
        <w:t>.</w:t>
      </w:r>
    </w:p>
    <w:p w:rsidR="00B0155F" w:rsidRPr="00BB183A" w:rsidRDefault="00B0155F" w:rsidP="00B0155F">
      <w:pPr>
        <w:spacing w:line="480" w:lineRule="auto"/>
        <w:ind w:left="709" w:hanging="709"/>
        <w:jc w:val="both"/>
        <w:rPr>
          <w:rFonts w:cs="Arial"/>
          <w:color w:val="auto"/>
          <w:sz w:val="22"/>
          <w:szCs w:val="22"/>
          <w:lang w:val="en-GB"/>
        </w:rPr>
      </w:pPr>
      <w:r w:rsidRPr="00BB183A">
        <w:rPr>
          <w:rFonts w:cs="Arial"/>
          <w:b/>
          <w:color w:val="auto"/>
          <w:sz w:val="22"/>
          <w:szCs w:val="22"/>
          <w:lang w:val="en-GB"/>
        </w:rPr>
        <w:t>Table S13.</w:t>
      </w:r>
      <w:r w:rsidRPr="00BB183A">
        <w:rPr>
          <w:rFonts w:cs="Arial"/>
          <w:color w:val="auto"/>
          <w:sz w:val="22"/>
          <w:szCs w:val="22"/>
          <w:lang w:val="en-GB"/>
        </w:rPr>
        <w:t xml:space="preserve"> List of rye inbred lines and accessions genotyped with the Rye600k array for genome-wide selection screens</w:t>
      </w:r>
      <w:r>
        <w:rPr>
          <w:rFonts w:cs="Arial"/>
          <w:color w:val="auto"/>
          <w:sz w:val="22"/>
          <w:szCs w:val="22"/>
          <w:lang w:val="en-GB"/>
        </w:rPr>
        <w:t>.</w:t>
      </w:r>
    </w:p>
    <w:p w:rsidR="00B0155F" w:rsidRDefault="00B0155F">
      <w:bookmarkStart w:id="0" w:name="_GoBack"/>
      <w:bookmarkEnd w:id="0"/>
    </w:p>
    <w:sectPr w:rsidR="00B015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MS Mincho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30"/>
    <w:rsid w:val="00290D57"/>
    <w:rsid w:val="00502913"/>
    <w:rsid w:val="0081760E"/>
    <w:rsid w:val="008D3070"/>
    <w:rsid w:val="00A04298"/>
    <w:rsid w:val="00B0155F"/>
    <w:rsid w:val="00C07730"/>
    <w:rsid w:val="00D2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155F"/>
    <w:pPr>
      <w:tabs>
        <w:tab w:val="left" w:pos="708"/>
      </w:tabs>
      <w:suppressAutoHyphens/>
      <w:overflowPunct w:val="0"/>
      <w:spacing w:after="0" w:line="240" w:lineRule="auto"/>
    </w:pPr>
    <w:rPr>
      <w:rFonts w:ascii="Arial" w:eastAsia="Droid Sans Fallback" w:hAnsi="Arial" w:cs="Lohit Hindi"/>
      <w:color w:val="00000A"/>
      <w:sz w:val="20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155F"/>
    <w:pPr>
      <w:tabs>
        <w:tab w:val="left" w:pos="708"/>
      </w:tabs>
      <w:suppressAutoHyphens/>
      <w:overflowPunct w:val="0"/>
      <w:spacing w:after="0" w:line="240" w:lineRule="auto"/>
    </w:pPr>
    <w:rPr>
      <w:rFonts w:ascii="Arial" w:eastAsia="Droid Sans Fallback" w:hAnsi="Arial" w:cs="Lohit Hindi"/>
      <w:color w:val="00000A"/>
      <w:sz w:val="20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Ruddock, Jim - Oxford</dc:creator>
  <cp:lastModifiedBy>Ruddock, Jim - Oxford</cp:lastModifiedBy>
  <cp:revision>2</cp:revision>
  <dcterms:created xsi:type="dcterms:W3CDTF">2016-11-23T13:55:00Z</dcterms:created>
  <dcterms:modified xsi:type="dcterms:W3CDTF">2016-11-23T14:14:00Z</dcterms:modified>
</cp:coreProperties>
</file>