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20" w:rsidRPr="00902520" w:rsidRDefault="00902520" w:rsidP="00902520">
      <w:pPr>
        <w:spacing w:after="120"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02520">
        <w:rPr>
          <w:rFonts w:ascii="Arial" w:hAnsi="Arial" w:cs="Arial"/>
          <w:b/>
          <w:sz w:val="20"/>
          <w:szCs w:val="20"/>
          <w:lang w:val="en-US"/>
        </w:rPr>
        <w:t>Supplementary Figure 1</w:t>
      </w:r>
    </w:p>
    <w:p w:rsidR="00902520" w:rsidRPr="00902520" w:rsidRDefault="00902520" w:rsidP="00902520">
      <w:pPr>
        <w:spacing w:after="12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902520">
        <w:rPr>
          <w:rFonts w:ascii="Arial" w:hAnsi="Arial" w:cs="Arial"/>
          <w:sz w:val="20"/>
          <w:szCs w:val="20"/>
          <w:lang w:val="en-US"/>
        </w:rPr>
        <w:t>Quantification of each marker (TFF2, DCLK1, GC ratio and LGR5) at a close (&lt;3mm) and distal (&gt;3mm) site to the neighboring dysplastic tissue.</w:t>
      </w:r>
      <w:proofErr w:type="gramEnd"/>
      <w:r w:rsidRPr="00902520">
        <w:rPr>
          <w:rFonts w:ascii="Arial" w:hAnsi="Arial" w:cs="Arial"/>
          <w:sz w:val="20"/>
          <w:szCs w:val="20"/>
          <w:lang w:val="en-US"/>
        </w:rPr>
        <w:t xml:space="preserve"> Multiple slides such as the representative one where counted to detect tissue as far as possible away from the dysplastic lesion in order to exclude a specific effect of the tumor tissue on the direct adjacent microenvironment. No significant differences were observed.</w:t>
      </w:r>
    </w:p>
    <w:p w:rsidR="00F43D3E" w:rsidRDefault="00902520">
      <w:r>
        <w:rPr>
          <w:noProof/>
          <w:lang w:val="en-US" w:eastAsia="en-US"/>
        </w:rPr>
        <w:drawing>
          <wp:inline distT="0" distB="0" distL="0" distR="0">
            <wp:extent cx="5270500" cy="260917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0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3D3E" w:rsidSect="00F43D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Optima ExtraBlack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20"/>
    <w:rsid w:val="00902520"/>
    <w:rsid w:val="00F4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2DBB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20"/>
    <w:rPr>
      <w:rFonts w:ascii="Cambria" w:eastAsia="MS ??" w:hAnsi="Cambria" w:cs="Cambr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5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520"/>
    <w:rPr>
      <w:rFonts w:ascii="Lucida Grande" w:eastAsia="MS ??" w:hAnsi="Lucida Grande" w:cs="Lucida Grande"/>
      <w:sz w:val="18"/>
      <w:szCs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20"/>
    <w:rPr>
      <w:rFonts w:ascii="Cambria" w:eastAsia="MS ??" w:hAnsi="Cambria" w:cs="Cambr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5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520"/>
    <w:rPr>
      <w:rFonts w:ascii="Lucida Grande" w:eastAsia="MS ??" w:hAnsi="Lucida Grande" w:cs="Lucida Grande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Macintosh Word</Application>
  <DocSecurity>0</DocSecurity>
  <Lines>3</Lines>
  <Paragraphs>1</Paragraphs>
  <ScaleCrop>false</ScaleCrop>
  <Company>Columbia University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Quante</dc:creator>
  <cp:keywords/>
  <dc:description/>
  <cp:lastModifiedBy>Michael Quante</cp:lastModifiedBy>
  <cp:revision>1</cp:revision>
  <dcterms:created xsi:type="dcterms:W3CDTF">2016-09-19T18:10:00Z</dcterms:created>
  <dcterms:modified xsi:type="dcterms:W3CDTF">2016-09-19T18:11:00Z</dcterms:modified>
</cp:coreProperties>
</file>