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96C" w:rsidRDefault="00E6096C">
      <w:pPr>
        <w:rPr>
          <w:rFonts w:ascii="Times New Roman" w:hAnsi="Times New Roman"/>
          <w:sz w:val="24"/>
          <w:szCs w:val="24"/>
          <w:lang w:val="en-US"/>
        </w:rPr>
      </w:pPr>
      <w:r w:rsidRPr="006D6C81">
        <w:rPr>
          <w:rFonts w:ascii="Times New Roman" w:hAnsi="Times New Roman"/>
          <w:sz w:val="24"/>
          <w:szCs w:val="24"/>
          <w:lang w:val="en-US"/>
        </w:rPr>
        <w:t xml:space="preserve">Online supplement </w:t>
      </w:r>
      <w:r w:rsidR="00581A92">
        <w:rPr>
          <w:rFonts w:ascii="Times New Roman" w:hAnsi="Times New Roman"/>
          <w:sz w:val="24"/>
          <w:szCs w:val="24"/>
          <w:lang w:val="en-US"/>
        </w:rPr>
        <w:t>for manuscript:</w:t>
      </w:r>
    </w:p>
    <w:p w:rsidR="00416079" w:rsidRPr="00416079" w:rsidRDefault="00416079" w:rsidP="0041607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4F81BD"/>
          <w:sz w:val="28"/>
          <w:szCs w:val="28"/>
          <w:lang w:val="en-US"/>
        </w:rPr>
      </w:pPr>
      <w:r w:rsidRPr="00416079">
        <w:rPr>
          <w:rFonts w:ascii="Times New Roman" w:hAnsi="Times New Roman"/>
          <w:sz w:val="28"/>
          <w:szCs w:val="28"/>
          <w:lang w:val="en-US" w:eastAsia="nl-NL"/>
        </w:rPr>
        <w:t>Spatial variations and development of land use regression models of oxidative potential in ten European study areas</w:t>
      </w:r>
      <w:r w:rsidRPr="00416079" w:rsidDel="00AF7E37">
        <w:rPr>
          <w:rFonts w:ascii="Times New Roman" w:hAnsi="Times New Roman"/>
          <w:b/>
          <w:color w:val="4F81BD"/>
          <w:sz w:val="28"/>
          <w:szCs w:val="28"/>
          <w:lang w:val="en-US"/>
        </w:rPr>
        <w:t xml:space="preserve"> </w:t>
      </w:r>
    </w:p>
    <w:p w:rsidR="00870FD1" w:rsidRPr="00870FD1" w:rsidRDefault="00B347BB" w:rsidP="00870FD1">
      <w:pPr>
        <w:spacing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:rsidR="00870FD1" w:rsidRPr="00870FD1" w:rsidRDefault="00870FD1" w:rsidP="00870FD1">
      <w:pPr>
        <w:spacing w:line="240" w:lineRule="auto"/>
        <w:rPr>
          <w:rFonts w:ascii="Times" w:hAnsi="Times"/>
          <w:lang w:val="en-US"/>
        </w:rPr>
      </w:pPr>
      <w:r w:rsidRPr="00870FD1">
        <w:rPr>
          <w:rFonts w:ascii="Times" w:hAnsi="Times"/>
          <w:lang w:val="en-US"/>
        </w:rPr>
        <w:t xml:space="preserve">Aleksandra Jedynska , Gerard Hoek , Meng Wang , </w:t>
      </w:r>
      <w:r w:rsidRPr="00870FD1">
        <w:rPr>
          <w:rFonts w:ascii="AdvOT863180fb" w:hAnsi="AdvOT863180fb" w:cs="AdvOT863180fb"/>
          <w:sz w:val="21"/>
          <w:szCs w:val="21"/>
          <w:lang w:val="en-US" w:eastAsia="nl-NL"/>
        </w:rPr>
        <w:t>Aileen Yang ,</w:t>
      </w:r>
      <w:r w:rsidRPr="00870FD1">
        <w:rPr>
          <w:rFonts w:ascii="Times" w:hAnsi="Times"/>
          <w:lang w:val="en-US"/>
        </w:rPr>
        <w:t xml:space="preserve"> Marloes </w:t>
      </w:r>
      <w:proofErr w:type="spellStart"/>
      <w:r w:rsidRPr="00870FD1">
        <w:rPr>
          <w:rFonts w:ascii="Times" w:hAnsi="Times"/>
          <w:lang w:val="en-US"/>
        </w:rPr>
        <w:t>Eeftens</w:t>
      </w:r>
      <w:proofErr w:type="spellEnd"/>
      <w:r w:rsidRPr="00870FD1">
        <w:rPr>
          <w:rFonts w:ascii="Times" w:hAnsi="Times"/>
          <w:lang w:val="en-US"/>
        </w:rPr>
        <w:t xml:space="preserve">, Josef Cyrys , Menno Keuken , Christophe </w:t>
      </w:r>
      <w:proofErr w:type="spellStart"/>
      <w:r w:rsidRPr="00870FD1">
        <w:rPr>
          <w:rFonts w:ascii="Times" w:hAnsi="Times"/>
          <w:lang w:val="en-US"/>
        </w:rPr>
        <w:t>Ampe</w:t>
      </w:r>
      <w:proofErr w:type="spellEnd"/>
      <w:r w:rsidRPr="00870FD1">
        <w:rPr>
          <w:rFonts w:ascii="Times" w:hAnsi="Times"/>
          <w:lang w:val="en-US"/>
        </w:rPr>
        <w:t xml:space="preserve"> , Rob Beelen , Giulia Cesaroni</w:t>
      </w:r>
      <w:r>
        <w:rPr>
          <w:rFonts w:ascii="Times" w:hAnsi="Times"/>
          <w:vertAlign w:val="superscript"/>
          <w:lang w:val="en-US"/>
        </w:rPr>
        <w:t xml:space="preserve"> , </w:t>
      </w:r>
      <w:r w:rsidRPr="00870FD1">
        <w:rPr>
          <w:rFonts w:ascii="Times" w:hAnsi="Times"/>
          <w:lang w:val="en-US"/>
        </w:rPr>
        <w:t xml:space="preserve"> </w:t>
      </w:r>
      <w:r w:rsidRPr="00870FD1">
        <w:rPr>
          <w:rFonts w:ascii="Times" w:hAnsi="Times" w:cs="Arial"/>
          <w:color w:val="000000"/>
          <w:lang w:val="en-US"/>
        </w:rPr>
        <w:t xml:space="preserve">Francesco </w:t>
      </w:r>
      <w:proofErr w:type="spellStart"/>
      <w:r w:rsidRPr="00870FD1">
        <w:rPr>
          <w:rFonts w:ascii="Times" w:hAnsi="Times" w:cs="Arial"/>
          <w:color w:val="000000"/>
          <w:lang w:val="en-US"/>
        </w:rPr>
        <w:t>Forastiere</w:t>
      </w:r>
      <w:r w:rsidRPr="00870FD1">
        <w:rPr>
          <w:rFonts w:ascii="Times" w:hAnsi="Times" w:cs="Arial"/>
          <w:color w:val="000000"/>
          <w:vertAlign w:val="superscript"/>
          <w:lang w:val="en-US"/>
        </w:rPr>
        <w:t>f</w:t>
      </w:r>
      <w:proofErr w:type="spellEnd"/>
      <w:r w:rsidRPr="00870FD1">
        <w:rPr>
          <w:rFonts w:ascii="Times" w:hAnsi="Times"/>
          <w:lang w:val="en-US"/>
        </w:rPr>
        <w:t xml:space="preserve">, Marta </w:t>
      </w:r>
      <w:proofErr w:type="spellStart"/>
      <w:r w:rsidRPr="00870FD1">
        <w:rPr>
          <w:rFonts w:ascii="Times" w:hAnsi="Times"/>
          <w:lang w:val="en-US"/>
        </w:rPr>
        <w:t>Cirach</w:t>
      </w:r>
      <w:proofErr w:type="spellEnd"/>
      <w:r w:rsidRPr="00870FD1">
        <w:rPr>
          <w:rFonts w:ascii="Times" w:hAnsi="Times"/>
          <w:lang w:val="en-US"/>
        </w:rPr>
        <w:t>, , Kees de Hoogh</w:t>
      </w:r>
      <w:r>
        <w:rPr>
          <w:rFonts w:ascii="Times" w:hAnsi="Times"/>
          <w:lang w:val="en-US"/>
        </w:rPr>
        <w:t>, Audrey De Nazelle</w:t>
      </w:r>
      <w:r w:rsidRPr="00870FD1">
        <w:rPr>
          <w:rFonts w:ascii="Times" w:hAnsi="Times"/>
          <w:lang w:val="en-US"/>
        </w:rPr>
        <w:t xml:space="preserve">, </w:t>
      </w:r>
      <w:proofErr w:type="spellStart"/>
      <w:r w:rsidRPr="00870FD1">
        <w:rPr>
          <w:rFonts w:ascii="Times" w:hAnsi="Times"/>
          <w:lang w:val="en-US"/>
        </w:rPr>
        <w:t>Wenche</w:t>
      </w:r>
      <w:proofErr w:type="spellEnd"/>
      <w:r w:rsidRPr="00870FD1">
        <w:rPr>
          <w:rFonts w:ascii="Times" w:hAnsi="Times"/>
          <w:lang w:val="en-US"/>
        </w:rPr>
        <w:t xml:space="preserve"> </w:t>
      </w:r>
      <w:proofErr w:type="spellStart"/>
      <w:r w:rsidRPr="00870FD1">
        <w:rPr>
          <w:rFonts w:ascii="Times" w:hAnsi="Times"/>
          <w:lang w:val="en-US"/>
        </w:rPr>
        <w:t>Nystad</w:t>
      </w:r>
      <w:proofErr w:type="spellEnd"/>
      <w:r w:rsidRPr="00870FD1">
        <w:rPr>
          <w:rFonts w:ascii="Times" w:hAnsi="Times"/>
          <w:lang w:val="en-US"/>
        </w:rPr>
        <w:t xml:space="preserve">, Helgah Makarem </w:t>
      </w:r>
      <w:proofErr w:type="spellStart"/>
      <w:r w:rsidRPr="00870FD1">
        <w:rPr>
          <w:rFonts w:ascii="Times" w:hAnsi="Times" w:cs="Arial"/>
          <w:color w:val="000000"/>
          <w:lang w:val="en-US" w:eastAsia="nl-NL"/>
        </w:rPr>
        <w:t>Akhlaghi</w:t>
      </w:r>
      <w:proofErr w:type="spellEnd"/>
      <w:r w:rsidRPr="00870FD1">
        <w:rPr>
          <w:rFonts w:ascii="Times" w:hAnsi="Times" w:cs="Arial"/>
          <w:color w:val="000000"/>
          <w:lang w:val="en-US" w:eastAsia="nl-NL"/>
        </w:rPr>
        <w:t>,</w:t>
      </w:r>
      <w:r w:rsidRPr="00870FD1">
        <w:rPr>
          <w:rFonts w:ascii="Times" w:hAnsi="Times"/>
          <w:lang w:val="en-US"/>
        </w:rPr>
        <w:t xml:space="preserve"> Christophe </w:t>
      </w:r>
      <w:proofErr w:type="spellStart"/>
      <w:r w:rsidRPr="00870FD1">
        <w:rPr>
          <w:rFonts w:ascii="Times" w:hAnsi="Times"/>
          <w:lang w:val="en-US"/>
        </w:rPr>
        <w:t>Declercq</w:t>
      </w:r>
      <w:proofErr w:type="spellEnd"/>
      <w:r>
        <w:rPr>
          <w:rFonts w:ascii="Times" w:hAnsi="Times"/>
          <w:lang w:val="en-US"/>
        </w:rPr>
        <w:t xml:space="preserve">, </w:t>
      </w:r>
      <w:proofErr w:type="spellStart"/>
      <w:r w:rsidR="00485136" w:rsidRPr="00485136">
        <w:rPr>
          <w:rFonts w:ascii="Times" w:hAnsi="Times"/>
          <w:lang w:val="en-US"/>
        </w:rPr>
        <w:t>Morgane</w:t>
      </w:r>
      <w:proofErr w:type="spellEnd"/>
      <w:r w:rsidR="00485136" w:rsidRPr="00485136">
        <w:rPr>
          <w:rFonts w:ascii="Times" w:hAnsi="Times"/>
          <w:lang w:val="en-US"/>
        </w:rPr>
        <w:t xml:space="preserve"> </w:t>
      </w:r>
      <w:proofErr w:type="spellStart"/>
      <w:r w:rsidR="00485136" w:rsidRPr="00485136">
        <w:rPr>
          <w:rFonts w:ascii="Times" w:hAnsi="Times"/>
          <w:lang w:val="en-US"/>
        </w:rPr>
        <w:t>Stempfelet</w:t>
      </w:r>
      <w:proofErr w:type="spellEnd"/>
      <w:r w:rsidR="00485136">
        <w:rPr>
          <w:rFonts w:ascii="Times" w:hAnsi="Times"/>
          <w:lang w:val="en-US"/>
        </w:rPr>
        <w:t xml:space="preserve">, </w:t>
      </w:r>
      <w:r>
        <w:rPr>
          <w:rFonts w:ascii="Times" w:hAnsi="Times"/>
          <w:lang w:val="en-US"/>
        </w:rPr>
        <w:t>Kirsten T. Eriksen</w:t>
      </w:r>
      <w:r w:rsidRPr="00870FD1">
        <w:rPr>
          <w:rFonts w:ascii="Times" w:hAnsi="Times"/>
          <w:lang w:val="en-US"/>
        </w:rPr>
        <w:t xml:space="preserve">, </w:t>
      </w:r>
      <w:r w:rsidRPr="00870FD1">
        <w:rPr>
          <w:rFonts w:ascii="Times New Roman" w:hAnsi="Times New Roman"/>
          <w:lang w:val="en-US" w:eastAsia="nl-NL"/>
        </w:rPr>
        <w:t xml:space="preserve">Konstantina </w:t>
      </w:r>
      <w:proofErr w:type="spellStart"/>
      <w:r w:rsidRPr="00870FD1">
        <w:rPr>
          <w:rFonts w:ascii="Times New Roman" w:hAnsi="Times New Roman"/>
          <w:lang w:val="en-US" w:eastAsia="nl-NL"/>
        </w:rPr>
        <w:t>Dimakopoulou</w:t>
      </w:r>
      <w:proofErr w:type="spellEnd"/>
      <w:r w:rsidRPr="00870FD1">
        <w:rPr>
          <w:rFonts w:ascii="Times" w:hAnsi="Times"/>
          <w:lang w:val="en-US"/>
        </w:rPr>
        <w:t>, Timo Lanki</w:t>
      </w:r>
      <w:r>
        <w:rPr>
          <w:rFonts w:ascii="Times" w:hAnsi="Times"/>
          <w:lang w:val="en-US"/>
        </w:rPr>
        <w:t>,</w:t>
      </w:r>
      <w:r w:rsidRPr="00870FD1">
        <w:rPr>
          <w:rFonts w:ascii="Times" w:hAnsi="Times"/>
          <w:lang w:val="en-US"/>
        </w:rPr>
        <w:t xml:space="preserve"> Kees Meliefste, Mark </w:t>
      </w:r>
      <w:proofErr w:type="spellStart"/>
      <w:r w:rsidRPr="00870FD1">
        <w:rPr>
          <w:rFonts w:ascii="Times" w:hAnsi="Times"/>
          <w:lang w:val="en-US"/>
        </w:rPr>
        <w:t>Nieuwenhuijsen</w:t>
      </w:r>
      <w:proofErr w:type="spellEnd"/>
      <w:r w:rsidRPr="00870FD1">
        <w:rPr>
          <w:rFonts w:ascii="Times" w:hAnsi="Times"/>
          <w:lang w:val="en-US"/>
        </w:rPr>
        <w:t xml:space="preserve">, </w:t>
      </w:r>
      <w:r w:rsidRPr="00870FD1">
        <w:rPr>
          <w:rFonts w:ascii="Times New Roman" w:hAnsi="Times New Roman"/>
          <w:lang w:val="en-US"/>
        </w:rPr>
        <w:t>Tarja Yli-Tuomi</w:t>
      </w:r>
      <w:r w:rsidRPr="00870FD1">
        <w:rPr>
          <w:rFonts w:ascii="Times" w:hAnsi="Times"/>
          <w:lang w:val="en-US"/>
        </w:rPr>
        <w:t xml:space="preserve">, Ole Raaschou-Nielsen, </w:t>
      </w:r>
      <w:r w:rsidRPr="00870FD1">
        <w:rPr>
          <w:rFonts w:ascii="AdvOT863180fb" w:hAnsi="AdvOT863180fb" w:cs="AdvOT863180fb"/>
          <w:sz w:val="21"/>
          <w:szCs w:val="21"/>
          <w:lang w:val="en-US" w:eastAsia="nl-NL"/>
        </w:rPr>
        <w:t>Nicole A.H. Janssen,</w:t>
      </w:r>
      <w:r>
        <w:rPr>
          <w:rFonts w:ascii="Times" w:hAnsi="Times"/>
          <w:lang w:val="en-US"/>
        </w:rPr>
        <w:t xml:space="preserve"> Bert Brunekreef</w:t>
      </w:r>
      <w:r w:rsidRPr="00870FD1">
        <w:rPr>
          <w:rFonts w:ascii="Times" w:hAnsi="Times"/>
          <w:lang w:val="en-US"/>
        </w:rPr>
        <w:t xml:space="preserve">, Ingeborg M. Kooter </w:t>
      </w:r>
    </w:p>
    <w:p w:rsidR="00D71F88" w:rsidRDefault="00D71F88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</w:pPr>
    </w:p>
    <w:p w:rsidR="00E84E8C" w:rsidRPr="00E84E8C" w:rsidRDefault="00E84E8C" w:rsidP="00485136">
      <w:pPr>
        <w:pStyle w:val="Kop3"/>
      </w:pPr>
      <w:r w:rsidRPr="00E84E8C">
        <w:t xml:space="preserve">Measurement of </w:t>
      </w:r>
      <w:r w:rsidRPr="00A83853">
        <w:t xml:space="preserve">EC/OC, PAH, </w:t>
      </w:r>
      <w:proofErr w:type="spellStart"/>
      <w:r w:rsidRPr="00A83853">
        <w:t>hopanes</w:t>
      </w:r>
      <w:proofErr w:type="spellEnd"/>
      <w:r w:rsidRPr="00A83853">
        <w:t xml:space="preserve">, </w:t>
      </w:r>
      <w:proofErr w:type="spellStart"/>
      <w:r w:rsidRPr="00A83853">
        <w:t>steranes</w:t>
      </w:r>
      <w:proofErr w:type="spellEnd"/>
      <w:r w:rsidRPr="00A83853">
        <w:t xml:space="preserve">, </w:t>
      </w:r>
      <w:proofErr w:type="spellStart"/>
      <w:r w:rsidRPr="00322A6E">
        <w:t>levoglucosan</w:t>
      </w:r>
      <w:proofErr w:type="spellEnd"/>
      <w:r w:rsidRPr="00322A6E">
        <w:t xml:space="preserve">, </w:t>
      </w:r>
      <w:r w:rsidRPr="00E84E8C">
        <w:t>PM2.5, NO</w:t>
      </w:r>
      <w:r w:rsidRPr="00E84E8C">
        <w:rPr>
          <w:vertAlign w:val="subscript"/>
        </w:rPr>
        <w:t>x</w:t>
      </w:r>
      <w:r w:rsidRPr="00E84E8C">
        <w:t xml:space="preserve"> and elemental composition</w:t>
      </w:r>
    </w:p>
    <w:p w:rsidR="00E84E8C" w:rsidRPr="00485136" w:rsidRDefault="00E84E8C" w:rsidP="00E84E8C">
      <w:pPr>
        <w:spacing w:line="480" w:lineRule="auto"/>
        <w:ind w:firstLine="360"/>
        <w:rPr>
          <w:rFonts w:ascii="Times New Roman" w:hAnsi="Times New Roman"/>
          <w:sz w:val="24"/>
          <w:szCs w:val="24"/>
          <w:lang w:val="en-GB"/>
        </w:rPr>
      </w:pPr>
    </w:p>
    <w:p w:rsidR="00E84E8C" w:rsidRDefault="00E84E8C" w:rsidP="00E84E8C">
      <w:pPr>
        <w:spacing w:line="480" w:lineRule="auto"/>
        <w:ind w:firstLine="360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The analytical methods of EC/OC, PAH and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hopanes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/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steranes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were published previously  </w:t>
      </w:r>
      <w:r>
        <w:rPr>
          <w:rFonts w:ascii="Times New Roman" w:hAnsi="Times New Roman"/>
          <w:sz w:val="24"/>
          <w:szCs w:val="24"/>
          <w:lang w:val="en-US"/>
        </w:rPr>
        <w:fldChar w:fldCharType="begin"/>
      </w:r>
      <w:r>
        <w:rPr>
          <w:rFonts w:ascii="Times New Roman" w:hAnsi="Times New Roman"/>
          <w:sz w:val="24"/>
          <w:szCs w:val="24"/>
          <w:lang w:val="en-US"/>
        </w:rPr>
        <w:instrText>ADDIN RW.CITE{{557 Jedynska,Aleksandra 2014}}</w:instrText>
      </w:r>
      <w:r>
        <w:rPr>
          <w:rFonts w:ascii="Times New Roman" w:hAnsi="Times New Roman"/>
          <w:sz w:val="24"/>
          <w:szCs w:val="24"/>
          <w:lang w:val="en-US"/>
        </w:rPr>
        <w:fldChar w:fldCharType="separate"/>
      </w:r>
      <w:r w:rsidRPr="00F96FAB">
        <w:rPr>
          <w:rFonts w:ascii="Times New Roman" w:hAnsi="Times New Roman"/>
          <w:sz w:val="24"/>
          <w:szCs w:val="24"/>
          <w:lang w:val="en-US"/>
        </w:rPr>
        <w:t>(Jedynska, Hoek et al. 2014c)</w:t>
      </w:r>
      <w:r>
        <w:rPr>
          <w:rFonts w:ascii="Times New Roman" w:hAnsi="Times New Roman"/>
          <w:sz w:val="24"/>
          <w:szCs w:val="24"/>
          <w:lang w:val="en-US"/>
        </w:rPr>
        <w:fldChar w:fldCharType="end"/>
      </w:r>
      <w:r>
        <w:rPr>
          <w:rFonts w:ascii="Times New Roman" w:hAnsi="Times New Roman"/>
          <w:sz w:val="24"/>
          <w:szCs w:val="24"/>
          <w:lang w:val="en-US"/>
        </w:rPr>
        <w:t xml:space="preserve">. In summary, </w:t>
      </w:r>
      <w:r w:rsidRPr="00B75BA8">
        <w:rPr>
          <w:rFonts w:ascii="Times New Roman" w:hAnsi="Times New Roman"/>
          <w:sz w:val="24"/>
          <w:szCs w:val="24"/>
          <w:lang w:val="en-US"/>
        </w:rPr>
        <w:t>1cm</w:t>
      </w:r>
      <w:r w:rsidRPr="00B75BA8">
        <w:rPr>
          <w:rFonts w:ascii="Times New Roman" w:hAnsi="Times New Roman"/>
          <w:sz w:val="24"/>
          <w:szCs w:val="24"/>
          <w:vertAlign w:val="superscript"/>
          <w:lang w:val="en-US"/>
        </w:rPr>
        <w:t>2</w:t>
      </w:r>
      <w:r w:rsidRPr="00B75BA8">
        <w:rPr>
          <w:rFonts w:ascii="Times New Roman" w:hAnsi="Times New Roman"/>
          <w:sz w:val="24"/>
          <w:szCs w:val="24"/>
          <w:lang w:val="en-US"/>
        </w:rPr>
        <w:t xml:space="preserve"> of each quartz filter was used for EC/OC analyses, </w:t>
      </w:r>
      <w:r>
        <w:rPr>
          <w:rFonts w:ascii="Times New Roman" w:hAnsi="Times New Roman"/>
          <w:sz w:val="24"/>
          <w:szCs w:val="24"/>
          <w:lang w:val="en-US"/>
        </w:rPr>
        <w:t xml:space="preserve">using </w:t>
      </w:r>
      <w:r w:rsidRPr="00B75BA8">
        <w:rPr>
          <w:rFonts w:ascii="Times New Roman" w:hAnsi="Times New Roman"/>
          <w:sz w:val="24"/>
          <w:szCs w:val="24"/>
          <w:lang w:val="en-US"/>
        </w:rPr>
        <w:t xml:space="preserve">a thermal-optical analyzer (Sunset Laboratory, Inc., Oregon, USA). </w:t>
      </w:r>
    </w:p>
    <w:p w:rsidR="00E84E8C" w:rsidRDefault="00E84E8C" w:rsidP="00E84E8C">
      <w:pPr>
        <w:spacing w:line="480" w:lineRule="auto"/>
        <w:ind w:firstLine="360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T60A20 filters were used for measurements of</w:t>
      </w:r>
      <w:r w:rsidRPr="00B75BA8">
        <w:rPr>
          <w:rFonts w:ascii="Times New Roman" w:hAnsi="Times New Roman"/>
          <w:sz w:val="24"/>
          <w:szCs w:val="24"/>
          <w:lang w:val="en-US"/>
        </w:rPr>
        <w:t xml:space="preserve">16 EPA PAH and 13 </w:t>
      </w:r>
      <w:proofErr w:type="spellStart"/>
      <w:r w:rsidRPr="00B75BA8">
        <w:rPr>
          <w:rFonts w:ascii="Times New Roman" w:hAnsi="Times New Roman"/>
          <w:sz w:val="24"/>
          <w:szCs w:val="24"/>
          <w:lang w:val="en-US"/>
        </w:rPr>
        <w:t>hopanes</w:t>
      </w:r>
      <w:proofErr w:type="spellEnd"/>
      <w:r w:rsidRPr="00B75BA8">
        <w:rPr>
          <w:rFonts w:ascii="Times New Roman" w:hAnsi="Times New Roman"/>
          <w:sz w:val="24"/>
          <w:szCs w:val="24"/>
          <w:lang w:val="en-US"/>
        </w:rPr>
        <w:t>/</w:t>
      </w:r>
      <w:proofErr w:type="spellStart"/>
      <w:r w:rsidRPr="00B75BA8">
        <w:rPr>
          <w:rFonts w:ascii="Times New Roman" w:hAnsi="Times New Roman"/>
          <w:sz w:val="24"/>
          <w:szCs w:val="24"/>
          <w:lang w:val="en-US"/>
        </w:rPr>
        <w:t>steranes</w:t>
      </w:r>
      <w:proofErr w:type="spellEnd"/>
      <w:r w:rsidRPr="00B75BA8">
        <w:rPr>
          <w:rFonts w:ascii="Times New Roman" w:hAnsi="Times New Roman"/>
          <w:sz w:val="24"/>
          <w:szCs w:val="24"/>
          <w:lang w:val="en-US"/>
        </w:rPr>
        <w:t xml:space="preserve"> via gas chromatography in combination with mass spectrometric detection (GS/MS) in electron impact mode (GC/MS EI, Agilent 6890/5973N). </w:t>
      </w:r>
    </w:p>
    <w:p w:rsidR="00E84E8C" w:rsidRPr="00227AA0" w:rsidRDefault="00E84E8C" w:rsidP="00E84E8C">
      <w:pPr>
        <w:spacing w:line="480" w:lineRule="auto"/>
        <w:ind w:firstLine="360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The a</w:t>
      </w:r>
      <w:r w:rsidRPr="00227AA0">
        <w:rPr>
          <w:rFonts w:ascii="Times New Roman" w:hAnsi="Times New Roman"/>
          <w:sz w:val="24"/>
          <w:szCs w:val="24"/>
          <w:lang w:val="en-US"/>
        </w:rPr>
        <w:t xml:space="preserve">nalytical method for </w:t>
      </w:r>
      <w:proofErr w:type="spellStart"/>
      <w:r w:rsidRPr="00227AA0">
        <w:rPr>
          <w:rFonts w:ascii="Times New Roman" w:hAnsi="Times New Roman"/>
          <w:sz w:val="24"/>
          <w:szCs w:val="24"/>
          <w:lang w:val="en-US"/>
        </w:rPr>
        <w:t>levog</w:t>
      </w:r>
      <w:r>
        <w:rPr>
          <w:rFonts w:ascii="Times New Roman" w:hAnsi="Times New Roman"/>
          <w:sz w:val="24"/>
          <w:szCs w:val="24"/>
          <w:lang w:val="en-US"/>
        </w:rPr>
        <w:t>lucosan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is described elsewhere </w:t>
      </w:r>
      <w:r>
        <w:rPr>
          <w:rFonts w:ascii="Times New Roman" w:hAnsi="Times New Roman"/>
          <w:sz w:val="24"/>
          <w:szCs w:val="24"/>
          <w:lang w:val="en-US"/>
        </w:rPr>
        <w:fldChar w:fldCharType="begin"/>
      </w:r>
      <w:r>
        <w:rPr>
          <w:rFonts w:ascii="Times New Roman" w:hAnsi="Times New Roman"/>
          <w:sz w:val="24"/>
          <w:szCs w:val="24"/>
          <w:lang w:val="en-US"/>
        </w:rPr>
        <w:instrText>ADDIN RW.CITE{{572 Jedynska, A 2014}}</w:instrText>
      </w:r>
      <w:r>
        <w:rPr>
          <w:rFonts w:ascii="Times New Roman" w:hAnsi="Times New Roman"/>
          <w:sz w:val="24"/>
          <w:szCs w:val="24"/>
          <w:lang w:val="en-US"/>
        </w:rPr>
        <w:fldChar w:fldCharType="separate"/>
      </w:r>
      <w:r w:rsidRPr="008E2A00">
        <w:rPr>
          <w:rFonts w:ascii="Times New Roman" w:hAnsi="Times New Roman"/>
          <w:sz w:val="24"/>
          <w:szCs w:val="24"/>
          <w:lang w:val="en-US"/>
        </w:rPr>
        <w:t>(Jedynska, Hoek et al. 2014a)</w:t>
      </w:r>
      <w:r>
        <w:rPr>
          <w:rFonts w:ascii="Times New Roman" w:hAnsi="Times New Roman"/>
          <w:sz w:val="24"/>
          <w:szCs w:val="24"/>
          <w:lang w:val="en-US"/>
        </w:rPr>
        <w:fldChar w:fldCharType="end"/>
      </w:r>
      <w:r w:rsidRPr="00227AA0">
        <w:rPr>
          <w:rFonts w:ascii="Times New Roman" w:hAnsi="Times New Roman"/>
          <w:sz w:val="24"/>
          <w:szCs w:val="24"/>
          <w:lang w:val="en-US"/>
        </w:rPr>
        <w:t xml:space="preserve">. </w:t>
      </w:r>
      <w:proofErr w:type="spellStart"/>
      <w:r w:rsidRPr="00227AA0">
        <w:rPr>
          <w:rFonts w:ascii="Times New Roman" w:hAnsi="Times New Roman"/>
          <w:sz w:val="24"/>
          <w:szCs w:val="24"/>
          <w:lang w:val="en-US"/>
        </w:rPr>
        <w:t>Levoglucosan</w:t>
      </w:r>
      <w:proofErr w:type="spellEnd"/>
      <w:r w:rsidRPr="00227AA0">
        <w:rPr>
          <w:rFonts w:ascii="Times New Roman" w:hAnsi="Times New Roman"/>
          <w:sz w:val="24"/>
          <w:szCs w:val="24"/>
          <w:lang w:val="en-US"/>
        </w:rPr>
        <w:t xml:space="preserve"> was measured with gas chromatography in combination with mass spectrometric detection (Agilent 6890/5973N GC/MS). </w:t>
      </w:r>
    </w:p>
    <w:p w:rsidR="00E84E8C" w:rsidRPr="00B75BA8" w:rsidRDefault="00E84E8C" w:rsidP="00E84E8C">
      <w:pPr>
        <w:autoSpaceDE w:val="0"/>
        <w:autoSpaceDN w:val="0"/>
        <w:adjustRightInd w:val="0"/>
        <w:spacing w:line="480" w:lineRule="auto"/>
        <w:ind w:firstLine="360"/>
        <w:rPr>
          <w:rFonts w:ascii="Times New Roman" w:hAnsi="Times New Roman"/>
          <w:color w:val="000000"/>
          <w:sz w:val="24"/>
          <w:szCs w:val="24"/>
          <w:lang w:val="en-US" w:eastAsia="nl-NL"/>
        </w:rPr>
      </w:pP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PM2.5 mass and absorbance were determined on 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Andersen 37 mm 2 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>µ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>m pore size Teflon filters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begin"/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instrText>ADDIN RW.CITE{{308 Eeftens,Marloes 2012}}</w:instrTex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separate"/>
      </w:r>
      <w:r w:rsidRPr="008E2A00">
        <w:rPr>
          <w:rFonts w:ascii="Times New Roman" w:hAnsi="Times New Roman"/>
          <w:color w:val="000000"/>
          <w:sz w:val="24"/>
          <w:szCs w:val="24"/>
          <w:lang w:val="en-US" w:eastAsia="nl-NL"/>
        </w:rPr>
        <w:t>(Eeftens, Tsai et al. 2012)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end"/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. 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>Reflectance of all filters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 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was measured in 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IRAS 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laboratory 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and </w:t>
      </w:r>
      <w:r w:rsidRPr="00B75BA8">
        <w:rPr>
          <w:rFonts w:ascii="Times New Roman" w:hAnsi="Times New Roman"/>
          <w:color w:val="000000"/>
          <w:sz w:val="24"/>
          <w:szCs w:val="24"/>
          <w:lang w:val="en-US" w:eastAsia="nl-NL"/>
        </w:rPr>
        <w:t>transformed into absorbance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>. NO</w:t>
      </w:r>
      <w:r>
        <w:rPr>
          <w:rFonts w:ascii="Times New Roman" w:hAnsi="Times New Roman"/>
          <w:color w:val="000000"/>
          <w:sz w:val="24"/>
          <w:szCs w:val="24"/>
          <w:vertAlign w:val="subscript"/>
          <w:lang w:val="en-US" w:eastAsia="nl-NL"/>
        </w:rPr>
        <w:t>2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 was measured with Ogawa passive samplers 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begin"/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instrText>ADDIN RW.CITE{{307 Cyrys,Josef 2012}}</w:instrTex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separate"/>
      </w:r>
      <w:r w:rsidRPr="008E2A00">
        <w:rPr>
          <w:rFonts w:ascii="Times New Roman" w:hAnsi="Times New Roman"/>
          <w:color w:val="000000"/>
          <w:sz w:val="24"/>
          <w:szCs w:val="24"/>
          <w:lang w:val="en-US" w:eastAsia="nl-NL"/>
        </w:rPr>
        <w:t>(Cyrys, Eeftens et al. 2012)</w:t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fldChar w:fldCharType="end"/>
      </w:r>
      <w:r>
        <w:rPr>
          <w:rFonts w:ascii="Times New Roman" w:hAnsi="Times New Roman"/>
          <w:color w:val="000000"/>
          <w:sz w:val="24"/>
          <w:szCs w:val="24"/>
          <w:lang w:val="en-US" w:eastAsia="nl-NL"/>
        </w:rPr>
        <w:t xml:space="preserve">. </w:t>
      </w:r>
    </w:p>
    <w:p w:rsidR="00E84E8C" w:rsidRPr="00B75BA8" w:rsidRDefault="00E84E8C" w:rsidP="00E84E8C">
      <w:pPr>
        <w:autoSpaceDE w:val="0"/>
        <w:autoSpaceDN w:val="0"/>
        <w:adjustRightInd w:val="0"/>
        <w:spacing w:line="480" w:lineRule="auto"/>
        <w:rPr>
          <w:rFonts w:ascii="Times New Roman" w:hAnsi="Times New Roman"/>
          <w:sz w:val="24"/>
          <w:szCs w:val="24"/>
          <w:lang w:val="en-US" w:eastAsia="nl-NL"/>
        </w:rPr>
      </w:pPr>
      <w:r>
        <w:rPr>
          <w:rFonts w:ascii="Times New Roman" w:hAnsi="Times New Roman"/>
          <w:sz w:val="24"/>
          <w:szCs w:val="24"/>
          <w:lang w:val="en-US" w:eastAsia="nl-NL"/>
        </w:rPr>
        <w:t>PM2.5</w:t>
      </w:r>
      <w:r w:rsidRPr="00B75BA8">
        <w:rPr>
          <w:rFonts w:ascii="Times New Roman" w:hAnsi="Times New Roman"/>
          <w:sz w:val="24"/>
          <w:szCs w:val="24"/>
          <w:lang w:val="en-US" w:eastAsia="nl-NL"/>
        </w:rPr>
        <w:t xml:space="preserve"> </w:t>
      </w:r>
      <w:r>
        <w:rPr>
          <w:rFonts w:ascii="Times New Roman" w:hAnsi="Times New Roman"/>
          <w:sz w:val="24"/>
          <w:szCs w:val="24"/>
          <w:lang w:val="en-US" w:eastAsia="nl-NL"/>
        </w:rPr>
        <w:t xml:space="preserve">Teflon filters </w:t>
      </w:r>
      <w:r w:rsidRPr="00B75BA8">
        <w:rPr>
          <w:rFonts w:ascii="Times New Roman" w:hAnsi="Times New Roman"/>
          <w:sz w:val="24"/>
          <w:szCs w:val="24"/>
          <w:lang w:val="en-US" w:eastAsia="nl-NL"/>
        </w:rPr>
        <w:t>were analyzed for elemental composition using energy dispersive X-ray fluorescence (XRF)</w:t>
      </w:r>
      <w:r>
        <w:rPr>
          <w:rFonts w:ascii="Times New Roman" w:hAnsi="Times New Roman"/>
          <w:sz w:val="24"/>
          <w:szCs w:val="24"/>
          <w:lang w:val="en-US" w:eastAsia="nl-NL"/>
        </w:rPr>
        <w:t xml:space="preserve"> </w:t>
      </w:r>
      <w:r w:rsidRPr="00B75BA8">
        <w:rPr>
          <w:rFonts w:ascii="Times New Roman" w:hAnsi="Times New Roman"/>
          <w:sz w:val="24"/>
          <w:szCs w:val="24"/>
          <w:lang w:val="en-US" w:eastAsia="nl-NL"/>
        </w:rPr>
        <w:t>at Cooper Environmen</w:t>
      </w:r>
      <w:r>
        <w:rPr>
          <w:rFonts w:ascii="Times New Roman" w:hAnsi="Times New Roman"/>
          <w:sz w:val="24"/>
          <w:szCs w:val="24"/>
          <w:lang w:val="en-US" w:eastAsia="nl-NL"/>
        </w:rPr>
        <w:t xml:space="preserve">tal Services, Portland, OR, USA </w:t>
      </w:r>
      <w:r>
        <w:rPr>
          <w:rFonts w:ascii="Times New Roman" w:hAnsi="Times New Roman"/>
          <w:sz w:val="24"/>
          <w:szCs w:val="24"/>
          <w:lang w:val="en-US" w:eastAsia="nl-NL"/>
        </w:rPr>
        <w:fldChar w:fldCharType="begin"/>
      </w:r>
      <w:r>
        <w:rPr>
          <w:rFonts w:ascii="Times New Roman" w:hAnsi="Times New Roman"/>
          <w:sz w:val="24"/>
          <w:szCs w:val="24"/>
          <w:lang w:val="en-US" w:eastAsia="nl-NL"/>
        </w:rPr>
        <w:instrText>ADDIN RW.CITE{{368 de Hoogh,K. 2013}}</w:instrText>
      </w:r>
      <w:r>
        <w:rPr>
          <w:rFonts w:ascii="Times New Roman" w:hAnsi="Times New Roman"/>
          <w:sz w:val="24"/>
          <w:szCs w:val="24"/>
          <w:lang w:val="en-US" w:eastAsia="nl-NL"/>
        </w:rPr>
        <w:fldChar w:fldCharType="separate"/>
      </w:r>
      <w:r w:rsidRPr="008E2A00">
        <w:rPr>
          <w:rFonts w:ascii="Times New Roman" w:hAnsi="Times New Roman"/>
          <w:sz w:val="24"/>
          <w:szCs w:val="24"/>
          <w:lang w:val="en-US" w:eastAsia="nl-NL"/>
        </w:rPr>
        <w:t>(de Hoogh, Wang et al. 2013)</w:t>
      </w:r>
      <w:r>
        <w:rPr>
          <w:rFonts w:ascii="Times New Roman" w:hAnsi="Times New Roman"/>
          <w:sz w:val="24"/>
          <w:szCs w:val="24"/>
          <w:lang w:val="en-US" w:eastAsia="nl-NL"/>
        </w:rPr>
        <w:fldChar w:fldCharType="end"/>
      </w:r>
      <w:r>
        <w:rPr>
          <w:rFonts w:ascii="Times New Roman" w:hAnsi="Times New Roman"/>
          <w:sz w:val="24"/>
          <w:szCs w:val="24"/>
          <w:lang w:val="en-US" w:eastAsia="nl-NL"/>
        </w:rPr>
        <w:t>.</w:t>
      </w:r>
    </w:p>
    <w:p w:rsidR="00E84E8C" w:rsidRDefault="00E84E8C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</w:pPr>
    </w:p>
    <w:p w:rsidR="00D71F88" w:rsidRDefault="00D71F88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</w:pPr>
    </w:p>
    <w:p w:rsidR="00FB7BF0" w:rsidRDefault="00FB7BF0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</w:pPr>
    </w:p>
    <w:p w:rsidR="00FB7BF0" w:rsidRDefault="00FB7BF0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  <w:sectPr w:rsidR="00FB7BF0" w:rsidSect="00BE1093">
          <w:pgSz w:w="11906" w:h="16838"/>
          <w:pgMar w:top="709" w:right="1440" w:bottom="426" w:left="1440" w:header="708" w:footer="708" w:gutter="0"/>
          <w:cols w:space="708"/>
          <w:docGrid w:linePitch="360"/>
        </w:sectPr>
      </w:pPr>
    </w:p>
    <w:p w:rsidR="00E6096C" w:rsidRDefault="00E6096C" w:rsidP="007A4A3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  <w:lang w:val="en-US"/>
        </w:rPr>
      </w:pPr>
      <w:r>
        <w:rPr>
          <w:rFonts w:ascii="Times New Roman" w:hAnsi="Times New Roman"/>
          <w:sz w:val="18"/>
          <w:szCs w:val="18"/>
          <w:lang w:val="en-US"/>
        </w:rPr>
        <w:lastRenderedPageBreak/>
        <w:t>Table S1</w:t>
      </w:r>
      <w:r w:rsidR="006852D3">
        <w:rPr>
          <w:rFonts w:ascii="Times New Roman" w:hAnsi="Times New Roman"/>
          <w:sz w:val="18"/>
          <w:szCs w:val="18"/>
          <w:lang w:val="en-US"/>
        </w:rPr>
        <w:t>.</w:t>
      </w:r>
      <w:r w:rsidRPr="006D6C81">
        <w:rPr>
          <w:rFonts w:ascii="Times New Roman" w:hAnsi="Times New Roman"/>
          <w:sz w:val="18"/>
          <w:szCs w:val="18"/>
          <w:lang w:val="en-US"/>
        </w:rPr>
        <w:t xml:space="preserve"> Predictor variables with predefined variable names, units, defined buffer sizes, transformations of the predictor variables and directions of effect</w:t>
      </w:r>
      <w:r w:rsidR="006852D3">
        <w:rPr>
          <w:rFonts w:ascii="Times New Roman" w:hAnsi="Times New Roman"/>
          <w:sz w:val="18"/>
          <w:szCs w:val="18"/>
          <w:lang w:val="en-US"/>
        </w:rPr>
        <w:t>.</w:t>
      </w:r>
    </w:p>
    <w:tbl>
      <w:tblPr>
        <w:tblpPr w:leftFromText="180" w:rightFromText="180" w:vertAnchor="text" w:horzAnchor="margin" w:tblpXSpec="center" w:tblpY="143"/>
        <w:tblW w:w="14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36"/>
        <w:gridCol w:w="3671"/>
        <w:gridCol w:w="2995"/>
        <w:gridCol w:w="1356"/>
        <w:gridCol w:w="2331"/>
        <w:gridCol w:w="1311"/>
        <w:gridCol w:w="1386"/>
      </w:tblGrid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t>GIS dataset</w:t>
            </w:r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t xml:space="preserve">Predictor </w:t>
            </w:r>
            <w:proofErr w:type="spellStart"/>
            <w:r w:rsidRPr="004D5AAD">
              <w:rPr>
                <w:b/>
                <w:sz w:val="18"/>
                <w:szCs w:val="18"/>
              </w:rPr>
              <w:t>variable</w:t>
            </w:r>
            <w:proofErr w:type="spellEnd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  <w:vertAlign w:val="superscript"/>
              </w:rPr>
            </w:pPr>
            <w:r w:rsidRPr="004D5AAD">
              <w:rPr>
                <w:b/>
                <w:sz w:val="18"/>
                <w:szCs w:val="18"/>
              </w:rPr>
              <w:t>Name variable</w:t>
            </w:r>
            <w:r w:rsidRPr="004D5AAD">
              <w:rPr>
                <w:b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t>Unit</w:t>
            </w:r>
          </w:p>
        </w:tc>
        <w:tc>
          <w:tcPr>
            <w:tcW w:w="2331" w:type="dxa"/>
            <w:shd w:val="clear" w:color="auto" w:fill="auto"/>
          </w:tcPr>
          <w:p w:rsidR="00FB7BF0" w:rsidRPr="00E52B8A" w:rsidRDefault="00FB7BF0" w:rsidP="00261F75">
            <w:pPr>
              <w:spacing w:line="240" w:lineRule="auto"/>
              <w:rPr>
                <w:b/>
                <w:sz w:val="18"/>
                <w:szCs w:val="18"/>
                <w:vertAlign w:val="superscript"/>
                <w:lang w:val="en-US"/>
              </w:rPr>
            </w:pPr>
            <w:r w:rsidRPr="002E5CB9">
              <w:rPr>
                <w:b/>
                <w:sz w:val="18"/>
                <w:szCs w:val="18"/>
                <w:lang w:val="en-US"/>
              </w:rPr>
              <w:t>Buffer size (radius in m)</w:t>
            </w:r>
            <w:r w:rsidR="00F933E6">
              <w:rPr>
                <w:b/>
                <w:sz w:val="18"/>
                <w:szCs w:val="18"/>
                <w:vertAlign w:val="superscript"/>
                <w:lang w:val="en-US"/>
              </w:rPr>
              <w:t>2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Direction</w:t>
            </w:r>
            <w:proofErr w:type="spellEnd"/>
            <w:r>
              <w:rPr>
                <w:b/>
                <w:sz w:val="18"/>
                <w:szCs w:val="18"/>
              </w:rPr>
              <w:t xml:space="preserve"> of</w:t>
            </w:r>
            <w:r>
              <w:rPr>
                <w:b/>
                <w:sz w:val="18"/>
                <w:szCs w:val="18"/>
              </w:rPr>
              <w:br/>
            </w:r>
            <w:r w:rsidRPr="004D5AAD">
              <w:rPr>
                <w:b/>
                <w:sz w:val="18"/>
                <w:szCs w:val="18"/>
              </w:rPr>
              <w:t>effect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t xml:space="preserve">Central / </w:t>
            </w:r>
            <w:r>
              <w:rPr>
                <w:b/>
                <w:sz w:val="18"/>
                <w:szCs w:val="18"/>
              </w:rPr>
              <w:br/>
            </w:r>
            <w:proofErr w:type="spellStart"/>
            <w:r w:rsidRPr="004D5AAD">
              <w:rPr>
                <w:b/>
                <w:sz w:val="18"/>
                <w:szCs w:val="18"/>
              </w:rPr>
              <w:t>local</w:t>
            </w:r>
            <w:proofErr w:type="spellEnd"/>
            <w:r w:rsidRPr="004D5AAD">
              <w:rPr>
                <w:b/>
                <w:sz w:val="18"/>
                <w:szCs w:val="18"/>
              </w:rPr>
              <w:t xml:space="preserve"> data</w:t>
            </w:r>
          </w:p>
        </w:tc>
      </w:tr>
      <w:tr w:rsidR="00FB7BF0" w:rsidRPr="004D5AAD" w:rsidTr="00261F75">
        <w:tc>
          <w:tcPr>
            <w:tcW w:w="14886" w:type="dxa"/>
            <w:gridSpan w:val="7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jc w:val="center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t>Background variables</w:t>
            </w:r>
          </w:p>
        </w:tc>
      </w:tr>
      <w:tr w:rsidR="00FB7BF0" w:rsidRPr="004D5AAD" w:rsidTr="00261F75">
        <w:trPr>
          <w:trHeight w:val="259"/>
        </w:trPr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Surface area of high density residential land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HDRES_X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Surface area of low density residential land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LDRES_X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Sum of high density and low density residential land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HLDRES_X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Surface area of </w:t>
            </w:r>
            <w:proofErr w:type="spellStart"/>
            <w:r>
              <w:rPr>
                <w:sz w:val="18"/>
                <w:szCs w:val="18"/>
              </w:rPr>
              <w:t>i</w:t>
            </w:r>
            <w:r w:rsidRPr="004D5AAD">
              <w:rPr>
                <w:sz w:val="18"/>
                <w:szCs w:val="18"/>
              </w:rPr>
              <w:t>ndustry</w:t>
            </w:r>
            <w:proofErr w:type="spellEnd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INDUSTRY_X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Surface area of p</w:t>
            </w:r>
            <w:r w:rsidRPr="004D5AAD">
              <w:rPr>
                <w:sz w:val="18"/>
                <w:szCs w:val="18"/>
              </w:rPr>
              <w:t>ort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PORT_X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Surface area of urban green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2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URBGREEN_X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Surface area of semi-natural and forested areas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3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NATURAL_X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bookmarkStart w:id="0" w:name="OLE_LINK3"/>
            <w:bookmarkStart w:id="1" w:name="OLE_LINK4"/>
            <w:r w:rsidRPr="004D5AAD">
              <w:rPr>
                <w:sz w:val="18"/>
                <w:szCs w:val="18"/>
              </w:rPr>
              <w:t>100,  300, 500, 1000, 5000</w:t>
            </w:r>
            <w:bookmarkEnd w:id="0"/>
            <w:bookmarkEnd w:id="1"/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CORINE</w:t>
            </w:r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 xml:space="preserve">Sum of Urban green and Semi-natural and forested areas 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GREEN_X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land </w:t>
            </w:r>
            <w:proofErr w:type="spellStart"/>
            <w:r w:rsidRPr="004D5AAD">
              <w:rPr>
                <w:sz w:val="18"/>
                <w:szCs w:val="18"/>
              </w:rPr>
              <w:t>use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bookmarkStart w:id="2" w:name="OLE_LINK10"/>
            <w:bookmarkStart w:id="3" w:name="OLE_LINK11"/>
            <w:proofErr w:type="spellStart"/>
            <w:r w:rsidRPr="004D5AAD">
              <w:rPr>
                <w:sz w:val="18"/>
                <w:szCs w:val="18"/>
              </w:rPr>
              <w:t>Similar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to</w:t>
            </w:r>
            <w:proofErr w:type="spellEnd"/>
            <w:r w:rsidRPr="004D5AAD">
              <w:rPr>
                <w:sz w:val="18"/>
                <w:szCs w:val="18"/>
              </w:rPr>
              <w:t xml:space="preserve"> CORINE variables</w:t>
            </w:r>
            <w:bookmarkEnd w:id="2"/>
            <w:bookmarkEnd w:id="3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Similar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to</w:t>
            </w:r>
            <w:proofErr w:type="spellEnd"/>
            <w:r w:rsidRPr="004D5AAD">
              <w:rPr>
                <w:sz w:val="18"/>
                <w:szCs w:val="18"/>
              </w:rPr>
              <w:t xml:space="preserve"> CORINE variables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As CORINE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land </w:t>
            </w:r>
            <w:proofErr w:type="spellStart"/>
            <w:r w:rsidRPr="004D5AAD">
              <w:rPr>
                <w:sz w:val="18"/>
                <w:szCs w:val="18"/>
              </w:rPr>
              <w:t>use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Surface area / number of buildings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BUILDINGS_X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  <w:r w:rsidRPr="004D5AAD">
              <w:rPr>
                <w:sz w:val="18"/>
                <w:szCs w:val="18"/>
              </w:rPr>
              <w:t xml:space="preserve"> / N(</w:t>
            </w:r>
            <w:proofErr w:type="spellStart"/>
            <w:r w:rsidRPr="004D5AAD">
              <w:rPr>
                <w:sz w:val="18"/>
                <w:szCs w:val="18"/>
              </w:rPr>
              <w:t>umber</w:t>
            </w:r>
            <w:proofErr w:type="spellEnd"/>
            <w:r w:rsidRPr="004D5AAD">
              <w:rPr>
                <w:sz w:val="18"/>
                <w:szCs w:val="18"/>
              </w:rPr>
              <w:t>)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land </w:t>
            </w:r>
            <w:proofErr w:type="spellStart"/>
            <w:r w:rsidRPr="004D5AAD">
              <w:rPr>
                <w:sz w:val="18"/>
                <w:szCs w:val="18"/>
              </w:rPr>
              <w:t>use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Surface a</w:t>
            </w:r>
            <w:r w:rsidRPr="004D5AAD">
              <w:rPr>
                <w:sz w:val="18"/>
                <w:szCs w:val="18"/>
              </w:rPr>
              <w:t>rea of water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WATER_X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Population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density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Number</w:t>
            </w:r>
            <w:proofErr w:type="spellEnd"/>
            <w:r w:rsidRPr="004D5AAD">
              <w:rPr>
                <w:sz w:val="18"/>
                <w:szCs w:val="18"/>
              </w:rPr>
              <w:t xml:space="preserve"> of </w:t>
            </w:r>
            <w:proofErr w:type="spellStart"/>
            <w:r w:rsidRPr="004D5AAD">
              <w:rPr>
                <w:sz w:val="18"/>
                <w:szCs w:val="18"/>
              </w:rPr>
              <w:t>inhabitants</w:t>
            </w:r>
            <w:proofErr w:type="spellEnd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POP_X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N(</w:t>
            </w:r>
            <w:proofErr w:type="spellStart"/>
            <w:r w:rsidRPr="004D5AAD">
              <w:rPr>
                <w:sz w:val="18"/>
                <w:szCs w:val="18"/>
              </w:rPr>
              <w:t>umber</w:t>
            </w:r>
            <w:proofErr w:type="spellEnd"/>
            <w:r w:rsidRPr="004D5AAD">
              <w:rPr>
                <w:sz w:val="18"/>
                <w:szCs w:val="18"/>
              </w:rPr>
              <w:t>)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Central / </w:t>
            </w: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Household </w:t>
            </w:r>
            <w:proofErr w:type="spellStart"/>
            <w:r w:rsidRPr="004D5AAD">
              <w:rPr>
                <w:sz w:val="18"/>
                <w:szCs w:val="18"/>
              </w:rPr>
              <w:t>density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Number</w:t>
            </w:r>
            <w:proofErr w:type="spellEnd"/>
            <w:r w:rsidRPr="004D5AAD">
              <w:rPr>
                <w:sz w:val="18"/>
                <w:szCs w:val="18"/>
              </w:rPr>
              <w:t xml:space="preserve"> of </w:t>
            </w:r>
            <w:proofErr w:type="spellStart"/>
            <w:r w:rsidRPr="004D5AAD">
              <w:rPr>
                <w:sz w:val="18"/>
                <w:szCs w:val="18"/>
              </w:rPr>
              <w:t>households</w:t>
            </w:r>
            <w:proofErr w:type="spellEnd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HHOLD_X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N(</w:t>
            </w:r>
            <w:proofErr w:type="spellStart"/>
            <w:r w:rsidRPr="004D5AAD">
              <w:rPr>
                <w:sz w:val="18"/>
                <w:szCs w:val="18"/>
              </w:rPr>
              <w:t>umber</w:t>
            </w:r>
            <w:proofErr w:type="spellEnd"/>
            <w:r w:rsidRPr="004D5AAD">
              <w:rPr>
                <w:sz w:val="18"/>
                <w:szCs w:val="18"/>
              </w:rPr>
              <w:t>)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100,  300, 500, 1000, 5000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Altitude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Altitude</w:t>
            </w:r>
            <w:proofErr w:type="spellEnd"/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SQRALT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Regional</w:t>
            </w:r>
            <w:proofErr w:type="spellEnd"/>
            <w:r w:rsidRPr="004D5AAD">
              <w:rPr>
                <w:sz w:val="18"/>
                <w:szCs w:val="18"/>
              </w:rPr>
              <w:t xml:space="preserve"> estimate</w:t>
            </w:r>
            <w:r>
              <w:rPr>
                <w:sz w:val="18"/>
                <w:szCs w:val="18"/>
                <w:vertAlign w:val="superscript"/>
              </w:rPr>
              <w:t>4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REGIONALESTIMATE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-</w:t>
            </w:r>
          </w:p>
        </w:tc>
        <w:tc>
          <w:tcPr>
            <w:tcW w:w="367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proofErr w:type="spellStart"/>
            <w:r w:rsidRPr="004D5AAD">
              <w:rPr>
                <w:sz w:val="18"/>
                <w:szCs w:val="18"/>
              </w:rPr>
              <w:t>Coordinate</w:t>
            </w:r>
            <w:proofErr w:type="spellEnd"/>
            <w:r w:rsidRPr="004D5AAD">
              <w:rPr>
                <w:sz w:val="18"/>
                <w:szCs w:val="18"/>
              </w:rPr>
              <w:t xml:space="preserve"> variables</w:t>
            </w:r>
            <w:r>
              <w:rPr>
                <w:sz w:val="18"/>
                <w:szCs w:val="18"/>
                <w:vertAlign w:val="superscript"/>
              </w:rPr>
              <w:t>4</w:t>
            </w:r>
          </w:p>
        </w:tc>
        <w:tc>
          <w:tcPr>
            <w:tcW w:w="2995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 xml:space="preserve">XCOORD, YCOORD or other </w:t>
            </w:r>
            <w:r w:rsidRPr="00FB7BF0">
              <w:rPr>
                <w:sz w:val="18"/>
                <w:szCs w:val="18"/>
                <w:lang w:val="en-US"/>
              </w:rPr>
              <w:lastRenderedPageBreak/>
              <w:t>combinations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lastRenderedPageBreak/>
              <w:t>m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4886" w:type="dxa"/>
            <w:gridSpan w:val="7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jc w:val="center"/>
              <w:rPr>
                <w:b/>
                <w:sz w:val="18"/>
                <w:szCs w:val="18"/>
              </w:rPr>
            </w:pPr>
            <w:r w:rsidRPr="004D5AAD">
              <w:rPr>
                <w:b/>
                <w:sz w:val="18"/>
                <w:szCs w:val="18"/>
              </w:rPr>
              <w:lastRenderedPageBreak/>
              <w:t>Traffic variables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Central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Road length of all roads in a buffer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ROADLENGTH_X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Central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Road length of major roads in a buffer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5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MAJORROADLENGTH_X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Central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Inverse distance and inverse squared distance to the nearest road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DISTINVNEARC1</w:t>
            </w:r>
            <w:r w:rsidRPr="004D5AAD">
              <w:rPr>
                <w:sz w:val="18"/>
                <w:szCs w:val="18"/>
              </w:rPr>
              <w:br/>
              <w:t>DISTINVNEARC2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, m</w:t>
            </w:r>
            <w:r w:rsidRPr="004D5AAD">
              <w:rPr>
                <w:sz w:val="18"/>
                <w:szCs w:val="18"/>
                <w:vertAlign w:val="superscript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 xml:space="preserve">Central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Inverse distance and inverse squared distance to the nearest major road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5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DISTINVMAJORC1</w:t>
            </w:r>
            <w:r w:rsidRPr="004D5AAD">
              <w:rPr>
                <w:sz w:val="18"/>
                <w:szCs w:val="18"/>
              </w:rPr>
              <w:br/>
              <w:t>DISTINVMAJORC2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, m</w:t>
            </w:r>
            <w:r w:rsidRPr="004D5AAD">
              <w:rPr>
                <w:sz w:val="18"/>
                <w:szCs w:val="18"/>
                <w:vertAlign w:val="superscript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Central</w:t>
            </w:r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Traffic intensity on nearest road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TRAFNEAR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Inverse distance and inverse squared distance  to the nearest road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DISTINVNEAR1</w:t>
            </w:r>
            <w:r w:rsidRPr="004D5AAD">
              <w:rPr>
                <w:sz w:val="18"/>
                <w:szCs w:val="18"/>
              </w:rPr>
              <w:br/>
              <w:t>DISTINVNEAR2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, m</w:t>
            </w:r>
            <w:r w:rsidRPr="004D5AAD">
              <w:rPr>
                <w:sz w:val="18"/>
                <w:szCs w:val="18"/>
                <w:vertAlign w:val="superscript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Product of traffic intensity on nearest road ( TRAFNEAR) and inverse distance to nearest road ( DISTINVNEAR1) and distance squared ( DISTINVNEAR2)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INTINVDIST</w:t>
            </w:r>
            <w:r w:rsidRPr="004D5AAD">
              <w:rPr>
                <w:sz w:val="18"/>
                <w:szCs w:val="18"/>
              </w:rPr>
              <w:br/>
              <w:t>INTINVDIST2</w:t>
            </w:r>
          </w:p>
        </w:tc>
        <w:tc>
          <w:tcPr>
            <w:tcW w:w="1356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br/>
            </w: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Traffic intensity on nearest major road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TRAFMAJOR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Inverse distance and inverse squared distance to the nearest major road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DISTINVMAJOR1</w:t>
            </w:r>
            <w:r w:rsidRPr="004D5AAD">
              <w:rPr>
                <w:sz w:val="18"/>
                <w:szCs w:val="18"/>
              </w:rPr>
              <w:br/>
              <w:t>DISTINVMAJOR2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m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, m</w:t>
            </w:r>
            <w:r w:rsidRPr="004D5AAD">
              <w:rPr>
                <w:sz w:val="18"/>
                <w:szCs w:val="18"/>
                <w:vertAlign w:val="superscript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Product of traffic intensity on nearest major road (TRAFMAJOR) and inverse of distance to the nearest major road (DISTINVMAJOR1) and distance squared (DISTINVMAJOR2)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INTMAJORINVDIST</w:t>
            </w:r>
            <w:r w:rsidRPr="004D5AAD">
              <w:rPr>
                <w:sz w:val="18"/>
                <w:szCs w:val="18"/>
              </w:rPr>
              <w:br/>
              <w:t>INTMAJORINVDIST2</w:t>
            </w:r>
          </w:p>
        </w:tc>
        <w:tc>
          <w:tcPr>
            <w:tcW w:w="1356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br/>
            </w: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Total traffic load of major roads in a buffer (sum of (traffic intensity * length of all segments))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TRAFMAJORLOAD_X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m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lastRenderedPageBreak/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Total traffic load of all roads in a buffer (sum of (traffic intensity * length of all segments))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TRAFLOAD_X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m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Heavy-duty traffic intensity on nearest road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HEAVYTRAFNEAR*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Product of heavy-duty traffic intensity on nearest road (HEAVYINT) and inverse of distance to the nearest road (INVDIST) and distance squared (INVDIST2)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HEAVYINTINVDIST</w:t>
            </w:r>
            <w:r>
              <w:rPr>
                <w:sz w:val="18"/>
                <w:szCs w:val="18"/>
              </w:rPr>
              <w:br/>
            </w:r>
            <w:r w:rsidRPr="004D5AAD">
              <w:rPr>
                <w:sz w:val="18"/>
                <w:szCs w:val="18"/>
              </w:rPr>
              <w:t>HEAVYINTINVDIST2</w:t>
            </w:r>
          </w:p>
        </w:tc>
        <w:tc>
          <w:tcPr>
            <w:tcW w:w="1356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br/>
            </w:r>
            <w:r w:rsidRPr="00FB7BF0">
              <w:rPr>
                <w:sz w:val="18"/>
                <w:szCs w:val="18"/>
                <w:lang w:val="en-US"/>
              </w:rPr>
              <w:t>Veh.day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-1</w:t>
            </w:r>
            <w:r w:rsidRPr="00FB7BF0">
              <w:rPr>
                <w:sz w:val="18"/>
                <w:szCs w:val="18"/>
                <w:lang w:val="en-US"/>
              </w:rPr>
              <w:t>m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-2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rPr>
          <w:trHeight w:val="515"/>
        </w:trPr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Heavy-duty traffic intensity on nearest major road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HEAVYTRAFMAJOR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NA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Total heavy-duty traffic load of major roads in a buffer (sum of (heavy-duty traffic intensity * length of all segments))</w:t>
            </w:r>
            <w:r w:rsidRPr="00FB7BF0">
              <w:rPr>
                <w:sz w:val="18"/>
                <w:szCs w:val="18"/>
                <w:vertAlign w:val="superscript"/>
                <w:lang w:val="en-US"/>
              </w:rPr>
              <w:t>6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HEAVYTRAFMAJORLOAD_X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m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  <w:tr w:rsidR="00FB7BF0" w:rsidRPr="004D5AAD" w:rsidTr="00261F75">
        <w:tc>
          <w:tcPr>
            <w:tcW w:w="183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road</w:t>
            </w:r>
            <w:proofErr w:type="spellEnd"/>
            <w:r w:rsidRPr="004D5AAD">
              <w:rPr>
                <w:sz w:val="18"/>
                <w:szCs w:val="18"/>
              </w:rPr>
              <w:t xml:space="preserve"> </w:t>
            </w:r>
            <w:proofErr w:type="spellStart"/>
            <w:r w:rsidRPr="004D5AAD">
              <w:rPr>
                <w:sz w:val="18"/>
                <w:szCs w:val="18"/>
              </w:rPr>
              <w:t>network</w:t>
            </w:r>
            <w:proofErr w:type="spellEnd"/>
          </w:p>
        </w:tc>
        <w:tc>
          <w:tcPr>
            <w:tcW w:w="3671" w:type="dxa"/>
            <w:shd w:val="clear" w:color="auto" w:fill="auto"/>
          </w:tcPr>
          <w:p w:rsidR="00FB7BF0" w:rsidRPr="00FB7BF0" w:rsidRDefault="00FB7BF0" w:rsidP="00261F75">
            <w:pPr>
              <w:spacing w:line="240" w:lineRule="auto"/>
              <w:rPr>
                <w:sz w:val="18"/>
                <w:szCs w:val="18"/>
                <w:lang w:val="en-US"/>
              </w:rPr>
            </w:pPr>
            <w:r w:rsidRPr="00FB7BF0">
              <w:rPr>
                <w:sz w:val="18"/>
                <w:szCs w:val="18"/>
                <w:lang w:val="en-US"/>
              </w:rPr>
              <w:t>Total heavy-duty traffic load of all roads in a buffer (sum of (heavy-duty traffic intensity * length of all segments))</w:t>
            </w:r>
          </w:p>
        </w:tc>
        <w:tc>
          <w:tcPr>
            <w:tcW w:w="2995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HEAVYTRAFLOAD_X</w:t>
            </w:r>
          </w:p>
        </w:tc>
        <w:tc>
          <w:tcPr>
            <w:tcW w:w="1356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  <w:vertAlign w:val="superscript"/>
              </w:rPr>
            </w:pPr>
            <w:r w:rsidRPr="004D5AAD">
              <w:rPr>
                <w:sz w:val="18"/>
                <w:szCs w:val="18"/>
              </w:rPr>
              <w:t>Veh.day</w:t>
            </w:r>
            <w:r w:rsidRPr="004D5AAD">
              <w:rPr>
                <w:sz w:val="18"/>
                <w:szCs w:val="18"/>
                <w:vertAlign w:val="superscript"/>
              </w:rPr>
              <w:t>-1</w:t>
            </w:r>
            <w:r w:rsidRPr="004D5AAD">
              <w:rPr>
                <w:sz w:val="18"/>
                <w:szCs w:val="18"/>
              </w:rPr>
              <w:t>m</w:t>
            </w:r>
          </w:p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2331" w:type="dxa"/>
            <w:shd w:val="clear" w:color="auto" w:fill="auto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25, 50, 100,  300, 500, 1000</w:t>
            </w:r>
          </w:p>
        </w:tc>
        <w:tc>
          <w:tcPr>
            <w:tcW w:w="1311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r w:rsidRPr="004D5AAD">
              <w:rPr>
                <w:sz w:val="18"/>
                <w:szCs w:val="18"/>
              </w:rPr>
              <w:t>+</w:t>
            </w:r>
          </w:p>
        </w:tc>
        <w:tc>
          <w:tcPr>
            <w:tcW w:w="1386" w:type="dxa"/>
          </w:tcPr>
          <w:p w:rsidR="00FB7BF0" w:rsidRPr="004D5AAD" w:rsidRDefault="00FB7BF0" w:rsidP="00261F75">
            <w:pPr>
              <w:spacing w:line="240" w:lineRule="auto"/>
              <w:rPr>
                <w:sz w:val="18"/>
                <w:szCs w:val="18"/>
              </w:rPr>
            </w:pPr>
            <w:proofErr w:type="spellStart"/>
            <w:r w:rsidRPr="004D5AAD">
              <w:rPr>
                <w:sz w:val="18"/>
                <w:szCs w:val="18"/>
              </w:rPr>
              <w:t>Local</w:t>
            </w:r>
            <w:proofErr w:type="spellEnd"/>
          </w:p>
        </w:tc>
      </w:tr>
    </w:tbl>
    <w:p w:rsidR="00E6096C" w:rsidRDefault="00E6096C" w:rsidP="00BE1093">
      <w:pPr>
        <w:ind w:left="-993"/>
        <w:rPr>
          <w:rFonts w:ascii="Times New Roman" w:hAnsi="Times New Roman"/>
          <w:sz w:val="24"/>
          <w:szCs w:val="24"/>
          <w:lang w:val="en-US"/>
        </w:rPr>
      </w:pPr>
    </w:p>
    <w:p w:rsidR="00F933E6" w:rsidRDefault="00F933E6" w:rsidP="008330C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n-US" w:eastAsia="nl-NL"/>
        </w:rPr>
      </w:pPr>
      <w:r w:rsidRPr="00E52B8A">
        <w:rPr>
          <w:rFonts w:ascii="Times New Roman" w:hAnsi="Times New Roman"/>
          <w:sz w:val="24"/>
          <w:szCs w:val="24"/>
          <w:vertAlign w:val="superscript"/>
          <w:lang w:val="en-US" w:eastAsia="nl-NL"/>
        </w:rPr>
        <w:t>1</w:t>
      </w:r>
      <w:r w:rsidRPr="00E52B8A">
        <w:rPr>
          <w:rFonts w:ascii="Times New Roman" w:hAnsi="Times New Roman"/>
          <w:sz w:val="24"/>
          <w:szCs w:val="24"/>
          <w:lang w:val="en-US" w:eastAsia="nl-NL"/>
        </w:rPr>
        <w:tab/>
        <w:t xml:space="preserve">X denotes the size of the buffer </w:t>
      </w:r>
    </w:p>
    <w:p w:rsidR="00F933E6" w:rsidRDefault="00F933E6" w:rsidP="00F933E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n-US" w:eastAsia="nl-NL"/>
        </w:rPr>
      </w:pPr>
      <w:r>
        <w:rPr>
          <w:rFonts w:ascii="Times New Roman" w:hAnsi="Times New Roman"/>
          <w:sz w:val="24"/>
          <w:szCs w:val="24"/>
          <w:vertAlign w:val="superscript"/>
          <w:lang w:val="en-US" w:eastAsia="nl-NL"/>
        </w:rPr>
        <w:t>2</w:t>
      </w:r>
      <w:r>
        <w:rPr>
          <w:rFonts w:ascii="Times New Roman" w:hAnsi="Times New Roman"/>
          <w:sz w:val="24"/>
          <w:szCs w:val="24"/>
          <w:vertAlign w:val="superscript"/>
          <w:lang w:val="en-US" w:eastAsia="nl-NL"/>
        </w:rPr>
        <w:tab/>
      </w:r>
      <w:r>
        <w:rPr>
          <w:rFonts w:ascii="Times New Roman" w:hAnsi="Times New Roman"/>
          <w:sz w:val="24"/>
          <w:szCs w:val="24"/>
          <w:lang w:val="en-US" w:eastAsia="nl-NL"/>
        </w:rPr>
        <w:t xml:space="preserve">Buffer size is the </w:t>
      </w:r>
      <w:r w:rsidRPr="000162F9">
        <w:rPr>
          <w:rFonts w:ascii="Times New Roman" w:hAnsi="Times New Roman"/>
          <w:sz w:val="24"/>
          <w:szCs w:val="24"/>
          <w:lang w:val="en-US" w:eastAsia="nl-NL"/>
        </w:rPr>
        <w:t xml:space="preserve">radius of circle around </w:t>
      </w:r>
      <w:r>
        <w:rPr>
          <w:rFonts w:ascii="Times New Roman" w:hAnsi="Times New Roman"/>
          <w:sz w:val="24"/>
          <w:szCs w:val="24"/>
          <w:lang w:val="en-US" w:eastAsia="nl-NL"/>
        </w:rPr>
        <w:t xml:space="preserve">the </w:t>
      </w:r>
      <w:r w:rsidRPr="000162F9">
        <w:rPr>
          <w:rFonts w:ascii="Times New Roman" w:hAnsi="Times New Roman"/>
          <w:sz w:val="24"/>
          <w:szCs w:val="24"/>
          <w:lang w:val="en-US" w:eastAsia="nl-NL"/>
        </w:rPr>
        <w:t>sampli</w:t>
      </w:r>
      <w:r>
        <w:rPr>
          <w:rFonts w:ascii="Times New Roman" w:hAnsi="Times New Roman"/>
          <w:sz w:val="24"/>
          <w:szCs w:val="24"/>
          <w:lang w:val="en-US" w:eastAsia="nl-NL"/>
        </w:rPr>
        <w:t>n</w:t>
      </w:r>
      <w:r w:rsidRPr="000162F9">
        <w:rPr>
          <w:rFonts w:ascii="Times New Roman" w:hAnsi="Times New Roman"/>
          <w:sz w:val="24"/>
          <w:szCs w:val="24"/>
          <w:lang w:val="en-US" w:eastAsia="nl-NL"/>
        </w:rPr>
        <w:t>g site</w:t>
      </w:r>
    </w:p>
    <w:p w:rsidR="00F933E6" w:rsidRPr="00E52B8A" w:rsidRDefault="00F933E6" w:rsidP="008330C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n-US" w:eastAsia="nl-NL"/>
        </w:rPr>
      </w:pPr>
    </w:p>
    <w:p w:rsidR="00BE1093" w:rsidRPr="00E52B8A" w:rsidRDefault="00BE1093" w:rsidP="008330C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n-US" w:eastAsia="nl-NL"/>
        </w:rPr>
      </w:pPr>
    </w:p>
    <w:p w:rsidR="001B4D0A" w:rsidRDefault="001B4D0A" w:rsidP="00DC402B">
      <w:pPr>
        <w:pStyle w:val="Lijstalinea"/>
        <w:ind w:left="0"/>
        <w:rPr>
          <w:rFonts w:ascii="Times" w:hAnsi="Times"/>
          <w:sz w:val="18"/>
          <w:szCs w:val="18"/>
          <w:lang w:val="en-US"/>
        </w:rPr>
        <w:sectPr w:rsidR="001B4D0A" w:rsidSect="00FB7BF0">
          <w:pgSz w:w="16838" w:h="11906" w:orient="landscape"/>
          <w:pgMar w:top="1440" w:right="709" w:bottom="1440" w:left="425" w:header="708" w:footer="708" w:gutter="0"/>
          <w:cols w:space="708"/>
          <w:docGrid w:linePitch="360"/>
        </w:sectPr>
      </w:pPr>
    </w:p>
    <w:p w:rsidR="00C51B7E" w:rsidRPr="00154A5C" w:rsidRDefault="00E6096C" w:rsidP="004B4D0A">
      <w:pPr>
        <w:rPr>
          <w:rFonts w:ascii="Times" w:hAnsi="Times"/>
          <w:sz w:val="18"/>
          <w:szCs w:val="18"/>
          <w:lang w:val="en-US" w:eastAsia="nl-NL"/>
        </w:rPr>
      </w:pPr>
      <w:r w:rsidRPr="00154A5C">
        <w:rPr>
          <w:rFonts w:ascii="Times" w:hAnsi="Times"/>
          <w:sz w:val="18"/>
          <w:szCs w:val="18"/>
          <w:lang w:val="en-US"/>
        </w:rPr>
        <w:lastRenderedPageBreak/>
        <w:t>Table S</w:t>
      </w:r>
      <w:r w:rsidR="00DC402B">
        <w:rPr>
          <w:rFonts w:ascii="Times" w:hAnsi="Times"/>
          <w:sz w:val="18"/>
          <w:szCs w:val="18"/>
          <w:lang w:val="en-US"/>
        </w:rPr>
        <w:t>2</w:t>
      </w:r>
      <w:r w:rsidRPr="00154A5C">
        <w:rPr>
          <w:rFonts w:ascii="Times" w:hAnsi="Times"/>
          <w:sz w:val="18"/>
          <w:szCs w:val="18"/>
          <w:lang w:val="en-US"/>
        </w:rPr>
        <w:t xml:space="preserve">: </w:t>
      </w:r>
      <w:r>
        <w:rPr>
          <w:rFonts w:ascii="Times" w:hAnsi="Times"/>
          <w:sz w:val="18"/>
          <w:szCs w:val="18"/>
          <w:lang w:val="en-US"/>
        </w:rPr>
        <w:t xml:space="preserve">Pearson </w:t>
      </w:r>
      <w:r>
        <w:rPr>
          <w:rFonts w:ascii="Times" w:hAnsi="Times"/>
          <w:sz w:val="18"/>
          <w:szCs w:val="18"/>
          <w:lang w:val="en-US" w:eastAsia="nl-NL"/>
        </w:rPr>
        <w:t>correlation (r</w:t>
      </w:r>
      <w:r w:rsidRPr="00154A5C">
        <w:rPr>
          <w:rFonts w:ascii="Times" w:hAnsi="Times"/>
          <w:sz w:val="18"/>
          <w:szCs w:val="18"/>
          <w:lang w:val="en-US" w:eastAsia="nl-NL"/>
        </w:rPr>
        <w:t xml:space="preserve">) between unadjusted and ratio-adjusted concentrations of </w:t>
      </w:r>
      <w:r w:rsidR="00F40E19">
        <w:rPr>
          <w:rFonts w:ascii="Times" w:hAnsi="Times"/>
          <w:sz w:val="18"/>
          <w:szCs w:val="18"/>
          <w:lang w:val="en-US" w:eastAsia="nl-NL"/>
        </w:rPr>
        <w:t>oxidative potential</w:t>
      </w:r>
    </w:p>
    <w:tbl>
      <w:tblPr>
        <w:tblW w:w="28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960"/>
      </w:tblGrid>
      <w:tr w:rsidR="00037280" w:rsidRPr="00CA0577" w:rsidTr="00037280">
        <w:trPr>
          <w:trHeight w:val="300"/>
        </w:trPr>
        <w:tc>
          <w:tcPr>
            <w:tcW w:w="19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proofErr w:type="spellStart"/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Study</w:t>
            </w:r>
            <w:proofErr w:type="spellEnd"/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 xml:space="preserve"> area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lang w:eastAsia="nl-NL"/>
              </w:rPr>
              <w:t>DTT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Oslo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83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Helsinki/Turku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95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Copenhagen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86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London/Oxford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65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Netherlands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88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Munich/Augsburg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92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Paris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90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Rome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93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proofErr w:type="spellStart"/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Catalonia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82</w:t>
            </w:r>
          </w:p>
        </w:tc>
      </w:tr>
      <w:tr w:rsidR="00037280" w:rsidRPr="00CA0577" w:rsidTr="00037280">
        <w:trPr>
          <w:trHeight w:val="300"/>
        </w:trPr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037280" w:rsidRPr="00CA0577" w:rsidRDefault="00037280" w:rsidP="00CA057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Athens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037280" w:rsidRPr="00CA0577" w:rsidRDefault="00037280" w:rsidP="00CA05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</w:pP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.</w:t>
            </w:r>
            <w:r w:rsidRPr="00CA05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nl-NL"/>
              </w:rPr>
              <w:t>98</w:t>
            </w:r>
          </w:p>
        </w:tc>
      </w:tr>
    </w:tbl>
    <w:p w:rsidR="00E6096C" w:rsidRDefault="00E6096C" w:rsidP="00E6566E">
      <w:pPr>
        <w:pStyle w:val="Lijstalinea"/>
        <w:ind w:hanging="862"/>
        <w:rPr>
          <w:rFonts w:ascii="Times" w:hAnsi="Times" w:cs="Times New Roman"/>
          <w:sz w:val="18"/>
          <w:szCs w:val="18"/>
          <w:lang w:val="en-US"/>
        </w:rPr>
      </w:pPr>
    </w:p>
    <w:p w:rsidR="009B4DE6" w:rsidRDefault="009B4DE6" w:rsidP="00374719">
      <w:pPr>
        <w:autoSpaceDE w:val="0"/>
        <w:autoSpaceDN w:val="0"/>
        <w:adjustRightInd w:val="0"/>
        <w:spacing w:after="0" w:line="400" w:lineRule="atLeast"/>
        <w:rPr>
          <w:rFonts w:ascii="Times" w:hAnsi="Times"/>
          <w:sz w:val="18"/>
          <w:szCs w:val="18"/>
          <w:lang w:val="en-US"/>
        </w:rPr>
      </w:pPr>
    </w:p>
    <w:p w:rsidR="009B4DE6" w:rsidRDefault="009B4DE6" w:rsidP="00374719">
      <w:pPr>
        <w:autoSpaceDE w:val="0"/>
        <w:autoSpaceDN w:val="0"/>
        <w:adjustRightInd w:val="0"/>
        <w:spacing w:after="0" w:line="400" w:lineRule="atLeast"/>
        <w:rPr>
          <w:rFonts w:ascii="Times" w:hAnsi="Times"/>
          <w:sz w:val="18"/>
          <w:szCs w:val="18"/>
          <w:lang w:val="en-US"/>
        </w:rPr>
      </w:pPr>
    </w:p>
    <w:p w:rsidR="00253D46" w:rsidRDefault="00253D46" w:rsidP="009B4DE6">
      <w:pPr>
        <w:spacing w:after="0" w:line="240" w:lineRule="auto"/>
        <w:ind w:left="720" w:hanging="720"/>
        <w:rPr>
          <w:rFonts w:ascii="Times" w:hAnsi="Times"/>
          <w:lang w:val="en-US"/>
        </w:rPr>
      </w:pPr>
    </w:p>
    <w:p w:rsidR="00253D46" w:rsidRDefault="00253D46" w:rsidP="009B4DE6">
      <w:pPr>
        <w:spacing w:after="0" w:line="240" w:lineRule="auto"/>
        <w:ind w:left="720" w:hanging="720"/>
        <w:rPr>
          <w:rFonts w:ascii="Times" w:hAnsi="Times"/>
          <w:lang w:val="en-US"/>
        </w:rPr>
      </w:pPr>
    </w:p>
    <w:p w:rsidR="00253D46" w:rsidRDefault="00253D46" w:rsidP="009B4DE6">
      <w:pPr>
        <w:spacing w:after="0" w:line="240" w:lineRule="auto"/>
        <w:ind w:left="720" w:hanging="720"/>
        <w:rPr>
          <w:rFonts w:ascii="Times" w:hAnsi="Times"/>
          <w:lang w:val="en-US"/>
        </w:rPr>
      </w:pPr>
    </w:p>
    <w:p w:rsidR="00253D46" w:rsidRDefault="00253D46" w:rsidP="009B4DE6">
      <w:pPr>
        <w:spacing w:after="0" w:line="240" w:lineRule="auto"/>
        <w:ind w:left="720" w:hanging="720"/>
        <w:rPr>
          <w:rFonts w:ascii="Times" w:hAnsi="Times"/>
          <w:lang w:val="en-US"/>
        </w:rPr>
      </w:pPr>
    </w:p>
    <w:p w:rsidR="00BA2B5C" w:rsidRDefault="00BA2B5C" w:rsidP="00DC402B">
      <w:pPr>
        <w:pStyle w:val="Lijstalinea"/>
        <w:ind w:left="0"/>
        <w:rPr>
          <w:rFonts w:ascii="Times" w:hAnsi="Times"/>
          <w:sz w:val="18"/>
          <w:szCs w:val="18"/>
          <w:lang w:val="en-US"/>
        </w:rPr>
        <w:sectPr w:rsidR="00BA2B5C" w:rsidSect="00DC402B">
          <w:pgSz w:w="11906" w:h="16838"/>
          <w:pgMar w:top="709" w:right="1440" w:bottom="425" w:left="1440" w:header="708" w:footer="708" w:gutter="0"/>
          <w:cols w:space="708"/>
          <w:docGrid w:linePitch="360"/>
        </w:sectPr>
      </w:pPr>
    </w:p>
    <w:p w:rsidR="000736B9" w:rsidRPr="000736B9" w:rsidRDefault="00DC402B" w:rsidP="00DC402B">
      <w:pPr>
        <w:pStyle w:val="Lijstalinea"/>
        <w:ind w:left="0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sz w:val="18"/>
          <w:szCs w:val="18"/>
          <w:lang w:val="en-US" w:eastAsia="nl-NL"/>
        </w:rPr>
        <w:lastRenderedPageBreak/>
        <w:t>a</w:t>
      </w:r>
      <w:r w:rsidR="000736B9">
        <w:rPr>
          <w:rFonts w:ascii="Times New Roman" w:hAnsi="Times New Roman"/>
          <w:sz w:val="18"/>
          <w:szCs w:val="18"/>
          <w:lang w:val="en-US" w:eastAsia="nl-NL"/>
        </w:rPr>
        <w:t>)</w:t>
      </w:r>
    </w:p>
    <w:p w:rsidR="000736B9" w:rsidRDefault="000736B9" w:rsidP="000736B9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  <w:r w:rsidRPr="000736B9">
        <w:rPr>
          <w:rFonts w:ascii="Times New Roman" w:hAnsi="Times New Roman"/>
          <w:noProof/>
          <w:sz w:val="18"/>
          <w:szCs w:val="18"/>
          <w:lang w:eastAsia="nl-NL"/>
        </w:rPr>
        <w:drawing>
          <wp:inline distT="0" distB="0" distL="0" distR="0" wp14:anchorId="42E9233E" wp14:editId="04F9E5B5">
            <wp:extent cx="4572000" cy="2743200"/>
            <wp:effectExtent l="0" t="0" r="19050" b="19050"/>
            <wp:docPr id="2" name="Grafiek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0736B9" w:rsidRDefault="000736B9" w:rsidP="000736B9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0736B9" w:rsidRPr="000736B9" w:rsidRDefault="000736B9" w:rsidP="000736B9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0736B9" w:rsidRPr="000736B9" w:rsidRDefault="000736B9" w:rsidP="000736B9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sz w:val="18"/>
          <w:szCs w:val="18"/>
          <w:lang w:val="en-US" w:eastAsia="nl-NL"/>
        </w:rPr>
        <w:t>b)</w:t>
      </w:r>
    </w:p>
    <w:p w:rsidR="000736B9" w:rsidRPr="000736B9" w:rsidRDefault="000736B9" w:rsidP="000736B9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  <w:r w:rsidRPr="000736B9">
        <w:rPr>
          <w:rFonts w:ascii="Times New Roman" w:hAnsi="Times New Roman"/>
          <w:noProof/>
          <w:sz w:val="18"/>
          <w:szCs w:val="18"/>
          <w:lang w:eastAsia="nl-NL"/>
        </w:rPr>
        <w:drawing>
          <wp:inline distT="0" distB="0" distL="0" distR="0" wp14:anchorId="01EDFE9D" wp14:editId="224D86CF">
            <wp:extent cx="4572000" cy="2743200"/>
            <wp:effectExtent l="0" t="0" r="19050" b="19050"/>
            <wp:docPr id="1" name="Grafiek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0736B9" w:rsidRPr="000736B9" w:rsidRDefault="000736B9" w:rsidP="00D81DE8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  <w:r w:rsidRPr="000736B9">
        <w:rPr>
          <w:rFonts w:ascii="Times New Roman" w:hAnsi="Times New Roman"/>
          <w:sz w:val="18"/>
          <w:szCs w:val="18"/>
          <w:lang w:val="en-US" w:eastAsia="nl-NL"/>
        </w:rPr>
        <w:t>Figure S</w:t>
      </w:r>
      <w:r w:rsidRPr="000736B9">
        <w:rPr>
          <w:rFonts w:ascii="Times New Roman" w:hAnsi="Times New Roman"/>
          <w:sz w:val="18"/>
          <w:szCs w:val="18"/>
          <w:lang w:val="en-US" w:eastAsia="nl-NL"/>
        </w:rPr>
        <w:tab/>
        <w:t>1</w:t>
      </w:r>
      <w:r w:rsidRPr="000736B9">
        <w:rPr>
          <w:rFonts w:ascii="Times New Roman" w:hAnsi="Times New Roman"/>
          <w:sz w:val="18"/>
          <w:szCs w:val="18"/>
          <w:lang w:val="en-US" w:eastAsia="nl-NL"/>
        </w:rPr>
        <w:tab/>
        <w:t>Comparison between OP DTT measurement on quartz filters (this study) and Teflon filters (Yang, 2015).</w:t>
      </w:r>
      <w:r w:rsidRPr="000736B9">
        <w:rPr>
          <w:rFonts w:ascii="Times New Roman" w:hAnsi="Times New Roman"/>
          <w:b/>
          <w:sz w:val="18"/>
          <w:szCs w:val="18"/>
          <w:lang w:val="en-US" w:eastAsia="nl-NL"/>
        </w:rPr>
        <w:t xml:space="preserve"> </w:t>
      </w:r>
      <w:r>
        <w:rPr>
          <w:rFonts w:ascii="Times New Roman" w:hAnsi="Times New Roman"/>
          <w:sz w:val="18"/>
          <w:szCs w:val="18"/>
          <w:lang w:val="en-US" w:eastAsia="nl-NL"/>
        </w:rPr>
        <w:t>a</w:t>
      </w:r>
      <w:r w:rsidRPr="000736B9">
        <w:rPr>
          <w:rFonts w:ascii="Times New Roman" w:hAnsi="Times New Roman"/>
          <w:sz w:val="18"/>
          <w:szCs w:val="18"/>
          <w:lang w:val="en-US" w:eastAsia="nl-NL"/>
        </w:rPr>
        <w:t xml:space="preserve">) Unadjusted average OP, b) Adjusted average OP </w:t>
      </w:r>
    </w:p>
    <w:p w:rsidR="000736B9" w:rsidRPr="000736B9" w:rsidRDefault="000736B9" w:rsidP="000736B9">
      <w:pPr>
        <w:pStyle w:val="Lijstalinea"/>
        <w:rPr>
          <w:rFonts w:ascii="Times New Roman" w:hAnsi="Times New Roman"/>
          <w:sz w:val="18"/>
          <w:szCs w:val="18"/>
          <w:lang w:val="en-US" w:eastAsia="nl-NL"/>
        </w:rPr>
      </w:pPr>
    </w:p>
    <w:p w:rsidR="000736B9" w:rsidRPr="000736B9" w:rsidRDefault="000736B9" w:rsidP="000736B9">
      <w:pPr>
        <w:pStyle w:val="Lijstalinea"/>
        <w:rPr>
          <w:rFonts w:ascii="Times New Roman" w:hAnsi="Times New Roman"/>
          <w:sz w:val="18"/>
          <w:szCs w:val="18"/>
          <w:lang w:val="en-US" w:eastAsia="nl-NL"/>
        </w:rPr>
      </w:pPr>
    </w:p>
    <w:p w:rsidR="00BA2B5C" w:rsidRDefault="00D81DE8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  <w:r>
        <w:rPr>
          <w:noProof/>
          <w:lang w:eastAsia="nl-NL"/>
        </w:rPr>
        <w:drawing>
          <wp:inline distT="0" distB="0" distL="0" distR="0" wp14:anchorId="13396867" wp14:editId="1C67008D">
            <wp:extent cx="3824577" cy="2608028"/>
            <wp:effectExtent l="0" t="0" r="24130" b="20955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81DE8" w:rsidRDefault="00D81DE8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  <w:r>
        <w:rPr>
          <w:rFonts w:ascii="Times New Roman" w:hAnsi="Times New Roman" w:cs="Times New Roman"/>
          <w:sz w:val="18"/>
          <w:szCs w:val="18"/>
          <w:lang w:val="en-US" w:eastAsia="nl-NL"/>
        </w:rPr>
        <w:t>Figure S2. Comparison of DTT results between two laboratories: TNO and RIVM</w:t>
      </w:r>
      <w:r w:rsidR="00D74645">
        <w:rPr>
          <w:rFonts w:ascii="Times New Roman" w:hAnsi="Times New Roman" w:cs="Times New Roman"/>
          <w:sz w:val="18"/>
          <w:szCs w:val="18"/>
          <w:lang w:val="en-US" w:eastAsia="nl-NL"/>
        </w:rPr>
        <w:t xml:space="preserve"> (</w:t>
      </w:r>
      <w:r w:rsidR="00D74645" w:rsidRPr="00D74645">
        <w:rPr>
          <w:rFonts w:ascii="Times New Roman" w:hAnsi="Times New Roman" w:cs="Times New Roman"/>
          <w:sz w:val="18"/>
          <w:szCs w:val="18"/>
          <w:lang w:val="en-US" w:eastAsia="nl-NL"/>
        </w:rPr>
        <w:t>TNO REPORTI TNO-060-UTP-2013-00038</w:t>
      </w:r>
      <w:r w:rsidR="00D74645">
        <w:rPr>
          <w:rFonts w:ascii="Times New Roman" w:hAnsi="Times New Roman" w:cs="Times New Roman"/>
          <w:sz w:val="18"/>
          <w:szCs w:val="18"/>
          <w:lang w:val="en-US" w:eastAsia="nl-NL"/>
        </w:rPr>
        <w:t>)</w:t>
      </w:r>
      <w:r>
        <w:rPr>
          <w:rFonts w:ascii="Times New Roman" w:hAnsi="Times New Roman" w:cs="Times New Roman"/>
          <w:sz w:val="18"/>
          <w:szCs w:val="18"/>
          <w:lang w:val="en-US" w:eastAsia="nl-NL"/>
        </w:rPr>
        <w:t>.</w:t>
      </w:r>
    </w:p>
    <w:p w:rsidR="00B03516" w:rsidRDefault="00B03516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  <w:bookmarkStart w:id="4" w:name="_GoBack"/>
      <w:bookmarkEnd w:id="4"/>
    </w:p>
    <w:p w:rsidR="00A33084" w:rsidRDefault="00A33084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  <w:r>
        <w:rPr>
          <w:rFonts w:ascii="Times New Roman" w:hAnsi="Times New Roman" w:cs="Times New Roman"/>
          <w:sz w:val="18"/>
          <w:szCs w:val="18"/>
          <w:lang w:val="en-US" w:eastAsia="nl-NL"/>
        </w:rPr>
        <w:t>Table S3. Spearman correlations between DTT and other pollutants</w:t>
      </w:r>
    </w:p>
    <w:p w:rsidR="00A33084" w:rsidRDefault="00A33084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  <w:r w:rsidRPr="008F4809">
        <w:rPr>
          <w:noProof/>
          <w:lang w:eastAsia="nl-NL"/>
        </w:rPr>
        <w:lastRenderedPageBreak/>
        <w:drawing>
          <wp:inline distT="0" distB="0" distL="0" distR="0" wp14:anchorId="73CC16D5" wp14:editId="7794F0D9">
            <wp:extent cx="5442117" cy="1582310"/>
            <wp:effectExtent l="0" t="0" r="635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501" cy="15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B03516" w:rsidRDefault="00E52B8A" w:rsidP="00B03516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E03175" w:rsidRDefault="00E52B8A" w:rsidP="00E03175">
      <w:pPr>
        <w:pStyle w:val="Tekstzonderopmaak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sz w:val="18"/>
          <w:szCs w:val="18"/>
          <w:lang w:val="en-US" w:eastAsia="nl-NL"/>
        </w:rPr>
        <w:t>A)</w:t>
      </w:r>
      <w:r w:rsidR="00E03175">
        <w:rPr>
          <w:rFonts w:ascii="Times New Roman" w:hAnsi="Times New Roman"/>
          <w:sz w:val="18"/>
          <w:szCs w:val="18"/>
          <w:lang w:val="en-US" w:eastAsia="nl-NL"/>
        </w:rPr>
        <w:br w:type="page"/>
      </w:r>
      <w:r w:rsidR="002C11D5">
        <w:rPr>
          <w:rFonts w:ascii="Times New Roman" w:hAnsi="Times New Roman"/>
          <w:noProof/>
          <w:sz w:val="18"/>
          <w:szCs w:val="18"/>
          <w:lang w:eastAsia="nl-NL"/>
        </w:rPr>
        <w:lastRenderedPageBreak/>
        <w:drawing>
          <wp:inline distT="0" distB="0" distL="0" distR="0" wp14:anchorId="012E3513" wp14:editId="64B6DB50">
            <wp:extent cx="4358202" cy="6170212"/>
            <wp:effectExtent l="0" t="0" r="4445" b="2540"/>
            <wp:docPr id="3" name="Picture 3" descr="\\tsn.tno.nl\RA-DATA\SV\sv-058345\_Dossiers\dossiers-AMA 2008\32008038 - ESCAPE\Resultaten\publicaions\oxidative potential\Review\Os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sn.tno.nl\RA-DATA\SV\sv-058345\_Dossiers\dossiers-AMA 2008\32008038 - ESCAPE\Resultaten\publicaions\oxidative potential\Review\Osl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153" cy="616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Default="00E52B8A" w:rsidP="00E03175">
      <w:pPr>
        <w:pStyle w:val="Tekstzonderopmaak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sz w:val="18"/>
          <w:szCs w:val="18"/>
          <w:lang w:val="en-US" w:eastAsia="nl-NL"/>
        </w:rPr>
        <w:t>B)</w:t>
      </w:r>
    </w:p>
    <w:p w:rsidR="002C11D5" w:rsidRDefault="00184DF7" w:rsidP="00E03175">
      <w:pPr>
        <w:pStyle w:val="Tekstzonderopmaak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noProof/>
          <w:sz w:val="18"/>
          <w:szCs w:val="18"/>
          <w:lang w:eastAsia="nl-NL"/>
        </w:rPr>
        <w:lastRenderedPageBreak/>
        <w:drawing>
          <wp:inline distT="0" distB="0" distL="0" distR="0" wp14:anchorId="5850186C" wp14:editId="13C5C5CC">
            <wp:extent cx="5486400" cy="3875206"/>
            <wp:effectExtent l="0" t="0" r="0" b="0"/>
            <wp:docPr id="5" name="Picture 5" descr="\\tsn.tno.nl\RA-DATA\SV\sv-058345\_Dossiers\dossiers-AMA 2008\32008038 - ESCAPE\Resultaten\publicaions\oxidative potential\Review\Helsi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sn.tno.nl\RA-DATA\SV\sv-058345\_Dossiers\dossiers-AMA 2008\32008038 - ESCAPE\Resultaten\publicaions\oxidative potential\Review\Helsinki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508" cy="388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Default="00E52B8A" w:rsidP="00E03175">
      <w:pPr>
        <w:pStyle w:val="Tekstzonderopmaak"/>
        <w:rPr>
          <w:rFonts w:ascii="Times New Roman" w:hAnsi="Times New Roman"/>
          <w:sz w:val="18"/>
          <w:szCs w:val="18"/>
          <w:lang w:val="en-US" w:eastAsia="nl-NL"/>
        </w:rPr>
      </w:pPr>
      <w:r>
        <w:rPr>
          <w:rFonts w:ascii="Times New Roman" w:hAnsi="Times New Roman"/>
          <w:sz w:val="18"/>
          <w:szCs w:val="18"/>
          <w:lang w:val="en-US" w:eastAsia="nl-NL"/>
        </w:rPr>
        <w:t>C)</w:t>
      </w:r>
    </w:p>
    <w:p w:rsidR="002C11D5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0E5195C0" wp14:editId="6AEA9487">
            <wp:extent cx="4657060" cy="6593325"/>
            <wp:effectExtent l="0" t="0" r="0" b="0"/>
            <wp:docPr id="6" name="Picture 6" descr="\\tsn.tno.nl\RA-DATA\SV\sv-058345\_Dossiers\dossiers-AMA 2008\32008038 - ESCAPE\Resultaten\publicaions\oxidative potential\Review\Copenhag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sn.tno.nl\RA-DATA\SV\sv-058345\_Dossiers\dossiers-AMA 2008\32008038 - ESCAPE\Resultaten\publicaions\oxidative potential\Review\Copenhage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899" cy="660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 w:rsidRPr="00E52B8A">
        <w:rPr>
          <w:lang w:val="en-US"/>
        </w:rPr>
        <w:t>D)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106B7F11" wp14:editId="06F671F1">
            <wp:extent cx="4657060" cy="3289418"/>
            <wp:effectExtent l="0" t="0" r="0" b="6350"/>
            <wp:docPr id="7" name="Picture 7" descr="\\tsn.tno.nl\RA-DATA\SV\sv-058345\_Dossiers\dossiers-AMA 2008\32008038 - ESCAPE\Resultaten\publicaions\oxidative potential\Review\LondonOxfo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tsn.tno.nl\RA-DATA\SV\sv-058345\_Dossiers\dossiers-AMA 2008\32008038 - ESCAPE\Resultaten\publicaions\oxidative potential\Review\LondonOxfor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475" cy="328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 w:rsidRPr="00E52B8A">
        <w:rPr>
          <w:lang w:val="en-US"/>
        </w:rPr>
        <w:t>E)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3A848A3A" wp14:editId="09B7A951">
            <wp:extent cx="4603898" cy="6518060"/>
            <wp:effectExtent l="0" t="0" r="6350" b="0"/>
            <wp:docPr id="8" name="Picture 8" descr="\\tsn.tno.nl\RA-DATA\SV\sv-058345\_Dossiers\dossiers-AMA 2008\32008038 - ESCAPE\Resultaten\publicaions\oxidative potential\Review\NethBe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tsn.tno.nl\RA-DATA\SV\sv-058345\_Dossiers\dossiers-AMA 2008\32008038 - ESCAPE\Resultaten\publicaions\oxidative potential\Review\NethBel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6" cy="652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Default="00E52B8A" w:rsidP="00E03175">
      <w:pPr>
        <w:pStyle w:val="Tekstzonderopmaak"/>
        <w:rPr>
          <w:lang w:val="en-US"/>
        </w:rPr>
      </w:pPr>
      <w:r w:rsidRPr="00E52B8A">
        <w:rPr>
          <w:lang w:val="en-US"/>
        </w:rPr>
        <w:t>F)</w:t>
      </w:r>
    </w:p>
    <w:p w:rsidR="00E52B8A" w:rsidRDefault="00E52B8A" w:rsidP="00E03175">
      <w:pPr>
        <w:pStyle w:val="Tekstzonderopmaak"/>
        <w:rPr>
          <w:lang w:val="en-US"/>
        </w:rPr>
      </w:pPr>
      <w:r>
        <w:rPr>
          <w:noProof/>
          <w:lang w:eastAsia="nl-NL"/>
        </w:rPr>
        <w:lastRenderedPageBreak/>
        <w:drawing>
          <wp:inline distT="0" distB="0" distL="0" distR="0">
            <wp:extent cx="5481888" cy="3869741"/>
            <wp:effectExtent l="0" t="0" r="5080" b="0"/>
            <wp:docPr id="14" name="Picture 14" descr="\\tsn.tno.nl\RA-DATA\SV\sv-058345\_Dossiers\dossiers-AMA 2008\32008038 - ESCAPE\Resultaten\publicaions\oxidative potential\Review\Mun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tsn.tno.nl\RA-DATA\SV\sv-058345\_Dossiers\dossiers-AMA 2008\32008038 - ESCAPE\Resultaten\publicaions\oxidative potential\Review\Munich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38" cy="387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G)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drawing>
          <wp:inline distT="0" distB="0" distL="0" distR="0" wp14:anchorId="57959A6B" wp14:editId="2151D636">
            <wp:extent cx="5497033" cy="3882716"/>
            <wp:effectExtent l="0" t="0" r="8890" b="3810"/>
            <wp:docPr id="9" name="Picture 9" descr="\\tsn.tno.nl\RA-DATA\SV\sv-058345\_Dossiers\dossiers-AMA 2008\32008038 - ESCAPE\Resultaten\publicaions\oxidative potential\Review\Pa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tsn.tno.nl\RA-DATA\SV\sv-058345\_Dossiers\dossiers-AMA 2008\32008038 - ESCAPE\Resultaten\publicaions\oxidative potential\Review\Pari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10" cy="388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F7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H</w:t>
      </w:r>
      <w:r w:rsidRPr="00E52B8A">
        <w:rPr>
          <w:lang w:val="en-US"/>
        </w:rPr>
        <w:t>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470904AA" wp14:editId="4004C3A0">
            <wp:extent cx="4529470" cy="6412688"/>
            <wp:effectExtent l="0" t="0" r="4445" b="7620"/>
            <wp:docPr id="10" name="Picture 10" descr="\\tsn.tno.nl\RA-DATA\SV\sv-058345\_Dossiers\dossiers-AMA 2008\32008038 - ESCAPE\Resultaten\publicaions\oxidative potential\Review\Sp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tsn.tno.nl\RA-DATA\SV\sv-058345\_Dossiers\dossiers-AMA 2008\32008038 - ESCAPE\Resultaten\publicaions\oxidative potential\Review\Spai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89" cy="642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I</w:t>
      </w:r>
      <w:r w:rsidRPr="00E52B8A">
        <w:rPr>
          <w:lang w:val="en-US"/>
        </w:rPr>
        <w:t>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52830ED7" wp14:editId="08DD3B0E">
            <wp:extent cx="4497572" cy="6367530"/>
            <wp:effectExtent l="0" t="0" r="0" b="0"/>
            <wp:docPr id="11" name="Picture 11" descr="\\tsn.tno.nl\RA-DATA\SV\sv-058345\_Dossiers\dossiers-AMA 2008\32008038 - ESCAPE\Resultaten\publicaions\oxidative potential\Review\Barcel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tsn.tno.nl\RA-DATA\SV\sv-058345\_Dossiers\dossiers-AMA 2008\32008038 - ESCAPE\Resultaten\publicaions\oxidative potential\Review\Barcelon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836" cy="637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J</w:t>
      </w:r>
      <w:r w:rsidRPr="00E52B8A">
        <w:rPr>
          <w:lang w:val="en-US"/>
        </w:rPr>
        <w:t>)</w:t>
      </w:r>
    </w:p>
    <w:p w:rsidR="00184DF7" w:rsidRDefault="00184DF7" w:rsidP="00E03175">
      <w:pPr>
        <w:pStyle w:val="Tekstzonderopmaak"/>
        <w:rPr>
          <w:color w:val="9BBB59" w:themeColor="accent3"/>
          <w:lang w:val="en-US"/>
        </w:rPr>
      </w:pPr>
    </w:p>
    <w:p w:rsidR="006F4032" w:rsidRDefault="006F4032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196AD071" wp14:editId="31CB2D0F">
            <wp:extent cx="4476013" cy="6337005"/>
            <wp:effectExtent l="0" t="0" r="1270" b="6985"/>
            <wp:docPr id="12" name="Picture 12" descr="\\tsn.tno.nl\RA-DATA\SV\sv-058345\_Dossiers\dossiers-AMA 2008\32008038 - ESCAPE\Resultaten\publicaions\oxidative potential\Review\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tsn.tno.nl\RA-DATA\SV\sv-058345\_Dossiers\dossiers-AMA 2008\32008038 - ESCAPE\Resultaten\publicaions\oxidative potential\Review\Rom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027" cy="633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8A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K</w:t>
      </w:r>
      <w:r w:rsidRPr="00E52B8A">
        <w:rPr>
          <w:lang w:val="en-US"/>
        </w:rPr>
        <w:t>)</w:t>
      </w:r>
    </w:p>
    <w:p w:rsidR="006F4032" w:rsidRDefault="006F4032" w:rsidP="00E03175">
      <w:pPr>
        <w:pStyle w:val="Tekstzonderopmaak"/>
        <w:rPr>
          <w:color w:val="9BBB59" w:themeColor="accent3"/>
          <w:lang w:val="en-US"/>
        </w:rPr>
      </w:pPr>
      <w:r>
        <w:rPr>
          <w:noProof/>
          <w:color w:val="9BBB59" w:themeColor="accent3"/>
          <w:lang w:eastAsia="nl-NL"/>
        </w:rPr>
        <w:lastRenderedPageBreak/>
        <w:drawing>
          <wp:inline distT="0" distB="0" distL="0" distR="0" wp14:anchorId="1720D170" wp14:editId="610F75F9">
            <wp:extent cx="4506054" cy="6379535"/>
            <wp:effectExtent l="0" t="0" r="8890" b="2540"/>
            <wp:docPr id="13" name="Picture 13" descr="\\tsn.tno.nl\RA-DATA\SV\sv-058345\_Dossiers\dossiers-AMA 2008\32008038 - ESCAPE\Resultaten\publicaions\oxidative potential\Review\Gre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tsn.tno.nl\RA-DATA\SV\sv-058345\_Dossiers\dossiers-AMA 2008\32008038 - ESCAPE\Resultaten\publicaions\oxidative potential\Review\Greec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421" cy="638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032" w:rsidRDefault="006F4032" w:rsidP="00E03175">
      <w:pPr>
        <w:pStyle w:val="Tekstzonderopmaak"/>
        <w:rPr>
          <w:color w:val="9BBB59" w:themeColor="accent3"/>
          <w:lang w:val="en-US"/>
        </w:rPr>
      </w:pPr>
    </w:p>
    <w:p w:rsidR="00E03175" w:rsidRPr="00E52B8A" w:rsidRDefault="00E52B8A" w:rsidP="00E03175">
      <w:pPr>
        <w:pStyle w:val="Tekstzonderopmaak"/>
        <w:rPr>
          <w:lang w:val="en-US"/>
        </w:rPr>
      </w:pPr>
      <w:r>
        <w:rPr>
          <w:lang w:val="en-US"/>
        </w:rPr>
        <w:t>Figures S</w:t>
      </w:r>
      <w:r w:rsidR="00E72A25">
        <w:rPr>
          <w:lang w:val="en-US"/>
        </w:rPr>
        <w:t>4</w:t>
      </w:r>
      <w:r>
        <w:rPr>
          <w:lang w:val="en-US"/>
        </w:rPr>
        <w:t xml:space="preserve">. </w:t>
      </w:r>
      <w:r w:rsidR="00E03175" w:rsidRPr="00E52B8A">
        <w:rPr>
          <w:lang w:val="en-US"/>
        </w:rPr>
        <w:t>Maps of OP in the study areas</w:t>
      </w:r>
      <w:r w:rsidR="006F4032" w:rsidRPr="00E52B8A">
        <w:rPr>
          <w:lang w:val="en-US"/>
        </w:rPr>
        <w:t>. A) Oslo, B) Helsinki/Turku, C) Copenhagen, D) London/Oxford, E) Netherlands, F)</w:t>
      </w:r>
      <w:r>
        <w:rPr>
          <w:lang w:val="en-US"/>
        </w:rPr>
        <w:t xml:space="preserve"> Munich/Augsburg, G)</w:t>
      </w:r>
      <w:r w:rsidR="006F4032" w:rsidRPr="00E52B8A">
        <w:rPr>
          <w:lang w:val="en-US"/>
        </w:rPr>
        <w:t xml:space="preserve"> Paris, </w:t>
      </w:r>
      <w:r>
        <w:rPr>
          <w:lang w:val="en-US"/>
        </w:rPr>
        <w:t>H</w:t>
      </w:r>
      <w:r w:rsidR="006F4032" w:rsidRPr="00E52B8A">
        <w:rPr>
          <w:lang w:val="en-US"/>
        </w:rPr>
        <w:t>) Catalo</w:t>
      </w:r>
      <w:r>
        <w:rPr>
          <w:lang w:val="en-US"/>
        </w:rPr>
        <w:t>nia, I) Barcelona, J) Rome, K</w:t>
      </w:r>
      <w:r w:rsidR="006F4032" w:rsidRPr="00E52B8A">
        <w:rPr>
          <w:lang w:val="en-US"/>
        </w:rPr>
        <w:t>) Athens</w:t>
      </w:r>
    </w:p>
    <w:p w:rsidR="00E03175" w:rsidRPr="00E52B8A" w:rsidRDefault="00E03175" w:rsidP="00E03175">
      <w:pPr>
        <w:pStyle w:val="Tekstzonderopmaak"/>
        <w:rPr>
          <w:lang w:val="en-US"/>
        </w:rPr>
      </w:pPr>
    </w:p>
    <w:p w:rsidR="00E03175" w:rsidRPr="00A33084" w:rsidRDefault="00E03175" w:rsidP="00E03175">
      <w:pPr>
        <w:pStyle w:val="Tekstzonderopmaak"/>
        <w:rPr>
          <w:rFonts w:ascii="Times New Roman" w:hAnsi="Times New Roman" w:cs="Times New Roman"/>
          <w:lang w:val="en-US"/>
        </w:rPr>
      </w:pPr>
      <w:r w:rsidRPr="00E52B8A">
        <w:rPr>
          <w:lang w:val="en-US"/>
        </w:rPr>
        <w:br w:type="page"/>
      </w:r>
      <w:r w:rsidRPr="00A33084">
        <w:rPr>
          <w:rFonts w:ascii="Times New Roman" w:hAnsi="Times New Roman" w:cs="Times New Roman"/>
          <w:lang w:val="en-US"/>
        </w:rPr>
        <w:lastRenderedPageBreak/>
        <w:t>Table S4 Spatial autocorrelation in the 10 study areas</w:t>
      </w:r>
    </w:p>
    <w:p w:rsidR="00E03175" w:rsidRPr="00E52B8A" w:rsidRDefault="00E03175" w:rsidP="00E03175">
      <w:pPr>
        <w:pStyle w:val="Tekstzonderopmaak"/>
        <w:rPr>
          <w:lang w:val="en-US"/>
        </w:rPr>
      </w:pPr>
    </w:p>
    <w:tbl>
      <w:tblPr>
        <w:tblStyle w:val="Tabelraster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529"/>
        <w:gridCol w:w="2529"/>
        <w:gridCol w:w="2529"/>
      </w:tblGrid>
      <w:tr w:rsidR="00E52B8A" w:rsidRPr="00A33084" w:rsidTr="00E52B8A"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Study area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Moran’s I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p- value of Moran’s I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nl-NL"/>
              </w:rPr>
            </w:pPr>
            <w:r w:rsidRPr="00E52B8A">
              <w:rPr>
                <w:rFonts w:ascii="Times New Roman" w:eastAsia="Times New Roman" w:hAnsi="Times New Roman"/>
                <w:sz w:val="20"/>
                <w:szCs w:val="20"/>
                <w:lang w:val="en-US" w:eastAsia="nl-NL"/>
              </w:rPr>
              <w:t>Oslo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-0.04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0.90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Helsinki/Turku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-0.02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0.77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Copenhagen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-0.04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0.87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London/Oxford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-0.16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0.30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Netherlands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0.00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0.79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Munich/Augsburg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0.10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0.34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Paris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0.01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0.26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proofErr w:type="spellStart"/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Catalonia</w:t>
            </w:r>
            <w:proofErr w:type="spellEnd"/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0.17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0.06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Rome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-0.07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0.87</w:t>
            </w:r>
          </w:p>
        </w:tc>
      </w:tr>
      <w:tr w:rsidR="00E52B8A" w:rsidRPr="00E52B8A" w:rsidTr="00E52B8A">
        <w:tc>
          <w:tcPr>
            <w:tcW w:w="2529" w:type="dxa"/>
          </w:tcPr>
          <w:p w:rsidR="00E03175" w:rsidRPr="00E52B8A" w:rsidRDefault="00E03175" w:rsidP="00E52B8A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  <w:r w:rsidRPr="00E52B8A"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  <w:t>Athens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0.02</w:t>
            </w:r>
          </w:p>
        </w:tc>
        <w:tc>
          <w:tcPr>
            <w:tcW w:w="2529" w:type="dxa"/>
          </w:tcPr>
          <w:p w:rsidR="00E03175" w:rsidRPr="00E52B8A" w:rsidRDefault="00E03175" w:rsidP="00E52B8A">
            <w:pPr>
              <w:pStyle w:val="Tekstzonderopmaak"/>
              <w:rPr>
                <w:lang w:val="en-US"/>
              </w:rPr>
            </w:pPr>
            <w:r w:rsidRPr="00E52B8A">
              <w:rPr>
                <w:lang w:val="en-US"/>
              </w:rPr>
              <w:t>0.40</w:t>
            </w:r>
          </w:p>
        </w:tc>
      </w:tr>
    </w:tbl>
    <w:p w:rsidR="00E03175" w:rsidRPr="00E52B8A" w:rsidRDefault="002C11D5" w:rsidP="00E03175">
      <w:pPr>
        <w:pStyle w:val="Tekstzonderopmaak"/>
        <w:rPr>
          <w:lang w:val="en-US"/>
        </w:rPr>
      </w:pPr>
      <w:r w:rsidRPr="00E52B8A">
        <w:rPr>
          <w:lang w:val="en-US"/>
        </w:rPr>
        <w:br w:type="textWrapping" w:clear="all"/>
      </w:r>
    </w:p>
    <w:p w:rsidR="00B03516" w:rsidRPr="00B03516" w:rsidRDefault="00B03516" w:rsidP="00B03516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A33084" w:rsidRPr="00A33084" w:rsidRDefault="00A33084" w:rsidP="00A33084">
      <w:pPr>
        <w:pStyle w:val="Lijstalinea"/>
        <w:ind w:left="0"/>
        <w:rPr>
          <w:rFonts w:ascii="Times New Roman" w:hAnsi="Times New Roman"/>
          <w:sz w:val="18"/>
          <w:szCs w:val="18"/>
          <w:lang w:val="en-US" w:eastAsia="nl-NL"/>
        </w:rPr>
      </w:pPr>
      <w:r w:rsidRPr="00A33084">
        <w:rPr>
          <w:rFonts w:ascii="Times New Roman" w:hAnsi="Times New Roman"/>
          <w:sz w:val="18"/>
          <w:szCs w:val="18"/>
          <w:lang w:val="en-US" w:eastAsia="nl-NL"/>
        </w:rPr>
        <w:t>Table S</w:t>
      </w:r>
      <w:r>
        <w:rPr>
          <w:rFonts w:ascii="Times New Roman" w:hAnsi="Times New Roman"/>
          <w:sz w:val="18"/>
          <w:szCs w:val="18"/>
          <w:lang w:val="en-US" w:eastAsia="nl-NL"/>
        </w:rPr>
        <w:t>5</w:t>
      </w:r>
      <w:r w:rsidRPr="00A33084">
        <w:rPr>
          <w:rFonts w:ascii="Times New Roman" w:hAnsi="Times New Roman"/>
          <w:sz w:val="18"/>
          <w:szCs w:val="18"/>
          <w:lang w:val="en-US" w:eastAsia="nl-NL"/>
        </w:rPr>
        <w:t>. Difference of OP DTT annual levels annual between cold and warm periods</w:t>
      </w:r>
    </w:p>
    <w:p w:rsidR="00A33084" w:rsidRPr="00A33084" w:rsidRDefault="00A33084" w:rsidP="00A33084">
      <w:pPr>
        <w:pStyle w:val="Lijstalinea"/>
        <w:rPr>
          <w:rFonts w:ascii="Times New Roman" w:hAnsi="Times New Roman"/>
          <w:sz w:val="18"/>
          <w:szCs w:val="18"/>
          <w:lang w:val="en-US" w:eastAsia="nl-NL"/>
        </w:rPr>
      </w:pPr>
    </w:p>
    <w:tbl>
      <w:tblPr>
        <w:tblW w:w="2937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1710"/>
      </w:tblGrid>
      <w:tr w:rsidR="00A33084" w:rsidRPr="00A33084" w:rsidTr="00192093">
        <w:trPr>
          <w:trHeight w:val="300"/>
        </w:trPr>
        <w:tc>
          <w:tcPr>
            <w:tcW w:w="1681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val="en-US" w:eastAsia="nl-NL"/>
              </w:rPr>
            </w:pPr>
            <w:proofErr w:type="spellStart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Study</w:t>
            </w:r>
            <w:proofErr w:type="spellEnd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 xml:space="preserve"> area</w:t>
            </w:r>
          </w:p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val="en-US" w:eastAsia="nl-NL"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DTT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vMerge/>
            <w:tcBorders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proofErr w:type="spellStart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Cold</w:t>
            </w:r>
            <w:proofErr w:type="spellEnd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/Warm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Oslo</w:t>
            </w:r>
          </w:p>
        </w:tc>
        <w:tc>
          <w:tcPr>
            <w:tcW w:w="12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2.60**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Helsinki/Turku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0.88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Copenhagen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1.88**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London/Oxford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1.43**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Netherlands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1.50*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Munich/Augsburg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1.85**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Paris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1.52**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Rome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2.01**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proofErr w:type="spellStart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Catalonia</w:t>
            </w:r>
            <w:proofErr w:type="spellEnd"/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1.35*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Athens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1.45**</w:t>
            </w:r>
          </w:p>
        </w:tc>
      </w:tr>
      <w:tr w:rsidR="00A33084" w:rsidRPr="00A33084" w:rsidTr="00192093">
        <w:trPr>
          <w:trHeight w:val="300"/>
        </w:trPr>
        <w:tc>
          <w:tcPr>
            <w:tcW w:w="16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proofErr w:type="spellStart"/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Median</w:t>
            </w:r>
            <w:proofErr w:type="spellEnd"/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A33084" w:rsidRPr="00A33084" w:rsidRDefault="00A33084" w:rsidP="00A33084">
            <w:pPr>
              <w:pStyle w:val="Lijstalinea"/>
              <w:rPr>
                <w:rFonts w:ascii="Times New Roman" w:hAnsi="Times New Roman"/>
                <w:sz w:val="18"/>
                <w:szCs w:val="18"/>
                <w:lang w:eastAsia="nl-NL"/>
              </w:rPr>
            </w:pPr>
            <w:r w:rsidRPr="00A33084">
              <w:rPr>
                <w:rFonts w:ascii="Times New Roman" w:hAnsi="Times New Roman"/>
                <w:sz w:val="18"/>
                <w:szCs w:val="18"/>
                <w:lang w:eastAsia="nl-NL"/>
              </w:rPr>
              <w:t>1.51</w:t>
            </w:r>
          </w:p>
        </w:tc>
      </w:tr>
    </w:tbl>
    <w:p w:rsidR="00A33084" w:rsidRPr="00A33084" w:rsidRDefault="00A33084" w:rsidP="00A33084">
      <w:pPr>
        <w:pStyle w:val="Lijstalinea"/>
        <w:rPr>
          <w:rFonts w:ascii="Times New Roman" w:hAnsi="Times New Roman"/>
          <w:sz w:val="18"/>
          <w:szCs w:val="18"/>
          <w:lang w:val="en-US" w:eastAsia="nl-NL"/>
        </w:rPr>
      </w:pPr>
    </w:p>
    <w:p w:rsidR="00B03516" w:rsidRPr="00B03516" w:rsidRDefault="00B03516" w:rsidP="00B03516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B03516" w:rsidRPr="00B03516" w:rsidRDefault="00B03516" w:rsidP="00B03516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B03516" w:rsidRPr="00B03516" w:rsidRDefault="00B03516" w:rsidP="00B03516">
      <w:pPr>
        <w:pStyle w:val="Lijstalinea"/>
        <w:ind w:left="-142"/>
        <w:rPr>
          <w:rFonts w:ascii="Times New Roman" w:hAnsi="Times New Roman"/>
          <w:sz w:val="18"/>
          <w:szCs w:val="18"/>
          <w:lang w:val="en-US" w:eastAsia="nl-NL"/>
        </w:rPr>
      </w:pPr>
    </w:p>
    <w:p w:rsidR="00B03516" w:rsidRDefault="00B03516" w:rsidP="000736B9">
      <w:pPr>
        <w:pStyle w:val="Lijstalinea"/>
        <w:ind w:left="-142"/>
        <w:rPr>
          <w:rFonts w:ascii="Times New Roman" w:hAnsi="Times New Roman" w:cs="Times New Roman"/>
          <w:sz w:val="18"/>
          <w:szCs w:val="18"/>
          <w:lang w:val="en-US" w:eastAsia="nl-NL"/>
        </w:rPr>
      </w:pPr>
    </w:p>
    <w:sectPr w:rsidR="00B03516" w:rsidSect="00DC402B">
      <w:pgSz w:w="11906" w:h="16838"/>
      <w:pgMar w:top="709" w:right="1440" w:bottom="425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AdvOT863180fb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16368F"/>
    <w:multiLevelType w:val="hybridMultilevel"/>
    <w:tmpl w:val="E4E2797A"/>
    <w:lvl w:ilvl="0" w:tplc="6B5E613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4D2020"/>
    <w:multiLevelType w:val="multilevel"/>
    <w:tmpl w:val="DAB27E70"/>
    <w:lvl w:ilvl="0">
      <w:start w:val="1"/>
      <w:numFmt w:val="decimal"/>
      <w:pStyle w:val="Kop1"/>
      <w:lvlText w:val="%1."/>
      <w:lvlJc w:val="left"/>
      <w:pPr>
        <w:ind w:left="644" w:hanging="360"/>
      </w:pPr>
      <w:rPr>
        <w:rFonts w:cs="Times New Roman"/>
        <w:i w:val="0"/>
      </w:rPr>
    </w:lvl>
    <w:lvl w:ilvl="1">
      <w:start w:val="1"/>
      <w:numFmt w:val="decimal"/>
      <w:isLgl/>
      <w:lvlText w:val="%1.%2"/>
      <w:lvlJc w:val="left"/>
      <w:pPr>
        <w:ind w:left="1713" w:hanging="7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cs="Times New Roman" w:hint="default"/>
      </w:rPr>
    </w:lvl>
  </w:abstractNum>
  <w:abstractNum w:abstractNumId="2">
    <w:nsid w:val="58F02CE6"/>
    <w:multiLevelType w:val="hybridMultilevel"/>
    <w:tmpl w:val="DE8C393E"/>
    <w:lvl w:ilvl="0" w:tplc="C2B8986C">
      <w:numFmt w:val="bullet"/>
      <w:lvlText w:val=""/>
      <w:lvlJc w:val="left"/>
      <w:pPr>
        <w:ind w:left="218" w:hanging="360"/>
      </w:pPr>
      <w:rPr>
        <w:rFonts w:ascii="Symbol" w:eastAsia="Calibri" w:hAnsi="Symbol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3">
    <w:nsid w:val="6BCD6090"/>
    <w:multiLevelType w:val="hybridMultilevel"/>
    <w:tmpl w:val="165886FA"/>
    <w:lvl w:ilvl="0" w:tplc="0413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4"/>
  </w:compat>
  <w:rsids>
    <w:rsidRoot w:val="00860A61"/>
    <w:rsid w:val="00015054"/>
    <w:rsid w:val="0002173A"/>
    <w:rsid w:val="000310A3"/>
    <w:rsid w:val="00037280"/>
    <w:rsid w:val="00042498"/>
    <w:rsid w:val="00062CCB"/>
    <w:rsid w:val="00063EDD"/>
    <w:rsid w:val="000719FB"/>
    <w:rsid w:val="000736B9"/>
    <w:rsid w:val="00081445"/>
    <w:rsid w:val="00082733"/>
    <w:rsid w:val="000B2313"/>
    <w:rsid w:val="000C0F98"/>
    <w:rsid w:val="000D3295"/>
    <w:rsid w:val="000E55AE"/>
    <w:rsid w:val="0010128B"/>
    <w:rsid w:val="001403EF"/>
    <w:rsid w:val="00154A5C"/>
    <w:rsid w:val="00184DF7"/>
    <w:rsid w:val="001B4D0A"/>
    <w:rsid w:val="001E163F"/>
    <w:rsid w:val="001E62C3"/>
    <w:rsid w:val="002006B1"/>
    <w:rsid w:val="00204F00"/>
    <w:rsid w:val="002265AE"/>
    <w:rsid w:val="002419B7"/>
    <w:rsid w:val="002503C0"/>
    <w:rsid w:val="00253D46"/>
    <w:rsid w:val="0026735D"/>
    <w:rsid w:val="002B3049"/>
    <w:rsid w:val="002B435C"/>
    <w:rsid w:val="002C11D5"/>
    <w:rsid w:val="002E5CB9"/>
    <w:rsid w:val="002F00D1"/>
    <w:rsid w:val="00322A6E"/>
    <w:rsid w:val="00326E38"/>
    <w:rsid w:val="003329BB"/>
    <w:rsid w:val="00374719"/>
    <w:rsid w:val="00383A2B"/>
    <w:rsid w:val="00393A8B"/>
    <w:rsid w:val="003947E4"/>
    <w:rsid w:val="003A6CE4"/>
    <w:rsid w:val="003D40F6"/>
    <w:rsid w:val="003D5F60"/>
    <w:rsid w:val="00407E1A"/>
    <w:rsid w:val="00416079"/>
    <w:rsid w:val="004457B0"/>
    <w:rsid w:val="00463643"/>
    <w:rsid w:val="00485136"/>
    <w:rsid w:val="004B4D0A"/>
    <w:rsid w:val="004C097E"/>
    <w:rsid w:val="004F0EC0"/>
    <w:rsid w:val="004F233F"/>
    <w:rsid w:val="00525A08"/>
    <w:rsid w:val="00571400"/>
    <w:rsid w:val="0058147F"/>
    <w:rsid w:val="00581A92"/>
    <w:rsid w:val="00586596"/>
    <w:rsid w:val="005A4DC2"/>
    <w:rsid w:val="005B08B0"/>
    <w:rsid w:val="005C57D7"/>
    <w:rsid w:val="00655F76"/>
    <w:rsid w:val="006750A0"/>
    <w:rsid w:val="00684D9B"/>
    <w:rsid w:val="00684E7B"/>
    <w:rsid w:val="006852D3"/>
    <w:rsid w:val="006D5055"/>
    <w:rsid w:val="006D6C81"/>
    <w:rsid w:val="006F4032"/>
    <w:rsid w:val="007056CA"/>
    <w:rsid w:val="00732CA0"/>
    <w:rsid w:val="00782165"/>
    <w:rsid w:val="007A4A35"/>
    <w:rsid w:val="007B312E"/>
    <w:rsid w:val="007B395B"/>
    <w:rsid w:val="007E2807"/>
    <w:rsid w:val="007F588C"/>
    <w:rsid w:val="0083278C"/>
    <w:rsid w:val="008330C4"/>
    <w:rsid w:val="00860A61"/>
    <w:rsid w:val="00870FD1"/>
    <w:rsid w:val="00880E81"/>
    <w:rsid w:val="0089063A"/>
    <w:rsid w:val="008B4F60"/>
    <w:rsid w:val="008D6394"/>
    <w:rsid w:val="009324C0"/>
    <w:rsid w:val="00980098"/>
    <w:rsid w:val="00986BB1"/>
    <w:rsid w:val="00992F0A"/>
    <w:rsid w:val="009B1A7E"/>
    <w:rsid w:val="009B4DE6"/>
    <w:rsid w:val="009D5A57"/>
    <w:rsid w:val="009E5077"/>
    <w:rsid w:val="00A12797"/>
    <w:rsid w:val="00A20C90"/>
    <w:rsid w:val="00A33084"/>
    <w:rsid w:val="00A37CED"/>
    <w:rsid w:val="00A83853"/>
    <w:rsid w:val="00A90FE5"/>
    <w:rsid w:val="00AC7478"/>
    <w:rsid w:val="00AE76D8"/>
    <w:rsid w:val="00AF0AE9"/>
    <w:rsid w:val="00B03516"/>
    <w:rsid w:val="00B036EF"/>
    <w:rsid w:val="00B347BB"/>
    <w:rsid w:val="00B63CDD"/>
    <w:rsid w:val="00B706EE"/>
    <w:rsid w:val="00B821AE"/>
    <w:rsid w:val="00BA1C07"/>
    <w:rsid w:val="00BA2B5C"/>
    <w:rsid w:val="00BB4EEB"/>
    <w:rsid w:val="00BD0215"/>
    <w:rsid w:val="00BD5F82"/>
    <w:rsid w:val="00BD6E2D"/>
    <w:rsid w:val="00BE1093"/>
    <w:rsid w:val="00C17BFD"/>
    <w:rsid w:val="00C51B7E"/>
    <w:rsid w:val="00C52A00"/>
    <w:rsid w:val="00C63BD9"/>
    <w:rsid w:val="00C772C9"/>
    <w:rsid w:val="00CA0577"/>
    <w:rsid w:val="00CC54DD"/>
    <w:rsid w:val="00D21EC4"/>
    <w:rsid w:val="00D26AC3"/>
    <w:rsid w:val="00D5599B"/>
    <w:rsid w:val="00D67639"/>
    <w:rsid w:val="00D71F88"/>
    <w:rsid w:val="00D74645"/>
    <w:rsid w:val="00D81DE8"/>
    <w:rsid w:val="00D96AE8"/>
    <w:rsid w:val="00DA0601"/>
    <w:rsid w:val="00DC402B"/>
    <w:rsid w:val="00DF13E7"/>
    <w:rsid w:val="00DF4016"/>
    <w:rsid w:val="00E03175"/>
    <w:rsid w:val="00E220A1"/>
    <w:rsid w:val="00E26899"/>
    <w:rsid w:val="00E30570"/>
    <w:rsid w:val="00E52B8A"/>
    <w:rsid w:val="00E6096C"/>
    <w:rsid w:val="00E6566E"/>
    <w:rsid w:val="00E72A25"/>
    <w:rsid w:val="00E84E8C"/>
    <w:rsid w:val="00EC0592"/>
    <w:rsid w:val="00EC233C"/>
    <w:rsid w:val="00EF11A8"/>
    <w:rsid w:val="00EF5E23"/>
    <w:rsid w:val="00F01B1F"/>
    <w:rsid w:val="00F0619A"/>
    <w:rsid w:val="00F30A4E"/>
    <w:rsid w:val="00F40E19"/>
    <w:rsid w:val="00F758FD"/>
    <w:rsid w:val="00F823FD"/>
    <w:rsid w:val="00F933E6"/>
    <w:rsid w:val="00FA261C"/>
    <w:rsid w:val="00FA5152"/>
    <w:rsid w:val="00FB7BF0"/>
    <w:rsid w:val="00FF008B"/>
    <w:rsid w:val="00FF4BBD"/>
    <w:rsid w:val="00FF5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nl-NL" w:eastAsia="nl-N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D5A57"/>
    <w:pPr>
      <w:spacing w:after="200" w:line="276" w:lineRule="auto"/>
    </w:pPr>
    <w:rPr>
      <w:lang w:eastAsia="en-US"/>
    </w:rPr>
  </w:style>
  <w:style w:type="paragraph" w:styleId="Kop1">
    <w:name w:val="heading 1"/>
    <w:basedOn w:val="Standaard"/>
    <w:next w:val="Standaard"/>
    <w:link w:val="Kop1Char"/>
    <w:autoRedefine/>
    <w:uiPriority w:val="99"/>
    <w:qFormat/>
    <w:locked/>
    <w:rsid w:val="00D71F88"/>
    <w:pPr>
      <w:keepNext/>
      <w:keepLines/>
      <w:numPr>
        <w:numId w:val="4"/>
      </w:numPr>
      <w:spacing w:before="480" w:after="0" w:line="480" w:lineRule="auto"/>
      <w:ind w:left="720"/>
      <w:outlineLvl w:val="0"/>
    </w:pPr>
    <w:rPr>
      <w:rFonts w:ascii="Cambria" w:eastAsia="Times New Roman" w:hAnsi="Cambria"/>
      <w:b/>
      <w:bCs/>
      <w:color w:val="4F81BD"/>
      <w:sz w:val="26"/>
      <w:szCs w:val="24"/>
      <w:lang w:val="en-GB"/>
    </w:rPr>
  </w:style>
  <w:style w:type="paragraph" w:styleId="Kop2">
    <w:name w:val="heading 2"/>
    <w:basedOn w:val="Standaard"/>
    <w:next w:val="Kop1"/>
    <w:link w:val="Kop2Char"/>
    <w:autoRedefine/>
    <w:uiPriority w:val="99"/>
    <w:qFormat/>
    <w:locked/>
    <w:rsid w:val="00D71F88"/>
    <w:pPr>
      <w:keepNext/>
      <w:keepLines/>
      <w:spacing w:before="200" w:after="0" w:line="360" w:lineRule="auto"/>
      <w:ind w:left="1800" w:hanging="1800"/>
      <w:outlineLvl w:val="1"/>
    </w:pPr>
    <w:rPr>
      <w:rFonts w:ascii="Times New Roman" w:eastAsia="Times New Roman" w:hAnsi="Times New Roman"/>
      <w:bCs/>
      <w:color w:val="000000" w:themeColor="text1"/>
      <w:sz w:val="26"/>
      <w:szCs w:val="26"/>
      <w:lang w:val="en-GB"/>
    </w:rPr>
  </w:style>
  <w:style w:type="paragraph" w:styleId="Kop3">
    <w:name w:val="heading 3"/>
    <w:basedOn w:val="Standaard"/>
    <w:next w:val="Standaard"/>
    <w:link w:val="Kop3Char"/>
    <w:autoRedefine/>
    <w:uiPriority w:val="99"/>
    <w:qFormat/>
    <w:locked/>
    <w:rsid w:val="00E84E8C"/>
    <w:pPr>
      <w:keepNext/>
      <w:keepLines/>
      <w:spacing w:before="200" w:after="0" w:line="240" w:lineRule="auto"/>
      <w:outlineLvl w:val="2"/>
    </w:pPr>
    <w:rPr>
      <w:rFonts w:ascii="Cambria" w:eastAsia="Times New Roman" w:hAnsi="Cambria"/>
      <w:b/>
      <w:bCs/>
      <w:color w:val="4F81BD"/>
      <w:lang w:val="en-US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rsid w:val="0086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locked/>
    <w:rsid w:val="00860A61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99"/>
    <w:qFormat/>
    <w:rsid w:val="002419B7"/>
    <w:pPr>
      <w:spacing w:after="0" w:line="240" w:lineRule="auto"/>
      <w:ind w:left="720"/>
    </w:pPr>
    <w:rPr>
      <w:rFonts w:cs="Calibri"/>
    </w:rPr>
  </w:style>
  <w:style w:type="character" w:styleId="Regelnummer">
    <w:name w:val="line number"/>
    <w:basedOn w:val="Standaardalinea-lettertype"/>
    <w:uiPriority w:val="99"/>
    <w:semiHidden/>
    <w:rsid w:val="0002173A"/>
    <w:rPr>
      <w:rFonts w:cs="Times New Roman"/>
    </w:rPr>
  </w:style>
  <w:style w:type="character" w:styleId="Verwijzingopmerking">
    <w:name w:val="annotation reference"/>
    <w:basedOn w:val="Standaardalinea-lettertype"/>
    <w:uiPriority w:val="99"/>
    <w:semiHidden/>
    <w:rsid w:val="004457B0"/>
    <w:rPr>
      <w:rFonts w:cs="Times New Roman"/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rsid w:val="004457B0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locked/>
    <w:rsid w:val="004457B0"/>
    <w:rPr>
      <w:rFonts w:cs="Times New Roman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rsid w:val="004457B0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locked/>
    <w:rsid w:val="004457B0"/>
    <w:rPr>
      <w:rFonts w:cs="Times New Roman"/>
      <w:b/>
      <w:bCs/>
      <w:sz w:val="20"/>
      <w:szCs w:val="20"/>
    </w:rPr>
  </w:style>
  <w:style w:type="character" w:customStyle="1" w:styleId="Kop1Char">
    <w:name w:val="Kop 1 Char"/>
    <w:basedOn w:val="Standaardalinea-lettertype"/>
    <w:link w:val="Kop1"/>
    <w:uiPriority w:val="99"/>
    <w:rsid w:val="00D71F88"/>
    <w:rPr>
      <w:rFonts w:ascii="Cambria" w:eastAsia="Times New Roman" w:hAnsi="Cambria"/>
      <w:b/>
      <w:bCs/>
      <w:color w:val="4F81BD"/>
      <w:sz w:val="26"/>
      <w:szCs w:val="24"/>
      <w:lang w:val="en-GB" w:eastAsia="en-US"/>
    </w:rPr>
  </w:style>
  <w:style w:type="character" w:customStyle="1" w:styleId="Kop2Char">
    <w:name w:val="Kop 2 Char"/>
    <w:basedOn w:val="Standaardalinea-lettertype"/>
    <w:link w:val="Kop2"/>
    <w:uiPriority w:val="99"/>
    <w:rsid w:val="00D71F88"/>
    <w:rPr>
      <w:rFonts w:ascii="Times New Roman" w:eastAsia="Times New Roman" w:hAnsi="Times New Roman"/>
      <w:bCs/>
      <w:color w:val="000000" w:themeColor="text1"/>
      <w:sz w:val="26"/>
      <w:szCs w:val="26"/>
      <w:lang w:val="en-GB" w:eastAsia="en-US"/>
    </w:rPr>
  </w:style>
  <w:style w:type="character" w:customStyle="1" w:styleId="Kop3Char">
    <w:name w:val="Kop 3 Char"/>
    <w:basedOn w:val="Standaardalinea-lettertype"/>
    <w:link w:val="Kop3"/>
    <w:uiPriority w:val="99"/>
    <w:rsid w:val="00E84E8C"/>
    <w:rPr>
      <w:rFonts w:ascii="Cambria" w:eastAsia="Times New Roman" w:hAnsi="Cambria"/>
      <w:b/>
      <w:bCs/>
      <w:color w:val="4F81BD"/>
      <w:lang w:val="en-US" w:eastAsia="en-US"/>
    </w:rPr>
  </w:style>
  <w:style w:type="paragraph" w:styleId="Tekstzonderopmaak">
    <w:name w:val="Plain Text"/>
    <w:basedOn w:val="Standaard"/>
    <w:link w:val="TekstzonderopmaakChar"/>
    <w:uiPriority w:val="99"/>
    <w:unhideWhenUsed/>
    <w:rsid w:val="00E03175"/>
    <w:pPr>
      <w:spacing w:after="0" w:line="240" w:lineRule="auto"/>
    </w:pPr>
    <w:rPr>
      <w:rFonts w:eastAsiaTheme="minorHAnsi" w:cstheme="minorBidi"/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rsid w:val="00E03175"/>
    <w:rPr>
      <w:rFonts w:eastAsiaTheme="minorHAnsi" w:cstheme="minorBidi"/>
      <w:szCs w:val="21"/>
      <w:lang w:eastAsia="en-US"/>
    </w:rPr>
  </w:style>
  <w:style w:type="table" w:styleId="Tabelraster">
    <w:name w:val="Table Grid"/>
    <w:basedOn w:val="Standaardtabel"/>
    <w:uiPriority w:val="59"/>
    <w:locked/>
    <w:rsid w:val="00E03175"/>
    <w:rPr>
      <w:rFonts w:asciiTheme="minorHAnsi" w:eastAsiaTheme="minorHAnsi" w:hAnsiTheme="minorHAnsi" w:cstheme="minorBid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nl-NL" w:eastAsia="nl-N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D5A57"/>
    <w:pPr>
      <w:spacing w:after="200" w:line="276" w:lineRule="auto"/>
    </w:pPr>
    <w:rPr>
      <w:lang w:eastAsia="en-US"/>
    </w:rPr>
  </w:style>
  <w:style w:type="paragraph" w:styleId="Kop1">
    <w:name w:val="heading 1"/>
    <w:basedOn w:val="Standaard"/>
    <w:next w:val="Standaard"/>
    <w:link w:val="Kop1Char"/>
    <w:autoRedefine/>
    <w:uiPriority w:val="99"/>
    <w:qFormat/>
    <w:locked/>
    <w:rsid w:val="00D71F88"/>
    <w:pPr>
      <w:keepNext/>
      <w:keepLines/>
      <w:numPr>
        <w:numId w:val="4"/>
      </w:numPr>
      <w:spacing w:before="480" w:after="0" w:line="480" w:lineRule="auto"/>
      <w:ind w:left="720"/>
      <w:outlineLvl w:val="0"/>
    </w:pPr>
    <w:rPr>
      <w:rFonts w:ascii="Cambria" w:eastAsia="Times New Roman" w:hAnsi="Cambria"/>
      <w:b/>
      <w:bCs/>
      <w:color w:val="4F81BD"/>
      <w:sz w:val="26"/>
      <w:szCs w:val="24"/>
      <w:lang w:val="en-GB"/>
    </w:rPr>
  </w:style>
  <w:style w:type="paragraph" w:styleId="Kop2">
    <w:name w:val="heading 2"/>
    <w:basedOn w:val="Standaard"/>
    <w:next w:val="Kop1"/>
    <w:link w:val="Kop2Char"/>
    <w:autoRedefine/>
    <w:uiPriority w:val="99"/>
    <w:qFormat/>
    <w:locked/>
    <w:rsid w:val="00D71F88"/>
    <w:pPr>
      <w:keepNext/>
      <w:keepLines/>
      <w:spacing w:before="200" w:after="0" w:line="360" w:lineRule="auto"/>
      <w:ind w:left="1800" w:hanging="1800"/>
      <w:outlineLvl w:val="1"/>
    </w:pPr>
    <w:rPr>
      <w:rFonts w:ascii="Times New Roman" w:eastAsia="Times New Roman" w:hAnsi="Times New Roman"/>
      <w:bCs/>
      <w:color w:val="000000" w:themeColor="text1"/>
      <w:sz w:val="26"/>
      <w:szCs w:val="26"/>
      <w:lang w:val="en-GB"/>
    </w:rPr>
  </w:style>
  <w:style w:type="paragraph" w:styleId="Kop3">
    <w:name w:val="heading 3"/>
    <w:basedOn w:val="Standaard"/>
    <w:next w:val="Standaard"/>
    <w:link w:val="Kop3Char"/>
    <w:autoRedefine/>
    <w:uiPriority w:val="99"/>
    <w:qFormat/>
    <w:locked/>
    <w:rsid w:val="00E84E8C"/>
    <w:pPr>
      <w:keepNext/>
      <w:keepLines/>
      <w:spacing w:before="200" w:after="0" w:line="240" w:lineRule="auto"/>
      <w:outlineLvl w:val="2"/>
    </w:pPr>
    <w:rPr>
      <w:rFonts w:ascii="Cambria" w:eastAsia="Times New Roman" w:hAnsi="Cambria"/>
      <w:b/>
      <w:bCs/>
      <w:color w:val="4F81BD"/>
      <w:lang w:val="en-US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rsid w:val="0086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locked/>
    <w:rsid w:val="00860A61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99"/>
    <w:qFormat/>
    <w:rsid w:val="002419B7"/>
    <w:pPr>
      <w:spacing w:after="0" w:line="240" w:lineRule="auto"/>
      <w:ind w:left="720"/>
    </w:pPr>
    <w:rPr>
      <w:rFonts w:cs="Calibri"/>
    </w:rPr>
  </w:style>
  <w:style w:type="character" w:styleId="Regelnummer">
    <w:name w:val="line number"/>
    <w:basedOn w:val="Standaardalinea-lettertype"/>
    <w:uiPriority w:val="99"/>
    <w:semiHidden/>
    <w:rsid w:val="0002173A"/>
    <w:rPr>
      <w:rFonts w:cs="Times New Roman"/>
    </w:rPr>
  </w:style>
  <w:style w:type="character" w:styleId="Verwijzingopmerking">
    <w:name w:val="annotation reference"/>
    <w:basedOn w:val="Standaardalinea-lettertype"/>
    <w:uiPriority w:val="99"/>
    <w:semiHidden/>
    <w:rsid w:val="004457B0"/>
    <w:rPr>
      <w:rFonts w:cs="Times New Roman"/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rsid w:val="004457B0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locked/>
    <w:rsid w:val="004457B0"/>
    <w:rPr>
      <w:rFonts w:cs="Times New Roman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rsid w:val="004457B0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locked/>
    <w:rsid w:val="004457B0"/>
    <w:rPr>
      <w:rFonts w:cs="Times New Roman"/>
      <w:b/>
      <w:bCs/>
      <w:sz w:val="20"/>
      <w:szCs w:val="20"/>
    </w:rPr>
  </w:style>
  <w:style w:type="character" w:customStyle="1" w:styleId="Kop1Char">
    <w:name w:val="Kop 1 Char"/>
    <w:basedOn w:val="Standaardalinea-lettertype"/>
    <w:link w:val="Kop1"/>
    <w:uiPriority w:val="99"/>
    <w:rsid w:val="00D71F88"/>
    <w:rPr>
      <w:rFonts w:ascii="Cambria" w:eastAsia="Times New Roman" w:hAnsi="Cambria"/>
      <w:b/>
      <w:bCs/>
      <w:color w:val="4F81BD"/>
      <w:sz w:val="26"/>
      <w:szCs w:val="24"/>
      <w:lang w:val="en-GB" w:eastAsia="en-US"/>
    </w:rPr>
  </w:style>
  <w:style w:type="character" w:customStyle="1" w:styleId="Kop2Char">
    <w:name w:val="Kop 2 Char"/>
    <w:basedOn w:val="Standaardalinea-lettertype"/>
    <w:link w:val="Kop2"/>
    <w:uiPriority w:val="99"/>
    <w:rsid w:val="00D71F88"/>
    <w:rPr>
      <w:rFonts w:ascii="Times New Roman" w:eastAsia="Times New Roman" w:hAnsi="Times New Roman"/>
      <w:bCs/>
      <w:color w:val="000000" w:themeColor="text1"/>
      <w:sz w:val="26"/>
      <w:szCs w:val="26"/>
      <w:lang w:val="en-GB" w:eastAsia="en-US"/>
    </w:rPr>
  </w:style>
  <w:style w:type="character" w:customStyle="1" w:styleId="Kop3Char">
    <w:name w:val="Kop 3 Char"/>
    <w:basedOn w:val="Standaardalinea-lettertype"/>
    <w:link w:val="Kop3"/>
    <w:uiPriority w:val="99"/>
    <w:rsid w:val="00E84E8C"/>
    <w:rPr>
      <w:rFonts w:ascii="Cambria" w:eastAsia="Times New Roman" w:hAnsi="Cambria"/>
      <w:b/>
      <w:bCs/>
      <w:color w:val="4F81BD"/>
      <w:lang w:val="en-US" w:eastAsia="en-US"/>
    </w:rPr>
  </w:style>
  <w:style w:type="paragraph" w:styleId="Tekstzonderopmaak">
    <w:name w:val="Plain Text"/>
    <w:basedOn w:val="Standaard"/>
    <w:link w:val="TekstzonderopmaakChar"/>
    <w:uiPriority w:val="99"/>
    <w:unhideWhenUsed/>
    <w:rsid w:val="00E03175"/>
    <w:pPr>
      <w:spacing w:after="0" w:line="240" w:lineRule="auto"/>
    </w:pPr>
    <w:rPr>
      <w:rFonts w:eastAsiaTheme="minorHAnsi" w:cstheme="minorBidi"/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rsid w:val="00E03175"/>
    <w:rPr>
      <w:rFonts w:eastAsiaTheme="minorHAnsi" w:cstheme="minorBidi"/>
      <w:szCs w:val="21"/>
      <w:lang w:eastAsia="en-US"/>
    </w:rPr>
  </w:style>
  <w:style w:type="table" w:styleId="Tabelraster">
    <w:name w:val="Table Grid"/>
    <w:basedOn w:val="Standaardtabel"/>
    <w:uiPriority w:val="59"/>
    <w:locked/>
    <w:rsid w:val="00E03175"/>
    <w:rPr>
      <w:rFonts w:asciiTheme="minorHAnsi" w:eastAsiaTheme="minorHAnsi" w:hAnsiTheme="minorHAnsi" w:cstheme="minorBid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7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5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5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5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chart" Target="charts/chart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chart" Target="charts/chart3.xm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Gerard\Documents\compariosn_dtt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Gerard\Documents\compariosn_dtt.xlsx" TargetMode="Externa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nl-N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Sheet2!$D$1</c:f>
              <c:strCache>
                <c:ptCount val="1"/>
                <c:pt idx="0">
                  <c:v>DTT</c:v>
                </c:pt>
              </c:strCache>
            </c:strRef>
          </c:tx>
          <c:spPr>
            <a:ln w="2857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7.8289151356080486E-2"/>
                  <c:y val="0.36292505103528727"/>
                </c:manualLayout>
              </c:layout>
              <c:numFmt formatCode="General" sourceLinked="0"/>
            </c:trendlineLbl>
          </c:trendline>
          <c:xVal>
            <c:numRef>
              <c:f>Sheet2!$C$2:$C$41</c:f>
              <c:numCache>
                <c:formatCode>General</c:formatCode>
                <c:ptCount val="40"/>
                <c:pt idx="0">
                  <c:v>1.6578864829876965</c:v>
                </c:pt>
                <c:pt idx="1">
                  <c:v>1.7101671905942633</c:v>
                </c:pt>
                <c:pt idx="2">
                  <c:v>1.1209789182067669</c:v>
                </c:pt>
                <c:pt idx="3">
                  <c:v>1.0378803105580721</c:v>
                </c:pt>
                <c:pt idx="4">
                  <c:v>1.0527748799768653</c:v>
                </c:pt>
                <c:pt idx="5">
                  <c:v>1.3640149788925773</c:v>
                </c:pt>
                <c:pt idx="6">
                  <c:v>1.5815934852783782</c:v>
                </c:pt>
                <c:pt idx="7">
                  <c:v>1.1932890074335927</c:v>
                </c:pt>
                <c:pt idx="8">
                  <c:v>1.270159630897868</c:v>
                </c:pt>
                <c:pt idx="9">
                  <c:v>1.2434793456357849</c:v>
                </c:pt>
                <c:pt idx="10">
                  <c:v>1.6443328601121578</c:v>
                </c:pt>
                <c:pt idx="11">
                  <c:v>1.1960690096890378</c:v>
                </c:pt>
                <c:pt idx="12">
                  <c:v>1.3248639629729215</c:v>
                </c:pt>
                <c:pt idx="13">
                  <c:v>1.1980852618991262</c:v>
                </c:pt>
                <c:pt idx="14">
                  <c:v>0.78885365077372416</c:v>
                </c:pt>
                <c:pt idx="15">
                  <c:v>1.6369355753317458</c:v>
                </c:pt>
                <c:pt idx="16">
                  <c:v>1.2154015319631037</c:v>
                </c:pt>
                <c:pt idx="17">
                  <c:v>1.5270384615054524</c:v>
                </c:pt>
                <c:pt idx="18">
                  <c:v>1.141738905238844</c:v>
                </c:pt>
                <c:pt idx="19">
                  <c:v>1.1274019744434247</c:v>
                </c:pt>
                <c:pt idx="20">
                  <c:v>1.4539682455170144</c:v>
                </c:pt>
                <c:pt idx="21">
                  <c:v>1.2662596416815795</c:v>
                </c:pt>
                <c:pt idx="22">
                  <c:v>1.1922770420153672</c:v>
                </c:pt>
                <c:pt idx="23">
                  <c:v>1.7304606184887283</c:v>
                </c:pt>
                <c:pt idx="24">
                  <c:v>1.2790845516042488</c:v>
                </c:pt>
                <c:pt idx="25">
                  <c:v>1.122084063557256</c:v>
                </c:pt>
                <c:pt idx="26">
                  <c:v>1.7215234505100565</c:v>
                </c:pt>
                <c:pt idx="27">
                  <c:v>1.4950819590564464</c:v>
                </c:pt>
                <c:pt idx="28">
                  <c:v>1.2769680107914774</c:v>
                </c:pt>
                <c:pt idx="29">
                  <c:v>1.0395890038376576</c:v>
                </c:pt>
                <c:pt idx="30">
                  <c:v>1.0511397627259504</c:v>
                </c:pt>
                <c:pt idx="31">
                  <c:v>1.2683552532006652</c:v>
                </c:pt>
                <c:pt idx="32">
                  <c:v>0.98031021299599796</c:v>
                </c:pt>
                <c:pt idx="33">
                  <c:v>0.67399319825985116</c:v>
                </c:pt>
                <c:pt idx="34">
                  <c:v>0.97343458827226781</c:v>
                </c:pt>
                <c:pt idx="35">
                  <c:v>0.77440731013654796</c:v>
                </c:pt>
                <c:pt idx="36">
                  <c:v>0.67458124308877865</c:v>
                </c:pt>
                <c:pt idx="37">
                  <c:v>0.79061577370623015</c:v>
                </c:pt>
                <c:pt idx="38">
                  <c:v>0.90260483907837619</c:v>
                </c:pt>
                <c:pt idx="39">
                  <c:v>0.91830961908331388</c:v>
                </c:pt>
              </c:numCache>
            </c:numRef>
          </c:xVal>
          <c:yVal>
            <c:numRef>
              <c:f>Sheet2!$D$2:$D$41</c:f>
              <c:numCache>
                <c:formatCode>General</c:formatCode>
                <c:ptCount val="40"/>
                <c:pt idx="10">
                  <c:v>0.24</c:v>
                </c:pt>
                <c:pt idx="11">
                  <c:v>0.17</c:v>
                </c:pt>
                <c:pt idx="13">
                  <c:v>0.21</c:v>
                </c:pt>
                <c:pt idx="15">
                  <c:v>0.34</c:v>
                </c:pt>
                <c:pt idx="17">
                  <c:v>0.15</c:v>
                </c:pt>
                <c:pt idx="19">
                  <c:v>0.12</c:v>
                </c:pt>
                <c:pt idx="20">
                  <c:v>0.15</c:v>
                </c:pt>
                <c:pt idx="21">
                  <c:v>0.21</c:v>
                </c:pt>
                <c:pt idx="22">
                  <c:v>0.13</c:v>
                </c:pt>
                <c:pt idx="23">
                  <c:v>0.38</c:v>
                </c:pt>
                <c:pt idx="24">
                  <c:v>0.17</c:v>
                </c:pt>
                <c:pt idx="25">
                  <c:v>0.27</c:v>
                </c:pt>
                <c:pt idx="32">
                  <c:v>0.19</c:v>
                </c:pt>
                <c:pt idx="35">
                  <c:v>0.23</c:v>
                </c:pt>
                <c:pt idx="36">
                  <c:v>0.12</c:v>
                </c:pt>
                <c:pt idx="39">
                  <c:v>0.19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74937088"/>
        <c:axId val="676241792"/>
      </c:scatterChart>
      <c:valAx>
        <c:axId val="674937088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OP</a:t>
                </a:r>
                <a:r>
                  <a:rPr lang="en-US" baseline="0"/>
                  <a:t> DTT Teflon</a:t>
                </a:r>
                <a:endParaRPr lang="en-US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676241792"/>
        <c:crosses val="autoZero"/>
        <c:crossBetween val="midCat"/>
      </c:valAx>
      <c:valAx>
        <c:axId val="676241792"/>
        <c:scaling>
          <c:orientation val="minMax"/>
        </c:scaling>
        <c:delete val="0"/>
        <c:axPos val="l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OP Quuartz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674937088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nl-N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DTT_ADJ</c:v>
                </c:pt>
              </c:strCache>
            </c:strRef>
          </c:tx>
          <c:spPr>
            <a:ln w="2857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0.10777384076990376"/>
                  <c:y val="0.32236329833770777"/>
                </c:manualLayout>
              </c:layout>
              <c:numFmt formatCode="General" sourceLinked="0"/>
            </c:trendlineLbl>
          </c:trendline>
          <c:xVal>
            <c:numRef>
              <c:f>Sheet2!$A$2:$A$41</c:f>
              <c:numCache>
                <c:formatCode>General</c:formatCode>
                <c:ptCount val="40"/>
                <c:pt idx="0">
                  <c:v>1.7458263754900563</c:v>
                </c:pt>
                <c:pt idx="1">
                  <c:v>1.8891576592511921</c:v>
                </c:pt>
                <c:pt idx="2">
                  <c:v>1.3459645655615908</c:v>
                </c:pt>
                <c:pt idx="3">
                  <c:v>1.262865957912896</c:v>
                </c:pt>
                <c:pt idx="4">
                  <c:v>1.0583724723984145</c:v>
                </c:pt>
                <c:pt idx="5">
                  <c:v>1.2987534255768083</c:v>
                </c:pt>
                <c:pt idx="6">
                  <c:v>1.467544511513881</c:v>
                </c:pt>
                <c:pt idx="7">
                  <c:v>1.0792400336690953</c:v>
                </c:pt>
                <c:pt idx="8">
                  <c:v>1.1561106571333706</c:v>
                </c:pt>
                <c:pt idx="9">
                  <c:v>1.1294303718712875</c:v>
                </c:pt>
                <c:pt idx="10">
                  <c:v>2.0116794725663278</c:v>
                </c:pt>
                <c:pt idx="11">
                  <c:v>1.5634156221432078</c:v>
                </c:pt>
                <c:pt idx="12">
                  <c:v>1.692210575427092</c:v>
                </c:pt>
                <c:pt idx="13">
                  <c:v>1.5654318743532964</c:v>
                </c:pt>
                <c:pt idx="14">
                  <c:v>1.1586158568746583</c:v>
                </c:pt>
                <c:pt idx="15">
                  <c:v>1.1826813993925294</c:v>
                </c:pt>
                <c:pt idx="16">
                  <c:v>1.3376444663475646</c:v>
                </c:pt>
                <c:pt idx="17">
                  <c:v>1.5161929097449816</c:v>
                </c:pt>
                <c:pt idx="18">
                  <c:v>1.2992365462962356</c:v>
                </c:pt>
                <c:pt idx="19">
                  <c:v>1.2848996155008163</c:v>
                </c:pt>
                <c:pt idx="20">
                  <c:v>1.6789538928718379</c:v>
                </c:pt>
                <c:pt idx="21">
                  <c:v>1.0963840730185137</c:v>
                </c:pt>
                <c:pt idx="22">
                  <c:v>1.2015017084182893</c:v>
                </c:pt>
                <c:pt idx="23">
                  <c:v>1.2109292751217631</c:v>
                </c:pt>
                <c:pt idx="24">
                  <c:v>1.1650355778397516</c:v>
                </c:pt>
                <c:pt idx="25">
                  <c:v>0.90634186052580912</c:v>
                </c:pt>
                <c:pt idx="26">
                  <c:v>1.8790210915674486</c:v>
                </c:pt>
                <c:pt idx="27">
                  <c:v>1.6525796001138382</c:v>
                </c:pt>
                <c:pt idx="28">
                  <c:v>1.6443146232456474</c:v>
                </c:pt>
                <c:pt idx="29">
                  <c:v>1.4069356162918278</c:v>
                </c:pt>
                <c:pt idx="30">
                  <c:v>1.2761254100807744</c:v>
                </c:pt>
                <c:pt idx="31">
                  <c:v>1.4258528942580571</c:v>
                </c:pt>
                <c:pt idx="32">
                  <c:v>0.86626123923150067</c:v>
                </c:pt>
                <c:pt idx="33">
                  <c:v>1.0413398107140215</c:v>
                </c:pt>
                <c:pt idx="34">
                  <c:v>1.3407812007264379</c:v>
                </c:pt>
                <c:pt idx="35">
                  <c:v>1.1417539225907181</c:v>
                </c:pt>
                <c:pt idx="36">
                  <c:v>0.83207888414617026</c:v>
                </c:pt>
                <c:pt idx="37">
                  <c:v>0.67656679994173297</c:v>
                </c:pt>
                <c:pt idx="38">
                  <c:v>1.0846121330819349</c:v>
                </c:pt>
                <c:pt idx="39">
                  <c:v>0.74843405042024835</c:v>
                </c:pt>
              </c:numCache>
            </c:numRef>
          </c:xVal>
          <c:yVal>
            <c:numRef>
              <c:f>Sheet2!$B$2:$B$41</c:f>
              <c:numCache>
                <c:formatCode>General</c:formatCode>
                <c:ptCount val="40"/>
                <c:pt idx="10">
                  <c:v>0.27</c:v>
                </c:pt>
                <c:pt idx="11">
                  <c:v>0.2</c:v>
                </c:pt>
                <c:pt idx="13">
                  <c:v>0.24</c:v>
                </c:pt>
                <c:pt idx="15">
                  <c:v>0.28999999999999998</c:v>
                </c:pt>
                <c:pt idx="17">
                  <c:v>0.18</c:v>
                </c:pt>
                <c:pt idx="19">
                  <c:v>0.14000000000000001</c:v>
                </c:pt>
                <c:pt idx="20">
                  <c:v>0.18</c:v>
                </c:pt>
                <c:pt idx="21">
                  <c:v>0.2</c:v>
                </c:pt>
                <c:pt idx="22">
                  <c:v>0.16</c:v>
                </c:pt>
                <c:pt idx="23">
                  <c:v>0.27</c:v>
                </c:pt>
                <c:pt idx="24">
                  <c:v>0.16</c:v>
                </c:pt>
                <c:pt idx="25">
                  <c:v>0.23</c:v>
                </c:pt>
                <c:pt idx="32">
                  <c:v>0.17</c:v>
                </c:pt>
                <c:pt idx="35">
                  <c:v>0.21</c:v>
                </c:pt>
                <c:pt idx="36">
                  <c:v>0.13</c:v>
                </c:pt>
                <c:pt idx="39">
                  <c:v>0.18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76262656"/>
        <c:axId val="676264576"/>
      </c:scatterChart>
      <c:valAx>
        <c:axId val="676262656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OP</a:t>
                </a:r>
                <a:r>
                  <a:rPr lang="en-US" baseline="0"/>
                  <a:t> DTT Teflon</a:t>
                </a:r>
                <a:endParaRPr lang="en-US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676264576"/>
        <c:crosses val="autoZero"/>
        <c:crossBetween val="midCat"/>
      </c:valAx>
      <c:valAx>
        <c:axId val="676264576"/>
        <c:scaling>
          <c:orientation val="minMax"/>
        </c:scaling>
        <c:delete val="0"/>
        <c:axPos val="l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OP </a:t>
                </a:r>
              </a:p>
              <a:p>
                <a:pPr>
                  <a:defRPr/>
                </a:pPr>
                <a:r>
                  <a:rPr lang="en-US"/>
                  <a:t>quartz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676262656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nl-N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DTT TNO</c:v>
          </c:tx>
          <c:spPr>
            <a:pattFill prst="dkHorz">
              <a:fgClr>
                <a:schemeClr val="tx1">
                  <a:lumMod val="50000"/>
                  <a:lumOff val="50000"/>
                </a:schemeClr>
              </a:fgClr>
              <a:bgClr>
                <a:schemeClr val="bg1"/>
              </a:bgClr>
            </a:pattFill>
          </c:spPr>
          <c:invertIfNegative val="0"/>
          <c:cat>
            <c:strRef>
              <c:f>Sheet2!$A$9:$A$10</c:f>
              <c:strCache>
                <c:ptCount val="2"/>
                <c:pt idx="0">
                  <c:v>Street</c:v>
                </c:pt>
                <c:pt idx="1">
                  <c:v>Regional Background</c:v>
                </c:pt>
              </c:strCache>
            </c:strRef>
          </c:cat>
          <c:val>
            <c:numRef>
              <c:f>Sheet2!$F$9:$F$10</c:f>
              <c:numCache>
                <c:formatCode>0.0000</c:formatCode>
                <c:ptCount val="2"/>
                <c:pt idx="0">
                  <c:v>1.8800524934383202E-2</c:v>
                </c:pt>
                <c:pt idx="1">
                  <c:v>1.7036666666666665E-2</c:v>
                </c:pt>
              </c:numCache>
            </c:numRef>
          </c:val>
        </c:ser>
        <c:ser>
          <c:idx val="1"/>
          <c:order val="1"/>
          <c:tx>
            <c:v>DTT RIVM</c:v>
          </c:tx>
          <c:spPr>
            <a:solidFill>
              <a:schemeClr val="tx1"/>
            </a:solidFill>
          </c:spPr>
          <c:invertIfNegative val="0"/>
          <c:cat>
            <c:strRef>
              <c:f>Sheet2!$A$9:$A$10</c:f>
              <c:strCache>
                <c:ptCount val="2"/>
                <c:pt idx="0">
                  <c:v>Street</c:v>
                </c:pt>
                <c:pt idx="1">
                  <c:v>Regional Background</c:v>
                </c:pt>
              </c:strCache>
            </c:strRef>
          </c:cat>
          <c:val>
            <c:numRef>
              <c:f>Sheet2!$H$9:$H$10</c:f>
              <c:numCache>
                <c:formatCode>0.0000</c:formatCode>
                <c:ptCount val="2"/>
                <c:pt idx="0">
                  <c:v>7.100999999999999E-2</c:v>
                </c:pt>
                <c:pt idx="1">
                  <c:v>7.1949999999999986E-2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6277248"/>
        <c:axId val="677708544"/>
      </c:barChart>
      <c:catAx>
        <c:axId val="676277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270000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nl-NL"/>
          </a:p>
        </c:txPr>
        <c:crossAx val="677708544"/>
        <c:crosses val="autoZero"/>
        <c:auto val="1"/>
        <c:lblAlgn val="ctr"/>
        <c:lblOffset val="100"/>
        <c:noMultiLvlLbl val="0"/>
      </c:catAx>
      <c:valAx>
        <c:axId val="677708544"/>
        <c:scaling>
          <c:orientation val="minMax"/>
          <c:max val="8.0000000000000016E-2"/>
          <c:min val="0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nl-NL"/>
                  <a:t>nmolDTT/min*ug</a:t>
                </a:r>
              </a:p>
            </c:rich>
          </c:tx>
          <c:layout/>
          <c:overlay val="0"/>
        </c:title>
        <c:numFmt formatCode="0.00" sourceLinked="0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nl-NL"/>
          </a:p>
        </c:txPr>
        <c:crossAx val="676277248"/>
        <c:crosses val="autoZero"/>
        <c:crossBetween val="between"/>
        <c:majorUnit val="1.0000000000000002E-2"/>
      </c:valAx>
      <c:spPr>
        <a:noFill/>
        <a:ln>
          <a:solidFill>
            <a:schemeClr val="tx1">
              <a:lumMod val="50000"/>
              <a:lumOff val="50000"/>
            </a:schemeClr>
          </a:solidFill>
        </a:ln>
      </c:spPr>
    </c:plotArea>
    <c:legend>
      <c:legendPos val="r"/>
      <c:layout/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nl-NL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nl-NL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0.77323</cdr:x>
      <cdr:y>0.34442</cdr:y>
    </cdr:from>
    <cdr:to>
      <cdr:x>0.92441</cdr:x>
      <cdr:y>0.57245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4676775" y="138112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nl-NL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7A707D-EC67-4543-902C-DB6323596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1205</Words>
  <Characters>7052</Characters>
  <Application>Microsoft Office Word</Application>
  <DocSecurity>0</DocSecurity>
  <Lines>58</Lines>
  <Paragraphs>16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TNO</Company>
  <LinksUpToDate>false</LinksUpToDate>
  <CharactersWithSpaces>8241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Jedynska</dc:creator>
  <cp:lastModifiedBy>Aleksandra Jedynska</cp:lastModifiedBy>
  <cp:revision>3</cp:revision>
  <cp:lastPrinted>2014-06-05T11:46:00Z</cp:lastPrinted>
  <dcterms:created xsi:type="dcterms:W3CDTF">2016-11-09T16:02:00Z</dcterms:created>
  <dcterms:modified xsi:type="dcterms:W3CDTF">2016-11-09T16:12:00Z</dcterms:modified>
</cp:coreProperties>
</file>