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F2" w:rsidRDefault="00F525F2" w:rsidP="00DB3803">
      <w:pPr>
        <w:jc w:val="both"/>
        <w:rPr>
          <w:color w:val="000000"/>
          <w:sz w:val="23"/>
          <w:szCs w:val="23"/>
        </w:rPr>
      </w:pPr>
      <w:bookmarkStart w:id="0" w:name="_GoBack"/>
      <w:bookmarkEnd w:id="0"/>
    </w:p>
    <w:p w:rsidR="00F525F2" w:rsidRPr="005320AB" w:rsidRDefault="005320AB" w:rsidP="005320AB">
      <w:pPr>
        <w:jc w:val="center"/>
        <w:rPr>
          <w:b/>
          <w:color w:val="000000"/>
          <w:szCs w:val="23"/>
          <w:lang w:val="en-US"/>
        </w:rPr>
      </w:pPr>
      <w:r w:rsidRPr="005320AB">
        <w:rPr>
          <w:b/>
          <w:color w:val="000000"/>
          <w:szCs w:val="23"/>
          <w:lang w:val="en-US"/>
        </w:rPr>
        <w:t xml:space="preserve">Biomonitoring of Boron: Development </w:t>
      </w:r>
      <w:r w:rsidR="003D593B">
        <w:rPr>
          <w:b/>
          <w:color w:val="000000"/>
          <w:szCs w:val="23"/>
          <w:lang w:val="en-US"/>
        </w:rPr>
        <w:t xml:space="preserve">and characterization </w:t>
      </w:r>
      <w:r w:rsidRPr="005320AB">
        <w:rPr>
          <w:b/>
          <w:color w:val="000000"/>
          <w:szCs w:val="23"/>
          <w:lang w:val="en-US"/>
        </w:rPr>
        <w:t>of a simple, reliable and quality controlled biomonitoring method</w:t>
      </w:r>
    </w:p>
    <w:p w:rsidR="005320AB" w:rsidRDefault="005320AB" w:rsidP="005320AB">
      <w:pPr>
        <w:jc w:val="center"/>
        <w:rPr>
          <w:color w:val="000000"/>
          <w:sz w:val="23"/>
          <w:szCs w:val="23"/>
          <w:lang w:val="en-US"/>
        </w:rPr>
      </w:pPr>
    </w:p>
    <w:p w:rsidR="005320AB" w:rsidRDefault="005320AB" w:rsidP="005320AB">
      <w:pPr>
        <w:jc w:val="center"/>
        <w:rPr>
          <w:color w:val="000000"/>
          <w:sz w:val="23"/>
          <w:szCs w:val="23"/>
          <w:lang w:val="en-US"/>
        </w:rPr>
      </w:pPr>
      <w:r>
        <w:rPr>
          <w:color w:val="000000"/>
          <w:sz w:val="23"/>
          <w:szCs w:val="23"/>
          <w:lang w:val="en-US"/>
        </w:rPr>
        <w:t>Bernhard Michalke</w:t>
      </w:r>
      <w:r w:rsidR="00027F4E" w:rsidRPr="00027F4E">
        <w:rPr>
          <w:color w:val="000000"/>
          <w:sz w:val="23"/>
          <w:szCs w:val="23"/>
          <w:vertAlign w:val="superscript"/>
          <w:lang w:val="en-US"/>
        </w:rPr>
        <w:t xml:space="preserve"># </w:t>
      </w:r>
    </w:p>
    <w:p w:rsidR="00CF6733" w:rsidRPr="00CF6733" w:rsidRDefault="00CF6733" w:rsidP="005320AB">
      <w:pPr>
        <w:jc w:val="center"/>
        <w:rPr>
          <w:lang w:val="en-US"/>
        </w:rPr>
      </w:pPr>
      <w:r w:rsidRPr="00CF6733">
        <w:rPr>
          <w:lang w:val="en-US"/>
        </w:rPr>
        <w:t>Helmholtz Zentrum München GmbH</w:t>
      </w:r>
      <w:r w:rsidRPr="00CF6733">
        <w:rPr>
          <w:lang w:val="en-US"/>
        </w:rPr>
        <w:br/>
        <w:t>German Research Center for Environmental Health</w:t>
      </w:r>
      <w:r w:rsidRPr="00CF6733">
        <w:rPr>
          <w:lang w:val="en-US"/>
        </w:rPr>
        <w:br/>
      </w:r>
      <w:r>
        <w:rPr>
          <w:color w:val="000000"/>
          <w:sz w:val="23"/>
          <w:szCs w:val="23"/>
          <w:lang w:val="en-US"/>
        </w:rPr>
        <w:t>Research Unit Analytical BioGeoChemistry</w:t>
      </w:r>
      <w:r w:rsidRPr="00CF6733">
        <w:rPr>
          <w:lang w:val="en-US"/>
        </w:rPr>
        <w:t xml:space="preserve"> </w:t>
      </w:r>
    </w:p>
    <w:p w:rsidR="005320AB" w:rsidRDefault="00CF6733" w:rsidP="005320AB">
      <w:pPr>
        <w:jc w:val="center"/>
        <w:rPr>
          <w:color w:val="000000"/>
          <w:sz w:val="23"/>
          <w:szCs w:val="23"/>
          <w:lang w:val="en-US"/>
        </w:rPr>
      </w:pPr>
      <w:r w:rsidRPr="00073D87">
        <w:rPr>
          <w:lang w:val="en-US"/>
        </w:rPr>
        <w:t>Ingolstädter Landstr. 1</w:t>
      </w:r>
      <w:r w:rsidRPr="00073D87">
        <w:rPr>
          <w:lang w:val="en-US"/>
        </w:rPr>
        <w:br/>
        <w:t>85764 Neuherberg</w:t>
      </w:r>
      <w:r w:rsidRPr="00073D87">
        <w:rPr>
          <w:lang w:val="en-US"/>
        </w:rPr>
        <w:br/>
        <w:t>Germany   </w:t>
      </w:r>
    </w:p>
    <w:p w:rsidR="005320AB" w:rsidRDefault="005320AB" w:rsidP="00DB3803">
      <w:pPr>
        <w:jc w:val="both"/>
        <w:rPr>
          <w:color w:val="000000"/>
          <w:sz w:val="23"/>
          <w:szCs w:val="23"/>
          <w:lang w:val="en-US"/>
        </w:rPr>
      </w:pPr>
    </w:p>
    <w:p w:rsidR="005320AB" w:rsidRDefault="00027F4E" w:rsidP="00DB3803">
      <w:pPr>
        <w:jc w:val="both"/>
        <w:rPr>
          <w:color w:val="000000"/>
          <w:sz w:val="23"/>
          <w:szCs w:val="23"/>
          <w:lang w:val="en-US"/>
        </w:rPr>
      </w:pPr>
      <w:r w:rsidRPr="00027F4E">
        <w:rPr>
          <w:color w:val="000000"/>
          <w:sz w:val="23"/>
          <w:szCs w:val="23"/>
          <w:vertAlign w:val="superscript"/>
          <w:lang w:val="en-US"/>
        </w:rPr>
        <w:t xml:space="preserve"># </w:t>
      </w:r>
      <w:r>
        <w:rPr>
          <w:color w:val="000000"/>
          <w:sz w:val="23"/>
          <w:szCs w:val="23"/>
          <w:lang w:val="en-US"/>
        </w:rPr>
        <w:t>Corresponding author. E</w:t>
      </w:r>
      <w:r w:rsidR="005320AB">
        <w:rPr>
          <w:color w:val="000000"/>
          <w:sz w:val="23"/>
          <w:szCs w:val="23"/>
          <w:lang w:val="en-US"/>
        </w:rPr>
        <w:t xml:space="preserve">mail: </w:t>
      </w:r>
      <w:hyperlink r:id="rId6" w:history="1">
        <w:r w:rsidR="005320AB" w:rsidRPr="005C17F8">
          <w:rPr>
            <w:rStyle w:val="Hyperlink"/>
            <w:sz w:val="23"/>
            <w:szCs w:val="23"/>
            <w:lang w:val="en-US"/>
          </w:rPr>
          <w:t>bernhard.michalke@helmholtz-muenchen.de</w:t>
        </w:r>
      </w:hyperlink>
    </w:p>
    <w:p w:rsidR="005320AB" w:rsidRDefault="005320AB" w:rsidP="00DB3803">
      <w:pPr>
        <w:jc w:val="both"/>
        <w:rPr>
          <w:color w:val="000000"/>
          <w:sz w:val="23"/>
          <w:szCs w:val="23"/>
          <w:lang w:val="en-US"/>
        </w:rPr>
      </w:pPr>
    </w:p>
    <w:p w:rsidR="00056CD2" w:rsidRDefault="005320AB" w:rsidP="00DB3803">
      <w:pPr>
        <w:jc w:val="both"/>
        <w:rPr>
          <w:color w:val="000000"/>
          <w:sz w:val="23"/>
          <w:szCs w:val="23"/>
          <w:lang w:val="en-US"/>
        </w:rPr>
      </w:pPr>
      <w:r>
        <w:rPr>
          <w:color w:val="000000"/>
          <w:sz w:val="23"/>
          <w:szCs w:val="23"/>
          <w:lang w:val="en-US"/>
        </w:rPr>
        <w:t>Keywords:</w:t>
      </w:r>
      <w:r w:rsidR="00AF571F">
        <w:rPr>
          <w:color w:val="000000"/>
          <w:sz w:val="23"/>
          <w:szCs w:val="23"/>
          <w:lang w:val="en-US"/>
        </w:rPr>
        <w:t xml:space="preserve"> </w:t>
      </w:r>
    </w:p>
    <w:p w:rsidR="005320AB" w:rsidRDefault="00AF571F" w:rsidP="00DB3803">
      <w:pPr>
        <w:jc w:val="both"/>
        <w:rPr>
          <w:color w:val="000000"/>
          <w:sz w:val="23"/>
          <w:szCs w:val="23"/>
          <w:lang w:val="en-US"/>
        </w:rPr>
      </w:pPr>
      <w:r>
        <w:rPr>
          <w:color w:val="000000"/>
          <w:sz w:val="23"/>
          <w:szCs w:val="23"/>
          <w:lang w:val="en-US"/>
        </w:rPr>
        <w:t>Boron biomonitoring, urine, ICP-optical emission spectrometry, precision, accuracy, ICP-MS</w:t>
      </w:r>
    </w:p>
    <w:p w:rsidR="005320AB" w:rsidRPr="00B712B2" w:rsidRDefault="005320AB" w:rsidP="00DB3803">
      <w:pPr>
        <w:jc w:val="both"/>
        <w:rPr>
          <w:b/>
          <w:color w:val="000000"/>
          <w:sz w:val="23"/>
          <w:szCs w:val="23"/>
          <w:lang w:val="en-US"/>
        </w:rPr>
      </w:pPr>
    </w:p>
    <w:p w:rsidR="005320AB" w:rsidRPr="00B712B2" w:rsidRDefault="005320AB" w:rsidP="00DB3803">
      <w:pPr>
        <w:jc w:val="both"/>
        <w:rPr>
          <w:b/>
          <w:color w:val="000000"/>
          <w:sz w:val="23"/>
          <w:szCs w:val="23"/>
          <w:lang w:val="en-US"/>
        </w:rPr>
      </w:pPr>
      <w:r w:rsidRPr="00B712B2">
        <w:rPr>
          <w:b/>
          <w:color w:val="000000"/>
          <w:sz w:val="23"/>
          <w:szCs w:val="23"/>
          <w:lang w:val="en-US"/>
        </w:rPr>
        <w:t>Abstract:</w:t>
      </w:r>
    </w:p>
    <w:p w:rsidR="00AF571F" w:rsidRPr="00B712B2" w:rsidRDefault="00AF571F" w:rsidP="00B712B2">
      <w:pPr>
        <w:rPr>
          <w:szCs w:val="24"/>
          <w:lang w:val="en"/>
        </w:rPr>
      </w:pPr>
      <w:r>
        <w:rPr>
          <w:lang w:val="en-US"/>
        </w:rPr>
        <w:t>B</w:t>
      </w:r>
      <w:r w:rsidRPr="00FE54B0">
        <w:rPr>
          <w:lang w:val="en"/>
        </w:rPr>
        <w:t>oron exposure is of interest and concern</w:t>
      </w:r>
      <w:r w:rsidRPr="00AF571F">
        <w:rPr>
          <w:lang w:val="en"/>
        </w:rPr>
        <w:t xml:space="preserve"> </w:t>
      </w:r>
      <w:r w:rsidRPr="00FE54B0">
        <w:rPr>
          <w:lang w:val="en"/>
        </w:rPr>
        <w:t>from an occupational point of view</w:t>
      </w:r>
      <w:r>
        <w:rPr>
          <w:lang w:val="en"/>
        </w:rPr>
        <w:t>. Usual</w:t>
      </w:r>
      <w:r w:rsidRPr="00FE54B0">
        <w:rPr>
          <w:lang w:val="en"/>
        </w:rPr>
        <w:t xml:space="preserve"> daily boron intake </w:t>
      </w:r>
      <w:r>
        <w:rPr>
          <w:lang w:val="en"/>
        </w:rPr>
        <w:t>is related to</w:t>
      </w:r>
      <w:r w:rsidRPr="00FE54B0">
        <w:rPr>
          <w:lang w:val="en"/>
        </w:rPr>
        <w:t xml:space="preserve"> boron blood plasma concentration &lt; 1 mg/l and </w:t>
      </w:r>
      <w:r>
        <w:rPr>
          <w:lang w:val="en"/>
        </w:rPr>
        <w:t>to</w:t>
      </w:r>
      <w:r w:rsidRPr="00FE54B0">
        <w:rPr>
          <w:lang w:val="en"/>
        </w:rPr>
        <w:t xml:space="preserve"> &lt; 3 mg/l </w:t>
      </w:r>
      <w:r>
        <w:rPr>
          <w:lang w:val="en"/>
        </w:rPr>
        <w:t xml:space="preserve">in </w:t>
      </w:r>
      <w:r w:rsidRPr="00FE54B0">
        <w:rPr>
          <w:lang w:val="en"/>
        </w:rPr>
        <w:t>urine</w:t>
      </w:r>
      <w:r>
        <w:rPr>
          <w:lang w:val="en"/>
        </w:rPr>
        <w:t>, but after exposure urine concentrations are quickly elevated</w:t>
      </w:r>
      <w:r w:rsidRPr="00FE54B0">
        <w:rPr>
          <w:lang w:val="en"/>
        </w:rPr>
        <w:t xml:space="preserve">. </w:t>
      </w:r>
      <w:r>
        <w:rPr>
          <w:lang w:val="en"/>
        </w:rPr>
        <w:t>Reliable boron biomonitoring</w:t>
      </w:r>
      <w:r w:rsidR="00224C09">
        <w:rPr>
          <w:lang w:val="en"/>
        </w:rPr>
        <w:t>, typically in urine,</w:t>
      </w:r>
      <w:r>
        <w:rPr>
          <w:lang w:val="en"/>
        </w:rPr>
        <w:t xml:space="preserve"> thus is mandatory for occupational health control institutions. This paper reports on the development of a simple, fast and reliable boron determination procedure based on inductively coupled plasma - optical emission spectrometry (ICP-OES). Major aims for this method were </w:t>
      </w:r>
      <w:r w:rsidR="00B712B2">
        <w:rPr>
          <w:szCs w:val="24"/>
          <w:lang w:val="en"/>
        </w:rPr>
        <w:t xml:space="preserve">simplicity in sample preparation, </w:t>
      </w:r>
      <w:r w:rsidRPr="004A5DCE">
        <w:rPr>
          <w:szCs w:val="24"/>
          <w:lang w:val="en"/>
        </w:rPr>
        <w:t xml:space="preserve">low </w:t>
      </w:r>
      <w:r>
        <w:rPr>
          <w:szCs w:val="24"/>
          <w:lang w:val="en"/>
        </w:rPr>
        <w:t>risk for artifacts</w:t>
      </w:r>
      <w:r w:rsidR="00056CD2">
        <w:rPr>
          <w:szCs w:val="24"/>
          <w:lang w:val="en"/>
        </w:rPr>
        <w:t xml:space="preserve"> and interferences</w:t>
      </w:r>
      <w:r>
        <w:rPr>
          <w:szCs w:val="24"/>
          <w:lang w:val="en"/>
        </w:rPr>
        <w:t xml:space="preserve">, </w:t>
      </w:r>
      <w:r w:rsidR="00B712B2">
        <w:rPr>
          <w:szCs w:val="24"/>
          <w:lang w:val="en"/>
        </w:rPr>
        <w:t>high precision and accuracy, possibly</w:t>
      </w:r>
      <w:r>
        <w:rPr>
          <w:szCs w:val="24"/>
          <w:lang w:val="en"/>
        </w:rPr>
        <w:t xml:space="preserve"> low costs, including lower costs </w:t>
      </w:r>
      <w:r w:rsidR="00B712B2">
        <w:rPr>
          <w:szCs w:val="24"/>
          <w:lang w:val="en"/>
        </w:rPr>
        <w:t xml:space="preserve">for element selective detection, </w:t>
      </w:r>
      <w:r>
        <w:rPr>
          <w:szCs w:val="24"/>
          <w:lang w:val="en"/>
        </w:rPr>
        <w:t>short total analysis</w:t>
      </w:r>
      <w:r w:rsidR="00B712B2">
        <w:rPr>
          <w:szCs w:val="24"/>
          <w:lang w:val="en"/>
        </w:rPr>
        <w:t xml:space="preserve"> time and </w:t>
      </w:r>
      <w:r>
        <w:rPr>
          <w:szCs w:val="24"/>
          <w:lang w:val="en"/>
        </w:rPr>
        <w:t>suitability for occupational health laboratories</w:t>
      </w:r>
      <w:r w:rsidR="00B712B2">
        <w:rPr>
          <w:szCs w:val="24"/>
          <w:lang w:val="en"/>
        </w:rPr>
        <w:t>.</w:t>
      </w:r>
      <w:r w:rsidR="00056CD2">
        <w:rPr>
          <w:szCs w:val="24"/>
          <w:lang w:val="en"/>
        </w:rPr>
        <w:t xml:space="preserve"> Precision data (serial or day-to-day) </w:t>
      </w:r>
      <w:r w:rsidR="00D61B0C">
        <w:rPr>
          <w:szCs w:val="24"/>
          <w:lang w:val="en"/>
        </w:rPr>
        <w:t>from urine and doped urine were very good</w:t>
      </w:r>
      <w:r w:rsidR="00224C09">
        <w:rPr>
          <w:szCs w:val="24"/>
          <w:lang w:val="en"/>
        </w:rPr>
        <w:t>:</w:t>
      </w:r>
      <w:r w:rsidR="00D61B0C">
        <w:rPr>
          <w:szCs w:val="24"/>
          <w:lang w:val="en"/>
        </w:rPr>
        <w:t xml:space="preserve"> </w:t>
      </w:r>
      <w:r w:rsidR="00224C09">
        <w:rPr>
          <w:szCs w:val="24"/>
          <w:lang w:val="en"/>
        </w:rPr>
        <w:t xml:space="preserve">&lt; </w:t>
      </w:r>
      <w:r w:rsidR="00056CD2">
        <w:rPr>
          <w:szCs w:val="24"/>
          <w:lang w:val="en"/>
        </w:rPr>
        <w:t xml:space="preserve">1.5 or </w:t>
      </w:r>
      <w:r w:rsidR="00224C09">
        <w:rPr>
          <w:szCs w:val="24"/>
          <w:lang w:val="en"/>
        </w:rPr>
        <w:t xml:space="preserve">&lt; </w:t>
      </w:r>
      <w:r w:rsidR="00056CD2">
        <w:rPr>
          <w:szCs w:val="24"/>
          <w:lang w:val="en"/>
        </w:rPr>
        <w:t xml:space="preserve">2%. Accuracy was calculated from analysis of a certified reference material (ERM-CD 281), </w:t>
      </w:r>
      <w:r w:rsidR="00D61B0C">
        <w:rPr>
          <w:szCs w:val="24"/>
          <w:lang w:val="en"/>
        </w:rPr>
        <w:t>as</w:t>
      </w:r>
      <w:r w:rsidR="00056CD2">
        <w:rPr>
          <w:szCs w:val="24"/>
          <w:lang w:val="en"/>
        </w:rPr>
        <w:t xml:space="preserve"> 99 % or according to recoveries of doped concentrations</w:t>
      </w:r>
      <w:r w:rsidR="00D61B0C">
        <w:rPr>
          <w:szCs w:val="24"/>
          <w:lang w:val="en"/>
        </w:rPr>
        <w:t xml:space="preserve"> ranging from 102 – 109 % recovery. For cross-checking ICP-OES determinations, samples were analyzed also by quadrupole ICP-qMS and by sectorfield ICP-sf-MS at low and medium resolution. Both systems confirmed ICP-OES measurements when using </w:t>
      </w:r>
      <w:r w:rsidR="00D61B0C" w:rsidRPr="00D61B0C">
        <w:rPr>
          <w:szCs w:val="24"/>
          <w:vertAlign w:val="superscript"/>
          <w:lang w:val="en"/>
        </w:rPr>
        <w:t>11</w:t>
      </w:r>
      <w:r w:rsidR="00D61B0C">
        <w:rPr>
          <w:szCs w:val="24"/>
          <w:lang w:val="en"/>
        </w:rPr>
        <w:t xml:space="preserve">B for quantification. Determinations based on </w:t>
      </w:r>
      <w:r w:rsidR="00D61B0C" w:rsidRPr="00D61B0C">
        <w:rPr>
          <w:szCs w:val="24"/>
          <w:vertAlign w:val="superscript"/>
          <w:lang w:val="en"/>
        </w:rPr>
        <w:t>10</w:t>
      </w:r>
      <w:r w:rsidR="00D61B0C">
        <w:rPr>
          <w:szCs w:val="24"/>
          <w:lang w:val="en"/>
        </w:rPr>
        <w:t xml:space="preserve">B however showed some bias, except with ICP-sf-MS at medium resolution. The observed elevated signals are discussed </w:t>
      </w:r>
      <w:r w:rsidR="00224C09">
        <w:rPr>
          <w:szCs w:val="24"/>
          <w:lang w:val="en"/>
        </w:rPr>
        <w:t>with respect</w:t>
      </w:r>
      <w:r w:rsidR="00D61B0C">
        <w:rPr>
          <w:szCs w:val="24"/>
          <w:lang w:val="en"/>
        </w:rPr>
        <w:t xml:space="preserve"> to the </w:t>
      </w:r>
      <w:r w:rsidR="00D61B0C">
        <w:rPr>
          <w:szCs w:val="24"/>
          <w:lang w:val="en"/>
        </w:rPr>
        <w:lastRenderedPageBreak/>
        <w:t>known Ne</w:t>
      </w:r>
      <w:r w:rsidR="00D61B0C" w:rsidRPr="00D61B0C">
        <w:rPr>
          <w:szCs w:val="24"/>
          <w:vertAlign w:val="superscript"/>
          <w:lang w:val="en"/>
        </w:rPr>
        <w:t>++</w:t>
      </w:r>
      <w:r w:rsidR="00D61B0C">
        <w:rPr>
          <w:szCs w:val="24"/>
          <w:lang w:val="en"/>
        </w:rPr>
        <w:t xml:space="preserve"> interference</w:t>
      </w:r>
      <w:r w:rsidR="006005CF">
        <w:rPr>
          <w:szCs w:val="24"/>
          <w:lang w:val="en"/>
        </w:rPr>
        <w:t xml:space="preserve"> (as an impurity in Ar), which is not separated in low resolving quadrupole ICP-MS systems or ICP-sf-MS at low resolution.</w:t>
      </w:r>
    </w:p>
    <w:p w:rsidR="00AF571F" w:rsidRDefault="00AF571F" w:rsidP="00DB3803">
      <w:pPr>
        <w:jc w:val="both"/>
        <w:rPr>
          <w:color w:val="000000"/>
          <w:sz w:val="23"/>
          <w:szCs w:val="23"/>
          <w:lang w:val="en-US"/>
        </w:rPr>
      </w:pPr>
    </w:p>
    <w:p w:rsidR="005320AB" w:rsidRDefault="005320AB" w:rsidP="00DB3803">
      <w:pPr>
        <w:jc w:val="both"/>
        <w:rPr>
          <w:color w:val="000000"/>
          <w:sz w:val="23"/>
          <w:szCs w:val="23"/>
          <w:lang w:val="en-US"/>
        </w:rPr>
      </w:pPr>
    </w:p>
    <w:p w:rsidR="005320AB" w:rsidRPr="00B712B2" w:rsidRDefault="005320AB" w:rsidP="00DB3803">
      <w:pPr>
        <w:jc w:val="both"/>
        <w:rPr>
          <w:b/>
          <w:lang w:val="en-US"/>
        </w:rPr>
      </w:pPr>
      <w:r w:rsidRPr="00B712B2">
        <w:rPr>
          <w:b/>
          <w:color w:val="000000"/>
          <w:sz w:val="23"/>
          <w:szCs w:val="23"/>
          <w:lang w:val="en-US"/>
        </w:rPr>
        <w:t>Introduction:</w:t>
      </w:r>
    </w:p>
    <w:p w:rsidR="00DB3803" w:rsidRDefault="005957EB" w:rsidP="00DB3803">
      <w:pPr>
        <w:jc w:val="both"/>
        <w:rPr>
          <w:lang w:val="en"/>
        </w:rPr>
      </w:pPr>
      <w:r>
        <w:rPr>
          <w:lang w:val="en"/>
        </w:rPr>
        <w:t>Boron is widely distributed in nature in the form of inorganic borates in low concentrations.</w:t>
      </w:r>
      <w:r>
        <w:rPr>
          <w:lang w:val="en"/>
        </w:rPr>
        <w:br/>
      </w:r>
      <w:r w:rsidR="00CF02F9">
        <w:rPr>
          <w:lang w:val="en"/>
        </w:rPr>
        <w:t>The use of boron compounds in manufacturing glass and glass products such as glass fibers, ceramic glazes, and enamels is commercially most significant</w:t>
      </w:r>
      <w:r>
        <w:rPr>
          <w:lang w:val="en"/>
        </w:rPr>
        <w:t xml:space="preserve">. Because of its relatively </w:t>
      </w:r>
      <w:r w:rsidR="00747139">
        <w:rPr>
          <w:lang w:val="en"/>
        </w:rPr>
        <w:t xml:space="preserve">indolent reaction </w:t>
      </w:r>
      <w:r>
        <w:rPr>
          <w:lang w:val="en"/>
        </w:rPr>
        <w:t xml:space="preserve">boron improves the </w:t>
      </w:r>
      <w:r w:rsidR="000367D1">
        <w:rPr>
          <w:lang w:val="en"/>
        </w:rPr>
        <w:t>thermal insulation of mineral fibrous insulating material</w:t>
      </w:r>
      <w:r>
        <w:rPr>
          <w:lang w:val="en"/>
        </w:rPr>
        <w:t xml:space="preserve"> and </w:t>
      </w:r>
      <w:r w:rsidR="000367D1">
        <w:rPr>
          <w:lang w:val="en"/>
        </w:rPr>
        <w:t xml:space="preserve">it </w:t>
      </w:r>
      <w:r>
        <w:rPr>
          <w:lang w:val="en"/>
        </w:rPr>
        <w:t>is an essential part of refractory borosilicate glasses. It is also used in</w:t>
      </w:r>
      <w:r w:rsidR="000367D1">
        <w:rPr>
          <w:lang w:val="en"/>
        </w:rPr>
        <w:t xml:space="preserve"> the production of detergents or</w:t>
      </w:r>
      <w:r>
        <w:rPr>
          <w:lang w:val="en"/>
        </w:rPr>
        <w:t xml:space="preserve"> in fertilizers and biocides.</w:t>
      </w:r>
    </w:p>
    <w:p w:rsidR="001D41E3" w:rsidRPr="0014690B" w:rsidRDefault="000367D1" w:rsidP="001D41E3">
      <w:pPr>
        <w:jc w:val="both"/>
        <w:rPr>
          <w:lang w:val="en"/>
        </w:rPr>
      </w:pPr>
      <w:r>
        <w:rPr>
          <w:lang w:val="en"/>
        </w:rPr>
        <w:t xml:space="preserve">Usually </w:t>
      </w:r>
      <w:r w:rsidR="005957EB">
        <w:rPr>
          <w:lang w:val="en"/>
        </w:rPr>
        <w:t>boron is taken up with food</w:t>
      </w:r>
      <w:r>
        <w:rPr>
          <w:lang w:val="en"/>
        </w:rPr>
        <w:t xml:space="preserve"> or tap water. In Germany, a limit </w:t>
      </w:r>
      <w:r w:rsidR="0014690B">
        <w:rPr>
          <w:lang w:val="en"/>
        </w:rPr>
        <w:t xml:space="preserve">value </w:t>
      </w:r>
      <w:r w:rsidRPr="00A307EE">
        <w:rPr>
          <w:lang w:val="en"/>
        </w:rPr>
        <w:t>of 1 mg/L f</w:t>
      </w:r>
      <w:r w:rsidR="005957EB" w:rsidRPr="00A307EE">
        <w:rPr>
          <w:lang w:val="en"/>
        </w:rPr>
        <w:t>or dr</w:t>
      </w:r>
      <w:r w:rsidRPr="00A307EE">
        <w:rPr>
          <w:lang w:val="en"/>
        </w:rPr>
        <w:t>inking water</w:t>
      </w:r>
      <w:r w:rsidR="0014690B" w:rsidRPr="00A307EE">
        <w:rPr>
          <w:lang w:val="en"/>
        </w:rPr>
        <w:t xml:space="preserve"> is set</w:t>
      </w:r>
      <w:r w:rsidR="005957EB" w:rsidRPr="00A307EE">
        <w:rPr>
          <w:lang w:val="en"/>
        </w:rPr>
        <w:t xml:space="preserve">, </w:t>
      </w:r>
      <w:r w:rsidRPr="00A307EE">
        <w:rPr>
          <w:lang w:val="en"/>
        </w:rPr>
        <w:t>but</w:t>
      </w:r>
      <w:r w:rsidR="005957EB" w:rsidRPr="00A307EE">
        <w:rPr>
          <w:lang w:val="en"/>
        </w:rPr>
        <w:t xml:space="preserve"> rarely more than 0.3 mg of boron per L of drinki</w:t>
      </w:r>
      <w:r w:rsidR="005957EB">
        <w:rPr>
          <w:lang w:val="en"/>
        </w:rPr>
        <w:t xml:space="preserve">ng water are </w:t>
      </w:r>
      <w:r>
        <w:rPr>
          <w:lang w:val="en"/>
        </w:rPr>
        <w:t xml:space="preserve">typically </w:t>
      </w:r>
      <w:r w:rsidR="005957EB">
        <w:rPr>
          <w:lang w:val="en"/>
        </w:rPr>
        <w:t>measured. Mineral waters</w:t>
      </w:r>
      <w:r>
        <w:rPr>
          <w:lang w:val="en"/>
        </w:rPr>
        <w:t>, however, can</w:t>
      </w:r>
      <w:r w:rsidR="005957EB">
        <w:rPr>
          <w:lang w:val="en"/>
        </w:rPr>
        <w:t xml:space="preserve"> contain significantly more boron. </w:t>
      </w:r>
      <w:r w:rsidR="000957CF">
        <w:rPr>
          <w:lang w:val="en"/>
        </w:rPr>
        <w:t>Also tap water from different regions show elevated B concentration. Cortes et al. report</w:t>
      </w:r>
      <w:r w:rsidR="00B61EAB">
        <w:rPr>
          <w:lang w:val="en"/>
        </w:rPr>
        <w:t>ed</w:t>
      </w:r>
      <w:r w:rsidR="000957CF">
        <w:rPr>
          <w:lang w:val="en"/>
        </w:rPr>
        <w:t xml:space="preserve"> up to 17.4 mg/L in tap water from a boron – rich region in Chile </w:t>
      </w:r>
      <w:r w:rsidR="002733AA">
        <w:rPr>
          <w:lang w:val="en"/>
        </w:rPr>
        <w:fldChar w:fldCharType="begin"/>
      </w:r>
      <w:r w:rsidR="00B717AE">
        <w:rPr>
          <w:lang w:val="en"/>
        </w:rPr>
        <w:instrText xml:space="preserve"> ADDIN EN.CITE &lt;EndNote&gt;&lt;Cite&gt;&lt;Author&gt;Cortes&lt;/Author&gt;&lt;Year&gt;2011&lt;/Year&gt;&lt;RecNum&gt;298&lt;/RecNum&gt;&lt;DisplayText&gt;[1]&lt;/DisplayText&gt;&lt;record&gt;&lt;rec-number&gt;298&lt;/rec-number&gt;&lt;foreign-keys&gt;&lt;key app="EN" db-id="5f9txere4wxpxqeewaxpsedw09sdsxzffvr2" timestamp="1472479497"&gt;298&lt;/key&gt;&lt;/foreign-keys&gt;&lt;ref-type name="Journal Article"&gt;17&lt;/ref-type&gt;&lt;contributors&gt;&lt;authors&gt;&lt;author&gt;Cortes, S.&lt;/author&gt;&lt;author&gt;Reynaga-Delgado, E.&lt;/author&gt;&lt;author&gt;Sancha, A. M.&lt;/author&gt;&lt;author&gt;Ferreccio, C.&lt;/author&gt;&lt;/authors&gt;&lt;/contributors&gt;&lt;auth-address&gt;Pontificia Univ Catolica Chile, Dept Salud Publ, Santiago, Chile&amp;#xD;Ctr Invest Biol Noroeste, La Paz, Mexico&amp;#xD;Univ Chile, Fac Ciencias Fis &amp;amp; Matemat, Santiago, Chile&lt;/auth-address&gt;&lt;titles&gt;&lt;title&gt;Boron exposure assessment using drinking water and urine in the North of Chile&lt;/title&gt;&lt;secondary-title&gt;Science of the Total Environment&lt;/secondary-title&gt;&lt;alt-title&gt;Sci Total Environ&lt;/alt-title&gt;&lt;/titles&gt;&lt;periodical&gt;&lt;full-title&gt;Science of the Total Environment&lt;/full-title&gt;&lt;abbr-1&gt;Sci Total Environ&lt;/abbr-1&gt;&lt;/periodical&gt;&lt;alt-periodical&gt;&lt;full-title&gt;Science of the Total Environment&lt;/full-title&gt;&lt;abbr-1&gt;Sci Total Environ&lt;/abbr-1&gt;&lt;/alt-periodical&gt;&lt;pages&gt;96-101&lt;/pages&gt;&lt;volume&gt;410&lt;/volume&gt;&lt;keywords&gt;&lt;keyword&gt;boron&lt;/keyword&gt;&lt;keyword&gt;drinking water&lt;/keyword&gt;&lt;keyword&gt;urine&lt;/keyword&gt;&lt;keyword&gt;exposure&lt;/keyword&gt;&lt;keyword&gt;human&lt;/keyword&gt;&lt;keyword&gt;chile&lt;/keyword&gt;&lt;keyword&gt;turkish subpopulations&lt;/keyword&gt;&lt;keyword&gt;risk-assessment&lt;/keyword&gt;&lt;keyword&gt;dietary boron&lt;/keyword&gt;&lt;keyword&gt;boric-acid&lt;/keyword&gt;&lt;keyword&gt;infertility&lt;/keyword&gt;&lt;keyword&gt;frequency&lt;/keyword&gt;&lt;keyword&gt;fertility&lt;/keyword&gt;&lt;keyword&gt;toxicity&lt;/keyword&gt;&lt;keyword&gt;elements&lt;/keyword&gt;&lt;keyword&gt;humans&lt;/keyword&gt;&lt;/keywords&gt;&lt;dates&gt;&lt;year&gt;2011&lt;/year&gt;&lt;pub-dates&gt;&lt;date&gt;Dec 1&lt;/date&gt;&lt;/pub-dates&gt;&lt;/dates&gt;&lt;isbn&gt;0048-9697&lt;/isbn&gt;&lt;accession-num&gt;WOS:000298203600014&lt;/accession-num&gt;&lt;urls&gt;&lt;related-urls&gt;&lt;url&gt;&amp;lt;Go to ISI&amp;gt;://WOS:000298203600014&lt;/url&gt;&lt;/related-urls&gt;&lt;/urls&gt;&lt;electronic-resource-num&gt;10.1016/j.scitotenv.2011.08.073&lt;/electronic-resource-num&gt;&lt;language&gt;English&lt;/language&gt;&lt;/record&gt;&lt;/Cite&gt;&lt;/EndNote&gt;</w:instrText>
      </w:r>
      <w:r w:rsidR="002733AA">
        <w:rPr>
          <w:lang w:val="en"/>
        </w:rPr>
        <w:fldChar w:fldCharType="separate"/>
      </w:r>
      <w:r w:rsidR="00B717AE">
        <w:rPr>
          <w:noProof/>
          <w:lang w:val="en"/>
        </w:rPr>
        <w:t>[1]</w:t>
      </w:r>
      <w:r w:rsidR="002733AA">
        <w:rPr>
          <w:lang w:val="en"/>
        </w:rPr>
        <w:fldChar w:fldCharType="end"/>
      </w:r>
      <w:r w:rsidR="001E046B">
        <w:rPr>
          <w:lang w:val="en"/>
        </w:rPr>
        <w:t xml:space="preserve"> and Concha et al. up to 5.95 m</w:t>
      </w:r>
      <w:r w:rsidR="00530159">
        <w:rPr>
          <w:lang w:val="en"/>
        </w:rPr>
        <w:t>g/L in</w:t>
      </w:r>
      <w:r w:rsidR="00530159" w:rsidRPr="00530159">
        <w:rPr>
          <w:szCs w:val="24"/>
          <w:lang w:val="en-US"/>
        </w:rPr>
        <w:t xml:space="preserve"> </w:t>
      </w:r>
      <w:r w:rsidR="00530159" w:rsidRPr="00C82255">
        <w:rPr>
          <w:szCs w:val="24"/>
          <w:lang w:val="en-US"/>
        </w:rPr>
        <w:t xml:space="preserve">Andean villages </w:t>
      </w:r>
      <w:r w:rsidR="00530159" w:rsidRPr="00530159">
        <w:rPr>
          <w:szCs w:val="24"/>
          <w:lang w:val="en-US"/>
        </w:rPr>
        <w:t xml:space="preserve">in Argentina </w:t>
      </w:r>
      <w:r w:rsidR="00530159">
        <w:rPr>
          <w:szCs w:val="24"/>
          <w:lang w:val="en-US"/>
        </w:rPr>
        <w:fldChar w:fldCharType="begin"/>
      </w:r>
      <w:r w:rsidR="00B717AE">
        <w:rPr>
          <w:szCs w:val="24"/>
          <w:lang w:val="en-US"/>
        </w:rPr>
        <w:instrText xml:space="preserve"> ADDIN EN.CITE &lt;EndNote&gt;&lt;Cite&gt;&lt;Author&gt;Concha&lt;/Author&gt;&lt;Year&gt;2010&lt;/Year&gt;&lt;RecNum&gt;311&lt;/RecNum&gt;&lt;DisplayText&gt;[2]&lt;/DisplayText&gt;&lt;record&gt;&lt;rec-number&gt;311&lt;/rec-number&gt;&lt;foreign-keys&gt;&lt;key app="EN" db-id="5f9txere4wxpxqeewaxpsedw09sdsxzffvr2" timestamp="1475157232"&gt;311&lt;/key&gt;&lt;/foreign-keys&gt;&lt;ref-type name="Journal Article"&gt;17&lt;/ref-type&gt;&lt;contributors&gt;&lt;authors&gt;&lt;author&gt;Concha, G.&lt;/author&gt;&lt;author&gt;Broberg, K.&lt;/author&gt;&lt;author&gt;Grander, M.&lt;/author&gt;&lt;author&gt;Cardozo, A.&lt;/author&gt;&lt;author&gt;Palm, B.&lt;/author&gt;&lt;author&gt;Vahter, M.&lt;/author&gt;&lt;/authors&gt;&lt;/contributors&gt;&lt;auth-address&gt;Karolinska Inst, Inst Environm Med, S-17177 Stockholm, Sweden&amp;#xD;Swedish Natl Food Adm, Div Toxicol, S-785126 Uppsala, Sweden&amp;#xD;Lund Univ, Div Occupat &amp;amp; Environm Med, S-22185 Lund, Sweden&lt;/auth-address&gt;&lt;titles&gt;&lt;title&gt;High-Level Exposure to Lithium, Boron, Cesium, and Arsenic via Drinking Water in the Andes of Northern Argentina&lt;/title&gt;&lt;secondary-title&gt;Environmental Science &amp;amp; Technology&lt;/secondary-title&gt;&lt;alt-title&gt;Environ Sci Technol&lt;/alt-title&gt;&lt;/titles&gt;&lt;periodical&gt;&lt;full-title&gt;Environ Sci Technol&lt;/full-title&gt;&lt;abbr-1&gt;Environmental science &amp;amp; technology&lt;/abbr-1&gt;&lt;/periodical&gt;&lt;alt-periodical&gt;&lt;full-title&gt;Environ Sci Technol&lt;/full-title&gt;&lt;abbr-1&gt;Environmental science &amp;amp; technology&lt;/abbr-1&gt;&lt;/alt-periodical&gt;&lt;pages&gt;6875-6880&lt;/pages&gt;&lt;volume&gt;44&lt;/volume&gt;&lt;number&gt;17&lt;/number&gt;&lt;keywords&gt;&lt;keyword&gt;trace-elements&lt;/keyword&gt;&lt;keyword&gt;metabolism&lt;/keyword&gt;&lt;keyword&gt;toxicity&lt;/keyword&gt;&lt;keyword&gt;metals&lt;/keyword&gt;&lt;keyword&gt;area&lt;/keyword&gt;&lt;keyword&gt;population&lt;/keyword&gt;&lt;keyword&gt;vegetables&lt;/keyword&gt;&lt;keyword&gt;manganese&lt;/keyword&gt;&lt;keyword&gt;kidney&lt;/keyword&gt;&lt;keyword&gt;chile&lt;/keyword&gt;&lt;/keywords&gt;&lt;dates&gt;&lt;year&gt;2010&lt;/year&gt;&lt;pub-dates&gt;&lt;date&gt;Sep 1&lt;/date&gt;&lt;/pub-dates&gt;&lt;/dates&gt;&lt;isbn&gt;0013-936x&lt;/isbn&gt;&lt;accession-num&gt;WOS:000281225800053&lt;/accession-num&gt;&lt;urls&gt;&lt;related-urls&gt;&lt;url&gt;&amp;lt;Go to ISI&amp;gt;://WOS:000281225800053&lt;/url&gt;&lt;/related-urls&gt;&lt;/urls&gt;&lt;electronic-resource-num&gt;10.1021/es1010384&lt;/electronic-resource-num&gt;&lt;language&gt;English&lt;/language&gt;&lt;/record&gt;&lt;/Cite&gt;&lt;/EndNote&gt;</w:instrText>
      </w:r>
      <w:r w:rsidR="00530159">
        <w:rPr>
          <w:szCs w:val="24"/>
          <w:lang w:val="en-US"/>
        </w:rPr>
        <w:fldChar w:fldCharType="separate"/>
      </w:r>
      <w:r w:rsidR="00B717AE">
        <w:rPr>
          <w:noProof/>
          <w:szCs w:val="24"/>
          <w:lang w:val="en-US"/>
        </w:rPr>
        <w:t>[2]</w:t>
      </w:r>
      <w:r w:rsidR="00530159">
        <w:rPr>
          <w:szCs w:val="24"/>
          <w:lang w:val="en-US"/>
        </w:rPr>
        <w:fldChar w:fldCharType="end"/>
      </w:r>
      <w:r w:rsidR="000957CF" w:rsidRPr="00530159">
        <w:rPr>
          <w:szCs w:val="24"/>
          <w:lang w:val="en-US"/>
        </w:rPr>
        <w:t>.</w:t>
      </w:r>
      <w:r w:rsidR="000957CF">
        <w:rPr>
          <w:lang w:val="en"/>
        </w:rPr>
        <w:t xml:space="preserve"> </w:t>
      </w:r>
      <w:r w:rsidR="000100E6">
        <w:rPr>
          <w:lang w:val="en"/>
        </w:rPr>
        <w:t>In</w:t>
      </w:r>
      <w:r w:rsidR="005957EB">
        <w:rPr>
          <w:lang w:val="en"/>
        </w:rPr>
        <w:t xml:space="preserve"> food </w:t>
      </w:r>
      <w:r w:rsidR="000100E6">
        <w:rPr>
          <w:lang w:val="en"/>
        </w:rPr>
        <w:t>specifically</w:t>
      </w:r>
      <w:r w:rsidR="005957EB">
        <w:rPr>
          <w:lang w:val="en"/>
        </w:rPr>
        <w:t xml:space="preserve"> nuts, dried fruits, fruits, vegetables, w</w:t>
      </w:r>
      <w:r w:rsidR="00DF60A0">
        <w:rPr>
          <w:lang w:val="en"/>
        </w:rPr>
        <w:t xml:space="preserve">ine and </w:t>
      </w:r>
      <w:r w:rsidR="00DF60A0" w:rsidRPr="000100E6">
        <w:rPr>
          <w:lang w:val="en"/>
        </w:rPr>
        <w:t>beer are rich in boron</w:t>
      </w:r>
      <w:r w:rsidR="005957EB" w:rsidRPr="000100E6">
        <w:rPr>
          <w:lang w:val="en"/>
        </w:rPr>
        <w:t xml:space="preserve">. </w:t>
      </w:r>
      <w:r w:rsidR="000100E6" w:rsidRPr="000100E6">
        <w:rPr>
          <w:lang w:val="en"/>
        </w:rPr>
        <w:t xml:space="preserve">According to the Scientific Panel on Dietetic Products, Nutrition and Allergies </w:t>
      </w:r>
      <w:r w:rsidR="000100E6">
        <w:rPr>
          <w:lang w:val="en"/>
        </w:rPr>
        <w:t>of EFSA t</w:t>
      </w:r>
      <w:r w:rsidR="005957EB">
        <w:rPr>
          <w:lang w:val="en"/>
        </w:rPr>
        <w:t>he a</w:t>
      </w:r>
      <w:r w:rsidR="000100E6">
        <w:rPr>
          <w:lang w:val="en"/>
        </w:rPr>
        <w:t>verage daily intake of boron is approximately 1.5 mg/d (97.5 percentile: 2.6 mg/</w:t>
      </w:r>
      <w:r w:rsidR="005957EB">
        <w:rPr>
          <w:lang w:val="en"/>
        </w:rPr>
        <w:t xml:space="preserve">d) </w:t>
      </w:r>
      <w:r w:rsidR="000100E6">
        <w:rPr>
          <w:lang w:val="en"/>
        </w:rPr>
        <w:t>by food and ca. 0.2-0.6 mg by drinking water</w:t>
      </w:r>
      <w:r w:rsidR="00D9707C">
        <w:rPr>
          <w:lang w:val="en"/>
        </w:rPr>
        <w:t xml:space="preserve"> </w:t>
      </w:r>
      <w:r w:rsidR="00D9707C">
        <w:rPr>
          <w:lang w:val="en"/>
        </w:rPr>
        <w:fldChar w:fldCharType="begin"/>
      </w:r>
      <w:r w:rsidR="00B717AE">
        <w:rPr>
          <w:lang w:val="en"/>
        </w:rPr>
        <w:instrText xml:space="preserve"> ADDIN EN.CITE &lt;EndNote&gt;&lt;Cite&gt;&lt;Author&gt;EFSA&lt;/Author&gt;&lt;Year&gt;2004&lt;/Year&gt;&lt;RecNum&gt;299&lt;/RecNum&gt;&lt;DisplayText&gt;[3]&lt;/DisplayText&gt;&lt;record&gt;&lt;rec-number&gt;299&lt;/rec-number&gt;&lt;foreign-keys&gt;&lt;key app="EN" db-id="5f9txere4wxpxqeewaxpsedw09sdsxzffvr2" timestamp="1472482897"&gt;299&lt;/key&gt;&lt;/foreign-keys&gt;&lt;ref-type name="Journal Article"&gt;17&lt;/ref-type&gt;&lt;contributors&gt;&lt;authors&gt;&lt;author&gt;EFSA &lt;/author&gt;&lt;/authors&gt;&lt;/contributors&gt;&lt;titles&gt;&lt;title&gt;Opinion of the Scientific Panel on Dietetic Products, Nutrition and Allergies on a request from the Commission related to the Tolerable Upper Intake Level of Boron (Sodium Borate and Boric Acid). (Request No. EFSA-Q-2003-018) (adopted on 8 July 2004). &lt;/title&gt;&lt;secondary-title&gt;The EFSA Journal&lt;/secondary-title&gt;&lt;/titles&gt;&lt;periodical&gt;&lt;full-title&gt;The EFSA Journal&lt;/full-title&gt;&lt;/periodical&gt;&lt;pages&gt;1-22&lt;/pages&gt;&lt;volume&gt;2&lt;/volume&gt;&lt;number&gt;8&lt;/number&gt;&lt;dates&gt;&lt;year&gt;2004&lt;/year&gt;&lt;/dates&gt;&lt;urls&gt;&lt;/urls&gt;&lt;/record&gt;&lt;/Cite&gt;&lt;/EndNote&gt;</w:instrText>
      </w:r>
      <w:r w:rsidR="00D9707C">
        <w:rPr>
          <w:lang w:val="en"/>
        </w:rPr>
        <w:fldChar w:fldCharType="separate"/>
      </w:r>
      <w:r w:rsidR="00B717AE">
        <w:rPr>
          <w:noProof/>
          <w:lang w:val="en"/>
        </w:rPr>
        <w:t>[3]</w:t>
      </w:r>
      <w:r w:rsidR="00D9707C">
        <w:rPr>
          <w:lang w:val="en"/>
        </w:rPr>
        <w:fldChar w:fldCharType="end"/>
      </w:r>
      <w:r w:rsidR="000100E6">
        <w:rPr>
          <w:lang w:val="en"/>
        </w:rPr>
        <w:t>.</w:t>
      </w:r>
    </w:p>
    <w:p w:rsidR="001D41E3" w:rsidRPr="00FE54B0" w:rsidRDefault="0014690B" w:rsidP="001D41E3">
      <w:pPr>
        <w:jc w:val="both"/>
        <w:rPr>
          <w:lang w:val="en"/>
        </w:rPr>
      </w:pPr>
      <w:r w:rsidRPr="00FE54B0">
        <w:rPr>
          <w:lang w:val="en"/>
        </w:rPr>
        <w:t xml:space="preserve">Average daily intake of boron results in a </w:t>
      </w:r>
      <w:r w:rsidR="0021337C" w:rsidRPr="00FE54B0">
        <w:rPr>
          <w:lang w:val="en"/>
        </w:rPr>
        <w:t xml:space="preserve">boron </w:t>
      </w:r>
      <w:r w:rsidRPr="00FE54B0">
        <w:rPr>
          <w:lang w:val="en"/>
        </w:rPr>
        <w:t xml:space="preserve">blood plasma </w:t>
      </w:r>
      <w:r w:rsidR="0021337C" w:rsidRPr="00FE54B0">
        <w:rPr>
          <w:lang w:val="en"/>
        </w:rPr>
        <w:t>concentration</w:t>
      </w:r>
      <w:r w:rsidRPr="00FE54B0">
        <w:rPr>
          <w:lang w:val="en"/>
        </w:rPr>
        <w:t xml:space="preserve"> of </w:t>
      </w:r>
      <w:r w:rsidR="001D41E3" w:rsidRPr="00FE54B0">
        <w:rPr>
          <w:lang w:val="en"/>
        </w:rPr>
        <w:t xml:space="preserve"> &lt;</w:t>
      </w:r>
      <w:r w:rsidR="0021337C" w:rsidRPr="00FE54B0">
        <w:rPr>
          <w:lang w:val="en"/>
        </w:rPr>
        <w:t xml:space="preserve"> </w:t>
      </w:r>
      <w:r w:rsidR="001D41E3" w:rsidRPr="00FE54B0">
        <w:rPr>
          <w:lang w:val="en"/>
        </w:rPr>
        <w:t xml:space="preserve">1 </w:t>
      </w:r>
      <w:r w:rsidR="0021337C" w:rsidRPr="00FE54B0">
        <w:rPr>
          <w:lang w:val="en"/>
        </w:rPr>
        <w:t>mg/</w:t>
      </w:r>
      <w:r w:rsidR="001D41E3" w:rsidRPr="00FE54B0">
        <w:rPr>
          <w:lang w:val="en"/>
        </w:rPr>
        <w:t>l</w:t>
      </w:r>
      <w:r w:rsidR="0021337C" w:rsidRPr="00FE54B0">
        <w:rPr>
          <w:lang w:val="en"/>
        </w:rPr>
        <w:t xml:space="preserve"> and</w:t>
      </w:r>
      <w:r w:rsidR="001D41E3" w:rsidRPr="00FE54B0">
        <w:rPr>
          <w:lang w:val="en"/>
        </w:rPr>
        <w:t xml:space="preserve"> </w:t>
      </w:r>
      <w:r w:rsidRPr="00FE54B0">
        <w:rPr>
          <w:lang w:val="en"/>
        </w:rPr>
        <w:t xml:space="preserve">in a urine concentration </w:t>
      </w:r>
      <w:r w:rsidR="001D41E3" w:rsidRPr="00FE54B0">
        <w:rPr>
          <w:lang w:val="en"/>
        </w:rPr>
        <w:t>&lt;</w:t>
      </w:r>
      <w:r w:rsidR="0021337C" w:rsidRPr="00FE54B0">
        <w:rPr>
          <w:lang w:val="en"/>
        </w:rPr>
        <w:t xml:space="preserve"> </w:t>
      </w:r>
      <w:r w:rsidR="001D41E3" w:rsidRPr="00FE54B0">
        <w:rPr>
          <w:lang w:val="en"/>
        </w:rPr>
        <w:t xml:space="preserve">3 </w:t>
      </w:r>
      <w:r w:rsidR="0021337C" w:rsidRPr="00FE54B0">
        <w:rPr>
          <w:lang w:val="en"/>
        </w:rPr>
        <w:t xml:space="preserve">mg/l </w:t>
      </w:r>
      <w:r w:rsidR="0021337C" w:rsidRPr="00FE54B0">
        <w:rPr>
          <w:lang w:val="en"/>
        </w:rPr>
        <w:fldChar w:fldCharType="begin"/>
      </w:r>
      <w:r w:rsidR="00B717AE">
        <w:rPr>
          <w:lang w:val="en"/>
        </w:rPr>
        <w:instrText xml:space="preserve"> ADDIN EN.CITE &lt;EndNote&gt;&lt;Cite&gt;&lt;Author&gt;Reuter&lt;/Author&gt;&lt;Year&gt;1996&lt;/Year&gt;&lt;RecNum&gt;301&lt;/RecNum&gt;&lt;DisplayText&gt;[4]&lt;/DisplayText&gt;&lt;record&gt;&lt;rec-number&gt;301&lt;/rec-number&gt;&lt;foreign-keys&gt;&lt;key app="EN" db-id="5f9txere4wxpxqeewaxpsedw09sdsxzffvr2" timestamp="1472484170"&gt;301&lt;/key&gt;&lt;/foreign-keys&gt;&lt;ref-type name="Journal Article"&gt;17&lt;/ref-type&gt;&lt;contributors&gt;&lt;authors&gt;&lt;author&gt;Reuter, U.&lt;/author&gt;&lt;author&gt;Rengel, I.&lt;/author&gt;&lt;author&gt;SterzlEckert, H.&lt;/author&gt;&lt;author&gt;Forderkunz, S.&lt;/author&gt;&lt;author&gt;Bartsch, R.&lt;/author&gt;&lt;author&gt;Greim, H.&lt;/author&gt;&lt;/authors&gt;&lt;/contributors&gt;&lt;auth-address&gt;Reuter, U&amp;#xD;Gsf Munich,Inst Toxicol,Commiss Invest Hlth Hazards Chem Cpds Work Area,Postfach 1129,D-85758 Munich,Germany&amp;#xD;Gsf Munich,Inst Toxicol,Commiss Invest Hlth Hazards Chem Cpds Work Area,Postfach 1129,D-85758 Munich,Germany&lt;/auth-address&gt;&lt;titles&gt;&lt;title&gt;Examples of MAK values and carcinogenicity classification for mixtures&lt;/title&gt;&lt;secondary-title&gt;Food and Chemical Toxicology&lt;/secondary-title&gt;&lt;alt-title&gt;Food Chem Toxicol&lt;/alt-title&gt;&lt;/titles&gt;&lt;periodical&gt;&lt;full-title&gt;Food and Chemical Toxicology&lt;/full-title&gt;&lt;abbr-1&gt;Food Chem Toxicol&lt;/abbr-1&gt;&lt;/periodical&gt;&lt;alt-periodical&gt;&lt;full-title&gt;Food and Chemical Toxicology&lt;/full-title&gt;&lt;abbr-1&gt;Food Chem Toxicol&lt;/abbr-1&gt;&lt;/alt-periodical&gt;&lt;pages&gt;1167-1168&lt;/pages&gt;&lt;volume&gt;34&lt;/volume&gt;&lt;number&gt;11-12&lt;/number&gt;&lt;dates&gt;&lt;year&gt;1996&lt;/year&gt;&lt;pub-dates&gt;&lt;date&gt;Nov-Dec&lt;/date&gt;&lt;/pub-dates&gt;&lt;/dates&gt;&lt;isbn&gt;0278-6915&lt;/isbn&gt;&lt;accession-num&gt;WOS:A1996WP01500024&lt;/accession-num&gt;&lt;urls&gt;&lt;related-urls&gt;&lt;url&gt;&amp;lt;Go to ISI&amp;gt;://WOS:A1996WP01500024&lt;/url&gt;&lt;/related-urls&gt;&lt;/urls&gt;&lt;electronic-resource-num&gt;Doi 10.1016/S0278-6915(97)00091-4&lt;/electronic-resource-num&gt;&lt;language&gt;English&lt;/language&gt;&lt;/record&gt;&lt;/Cite&gt;&lt;/EndNote&gt;</w:instrText>
      </w:r>
      <w:r w:rsidR="0021337C" w:rsidRPr="00FE54B0">
        <w:rPr>
          <w:lang w:val="en"/>
        </w:rPr>
        <w:fldChar w:fldCharType="separate"/>
      </w:r>
      <w:r w:rsidR="00B717AE">
        <w:rPr>
          <w:noProof/>
          <w:lang w:val="en"/>
        </w:rPr>
        <w:t>[4]</w:t>
      </w:r>
      <w:r w:rsidR="0021337C" w:rsidRPr="00FE54B0">
        <w:rPr>
          <w:lang w:val="en"/>
        </w:rPr>
        <w:fldChar w:fldCharType="end"/>
      </w:r>
      <w:r w:rsidR="0021337C" w:rsidRPr="00FE54B0">
        <w:rPr>
          <w:lang w:val="en"/>
        </w:rPr>
        <w:t xml:space="preserve">. </w:t>
      </w:r>
      <w:r w:rsidR="00B51DA0">
        <w:rPr>
          <w:lang w:val="en"/>
        </w:rPr>
        <w:t>F</w:t>
      </w:r>
      <w:r w:rsidRPr="00FE54B0">
        <w:rPr>
          <w:lang w:val="en"/>
        </w:rPr>
        <w:t xml:space="preserve">ew investigations </w:t>
      </w:r>
      <w:r w:rsidR="00B51DA0">
        <w:rPr>
          <w:lang w:val="en"/>
        </w:rPr>
        <w:t>imply</w:t>
      </w:r>
      <w:r w:rsidRPr="00FE54B0">
        <w:rPr>
          <w:lang w:val="en"/>
        </w:rPr>
        <w:t xml:space="preserve"> that </w:t>
      </w:r>
      <w:r w:rsidR="00B61EAB" w:rsidRPr="00FE54B0">
        <w:rPr>
          <w:lang w:val="en"/>
        </w:rPr>
        <w:t xml:space="preserve">boron </w:t>
      </w:r>
      <w:r w:rsidRPr="00FE54B0">
        <w:rPr>
          <w:lang w:val="en"/>
        </w:rPr>
        <w:t xml:space="preserve">might </w:t>
      </w:r>
      <w:r w:rsidR="0021337C" w:rsidRPr="00FE54B0">
        <w:rPr>
          <w:lang w:val="en"/>
        </w:rPr>
        <w:t xml:space="preserve">exert positive effects for human health </w:t>
      </w:r>
      <w:r w:rsidR="0021337C" w:rsidRPr="00FE54B0">
        <w:rPr>
          <w:lang w:val="en"/>
        </w:rPr>
        <w:fldChar w:fldCharType="begin">
          <w:fldData xml:space="preserve">PEVuZE5vdGU+PENpdGU+PEF1dGhvcj5QYW5lbC1vbi1NaWNyb251dHJpZW50czwvQXV0aG9yPjxZ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</w:fldData>
        </w:fldChar>
      </w:r>
      <w:r w:rsidR="00B717AE">
        <w:rPr>
          <w:lang w:val="en"/>
        </w:rPr>
        <w:instrText xml:space="preserve"> ADDIN EN.CITE </w:instrText>
      </w:r>
      <w:r w:rsidR="00B717AE">
        <w:rPr>
          <w:lang w:val="en"/>
        </w:rPr>
        <w:fldChar w:fldCharType="begin">
          <w:fldData xml:space="preserve">PEVuZE5vdGU+PENpdGU+PEF1dGhvcj5QYW5lbC1vbi1NaWNyb251dHJpZW50czwvQXV0aG9yPjxZ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</w:fldData>
        </w:fldChar>
      </w:r>
      <w:r w:rsidR="00B717AE">
        <w:rPr>
          <w:lang w:val="en"/>
        </w:rPr>
        <w:instrText xml:space="preserve"> ADDIN EN.CITE.DATA </w:instrText>
      </w:r>
      <w:r w:rsidR="00B717AE">
        <w:rPr>
          <w:lang w:val="en"/>
        </w:rPr>
      </w:r>
      <w:r w:rsidR="00B717AE">
        <w:rPr>
          <w:lang w:val="en"/>
        </w:rPr>
        <w:fldChar w:fldCharType="end"/>
      </w:r>
      <w:r w:rsidR="0021337C" w:rsidRPr="00FE54B0">
        <w:rPr>
          <w:lang w:val="en"/>
        </w:rPr>
      </w:r>
      <w:r w:rsidR="0021337C" w:rsidRPr="00FE54B0">
        <w:rPr>
          <w:lang w:val="en"/>
        </w:rPr>
        <w:fldChar w:fldCharType="separate"/>
      </w:r>
      <w:r w:rsidR="00B717AE">
        <w:rPr>
          <w:noProof/>
          <w:lang w:val="en"/>
        </w:rPr>
        <w:t>[5, 6]</w:t>
      </w:r>
      <w:r w:rsidR="0021337C" w:rsidRPr="00FE54B0">
        <w:rPr>
          <w:lang w:val="en"/>
        </w:rPr>
        <w:fldChar w:fldCharType="end"/>
      </w:r>
      <w:r w:rsidR="0021337C" w:rsidRPr="00FE54B0">
        <w:rPr>
          <w:lang w:val="en"/>
        </w:rPr>
        <w:t>.</w:t>
      </w:r>
    </w:p>
    <w:p w:rsidR="001D41E3" w:rsidRPr="00FE54B0" w:rsidRDefault="009A161D" w:rsidP="001D41E3">
      <w:pPr>
        <w:jc w:val="both"/>
        <w:rPr>
          <w:lang w:val="en"/>
        </w:rPr>
      </w:pPr>
      <w:r w:rsidRPr="00FE54B0">
        <w:rPr>
          <w:lang w:val="en"/>
        </w:rPr>
        <w:t xml:space="preserve">However, from an occupational point of view </w:t>
      </w:r>
      <w:r w:rsidR="00B61EAB" w:rsidRPr="00FE54B0">
        <w:rPr>
          <w:lang w:val="en"/>
        </w:rPr>
        <w:t xml:space="preserve">mostly </w:t>
      </w:r>
      <w:r w:rsidRPr="00FE54B0">
        <w:rPr>
          <w:lang w:val="en"/>
        </w:rPr>
        <w:t>boron exposure is of interest and concern.</w:t>
      </w:r>
    </w:p>
    <w:p w:rsidR="001D41E3" w:rsidRDefault="001D41E3" w:rsidP="001D41E3">
      <w:pPr>
        <w:jc w:val="both"/>
        <w:rPr>
          <w:szCs w:val="24"/>
          <w:lang w:val="en"/>
        </w:rPr>
      </w:pPr>
      <w:r w:rsidRPr="0021337C">
        <w:rPr>
          <w:lang w:val="en-US"/>
        </w:rPr>
        <w:t xml:space="preserve">The mining of </w:t>
      </w:r>
      <w:r w:rsidR="00CF02F9">
        <w:rPr>
          <w:lang w:val="en-US"/>
        </w:rPr>
        <w:t xml:space="preserve">boron containing </w:t>
      </w:r>
      <w:r w:rsidRPr="0021337C">
        <w:rPr>
          <w:lang w:val="en-US"/>
        </w:rPr>
        <w:t xml:space="preserve">minerals in natural </w:t>
      </w:r>
      <w:r w:rsidR="009A161D">
        <w:rPr>
          <w:lang w:val="en-US"/>
        </w:rPr>
        <w:t xml:space="preserve">deposits and the </w:t>
      </w:r>
      <w:r w:rsidR="00CF02F9" w:rsidRPr="00CF02F9">
        <w:rPr>
          <w:lang w:val="en-US"/>
        </w:rPr>
        <w:t>processing</w:t>
      </w:r>
      <w:r>
        <w:rPr>
          <w:lang w:val="en"/>
        </w:rPr>
        <w:t xml:space="preserve"> into borax </w:t>
      </w:r>
      <w:r w:rsidR="00B51DA0">
        <w:rPr>
          <w:lang w:val="en"/>
        </w:rPr>
        <w:t>can cause occupational exposure</w:t>
      </w:r>
      <w:r>
        <w:rPr>
          <w:lang w:val="en"/>
        </w:rPr>
        <w:t xml:space="preserve"> of </w:t>
      </w:r>
      <w:r w:rsidR="00B51DA0">
        <w:rPr>
          <w:lang w:val="en"/>
        </w:rPr>
        <w:t>workers</w:t>
      </w:r>
      <w:r>
        <w:rPr>
          <w:lang w:val="en"/>
        </w:rPr>
        <w:t xml:space="preserve">. </w:t>
      </w:r>
      <w:r w:rsidR="00CF02F9">
        <w:rPr>
          <w:lang w:val="en"/>
        </w:rPr>
        <w:t>B</w:t>
      </w:r>
      <w:r>
        <w:rPr>
          <w:lang w:val="en"/>
        </w:rPr>
        <w:t xml:space="preserve">oron </w:t>
      </w:r>
      <w:r w:rsidR="00CF02F9">
        <w:rPr>
          <w:lang w:val="en"/>
        </w:rPr>
        <w:t xml:space="preserve">exposure </w:t>
      </w:r>
      <w:r>
        <w:rPr>
          <w:lang w:val="en"/>
        </w:rPr>
        <w:t xml:space="preserve">can </w:t>
      </w:r>
      <w:r w:rsidR="009A161D">
        <w:rPr>
          <w:lang w:val="en"/>
        </w:rPr>
        <w:t xml:space="preserve">also </w:t>
      </w:r>
      <w:r>
        <w:rPr>
          <w:lang w:val="en"/>
        </w:rPr>
        <w:t xml:space="preserve">appear in the above mentioned </w:t>
      </w:r>
      <w:r w:rsidR="009A161D">
        <w:rPr>
          <w:lang w:val="en"/>
        </w:rPr>
        <w:t xml:space="preserve">glass-, ceramic- or enamel related </w:t>
      </w:r>
      <w:r>
        <w:rPr>
          <w:lang w:val="en"/>
        </w:rPr>
        <w:t>industries</w:t>
      </w:r>
      <w:r w:rsidR="009A161D">
        <w:rPr>
          <w:lang w:val="en"/>
        </w:rPr>
        <w:t xml:space="preserve">. </w:t>
      </w:r>
      <w:r w:rsidR="00CF02F9">
        <w:rPr>
          <w:szCs w:val="24"/>
          <w:lang w:val="en"/>
        </w:rPr>
        <w:t>T</w:t>
      </w:r>
      <w:r w:rsidR="005957EB" w:rsidRPr="005957EB">
        <w:rPr>
          <w:szCs w:val="24"/>
          <w:lang w:val="en"/>
        </w:rPr>
        <w:t>oxico</w:t>
      </w:r>
      <w:r>
        <w:rPr>
          <w:szCs w:val="24"/>
          <w:lang w:val="en"/>
        </w:rPr>
        <w:t>-</w:t>
      </w:r>
      <w:r w:rsidR="00CF02F9">
        <w:rPr>
          <w:szCs w:val="24"/>
          <w:lang w:val="en"/>
        </w:rPr>
        <w:t>kinetic</w:t>
      </w:r>
      <w:r w:rsidR="005957EB" w:rsidRPr="005957EB">
        <w:rPr>
          <w:szCs w:val="24"/>
          <w:lang w:val="en"/>
        </w:rPr>
        <w:t xml:space="preserve"> of boric acid has been extensively studied in animals and in humans.</w:t>
      </w:r>
      <w:r w:rsidR="009A161D">
        <w:rPr>
          <w:szCs w:val="24"/>
          <w:lang w:val="en"/>
        </w:rPr>
        <w:t xml:space="preserve"> A</w:t>
      </w:r>
      <w:r w:rsidR="005957EB" w:rsidRPr="005957EB">
        <w:rPr>
          <w:szCs w:val="24"/>
          <w:lang w:val="en"/>
        </w:rPr>
        <w:t xml:space="preserve">bsorption through the </w:t>
      </w:r>
      <w:r w:rsidR="009A161D">
        <w:rPr>
          <w:szCs w:val="24"/>
          <w:lang w:val="en"/>
        </w:rPr>
        <w:t xml:space="preserve">intact skin is </w:t>
      </w:r>
      <w:r w:rsidR="00924440">
        <w:rPr>
          <w:szCs w:val="24"/>
          <w:lang w:val="en"/>
        </w:rPr>
        <w:t>low</w:t>
      </w:r>
      <w:r w:rsidR="009A161D">
        <w:rPr>
          <w:szCs w:val="24"/>
          <w:lang w:val="en"/>
        </w:rPr>
        <w:t xml:space="preserve"> but a</w:t>
      </w:r>
      <w:r w:rsidR="005957EB" w:rsidRPr="005957EB">
        <w:rPr>
          <w:szCs w:val="24"/>
          <w:lang w:val="en"/>
        </w:rPr>
        <w:t xml:space="preserve">fter oral ingestion boric acid is absorbed rapidly and completely. </w:t>
      </w:r>
    </w:p>
    <w:p w:rsidR="009A161D" w:rsidRPr="009A161D" w:rsidRDefault="00B51DA0" w:rsidP="009A161D">
      <w:pPr>
        <w:jc w:val="both"/>
        <w:rPr>
          <w:lang w:val="en"/>
        </w:rPr>
      </w:pPr>
      <w:r>
        <w:rPr>
          <w:lang w:val="en"/>
        </w:rPr>
        <w:t>Following</w:t>
      </w:r>
      <w:r w:rsidR="009A161D">
        <w:rPr>
          <w:lang w:val="en"/>
        </w:rPr>
        <w:t xml:space="preserve"> high oral ingestion</w:t>
      </w:r>
      <w:r w:rsidR="009A161D" w:rsidRPr="009A161D">
        <w:rPr>
          <w:lang w:val="en"/>
        </w:rPr>
        <w:t>, symptoms may inc</w:t>
      </w:r>
      <w:r w:rsidR="009A161D">
        <w:rPr>
          <w:lang w:val="en"/>
        </w:rPr>
        <w:t>lude nausea, vomiting, abdominal pain and diarrhea</w:t>
      </w:r>
      <w:r w:rsidR="009A161D" w:rsidRPr="009A161D">
        <w:rPr>
          <w:lang w:val="en"/>
        </w:rPr>
        <w:t xml:space="preserve">, </w:t>
      </w:r>
      <w:r w:rsidR="009A161D">
        <w:rPr>
          <w:lang w:val="en"/>
        </w:rPr>
        <w:t>where stool or</w:t>
      </w:r>
      <w:r w:rsidR="009A161D" w:rsidRPr="009A161D">
        <w:rPr>
          <w:lang w:val="en"/>
        </w:rPr>
        <w:t xml:space="preserve"> </w:t>
      </w:r>
      <w:r w:rsidR="009A161D">
        <w:rPr>
          <w:lang w:val="en"/>
        </w:rPr>
        <w:t xml:space="preserve">vomited </w:t>
      </w:r>
      <w:r w:rsidR="009A161D" w:rsidRPr="009A161D">
        <w:rPr>
          <w:lang w:val="en"/>
        </w:rPr>
        <w:t>stomach contents may b</w:t>
      </w:r>
      <w:r w:rsidR="009A161D">
        <w:rPr>
          <w:lang w:val="en"/>
        </w:rPr>
        <w:t>e discolored blue-green</w:t>
      </w:r>
      <w:r w:rsidR="009A161D" w:rsidRPr="009A161D">
        <w:rPr>
          <w:lang w:val="en"/>
        </w:rPr>
        <w:t xml:space="preserve">. </w:t>
      </w:r>
      <w:r w:rsidR="00924440">
        <w:rPr>
          <w:lang w:val="en"/>
        </w:rPr>
        <w:t>T</w:t>
      </w:r>
      <w:r w:rsidR="009A161D" w:rsidRPr="009A161D">
        <w:rPr>
          <w:lang w:val="en"/>
        </w:rPr>
        <w:t xml:space="preserve">he central nervous system </w:t>
      </w:r>
      <w:r w:rsidR="00924440">
        <w:rPr>
          <w:lang w:val="en"/>
        </w:rPr>
        <w:t>can be affected resulting in confusion</w:t>
      </w:r>
      <w:r w:rsidR="009A161D" w:rsidRPr="009A161D">
        <w:rPr>
          <w:lang w:val="en"/>
        </w:rPr>
        <w:t>, headache and convulsions</w:t>
      </w:r>
      <w:r w:rsidR="00924440">
        <w:rPr>
          <w:lang w:val="en"/>
        </w:rPr>
        <w:t>, even</w:t>
      </w:r>
      <w:r w:rsidR="009A161D" w:rsidRPr="009A161D">
        <w:rPr>
          <w:lang w:val="en"/>
        </w:rPr>
        <w:t xml:space="preserve"> coma </w:t>
      </w:r>
      <w:r w:rsidR="00924440">
        <w:rPr>
          <w:lang w:val="en"/>
        </w:rPr>
        <w:t>and death could be faced after high intoxication</w:t>
      </w:r>
      <w:r w:rsidR="001170AF">
        <w:rPr>
          <w:lang w:val="en"/>
        </w:rPr>
        <w:t xml:space="preserve"> </w:t>
      </w:r>
      <w:r w:rsidR="001170AF">
        <w:rPr>
          <w:lang w:val="en"/>
        </w:rPr>
        <w:fldChar w:fldCharType="begin"/>
      </w:r>
      <w:r w:rsidR="00B717AE">
        <w:rPr>
          <w:lang w:val="en"/>
        </w:rPr>
        <w:instrText xml:space="preserve"> ADDIN EN.CITE &lt;EndNote&gt;&lt;Cite&gt;&lt;Author&gt;BAuA&lt;/Author&gt;&lt;Year&gt;2007&lt;/Year&gt;&lt;RecNum&gt;302&lt;/RecNum&gt;&lt;DisplayText&gt;[7]&lt;/DisplayText&gt;&lt;record&gt;&lt;rec-number&gt;302&lt;/rec-number&gt;&lt;foreign-keys&gt;&lt;key app="EN" db-id="5f9txere4wxpxqeewaxpsedw09sdsxzffvr2" timestamp="1472562933"&gt;302&lt;/key&gt;&lt;/foreign-keys&gt;&lt;ref-type name="Report"&gt;27&lt;/ref-type&gt;&lt;contributors&gt;&lt;authors&gt;&lt;author&gt;BAuA&lt;/author&gt;&lt;/authors&gt;&lt;secondary-authors&gt;&lt;author&gt;Ausschuss für Gefahrstoffe - AGS-Geschäftsführung - BAuA &lt;/author&gt;&lt;/secondary-authors&gt;&lt;/contributors&gt;&lt;titles&gt;&lt;title&gt;Begründung zu Borsäure und Natriumborate in TRGS 900&lt;/title&gt;&lt;secondary-title&gt;TRGS 900&lt;/secondary-title&gt;&lt;/titles&gt;&lt;dates&gt;&lt;year&gt;2007&lt;/year&gt;&lt;/dates&gt;&lt;pub-location&gt;Berlin&lt;/pub-location&gt;&lt;publisher&gt;BAuA&lt;/publisher&gt;&lt;urls&gt;&lt;/urls&gt;&lt;/record&gt;&lt;/Cite&gt;&lt;/EndNote&gt;</w:instrText>
      </w:r>
      <w:r w:rsidR="001170AF">
        <w:rPr>
          <w:lang w:val="en"/>
        </w:rPr>
        <w:fldChar w:fldCharType="separate"/>
      </w:r>
      <w:r w:rsidR="00B717AE">
        <w:rPr>
          <w:noProof/>
          <w:lang w:val="en"/>
        </w:rPr>
        <w:t>[7]</w:t>
      </w:r>
      <w:r w:rsidR="001170AF">
        <w:rPr>
          <w:lang w:val="en"/>
        </w:rPr>
        <w:fldChar w:fldCharType="end"/>
      </w:r>
      <w:r w:rsidR="00924440">
        <w:rPr>
          <w:lang w:val="en"/>
        </w:rPr>
        <w:t xml:space="preserve">. </w:t>
      </w:r>
      <w:r w:rsidR="001170AF">
        <w:rPr>
          <w:lang w:val="en"/>
        </w:rPr>
        <w:t>Kidneys are likely to be damaged with</w:t>
      </w:r>
      <w:r w:rsidR="00924440">
        <w:rPr>
          <w:lang w:val="en"/>
        </w:rPr>
        <w:t xml:space="preserve"> </w:t>
      </w:r>
      <w:r w:rsidR="009A161D" w:rsidRPr="009A161D">
        <w:rPr>
          <w:lang w:val="en"/>
        </w:rPr>
        <w:t xml:space="preserve">a reduction </w:t>
      </w:r>
      <w:r w:rsidR="001170AF">
        <w:rPr>
          <w:lang w:val="en"/>
        </w:rPr>
        <w:t>or</w:t>
      </w:r>
      <w:r w:rsidR="009A161D" w:rsidRPr="009A161D">
        <w:rPr>
          <w:lang w:val="en"/>
        </w:rPr>
        <w:t xml:space="preserve"> complete </w:t>
      </w:r>
      <w:r w:rsidR="001170AF">
        <w:rPr>
          <w:lang w:val="en"/>
        </w:rPr>
        <w:t>stop</w:t>
      </w:r>
      <w:r w:rsidR="009A161D" w:rsidRPr="009A161D">
        <w:rPr>
          <w:lang w:val="en"/>
        </w:rPr>
        <w:t xml:space="preserve"> of urine production </w:t>
      </w:r>
      <w:r w:rsidR="00A307EE">
        <w:rPr>
          <w:lang w:val="en"/>
        </w:rPr>
        <w:fldChar w:fldCharType="begin"/>
      </w:r>
      <w:r w:rsidR="00B717AE">
        <w:rPr>
          <w:lang w:val="en"/>
        </w:rPr>
        <w:instrText xml:space="preserve"> ADDIN EN.CITE &lt;EndNote&gt;&lt;Cite&gt;&lt;Author&gt;Greim&lt;/Author&gt;&lt;Year&gt;1996&lt;/Year&gt;&lt;RecNum&gt;303&lt;/RecNum&gt;&lt;DisplayText&gt;[8]&lt;/DisplayText&gt;&lt;record&gt;&lt;rec-number&gt;303&lt;/rec-number&gt;&lt;foreign-keys&gt;&lt;key app="EN" db-id="5f9txere4wxpxqeewaxpsedw09sdsxzffvr2" timestamp="1472563447"&gt;303&lt;/key&gt;&lt;/foreign-keys&gt;&lt;ref-type name="Report"&gt;27&lt;/ref-type&gt;&lt;contributors&gt;&lt;authors&gt;&lt;author&gt;Greim, H.&lt;/author&gt;&lt;/authors&gt;&lt;secondary-authors&gt;&lt;author&gt;Greim H.&lt;/author&gt;&lt;/secondary-authors&gt;&lt;/contributors&gt;&lt;titles&gt;&lt;title&gt;Gesundheitsschädliche Arbeitsstoffe, Toxikologisch-arbeitsmedizinische Begründungen von MAK-Werten, Loseblattsammlung, 23. Lfg., &lt;/title&gt;&lt;secondary-title&gt; Loseblattsammlung&lt;/secondary-title&gt;&lt;/titles&gt;&lt;volume&gt;23. Lieferung&lt;/volume&gt;&lt;dates&gt;&lt;year&gt;1996&lt;/year&gt;&lt;/dates&gt;&lt;pub-location&gt;Weinheim&lt;/pub-location&gt;&lt;publisher&gt;Deutsche Forschungsgemeinschaft&lt;/publisher&gt;&lt;urls&gt;&lt;/urls&gt;&lt;/record&gt;&lt;/Cite&gt;&lt;/EndNote&gt;</w:instrText>
      </w:r>
      <w:r w:rsidR="00A307EE">
        <w:rPr>
          <w:lang w:val="en"/>
        </w:rPr>
        <w:fldChar w:fldCharType="separate"/>
      </w:r>
      <w:r w:rsidR="00B717AE">
        <w:rPr>
          <w:noProof/>
          <w:lang w:val="en"/>
        </w:rPr>
        <w:t>[8]</w:t>
      </w:r>
      <w:r w:rsidR="00A307EE">
        <w:rPr>
          <w:lang w:val="en"/>
        </w:rPr>
        <w:fldChar w:fldCharType="end"/>
      </w:r>
      <w:r w:rsidR="009A161D" w:rsidRPr="009A161D">
        <w:rPr>
          <w:lang w:val="en"/>
        </w:rPr>
        <w:t xml:space="preserve">. The lowest reported lethal dose for humans </w:t>
      </w:r>
      <w:r w:rsidR="009A161D" w:rsidRPr="009A161D">
        <w:rPr>
          <w:lang w:val="en"/>
        </w:rPr>
        <w:lastRenderedPageBreak/>
        <w:t xml:space="preserve">after oral administration </w:t>
      </w:r>
      <w:r w:rsidR="00CF02F9">
        <w:rPr>
          <w:lang w:val="en"/>
        </w:rPr>
        <w:t>was</w:t>
      </w:r>
      <w:r w:rsidR="001618E2">
        <w:rPr>
          <w:lang w:val="en"/>
        </w:rPr>
        <w:t xml:space="preserve"> 640 mg boric acid/kg body weight</w:t>
      </w:r>
      <w:r w:rsidR="009A161D" w:rsidRPr="009A161D">
        <w:rPr>
          <w:lang w:val="en"/>
        </w:rPr>
        <w:t xml:space="preserve">; after ingestion of 5-20 g of boric acid fatal poisoning in adults </w:t>
      </w:r>
      <w:r w:rsidR="00CF02F9">
        <w:rPr>
          <w:lang w:val="en"/>
        </w:rPr>
        <w:t>was</w:t>
      </w:r>
      <w:r w:rsidR="001618E2" w:rsidRPr="009A161D">
        <w:rPr>
          <w:lang w:val="en"/>
        </w:rPr>
        <w:t xml:space="preserve"> </w:t>
      </w:r>
      <w:r w:rsidR="009A161D" w:rsidRPr="009A161D">
        <w:rPr>
          <w:lang w:val="en"/>
        </w:rPr>
        <w:t xml:space="preserve">reported </w:t>
      </w:r>
      <w:r w:rsidR="001618E2">
        <w:rPr>
          <w:lang w:val="en"/>
        </w:rPr>
        <w:fldChar w:fldCharType="begin"/>
      </w:r>
      <w:r w:rsidR="00B717AE">
        <w:rPr>
          <w:lang w:val="en"/>
        </w:rPr>
        <w:instrText xml:space="preserve"> ADDIN EN.CITE &lt;EndNote&gt;&lt;Cite&gt;&lt;Author&gt;WHO&lt;/Author&gt;&lt;Year&gt;1998&lt;/Year&gt;&lt;RecNum&gt;304&lt;/RecNum&gt;&lt;DisplayText&gt;[9]&lt;/DisplayText&gt;&lt;record&gt;&lt;rec-number&gt;304&lt;/rec-number&gt;&lt;foreign-keys&gt;&lt;key app="EN" db-id="5f9txere4wxpxqeewaxpsedw09sdsxzffvr2" timestamp="1472563762"&gt;304&lt;/key&gt;&lt;/foreign-keys&gt;&lt;ref-type name="Report"&gt;27&lt;/ref-type&gt;&lt;contributors&gt;&lt;authors&gt;&lt;author&gt;WHO&lt;/author&gt;&lt;/authors&gt;&lt;secondary-authors&gt;&lt;author&gt;World Health Organization&lt;/author&gt;&lt;/secondary-authors&gt;&lt;/contributors&gt;&lt;titles&gt;&lt;title&gt;Environmental Health Criteria 204, Boron&lt;/title&gt;&lt;secondary-title&gt;International Programme on Chemical Safety&lt;/secondary-title&gt;&lt;/titles&gt;&lt;volume&gt;204&lt;/volume&gt;&lt;dates&gt;&lt;year&gt;1998&lt;/year&gt;&lt;/dates&gt;&lt;pub-location&gt;Geneva&lt;/pub-location&gt;&lt;publisher&gt;WHO&lt;/publisher&gt;&lt;urls&gt;&lt;/urls&gt;&lt;/record&gt;&lt;/Cite&gt;&lt;/EndNote&gt;</w:instrText>
      </w:r>
      <w:r w:rsidR="001618E2">
        <w:rPr>
          <w:lang w:val="en"/>
        </w:rPr>
        <w:fldChar w:fldCharType="separate"/>
      </w:r>
      <w:r w:rsidR="00B717AE">
        <w:rPr>
          <w:noProof/>
          <w:lang w:val="en"/>
        </w:rPr>
        <w:t>[9]</w:t>
      </w:r>
      <w:r w:rsidR="001618E2">
        <w:rPr>
          <w:lang w:val="en"/>
        </w:rPr>
        <w:fldChar w:fldCharType="end"/>
      </w:r>
      <w:r w:rsidR="009A161D" w:rsidRPr="009A161D">
        <w:rPr>
          <w:lang w:val="en"/>
        </w:rPr>
        <w:t>.</w:t>
      </w:r>
    </w:p>
    <w:p w:rsidR="00D8640F" w:rsidRPr="00CA6AB7" w:rsidRDefault="00D8640F" w:rsidP="001D41E3">
      <w:pPr>
        <w:jc w:val="both"/>
        <w:rPr>
          <w:sz w:val="23"/>
          <w:szCs w:val="23"/>
          <w:lang w:val="en-US"/>
        </w:rPr>
      </w:pPr>
      <w:r w:rsidRPr="00D8640F">
        <w:rPr>
          <w:sz w:val="23"/>
          <w:szCs w:val="23"/>
          <w:lang w:val="en-US"/>
        </w:rPr>
        <w:t xml:space="preserve">At </w:t>
      </w:r>
      <w:r w:rsidR="00B51DA0">
        <w:rPr>
          <w:sz w:val="23"/>
          <w:szCs w:val="23"/>
          <w:lang w:val="en-US"/>
        </w:rPr>
        <w:t>an average</w:t>
      </w:r>
      <w:r>
        <w:rPr>
          <w:sz w:val="23"/>
          <w:szCs w:val="23"/>
          <w:lang w:val="en-US"/>
        </w:rPr>
        <w:t xml:space="preserve"> workplace exposure of </w:t>
      </w:r>
      <w:r w:rsidR="00CF02F9">
        <w:rPr>
          <w:sz w:val="23"/>
          <w:szCs w:val="23"/>
          <w:lang w:val="en-US"/>
        </w:rPr>
        <w:t>28.</w:t>
      </w:r>
      <w:r w:rsidRPr="00691202">
        <w:rPr>
          <w:sz w:val="23"/>
          <w:szCs w:val="23"/>
          <w:lang w:val="en-US"/>
        </w:rPr>
        <w:t xml:space="preserve">4 mg boron </w:t>
      </w:r>
      <w:r w:rsidR="00B51DA0">
        <w:rPr>
          <w:sz w:val="23"/>
          <w:szCs w:val="23"/>
          <w:lang w:val="en-US"/>
        </w:rPr>
        <w:t xml:space="preserve">per day </w:t>
      </w:r>
      <w:r w:rsidRPr="00D8640F">
        <w:rPr>
          <w:lang w:val="en"/>
        </w:rPr>
        <w:t xml:space="preserve">decreased sexual function </w:t>
      </w:r>
      <w:r>
        <w:rPr>
          <w:sz w:val="23"/>
          <w:szCs w:val="23"/>
          <w:lang w:val="en-US"/>
        </w:rPr>
        <w:t>was observed</w:t>
      </w:r>
      <w:r w:rsidR="00CA6AB7">
        <w:rPr>
          <w:sz w:val="23"/>
          <w:szCs w:val="23"/>
          <w:lang w:val="en-US"/>
        </w:rPr>
        <w:t xml:space="preserve"> </w:t>
      </w:r>
      <w:r w:rsidR="00B51DA0">
        <w:rPr>
          <w:sz w:val="23"/>
          <w:szCs w:val="23"/>
          <w:lang w:val="en-US"/>
        </w:rPr>
        <w:t xml:space="preserve">for affected males </w:t>
      </w:r>
      <w:r w:rsidR="00CA6AB7">
        <w:rPr>
          <w:sz w:val="23"/>
          <w:szCs w:val="23"/>
          <w:lang w:val="en-US"/>
        </w:rPr>
        <w:fldChar w:fldCharType="begin">
          <w:fldData xml:space="preserve">PEVuZE5vdGU+PENpdGU+PEF1dGhvcj5CQXVBPC9BdXRob3I+PFllYXI+MjAwNzwvWWVhcj48UmVj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</w:fldData>
        </w:fldChar>
      </w:r>
      <w:r w:rsidR="00B717AE">
        <w:rPr>
          <w:sz w:val="23"/>
          <w:szCs w:val="23"/>
          <w:lang w:val="en-US"/>
        </w:rPr>
        <w:instrText xml:space="preserve"> ADDIN EN.CITE </w:instrText>
      </w:r>
      <w:r w:rsidR="00B717AE">
        <w:rPr>
          <w:sz w:val="23"/>
          <w:szCs w:val="23"/>
          <w:lang w:val="en-US"/>
        </w:rPr>
        <w:fldChar w:fldCharType="begin">
          <w:fldData xml:space="preserve">PEVuZE5vdGU+PENpdGU+PEF1dGhvcj5CQXVBPC9BdXRob3I+PFllYXI+MjAwNzwvWWVhcj48UmVj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</w:fldData>
        </w:fldChar>
      </w:r>
      <w:r w:rsidR="00B717AE">
        <w:rPr>
          <w:sz w:val="23"/>
          <w:szCs w:val="23"/>
          <w:lang w:val="en-US"/>
        </w:rPr>
        <w:instrText xml:space="preserve"> ADDIN EN.CITE.DATA </w:instrText>
      </w:r>
      <w:r w:rsidR="00B717AE">
        <w:rPr>
          <w:sz w:val="23"/>
          <w:szCs w:val="23"/>
          <w:lang w:val="en-US"/>
        </w:rPr>
      </w:r>
      <w:r w:rsidR="00B717AE">
        <w:rPr>
          <w:sz w:val="23"/>
          <w:szCs w:val="23"/>
          <w:lang w:val="en-US"/>
        </w:rPr>
        <w:fldChar w:fldCharType="end"/>
      </w:r>
      <w:r w:rsidR="00CA6AB7">
        <w:rPr>
          <w:sz w:val="23"/>
          <w:szCs w:val="23"/>
          <w:lang w:val="en-US"/>
        </w:rPr>
      </w:r>
      <w:r w:rsidR="00CA6AB7">
        <w:rPr>
          <w:sz w:val="23"/>
          <w:szCs w:val="23"/>
          <w:lang w:val="en-US"/>
        </w:rPr>
        <w:fldChar w:fldCharType="separate"/>
      </w:r>
      <w:r w:rsidR="00B717AE">
        <w:rPr>
          <w:noProof/>
          <w:sz w:val="23"/>
          <w:szCs w:val="23"/>
          <w:lang w:val="en-US"/>
        </w:rPr>
        <w:t>[7, 10]</w:t>
      </w:r>
      <w:r w:rsidR="00CA6AB7">
        <w:rPr>
          <w:sz w:val="23"/>
          <w:szCs w:val="23"/>
          <w:lang w:val="en-US"/>
        </w:rPr>
        <w:fldChar w:fldCharType="end"/>
      </w:r>
      <w:r>
        <w:rPr>
          <w:sz w:val="23"/>
          <w:szCs w:val="23"/>
          <w:lang w:val="en-US"/>
        </w:rPr>
        <w:t xml:space="preserve">. </w:t>
      </w:r>
      <w:r w:rsidR="00691202">
        <w:rPr>
          <w:sz w:val="23"/>
          <w:szCs w:val="23"/>
          <w:lang w:val="en-US"/>
        </w:rPr>
        <w:t>E</w:t>
      </w:r>
      <w:r>
        <w:rPr>
          <w:sz w:val="23"/>
          <w:szCs w:val="23"/>
          <w:lang w:val="en-US"/>
        </w:rPr>
        <w:t xml:space="preserve">xposed workers had lower </w:t>
      </w:r>
      <w:r w:rsidR="008A722A">
        <w:rPr>
          <w:sz w:val="23"/>
          <w:szCs w:val="23"/>
          <w:lang w:val="en-US"/>
        </w:rPr>
        <w:t xml:space="preserve">sperm </w:t>
      </w:r>
      <w:r>
        <w:rPr>
          <w:sz w:val="23"/>
          <w:szCs w:val="23"/>
          <w:lang w:val="en-US"/>
        </w:rPr>
        <w:t>volum</w:t>
      </w:r>
      <w:r w:rsidR="00691202">
        <w:rPr>
          <w:sz w:val="23"/>
          <w:szCs w:val="23"/>
          <w:lang w:val="en-US"/>
        </w:rPr>
        <w:t xml:space="preserve">e, </w:t>
      </w:r>
      <w:r>
        <w:rPr>
          <w:sz w:val="23"/>
          <w:szCs w:val="23"/>
          <w:lang w:val="en-US"/>
        </w:rPr>
        <w:t xml:space="preserve">less </w:t>
      </w:r>
      <w:r w:rsidR="00B51DA0">
        <w:rPr>
          <w:sz w:val="23"/>
          <w:szCs w:val="23"/>
          <w:lang w:val="en-US"/>
        </w:rPr>
        <w:t xml:space="preserve">sperm </w:t>
      </w:r>
      <w:r>
        <w:rPr>
          <w:sz w:val="23"/>
          <w:szCs w:val="23"/>
          <w:lang w:val="en-US"/>
        </w:rPr>
        <w:t>motility</w:t>
      </w:r>
      <w:r w:rsidR="00CF02F9" w:rsidRPr="00CF02F9">
        <w:rPr>
          <w:sz w:val="23"/>
          <w:szCs w:val="23"/>
          <w:lang w:val="en-US"/>
        </w:rPr>
        <w:t xml:space="preserve"> </w:t>
      </w:r>
      <w:r w:rsidR="00B51DA0">
        <w:rPr>
          <w:sz w:val="23"/>
          <w:szCs w:val="23"/>
          <w:lang w:val="en-US"/>
        </w:rPr>
        <w:t xml:space="preserve">and count </w:t>
      </w:r>
      <w:r w:rsidR="00CF02F9">
        <w:rPr>
          <w:sz w:val="23"/>
          <w:szCs w:val="23"/>
          <w:lang w:val="en-US"/>
        </w:rPr>
        <w:t>of sperm</w:t>
      </w:r>
      <w:r w:rsidR="008F5012">
        <w:rPr>
          <w:sz w:val="23"/>
          <w:szCs w:val="23"/>
          <w:lang w:val="en-US"/>
        </w:rPr>
        <w:t xml:space="preserve">. However, </w:t>
      </w:r>
      <w:r w:rsidR="008F5012" w:rsidRPr="00D8640F">
        <w:rPr>
          <w:lang w:val="en"/>
        </w:rPr>
        <w:t xml:space="preserve">standardized birth rate </w:t>
      </w:r>
      <w:r w:rsidR="00691202">
        <w:rPr>
          <w:lang w:val="en"/>
        </w:rPr>
        <w:t xml:space="preserve">was </w:t>
      </w:r>
      <w:r w:rsidR="008F5012">
        <w:rPr>
          <w:sz w:val="23"/>
          <w:szCs w:val="23"/>
          <w:lang w:val="en-US"/>
        </w:rPr>
        <w:t xml:space="preserve">not </w:t>
      </w:r>
      <w:r w:rsidR="008F5012">
        <w:rPr>
          <w:lang w:val="en"/>
        </w:rPr>
        <w:t>reduced</w:t>
      </w:r>
      <w:r w:rsidR="00B51DA0">
        <w:rPr>
          <w:lang w:val="en"/>
        </w:rPr>
        <w:t>, but</w:t>
      </w:r>
      <w:r w:rsidR="008F5012">
        <w:rPr>
          <w:lang w:val="en"/>
        </w:rPr>
        <w:t xml:space="preserve"> </w:t>
      </w:r>
      <w:r w:rsidR="00691202">
        <w:rPr>
          <w:lang w:val="en"/>
        </w:rPr>
        <w:t xml:space="preserve">gender ratio of offspring was shifted toward females at a rate of 56.5 vs. 43.5. </w:t>
      </w:r>
      <w:r w:rsidR="008F5012" w:rsidRPr="00D8640F">
        <w:rPr>
          <w:lang w:val="en"/>
        </w:rPr>
        <w:t>This effect</w:t>
      </w:r>
      <w:r w:rsidR="00B51DA0">
        <w:rPr>
          <w:lang w:val="en"/>
        </w:rPr>
        <w:t>, being</w:t>
      </w:r>
      <w:r w:rsidR="008F5012" w:rsidRPr="00D8640F">
        <w:rPr>
          <w:lang w:val="en"/>
        </w:rPr>
        <w:t xml:space="preserve"> </w:t>
      </w:r>
      <w:r w:rsidR="00B51DA0">
        <w:rPr>
          <w:lang w:val="en"/>
        </w:rPr>
        <w:t xml:space="preserve">significant only </w:t>
      </w:r>
      <w:r w:rsidR="008F5012" w:rsidRPr="00D8640F">
        <w:rPr>
          <w:lang w:val="en"/>
        </w:rPr>
        <w:t xml:space="preserve">in some statistical tests </w:t>
      </w:r>
      <w:r w:rsidR="00691202">
        <w:rPr>
          <w:lang w:val="en"/>
        </w:rPr>
        <w:fldChar w:fldCharType="begin"/>
      </w:r>
      <w:r w:rsidR="00B717AE">
        <w:rPr>
          <w:lang w:val="en"/>
        </w:rPr>
        <w:instrText xml:space="preserve"> ADDIN EN.CITE &lt;EndNote&gt;&lt;Cite&gt;&lt;Author&gt;Hartwig&lt;/Author&gt;&lt;Year&gt;2011&lt;/Year&gt;&lt;RecNum&gt;305&lt;/RecNum&gt;&lt;DisplayText&gt;[11]&lt;/DisplayText&gt;&lt;record&gt;&lt;rec-number&gt;305&lt;/rec-number&gt;&lt;foreign-keys&gt;&lt;key app="EN" db-id="5f9txere4wxpxqeewaxpsedw09sdsxzffvr2" timestamp="1472565892"&gt;305&lt;/key&gt;&lt;/foreign-keys&gt;&lt;ref-type name="Report"&gt;27&lt;/ref-type&gt;&lt;contributors&gt;&lt;authors&gt;&lt;author&gt;Hartwig, A.&lt;/author&gt;&lt;/authors&gt;&lt;secondary-authors&gt;&lt;author&gt;Hartwig, A.&lt;/author&gt;&lt;/secondary-authors&gt;&lt;tertiary-authors&gt;&lt;author&gt;Wiley - VCH&lt;/author&gt;&lt;/tertiary-authors&gt;&lt;/contributors&gt;&lt;titles&gt;&lt;title&gt;Borsäure und Tetraborate. Gesundheitsschädliche Arbeitsstoffe, Toxikologisch-arbeitsmedizinische Begründungen von MAK-Werten&lt;/title&gt;&lt;secondary-title&gt;MAK collection&lt;/secondary-title&gt;&lt;/titles&gt;&lt;volume&gt;51. Lieferung&lt;/volume&gt;&lt;dates&gt;&lt;year&gt;2011&lt;/year&gt;&lt;/dates&gt;&lt;pub-location&gt;Weinheim&lt;/pub-location&gt;&lt;publisher&gt;Deutsche Forschungsgemeinschaft DFG&lt;/publisher&gt;&lt;urls&gt;&lt;/urls&gt;&lt;/record&gt;&lt;/Cite&gt;&lt;/EndNote&gt;</w:instrText>
      </w:r>
      <w:r w:rsidR="00691202">
        <w:rPr>
          <w:lang w:val="en"/>
        </w:rPr>
        <w:fldChar w:fldCharType="separate"/>
      </w:r>
      <w:r w:rsidR="00B717AE">
        <w:rPr>
          <w:noProof/>
          <w:lang w:val="en"/>
        </w:rPr>
        <w:t>[11]</w:t>
      </w:r>
      <w:r w:rsidR="00691202">
        <w:rPr>
          <w:lang w:val="en"/>
        </w:rPr>
        <w:fldChar w:fldCharType="end"/>
      </w:r>
      <w:r w:rsidR="00B51DA0">
        <w:rPr>
          <w:lang w:val="en"/>
        </w:rPr>
        <w:t>, was</w:t>
      </w:r>
      <w:r w:rsidR="008F5012" w:rsidRPr="00D8640F">
        <w:rPr>
          <w:lang w:val="en"/>
        </w:rPr>
        <w:t xml:space="preserve"> due to </w:t>
      </w:r>
      <w:r w:rsidR="00B51DA0" w:rsidRPr="00D8640F">
        <w:rPr>
          <w:lang w:val="en"/>
        </w:rPr>
        <w:t xml:space="preserve">an increased number of female offspring </w:t>
      </w:r>
      <w:r w:rsidR="00B51DA0">
        <w:rPr>
          <w:lang w:val="en"/>
        </w:rPr>
        <w:t>and not to a decrease of male children</w:t>
      </w:r>
      <w:r w:rsidR="008F5012" w:rsidRPr="00D8640F">
        <w:rPr>
          <w:lang w:val="en"/>
        </w:rPr>
        <w:t>.</w:t>
      </w:r>
    </w:p>
    <w:p w:rsidR="00CA6AB7" w:rsidRDefault="00CA6AB7" w:rsidP="00CA6AB7">
      <w:pPr>
        <w:rPr>
          <w:szCs w:val="24"/>
          <w:lang w:val="en"/>
        </w:rPr>
      </w:pPr>
      <w:r w:rsidRPr="0086380E">
        <w:rPr>
          <w:szCs w:val="24"/>
          <w:lang w:val="en"/>
        </w:rPr>
        <w:t>A detailed description of toxicolog</w:t>
      </w:r>
      <w:r>
        <w:rPr>
          <w:szCs w:val="24"/>
          <w:lang w:val="en"/>
        </w:rPr>
        <w:t>y of</w:t>
      </w:r>
      <w:r w:rsidRPr="0086380E">
        <w:rPr>
          <w:szCs w:val="24"/>
          <w:lang w:val="en"/>
        </w:rPr>
        <w:t xml:space="preserve"> boron and its compounds is shown in the MAK documentation from 2011 </w:t>
      </w:r>
      <w:r>
        <w:rPr>
          <w:szCs w:val="24"/>
          <w:lang w:val="en"/>
        </w:rPr>
        <w:fldChar w:fldCharType="begin"/>
      </w:r>
      <w:r w:rsidR="00B717AE">
        <w:rPr>
          <w:szCs w:val="24"/>
          <w:lang w:val="en"/>
        </w:rPr>
        <w:instrText xml:space="preserve"> ADDIN EN.CITE &lt;EndNote&gt;&lt;Cite&gt;&lt;Author&gt;Hartwig&lt;/Author&gt;&lt;Year&gt;2011&lt;/Year&gt;&lt;RecNum&gt;305&lt;/RecNum&gt;&lt;DisplayText&gt;[11]&lt;/DisplayText&gt;&lt;record&gt;&lt;rec-number&gt;305&lt;/rec-number&gt;&lt;foreign-keys&gt;&lt;key app="EN" db-id="5f9txere4wxpxqeewaxpsedw09sdsxzffvr2" timestamp="1472565892"&gt;305&lt;/key&gt;&lt;/foreign-keys&gt;&lt;ref-type name="Report"&gt;27&lt;/ref-type&gt;&lt;contributors&gt;&lt;authors&gt;&lt;author&gt;Hartwig, A.&lt;/author&gt;&lt;/authors&gt;&lt;secondary-authors&gt;&lt;author&gt;Hartwig, A.&lt;/author&gt;&lt;/secondary-authors&gt;&lt;tertiary-authors&gt;&lt;author&gt;Wiley - VCH&lt;/author&gt;&lt;/tertiary-authors&gt;&lt;/contributors&gt;&lt;titles&gt;&lt;title&gt;Borsäure und Tetraborate. Gesundheitsschädliche Arbeitsstoffe, Toxikologisch-arbeitsmedizinische Begründungen von MAK-Werten&lt;/title&gt;&lt;secondary-title&gt;MAK collection&lt;/secondary-title&gt;&lt;/titles&gt;&lt;volume&gt;51. Lieferung&lt;/volume&gt;&lt;dates&gt;&lt;year&gt;2011&lt;/year&gt;&lt;/dates&gt;&lt;pub-location&gt;Weinheim&lt;/pub-location&gt;&lt;publisher&gt;Deutsche Forschungsgemeinschaft DFG&lt;/publisher&gt;&lt;urls&gt;&lt;/urls&gt;&lt;/record&gt;&lt;/Cite&gt;&lt;/EndNote&gt;</w:instrText>
      </w:r>
      <w:r>
        <w:rPr>
          <w:szCs w:val="24"/>
          <w:lang w:val="en"/>
        </w:rPr>
        <w:fldChar w:fldCharType="separate"/>
      </w:r>
      <w:r w:rsidR="00B717AE">
        <w:rPr>
          <w:noProof/>
          <w:szCs w:val="24"/>
          <w:lang w:val="en"/>
        </w:rPr>
        <w:t>[11]</w:t>
      </w:r>
      <w:r>
        <w:rPr>
          <w:szCs w:val="24"/>
          <w:lang w:val="en"/>
        </w:rPr>
        <w:fldChar w:fldCharType="end"/>
      </w:r>
      <w:r>
        <w:rPr>
          <w:szCs w:val="24"/>
          <w:lang w:val="en"/>
        </w:rPr>
        <w:t>. For boron in urine currently a b</w:t>
      </w:r>
      <w:r w:rsidRPr="0086380E">
        <w:rPr>
          <w:szCs w:val="24"/>
          <w:lang w:val="en"/>
        </w:rPr>
        <w:t>iological tolera</w:t>
      </w:r>
      <w:r>
        <w:rPr>
          <w:szCs w:val="24"/>
          <w:lang w:val="en"/>
        </w:rPr>
        <w:t>nce value (BAT) of 8.5 mg boron/</w:t>
      </w:r>
      <w:r w:rsidRPr="0086380E">
        <w:rPr>
          <w:szCs w:val="24"/>
          <w:lang w:val="en"/>
        </w:rPr>
        <w:t>g creatinin</w:t>
      </w:r>
      <w:r>
        <w:rPr>
          <w:szCs w:val="24"/>
          <w:lang w:val="en"/>
        </w:rPr>
        <w:t>e (boric acid) and 3.5 mg boron/</w:t>
      </w:r>
      <w:r w:rsidRPr="0086380E">
        <w:rPr>
          <w:szCs w:val="24"/>
          <w:lang w:val="en"/>
        </w:rPr>
        <w:t>g creatinine (borates) is discussed</w:t>
      </w:r>
      <w:r w:rsidR="00F22F9C">
        <w:rPr>
          <w:szCs w:val="24"/>
          <w:lang w:val="en"/>
        </w:rPr>
        <w:t>, the latter corresponding to 3 - 3.5 µg boron/L for urine with averaged creatinine levels</w:t>
      </w:r>
      <w:r w:rsidRPr="0086380E">
        <w:rPr>
          <w:szCs w:val="24"/>
          <w:lang w:val="en"/>
        </w:rPr>
        <w:t xml:space="preserve">. </w:t>
      </w:r>
    </w:p>
    <w:p w:rsidR="00CA6AB7" w:rsidRDefault="00CA6AB7" w:rsidP="005957EB">
      <w:pPr>
        <w:rPr>
          <w:szCs w:val="24"/>
          <w:lang w:val="en"/>
        </w:rPr>
      </w:pPr>
    </w:p>
    <w:p w:rsidR="001D41E3" w:rsidRDefault="005957EB" w:rsidP="0086380E">
      <w:pPr>
        <w:rPr>
          <w:szCs w:val="24"/>
          <w:lang w:val="en"/>
        </w:rPr>
      </w:pPr>
      <w:r w:rsidRPr="005957EB">
        <w:rPr>
          <w:szCs w:val="24"/>
          <w:lang w:val="en"/>
        </w:rPr>
        <w:t>Boric acid or borate</w:t>
      </w:r>
      <w:r w:rsidR="00533BD9">
        <w:rPr>
          <w:szCs w:val="24"/>
          <w:lang w:val="en"/>
        </w:rPr>
        <w:t>s</w:t>
      </w:r>
      <w:r w:rsidRPr="005957EB">
        <w:rPr>
          <w:szCs w:val="24"/>
          <w:lang w:val="en"/>
        </w:rPr>
        <w:t xml:space="preserve"> are excreted by the kidneys from the blood </w:t>
      </w:r>
      <w:r w:rsidR="00533BD9">
        <w:rPr>
          <w:szCs w:val="24"/>
          <w:lang w:val="en"/>
        </w:rPr>
        <w:t xml:space="preserve">into urine </w:t>
      </w:r>
      <w:r w:rsidRPr="005957EB">
        <w:rPr>
          <w:szCs w:val="24"/>
          <w:lang w:val="en"/>
        </w:rPr>
        <w:t>almost completely unchanged</w:t>
      </w:r>
      <w:r w:rsidR="008A722A">
        <w:rPr>
          <w:szCs w:val="24"/>
          <w:lang w:val="en"/>
        </w:rPr>
        <w:t>. Urine-</w:t>
      </w:r>
      <w:r w:rsidR="00533BD9">
        <w:rPr>
          <w:szCs w:val="24"/>
          <w:lang w:val="en"/>
        </w:rPr>
        <w:t xml:space="preserve">boron thus is regarded to reflect the daily exposure </w:t>
      </w:r>
      <w:r w:rsidR="00533BD9">
        <w:rPr>
          <w:szCs w:val="24"/>
          <w:lang w:val="en"/>
        </w:rPr>
        <w:fldChar w:fldCharType="begin">
          <w:fldData xml:space="preserve">PEVuZE5vdGU+PENpdGU+PEF1dGhvcj5CQXVBPC9BdXRob3I+PFllYXI+MjAwNzwvWWVhcj48UmVj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</w:fldData>
        </w:fldChar>
      </w:r>
      <w:r w:rsidR="00B717AE">
        <w:rPr>
          <w:szCs w:val="24"/>
          <w:lang w:val="en"/>
        </w:rPr>
        <w:instrText xml:space="preserve"> ADDIN EN.CITE </w:instrText>
      </w:r>
      <w:r w:rsidR="00B717AE">
        <w:rPr>
          <w:szCs w:val="24"/>
          <w:lang w:val="en"/>
        </w:rPr>
        <w:fldChar w:fldCharType="begin">
          <w:fldData xml:space="preserve">PEVuZE5vdGU+PENpdGU+PEF1dGhvcj5CQXVBPC9BdXRob3I+PFllYXI+MjAwNzwvWWVhcj48UmVj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</w:fldData>
        </w:fldChar>
      </w:r>
      <w:r w:rsidR="00B717AE">
        <w:rPr>
          <w:szCs w:val="24"/>
          <w:lang w:val="en"/>
        </w:rPr>
        <w:instrText xml:space="preserve"> ADDIN EN.CITE.DATA </w:instrText>
      </w:r>
      <w:r w:rsidR="00B717AE">
        <w:rPr>
          <w:szCs w:val="24"/>
          <w:lang w:val="en"/>
        </w:rPr>
      </w:r>
      <w:r w:rsidR="00B717AE">
        <w:rPr>
          <w:szCs w:val="24"/>
          <w:lang w:val="en"/>
        </w:rPr>
        <w:fldChar w:fldCharType="end"/>
      </w:r>
      <w:r w:rsidR="00533BD9">
        <w:rPr>
          <w:szCs w:val="24"/>
          <w:lang w:val="en"/>
        </w:rPr>
      </w:r>
      <w:r w:rsidR="00533BD9">
        <w:rPr>
          <w:szCs w:val="24"/>
          <w:lang w:val="en"/>
        </w:rPr>
        <w:fldChar w:fldCharType="separate"/>
      </w:r>
      <w:r w:rsidR="00B717AE">
        <w:rPr>
          <w:noProof/>
          <w:szCs w:val="24"/>
          <w:lang w:val="en"/>
        </w:rPr>
        <w:t>[7, 12, 13]</w:t>
      </w:r>
      <w:r w:rsidR="00533BD9">
        <w:rPr>
          <w:szCs w:val="24"/>
          <w:lang w:val="en"/>
        </w:rPr>
        <w:fldChar w:fldCharType="end"/>
      </w:r>
      <w:r w:rsidRPr="005957EB">
        <w:rPr>
          <w:szCs w:val="24"/>
          <w:lang w:val="en"/>
        </w:rPr>
        <w:t>. The</w:t>
      </w:r>
      <w:r w:rsidR="00F22F9C">
        <w:rPr>
          <w:szCs w:val="24"/>
          <w:lang w:val="en"/>
        </w:rPr>
        <w:t>refore the</w:t>
      </w:r>
      <w:r w:rsidRPr="005957EB">
        <w:rPr>
          <w:szCs w:val="24"/>
          <w:lang w:val="en"/>
        </w:rPr>
        <w:t xml:space="preserve"> </w:t>
      </w:r>
      <w:r w:rsidR="00141E79" w:rsidRPr="005957EB">
        <w:rPr>
          <w:szCs w:val="24"/>
          <w:lang w:val="en"/>
        </w:rPr>
        <w:t xml:space="preserve">content </w:t>
      </w:r>
      <w:r w:rsidR="00141E79">
        <w:rPr>
          <w:szCs w:val="24"/>
          <w:lang w:val="en"/>
        </w:rPr>
        <w:t xml:space="preserve">of </w:t>
      </w:r>
      <w:r w:rsidRPr="005957EB">
        <w:rPr>
          <w:szCs w:val="24"/>
          <w:lang w:val="en"/>
        </w:rPr>
        <w:t>boric acid or borate</w:t>
      </w:r>
      <w:r w:rsidR="00F22F9C">
        <w:rPr>
          <w:szCs w:val="24"/>
          <w:lang w:val="en"/>
        </w:rPr>
        <w:t>s</w:t>
      </w:r>
      <w:r w:rsidRPr="005957EB">
        <w:rPr>
          <w:szCs w:val="24"/>
          <w:lang w:val="en"/>
        </w:rPr>
        <w:t xml:space="preserve"> in biological materials </w:t>
      </w:r>
      <w:r w:rsidR="00533BD9">
        <w:rPr>
          <w:szCs w:val="24"/>
          <w:lang w:val="en"/>
        </w:rPr>
        <w:t>is</w:t>
      </w:r>
      <w:r w:rsidRPr="005957EB">
        <w:rPr>
          <w:szCs w:val="24"/>
          <w:lang w:val="en"/>
        </w:rPr>
        <w:t xml:space="preserve"> generally </w:t>
      </w:r>
      <w:r w:rsidR="00CA6AB7">
        <w:rPr>
          <w:szCs w:val="24"/>
          <w:lang w:val="en"/>
        </w:rPr>
        <w:t>quantified via</w:t>
      </w:r>
      <w:r w:rsidRPr="005957EB">
        <w:rPr>
          <w:szCs w:val="24"/>
          <w:lang w:val="en"/>
        </w:rPr>
        <w:t xml:space="preserve"> elemental boron (B)</w:t>
      </w:r>
      <w:r w:rsidR="00CA6AB7">
        <w:rPr>
          <w:szCs w:val="24"/>
          <w:lang w:val="en"/>
        </w:rPr>
        <w:t xml:space="preserve"> determination</w:t>
      </w:r>
      <w:r w:rsidRPr="005957EB">
        <w:rPr>
          <w:szCs w:val="24"/>
          <w:lang w:val="en"/>
        </w:rPr>
        <w:t>.</w:t>
      </w:r>
      <w:r w:rsidR="008A722A">
        <w:rPr>
          <w:szCs w:val="24"/>
          <w:lang w:val="en"/>
        </w:rPr>
        <w:t xml:space="preserve"> Different element detectors such as atomic absorption spectrometry, inductively coupled plasma (ICP) optical emission spectrometry </w:t>
      </w:r>
      <w:r w:rsidR="00F22F9C">
        <w:rPr>
          <w:szCs w:val="24"/>
          <w:lang w:val="en"/>
        </w:rPr>
        <w:t xml:space="preserve">(OES) </w:t>
      </w:r>
      <w:r w:rsidR="008A722A">
        <w:rPr>
          <w:szCs w:val="24"/>
          <w:lang w:val="en"/>
        </w:rPr>
        <w:t xml:space="preserve">or ICP-mass spectrometry </w:t>
      </w:r>
      <w:r w:rsidR="00F22F9C">
        <w:rPr>
          <w:szCs w:val="24"/>
          <w:lang w:val="en"/>
        </w:rPr>
        <w:t>(</w:t>
      </w:r>
      <w:r w:rsidR="008A722A">
        <w:rPr>
          <w:szCs w:val="24"/>
          <w:lang w:val="en"/>
        </w:rPr>
        <w:t xml:space="preserve">ICP-MS) are available, however, with different </w:t>
      </w:r>
      <w:r w:rsidR="00F22F9C">
        <w:rPr>
          <w:szCs w:val="24"/>
          <w:lang w:val="en"/>
        </w:rPr>
        <w:t xml:space="preserve">detection </w:t>
      </w:r>
      <w:r w:rsidR="008A722A">
        <w:rPr>
          <w:szCs w:val="24"/>
          <w:lang w:val="en"/>
        </w:rPr>
        <w:t>sensitivity, different high-throughput capability and a big range in investment and operating costs.</w:t>
      </w:r>
    </w:p>
    <w:p w:rsidR="008A722A" w:rsidRDefault="008A722A" w:rsidP="0086380E">
      <w:pPr>
        <w:rPr>
          <w:szCs w:val="24"/>
          <w:lang w:val="en"/>
        </w:rPr>
      </w:pPr>
    </w:p>
    <w:p w:rsidR="00DF701A" w:rsidRDefault="008A722A" w:rsidP="0086380E">
      <w:pPr>
        <w:rPr>
          <w:szCs w:val="24"/>
          <w:lang w:val="en"/>
        </w:rPr>
      </w:pPr>
      <w:r>
        <w:rPr>
          <w:szCs w:val="24"/>
          <w:lang w:val="en"/>
        </w:rPr>
        <w:t xml:space="preserve">Specifically for </w:t>
      </w:r>
      <w:r w:rsidR="00F22F9C">
        <w:rPr>
          <w:szCs w:val="24"/>
          <w:lang w:val="en"/>
        </w:rPr>
        <w:t xml:space="preserve">those </w:t>
      </w:r>
      <w:r>
        <w:rPr>
          <w:szCs w:val="24"/>
          <w:lang w:val="en"/>
        </w:rPr>
        <w:t xml:space="preserve">laboratories working for governmental (or other) authorities in function of workplace safety and protection standardized, highly reliable and </w:t>
      </w:r>
      <w:r w:rsidR="0017592D">
        <w:rPr>
          <w:szCs w:val="24"/>
          <w:lang w:val="en"/>
        </w:rPr>
        <w:t xml:space="preserve">as </w:t>
      </w:r>
      <w:r>
        <w:rPr>
          <w:szCs w:val="24"/>
          <w:lang w:val="en"/>
        </w:rPr>
        <w:t>possibly cheap determination methods are man</w:t>
      </w:r>
      <w:r w:rsidR="00B61EAB">
        <w:rPr>
          <w:szCs w:val="24"/>
          <w:lang w:val="en"/>
        </w:rPr>
        <w:t>datory. For governmental and regulatory authorities s</w:t>
      </w:r>
      <w:r>
        <w:rPr>
          <w:szCs w:val="24"/>
          <w:lang w:val="en"/>
        </w:rPr>
        <w:t xml:space="preserve">uch methods must be </w:t>
      </w:r>
      <w:r w:rsidR="00164EE9">
        <w:rPr>
          <w:szCs w:val="24"/>
          <w:lang w:val="en"/>
        </w:rPr>
        <w:t xml:space="preserve">evaluated as reference methods. </w:t>
      </w:r>
      <w:r w:rsidR="00F22F9C">
        <w:rPr>
          <w:szCs w:val="24"/>
          <w:lang w:val="en"/>
        </w:rPr>
        <w:t>We developed such a method which had been evaluated recently by the method development and evaluation group of DFG.</w:t>
      </w:r>
      <w:r w:rsidR="00F22F9C" w:rsidRPr="00F22F9C">
        <w:rPr>
          <w:szCs w:val="24"/>
          <w:lang w:val="en"/>
        </w:rPr>
        <w:t xml:space="preserve"> </w:t>
      </w:r>
    </w:p>
    <w:p w:rsidR="00164EE9" w:rsidRDefault="00164EE9" w:rsidP="0086380E">
      <w:pPr>
        <w:rPr>
          <w:szCs w:val="24"/>
          <w:lang w:val="en"/>
        </w:rPr>
      </w:pPr>
      <w:r>
        <w:rPr>
          <w:szCs w:val="24"/>
          <w:lang w:val="en"/>
        </w:rPr>
        <w:t>Our a</w:t>
      </w:r>
      <w:r w:rsidR="00DF701A">
        <w:rPr>
          <w:szCs w:val="24"/>
          <w:lang w:val="en"/>
        </w:rPr>
        <w:t xml:space="preserve">ims </w:t>
      </w:r>
      <w:r>
        <w:rPr>
          <w:szCs w:val="24"/>
          <w:lang w:val="en"/>
        </w:rPr>
        <w:t xml:space="preserve">for </w:t>
      </w:r>
      <w:r w:rsidR="00DF701A">
        <w:rPr>
          <w:szCs w:val="24"/>
          <w:lang w:val="en"/>
        </w:rPr>
        <w:t xml:space="preserve">this method development were </w:t>
      </w:r>
    </w:p>
    <w:p w:rsidR="00164EE9" w:rsidRDefault="00DF701A" w:rsidP="0086380E">
      <w:pPr>
        <w:rPr>
          <w:szCs w:val="24"/>
          <w:lang w:val="en"/>
        </w:rPr>
      </w:pPr>
      <w:r>
        <w:rPr>
          <w:szCs w:val="24"/>
          <w:lang w:val="en"/>
        </w:rPr>
        <w:t xml:space="preserve">a) set-up of an easy, reliable determination method for biomonitoring, </w:t>
      </w:r>
    </w:p>
    <w:p w:rsidR="00164EE9" w:rsidRDefault="00DF701A" w:rsidP="0086380E">
      <w:pPr>
        <w:rPr>
          <w:szCs w:val="24"/>
          <w:lang w:val="en"/>
        </w:rPr>
      </w:pPr>
      <w:r>
        <w:rPr>
          <w:szCs w:val="24"/>
          <w:lang w:val="en"/>
        </w:rPr>
        <w:t xml:space="preserve">b) with simple sample </w:t>
      </w:r>
      <w:r w:rsidRPr="004A5DCE">
        <w:rPr>
          <w:szCs w:val="24"/>
          <w:lang w:val="en"/>
        </w:rPr>
        <w:t xml:space="preserve">preparation </w:t>
      </w:r>
      <w:r w:rsidR="004A5DCE" w:rsidRPr="004A5DCE">
        <w:rPr>
          <w:szCs w:val="24"/>
          <w:lang w:val="en"/>
        </w:rPr>
        <w:t>revealing</w:t>
      </w:r>
      <w:r w:rsidRPr="004A5DCE">
        <w:rPr>
          <w:szCs w:val="24"/>
          <w:lang w:val="en"/>
        </w:rPr>
        <w:t xml:space="preserve"> low </w:t>
      </w:r>
      <w:r>
        <w:rPr>
          <w:szCs w:val="24"/>
          <w:lang w:val="en"/>
        </w:rPr>
        <w:t xml:space="preserve">risk for artifacts, </w:t>
      </w:r>
    </w:p>
    <w:p w:rsidR="00164EE9" w:rsidRDefault="004A5DCE" w:rsidP="0086380E">
      <w:pPr>
        <w:rPr>
          <w:szCs w:val="24"/>
          <w:lang w:val="en"/>
        </w:rPr>
      </w:pPr>
      <w:r>
        <w:rPr>
          <w:szCs w:val="24"/>
          <w:lang w:val="en"/>
        </w:rPr>
        <w:t>c) as possible</w:t>
      </w:r>
      <w:r w:rsidR="00DF701A">
        <w:rPr>
          <w:szCs w:val="24"/>
          <w:lang w:val="en"/>
        </w:rPr>
        <w:t xml:space="preserve"> low cost</w:t>
      </w:r>
      <w:r w:rsidR="00164EE9">
        <w:rPr>
          <w:szCs w:val="24"/>
          <w:lang w:val="en"/>
        </w:rPr>
        <w:t>s</w:t>
      </w:r>
      <w:r w:rsidR="00DF701A">
        <w:rPr>
          <w:szCs w:val="24"/>
          <w:lang w:val="en"/>
        </w:rPr>
        <w:t xml:space="preserve">, including lower costs for element selective detection </w:t>
      </w:r>
    </w:p>
    <w:p w:rsidR="00164EE9" w:rsidRDefault="00DF701A" w:rsidP="0086380E">
      <w:pPr>
        <w:rPr>
          <w:szCs w:val="24"/>
          <w:lang w:val="en"/>
        </w:rPr>
      </w:pPr>
      <w:r>
        <w:rPr>
          <w:szCs w:val="24"/>
          <w:lang w:val="en"/>
        </w:rPr>
        <w:t xml:space="preserve">d) </w:t>
      </w:r>
      <w:r w:rsidR="004A5DCE">
        <w:rPr>
          <w:szCs w:val="24"/>
          <w:lang w:val="en"/>
        </w:rPr>
        <w:t>short</w:t>
      </w:r>
      <w:r>
        <w:rPr>
          <w:szCs w:val="24"/>
          <w:lang w:val="en"/>
        </w:rPr>
        <w:t xml:space="preserve"> total analysis time including </w:t>
      </w:r>
      <w:r w:rsidR="00164EE9">
        <w:rPr>
          <w:szCs w:val="24"/>
          <w:lang w:val="en"/>
        </w:rPr>
        <w:t xml:space="preserve">quick </w:t>
      </w:r>
      <w:r>
        <w:rPr>
          <w:szCs w:val="24"/>
          <w:lang w:val="en"/>
        </w:rPr>
        <w:t xml:space="preserve">sample preparation and analysis, </w:t>
      </w:r>
    </w:p>
    <w:p w:rsidR="00DF701A" w:rsidRDefault="00164EE9" w:rsidP="0086380E">
      <w:pPr>
        <w:rPr>
          <w:szCs w:val="24"/>
          <w:lang w:val="en"/>
        </w:rPr>
      </w:pPr>
      <w:r>
        <w:rPr>
          <w:szCs w:val="24"/>
          <w:lang w:val="en"/>
        </w:rPr>
        <w:t xml:space="preserve">e) </w:t>
      </w:r>
      <w:r w:rsidR="004A5DCE">
        <w:rPr>
          <w:szCs w:val="24"/>
          <w:lang w:val="en"/>
        </w:rPr>
        <w:t>suitability</w:t>
      </w:r>
      <w:r w:rsidR="00DF701A">
        <w:rPr>
          <w:szCs w:val="24"/>
          <w:lang w:val="en"/>
        </w:rPr>
        <w:t xml:space="preserve"> for occupational health laboratories.</w:t>
      </w:r>
    </w:p>
    <w:p w:rsidR="00164EE9" w:rsidRDefault="00164EE9" w:rsidP="0086380E">
      <w:pPr>
        <w:rPr>
          <w:szCs w:val="24"/>
          <w:lang w:val="en"/>
        </w:rPr>
      </w:pPr>
    </w:p>
    <w:p w:rsidR="00DF701A" w:rsidRPr="0086380E" w:rsidRDefault="00DF701A" w:rsidP="0086380E">
      <w:pPr>
        <w:rPr>
          <w:szCs w:val="24"/>
          <w:lang w:val="en-US"/>
        </w:rPr>
      </w:pPr>
      <w:r>
        <w:rPr>
          <w:szCs w:val="24"/>
          <w:lang w:val="en"/>
        </w:rPr>
        <w:lastRenderedPageBreak/>
        <w:t xml:space="preserve">Based on these targets we chose </w:t>
      </w:r>
      <w:r w:rsidR="00BA61ED">
        <w:rPr>
          <w:szCs w:val="24"/>
          <w:lang w:val="en"/>
        </w:rPr>
        <w:t xml:space="preserve">the following strategy: For sample preparation only </w:t>
      </w:r>
      <w:r>
        <w:rPr>
          <w:szCs w:val="24"/>
          <w:lang w:val="en"/>
        </w:rPr>
        <w:t xml:space="preserve">a simple dilution step of urine samples </w:t>
      </w:r>
      <w:r w:rsidR="00BA61ED">
        <w:rPr>
          <w:szCs w:val="24"/>
          <w:lang w:val="en"/>
        </w:rPr>
        <w:t>was perfo</w:t>
      </w:r>
      <w:r w:rsidR="00E03629">
        <w:rPr>
          <w:szCs w:val="24"/>
          <w:lang w:val="en"/>
        </w:rPr>
        <w:t>r</w:t>
      </w:r>
      <w:r w:rsidR="00BA61ED">
        <w:rPr>
          <w:szCs w:val="24"/>
          <w:lang w:val="en"/>
        </w:rPr>
        <w:t xml:space="preserve">med </w:t>
      </w:r>
      <w:r>
        <w:rPr>
          <w:szCs w:val="24"/>
          <w:lang w:val="en"/>
        </w:rPr>
        <w:t>(simple, fast)</w:t>
      </w:r>
      <w:r w:rsidR="00BA61ED">
        <w:rPr>
          <w:szCs w:val="24"/>
          <w:lang w:val="en"/>
        </w:rPr>
        <w:t>. The</w:t>
      </w:r>
      <w:r>
        <w:rPr>
          <w:szCs w:val="24"/>
          <w:lang w:val="en"/>
        </w:rPr>
        <w:t xml:space="preserve"> </w:t>
      </w:r>
      <w:r w:rsidR="00BA61ED">
        <w:rPr>
          <w:szCs w:val="24"/>
          <w:lang w:val="en"/>
        </w:rPr>
        <w:t>dilution</w:t>
      </w:r>
      <w:r>
        <w:rPr>
          <w:szCs w:val="24"/>
          <w:lang w:val="en"/>
        </w:rPr>
        <w:t xml:space="preserve"> ratio </w:t>
      </w:r>
      <w:r w:rsidR="00BA61ED">
        <w:rPr>
          <w:szCs w:val="24"/>
          <w:lang w:val="en"/>
        </w:rPr>
        <w:t xml:space="preserve">was </w:t>
      </w:r>
      <w:r w:rsidR="00164EE9">
        <w:rPr>
          <w:szCs w:val="24"/>
          <w:lang w:val="en"/>
        </w:rPr>
        <w:t xml:space="preserve">1:20 which provided </w:t>
      </w:r>
      <w:r>
        <w:rPr>
          <w:szCs w:val="24"/>
          <w:lang w:val="en"/>
        </w:rPr>
        <w:t xml:space="preserve">sufficient dilution </w:t>
      </w:r>
      <w:r w:rsidR="004A5DCE">
        <w:rPr>
          <w:szCs w:val="24"/>
          <w:lang w:val="en"/>
        </w:rPr>
        <w:t>for reduced</w:t>
      </w:r>
      <w:r>
        <w:rPr>
          <w:szCs w:val="24"/>
          <w:lang w:val="en"/>
        </w:rPr>
        <w:t xml:space="preserve"> matrix interference but keeping the relevant boron concentration s</w:t>
      </w:r>
      <w:r w:rsidR="00164EE9">
        <w:rPr>
          <w:szCs w:val="24"/>
          <w:lang w:val="en"/>
        </w:rPr>
        <w:t>till far above detection limits</w:t>
      </w:r>
      <w:r w:rsidR="00BA61ED">
        <w:rPr>
          <w:szCs w:val="24"/>
          <w:lang w:val="en"/>
        </w:rPr>
        <w:t xml:space="preserve">. For </w:t>
      </w:r>
      <w:r w:rsidR="004A5DCE">
        <w:rPr>
          <w:szCs w:val="24"/>
          <w:lang w:val="en"/>
        </w:rPr>
        <w:t xml:space="preserve">element </w:t>
      </w:r>
      <w:r w:rsidR="00BA61ED">
        <w:rPr>
          <w:szCs w:val="24"/>
          <w:lang w:val="en"/>
        </w:rPr>
        <w:t>detection an</w:t>
      </w:r>
      <w:r>
        <w:rPr>
          <w:szCs w:val="24"/>
          <w:lang w:val="en"/>
        </w:rPr>
        <w:t xml:space="preserve"> ICP-OES </w:t>
      </w:r>
      <w:r w:rsidR="00BA61ED">
        <w:rPr>
          <w:szCs w:val="24"/>
          <w:lang w:val="en"/>
        </w:rPr>
        <w:t xml:space="preserve">was employed: The </w:t>
      </w:r>
      <w:r>
        <w:rPr>
          <w:szCs w:val="24"/>
          <w:lang w:val="en"/>
        </w:rPr>
        <w:t xml:space="preserve">element lines </w:t>
      </w:r>
      <w:r w:rsidR="00BA61ED">
        <w:rPr>
          <w:szCs w:val="24"/>
          <w:lang w:val="en"/>
        </w:rPr>
        <w:t xml:space="preserve">are </w:t>
      </w:r>
      <w:r>
        <w:rPr>
          <w:szCs w:val="24"/>
          <w:lang w:val="en"/>
        </w:rPr>
        <w:t xml:space="preserve">not interfered, instrumentation </w:t>
      </w:r>
      <w:r w:rsidR="00BA61ED">
        <w:rPr>
          <w:szCs w:val="24"/>
          <w:lang w:val="en"/>
        </w:rPr>
        <w:t xml:space="preserve">is </w:t>
      </w:r>
      <w:r>
        <w:rPr>
          <w:szCs w:val="24"/>
          <w:lang w:val="en"/>
        </w:rPr>
        <w:t>cheaper than ICP-MS at purchase and during operation</w:t>
      </w:r>
      <w:r w:rsidR="00164EE9">
        <w:rPr>
          <w:szCs w:val="24"/>
          <w:lang w:val="en"/>
        </w:rPr>
        <w:t xml:space="preserve"> and the concentration</w:t>
      </w:r>
      <w:r w:rsidR="00BA61ED">
        <w:rPr>
          <w:szCs w:val="24"/>
          <w:lang w:val="en"/>
        </w:rPr>
        <w:t xml:space="preserve"> of diluted urine </w:t>
      </w:r>
      <w:r w:rsidR="004A5DCE">
        <w:rPr>
          <w:szCs w:val="24"/>
          <w:lang w:val="en"/>
        </w:rPr>
        <w:t>even from</w:t>
      </w:r>
      <w:r w:rsidR="00BA61ED">
        <w:rPr>
          <w:szCs w:val="24"/>
          <w:lang w:val="en"/>
        </w:rPr>
        <w:t xml:space="preserve"> </w:t>
      </w:r>
      <w:r w:rsidR="00164EE9">
        <w:rPr>
          <w:szCs w:val="24"/>
          <w:lang w:val="en"/>
        </w:rPr>
        <w:t>non-</w:t>
      </w:r>
      <w:r w:rsidR="00BA61ED">
        <w:rPr>
          <w:szCs w:val="24"/>
          <w:lang w:val="en"/>
        </w:rPr>
        <w:t xml:space="preserve"> exposed</w:t>
      </w:r>
      <w:r w:rsidR="00164EE9">
        <w:rPr>
          <w:szCs w:val="24"/>
          <w:lang w:val="en"/>
        </w:rPr>
        <w:t xml:space="preserve"> sample donors</w:t>
      </w:r>
      <w:r w:rsidR="00BA61ED">
        <w:rPr>
          <w:szCs w:val="24"/>
          <w:lang w:val="en"/>
        </w:rPr>
        <w:t xml:space="preserve"> </w:t>
      </w:r>
      <w:r w:rsidR="004A5DCE">
        <w:rPr>
          <w:szCs w:val="24"/>
          <w:lang w:val="en"/>
        </w:rPr>
        <w:t>is</w:t>
      </w:r>
      <w:r w:rsidR="00BA61ED">
        <w:rPr>
          <w:szCs w:val="24"/>
          <w:lang w:val="en"/>
        </w:rPr>
        <w:t xml:space="preserve"> typically </w:t>
      </w:r>
      <w:r w:rsidR="00164EE9">
        <w:rPr>
          <w:szCs w:val="24"/>
          <w:lang w:val="en"/>
        </w:rPr>
        <w:t>more than</w:t>
      </w:r>
      <w:r w:rsidR="00BA61ED">
        <w:rPr>
          <w:szCs w:val="24"/>
          <w:lang w:val="en"/>
        </w:rPr>
        <w:t xml:space="preserve"> 50-fold above LOD. Therefore, there is no need for even more sensitive </w:t>
      </w:r>
      <w:r w:rsidR="004A5DCE">
        <w:rPr>
          <w:szCs w:val="24"/>
          <w:lang w:val="en"/>
        </w:rPr>
        <w:t xml:space="preserve">but more expensive </w:t>
      </w:r>
      <w:r w:rsidR="00BA61ED">
        <w:rPr>
          <w:szCs w:val="24"/>
          <w:lang w:val="en"/>
        </w:rPr>
        <w:t>boron detectors such as ICP-MS.</w:t>
      </w:r>
      <w:r w:rsidR="004A5DCE">
        <w:rPr>
          <w:szCs w:val="24"/>
          <w:lang w:val="en"/>
        </w:rPr>
        <w:t xml:space="preserve"> However, for quality control </w:t>
      </w:r>
      <w:r w:rsidR="00F22F9C">
        <w:rPr>
          <w:szCs w:val="24"/>
          <w:lang w:val="en"/>
        </w:rPr>
        <w:t xml:space="preserve">and feasibility </w:t>
      </w:r>
      <w:r w:rsidR="004A5DCE">
        <w:rPr>
          <w:szCs w:val="24"/>
          <w:lang w:val="en"/>
        </w:rPr>
        <w:t xml:space="preserve">the developed method was finally compared also to measurements with </w:t>
      </w:r>
      <w:r w:rsidR="0053664B">
        <w:rPr>
          <w:szCs w:val="24"/>
          <w:lang w:val="en"/>
        </w:rPr>
        <w:t xml:space="preserve">quadrupole based </w:t>
      </w:r>
      <w:r w:rsidR="004A5DCE">
        <w:rPr>
          <w:szCs w:val="24"/>
          <w:lang w:val="en"/>
        </w:rPr>
        <w:t xml:space="preserve">ICP-qMS and </w:t>
      </w:r>
      <w:r w:rsidR="0053664B">
        <w:rPr>
          <w:szCs w:val="24"/>
          <w:lang w:val="en"/>
        </w:rPr>
        <w:t>ICP-sector</w:t>
      </w:r>
      <w:r w:rsidR="001235EB">
        <w:rPr>
          <w:szCs w:val="24"/>
          <w:lang w:val="en"/>
        </w:rPr>
        <w:t>-</w:t>
      </w:r>
      <w:r w:rsidR="0053664B">
        <w:rPr>
          <w:szCs w:val="24"/>
          <w:lang w:val="en"/>
        </w:rPr>
        <w:t>field mass spectrometry (</w:t>
      </w:r>
      <w:r w:rsidR="004A5DCE">
        <w:rPr>
          <w:szCs w:val="24"/>
          <w:lang w:val="en"/>
        </w:rPr>
        <w:t>ICP-sf-MS</w:t>
      </w:r>
      <w:r w:rsidR="0053664B">
        <w:rPr>
          <w:szCs w:val="24"/>
          <w:lang w:val="en"/>
        </w:rPr>
        <w:t>)</w:t>
      </w:r>
      <w:r w:rsidR="004A5DCE">
        <w:rPr>
          <w:szCs w:val="24"/>
          <w:lang w:val="en"/>
        </w:rPr>
        <w:t>.</w:t>
      </w:r>
    </w:p>
    <w:p w:rsidR="005957EB" w:rsidRDefault="005957EB" w:rsidP="0086380E">
      <w:pPr>
        <w:jc w:val="both"/>
        <w:rPr>
          <w:b/>
          <w:bCs/>
          <w:lang w:val="en-US"/>
        </w:rPr>
      </w:pPr>
    </w:p>
    <w:p w:rsidR="00B93692" w:rsidRDefault="001235EB" w:rsidP="00B93692">
      <w:pPr>
        <w:jc w:val="both"/>
        <w:rPr>
          <w:b/>
          <w:lang w:val="en"/>
        </w:rPr>
      </w:pPr>
      <w:r>
        <w:rPr>
          <w:b/>
          <w:lang w:val="en"/>
        </w:rPr>
        <w:t>Chemicals</w:t>
      </w:r>
      <w:r w:rsidR="00B93692">
        <w:rPr>
          <w:b/>
          <w:lang w:val="en"/>
        </w:rPr>
        <w:t xml:space="preserve"> and</w:t>
      </w:r>
      <w:r w:rsidR="00B93692" w:rsidRPr="00B93692">
        <w:rPr>
          <w:b/>
          <w:lang w:val="en"/>
        </w:rPr>
        <w:t xml:space="preserve"> </w:t>
      </w:r>
      <w:r w:rsidR="00B93692">
        <w:rPr>
          <w:b/>
          <w:lang w:val="en"/>
        </w:rPr>
        <w:t>Standards</w:t>
      </w:r>
    </w:p>
    <w:p w:rsidR="001235EB" w:rsidRDefault="001235EB" w:rsidP="00DB3803">
      <w:pPr>
        <w:jc w:val="both"/>
        <w:rPr>
          <w:b/>
          <w:lang w:val="en"/>
        </w:rPr>
      </w:pPr>
    </w:p>
    <w:p w:rsidR="005A3B35" w:rsidRDefault="006A1480" w:rsidP="006A1480">
      <w:pPr>
        <w:rPr>
          <w:szCs w:val="24"/>
          <w:lang w:val="en"/>
        </w:rPr>
      </w:pPr>
      <w:r w:rsidRPr="006A1480">
        <w:rPr>
          <w:szCs w:val="24"/>
          <w:lang w:val="en"/>
        </w:rPr>
        <w:t>It must be stressed that any contact of solutions, samples or standards with glass</w:t>
      </w:r>
      <w:r>
        <w:rPr>
          <w:szCs w:val="24"/>
          <w:lang w:val="en"/>
        </w:rPr>
        <w:t>ware</w:t>
      </w:r>
      <w:r w:rsidRPr="006A1480">
        <w:rPr>
          <w:szCs w:val="24"/>
          <w:lang w:val="en"/>
        </w:rPr>
        <w:t xml:space="preserve"> (boro-silicate) should be avoided for minimizing contamination. </w:t>
      </w:r>
      <w:r>
        <w:rPr>
          <w:szCs w:val="24"/>
          <w:lang w:val="en"/>
        </w:rPr>
        <w:t xml:space="preserve">Therefore, quartz, </w:t>
      </w:r>
      <w:r w:rsidRPr="006A1480">
        <w:rPr>
          <w:szCs w:val="24"/>
          <w:lang w:val="en"/>
        </w:rPr>
        <w:t>polyet</w:t>
      </w:r>
      <w:r>
        <w:rPr>
          <w:szCs w:val="24"/>
          <w:lang w:val="en"/>
        </w:rPr>
        <w:t>h</w:t>
      </w:r>
      <w:r w:rsidRPr="006A1480">
        <w:rPr>
          <w:szCs w:val="24"/>
          <w:lang w:val="en"/>
        </w:rPr>
        <w:t>ylen</w:t>
      </w:r>
      <w:r>
        <w:rPr>
          <w:szCs w:val="24"/>
          <w:lang w:val="en"/>
        </w:rPr>
        <w:t>e or T</w:t>
      </w:r>
      <w:r w:rsidRPr="006A1480">
        <w:rPr>
          <w:szCs w:val="24"/>
          <w:lang w:val="en"/>
        </w:rPr>
        <w:t xml:space="preserve">eflon was </w:t>
      </w:r>
      <w:r>
        <w:rPr>
          <w:szCs w:val="24"/>
          <w:lang w:val="en"/>
        </w:rPr>
        <w:t>employed throughout</w:t>
      </w:r>
      <w:r w:rsidRPr="006A1480">
        <w:rPr>
          <w:szCs w:val="24"/>
          <w:lang w:val="en"/>
        </w:rPr>
        <w:t xml:space="preserve">. </w:t>
      </w:r>
    </w:p>
    <w:p w:rsidR="005A3B35" w:rsidRPr="00B93692" w:rsidRDefault="00B93692" w:rsidP="00B93692">
      <w:pPr>
        <w:rPr>
          <w:szCs w:val="24"/>
          <w:lang w:val="en"/>
        </w:rPr>
      </w:pPr>
      <w:r>
        <w:rPr>
          <w:szCs w:val="24"/>
          <w:lang w:val="en"/>
        </w:rPr>
        <w:t>HNO</w:t>
      </w:r>
      <w:r w:rsidRPr="00B93692">
        <w:rPr>
          <w:szCs w:val="24"/>
          <w:vertAlign w:val="subscript"/>
          <w:lang w:val="en"/>
        </w:rPr>
        <w:t>3</w:t>
      </w:r>
      <w:r>
        <w:rPr>
          <w:szCs w:val="24"/>
          <w:lang w:val="en"/>
        </w:rPr>
        <w:t xml:space="preserve"> from Merck, Darmstadt, Germany, was subboiled distilled. Certified element standards for boron and rhodium were purchased from Perkin Elmer, Rodgau-Jügesheim, Germany. Argon</w:t>
      </w:r>
      <w:r w:rsidRPr="00B93692">
        <w:rPr>
          <w:szCs w:val="24"/>
          <w:vertAlign w:val="subscript"/>
          <w:lang w:val="en"/>
        </w:rPr>
        <w:t>liq</w:t>
      </w:r>
      <w:r>
        <w:rPr>
          <w:szCs w:val="24"/>
          <w:vertAlign w:val="subscript"/>
          <w:lang w:val="en"/>
        </w:rPr>
        <w:t xml:space="preserve"> </w:t>
      </w:r>
      <w:r w:rsidRPr="00B93692">
        <w:rPr>
          <w:szCs w:val="24"/>
          <w:lang w:val="en"/>
        </w:rPr>
        <w:t>was delivered from</w:t>
      </w:r>
      <w:r>
        <w:rPr>
          <w:szCs w:val="24"/>
          <w:lang w:val="en"/>
        </w:rPr>
        <w:t xml:space="preserve"> Air Liquide, </w:t>
      </w:r>
      <w:r w:rsidRPr="00B93692">
        <w:rPr>
          <w:szCs w:val="24"/>
          <w:lang w:val="en"/>
        </w:rPr>
        <w:t>Krefeld, G</w:t>
      </w:r>
      <w:r>
        <w:rPr>
          <w:szCs w:val="24"/>
          <w:lang w:val="en"/>
        </w:rPr>
        <w:t>ermany and vaporized in an evaporizer at the tank. Water (&gt; 18 MΩ) for dilutions and solute preparation was prepared from a Milli-Q system.</w:t>
      </w:r>
      <w:r w:rsidR="00A65F1B">
        <w:rPr>
          <w:szCs w:val="24"/>
          <w:lang w:val="en"/>
        </w:rPr>
        <w:t xml:space="preserve"> The certified reference material (</w:t>
      </w:r>
      <w:r w:rsidR="00A65F1B">
        <w:rPr>
          <w:szCs w:val="24"/>
          <w:lang w:val="en-US"/>
        </w:rPr>
        <w:t>CRM) “</w:t>
      </w:r>
      <w:r w:rsidR="00A65F1B" w:rsidRPr="000C2871">
        <w:rPr>
          <w:i/>
          <w:szCs w:val="24"/>
          <w:lang w:val="en-US"/>
        </w:rPr>
        <w:t>ERM CD-281</w:t>
      </w:r>
      <w:r w:rsidR="00A65F1B">
        <w:rPr>
          <w:i/>
          <w:szCs w:val="24"/>
          <w:lang w:val="en-US"/>
        </w:rPr>
        <w:t>”</w:t>
      </w:r>
      <w:r w:rsidR="00A65F1B">
        <w:rPr>
          <w:szCs w:val="24"/>
          <w:lang w:val="en-US"/>
        </w:rPr>
        <w:t xml:space="preserve"> was delivered from the Joint Research Centre, Institute for Reference Materials and Measurements (IRMM) of the European Union.</w:t>
      </w:r>
    </w:p>
    <w:p w:rsidR="005A3B35" w:rsidRPr="005A3B35" w:rsidRDefault="005A3B35" w:rsidP="00DB3803">
      <w:pPr>
        <w:jc w:val="both"/>
        <w:rPr>
          <w:lang w:val="en"/>
        </w:rPr>
      </w:pPr>
      <w:r>
        <w:rPr>
          <w:lang w:val="en"/>
        </w:rPr>
        <w:t>From the</w:t>
      </w:r>
      <w:r w:rsidRPr="005A3B35">
        <w:rPr>
          <w:lang w:val="en"/>
        </w:rPr>
        <w:t xml:space="preserve"> certified boron stock standard</w:t>
      </w:r>
      <w:r>
        <w:rPr>
          <w:lang w:val="en"/>
        </w:rPr>
        <w:t xml:space="preserve"> </w:t>
      </w:r>
      <w:r>
        <w:rPr>
          <w:lang w:val="en-GB"/>
        </w:rPr>
        <w:t xml:space="preserve">(PE # N9303760, Perkin Elmer, 1000 mg/L) </w:t>
      </w:r>
      <w:r>
        <w:rPr>
          <w:lang w:val="en"/>
        </w:rPr>
        <w:t>working concentrations were prepared for calibration</w:t>
      </w:r>
      <w:r w:rsidR="009C5509">
        <w:rPr>
          <w:lang w:val="en"/>
        </w:rPr>
        <w:t xml:space="preserve"> (0=blank, 10, 20, 50, 100, 250, 500, 1000, 2500</w:t>
      </w:r>
      <w:r>
        <w:rPr>
          <w:lang w:val="en"/>
        </w:rPr>
        <w:t>,</w:t>
      </w:r>
      <w:r w:rsidR="009C5509">
        <w:rPr>
          <w:lang w:val="en"/>
        </w:rPr>
        <w:t xml:space="preserve"> each µg/L),</w:t>
      </w:r>
      <w:r>
        <w:rPr>
          <w:lang w:val="en"/>
        </w:rPr>
        <w:t xml:space="preserve"> instrumental drift control </w:t>
      </w:r>
      <w:r w:rsidR="009C5509">
        <w:rPr>
          <w:lang w:val="en"/>
        </w:rPr>
        <w:t xml:space="preserve">(250 µg/L) </w:t>
      </w:r>
      <w:r>
        <w:rPr>
          <w:lang w:val="en"/>
        </w:rPr>
        <w:t>and for recovery experiments</w:t>
      </w:r>
      <w:r w:rsidRPr="005A3B35">
        <w:rPr>
          <w:lang w:val="en"/>
        </w:rPr>
        <w:t xml:space="preserve"> </w:t>
      </w:r>
      <w:r>
        <w:rPr>
          <w:lang w:val="en"/>
        </w:rPr>
        <w:t>by standard addition</w:t>
      </w:r>
      <w:r w:rsidR="009C5509">
        <w:rPr>
          <w:lang w:val="en"/>
        </w:rPr>
        <w:t xml:space="preserve"> (</w:t>
      </w:r>
      <w:r w:rsidR="00EB448F">
        <w:rPr>
          <w:lang w:val="en"/>
        </w:rPr>
        <w:t xml:space="preserve">stock concentrations: </w:t>
      </w:r>
      <w:r w:rsidR="009C5509">
        <w:rPr>
          <w:lang w:val="en"/>
        </w:rPr>
        <w:t>5000 or 15000 µg/L)</w:t>
      </w:r>
      <w:r>
        <w:rPr>
          <w:lang w:val="en"/>
        </w:rPr>
        <w:t xml:space="preserve">. </w:t>
      </w:r>
      <w:r w:rsidR="00EB448F">
        <w:rPr>
          <w:lang w:val="en"/>
        </w:rPr>
        <w:t>For ICP-MS measurements calibration concentrations were (µg/L): 0, 0.5, 1, 5, 10, 20.</w:t>
      </w:r>
    </w:p>
    <w:p w:rsidR="005A3B35" w:rsidRDefault="005A3B35" w:rsidP="00DB3803">
      <w:pPr>
        <w:jc w:val="both"/>
        <w:rPr>
          <w:b/>
          <w:lang w:val="en"/>
        </w:rPr>
      </w:pPr>
    </w:p>
    <w:p w:rsidR="004A5DCE" w:rsidRDefault="004A5DCE" w:rsidP="00DB3803">
      <w:pPr>
        <w:jc w:val="both"/>
        <w:rPr>
          <w:b/>
          <w:lang w:val="en"/>
        </w:rPr>
      </w:pPr>
      <w:r>
        <w:rPr>
          <w:b/>
          <w:lang w:val="en"/>
        </w:rPr>
        <w:t>S</w:t>
      </w:r>
      <w:r w:rsidR="00C905B4" w:rsidRPr="00C905B4">
        <w:rPr>
          <w:b/>
          <w:lang w:val="en"/>
        </w:rPr>
        <w:t>ample preparation</w:t>
      </w:r>
    </w:p>
    <w:p w:rsidR="00DA3053" w:rsidRDefault="004A5DCE" w:rsidP="00DA3053">
      <w:pPr>
        <w:jc w:val="both"/>
        <w:rPr>
          <w:lang w:val="en-GB"/>
        </w:rPr>
      </w:pPr>
      <w:r>
        <w:rPr>
          <w:lang w:val="en"/>
        </w:rPr>
        <w:t>Spot urine samples were collected</w:t>
      </w:r>
      <w:r w:rsidR="001235EB">
        <w:rPr>
          <w:lang w:val="en"/>
        </w:rPr>
        <w:t xml:space="preserve"> from volunteers and stored for</w:t>
      </w:r>
      <w:r>
        <w:rPr>
          <w:lang w:val="en"/>
        </w:rPr>
        <w:t xml:space="preserve"> a maximum of ten days in polyethylene tubes at 4</w:t>
      </w:r>
      <w:r w:rsidRPr="004A5DCE">
        <w:rPr>
          <w:vertAlign w:val="superscript"/>
          <w:lang w:val="en"/>
        </w:rPr>
        <w:t>o</w:t>
      </w:r>
      <w:r>
        <w:rPr>
          <w:lang w:val="en"/>
        </w:rPr>
        <w:t xml:space="preserve"> C. </w:t>
      </w:r>
      <w:r w:rsidR="001235EB">
        <w:rPr>
          <w:lang w:val="en"/>
        </w:rPr>
        <w:t>Before being processed the samples were vortexed. 500 µL aliquots were pipetted into quartz vessel and mixed with 9500 µL 5% nitric acid (1:20 acidic dilution). For serial precision ten parallel sample preparations were performed. For day-to-day pre</w:t>
      </w:r>
      <w:r w:rsidR="006A1480">
        <w:rPr>
          <w:lang w:val="en"/>
        </w:rPr>
        <w:t xml:space="preserve">cision a </w:t>
      </w:r>
      <w:r w:rsidR="006A1480">
        <w:rPr>
          <w:lang w:val="en"/>
        </w:rPr>
        <w:lastRenderedPageBreak/>
        <w:t>sample</w:t>
      </w:r>
      <w:r w:rsidR="005A3B35">
        <w:rPr>
          <w:lang w:val="en"/>
        </w:rPr>
        <w:t xml:space="preserve"> was prepared on each of</w:t>
      </w:r>
      <w:r w:rsidR="001235EB">
        <w:rPr>
          <w:lang w:val="en"/>
        </w:rPr>
        <w:t xml:space="preserve"> ten consecutive days.</w:t>
      </w:r>
      <w:r w:rsidR="005A3B35">
        <w:rPr>
          <w:lang w:val="en"/>
        </w:rPr>
        <w:t xml:space="preserve"> For recovery experiments</w:t>
      </w:r>
      <w:r w:rsidR="009C5509">
        <w:rPr>
          <w:lang w:val="en"/>
        </w:rPr>
        <w:t xml:space="preserve"> 100 µL of the previously prepared standard addition solutions (5000 or 15000 µg/L) were added to 500 µL sample and mixed with 9400 µL 5 % HNO</w:t>
      </w:r>
      <w:r w:rsidR="009C5509" w:rsidRPr="009C5509">
        <w:rPr>
          <w:vertAlign w:val="subscript"/>
          <w:lang w:val="en"/>
        </w:rPr>
        <w:t>3</w:t>
      </w:r>
      <w:r w:rsidR="009C5509">
        <w:rPr>
          <w:vertAlign w:val="subscript"/>
          <w:lang w:val="en"/>
        </w:rPr>
        <w:t xml:space="preserve"> </w:t>
      </w:r>
      <w:r w:rsidR="009C5509" w:rsidRPr="009C5509">
        <w:rPr>
          <w:lang w:val="en"/>
        </w:rPr>
        <w:t>resulting</w:t>
      </w:r>
      <w:r w:rsidR="009C5509">
        <w:rPr>
          <w:vertAlign w:val="subscript"/>
          <w:lang w:val="en"/>
        </w:rPr>
        <w:t xml:space="preserve"> </w:t>
      </w:r>
      <w:r w:rsidR="009C5509">
        <w:rPr>
          <w:lang w:val="en"/>
        </w:rPr>
        <w:t>in “+50” µg/L or “+ 150” µg/L additions in the 1:20 diluted urine.</w:t>
      </w:r>
      <w:r w:rsidR="00DA3053" w:rsidRPr="00DA3053">
        <w:rPr>
          <w:lang w:val="en-GB"/>
        </w:rPr>
        <w:t xml:space="preserve"> </w:t>
      </w:r>
      <w:r w:rsidR="00DA3053">
        <w:rPr>
          <w:lang w:val="en-GB"/>
        </w:rPr>
        <w:t>For comparing and validating ICP-OES measurements with ICP-MS techniques another urine sample (No. 2) was prepared</w:t>
      </w:r>
      <w:r w:rsidR="00F22F9C">
        <w:rPr>
          <w:lang w:val="en-GB"/>
        </w:rPr>
        <w:t xml:space="preserve"> </w:t>
      </w:r>
      <w:r w:rsidR="00DA3053">
        <w:rPr>
          <w:lang w:val="en-GB"/>
        </w:rPr>
        <w:t>as native, and with addition of 1000 or 2000 µg/L boron. For respective analysis samples were diluted 1/20 for ICP-OES or 1/1000 for ICP-MS determinations.</w:t>
      </w:r>
    </w:p>
    <w:p w:rsidR="001235EB" w:rsidRDefault="001235EB" w:rsidP="00DB3803">
      <w:pPr>
        <w:jc w:val="both"/>
        <w:rPr>
          <w:lang w:val="en"/>
        </w:rPr>
      </w:pPr>
    </w:p>
    <w:p w:rsidR="00DF701A" w:rsidRDefault="00DF701A" w:rsidP="00DB3803">
      <w:pPr>
        <w:jc w:val="both"/>
        <w:rPr>
          <w:b/>
          <w:bCs/>
          <w:lang w:val="en-US"/>
        </w:rPr>
      </w:pPr>
    </w:p>
    <w:p w:rsidR="00DB3803" w:rsidRPr="00DB3803" w:rsidRDefault="00AC2CA4" w:rsidP="00DB3803">
      <w:pPr>
        <w:jc w:val="both"/>
        <w:rPr>
          <w:b/>
          <w:bCs/>
          <w:lang w:val="en-US"/>
        </w:rPr>
      </w:pPr>
      <w:r w:rsidRPr="00DB3803">
        <w:rPr>
          <w:b/>
          <w:bCs/>
          <w:lang w:val="en-US"/>
        </w:rPr>
        <w:t xml:space="preserve">Sample analysis </w:t>
      </w:r>
      <w:r>
        <w:rPr>
          <w:b/>
          <w:bCs/>
          <w:lang w:val="en-US"/>
        </w:rPr>
        <w:t xml:space="preserve">by </w:t>
      </w:r>
      <w:r w:rsidR="00DB3803" w:rsidRPr="00DB3803">
        <w:rPr>
          <w:b/>
          <w:bCs/>
          <w:lang w:val="en-US"/>
        </w:rPr>
        <w:t xml:space="preserve">ICP-OES </w:t>
      </w:r>
    </w:p>
    <w:p w:rsidR="00DB3803" w:rsidRDefault="00DB3803" w:rsidP="00DB3803">
      <w:pPr>
        <w:jc w:val="both"/>
        <w:rPr>
          <w:lang w:val="en-GB"/>
        </w:rPr>
      </w:pPr>
      <w:r w:rsidRPr="00862191">
        <w:rPr>
          <w:lang w:val="en-GB"/>
        </w:rPr>
        <w:t xml:space="preserve">An ICP-AES „Spectro Ciros Vision“ system (SPECTRO Analytical Instruments GmbH &amp; Co. KG, Kleve, Germany) was used for </w:t>
      </w:r>
      <w:r w:rsidR="00AC2CA4">
        <w:rPr>
          <w:bCs/>
          <w:lang w:val="en-US"/>
        </w:rPr>
        <w:t>element</w:t>
      </w:r>
      <w:r>
        <w:rPr>
          <w:bCs/>
          <w:lang w:val="en-US"/>
        </w:rPr>
        <w:t xml:space="preserve"> </w:t>
      </w:r>
      <w:r w:rsidRPr="00862191">
        <w:rPr>
          <w:lang w:val="en-GB"/>
        </w:rPr>
        <w:t xml:space="preserve">determination in </w:t>
      </w:r>
      <w:r w:rsidR="00DA3053">
        <w:rPr>
          <w:lang w:val="en-GB"/>
        </w:rPr>
        <w:t>1:2</w:t>
      </w:r>
      <w:r w:rsidR="00A449D9">
        <w:rPr>
          <w:lang w:val="en-GB"/>
        </w:rPr>
        <w:t xml:space="preserve">0 diluted </w:t>
      </w:r>
      <w:r w:rsidRPr="00862191">
        <w:rPr>
          <w:lang w:val="en-GB"/>
        </w:rPr>
        <w:t xml:space="preserve">samples. Sample introduction was carried out using a peristaltic </w:t>
      </w:r>
      <w:r w:rsidR="00AC2CA4">
        <w:rPr>
          <w:lang w:val="en-GB"/>
        </w:rPr>
        <w:t xml:space="preserve">pump </w:t>
      </w:r>
      <w:r w:rsidR="00D7716E">
        <w:rPr>
          <w:lang w:val="en-GB"/>
        </w:rPr>
        <w:t>(flow rate</w:t>
      </w:r>
      <w:r w:rsidR="00283AB4">
        <w:rPr>
          <w:lang w:val="en-GB"/>
        </w:rPr>
        <w:t>:</w:t>
      </w:r>
      <w:r w:rsidR="00D7716E">
        <w:rPr>
          <w:lang w:val="en-GB"/>
        </w:rPr>
        <w:t xml:space="preserve"> 1 ml/min) </w:t>
      </w:r>
      <w:r w:rsidRPr="00862191">
        <w:rPr>
          <w:lang w:val="en-GB"/>
        </w:rPr>
        <w:t xml:space="preserve">connected to a Meinhard nebulizer with a cyclon spray chamber. </w:t>
      </w:r>
      <w:r w:rsidR="00D7716E">
        <w:rPr>
          <w:lang w:val="en-GB"/>
        </w:rPr>
        <w:t xml:space="preserve">The </w:t>
      </w:r>
      <w:r w:rsidR="00D7716E" w:rsidRPr="00D7716E">
        <w:rPr>
          <w:lang w:val="en-GB"/>
        </w:rPr>
        <w:t xml:space="preserve">inner diameter of the torch injector </w:t>
      </w:r>
      <w:r w:rsidR="00D7716E">
        <w:rPr>
          <w:lang w:val="en-GB"/>
        </w:rPr>
        <w:t xml:space="preserve">was 2.5 mm. </w:t>
      </w:r>
      <w:r w:rsidR="006B6589">
        <w:rPr>
          <w:lang w:val="en-GB"/>
        </w:rPr>
        <w:t xml:space="preserve">The RF power was set </w:t>
      </w:r>
      <w:r w:rsidR="00414E77">
        <w:rPr>
          <w:lang w:val="en-GB"/>
        </w:rPr>
        <w:t>to 1400 W, the plasma gas was 12</w:t>
      </w:r>
      <w:r w:rsidR="006B6589">
        <w:rPr>
          <w:lang w:val="en-GB"/>
        </w:rPr>
        <w:t xml:space="preserve"> L Ar /min, whereas the nebuliser gas was approximately 0.6 L Ar/min after daily optimization</w:t>
      </w:r>
      <w:r w:rsidR="00F22F9C">
        <w:rPr>
          <w:lang w:val="en-GB"/>
        </w:rPr>
        <w:t>.</w:t>
      </w:r>
      <w:r w:rsidR="006B6589" w:rsidRPr="00862191">
        <w:rPr>
          <w:lang w:val="en-GB"/>
        </w:rPr>
        <w:t xml:space="preserve"> </w:t>
      </w:r>
      <w:r w:rsidR="006B6589">
        <w:rPr>
          <w:lang w:val="en-GB"/>
        </w:rPr>
        <w:t>When starting optimization and check-out of possible interferences t</w:t>
      </w:r>
      <w:r w:rsidRPr="00862191">
        <w:rPr>
          <w:lang w:val="en-GB"/>
        </w:rPr>
        <w:t>he</w:t>
      </w:r>
      <w:r>
        <w:rPr>
          <w:lang w:val="en-GB"/>
        </w:rPr>
        <w:t xml:space="preserve"> measured spectral element line</w:t>
      </w:r>
      <w:r w:rsidR="006B6589">
        <w:rPr>
          <w:lang w:val="en-GB"/>
        </w:rPr>
        <w:t>s for boron were</w:t>
      </w:r>
      <w:r w:rsidR="00AC2CA4">
        <w:rPr>
          <w:lang w:val="en-GB"/>
        </w:rPr>
        <w:t xml:space="preserve"> </w:t>
      </w:r>
      <w:r w:rsidR="006B6589">
        <w:rPr>
          <w:lang w:val="en-GB"/>
        </w:rPr>
        <w:t>249.6677 nm</w:t>
      </w:r>
      <w:r w:rsidR="006B6589" w:rsidRPr="00862191">
        <w:rPr>
          <w:lang w:val="en-GB"/>
        </w:rPr>
        <w:t xml:space="preserve"> </w:t>
      </w:r>
      <w:r w:rsidR="006B6589">
        <w:rPr>
          <w:lang w:val="en-GB"/>
        </w:rPr>
        <w:t xml:space="preserve">and </w:t>
      </w:r>
      <w:r w:rsidR="001E20FF">
        <w:rPr>
          <w:lang w:val="en-GB"/>
        </w:rPr>
        <w:t>249.773</w:t>
      </w:r>
      <w:r w:rsidR="006B6589">
        <w:rPr>
          <w:lang w:val="en-GB"/>
        </w:rPr>
        <w:t xml:space="preserve"> nm. It turned out that </w:t>
      </w:r>
      <w:r w:rsidR="00DA3053">
        <w:rPr>
          <w:lang w:val="en-GB"/>
        </w:rPr>
        <w:t>the two</w:t>
      </w:r>
      <w:r w:rsidR="006B6589">
        <w:rPr>
          <w:lang w:val="en-GB"/>
        </w:rPr>
        <w:t xml:space="preserve"> element lines were not interfered: Both showed low blank levels</w:t>
      </w:r>
      <w:r w:rsidR="006B6589" w:rsidRPr="006B6589">
        <w:rPr>
          <w:lang w:val="en-GB"/>
        </w:rPr>
        <w:t xml:space="preserve"> </w:t>
      </w:r>
      <w:r w:rsidR="006B6589">
        <w:rPr>
          <w:lang w:val="en-GB"/>
        </w:rPr>
        <w:t xml:space="preserve">and </w:t>
      </w:r>
      <w:r w:rsidR="00AB3F02">
        <w:rPr>
          <w:lang w:val="en-GB"/>
        </w:rPr>
        <w:t>were not interfered</w:t>
      </w:r>
      <w:r w:rsidR="006B6589">
        <w:rPr>
          <w:lang w:val="en-GB"/>
        </w:rPr>
        <w:t xml:space="preserve"> when analysing standards or even 1/20 diluted urine, as shown in figure 1. Since the 249.773 nm line </w:t>
      </w:r>
      <w:r w:rsidR="00AB3F02">
        <w:rPr>
          <w:lang w:val="en-GB"/>
        </w:rPr>
        <w:t xml:space="preserve">revealed </w:t>
      </w:r>
      <w:r w:rsidR="006B6589">
        <w:rPr>
          <w:lang w:val="en-GB"/>
        </w:rPr>
        <w:t>approximately double intensity compared to the other line we chose this one for further analysis.</w:t>
      </w:r>
    </w:p>
    <w:p w:rsidR="00B93692" w:rsidRPr="00DA3053" w:rsidRDefault="00B93692" w:rsidP="007B2F40">
      <w:pPr>
        <w:jc w:val="both"/>
        <w:rPr>
          <w:b/>
          <w:bCs/>
          <w:noProof/>
          <w:lang w:val="en-US"/>
        </w:rPr>
      </w:pPr>
    </w:p>
    <w:p w:rsidR="00F22F9C" w:rsidRPr="006A5690" w:rsidRDefault="007B2F40" w:rsidP="00467106">
      <w:pPr>
        <w:jc w:val="both"/>
        <w:rPr>
          <w:b/>
          <w:bCs/>
          <w:noProof/>
        </w:rPr>
      </w:pPr>
      <w:r>
        <w:rPr>
          <w:b/>
          <w:bCs/>
          <w:noProof/>
        </w:rPr>
        <w:t>Figure 1</w:t>
      </w:r>
    </w:p>
    <w:p w:rsidR="00F22F9C" w:rsidRDefault="00F22F9C" w:rsidP="00467106">
      <w:pPr>
        <w:jc w:val="both"/>
        <w:rPr>
          <w:b/>
          <w:lang w:val="en-GB"/>
        </w:rPr>
      </w:pPr>
    </w:p>
    <w:p w:rsidR="0090306E" w:rsidRDefault="0090306E" w:rsidP="00467106">
      <w:pPr>
        <w:jc w:val="both"/>
        <w:rPr>
          <w:b/>
          <w:lang w:val="en-GB"/>
        </w:rPr>
      </w:pPr>
      <w:r w:rsidRPr="00775860">
        <w:rPr>
          <w:b/>
          <w:lang w:val="en-GB"/>
        </w:rPr>
        <w:t xml:space="preserve">Quality control </w:t>
      </w:r>
      <w:r w:rsidR="006B4C9B">
        <w:rPr>
          <w:b/>
          <w:lang w:val="en-GB"/>
        </w:rPr>
        <w:t>(QC)</w:t>
      </w:r>
    </w:p>
    <w:p w:rsidR="00B93692" w:rsidRPr="006B4C9B" w:rsidRDefault="00B93692" w:rsidP="00B93692">
      <w:pPr>
        <w:pStyle w:val="Listenabsatz"/>
        <w:numPr>
          <w:ilvl w:val="0"/>
          <w:numId w:val="1"/>
        </w:numPr>
        <w:jc w:val="both"/>
        <w:rPr>
          <w:b/>
          <w:lang w:val="en-GB"/>
        </w:rPr>
      </w:pPr>
      <w:r>
        <w:rPr>
          <w:b/>
          <w:lang w:val="en-GB"/>
        </w:rPr>
        <w:t>Recovery and measurement of certified reference material</w:t>
      </w:r>
    </w:p>
    <w:p w:rsidR="00B93692" w:rsidRDefault="00DA3053" w:rsidP="00B93692">
      <w:pPr>
        <w:jc w:val="both"/>
        <w:rPr>
          <w:lang w:val="en-GB"/>
        </w:rPr>
      </w:pPr>
      <w:r>
        <w:rPr>
          <w:lang w:val="en-GB"/>
        </w:rPr>
        <w:t xml:space="preserve">The ICP-OES </w:t>
      </w:r>
      <w:r w:rsidR="00B93692">
        <w:rPr>
          <w:lang w:val="en-GB"/>
        </w:rPr>
        <w:t>method had been validated previously by laboratory inter</w:t>
      </w:r>
      <w:r>
        <w:rPr>
          <w:lang w:val="en-GB"/>
        </w:rPr>
        <w:t>-</w:t>
      </w:r>
      <w:r w:rsidR="00B93692">
        <w:rPr>
          <w:lang w:val="en-GB"/>
        </w:rPr>
        <w:t xml:space="preserve">comparison studies. Routinely every ten measurements, three blank determinations and determination of a certified control standard (PE # N9303760, Perkin Elmer) was performed. Calculation of results was carried out on a computerized lab-data management system, relating the sample measurements to calibration curves, blank determinations, </w:t>
      </w:r>
      <w:r>
        <w:rPr>
          <w:lang w:val="en-GB"/>
        </w:rPr>
        <w:t xml:space="preserve">and </w:t>
      </w:r>
      <w:r w:rsidR="00B93692">
        <w:rPr>
          <w:lang w:val="en-GB"/>
        </w:rPr>
        <w:t xml:space="preserve">control standards. There were no urine reference materials </w:t>
      </w:r>
      <w:r w:rsidR="00D20812">
        <w:rPr>
          <w:lang w:val="en-GB"/>
        </w:rPr>
        <w:t xml:space="preserve">being certified for boron </w:t>
      </w:r>
      <w:r w:rsidR="00B93692">
        <w:rPr>
          <w:lang w:val="en-GB"/>
        </w:rPr>
        <w:t xml:space="preserve">found, therefore analysis was checked with the certified reference material </w:t>
      </w:r>
      <w:r w:rsidR="004249E5" w:rsidRPr="004249E5">
        <w:rPr>
          <w:i/>
          <w:lang w:val="en-GB"/>
        </w:rPr>
        <w:t>“</w:t>
      </w:r>
      <w:r w:rsidR="00B93692" w:rsidRPr="004249E5">
        <w:rPr>
          <w:i/>
          <w:lang w:val="en-GB"/>
        </w:rPr>
        <w:t>BCR-CD-281</w:t>
      </w:r>
      <w:r w:rsidR="004249E5" w:rsidRPr="004249E5">
        <w:rPr>
          <w:i/>
          <w:lang w:val="en-GB"/>
        </w:rPr>
        <w:t>”</w:t>
      </w:r>
      <w:r w:rsidR="00B93692">
        <w:rPr>
          <w:lang w:val="en-GB"/>
        </w:rPr>
        <w:t xml:space="preserve"> after digestion.</w:t>
      </w:r>
    </w:p>
    <w:p w:rsidR="00B93692" w:rsidRDefault="00B93692" w:rsidP="00B93692">
      <w:pPr>
        <w:jc w:val="both"/>
        <w:rPr>
          <w:lang w:val="en-GB"/>
        </w:rPr>
      </w:pPr>
    </w:p>
    <w:p w:rsidR="00AB3F02" w:rsidRPr="0090306E" w:rsidRDefault="00AB3F02" w:rsidP="0090306E">
      <w:pPr>
        <w:pStyle w:val="Listenabsatz"/>
        <w:numPr>
          <w:ilvl w:val="0"/>
          <w:numId w:val="1"/>
        </w:numPr>
        <w:jc w:val="both"/>
        <w:rPr>
          <w:b/>
          <w:bCs/>
          <w:lang w:val="en-US"/>
        </w:rPr>
      </w:pPr>
      <w:r w:rsidRPr="0090306E">
        <w:rPr>
          <w:b/>
          <w:bCs/>
          <w:lang w:val="en-US"/>
        </w:rPr>
        <w:lastRenderedPageBreak/>
        <w:t>Sample analysis by ICP-qMS and ICP-sf-MS</w:t>
      </w:r>
    </w:p>
    <w:p w:rsidR="00467106" w:rsidRPr="00467106" w:rsidRDefault="00467106" w:rsidP="00467106">
      <w:pPr>
        <w:jc w:val="both"/>
        <w:rPr>
          <w:lang w:val="en-GB"/>
        </w:rPr>
      </w:pPr>
      <w:r>
        <w:rPr>
          <w:lang w:val="en-GB"/>
        </w:rPr>
        <w:t>For quality control and additional information whether the method is also applicable for ICP-</w:t>
      </w:r>
      <w:r w:rsidR="00AB3F02">
        <w:rPr>
          <w:lang w:val="en-GB"/>
        </w:rPr>
        <w:t>q</w:t>
      </w:r>
      <w:r>
        <w:rPr>
          <w:lang w:val="en-GB"/>
        </w:rPr>
        <w:t>MS or ICP-sf-MS determination, both, a NexIon ICP-qMS system (Perkin Elmer, Rodgau-Jügesheim, Germany) and a</w:t>
      </w:r>
      <w:r w:rsidR="007F0B20">
        <w:rPr>
          <w:spacing w:val="-4"/>
          <w:lang w:val="en-GB"/>
        </w:rPr>
        <w:t xml:space="preserve">n ELEMENT </w:t>
      </w:r>
      <w:r w:rsidR="007F0B20" w:rsidRPr="007F0B20">
        <w:rPr>
          <w:i/>
          <w:spacing w:val="-4"/>
          <w:lang w:val="en-GB"/>
        </w:rPr>
        <w:t>II</w:t>
      </w:r>
      <w:r>
        <w:rPr>
          <w:spacing w:val="-4"/>
          <w:lang w:val="en-GB"/>
        </w:rPr>
        <w:t>, Thermo-Electron (Bremen, Germany) ICP-sf-MS instrument were a</w:t>
      </w:r>
      <w:r w:rsidR="00AB3F02">
        <w:rPr>
          <w:spacing w:val="-4"/>
          <w:lang w:val="en-GB"/>
        </w:rPr>
        <w:t>lso</w:t>
      </w:r>
      <w:r>
        <w:rPr>
          <w:spacing w:val="-4"/>
          <w:lang w:val="en-GB"/>
        </w:rPr>
        <w:t xml:space="preserve"> employed for</w:t>
      </w:r>
      <w:r w:rsidRPr="00DB3803">
        <w:rPr>
          <w:bCs/>
          <w:lang w:val="en-US"/>
        </w:rPr>
        <w:t xml:space="preserve"> </w:t>
      </w:r>
      <w:r>
        <w:rPr>
          <w:bCs/>
          <w:lang w:val="en-US"/>
        </w:rPr>
        <w:t xml:space="preserve">boron </w:t>
      </w:r>
      <w:r w:rsidRPr="00862191">
        <w:rPr>
          <w:lang w:val="en-GB"/>
        </w:rPr>
        <w:t>determination</w:t>
      </w:r>
      <w:r w:rsidR="00DA3053">
        <w:rPr>
          <w:lang w:val="en-GB"/>
        </w:rPr>
        <w:t>. H</w:t>
      </w:r>
      <w:r w:rsidR="00E05D73">
        <w:rPr>
          <w:lang w:val="en-GB"/>
        </w:rPr>
        <w:t>owever</w:t>
      </w:r>
      <w:r w:rsidR="00DA3053">
        <w:rPr>
          <w:lang w:val="en-GB"/>
        </w:rPr>
        <w:t>,</w:t>
      </w:r>
      <w:r w:rsidR="00E05D73">
        <w:rPr>
          <w:lang w:val="en-GB"/>
        </w:rPr>
        <w:t xml:space="preserve"> for applying a more suitable concentration range to these more </w:t>
      </w:r>
      <w:r w:rsidR="00DA3053">
        <w:rPr>
          <w:lang w:val="en-GB"/>
        </w:rPr>
        <w:t>sensitive instruments</w:t>
      </w:r>
      <w:r w:rsidR="00E05D73">
        <w:rPr>
          <w:lang w:val="en-GB"/>
        </w:rPr>
        <w:t xml:space="preserve"> 1:100</w:t>
      </w:r>
      <w:r w:rsidR="00B6472A">
        <w:rPr>
          <w:lang w:val="en-GB"/>
        </w:rPr>
        <w:t>0 diluted urine samples</w:t>
      </w:r>
      <w:r w:rsidR="00DA3053">
        <w:rPr>
          <w:lang w:val="en-GB"/>
        </w:rPr>
        <w:t xml:space="preserve"> were used</w:t>
      </w:r>
      <w:r>
        <w:rPr>
          <w:lang w:val="en-GB"/>
        </w:rPr>
        <w:t xml:space="preserve">. </w:t>
      </w:r>
      <w:r w:rsidRPr="005916C8">
        <w:rPr>
          <w:vertAlign w:val="superscript"/>
          <w:lang w:val="en-GB"/>
        </w:rPr>
        <w:t>103</w:t>
      </w:r>
      <w:r>
        <w:rPr>
          <w:lang w:val="en-GB"/>
        </w:rPr>
        <w:t>Rh was administered to each sample at a concentration of 1 µg/L as internal standard</w:t>
      </w:r>
      <w:r w:rsidR="00AB3F02">
        <w:rPr>
          <w:lang w:val="en-GB"/>
        </w:rPr>
        <w:t xml:space="preserve"> (IS)</w:t>
      </w:r>
      <w:r>
        <w:rPr>
          <w:lang w:val="en-GB"/>
        </w:rPr>
        <w:t xml:space="preserve">. </w:t>
      </w:r>
      <w:r w:rsidR="00F26A03">
        <w:rPr>
          <w:lang w:val="en-GB"/>
        </w:rPr>
        <w:t>Boron was determined at</w:t>
      </w:r>
      <w:r w:rsidR="00DA3053">
        <w:rPr>
          <w:lang w:val="en-GB"/>
        </w:rPr>
        <w:t xml:space="preserve"> </w:t>
      </w:r>
      <w:r w:rsidR="00DA3053" w:rsidRPr="00F26A03">
        <w:rPr>
          <w:vertAlign w:val="superscript"/>
          <w:lang w:val="en-GB"/>
        </w:rPr>
        <w:t>1</w:t>
      </w:r>
      <w:r w:rsidR="00DA3053">
        <w:rPr>
          <w:vertAlign w:val="superscript"/>
          <w:lang w:val="en-GB"/>
        </w:rPr>
        <w:t>0</w:t>
      </w:r>
      <w:r w:rsidR="00DA3053">
        <w:rPr>
          <w:lang w:val="en-GB"/>
        </w:rPr>
        <w:t>B and</w:t>
      </w:r>
      <w:r w:rsidR="00F26A03">
        <w:rPr>
          <w:lang w:val="en-GB"/>
        </w:rPr>
        <w:t xml:space="preserve"> </w:t>
      </w:r>
      <w:r w:rsidR="00F26A03" w:rsidRPr="00F26A03">
        <w:rPr>
          <w:vertAlign w:val="superscript"/>
          <w:lang w:val="en-GB"/>
        </w:rPr>
        <w:t>11</w:t>
      </w:r>
      <w:r w:rsidR="00F26A03">
        <w:rPr>
          <w:lang w:val="en-GB"/>
        </w:rPr>
        <w:t>B isotope</w:t>
      </w:r>
      <w:r w:rsidR="00DA3053">
        <w:rPr>
          <w:lang w:val="en-GB"/>
        </w:rPr>
        <w:t>s</w:t>
      </w:r>
      <w:r w:rsidR="00F26A03">
        <w:rPr>
          <w:lang w:val="en-GB"/>
        </w:rPr>
        <w:t xml:space="preserve">. </w:t>
      </w:r>
      <w:r>
        <w:rPr>
          <w:lang w:val="en-GB"/>
        </w:rPr>
        <w:t>For both instruments, s</w:t>
      </w:r>
      <w:r w:rsidRPr="00862191">
        <w:rPr>
          <w:lang w:val="en-GB"/>
        </w:rPr>
        <w:t xml:space="preserve">ample introduction was carried out using a peristaltic pump </w:t>
      </w:r>
      <w:r w:rsidR="00D7716E">
        <w:rPr>
          <w:lang w:val="en-GB"/>
        </w:rPr>
        <w:t xml:space="preserve">(flow rate at </w:t>
      </w:r>
      <w:r w:rsidR="00E15C52">
        <w:rPr>
          <w:lang w:val="en-GB"/>
        </w:rPr>
        <w:t>both instruments: 0.4 ml/min)</w:t>
      </w:r>
      <w:r w:rsidR="00D7716E">
        <w:rPr>
          <w:lang w:val="en-GB"/>
        </w:rPr>
        <w:t xml:space="preserve"> </w:t>
      </w:r>
      <w:r w:rsidRPr="00862191">
        <w:rPr>
          <w:lang w:val="en-GB"/>
        </w:rPr>
        <w:t xml:space="preserve">connected to a </w:t>
      </w:r>
      <w:r>
        <w:rPr>
          <w:lang w:val="en-GB"/>
        </w:rPr>
        <w:t>Seaspray</w:t>
      </w:r>
      <w:r w:rsidRPr="00862191">
        <w:rPr>
          <w:lang w:val="en-GB"/>
        </w:rPr>
        <w:t xml:space="preserve"> nebuliz</w:t>
      </w:r>
      <w:r w:rsidR="00DA3053">
        <w:rPr>
          <w:lang w:val="en-GB"/>
        </w:rPr>
        <w:t>er with a cyclon spray chamber</w:t>
      </w:r>
      <w:r w:rsidR="00D7716E">
        <w:rPr>
          <w:lang w:val="en-GB"/>
        </w:rPr>
        <w:t xml:space="preserve">. The </w:t>
      </w:r>
      <w:r w:rsidR="00D7716E" w:rsidRPr="00D7716E">
        <w:rPr>
          <w:lang w:val="en-GB"/>
        </w:rPr>
        <w:t>inner diameter of the torch injector</w:t>
      </w:r>
      <w:r w:rsidR="00D7716E">
        <w:rPr>
          <w:lang w:val="en-GB"/>
        </w:rPr>
        <w:t xml:space="preserve">s was 2.0 mm for the NexIon and 1.75 mm for the ELEMENT </w:t>
      </w:r>
      <w:r w:rsidR="00D7716E" w:rsidRPr="00D7716E">
        <w:rPr>
          <w:i/>
          <w:lang w:val="en-GB"/>
        </w:rPr>
        <w:t>II</w:t>
      </w:r>
      <w:r w:rsidR="00D7716E">
        <w:rPr>
          <w:lang w:val="en-GB"/>
        </w:rPr>
        <w:t>.</w:t>
      </w:r>
      <w:r w:rsidR="00DA3053">
        <w:rPr>
          <w:lang w:val="en-GB"/>
        </w:rPr>
        <w:t xml:space="preserve"> </w:t>
      </w:r>
      <w:r w:rsidR="00D7716E">
        <w:rPr>
          <w:lang w:val="en-GB"/>
        </w:rPr>
        <w:t>At both instruments the</w:t>
      </w:r>
      <w:r w:rsidR="00B6472A">
        <w:rPr>
          <w:lang w:val="en-GB"/>
        </w:rPr>
        <w:t xml:space="preserve"> RF power was set to 125</w:t>
      </w:r>
      <w:r>
        <w:rPr>
          <w:lang w:val="en-GB"/>
        </w:rPr>
        <w:t xml:space="preserve">0 W, plasma gas was 15 L Ar /min, whereas the nebuliser gas was approximately 0.92 L Ar/min (NexIon) or 0.84 L Ar/min (ELEMENT </w:t>
      </w:r>
      <w:r w:rsidRPr="007F0B20">
        <w:rPr>
          <w:i/>
          <w:lang w:val="en-GB"/>
        </w:rPr>
        <w:t>II</w:t>
      </w:r>
      <w:r>
        <w:rPr>
          <w:lang w:val="en-GB"/>
        </w:rPr>
        <w:t xml:space="preserve">) after daily optimization. </w:t>
      </w:r>
    </w:p>
    <w:p w:rsidR="00DB3803" w:rsidRPr="00DB3803" w:rsidRDefault="00DB3803" w:rsidP="00DB3803">
      <w:pPr>
        <w:jc w:val="both"/>
        <w:rPr>
          <w:b/>
          <w:bCs/>
          <w:lang w:val="en-GB"/>
        </w:rPr>
      </w:pPr>
    </w:p>
    <w:p w:rsidR="006B4C9B" w:rsidRDefault="006B4C9B" w:rsidP="00C6740E">
      <w:pPr>
        <w:jc w:val="both"/>
        <w:rPr>
          <w:lang w:val="en-GB"/>
        </w:rPr>
      </w:pPr>
    </w:p>
    <w:p w:rsidR="006B4C9B" w:rsidRPr="00BD0ECC" w:rsidRDefault="006B4C9B" w:rsidP="00C6740E">
      <w:pPr>
        <w:jc w:val="both"/>
        <w:rPr>
          <w:b/>
          <w:lang w:val="en-GB"/>
        </w:rPr>
      </w:pPr>
      <w:r w:rsidRPr="00BD0ECC">
        <w:rPr>
          <w:b/>
          <w:lang w:val="en-GB"/>
        </w:rPr>
        <w:t>Results:</w:t>
      </w:r>
    </w:p>
    <w:p w:rsidR="006B4C9B" w:rsidRPr="00BD0ECC" w:rsidRDefault="006B4C9B" w:rsidP="00C6740E">
      <w:pPr>
        <w:jc w:val="both"/>
        <w:rPr>
          <w:b/>
          <w:lang w:val="en-GB"/>
        </w:rPr>
      </w:pPr>
      <w:r w:rsidRPr="00BD0ECC">
        <w:rPr>
          <w:b/>
          <w:lang w:val="en-GB"/>
        </w:rPr>
        <w:t>Calibration:</w:t>
      </w:r>
    </w:p>
    <w:p w:rsidR="00D2281A" w:rsidRPr="006A5690" w:rsidRDefault="006B4C9B" w:rsidP="00DB3803">
      <w:pPr>
        <w:jc w:val="both"/>
        <w:rPr>
          <w:lang w:val="en-GB"/>
        </w:rPr>
      </w:pPr>
      <w:r>
        <w:rPr>
          <w:lang w:val="en-GB"/>
        </w:rPr>
        <w:t xml:space="preserve">Figure 2 shows the 9-point </w:t>
      </w:r>
      <w:r w:rsidR="00DA3053">
        <w:rPr>
          <w:lang w:val="en-GB"/>
        </w:rPr>
        <w:t xml:space="preserve">ICP-OES </w:t>
      </w:r>
      <w:r>
        <w:rPr>
          <w:lang w:val="en-GB"/>
        </w:rPr>
        <w:t>calibration curve which was checked for linearity up to 2500 µg/L</w:t>
      </w:r>
      <w:r w:rsidR="00BD0ECC">
        <w:rPr>
          <w:lang w:val="en-GB"/>
        </w:rPr>
        <w:t>, having r</w:t>
      </w:r>
      <w:r w:rsidR="00BD0ECC" w:rsidRPr="00BD0ECC">
        <w:rPr>
          <w:vertAlign w:val="superscript"/>
          <w:lang w:val="en-GB"/>
        </w:rPr>
        <w:t>2</w:t>
      </w:r>
      <w:r w:rsidR="00BD0ECC">
        <w:rPr>
          <w:lang w:val="en-GB"/>
        </w:rPr>
        <w:t>=0.9999</w:t>
      </w:r>
      <w:r w:rsidR="00034967">
        <w:rPr>
          <w:lang w:val="en-GB"/>
        </w:rPr>
        <w:t xml:space="preserve"> and a slope “b” of ca. 260 cps per µg/l.</w:t>
      </w:r>
      <w:r>
        <w:rPr>
          <w:lang w:val="en-GB"/>
        </w:rPr>
        <w:t xml:space="preserve"> T</w:t>
      </w:r>
      <w:r w:rsidR="00BD0ECC">
        <w:rPr>
          <w:lang w:val="en-GB"/>
        </w:rPr>
        <w:t>he concentration range between 8</w:t>
      </w:r>
      <w:r>
        <w:rPr>
          <w:lang w:val="en-GB"/>
        </w:rPr>
        <w:t>0 –</w:t>
      </w:r>
      <w:r w:rsidR="00BD0ECC">
        <w:rPr>
          <w:lang w:val="en-GB"/>
        </w:rPr>
        <w:t xml:space="preserve"> 13</w:t>
      </w:r>
      <w:r>
        <w:rPr>
          <w:lang w:val="en-GB"/>
        </w:rPr>
        <w:t xml:space="preserve">0 µg/L appeared to be </w:t>
      </w:r>
      <w:r w:rsidR="00034967">
        <w:rPr>
          <w:lang w:val="en-GB"/>
        </w:rPr>
        <w:t xml:space="preserve">specifically </w:t>
      </w:r>
      <w:r>
        <w:rPr>
          <w:lang w:val="en-GB"/>
        </w:rPr>
        <w:t>interesting as</w:t>
      </w:r>
      <w:r w:rsidR="00BD0ECC">
        <w:rPr>
          <w:lang w:val="en-GB"/>
        </w:rPr>
        <w:t xml:space="preserve"> in</w:t>
      </w:r>
      <w:r>
        <w:rPr>
          <w:lang w:val="en-GB"/>
        </w:rPr>
        <w:t xml:space="preserve"> </w:t>
      </w:r>
      <w:r w:rsidR="00BD0ECC">
        <w:rPr>
          <w:lang w:val="en-GB"/>
        </w:rPr>
        <w:t>preliminary investigations 1/20 diluted spot urine samples</w:t>
      </w:r>
      <w:r>
        <w:rPr>
          <w:lang w:val="en-GB"/>
        </w:rPr>
        <w:t xml:space="preserve"> </w:t>
      </w:r>
      <w:r w:rsidR="00BD0ECC">
        <w:rPr>
          <w:lang w:val="en-GB"/>
        </w:rPr>
        <w:t>from non-ex</w:t>
      </w:r>
      <w:r w:rsidR="00034967">
        <w:rPr>
          <w:lang w:val="en-GB"/>
        </w:rPr>
        <w:t>posed volunteers were found in this concentration range</w:t>
      </w:r>
      <w:r w:rsidR="00BD0ECC">
        <w:rPr>
          <w:lang w:val="en-GB"/>
        </w:rPr>
        <w:t>. The zoomed insert show</w:t>
      </w:r>
      <w:r w:rsidR="00034967">
        <w:rPr>
          <w:lang w:val="en-GB"/>
        </w:rPr>
        <w:t>s complete linearity also in this</w:t>
      </w:r>
      <w:r w:rsidR="00BD0ECC">
        <w:rPr>
          <w:lang w:val="en-GB"/>
        </w:rPr>
        <w:t xml:space="preserve"> lower part of calibration curve.</w:t>
      </w:r>
    </w:p>
    <w:p w:rsidR="00D2281A" w:rsidRPr="00DF701A" w:rsidRDefault="00D2281A" w:rsidP="00DB3803">
      <w:pPr>
        <w:jc w:val="both"/>
        <w:rPr>
          <w:b/>
          <w:bCs/>
          <w:noProof/>
          <w:lang w:val="en-US"/>
        </w:rPr>
      </w:pPr>
    </w:p>
    <w:p w:rsidR="00F22F9C" w:rsidRPr="005B0117" w:rsidRDefault="00F22F9C" w:rsidP="007A2466">
      <w:pPr>
        <w:keepNext/>
        <w:numPr>
          <w:ilvl w:val="1"/>
          <w:numId w:val="0"/>
        </w:numPr>
        <w:tabs>
          <w:tab w:val="num" w:pos="1021"/>
        </w:tabs>
        <w:spacing w:before="240" w:after="60" w:line="288" w:lineRule="auto"/>
        <w:ind w:left="1021" w:hanging="1021"/>
        <w:jc w:val="both"/>
        <w:outlineLvl w:val="1"/>
        <w:rPr>
          <w:rFonts w:ascii="Arial" w:hAnsi="Arial" w:cs="Arial"/>
          <w:b/>
          <w:bCs/>
          <w:iCs/>
          <w:noProof/>
          <w:szCs w:val="28"/>
          <w:lang w:val="en-US"/>
        </w:rPr>
      </w:pPr>
      <w:bookmarkStart w:id="1" w:name="_Toc487253534"/>
      <w:bookmarkStart w:id="2" w:name="_Toc490886660"/>
      <w:r w:rsidRPr="005B0117">
        <w:rPr>
          <w:rFonts w:ascii="Arial" w:hAnsi="Arial" w:cs="Arial"/>
          <w:b/>
          <w:bCs/>
          <w:iCs/>
          <w:noProof/>
          <w:szCs w:val="28"/>
          <w:lang w:val="en-US"/>
        </w:rPr>
        <w:t>Figure 2</w:t>
      </w:r>
    </w:p>
    <w:p w:rsidR="00F22F9C" w:rsidRPr="005B0117" w:rsidRDefault="00F22F9C" w:rsidP="007A2466">
      <w:pPr>
        <w:keepNext/>
        <w:numPr>
          <w:ilvl w:val="1"/>
          <w:numId w:val="0"/>
        </w:numPr>
        <w:tabs>
          <w:tab w:val="num" w:pos="1021"/>
        </w:tabs>
        <w:spacing w:before="240" w:after="60" w:line="288" w:lineRule="auto"/>
        <w:ind w:left="1021" w:hanging="1021"/>
        <w:jc w:val="both"/>
        <w:outlineLvl w:val="1"/>
        <w:rPr>
          <w:rFonts w:ascii="Arial" w:hAnsi="Arial" w:cs="Arial"/>
          <w:b/>
          <w:bCs/>
          <w:iCs/>
          <w:noProof/>
          <w:szCs w:val="28"/>
          <w:lang w:val="en-US"/>
        </w:rPr>
      </w:pPr>
    </w:p>
    <w:p w:rsidR="00333757" w:rsidRPr="000B6637" w:rsidRDefault="00333757" w:rsidP="00034967">
      <w:pPr>
        <w:jc w:val="both"/>
        <w:rPr>
          <w:b/>
          <w:lang w:val="en-US"/>
        </w:rPr>
      </w:pPr>
      <w:r w:rsidRPr="000B6637">
        <w:rPr>
          <w:b/>
          <w:lang w:val="en-US"/>
        </w:rPr>
        <w:t>Limit of detection</w:t>
      </w:r>
    </w:p>
    <w:p w:rsidR="00333757" w:rsidRDefault="00333757" w:rsidP="00333757">
      <w:pPr>
        <w:jc w:val="both"/>
        <w:rPr>
          <w:lang w:val="en-GB"/>
        </w:rPr>
      </w:pPr>
      <w:r w:rsidRPr="00333757">
        <w:rPr>
          <w:lang w:val="en-GB"/>
        </w:rPr>
        <w:t>The limit of detection (LOD) was determined as three times</w:t>
      </w:r>
      <w:r>
        <w:rPr>
          <w:lang w:val="en-GB"/>
        </w:rPr>
        <w:t xml:space="preserve"> t</w:t>
      </w:r>
      <w:r w:rsidR="005B0117">
        <w:rPr>
          <w:lang w:val="en-GB"/>
        </w:rPr>
        <w:t xml:space="preserve">he standard deviation of </w:t>
      </w:r>
      <w:r w:rsidRPr="00333757">
        <w:rPr>
          <w:lang w:val="en-GB"/>
        </w:rPr>
        <w:t>blank determinations</w:t>
      </w:r>
      <w:r w:rsidR="00DA3053">
        <w:rPr>
          <w:lang w:val="en-GB"/>
        </w:rPr>
        <w:t xml:space="preserve"> and was calculated at 53.</w:t>
      </w:r>
      <w:r>
        <w:rPr>
          <w:lang w:val="en-GB"/>
        </w:rPr>
        <w:t xml:space="preserve">4 µg B/l for undiluted, native urine. </w:t>
      </w:r>
      <w:r w:rsidR="00740680">
        <w:rPr>
          <w:lang w:val="en-GB"/>
        </w:rPr>
        <w:t>Urine from non-exposed perso</w:t>
      </w:r>
      <w:r w:rsidR="00C3033F">
        <w:rPr>
          <w:lang w:val="en-GB"/>
        </w:rPr>
        <w:t xml:space="preserve">ns is </w:t>
      </w:r>
      <w:r w:rsidR="00DA3053">
        <w:rPr>
          <w:lang w:val="en-GB"/>
        </w:rPr>
        <w:t>reported</w:t>
      </w:r>
      <w:r w:rsidR="00C3033F">
        <w:rPr>
          <w:lang w:val="en-GB"/>
        </w:rPr>
        <w:t xml:space="preserve"> to contain between 15</w:t>
      </w:r>
      <w:r w:rsidR="00740680">
        <w:rPr>
          <w:lang w:val="en-GB"/>
        </w:rPr>
        <w:t>00 -3000 µg/L</w:t>
      </w:r>
      <w:r w:rsidR="00C3033F">
        <w:rPr>
          <w:lang w:val="en-GB"/>
        </w:rPr>
        <w:t xml:space="preserve"> </w:t>
      </w:r>
      <w:r w:rsidR="00C3033F">
        <w:rPr>
          <w:lang w:val="en-GB"/>
        </w:rPr>
        <w:fldChar w:fldCharType="begin"/>
      </w:r>
      <w:r w:rsidR="00B717AE">
        <w:rPr>
          <w:lang w:val="en-GB"/>
        </w:rPr>
        <w:instrText xml:space="preserve"> ADDIN EN.CITE &lt;EndNote&gt;&lt;Cite&gt;&lt;Author&gt;Reuter&lt;/Author&gt;&lt;Year&gt;1996&lt;/Year&gt;&lt;RecNum&gt;301&lt;/RecNum&gt;&lt;DisplayText&gt;[4]&lt;/DisplayText&gt;&lt;record&gt;&lt;rec-number&gt;301&lt;/rec-number&gt;&lt;foreign-keys&gt;&lt;key app="EN" db-id="5f9txere4wxpxqeewaxpsedw09sdsxzffvr2" timestamp="1472484170"&gt;301&lt;/key&gt;&lt;/foreign-keys&gt;&lt;ref-type name="Journal Article"&gt;17&lt;/ref-type&gt;&lt;contributors&gt;&lt;authors&gt;&lt;author&gt;Reuter, U.&lt;/author&gt;&lt;author&gt;Rengel, I.&lt;/author&gt;&lt;author&gt;SterzlEckert, H.&lt;/author&gt;&lt;author&gt;Forderkunz, S.&lt;/author&gt;&lt;author&gt;Bartsch, R.&lt;/author&gt;&lt;author&gt;Greim, H.&lt;/author&gt;&lt;/authors&gt;&lt;/contributors&gt;&lt;auth-address&gt;Reuter, U&amp;#xD;Gsf Munich,Inst Toxicol,Commiss Invest Hlth Hazards Chem Cpds Work Area,Postfach 1129,D-85758 Munich,Germany&amp;#xD;Gsf Munich,Inst Toxicol,Commiss Invest Hlth Hazards Chem Cpds Work Area,Postfach 1129,D-85758 Munich,Germany&lt;/auth-address&gt;&lt;titles&gt;&lt;title&gt;Examples of MAK values and carcinogenicity classification for mixtures&lt;/title&gt;&lt;secondary-title&gt;Food and Chemical Toxicology&lt;/secondary-title&gt;&lt;alt-title&gt;Food Chem Toxicol&lt;/alt-title&gt;&lt;/titles&gt;&lt;periodical&gt;&lt;full-title&gt;Food and Chemical Toxicology&lt;/full-title&gt;&lt;abbr-1&gt;Food Chem Toxicol&lt;/abbr-1&gt;&lt;/periodical&gt;&lt;alt-periodical&gt;&lt;full-title&gt;Food and Chemical Toxicology&lt;/full-title&gt;&lt;abbr-1&gt;Food Chem Toxicol&lt;/abbr-1&gt;&lt;/alt-periodical&gt;&lt;pages&gt;1167-1168&lt;/pages&gt;&lt;volume&gt;34&lt;/volume&gt;&lt;number&gt;11-12&lt;/number&gt;&lt;dates&gt;&lt;year&gt;1996&lt;/year&gt;&lt;pub-dates&gt;&lt;date&gt;Nov-Dec&lt;/date&gt;&lt;/pub-dates&gt;&lt;/dates&gt;&lt;isbn&gt;0278-6915&lt;/isbn&gt;&lt;accession-num&gt;WOS:A1996WP01500024&lt;/accession-num&gt;&lt;urls&gt;&lt;related-urls&gt;&lt;url&gt;&amp;lt;Go to ISI&amp;gt;://WOS:A1996WP01500024&lt;/url&gt;&lt;/related-urls&gt;&lt;/urls&gt;&lt;electronic-resource-num&gt;Doi 10.1016/S0278-6915(97)00091-4&lt;/electronic-resource-num&gt;&lt;language&gt;English&lt;/language&gt;&lt;/record&gt;&lt;/Cite&gt;&lt;/EndNote&gt;</w:instrText>
      </w:r>
      <w:r w:rsidR="00C3033F">
        <w:rPr>
          <w:lang w:val="en-GB"/>
        </w:rPr>
        <w:fldChar w:fldCharType="separate"/>
      </w:r>
      <w:r w:rsidR="00B717AE">
        <w:rPr>
          <w:noProof/>
          <w:lang w:val="en-GB"/>
        </w:rPr>
        <w:t>[4]</w:t>
      </w:r>
      <w:r w:rsidR="00C3033F">
        <w:rPr>
          <w:lang w:val="en-GB"/>
        </w:rPr>
        <w:fldChar w:fldCharType="end"/>
      </w:r>
      <w:r w:rsidR="00C3033F">
        <w:rPr>
          <w:lang w:val="en-GB"/>
        </w:rPr>
        <w:t xml:space="preserve">, whereas values above 3000 µg/L are considered </w:t>
      </w:r>
      <w:r w:rsidR="002454D6">
        <w:rPr>
          <w:lang w:val="en-GB"/>
        </w:rPr>
        <w:t>to origin from exposed persons.</w:t>
      </w:r>
      <w:r w:rsidR="00C3033F">
        <w:rPr>
          <w:lang w:val="en-GB"/>
        </w:rPr>
        <w:t xml:space="preserve"> From these numbers we can deduce that the LOD of the developed method is about 28 fold lower than low, native boron concentration in urine and even ca. 56 fold below the limit value set for exposure, i.e. in any case by far sufficiently sensitive for the aimed task.</w:t>
      </w:r>
    </w:p>
    <w:p w:rsidR="00B03A0A" w:rsidRPr="00333757" w:rsidRDefault="00B03A0A" w:rsidP="00333757">
      <w:pPr>
        <w:jc w:val="both"/>
        <w:rPr>
          <w:lang w:val="en-GB"/>
        </w:rPr>
      </w:pPr>
      <w:r>
        <w:rPr>
          <w:lang w:val="en-GB"/>
        </w:rPr>
        <w:lastRenderedPageBreak/>
        <w:t xml:space="preserve">It is clear that ICP-MS systems provide even better LOD, reaching down </w:t>
      </w:r>
      <w:r w:rsidRPr="00D048D5">
        <w:rPr>
          <w:lang w:val="en-GB"/>
        </w:rPr>
        <w:t>to 10</w:t>
      </w:r>
      <w:r w:rsidR="00D048D5" w:rsidRPr="00D048D5">
        <w:rPr>
          <w:lang w:val="en-GB"/>
        </w:rPr>
        <w:t xml:space="preserve"> ng/L </w:t>
      </w:r>
      <w:r w:rsidR="00DA3053">
        <w:rPr>
          <w:lang w:val="en-GB"/>
        </w:rPr>
        <w:t xml:space="preserve">for ICP-qMS </w:t>
      </w:r>
      <w:r w:rsidR="00D048D5" w:rsidRPr="00D048D5">
        <w:rPr>
          <w:lang w:val="en-GB"/>
        </w:rPr>
        <w:t>or 4</w:t>
      </w:r>
      <w:r w:rsidRPr="00D048D5">
        <w:rPr>
          <w:lang w:val="en-GB"/>
        </w:rPr>
        <w:t xml:space="preserve"> </w:t>
      </w:r>
      <w:r>
        <w:rPr>
          <w:lang w:val="en-GB"/>
        </w:rPr>
        <w:t xml:space="preserve">ng/L </w:t>
      </w:r>
      <w:r w:rsidR="00DA3053">
        <w:rPr>
          <w:lang w:val="en-GB"/>
        </w:rPr>
        <w:t>for ICP-sf-MS, each</w:t>
      </w:r>
      <w:r>
        <w:rPr>
          <w:lang w:val="en-GB"/>
        </w:rPr>
        <w:t xml:space="preserve"> rel</w:t>
      </w:r>
      <w:r w:rsidR="00FE58B3">
        <w:rPr>
          <w:lang w:val="en-GB"/>
        </w:rPr>
        <w:t xml:space="preserve">ated to undiluted, native urine. </w:t>
      </w:r>
    </w:p>
    <w:p w:rsidR="00333757" w:rsidRPr="00333757" w:rsidRDefault="00333757" w:rsidP="00034967">
      <w:pPr>
        <w:jc w:val="both"/>
        <w:rPr>
          <w:lang w:val="en-US"/>
        </w:rPr>
      </w:pPr>
    </w:p>
    <w:p w:rsidR="00333757" w:rsidRPr="00333757" w:rsidRDefault="00333757" w:rsidP="00034967">
      <w:pPr>
        <w:jc w:val="both"/>
        <w:rPr>
          <w:b/>
          <w:lang w:val="en-US"/>
        </w:rPr>
      </w:pPr>
    </w:p>
    <w:p w:rsidR="007A2466" w:rsidRPr="00034967" w:rsidRDefault="00BD0ECC" w:rsidP="00034967">
      <w:pPr>
        <w:jc w:val="both"/>
        <w:rPr>
          <w:b/>
          <w:lang w:val="en-GB"/>
        </w:rPr>
      </w:pPr>
      <w:r w:rsidRPr="00034967">
        <w:rPr>
          <w:b/>
          <w:lang w:val="en-GB"/>
        </w:rPr>
        <w:t xml:space="preserve">Determination of precision </w:t>
      </w:r>
      <w:bookmarkEnd w:id="1"/>
      <w:bookmarkEnd w:id="2"/>
    </w:p>
    <w:p w:rsidR="00BD0ECC" w:rsidRPr="00034967" w:rsidRDefault="00BD0ECC" w:rsidP="003874F2">
      <w:pPr>
        <w:pStyle w:val="Listenabsatz"/>
        <w:numPr>
          <w:ilvl w:val="0"/>
          <w:numId w:val="4"/>
        </w:numPr>
        <w:jc w:val="both"/>
        <w:rPr>
          <w:b/>
          <w:lang w:val="en-GB"/>
        </w:rPr>
      </w:pPr>
      <w:r w:rsidRPr="00034967">
        <w:rPr>
          <w:b/>
          <w:lang w:val="en-GB"/>
        </w:rPr>
        <w:t>Serial precision</w:t>
      </w:r>
    </w:p>
    <w:p w:rsidR="00FF0269" w:rsidRPr="00034967" w:rsidRDefault="00BD0ECC" w:rsidP="00034967">
      <w:pPr>
        <w:jc w:val="both"/>
        <w:rPr>
          <w:lang w:val="en-GB"/>
        </w:rPr>
      </w:pPr>
      <w:r w:rsidRPr="00034967">
        <w:rPr>
          <w:lang w:val="en-GB"/>
        </w:rPr>
        <w:t>For serial precision three sets of samples (each n=10) were analyzed in consecutive analytical runs:</w:t>
      </w:r>
      <w:r w:rsidR="00FF0269" w:rsidRPr="00034967">
        <w:rPr>
          <w:lang w:val="en-GB"/>
        </w:rPr>
        <w:t xml:space="preserve"> a) </w:t>
      </w:r>
      <w:r w:rsidRPr="00034967">
        <w:rPr>
          <w:lang w:val="en-GB"/>
        </w:rPr>
        <w:t xml:space="preserve">ten </w:t>
      </w:r>
      <w:r w:rsidR="00034967">
        <w:rPr>
          <w:lang w:val="en-GB"/>
        </w:rPr>
        <w:t xml:space="preserve">1/20 </w:t>
      </w:r>
      <w:r w:rsidR="00FF0269" w:rsidRPr="00034967">
        <w:rPr>
          <w:lang w:val="en-GB"/>
        </w:rPr>
        <w:t>dilu</w:t>
      </w:r>
      <w:r w:rsidR="00610429">
        <w:rPr>
          <w:lang w:val="en-GB"/>
        </w:rPr>
        <w:t>t</w:t>
      </w:r>
      <w:r w:rsidR="00FF0269" w:rsidRPr="00034967">
        <w:rPr>
          <w:lang w:val="en-GB"/>
        </w:rPr>
        <w:t xml:space="preserve">ed </w:t>
      </w:r>
      <w:r w:rsidRPr="00034967">
        <w:rPr>
          <w:lang w:val="en-GB"/>
        </w:rPr>
        <w:t>urine samples</w:t>
      </w:r>
      <w:r w:rsidR="00610429">
        <w:rPr>
          <w:lang w:val="en-GB"/>
        </w:rPr>
        <w:t xml:space="preserve"> </w:t>
      </w:r>
      <w:r w:rsidR="00610429" w:rsidRPr="00610429">
        <w:rPr>
          <w:i/>
          <w:lang w:val="en-GB"/>
        </w:rPr>
        <w:t>“U1”</w:t>
      </w:r>
      <w:r w:rsidR="00FF0269" w:rsidRPr="00610429">
        <w:rPr>
          <w:lang w:val="en-GB"/>
        </w:rPr>
        <w:t>,</w:t>
      </w:r>
      <w:r w:rsidR="00FF0269" w:rsidRPr="00034967">
        <w:rPr>
          <w:lang w:val="en-GB"/>
        </w:rPr>
        <w:t xml:space="preserve"> b) ten </w:t>
      </w:r>
      <w:r w:rsidR="00034967">
        <w:rPr>
          <w:lang w:val="en-GB"/>
        </w:rPr>
        <w:t>1/20 diluted ur</w:t>
      </w:r>
      <w:r w:rsidR="00FF0269" w:rsidRPr="00034967">
        <w:rPr>
          <w:lang w:val="en-GB"/>
        </w:rPr>
        <w:t xml:space="preserve">ine samples </w:t>
      </w:r>
      <w:r w:rsidR="00610429" w:rsidRPr="00610429">
        <w:rPr>
          <w:i/>
          <w:lang w:val="en-GB"/>
        </w:rPr>
        <w:t>U1</w:t>
      </w:r>
      <w:r w:rsidR="00610429">
        <w:rPr>
          <w:lang w:val="en-GB"/>
        </w:rPr>
        <w:t xml:space="preserve"> </w:t>
      </w:r>
      <w:r w:rsidR="00FF0269" w:rsidRPr="00034967">
        <w:rPr>
          <w:lang w:val="en-GB"/>
        </w:rPr>
        <w:t>wit</w:t>
      </w:r>
      <w:r w:rsidR="00740680">
        <w:rPr>
          <w:lang w:val="en-GB"/>
        </w:rPr>
        <w:t>h 50 µg/L boron addition and c)</w:t>
      </w:r>
      <w:r w:rsidRPr="00034967">
        <w:rPr>
          <w:lang w:val="en-GB"/>
        </w:rPr>
        <w:t xml:space="preserve"> </w:t>
      </w:r>
      <w:r w:rsidR="00FF0269" w:rsidRPr="00034967">
        <w:rPr>
          <w:lang w:val="en-GB"/>
        </w:rPr>
        <w:t xml:space="preserve">ten </w:t>
      </w:r>
      <w:r w:rsidR="00034967">
        <w:rPr>
          <w:lang w:val="en-GB"/>
        </w:rPr>
        <w:t>1/20 diluted ur</w:t>
      </w:r>
      <w:r w:rsidR="00FF0269" w:rsidRPr="00034967">
        <w:rPr>
          <w:lang w:val="en-GB"/>
        </w:rPr>
        <w:t xml:space="preserve">ine samples </w:t>
      </w:r>
      <w:r w:rsidR="00610429" w:rsidRPr="00610429">
        <w:rPr>
          <w:i/>
          <w:lang w:val="en-GB"/>
        </w:rPr>
        <w:t>U1</w:t>
      </w:r>
      <w:r w:rsidR="00610429">
        <w:rPr>
          <w:lang w:val="en-GB"/>
        </w:rPr>
        <w:t xml:space="preserve"> </w:t>
      </w:r>
      <w:r w:rsidR="00FF0269" w:rsidRPr="00034967">
        <w:rPr>
          <w:lang w:val="en-GB"/>
        </w:rPr>
        <w:t xml:space="preserve">with 150 µg/L boron addition. </w:t>
      </w:r>
    </w:p>
    <w:p w:rsidR="007A2466" w:rsidRPr="00034967" w:rsidRDefault="00FF0269" w:rsidP="00034967">
      <w:pPr>
        <w:jc w:val="both"/>
        <w:rPr>
          <w:lang w:val="en-GB"/>
        </w:rPr>
      </w:pPr>
      <w:r w:rsidRPr="00034967">
        <w:rPr>
          <w:lang w:val="en-GB"/>
        </w:rPr>
        <w:t>Table 1 shows measured concentration</w:t>
      </w:r>
      <w:r w:rsidR="00DA3053">
        <w:rPr>
          <w:lang w:val="en-GB"/>
        </w:rPr>
        <w:t>s</w:t>
      </w:r>
      <w:r w:rsidRPr="00034967">
        <w:rPr>
          <w:lang w:val="en-GB"/>
        </w:rPr>
        <w:t>, standard deviation</w:t>
      </w:r>
      <w:r w:rsidR="00DA3053">
        <w:rPr>
          <w:lang w:val="en-GB"/>
        </w:rPr>
        <w:t>s</w:t>
      </w:r>
      <w:r w:rsidRPr="00034967">
        <w:rPr>
          <w:lang w:val="en-GB"/>
        </w:rPr>
        <w:t xml:space="preserve"> and </w:t>
      </w:r>
      <w:r w:rsidR="00DA3053">
        <w:rPr>
          <w:szCs w:val="24"/>
          <w:lang w:val="en-US"/>
        </w:rPr>
        <w:t>recoveries</w:t>
      </w:r>
      <w:r w:rsidR="00C04808">
        <w:rPr>
          <w:szCs w:val="24"/>
          <w:lang w:val="en-US"/>
        </w:rPr>
        <w:t xml:space="preserve"> of doped concentrations</w:t>
      </w:r>
      <w:r w:rsidR="002454D6">
        <w:rPr>
          <w:lang w:val="en-GB"/>
        </w:rPr>
        <w:t>.</w:t>
      </w:r>
    </w:p>
    <w:p w:rsidR="00FF0269" w:rsidRDefault="00FF0269" w:rsidP="003874F2">
      <w:pPr>
        <w:jc w:val="both"/>
        <w:rPr>
          <w:rFonts w:ascii="Arial" w:hAnsi="Arial"/>
          <w:szCs w:val="24"/>
          <w:lang w:val="en-US"/>
        </w:rPr>
      </w:pPr>
    </w:p>
    <w:p w:rsidR="00F22F9C" w:rsidRPr="00F22F9C" w:rsidRDefault="00F22F9C" w:rsidP="003874F2">
      <w:pPr>
        <w:jc w:val="both"/>
        <w:rPr>
          <w:rFonts w:ascii="Arial" w:hAnsi="Arial"/>
          <w:b/>
          <w:szCs w:val="24"/>
          <w:lang w:val="en-US"/>
        </w:rPr>
      </w:pPr>
      <w:r w:rsidRPr="00F22F9C">
        <w:rPr>
          <w:rFonts w:ascii="Arial" w:hAnsi="Arial"/>
          <w:b/>
          <w:szCs w:val="24"/>
          <w:lang w:val="en-US"/>
        </w:rPr>
        <w:t>Table 1</w:t>
      </w:r>
    </w:p>
    <w:p w:rsidR="00F22F9C" w:rsidRPr="009F2F87" w:rsidRDefault="00F22F9C" w:rsidP="003874F2">
      <w:pPr>
        <w:jc w:val="both"/>
        <w:rPr>
          <w:rFonts w:ascii="Arial" w:hAnsi="Arial"/>
          <w:szCs w:val="24"/>
          <w:lang w:val="en-US"/>
        </w:rPr>
      </w:pPr>
    </w:p>
    <w:p w:rsidR="0037777E" w:rsidRPr="0037777E" w:rsidRDefault="00387F7E" w:rsidP="007A2466">
      <w:pPr>
        <w:jc w:val="both"/>
        <w:rPr>
          <w:lang w:val="en-GB"/>
        </w:rPr>
      </w:pPr>
      <w:r>
        <w:rPr>
          <w:lang w:val="en-US"/>
        </w:rPr>
        <w:t xml:space="preserve">Serial precision was considered </w:t>
      </w:r>
      <w:r w:rsidR="00E1209D">
        <w:rPr>
          <w:lang w:val="en-US"/>
        </w:rPr>
        <w:t xml:space="preserve">being </w:t>
      </w:r>
      <w:r w:rsidR="002454D6">
        <w:rPr>
          <w:lang w:val="en-US"/>
        </w:rPr>
        <w:t>very</w:t>
      </w:r>
      <w:r>
        <w:rPr>
          <w:lang w:val="en-US"/>
        </w:rPr>
        <w:t xml:space="preserve"> good with values below 1.5%. </w:t>
      </w:r>
      <w:r w:rsidR="0037777E" w:rsidRPr="0037777E">
        <w:rPr>
          <w:lang w:val="en-US"/>
        </w:rPr>
        <w:t xml:space="preserve">From </w:t>
      </w:r>
      <w:r w:rsidR="0037777E">
        <w:rPr>
          <w:lang w:val="en-GB"/>
        </w:rPr>
        <w:t xml:space="preserve">ten consecutive runs the </w:t>
      </w:r>
      <w:r w:rsidR="0037777E" w:rsidRPr="0037777E">
        <w:rPr>
          <w:lang w:val="en-GB"/>
        </w:rPr>
        <w:t xml:space="preserve">concentration of the undiluted urine was </w:t>
      </w:r>
      <w:r w:rsidR="002454D6">
        <w:rPr>
          <w:lang w:val="en-GB"/>
        </w:rPr>
        <w:t>determined as</w:t>
      </w:r>
      <w:r w:rsidR="0037777E" w:rsidRPr="0037777E">
        <w:rPr>
          <w:lang w:val="en-GB"/>
        </w:rPr>
        <w:t xml:space="preserve"> 2460</w:t>
      </w:r>
      <w:r w:rsidR="0037777E">
        <w:rPr>
          <w:lang w:val="en-GB"/>
        </w:rPr>
        <w:t xml:space="preserve"> ± 34 µg/L</w:t>
      </w:r>
      <w:r w:rsidR="00EC02D2">
        <w:rPr>
          <w:lang w:val="en-GB"/>
        </w:rPr>
        <w:t xml:space="preserve"> (RSD= 1.38%)</w:t>
      </w:r>
      <w:r w:rsidR="0037777E">
        <w:rPr>
          <w:lang w:val="en-GB"/>
        </w:rPr>
        <w:t>.</w:t>
      </w:r>
      <w:r w:rsidR="00DA3053">
        <w:rPr>
          <w:lang w:val="en-GB"/>
        </w:rPr>
        <w:t xml:space="preserve"> This is in the normal range for non-exposed individuals (&lt; 3000 µg/L </w:t>
      </w:r>
      <w:r w:rsidR="00DA3053">
        <w:rPr>
          <w:lang w:val="en-GB"/>
        </w:rPr>
        <w:fldChar w:fldCharType="begin"/>
      </w:r>
      <w:r w:rsidR="00B717AE">
        <w:rPr>
          <w:lang w:val="en-GB"/>
        </w:rPr>
        <w:instrText xml:space="preserve"> ADDIN EN.CITE &lt;EndNote&gt;&lt;Cite&gt;&lt;Author&gt;Reuter&lt;/Author&gt;&lt;Year&gt;1996&lt;/Year&gt;&lt;RecNum&gt;301&lt;/RecNum&gt;&lt;DisplayText&gt;[4]&lt;/DisplayText&gt;&lt;record&gt;&lt;rec-number&gt;301&lt;/rec-number&gt;&lt;foreign-keys&gt;&lt;key app="EN" db-id="5f9txere4wxpxqeewaxpsedw09sdsxzffvr2" timestamp="1472484170"&gt;301&lt;/key&gt;&lt;/foreign-keys&gt;&lt;ref-type name="Journal Article"&gt;17&lt;/ref-type&gt;&lt;contributors&gt;&lt;authors&gt;&lt;author&gt;Reuter, U.&lt;/author&gt;&lt;author&gt;Rengel, I.&lt;/author&gt;&lt;author&gt;SterzlEckert, H.&lt;/author&gt;&lt;author&gt;Forderkunz, S.&lt;/author&gt;&lt;author&gt;Bartsch, R.&lt;/author&gt;&lt;author&gt;Greim, H.&lt;/author&gt;&lt;/authors&gt;&lt;/contributors&gt;&lt;auth-address&gt;Reuter, U&amp;#xD;Gsf Munich,Inst Toxicol,Commiss Invest Hlth Hazards Chem Cpds Work Area,Postfach 1129,D-85758 Munich,Germany&amp;#xD;Gsf Munich,Inst Toxicol,Commiss Invest Hlth Hazards Chem Cpds Work Area,Postfach 1129,D-85758 Munich,Germany&lt;/auth-address&gt;&lt;titles&gt;&lt;title&gt;Examples of MAK values and carcinogenicity classification for mixtures&lt;/title&gt;&lt;secondary-title&gt;Food and Chemical Toxicology&lt;/secondary-title&gt;&lt;alt-title&gt;Food Chem Toxicol&lt;/alt-title&gt;&lt;/titles&gt;&lt;periodical&gt;&lt;full-title&gt;Food and Chemical Toxicology&lt;/full-title&gt;&lt;abbr-1&gt;Food Chem Toxicol&lt;/abbr-1&gt;&lt;/periodical&gt;&lt;alt-periodical&gt;&lt;full-title&gt;Food and Chemical Toxicology&lt;/full-title&gt;&lt;abbr-1&gt;Food Chem Toxicol&lt;/abbr-1&gt;&lt;/alt-periodical&gt;&lt;pages&gt;1167-1168&lt;/pages&gt;&lt;volume&gt;34&lt;/volume&gt;&lt;number&gt;11-12&lt;/number&gt;&lt;dates&gt;&lt;year&gt;1996&lt;/year&gt;&lt;pub-dates&gt;&lt;date&gt;Nov-Dec&lt;/date&gt;&lt;/pub-dates&gt;&lt;/dates&gt;&lt;isbn&gt;0278-6915&lt;/isbn&gt;&lt;accession-num&gt;WOS:A1996WP01500024&lt;/accession-num&gt;&lt;urls&gt;&lt;related-urls&gt;&lt;url&gt;&amp;lt;Go to ISI&amp;gt;://WOS:A1996WP01500024&lt;/url&gt;&lt;/related-urls&gt;&lt;/urls&gt;&lt;electronic-resource-num&gt;Doi 10.1016/S0278-6915(97)00091-4&lt;/electronic-resource-num&gt;&lt;language&gt;English&lt;/language&gt;&lt;/record&gt;&lt;/Cite&gt;&lt;/EndNote&gt;</w:instrText>
      </w:r>
      <w:r w:rsidR="00DA3053">
        <w:rPr>
          <w:lang w:val="en-GB"/>
        </w:rPr>
        <w:fldChar w:fldCharType="separate"/>
      </w:r>
      <w:r w:rsidR="00B717AE">
        <w:rPr>
          <w:noProof/>
          <w:lang w:val="en-GB"/>
        </w:rPr>
        <w:t>[4]</w:t>
      </w:r>
      <w:r w:rsidR="00DA3053">
        <w:rPr>
          <w:lang w:val="en-GB"/>
        </w:rPr>
        <w:fldChar w:fldCharType="end"/>
      </w:r>
      <w:r w:rsidR="00DA3053">
        <w:rPr>
          <w:lang w:val="en-GB"/>
        </w:rPr>
        <w:t>).</w:t>
      </w:r>
    </w:p>
    <w:p w:rsidR="00FF0269" w:rsidRPr="0037777E" w:rsidRDefault="00FF0269" w:rsidP="007A2466">
      <w:pPr>
        <w:jc w:val="both"/>
        <w:rPr>
          <w:rFonts w:ascii="Arial" w:hAnsi="Arial" w:cs="Arial"/>
          <w:szCs w:val="24"/>
          <w:lang w:val="en-US"/>
        </w:rPr>
      </w:pPr>
    </w:p>
    <w:p w:rsidR="00FF0269" w:rsidRPr="00034967" w:rsidRDefault="00FF0269" w:rsidP="003874F2">
      <w:pPr>
        <w:pStyle w:val="Listenabsatz"/>
        <w:numPr>
          <w:ilvl w:val="0"/>
          <w:numId w:val="4"/>
        </w:numPr>
        <w:jc w:val="both"/>
        <w:rPr>
          <w:b/>
          <w:lang w:val="en-GB"/>
        </w:rPr>
      </w:pPr>
      <w:r w:rsidRPr="00034967">
        <w:rPr>
          <w:b/>
          <w:lang w:val="en-GB"/>
        </w:rPr>
        <w:t>Day-to-day precision</w:t>
      </w:r>
    </w:p>
    <w:p w:rsidR="00FF0269" w:rsidRDefault="00FF0269" w:rsidP="007A2466">
      <w:pPr>
        <w:jc w:val="both"/>
        <w:rPr>
          <w:szCs w:val="24"/>
          <w:lang w:val="en-US"/>
        </w:rPr>
      </w:pPr>
      <w:r w:rsidRPr="00034967">
        <w:rPr>
          <w:szCs w:val="24"/>
          <w:lang w:val="en-US"/>
        </w:rPr>
        <w:t xml:space="preserve">Further, urine samples (+ standard additions) were prepared and analyzed on ten different days for determining day-to-day precision.  Table 2 shows concentrations, standard deviation and </w:t>
      </w:r>
      <w:r w:rsidR="00C04808">
        <w:rPr>
          <w:szCs w:val="24"/>
          <w:lang w:val="en-US"/>
        </w:rPr>
        <w:t>recovery of doped concentrations</w:t>
      </w:r>
      <w:r w:rsidR="00E43B00">
        <w:rPr>
          <w:szCs w:val="24"/>
          <w:lang w:val="en-US"/>
        </w:rPr>
        <w:t>.</w:t>
      </w:r>
    </w:p>
    <w:p w:rsidR="00610429" w:rsidRDefault="00610429" w:rsidP="007A2466">
      <w:pPr>
        <w:jc w:val="both"/>
        <w:rPr>
          <w:szCs w:val="24"/>
          <w:lang w:val="en-US"/>
        </w:rPr>
      </w:pPr>
    </w:p>
    <w:p w:rsidR="00561FB8" w:rsidRPr="00610429" w:rsidRDefault="00610429" w:rsidP="00610429">
      <w:pPr>
        <w:jc w:val="both"/>
        <w:rPr>
          <w:rFonts w:ascii="Arial" w:hAnsi="Arial"/>
          <w:b/>
          <w:szCs w:val="24"/>
          <w:lang w:val="en-US"/>
        </w:rPr>
      </w:pPr>
      <w:r w:rsidRPr="00610429">
        <w:rPr>
          <w:rFonts w:ascii="Arial" w:hAnsi="Arial"/>
          <w:b/>
          <w:szCs w:val="24"/>
          <w:lang w:val="en-US"/>
        </w:rPr>
        <w:t>Table 2</w:t>
      </w:r>
    </w:p>
    <w:p w:rsidR="00561FB8" w:rsidRPr="00610429" w:rsidRDefault="00561FB8" w:rsidP="00034967">
      <w:pPr>
        <w:spacing w:line="240" w:lineRule="auto"/>
        <w:jc w:val="both"/>
        <w:rPr>
          <w:szCs w:val="24"/>
          <w:lang w:val="en-US"/>
        </w:rPr>
      </w:pPr>
    </w:p>
    <w:p w:rsidR="0037777E" w:rsidRPr="0037777E" w:rsidRDefault="0037777E" w:rsidP="0037777E">
      <w:pPr>
        <w:jc w:val="both"/>
        <w:rPr>
          <w:lang w:val="en-GB"/>
        </w:rPr>
      </w:pPr>
      <w:bookmarkStart w:id="3" w:name="_Toc487253535"/>
      <w:bookmarkStart w:id="4" w:name="_Toc490886661"/>
      <w:r w:rsidRPr="0037777E">
        <w:rPr>
          <w:lang w:val="en-US"/>
        </w:rPr>
        <w:t xml:space="preserve">From </w:t>
      </w:r>
      <w:r w:rsidR="002E1FDB">
        <w:rPr>
          <w:lang w:val="en-GB"/>
        </w:rPr>
        <w:t xml:space="preserve">table 2 </w:t>
      </w:r>
      <w:r>
        <w:rPr>
          <w:lang w:val="en-GB"/>
        </w:rPr>
        <w:t xml:space="preserve">the </w:t>
      </w:r>
      <w:r w:rsidRPr="0037777E">
        <w:rPr>
          <w:lang w:val="en-GB"/>
        </w:rPr>
        <w:t>concentration of the undiluted urine was determined</w:t>
      </w:r>
      <w:r w:rsidR="00EB50DD">
        <w:rPr>
          <w:lang w:val="en-GB"/>
        </w:rPr>
        <w:t xml:space="preserve"> at</w:t>
      </w:r>
      <w:r>
        <w:rPr>
          <w:lang w:val="en-GB"/>
        </w:rPr>
        <w:t xml:space="preserve"> 2498 ± 41 µg/L</w:t>
      </w:r>
      <w:r w:rsidR="000C2871">
        <w:rPr>
          <w:lang w:val="en-GB"/>
        </w:rPr>
        <w:t xml:space="preserve"> (RSD= 1.64%)</w:t>
      </w:r>
      <w:r>
        <w:rPr>
          <w:lang w:val="en-GB"/>
        </w:rPr>
        <w:t>.</w:t>
      </w:r>
      <w:r w:rsidR="00387F7E">
        <w:rPr>
          <w:lang w:val="en-GB"/>
        </w:rPr>
        <w:t xml:space="preserve"> The results from day to day showed still very good precision &lt; 2% and the total determination was only insignificantly different from total determination derived from the serial determination (</w:t>
      </w:r>
      <w:r w:rsidR="00610429">
        <w:rPr>
          <w:lang w:val="en-GB"/>
        </w:rPr>
        <w:t xml:space="preserve">U1: </w:t>
      </w:r>
      <w:r w:rsidR="00387F7E">
        <w:rPr>
          <w:lang w:val="en-GB"/>
        </w:rPr>
        <w:t>p&lt;0.200).</w:t>
      </w:r>
      <w:r w:rsidR="001A1CAB">
        <w:rPr>
          <w:lang w:val="en-GB"/>
        </w:rPr>
        <w:t xml:space="preserve"> Measurements of the doped samples differed also only insignificantly (“</w:t>
      </w:r>
      <w:r w:rsidR="00610429">
        <w:rPr>
          <w:lang w:val="en-GB"/>
        </w:rPr>
        <w:t>U1</w:t>
      </w:r>
      <w:r w:rsidR="001A1CAB">
        <w:rPr>
          <w:lang w:val="en-GB"/>
        </w:rPr>
        <w:t>+50 µg/L”: p&lt;0.104, “</w:t>
      </w:r>
      <w:r w:rsidR="00610429">
        <w:rPr>
          <w:lang w:val="en-GB"/>
        </w:rPr>
        <w:t>U1</w:t>
      </w:r>
      <w:r w:rsidR="001A1CAB">
        <w:rPr>
          <w:lang w:val="en-GB"/>
        </w:rPr>
        <w:t>+150 µg/L”: p&lt;0.114).</w:t>
      </w:r>
    </w:p>
    <w:p w:rsidR="0037777E" w:rsidRPr="0037777E" w:rsidRDefault="0037777E" w:rsidP="0037777E">
      <w:pPr>
        <w:jc w:val="both"/>
        <w:rPr>
          <w:b/>
          <w:lang w:val="en-GB"/>
        </w:rPr>
      </w:pPr>
    </w:p>
    <w:p w:rsidR="00282B20" w:rsidRPr="00E70218" w:rsidRDefault="00333757" w:rsidP="00E70218">
      <w:pPr>
        <w:pStyle w:val="Listenabsatz"/>
        <w:numPr>
          <w:ilvl w:val="0"/>
          <w:numId w:val="4"/>
        </w:numPr>
        <w:jc w:val="both"/>
        <w:rPr>
          <w:b/>
          <w:lang w:val="en-GB"/>
        </w:rPr>
      </w:pPr>
      <w:r w:rsidRPr="00E70218">
        <w:rPr>
          <w:b/>
          <w:lang w:val="en-GB"/>
        </w:rPr>
        <w:t>Accuracy</w:t>
      </w:r>
    </w:p>
    <w:p w:rsidR="00DF79AA" w:rsidRDefault="003874F2" w:rsidP="00463A8C">
      <w:pPr>
        <w:jc w:val="both"/>
        <w:rPr>
          <w:szCs w:val="24"/>
          <w:lang w:val="en-US"/>
        </w:rPr>
      </w:pPr>
      <w:r w:rsidRPr="00E70218">
        <w:rPr>
          <w:szCs w:val="24"/>
          <w:lang w:val="en-US"/>
        </w:rPr>
        <w:t xml:space="preserve">Since no </w:t>
      </w:r>
      <w:r w:rsidR="00E70218">
        <w:rPr>
          <w:szCs w:val="24"/>
          <w:lang w:val="en-US"/>
        </w:rPr>
        <w:t xml:space="preserve">boron-certified </w:t>
      </w:r>
      <w:r w:rsidRPr="00E70218">
        <w:rPr>
          <w:szCs w:val="24"/>
          <w:lang w:val="en-US"/>
        </w:rPr>
        <w:t>urine base</w:t>
      </w:r>
      <w:r w:rsidR="00E70218">
        <w:rPr>
          <w:szCs w:val="24"/>
          <w:lang w:val="en-US"/>
        </w:rPr>
        <w:t xml:space="preserve">d </w:t>
      </w:r>
      <w:r w:rsidR="00610429">
        <w:rPr>
          <w:szCs w:val="24"/>
          <w:lang w:val="en-US"/>
        </w:rPr>
        <w:t>certified reference material (</w:t>
      </w:r>
      <w:r w:rsidR="00E70218">
        <w:rPr>
          <w:szCs w:val="24"/>
          <w:lang w:val="en-US"/>
        </w:rPr>
        <w:t>CRM</w:t>
      </w:r>
      <w:r w:rsidR="00610429">
        <w:rPr>
          <w:szCs w:val="24"/>
          <w:lang w:val="en-US"/>
        </w:rPr>
        <w:t>)</w:t>
      </w:r>
      <w:r w:rsidR="00E70218">
        <w:rPr>
          <w:szCs w:val="24"/>
          <w:lang w:val="en-US"/>
        </w:rPr>
        <w:t xml:space="preserve"> or </w:t>
      </w:r>
      <w:r w:rsidR="00610429">
        <w:rPr>
          <w:szCs w:val="24"/>
          <w:lang w:val="en-US"/>
        </w:rPr>
        <w:t>reference material (</w:t>
      </w:r>
      <w:r w:rsidR="00E70218">
        <w:rPr>
          <w:szCs w:val="24"/>
          <w:lang w:val="en-US"/>
        </w:rPr>
        <w:t>RM</w:t>
      </w:r>
      <w:r w:rsidR="00610429">
        <w:rPr>
          <w:szCs w:val="24"/>
          <w:lang w:val="en-US"/>
        </w:rPr>
        <w:t>)</w:t>
      </w:r>
      <w:r w:rsidR="00E70218">
        <w:rPr>
          <w:szCs w:val="24"/>
          <w:lang w:val="en-US"/>
        </w:rPr>
        <w:t>, nor a</w:t>
      </w:r>
      <w:r w:rsidRPr="00E70218">
        <w:rPr>
          <w:szCs w:val="24"/>
          <w:lang w:val="en-US"/>
        </w:rPr>
        <w:t>n</w:t>
      </w:r>
      <w:r w:rsidR="00E70218">
        <w:rPr>
          <w:szCs w:val="24"/>
          <w:lang w:val="en-US"/>
        </w:rPr>
        <w:t>other</w:t>
      </w:r>
      <w:r w:rsidRPr="00E70218">
        <w:rPr>
          <w:szCs w:val="24"/>
          <w:lang w:val="en-US"/>
        </w:rPr>
        <w:t xml:space="preserve"> </w:t>
      </w:r>
      <w:r w:rsidR="00E70218">
        <w:rPr>
          <w:szCs w:val="24"/>
          <w:lang w:val="en-US"/>
        </w:rPr>
        <w:t xml:space="preserve">RM </w:t>
      </w:r>
      <w:r w:rsidRPr="00E70218">
        <w:rPr>
          <w:szCs w:val="24"/>
          <w:lang w:val="en-US"/>
        </w:rPr>
        <w:t>based on other body fluids</w:t>
      </w:r>
      <w:r w:rsidR="00E70218" w:rsidRPr="00E70218">
        <w:rPr>
          <w:szCs w:val="24"/>
          <w:lang w:val="en-US"/>
        </w:rPr>
        <w:t xml:space="preserve"> </w:t>
      </w:r>
      <w:r w:rsidR="00E70218">
        <w:rPr>
          <w:szCs w:val="24"/>
          <w:lang w:val="en-US"/>
        </w:rPr>
        <w:t>were available</w:t>
      </w:r>
      <w:r w:rsidRPr="00E70218">
        <w:rPr>
          <w:szCs w:val="24"/>
          <w:lang w:val="en-US"/>
        </w:rPr>
        <w:t>, accuracy was tested mainly</w:t>
      </w:r>
      <w:r w:rsidR="00E70218" w:rsidRPr="00E70218">
        <w:rPr>
          <w:szCs w:val="24"/>
          <w:lang w:val="en-US"/>
        </w:rPr>
        <w:t xml:space="preserve"> according to recovery determinations</w:t>
      </w:r>
      <w:r w:rsidR="00E70218">
        <w:rPr>
          <w:szCs w:val="24"/>
          <w:lang w:val="en-US"/>
        </w:rPr>
        <w:t xml:space="preserve"> using the doped samples</w:t>
      </w:r>
      <w:r w:rsidR="00E70218" w:rsidRPr="00E70218">
        <w:rPr>
          <w:szCs w:val="24"/>
          <w:lang w:val="en-US"/>
        </w:rPr>
        <w:t xml:space="preserve">. Additionally, </w:t>
      </w:r>
      <w:r w:rsidR="00B24C35">
        <w:rPr>
          <w:szCs w:val="24"/>
          <w:lang w:val="en-US"/>
        </w:rPr>
        <w:t>boron-certified</w:t>
      </w:r>
      <w:r w:rsidR="00610429">
        <w:rPr>
          <w:szCs w:val="24"/>
          <w:lang w:val="en-US"/>
        </w:rPr>
        <w:t xml:space="preserve"> </w:t>
      </w:r>
      <w:r w:rsidR="00610429">
        <w:rPr>
          <w:szCs w:val="24"/>
          <w:lang w:val="en-US"/>
        </w:rPr>
        <w:lastRenderedPageBreak/>
        <w:t>CRM</w:t>
      </w:r>
      <w:r w:rsidR="00B24C35">
        <w:rPr>
          <w:szCs w:val="24"/>
          <w:lang w:val="en-US"/>
        </w:rPr>
        <w:t xml:space="preserve"> </w:t>
      </w:r>
      <w:r w:rsidR="00A65F1B">
        <w:rPr>
          <w:szCs w:val="24"/>
          <w:lang w:val="en-US"/>
        </w:rPr>
        <w:t>“</w:t>
      </w:r>
      <w:r w:rsidR="00B24C35" w:rsidRPr="000C2871">
        <w:rPr>
          <w:i/>
          <w:szCs w:val="24"/>
          <w:lang w:val="en-US"/>
        </w:rPr>
        <w:t>E</w:t>
      </w:r>
      <w:r w:rsidR="00E70218" w:rsidRPr="000C2871">
        <w:rPr>
          <w:i/>
          <w:szCs w:val="24"/>
          <w:lang w:val="en-US"/>
        </w:rPr>
        <w:t>RM CD-281</w:t>
      </w:r>
      <w:r w:rsidR="00A65F1B">
        <w:rPr>
          <w:i/>
          <w:szCs w:val="24"/>
          <w:lang w:val="en-US"/>
        </w:rPr>
        <w:t>”</w:t>
      </w:r>
      <w:r w:rsidR="00E70218">
        <w:rPr>
          <w:szCs w:val="24"/>
          <w:lang w:val="en-US"/>
        </w:rPr>
        <w:t xml:space="preserve"> </w:t>
      </w:r>
      <w:r w:rsidR="00610429">
        <w:rPr>
          <w:szCs w:val="24"/>
          <w:lang w:val="en-US"/>
        </w:rPr>
        <w:t xml:space="preserve">(IRMM/EU) </w:t>
      </w:r>
      <w:r w:rsidR="00E70218">
        <w:rPr>
          <w:szCs w:val="24"/>
          <w:lang w:val="en-US"/>
        </w:rPr>
        <w:t>was digested and diluted digests were analyzed.</w:t>
      </w:r>
      <w:r w:rsidR="007B05B6">
        <w:rPr>
          <w:szCs w:val="24"/>
          <w:lang w:val="en-US"/>
        </w:rPr>
        <w:t xml:space="preserve"> Recovery from </w:t>
      </w:r>
      <w:r w:rsidR="00815513">
        <w:rPr>
          <w:szCs w:val="24"/>
          <w:lang w:val="en-US"/>
        </w:rPr>
        <w:t xml:space="preserve">the </w:t>
      </w:r>
      <w:r w:rsidR="007B05B6">
        <w:rPr>
          <w:szCs w:val="24"/>
          <w:lang w:val="en-US"/>
        </w:rPr>
        <w:t>dop</w:t>
      </w:r>
      <w:r w:rsidR="00815513">
        <w:rPr>
          <w:szCs w:val="24"/>
          <w:lang w:val="en-US"/>
        </w:rPr>
        <w:t xml:space="preserve">ed 1/20 urine samples with “+50 µg/L” </w:t>
      </w:r>
      <w:r w:rsidR="002E1FDB">
        <w:rPr>
          <w:szCs w:val="24"/>
          <w:lang w:val="en-US"/>
        </w:rPr>
        <w:t>or “+150 µg/L” additions interestingly were somewhat better from the day-to-day samples around 103% whereas from the serial measurements recovery ranged from 105-110 %, which was still consider</w:t>
      </w:r>
      <w:r w:rsidR="00610429">
        <w:rPr>
          <w:szCs w:val="24"/>
          <w:lang w:val="en-US"/>
        </w:rPr>
        <w:t>e</w:t>
      </w:r>
      <w:r w:rsidR="002E1FDB">
        <w:rPr>
          <w:szCs w:val="24"/>
          <w:lang w:val="en-US"/>
        </w:rPr>
        <w:t xml:space="preserve">d as </w:t>
      </w:r>
      <w:r w:rsidR="0085561D">
        <w:rPr>
          <w:szCs w:val="24"/>
          <w:lang w:val="en-US"/>
        </w:rPr>
        <w:t>acceptable</w:t>
      </w:r>
      <w:r w:rsidR="002E1FDB">
        <w:rPr>
          <w:szCs w:val="24"/>
          <w:lang w:val="en-US"/>
        </w:rPr>
        <w:t xml:space="preserve">. </w:t>
      </w:r>
      <w:r w:rsidR="00EB50DD">
        <w:rPr>
          <w:szCs w:val="24"/>
          <w:lang w:val="en-US"/>
        </w:rPr>
        <w:t xml:space="preserve">The determination of </w:t>
      </w:r>
      <w:r w:rsidR="00EB50DD" w:rsidRPr="004249E5">
        <w:rPr>
          <w:i/>
          <w:szCs w:val="24"/>
          <w:lang w:val="en-US"/>
        </w:rPr>
        <w:t>ERM</w:t>
      </w:r>
      <w:r w:rsidR="00032D54" w:rsidRPr="004249E5">
        <w:rPr>
          <w:i/>
          <w:szCs w:val="24"/>
          <w:lang w:val="en-US"/>
        </w:rPr>
        <w:t>-CD 281</w:t>
      </w:r>
      <w:r w:rsidR="00032D54">
        <w:rPr>
          <w:szCs w:val="24"/>
          <w:lang w:val="en-US"/>
        </w:rPr>
        <w:t xml:space="preserve"> resulted in 5</w:t>
      </w:r>
      <w:r w:rsidR="00032D54">
        <w:rPr>
          <w:lang w:val="en-GB"/>
        </w:rPr>
        <w:t>.55</w:t>
      </w:r>
      <w:r w:rsidR="00032D54" w:rsidRPr="00DF79AA">
        <w:rPr>
          <w:lang w:val="en-GB"/>
        </w:rPr>
        <w:t>±</w:t>
      </w:r>
      <w:r w:rsidR="00032D54">
        <w:rPr>
          <w:lang w:val="en-GB"/>
        </w:rPr>
        <w:t xml:space="preserve"> 0.2 mg/kg compared to </w:t>
      </w:r>
      <w:r w:rsidR="00032D54" w:rsidRPr="00DF79AA">
        <w:rPr>
          <w:lang w:val="en-GB"/>
        </w:rPr>
        <w:t>5.5 ± 0.5 mg/kg</w:t>
      </w:r>
      <w:r w:rsidR="00032D54">
        <w:rPr>
          <w:lang w:val="en-GB"/>
        </w:rPr>
        <w:t xml:space="preserve"> for the certified value. Accuracy calculated from CRM comparison resulted in </w:t>
      </w:r>
      <w:r w:rsidR="00610429">
        <w:rPr>
          <w:lang w:val="en-GB"/>
        </w:rPr>
        <w:t>100.9</w:t>
      </w:r>
      <w:r w:rsidR="00032D54">
        <w:rPr>
          <w:lang w:val="en-GB"/>
        </w:rPr>
        <w:t>%</w:t>
      </w:r>
      <w:r w:rsidR="00634A10">
        <w:rPr>
          <w:lang w:val="en-GB"/>
        </w:rPr>
        <w:t xml:space="preserve"> (+0.9% overestimation</w:t>
      </w:r>
      <w:r w:rsidR="004249E5">
        <w:rPr>
          <w:lang w:val="en-GB"/>
        </w:rPr>
        <w:t xml:space="preserve"> for the total analytical procedure, comprising digestion + ICP-OES determination</w:t>
      </w:r>
      <w:r w:rsidR="00634A10">
        <w:rPr>
          <w:lang w:val="en-GB"/>
        </w:rPr>
        <w:t>)</w:t>
      </w:r>
      <w:r w:rsidR="00032D54">
        <w:rPr>
          <w:lang w:val="en-GB"/>
        </w:rPr>
        <w:t>.</w:t>
      </w:r>
      <w:bookmarkEnd w:id="3"/>
      <w:bookmarkEnd w:id="4"/>
    </w:p>
    <w:p w:rsidR="00463A8C" w:rsidRPr="00463A8C" w:rsidRDefault="00463A8C" w:rsidP="00463A8C">
      <w:pPr>
        <w:jc w:val="both"/>
        <w:rPr>
          <w:szCs w:val="24"/>
          <w:lang w:val="en-US"/>
        </w:rPr>
      </w:pPr>
    </w:p>
    <w:p w:rsidR="00DF79AA" w:rsidRPr="002E1FDB" w:rsidRDefault="00EB6764" w:rsidP="00DF79AA">
      <w:pPr>
        <w:jc w:val="both"/>
        <w:rPr>
          <w:b/>
          <w:lang w:val="en-GB"/>
        </w:rPr>
      </w:pPr>
      <w:r>
        <w:rPr>
          <w:b/>
          <w:lang w:val="en-GB"/>
        </w:rPr>
        <w:t xml:space="preserve">Method </w:t>
      </w:r>
      <w:r w:rsidR="00E05D73" w:rsidRPr="00EB6764">
        <w:rPr>
          <w:b/>
          <w:lang w:val="en-GB"/>
        </w:rPr>
        <w:t>Comparison</w:t>
      </w:r>
      <w:r w:rsidR="004846F9">
        <w:rPr>
          <w:b/>
          <w:lang w:val="en-GB"/>
        </w:rPr>
        <w:t>: ICP-OES,</w:t>
      </w:r>
      <w:r w:rsidR="00E05D73" w:rsidRPr="00EB6764">
        <w:rPr>
          <w:b/>
          <w:lang w:val="en-GB"/>
        </w:rPr>
        <w:t xml:space="preserve"> ICP-qMS and ICP-sf-MS determination</w:t>
      </w:r>
    </w:p>
    <w:p w:rsidR="00275070" w:rsidRDefault="009E0B79" w:rsidP="00DF79AA">
      <w:pPr>
        <w:jc w:val="both"/>
        <w:rPr>
          <w:lang w:val="en-GB"/>
        </w:rPr>
      </w:pPr>
      <w:r>
        <w:rPr>
          <w:lang w:val="en-GB"/>
        </w:rPr>
        <w:t xml:space="preserve">For </w:t>
      </w:r>
      <w:r w:rsidR="004846F9">
        <w:rPr>
          <w:lang w:val="en-GB"/>
        </w:rPr>
        <w:t>cross-</w:t>
      </w:r>
      <w:r>
        <w:rPr>
          <w:lang w:val="en-GB"/>
        </w:rPr>
        <w:t xml:space="preserve">checking the ICP-OES determination and to show the applicability of ICP-MS </w:t>
      </w:r>
      <w:r w:rsidR="004846F9">
        <w:rPr>
          <w:lang w:val="en-GB"/>
        </w:rPr>
        <w:t>systems</w:t>
      </w:r>
      <w:r>
        <w:rPr>
          <w:lang w:val="en-GB"/>
        </w:rPr>
        <w:t xml:space="preserve">, ICP-qMS and ICP-sf-MS systems were </w:t>
      </w:r>
      <w:r w:rsidR="004604D8">
        <w:rPr>
          <w:lang w:val="en-GB"/>
        </w:rPr>
        <w:t xml:space="preserve">applied for analysis of </w:t>
      </w:r>
      <w:r w:rsidR="00783ACE">
        <w:rPr>
          <w:lang w:val="en-GB"/>
        </w:rPr>
        <w:t>a second</w:t>
      </w:r>
      <w:r w:rsidR="004604D8">
        <w:rPr>
          <w:lang w:val="en-GB"/>
        </w:rPr>
        <w:t xml:space="preserve"> urine sample </w:t>
      </w:r>
      <w:r w:rsidR="00783ACE">
        <w:rPr>
          <w:lang w:val="en-GB"/>
        </w:rPr>
        <w:t>(“</w:t>
      </w:r>
      <w:r w:rsidR="00F36F4C" w:rsidRPr="0085561D">
        <w:rPr>
          <w:i/>
          <w:lang w:val="en-GB"/>
        </w:rPr>
        <w:t>U</w:t>
      </w:r>
      <w:r w:rsidR="004604D8" w:rsidRPr="0085561D">
        <w:rPr>
          <w:i/>
          <w:lang w:val="en-GB"/>
        </w:rPr>
        <w:t>2</w:t>
      </w:r>
      <w:r w:rsidR="00783ACE">
        <w:rPr>
          <w:lang w:val="en-GB"/>
        </w:rPr>
        <w:t>”)</w:t>
      </w:r>
      <w:r w:rsidR="004604D8">
        <w:rPr>
          <w:lang w:val="en-GB"/>
        </w:rPr>
        <w:t xml:space="preserve">, </w:t>
      </w:r>
      <w:r w:rsidR="00F36F4C">
        <w:rPr>
          <w:lang w:val="en-GB"/>
        </w:rPr>
        <w:t xml:space="preserve">or </w:t>
      </w:r>
      <w:r w:rsidR="00F36F4C" w:rsidRPr="0085561D">
        <w:rPr>
          <w:i/>
          <w:lang w:val="en-GB"/>
        </w:rPr>
        <w:t>U2</w:t>
      </w:r>
      <w:r w:rsidR="00F36F4C">
        <w:rPr>
          <w:lang w:val="en-GB"/>
        </w:rPr>
        <w:t xml:space="preserve"> + 1000 µg/L or </w:t>
      </w:r>
      <w:r w:rsidR="00F36F4C" w:rsidRPr="0085561D">
        <w:rPr>
          <w:i/>
          <w:lang w:val="en-GB"/>
        </w:rPr>
        <w:t>U2</w:t>
      </w:r>
      <w:r w:rsidR="0085561D">
        <w:rPr>
          <w:lang w:val="en-GB"/>
        </w:rPr>
        <w:t xml:space="preserve"> + 2000µg/L.</w:t>
      </w:r>
      <w:r w:rsidR="00F36F4C">
        <w:rPr>
          <w:lang w:val="en-GB"/>
        </w:rPr>
        <w:t xml:space="preserve"> Each sample was </w:t>
      </w:r>
      <w:r w:rsidR="004604D8">
        <w:rPr>
          <w:lang w:val="en-GB"/>
        </w:rPr>
        <w:t>1/20 diluted for ICP-OE</w:t>
      </w:r>
      <w:r w:rsidR="001C7849">
        <w:rPr>
          <w:lang w:val="en-GB"/>
        </w:rPr>
        <w:t>S or 1/1000 diluted for ICP-MS</w:t>
      </w:r>
      <w:r>
        <w:rPr>
          <w:lang w:val="en-GB"/>
        </w:rPr>
        <w:t xml:space="preserve">. </w:t>
      </w:r>
      <w:r w:rsidR="00783ACE">
        <w:rPr>
          <w:lang w:val="en-GB"/>
        </w:rPr>
        <w:t xml:space="preserve">ICP-MS determinations were performed on both </w:t>
      </w:r>
      <w:r w:rsidR="00783ACE" w:rsidRPr="00783ACE">
        <w:rPr>
          <w:vertAlign w:val="superscript"/>
          <w:lang w:val="en-GB"/>
        </w:rPr>
        <w:t>10</w:t>
      </w:r>
      <w:r w:rsidR="00783ACE">
        <w:rPr>
          <w:lang w:val="en-GB"/>
        </w:rPr>
        <w:t xml:space="preserve">B and </w:t>
      </w:r>
      <w:r w:rsidR="00783ACE" w:rsidRPr="00783ACE">
        <w:rPr>
          <w:vertAlign w:val="superscript"/>
          <w:lang w:val="en-GB"/>
        </w:rPr>
        <w:t>11</w:t>
      </w:r>
      <w:r w:rsidR="00783ACE">
        <w:rPr>
          <w:lang w:val="en-GB"/>
        </w:rPr>
        <w:t xml:space="preserve">B. </w:t>
      </w:r>
      <w:r w:rsidR="00F75C78">
        <w:rPr>
          <w:lang w:val="en-GB"/>
        </w:rPr>
        <w:t>According to</w:t>
      </w:r>
      <w:r w:rsidR="00B51083" w:rsidRPr="00B51083">
        <w:rPr>
          <w:lang w:val="en-GB"/>
        </w:rPr>
        <w:t xml:space="preserve"> the “ICP-MS Interference Table”</w:t>
      </w:r>
      <w:r w:rsidR="00F75C78">
        <w:rPr>
          <w:lang w:val="en-GB"/>
        </w:rPr>
        <w:t xml:space="preserve"> </w:t>
      </w:r>
      <w:r w:rsidR="00F75C78">
        <w:rPr>
          <w:lang w:val="en-GB"/>
        </w:rPr>
        <w:fldChar w:fldCharType="begin"/>
      </w:r>
      <w:r w:rsidR="00B717AE">
        <w:rPr>
          <w:lang w:val="en-GB"/>
        </w:rPr>
        <w:instrText xml:space="preserve"> ADDIN EN.CITE &lt;EndNote&gt;&lt;Cite&gt;&lt;Author&gt;Anonymus&lt;/Author&gt;&lt;Year&gt;1995&lt;/Year&gt;&lt;RecNum&gt;309&lt;/RecNum&gt;&lt;DisplayText&gt;[14]&lt;/DisplayText&gt;&lt;record&gt;&lt;rec-number&gt;309&lt;/rec-number&gt;&lt;foreign-keys&gt;&lt;key app="EN" db-id="5f9txere4wxpxqeewaxpsedw09sdsxzffvr2" timestamp="1473779472"&gt;309&lt;/key&gt;&lt;/foreign-keys&gt;&lt;ref-type name="Chart or Table"&gt;38&lt;/ref-type&gt;&lt;contributors&gt;&lt;authors&gt;&lt;author&gt;Anonymus&lt;/author&gt;&lt;/authors&gt;&lt;/contributors&gt;&lt;titles&gt;&lt;title&gt;ICP-MS Interference Table&lt;/title&gt;&lt;/titles&gt;&lt;edition&gt;2&lt;/edition&gt;&lt;dates&gt;&lt;year&gt;1995&lt;/year&gt;&lt;pub-dates&gt;&lt;date&gt;May, 9th 1995&lt;/date&gt;&lt;/pub-dates&gt;&lt;/dates&gt;&lt;publisher&gt;Thermo Fischer Scientific&lt;/publisher&gt;&lt;urls&gt;&lt;/urls&gt;&lt;/record&gt;&lt;/Cite&gt;&lt;/EndNote&gt;</w:instrText>
      </w:r>
      <w:r w:rsidR="00F75C78">
        <w:rPr>
          <w:lang w:val="en-GB"/>
        </w:rPr>
        <w:fldChar w:fldCharType="separate"/>
      </w:r>
      <w:r w:rsidR="00B717AE">
        <w:rPr>
          <w:noProof/>
          <w:lang w:val="en-GB"/>
        </w:rPr>
        <w:t>[14]</w:t>
      </w:r>
      <w:r w:rsidR="00F75C78">
        <w:rPr>
          <w:lang w:val="en-GB"/>
        </w:rPr>
        <w:fldChar w:fldCharType="end"/>
      </w:r>
      <w:r w:rsidR="00F75C78">
        <w:rPr>
          <w:lang w:val="en-GB"/>
        </w:rPr>
        <w:t xml:space="preserve"> (</w:t>
      </w:r>
      <w:r w:rsidR="00B51083">
        <w:rPr>
          <w:lang w:val="en-GB"/>
        </w:rPr>
        <w:t xml:space="preserve">and </w:t>
      </w:r>
      <w:r w:rsidR="00F75C78">
        <w:rPr>
          <w:lang w:val="en-GB"/>
        </w:rPr>
        <w:t xml:space="preserve">confirmed by preliminary investigations) measurement signals from ICP-OES, </w:t>
      </w:r>
      <w:r w:rsidR="00F75C78" w:rsidRPr="00B51083">
        <w:rPr>
          <w:vertAlign w:val="superscript"/>
          <w:lang w:val="en-GB"/>
        </w:rPr>
        <w:t>11</w:t>
      </w:r>
      <w:r w:rsidR="00F75C78">
        <w:rPr>
          <w:lang w:val="en-GB"/>
        </w:rPr>
        <w:t xml:space="preserve">B signals at </w:t>
      </w:r>
      <w:r w:rsidR="00B51083">
        <w:rPr>
          <w:lang w:val="en-GB"/>
        </w:rPr>
        <w:t xml:space="preserve">both </w:t>
      </w:r>
      <w:r w:rsidR="00F75C78">
        <w:rPr>
          <w:lang w:val="en-GB"/>
        </w:rPr>
        <w:t>ICP-MS</w:t>
      </w:r>
      <w:r w:rsidR="00B51083">
        <w:rPr>
          <w:lang w:val="en-GB"/>
        </w:rPr>
        <w:t xml:space="preserve"> systems</w:t>
      </w:r>
      <w:r w:rsidR="00F75C78">
        <w:rPr>
          <w:lang w:val="en-GB"/>
        </w:rPr>
        <w:t xml:space="preserve"> as well as </w:t>
      </w:r>
      <w:r w:rsidR="00F75C78" w:rsidRPr="00275070">
        <w:rPr>
          <w:vertAlign w:val="superscript"/>
          <w:lang w:val="en-GB"/>
        </w:rPr>
        <w:t>10</w:t>
      </w:r>
      <w:r w:rsidR="00F75C78">
        <w:rPr>
          <w:lang w:val="en-GB"/>
        </w:rPr>
        <w:t xml:space="preserve">B and </w:t>
      </w:r>
      <w:r w:rsidR="00F75C78" w:rsidRPr="00275070">
        <w:rPr>
          <w:vertAlign w:val="superscript"/>
          <w:lang w:val="en-GB"/>
        </w:rPr>
        <w:t>11</w:t>
      </w:r>
      <w:r w:rsidR="00F75C78">
        <w:rPr>
          <w:lang w:val="en-GB"/>
        </w:rPr>
        <w:t xml:space="preserve">B signals </w:t>
      </w:r>
      <w:r w:rsidR="00463A8C">
        <w:rPr>
          <w:lang w:val="en-GB"/>
        </w:rPr>
        <w:t xml:space="preserve">with medium resolution </w:t>
      </w:r>
      <w:r w:rsidR="00F75C78">
        <w:rPr>
          <w:lang w:val="en-GB"/>
        </w:rPr>
        <w:t xml:space="preserve">at ICP-sf-MS are practically not interfered. Therefore, the </w:t>
      </w:r>
      <w:r w:rsidR="00275070">
        <w:rPr>
          <w:lang w:val="en-GB"/>
        </w:rPr>
        <w:t xml:space="preserve">determined </w:t>
      </w:r>
      <w:r w:rsidR="00F75C78">
        <w:rPr>
          <w:lang w:val="en-GB"/>
        </w:rPr>
        <w:t>urine concentration</w:t>
      </w:r>
      <w:r w:rsidR="00275070">
        <w:rPr>
          <w:lang w:val="en-GB"/>
        </w:rPr>
        <w:t>s</w:t>
      </w:r>
      <w:r w:rsidR="00F75C78">
        <w:rPr>
          <w:lang w:val="en-GB"/>
        </w:rPr>
        <w:t xml:space="preserve"> of such measurements were taken for the </w:t>
      </w:r>
      <w:r w:rsidR="00463A8C">
        <w:rPr>
          <w:lang w:val="en-GB"/>
        </w:rPr>
        <w:t xml:space="preserve">mean </w:t>
      </w:r>
      <w:r w:rsidR="00F75C78">
        <w:rPr>
          <w:lang w:val="en-GB"/>
        </w:rPr>
        <w:t xml:space="preserve">reference concentration of U2 (mean ± SD / (RSD)): 1458 ± 49 µg/L / (3.4%). Table 3 shows the analytical performance of ICP-OES compared to </w:t>
      </w:r>
      <w:r w:rsidR="00275070">
        <w:rPr>
          <w:lang w:val="en-GB"/>
        </w:rPr>
        <w:t xml:space="preserve">quantifications at </w:t>
      </w:r>
      <w:r w:rsidR="00275070" w:rsidRPr="00275070">
        <w:rPr>
          <w:vertAlign w:val="superscript"/>
          <w:lang w:val="en-GB"/>
        </w:rPr>
        <w:t>10</w:t>
      </w:r>
      <w:r w:rsidR="00275070">
        <w:rPr>
          <w:lang w:val="en-GB"/>
        </w:rPr>
        <w:t xml:space="preserve">B and </w:t>
      </w:r>
      <w:r w:rsidR="00275070" w:rsidRPr="00275070">
        <w:rPr>
          <w:vertAlign w:val="superscript"/>
          <w:lang w:val="en-GB"/>
        </w:rPr>
        <w:t>11</w:t>
      </w:r>
      <w:r w:rsidR="00275070">
        <w:rPr>
          <w:lang w:val="en-GB"/>
        </w:rPr>
        <w:t xml:space="preserve">B by </w:t>
      </w:r>
      <w:r w:rsidR="00F75C78">
        <w:rPr>
          <w:lang w:val="en-GB"/>
        </w:rPr>
        <w:t xml:space="preserve">ICP-qMS, </w:t>
      </w:r>
      <w:r w:rsidR="00463A8C">
        <w:rPr>
          <w:lang w:val="en-GB"/>
        </w:rPr>
        <w:t xml:space="preserve">by </w:t>
      </w:r>
      <w:r w:rsidR="00F75C78">
        <w:rPr>
          <w:lang w:val="en-GB"/>
        </w:rPr>
        <w:t xml:space="preserve">ICP-sf-MS at low resolution (as suggested </w:t>
      </w:r>
      <w:r w:rsidR="00463A8C">
        <w:rPr>
          <w:lang w:val="en-GB"/>
        </w:rPr>
        <w:t xml:space="preserve">from </w:t>
      </w:r>
      <w:r w:rsidR="00F75C78">
        <w:rPr>
          <w:lang w:val="en-GB"/>
        </w:rPr>
        <w:t>the operating software) and</w:t>
      </w:r>
      <w:r w:rsidR="00275070">
        <w:rPr>
          <w:lang w:val="en-GB"/>
        </w:rPr>
        <w:t xml:space="preserve"> </w:t>
      </w:r>
      <w:r w:rsidR="00463A8C">
        <w:rPr>
          <w:lang w:val="en-GB"/>
        </w:rPr>
        <w:t xml:space="preserve">by </w:t>
      </w:r>
      <w:r w:rsidR="00275070">
        <w:rPr>
          <w:lang w:val="en-GB"/>
        </w:rPr>
        <w:t xml:space="preserve">ICP-sf-MS at medium resolution. </w:t>
      </w:r>
    </w:p>
    <w:p w:rsidR="00DF79AA" w:rsidRPr="00B51083" w:rsidRDefault="00275070" w:rsidP="00463A8C">
      <w:pPr>
        <w:jc w:val="both"/>
        <w:rPr>
          <w:lang w:val="en-GB"/>
        </w:rPr>
      </w:pPr>
      <w:r>
        <w:rPr>
          <w:lang w:val="en-GB"/>
        </w:rPr>
        <w:t xml:space="preserve">In this comparison ICP-OES determinations matched the </w:t>
      </w:r>
      <w:r w:rsidR="00463A8C">
        <w:rPr>
          <w:lang w:val="en-GB"/>
        </w:rPr>
        <w:t xml:space="preserve">U2 </w:t>
      </w:r>
      <w:r>
        <w:rPr>
          <w:lang w:val="en-GB"/>
        </w:rPr>
        <w:t xml:space="preserve">reference concentration as well as the doped concentrations exactly (99.0 – 100.1% recovery). A </w:t>
      </w:r>
      <w:r w:rsidR="00463A8C">
        <w:rPr>
          <w:lang w:val="en-GB"/>
        </w:rPr>
        <w:t>similar</w:t>
      </w:r>
      <w:r>
        <w:rPr>
          <w:lang w:val="en-GB"/>
        </w:rPr>
        <w:t xml:space="preserve"> positive performance was established for ICP-sf-MS at medium resolution for both boron isotopes (97.2 – 103.5% </w:t>
      </w:r>
      <w:r w:rsidRPr="00B51083">
        <w:rPr>
          <w:lang w:val="en-GB"/>
        </w:rPr>
        <w:t xml:space="preserve">recoveries). </w:t>
      </w:r>
      <w:r w:rsidRPr="00B51083">
        <w:rPr>
          <w:vertAlign w:val="superscript"/>
          <w:lang w:val="en-GB"/>
        </w:rPr>
        <w:t>11</w:t>
      </w:r>
      <w:r w:rsidRPr="00B51083">
        <w:rPr>
          <w:lang w:val="en-GB"/>
        </w:rPr>
        <w:t xml:space="preserve">B </w:t>
      </w:r>
      <w:r w:rsidR="00B51083" w:rsidRPr="00B51083">
        <w:rPr>
          <w:lang w:val="en-GB"/>
        </w:rPr>
        <w:t>measurements using ICP-qMS, having 93.4 – 98.4% recovery</w:t>
      </w:r>
      <w:r w:rsidR="00463A8C">
        <w:rPr>
          <w:lang w:val="en-GB"/>
        </w:rPr>
        <w:t>,</w:t>
      </w:r>
      <w:r w:rsidR="00B51083" w:rsidRPr="00B51083">
        <w:rPr>
          <w:lang w:val="en-GB"/>
        </w:rPr>
        <w:t xml:space="preserve"> or ICP-sf-MS at low resolution, with 104.6 – 106.4% recovery, provided</w:t>
      </w:r>
      <w:r w:rsidR="00463A8C" w:rsidRPr="00B51083">
        <w:rPr>
          <w:lang w:val="en-GB"/>
        </w:rPr>
        <w:t xml:space="preserve"> </w:t>
      </w:r>
      <w:r w:rsidR="00B51083" w:rsidRPr="00B51083">
        <w:rPr>
          <w:lang w:val="en-GB"/>
        </w:rPr>
        <w:t>still good a</w:t>
      </w:r>
      <w:r w:rsidR="00B51083">
        <w:rPr>
          <w:lang w:val="en-GB"/>
        </w:rPr>
        <w:t xml:space="preserve">nalytical performance. </w:t>
      </w:r>
    </w:p>
    <w:p w:rsidR="00167043" w:rsidRDefault="00167043" w:rsidP="00797536">
      <w:pPr>
        <w:jc w:val="both"/>
        <w:rPr>
          <w:lang w:val="en-GB"/>
        </w:rPr>
      </w:pPr>
    </w:p>
    <w:p w:rsidR="00A52C8E" w:rsidRPr="00A52C8E" w:rsidRDefault="00A52C8E" w:rsidP="00463A8C">
      <w:pPr>
        <w:jc w:val="both"/>
        <w:rPr>
          <w:b/>
          <w:lang w:val="en-GB"/>
        </w:rPr>
      </w:pPr>
      <w:r w:rsidRPr="00A52C8E">
        <w:rPr>
          <w:b/>
          <w:lang w:val="en-GB"/>
        </w:rPr>
        <w:t>Table 3</w:t>
      </w:r>
    </w:p>
    <w:p w:rsidR="00A52C8E" w:rsidRDefault="00A52C8E" w:rsidP="00463A8C">
      <w:pPr>
        <w:jc w:val="both"/>
        <w:rPr>
          <w:lang w:val="en-GB"/>
        </w:rPr>
      </w:pPr>
    </w:p>
    <w:p w:rsidR="00463A8C" w:rsidRPr="00463A8C" w:rsidRDefault="00463A8C" w:rsidP="00463A8C">
      <w:pPr>
        <w:jc w:val="both"/>
        <w:rPr>
          <w:lang w:val="en-GB"/>
        </w:rPr>
      </w:pPr>
      <w:r>
        <w:rPr>
          <w:lang w:val="en-GB"/>
        </w:rPr>
        <w:t>However,</w:t>
      </w:r>
      <w:r w:rsidRPr="00B51083">
        <w:rPr>
          <w:lang w:val="en-GB"/>
        </w:rPr>
        <w:t xml:space="preserve"> </w:t>
      </w:r>
      <w:r w:rsidRPr="00B51083">
        <w:rPr>
          <w:vertAlign w:val="superscript"/>
          <w:lang w:val="en-GB"/>
        </w:rPr>
        <w:t>10</w:t>
      </w:r>
      <w:r w:rsidRPr="00B51083">
        <w:rPr>
          <w:lang w:val="en-GB"/>
        </w:rPr>
        <w:t xml:space="preserve">B </w:t>
      </w:r>
      <w:r>
        <w:rPr>
          <w:lang w:val="en-GB"/>
        </w:rPr>
        <w:t>determinations with those</w:t>
      </w:r>
      <w:r w:rsidRPr="00B51083">
        <w:rPr>
          <w:lang w:val="en-GB"/>
        </w:rPr>
        <w:t xml:space="preserve"> low mass resolving ap</w:t>
      </w:r>
      <w:r>
        <w:rPr>
          <w:lang w:val="en-GB"/>
        </w:rPr>
        <w:t>proaches were not satisfactory, overestimating boron concentrations by about 13 or 20%.</w:t>
      </w:r>
    </w:p>
    <w:p w:rsidR="00463A8C" w:rsidRDefault="00463A8C" w:rsidP="00463A8C">
      <w:pPr>
        <w:jc w:val="both"/>
        <w:rPr>
          <w:lang w:val="en-GB"/>
        </w:rPr>
      </w:pPr>
      <w:r>
        <w:rPr>
          <w:lang w:val="en-GB"/>
        </w:rPr>
        <w:lastRenderedPageBreak/>
        <w:t>This</w:t>
      </w:r>
      <w:r w:rsidRPr="00B51083">
        <w:rPr>
          <w:lang w:val="en-GB"/>
        </w:rPr>
        <w:t xml:space="preserve"> worse performance </w:t>
      </w:r>
      <w:r w:rsidR="0008413A" w:rsidRPr="00B51083">
        <w:rPr>
          <w:lang w:val="en-GB"/>
        </w:rPr>
        <w:t xml:space="preserve">on isotope </w:t>
      </w:r>
      <w:r w:rsidR="0008413A" w:rsidRPr="00B51083">
        <w:rPr>
          <w:vertAlign w:val="superscript"/>
          <w:lang w:val="en-GB"/>
        </w:rPr>
        <w:t>10</w:t>
      </w:r>
      <w:r w:rsidR="0008413A" w:rsidRPr="00B51083">
        <w:rPr>
          <w:lang w:val="en-GB"/>
        </w:rPr>
        <w:t xml:space="preserve">B </w:t>
      </w:r>
      <w:r w:rsidRPr="00B51083">
        <w:rPr>
          <w:lang w:val="en-GB"/>
        </w:rPr>
        <w:t xml:space="preserve">of ICP-qMS and ICP-sf-MS in low resolution mode may be explained by the </w:t>
      </w:r>
      <w:r w:rsidR="0008413A">
        <w:rPr>
          <w:lang w:val="en-GB"/>
        </w:rPr>
        <w:t>known Ne</w:t>
      </w:r>
      <w:r w:rsidR="0008413A" w:rsidRPr="0008413A">
        <w:rPr>
          <w:vertAlign w:val="superscript"/>
          <w:lang w:val="en-GB"/>
        </w:rPr>
        <w:t>++</w:t>
      </w:r>
      <w:r w:rsidR="0008413A">
        <w:rPr>
          <w:lang w:val="en-GB"/>
        </w:rPr>
        <w:t xml:space="preserve"> </w:t>
      </w:r>
      <w:r w:rsidRPr="00B51083">
        <w:rPr>
          <w:lang w:val="en-GB"/>
        </w:rPr>
        <w:t xml:space="preserve">interference </w:t>
      </w:r>
      <w:r w:rsidR="0008413A">
        <w:rPr>
          <w:lang w:val="en-GB"/>
        </w:rPr>
        <w:t xml:space="preserve">which is </w:t>
      </w:r>
      <w:r w:rsidRPr="00B51083">
        <w:rPr>
          <w:lang w:val="en-GB"/>
        </w:rPr>
        <w:t xml:space="preserve">seen </w:t>
      </w:r>
      <w:r w:rsidR="0008413A">
        <w:rPr>
          <w:lang w:val="en-GB"/>
        </w:rPr>
        <w:t>in</w:t>
      </w:r>
      <w:r>
        <w:rPr>
          <w:lang w:val="en-GB"/>
        </w:rPr>
        <w:t xml:space="preserve"> </w:t>
      </w:r>
      <w:r w:rsidRPr="00B51083">
        <w:rPr>
          <w:lang w:val="en-GB"/>
        </w:rPr>
        <w:t>m/z scan</w:t>
      </w:r>
      <w:r>
        <w:rPr>
          <w:lang w:val="en-GB"/>
        </w:rPr>
        <w:t>s</w:t>
      </w:r>
      <w:r w:rsidRPr="00B51083">
        <w:rPr>
          <w:lang w:val="en-GB"/>
        </w:rPr>
        <w:t xml:space="preserve"> around this isotope, shown in figure 3. </w:t>
      </w:r>
    </w:p>
    <w:p w:rsidR="00463A8C" w:rsidRDefault="00463A8C" w:rsidP="00463A8C">
      <w:pPr>
        <w:jc w:val="both"/>
        <w:rPr>
          <w:lang w:val="en-GB"/>
        </w:rPr>
      </w:pPr>
      <w:r w:rsidRPr="00B51083">
        <w:rPr>
          <w:lang w:val="en-GB"/>
        </w:rPr>
        <w:t xml:space="preserve">According to </w:t>
      </w:r>
      <w:r w:rsidRPr="00B51083">
        <w:rPr>
          <w:lang w:val="en-GB"/>
        </w:rPr>
        <w:fldChar w:fldCharType="begin"/>
      </w:r>
      <w:r w:rsidR="00B717AE">
        <w:rPr>
          <w:lang w:val="en-GB"/>
        </w:rPr>
        <w:instrText xml:space="preserve"> ADDIN EN.CITE &lt;EndNote&gt;&lt;Cite&gt;&lt;Author&gt;Anonymus&lt;/Author&gt;&lt;Year&gt;1995&lt;/Year&gt;&lt;RecNum&gt;309&lt;/RecNum&gt;&lt;DisplayText&gt;[14]&lt;/DisplayText&gt;&lt;record&gt;&lt;rec-number&gt;309&lt;/rec-number&gt;&lt;foreign-keys&gt;&lt;key app="EN" db-id="5f9txere4wxpxqeewaxpsedw09sdsxzffvr2" timestamp="1473779472"&gt;309&lt;/key&gt;&lt;/foreign-keys&gt;&lt;ref-type name="Chart or Table"&gt;38&lt;/ref-type&gt;&lt;contributors&gt;&lt;authors&gt;&lt;author&gt;Anonymus&lt;/author&gt;&lt;/authors&gt;&lt;/contributors&gt;&lt;titles&gt;&lt;title&gt;ICP-MS Interference Table&lt;/title&gt;&lt;/titles&gt;&lt;edition&gt;2&lt;/edition&gt;&lt;dates&gt;&lt;year&gt;1995&lt;/year&gt;&lt;pub-dates&gt;&lt;date&gt;May, 9th 1995&lt;/date&gt;&lt;/pub-dates&gt;&lt;/dates&gt;&lt;publisher&gt;Thermo Fischer Scientific&lt;/publisher&gt;&lt;urls&gt;&lt;/urls&gt;&lt;/record&gt;&lt;/Cite&gt;&lt;/EndNote&gt;</w:instrText>
      </w:r>
      <w:r w:rsidRPr="00B51083">
        <w:rPr>
          <w:lang w:val="en-GB"/>
        </w:rPr>
        <w:fldChar w:fldCharType="separate"/>
      </w:r>
      <w:r w:rsidR="00B717AE">
        <w:rPr>
          <w:noProof/>
          <w:lang w:val="en-GB"/>
        </w:rPr>
        <w:t>[14]</w:t>
      </w:r>
      <w:r w:rsidRPr="00B51083">
        <w:rPr>
          <w:lang w:val="en-GB"/>
        </w:rPr>
        <w:fldChar w:fldCharType="end"/>
      </w:r>
      <w:r w:rsidRPr="00B51083">
        <w:rPr>
          <w:lang w:val="en-GB"/>
        </w:rPr>
        <w:t xml:space="preserve"> </w:t>
      </w:r>
      <w:r w:rsidRPr="00B51083">
        <w:rPr>
          <w:vertAlign w:val="superscript"/>
          <w:lang w:val="en-GB"/>
        </w:rPr>
        <w:t>10</w:t>
      </w:r>
      <w:r w:rsidRPr="00B51083">
        <w:rPr>
          <w:lang w:val="en-GB"/>
        </w:rPr>
        <w:t>B is overlapped from Ne</w:t>
      </w:r>
      <w:r w:rsidRPr="00B51083">
        <w:rPr>
          <w:vertAlign w:val="superscript"/>
          <w:lang w:val="en-GB"/>
        </w:rPr>
        <w:t>++</w:t>
      </w:r>
      <w:r w:rsidRPr="00B51083">
        <w:rPr>
          <w:lang w:val="en-GB"/>
        </w:rPr>
        <w:t xml:space="preserve"> </w:t>
      </w:r>
      <w:r w:rsidR="008B5D4A">
        <w:rPr>
          <w:lang w:val="en-GB"/>
        </w:rPr>
        <w:t xml:space="preserve">(exact m/z </w:t>
      </w:r>
      <w:r w:rsidR="008B5D4A">
        <w:rPr>
          <w:lang w:val="en-GB"/>
        </w:rPr>
        <w:fldChar w:fldCharType="begin"/>
      </w:r>
      <w:r w:rsidR="00B717AE">
        <w:rPr>
          <w:lang w:val="en-GB"/>
        </w:rPr>
        <w:instrText xml:space="preserve"> ADDIN EN.CITE &lt;EndNote&gt;&lt;Cite&gt;&lt;Author&gt;Anonymus&lt;/Author&gt;&lt;Year&gt;1995&lt;/Year&gt;&lt;RecNum&gt;309&lt;/RecNum&gt;&lt;DisplayText&gt;[14]&lt;/DisplayText&gt;&lt;record&gt;&lt;rec-number&gt;309&lt;/rec-number&gt;&lt;foreign-keys&gt;&lt;key app="EN" db-id="5f9txere4wxpxqeewaxpsedw09sdsxzffvr2" timestamp="1473779472"&gt;309&lt;/key&gt;&lt;/foreign-keys&gt;&lt;ref-type name="Chart or Table"&gt;38&lt;/ref-type&gt;&lt;contributors&gt;&lt;authors&gt;&lt;author&gt;Anonymus&lt;/author&gt;&lt;/authors&gt;&lt;/contributors&gt;&lt;titles&gt;&lt;title&gt;ICP-MS Interference Table&lt;/title&gt;&lt;/titles&gt;&lt;edition&gt;2&lt;/edition&gt;&lt;dates&gt;&lt;year&gt;1995&lt;/year&gt;&lt;pub-dates&gt;&lt;date&gt;May, 9th 1995&lt;/date&gt;&lt;/pub-dates&gt;&lt;/dates&gt;&lt;publisher&gt;Thermo Fischer Scientific&lt;/publisher&gt;&lt;urls&gt;&lt;/urls&gt;&lt;/record&gt;&lt;/Cite&gt;&lt;/EndNote&gt;</w:instrText>
      </w:r>
      <w:r w:rsidR="008B5D4A">
        <w:rPr>
          <w:lang w:val="en-GB"/>
        </w:rPr>
        <w:fldChar w:fldCharType="separate"/>
      </w:r>
      <w:r w:rsidR="00B717AE">
        <w:rPr>
          <w:noProof/>
          <w:lang w:val="en-GB"/>
        </w:rPr>
        <w:t>[14]</w:t>
      </w:r>
      <w:r w:rsidR="008B5D4A">
        <w:rPr>
          <w:lang w:val="en-GB"/>
        </w:rPr>
        <w:fldChar w:fldCharType="end"/>
      </w:r>
      <w:r w:rsidR="008B5D4A">
        <w:rPr>
          <w:lang w:val="en-GB"/>
        </w:rPr>
        <w:t xml:space="preserve">: 9.9962, found: 9.99619) </w:t>
      </w:r>
      <w:r w:rsidRPr="00B51083">
        <w:rPr>
          <w:lang w:val="en-GB"/>
        </w:rPr>
        <w:t xml:space="preserve">at an abundance of 90.92% with Ne being an impurity in the Ar plasma </w:t>
      </w:r>
      <w:r w:rsidR="0008413A">
        <w:rPr>
          <w:lang w:val="en-GB"/>
        </w:rPr>
        <w:t xml:space="preserve">and nebulizer </w:t>
      </w:r>
      <w:r w:rsidRPr="00B51083">
        <w:rPr>
          <w:lang w:val="en-GB"/>
        </w:rPr>
        <w:t xml:space="preserve">gas. The quadrupole mass filter </w:t>
      </w:r>
      <w:r w:rsidR="008B5D4A">
        <w:rPr>
          <w:lang w:val="en-GB"/>
        </w:rPr>
        <w:t>and ICP-sf-MS in low resolution mode are</w:t>
      </w:r>
      <w:r w:rsidRPr="00B51083">
        <w:rPr>
          <w:lang w:val="en-GB"/>
        </w:rPr>
        <w:t xml:space="preserve"> unable to </w:t>
      </w:r>
      <w:r w:rsidR="008B5D4A">
        <w:rPr>
          <w:lang w:val="en-GB"/>
        </w:rPr>
        <w:t xml:space="preserve">completely </w:t>
      </w:r>
      <w:r w:rsidRPr="00B51083">
        <w:rPr>
          <w:lang w:val="en-GB"/>
        </w:rPr>
        <w:t>resolve the interferen</w:t>
      </w:r>
      <w:r w:rsidR="0008413A">
        <w:rPr>
          <w:lang w:val="en-GB"/>
        </w:rPr>
        <w:t>ce signal from the boron signal. This leads</w:t>
      </w:r>
      <w:r w:rsidRPr="00B51083">
        <w:rPr>
          <w:lang w:val="en-GB"/>
        </w:rPr>
        <w:t xml:space="preserve"> to an overestimation. Contrarily to </w:t>
      </w:r>
      <w:r w:rsidRPr="00B51083">
        <w:rPr>
          <w:vertAlign w:val="superscript"/>
          <w:lang w:val="en-GB"/>
        </w:rPr>
        <w:t>10</w:t>
      </w:r>
      <w:r w:rsidRPr="00B51083">
        <w:rPr>
          <w:lang w:val="en-GB"/>
        </w:rPr>
        <w:t xml:space="preserve">B, no interference is seen around </w:t>
      </w:r>
      <w:r w:rsidRPr="00B51083">
        <w:rPr>
          <w:vertAlign w:val="superscript"/>
          <w:lang w:val="en-GB"/>
        </w:rPr>
        <w:t>11</w:t>
      </w:r>
      <w:r w:rsidRPr="00B51083">
        <w:rPr>
          <w:lang w:val="en-GB"/>
        </w:rPr>
        <w:t>B</w:t>
      </w:r>
      <w:r w:rsidR="008B5D4A">
        <w:rPr>
          <w:lang w:val="en-GB"/>
        </w:rPr>
        <w:t xml:space="preserve"> (not shown)</w:t>
      </w:r>
      <w:r w:rsidRPr="00B51083">
        <w:rPr>
          <w:lang w:val="en-GB"/>
        </w:rPr>
        <w:t xml:space="preserve">. At a </w:t>
      </w:r>
      <w:r>
        <w:rPr>
          <w:lang w:val="en-GB"/>
        </w:rPr>
        <w:t xml:space="preserve">medium </w:t>
      </w:r>
      <w:r w:rsidRPr="00B51083">
        <w:rPr>
          <w:lang w:val="en-GB"/>
        </w:rPr>
        <w:t xml:space="preserve">resolution of 4000 amu both isotopes are no longer interfered. In case </w:t>
      </w:r>
      <w:r w:rsidR="008B5D4A">
        <w:rPr>
          <w:lang w:val="en-GB"/>
        </w:rPr>
        <w:t xml:space="preserve">only </w:t>
      </w:r>
      <w:r w:rsidRPr="00B51083">
        <w:rPr>
          <w:lang w:val="en-GB"/>
        </w:rPr>
        <w:t>ICP-MS</w:t>
      </w:r>
      <w:r w:rsidR="008B5D4A">
        <w:rPr>
          <w:lang w:val="en-GB"/>
        </w:rPr>
        <w:t>,</w:t>
      </w:r>
      <w:r w:rsidRPr="00B51083">
        <w:rPr>
          <w:lang w:val="en-GB"/>
        </w:rPr>
        <w:t xml:space="preserve"> but no ICP-OES is at hand, it is recommended to use the </w:t>
      </w:r>
      <w:r w:rsidRPr="00B51083">
        <w:rPr>
          <w:vertAlign w:val="superscript"/>
          <w:lang w:val="en-GB"/>
        </w:rPr>
        <w:t>11</w:t>
      </w:r>
      <w:r w:rsidRPr="00B51083">
        <w:rPr>
          <w:lang w:val="en-GB"/>
        </w:rPr>
        <w:t>B isotope for ICP-qMS (and for ICP-sf-MS at low resolution mode) or operating with ICP-sf-MS at medium resolution</w:t>
      </w:r>
      <w:r w:rsidR="006C2533">
        <w:rPr>
          <w:lang w:val="en-GB"/>
        </w:rPr>
        <w:t>, since</w:t>
      </w:r>
      <w:r w:rsidRPr="00B51083">
        <w:rPr>
          <w:lang w:val="en-GB"/>
        </w:rPr>
        <w:t xml:space="preserve"> then both isotopes are clear. </w:t>
      </w:r>
    </w:p>
    <w:p w:rsidR="00AC789A" w:rsidRDefault="00AC789A" w:rsidP="00463A8C">
      <w:pPr>
        <w:jc w:val="both"/>
        <w:rPr>
          <w:lang w:val="en-GB"/>
        </w:rPr>
      </w:pPr>
    </w:p>
    <w:p w:rsidR="00AC789A" w:rsidRPr="00AC789A" w:rsidRDefault="00AC789A" w:rsidP="00463A8C">
      <w:pPr>
        <w:jc w:val="both"/>
        <w:rPr>
          <w:b/>
          <w:lang w:val="en-GB"/>
        </w:rPr>
      </w:pPr>
      <w:r w:rsidRPr="00AC789A">
        <w:rPr>
          <w:b/>
          <w:lang w:val="en-GB"/>
        </w:rPr>
        <w:t>Summary</w:t>
      </w:r>
    </w:p>
    <w:p w:rsidR="008B5D4A" w:rsidRDefault="008B5D4A" w:rsidP="00463A8C">
      <w:pPr>
        <w:jc w:val="both"/>
        <w:rPr>
          <w:lang w:val="en-GB"/>
        </w:rPr>
      </w:pPr>
      <w:r>
        <w:rPr>
          <w:lang w:val="en-GB"/>
        </w:rPr>
        <w:t xml:space="preserve">Summarizing, this simple boron determination method is applicable for ICP-OES and ICP-MS systems, the latter using </w:t>
      </w:r>
      <w:r w:rsidRPr="008B5D4A">
        <w:rPr>
          <w:vertAlign w:val="superscript"/>
          <w:lang w:val="en-GB"/>
        </w:rPr>
        <w:t>11</w:t>
      </w:r>
      <w:r>
        <w:rPr>
          <w:lang w:val="en-GB"/>
        </w:rPr>
        <w:t>B or medium resolution.</w:t>
      </w:r>
      <w:r w:rsidR="0008413A">
        <w:rPr>
          <w:lang w:val="en-GB"/>
        </w:rPr>
        <w:t xml:space="preserve"> The sample preparation needs only dilution, and for ICP-MS additionally internal standard.</w:t>
      </w:r>
    </w:p>
    <w:p w:rsidR="008B5D4A" w:rsidRDefault="008B5D4A" w:rsidP="00463A8C">
      <w:pPr>
        <w:jc w:val="both"/>
        <w:rPr>
          <w:lang w:val="en-GB"/>
        </w:rPr>
      </w:pPr>
      <w:r>
        <w:rPr>
          <w:lang w:val="en-GB"/>
        </w:rPr>
        <w:t>However, with respect to the aim</w:t>
      </w:r>
      <w:r w:rsidR="008F1D4D">
        <w:rPr>
          <w:lang w:val="en-GB"/>
        </w:rPr>
        <w:t>ed features</w:t>
      </w:r>
      <w:r>
        <w:rPr>
          <w:lang w:val="en-GB"/>
        </w:rPr>
        <w:t xml:space="preserve"> of this method development</w:t>
      </w:r>
      <w:r w:rsidR="008F1D4D">
        <w:rPr>
          <w:lang w:val="en-GB"/>
        </w:rPr>
        <w:t>, i.e. high precision</w:t>
      </w:r>
      <w:r w:rsidR="0008413A">
        <w:rPr>
          <w:lang w:val="en-GB"/>
        </w:rPr>
        <w:t xml:space="preserve"> and accuracy, ease of handling, </w:t>
      </w:r>
      <w:r w:rsidR="008F1D4D">
        <w:rPr>
          <w:lang w:val="en-GB"/>
        </w:rPr>
        <w:t xml:space="preserve">high throughput and low costs for instrumental investment and operation, as it is needed in </w:t>
      </w:r>
      <w:r>
        <w:rPr>
          <w:lang w:val="en-GB"/>
        </w:rPr>
        <w:t>routine laboratories</w:t>
      </w:r>
      <w:r w:rsidR="008F1D4D">
        <w:rPr>
          <w:lang w:val="en-GB"/>
        </w:rPr>
        <w:t xml:space="preserve">, ICP-OES determination after 1/20 dilution of urine is superior. </w:t>
      </w:r>
      <w:r w:rsidR="0008413A">
        <w:rPr>
          <w:lang w:val="en-GB"/>
        </w:rPr>
        <w:t xml:space="preserve">It fulfils all the necessary requirements regarding </w:t>
      </w:r>
      <w:r w:rsidR="001E288B">
        <w:rPr>
          <w:lang w:val="en-GB"/>
        </w:rPr>
        <w:t xml:space="preserve">simplicity, high precision and high </w:t>
      </w:r>
      <w:r w:rsidR="0008413A">
        <w:rPr>
          <w:lang w:val="en-GB"/>
        </w:rPr>
        <w:t>accuracy at least as ICP-MS systems, has easily sufficiently low LOD</w:t>
      </w:r>
      <w:r w:rsidR="001E288B">
        <w:rPr>
          <w:lang w:val="en-GB"/>
        </w:rPr>
        <w:t xml:space="preserve"> and charges considerably less the budget, the latter being an important factor for health authorities.</w:t>
      </w:r>
    </w:p>
    <w:p w:rsidR="00281A45" w:rsidRDefault="00281A45" w:rsidP="00463A8C">
      <w:pPr>
        <w:jc w:val="both"/>
        <w:rPr>
          <w:lang w:val="en-GB"/>
        </w:rPr>
      </w:pPr>
    </w:p>
    <w:p w:rsidR="00281A45" w:rsidRPr="00281A45" w:rsidRDefault="00281A45" w:rsidP="00463A8C">
      <w:pPr>
        <w:jc w:val="both"/>
        <w:rPr>
          <w:b/>
          <w:lang w:val="en-GB"/>
        </w:rPr>
      </w:pPr>
      <w:r w:rsidRPr="00281A45">
        <w:rPr>
          <w:b/>
          <w:lang w:val="en-GB"/>
        </w:rPr>
        <w:t>Conflict of interest:</w:t>
      </w:r>
    </w:p>
    <w:p w:rsidR="00281A45" w:rsidRDefault="00281A45" w:rsidP="00463A8C">
      <w:pPr>
        <w:jc w:val="both"/>
        <w:rPr>
          <w:lang w:val="en-GB"/>
        </w:rPr>
      </w:pPr>
      <w:r>
        <w:rPr>
          <w:lang w:val="en-GB"/>
        </w:rPr>
        <w:t>None</w:t>
      </w:r>
    </w:p>
    <w:p w:rsidR="00B806B8" w:rsidRDefault="00B806B8" w:rsidP="00463A8C">
      <w:pPr>
        <w:jc w:val="both"/>
        <w:rPr>
          <w:lang w:val="en-GB"/>
        </w:rPr>
      </w:pPr>
    </w:p>
    <w:p w:rsidR="00B806B8" w:rsidRPr="00B806B8" w:rsidRDefault="00B806B8" w:rsidP="00463A8C">
      <w:pPr>
        <w:jc w:val="both"/>
        <w:rPr>
          <w:b/>
          <w:lang w:val="en-GB"/>
        </w:rPr>
      </w:pPr>
      <w:r w:rsidRPr="00B806B8">
        <w:rPr>
          <w:b/>
          <w:lang w:val="en-GB"/>
        </w:rPr>
        <w:t>Acknowledgement</w:t>
      </w:r>
    </w:p>
    <w:p w:rsidR="00B806B8" w:rsidRPr="00B51083" w:rsidRDefault="00B806B8" w:rsidP="00463A8C">
      <w:pPr>
        <w:jc w:val="both"/>
        <w:rPr>
          <w:lang w:val="en-GB"/>
        </w:rPr>
      </w:pPr>
      <w:r>
        <w:rPr>
          <w:lang w:val="en-GB"/>
        </w:rPr>
        <w:t xml:space="preserve">I am thankful to the technical assistance </w:t>
      </w:r>
      <w:r w:rsidR="006C2533">
        <w:rPr>
          <w:lang w:val="en-GB"/>
        </w:rPr>
        <w:t>of</w:t>
      </w:r>
      <w:r>
        <w:rPr>
          <w:lang w:val="en-GB"/>
        </w:rPr>
        <w:t xml:space="preserve"> Peter Grill for ICP-OES and ICP-sf-MS measurements.</w:t>
      </w:r>
    </w:p>
    <w:p w:rsidR="006D6388" w:rsidRPr="00797536" w:rsidRDefault="006D6388" w:rsidP="00797536">
      <w:pPr>
        <w:jc w:val="both"/>
        <w:rPr>
          <w:lang w:val="en-GB"/>
        </w:rPr>
      </w:pPr>
    </w:p>
    <w:p w:rsidR="002733AA" w:rsidRDefault="006A5690" w:rsidP="00DB3803">
      <w:pPr>
        <w:jc w:val="both"/>
        <w:rPr>
          <w:b/>
          <w:bCs/>
          <w:lang w:val="en-GB"/>
        </w:rPr>
      </w:pPr>
      <w:r>
        <w:rPr>
          <w:b/>
          <w:bCs/>
          <w:lang w:val="en-GB"/>
        </w:rPr>
        <w:t>References</w:t>
      </w:r>
    </w:p>
    <w:p w:rsidR="00B717AE" w:rsidRPr="000C7C95" w:rsidRDefault="002733AA" w:rsidP="00B717AE">
      <w:pPr>
        <w:pStyle w:val="EndNoteBibliography"/>
        <w:rPr>
          <w:lang w:val="en-US"/>
        </w:rPr>
      </w:pPr>
      <w:r>
        <w:rPr>
          <w:b/>
          <w:bCs/>
          <w:lang w:val="en-GB"/>
        </w:rPr>
        <w:fldChar w:fldCharType="begin"/>
      </w:r>
      <w:r>
        <w:rPr>
          <w:b/>
          <w:bCs/>
          <w:lang w:val="en-GB"/>
        </w:rPr>
        <w:instrText xml:space="preserve"> ADDIN EN.REFLIST </w:instrText>
      </w:r>
      <w:r>
        <w:rPr>
          <w:b/>
          <w:bCs/>
          <w:lang w:val="en-GB"/>
        </w:rPr>
        <w:fldChar w:fldCharType="separate"/>
      </w:r>
      <w:r w:rsidR="00B717AE" w:rsidRPr="000C7C95">
        <w:rPr>
          <w:lang w:val="en-US"/>
        </w:rPr>
        <w:t>[1] S. Cortes, E. Reynaga-Delgado, A.M. Sancha, C. Ferreccio, Boron exposure assessment using drinking water and urine in the North of Chile, Sci Total Environ, 410 (2011) 96-101.</w:t>
      </w:r>
    </w:p>
    <w:p w:rsidR="00B717AE" w:rsidRPr="000C7C95" w:rsidRDefault="00B717AE" w:rsidP="00B717AE">
      <w:pPr>
        <w:pStyle w:val="EndNoteBibliography"/>
        <w:rPr>
          <w:lang w:val="en-US"/>
        </w:rPr>
      </w:pPr>
      <w:r w:rsidRPr="000C7C95">
        <w:rPr>
          <w:lang w:val="en-US"/>
        </w:rPr>
        <w:t>[2] G. Concha, K. Broberg, M. Grander, A. Cardozo, B. Palm, M. Vahter, High-Level Exposure to Lithium, Boron, Cesium, and Arsenic via Drinking Water in the Andes of Northern Argentina, Environmental science &amp; technology, 44 (2010) 6875-6880.</w:t>
      </w:r>
    </w:p>
    <w:p w:rsidR="00B717AE" w:rsidRPr="000C7C95" w:rsidRDefault="00B717AE" w:rsidP="00B717AE">
      <w:pPr>
        <w:pStyle w:val="EndNoteBibliography"/>
        <w:rPr>
          <w:lang w:val="en-US"/>
        </w:rPr>
      </w:pPr>
      <w:r w:rsidRPr="000C7C95">
        <w:rPr>
          <w:lang w:val="en-US"/>
        </w:rPr>
        <w:lastRenderedPageBreak/>
        <w:t>[3] EFSA, Opinion of the Scientific Panel on Dietetic Products, Nutrition and Allergies on a request from the Commission related to the Tolerable Upper Intake Level of Boron (Sodium Borate and Boric Acid). (Request No. EFSA-Q-2003-018) (adopted on 8 July 2004). , The EFSA Journal, 2 (2004) 1-22.</w:t>
      </w:r>
    </w:p>
    <w:p w:rsidR="00B717AE" w:rsidRPr="000C7C95" w:rsidRDefault="00B717AE" w:rsidP="00B717AE">
      <w:pPr>
        <w:pStyle w:val="EndNoteBibliography"/>
        <w:rPr>
          <w:lang w:val="en-US"/>
        </w:rPr>
      </w:pPr>
      <w:r w:rsidRPr="000C7C95">
        <w:rPr>
          <w:lang w:val="en-US"/>
        </w:rPr>
        <w:t>[4] U. Reuter, I. Rengel, H. SterzlEckert, S. Forderkunz, R. Bartsch, H. Greim, Examples of MAK values and carcinogenicity classification for mixtures, Food Chem Toxicol, 34 (1996) 1167-1168.</w:t>
      </w:r>
    </w:p>
    <w:p w:rsidR="00B717AE" w:rsidRPr="000C7C95" w:rsidRDefault="00B717AE" w:rsidP="00B717AE">
      <w:pPr>
        <w:pStyle w:val="EndNoteBibliography"/>
        <w:rPr>
          <w:lang w:val="en-US"/>
        </w:rPr>
      </w:pPr>
      <w:r w:rsidRPr="000C7C95">
        <w:rPr>
          <w:lang w:val="en-US"/>
        </w:rPr>
        <w:t>[5] Panel-on-Micronutrients, Dietary Reference Intakes. Chaper 13: Arsenic, Boron, Nickel, Silicon, and Vanadium Dietary Reference Intakes for Vitamin A, Vitamin K, Arsenic, Boron, Chromium, Copper, Iodine, Iron, Manganese, Molybdenum, Nickel, Silicon, Vanadium, and Zinc. , in: PoM (Ed.) A Report of the Panel on Micronutrients (PoM), Subcommittees on Upper Reference Levels of Nutrients and of Interpretation and Uses of Dietary Reference Intakes, and the Standing Committee on the Scientific Evaluation of Dietary Reference Intakes, National Academy Press, Washington D.C., 2001, pp. 502-533.</w:t>
      </w:r>
    </w:p>
    <w:p w:rsidR="00B717AE" w:rsidRPr="000C7C95" w:rsidRDefault="00B717AE" w:rsidP="00B717AE">
      <w:pPr>
        <w:pStyle w:val="EndNoteBibliography"/>
        <w:rPr>
          <w:lang w:val="en-US"/>
        </w:rPr>
      </w:pPr>
      <w:r w:rsidRPr="000C7C95">
        <w:rPr>
          <w:lang w:val="en-US"/>
        </w:rPr>
        <w:t>[6] F.H. Nielsen, Update on human health effects of boron, J Trace Elem Med Bio, 28 (2014) 383-387.</w:t>
      </w:r>
    </w:p>
    <w:p w:rsidR="00B717AE" w:rsidRPr="00B717AE" w:rsidRDefault="00B717AE" w:rsidP="00B717AE">
      <w:pPr>
        <w:pStyle w:val="EndNoteBibliography"/>
      </w:pPr>
      <w:r w:rsidRPr="00B717AE">
        <w:t>[7] BAuA, Begründung zu Borsäure und Natriumborate in TRGS 900, in: A.f.G.-A.-G.-. BAuA (Ed.) TRGS 900, BAuA, Berlin, 2007.</w:t>
      </w:r>
    </w:p>
    <w:p w:rsidR="00B717AE" w:rsidRPr="00B717AE" w:rsidRDefault="00B717AE" w:rsidP="00B717AE">
      <w:pPr>
        <w:pStyle w:val="EndNoteBibliography"/>
      </w:pPr>
      <w:r w:rsidRPr="00B717AE">
        <w:t>[8] H. Greim, Gesundheitsschädliche Arbeitsstoffe, Toxikologisch-arbeitsmedizinische Begründungen von MAK-Werten, Loseblattsammlung, 23. Lfg., , in: G. H. (Ed.) Loseblattsammlung, Deutsche Forschungsgemeinschaft, Weinheim, 1996.</w:t>
      </w:r>
    </w:p>
    <w:p w:rsidR="00B717AE" w:rsidRPr="000C7C95" w:rsidRDefault="00B717AE" w:rsidP="00B717AE">
      <w:pPr>
        <w:pStyle w:val="EndNoteBibliography"/>
        <w:rPr>
          <w:lang w:val="en-US"/>
        </w:rPr>
      </w:pPr>
      <w:r w:rsidRPr="00B717AE">
        <w:t xml:space="preserve">[9] WHO, Environmental Health Criteria 204, Boron, in: W.H. Organization (Ed.) </w:t>
      </w:r>
      <w:r w:rsidRPr="000C7C95">
        <w:rPr>
          <w:lang w:val="en-US"/>
        </w:rPr>
        <w:t>International Programme on Chemical Safety, WHO, Geneva, 1998.</w:t>
      </w:r>
    </w:p>
    <w:p w:rsidR="00B717AE" w:rsidRPr="000C7C95" w:rsidRDefault="00B717AE" w:rsidP="00B717AE">
      <w:pPr>
        <w:pStyle w:val="EndNoteBibliography"/>
        <w:rPr>
          <w:lang w:val="en-US"/>
        </w:rPr>
      </w:pPr>
      <w:r w:rsidRPr="000C7C95">
        <w:rPr>
          <w:lang w:val="en-US"/>
        </w:rPr>
        <w:t>[10] W.A. Robbins, L. Xun, J. Jia, N. Kennedy, D.A. Elashoff, L. Ping, Chronic boron exposure and human semen parameters, Reprod Toxicol, 29 (2010) 184-190.</w:t>
      </w:r>
    </w:p>
    <w:p w:rsidR="00B717AE" w:rsidRPr="000C7C95" w:rsidRDefault="00B717AE" w:rsidP="00B717AE">
      <w:pPr>
        <w:pStyle w:val="EndNoteBibliography"/>
        <w:rPr>
          <w:lang w:val="en-US"/>
        </w:rPr>
      </w:pPr>
      <w:r w:rsidRPr="00B717AE">
        <w:t xml:space="preserve">[11] A. Hartwig, Borsäure und Tetraborate. Gesundheitsschädliche Arbeitsstoffe, Toxikologisch-arbeitsmedizinische Begründungen von MAK-Werten, in: A. Hartwig (Ed.) </w:t>
      </w:r>
      <w:r w:rsidRPr="000C7C95">
        <w:rPr>
          <w:lang w:val="en-US"/>
        </w:rPr>
        <w:t>MAK collection, Deutsche Forschungsgemeinschaft DFG, Weinheim, 2011.</w:t>
      </w:r>
    </w:p>
    <w:p w:rsidR="00B717AE" w:rsidRPr="000C7C95" w:rsidRDefault="00B717AE" w:rsidP="00B717AE">
      <w:pPr>
        <w:pStyle w:val="EndNoteBibliography"/>
        <w:rPr>
          <w:lang w:val="en-US"/>
        </w:rPr>
      </w:pPr>
      <w:r w:rsidRPr="000C7C95">
        <w:rPr>
          <w:lang w:val="en-US"/>
        </w:rPr>
        <w:t>[12] F. Koc, E. Aysan, M. Hasbahceci, B. Arpaci, S. Gecer, S. Demirci, F. Sahin, Relationship Not Found Between Blood and Urine Concentrations and Body Mass Index in Humans With Apparently Adequate Boron Status, Biol Trace Elem Res, 171 (2016) 246-250.</w:t>
      </w:r>
    </w:p>
    <w:p w:rsidR="00B717AE" w:rsidRPr="000C7C95" w:rsidRDefault="00B717AE" w:rsidP="00B717AE">
      <w:pPr>
        <w:pStyle w:val="EndNoteBibliography"/>
        <w:rPr>
          <w:lang w:val="en-US"/>
        </w:rPr>
      </w:pPr>
      <w:r w:rsidRPr="000C7C95">
        <w:rPr>
          <w:lang w:val="en-US"/>
        </w:rPr>
        <w:t>[13] M. Korkmaz, U. Sayli, B.S. Sayli, S. Bakirdere, S. Titretir, O.Y. Ataman, S. Keskin, Estimation of human daily boron exposure in a boron-rich area, Brit J Nutr, 98 (2007) 571-575.</w:t>
      </w:r>
    </w:p>
    <w:p w:rsidR="00B717AE" w:rsidRPr="000C7C95" w:rsidRDefault="00B717AE" w:rsidP="00B717AE">
      <w:pPr>
        <w:pStyle w:val="EndNoteBibliography"/>
        <w:rPr>
          <w:lang w:val="en-US"/>
        </w:rPr>
      </w:pPr>
      <w:r w:rsidRPr="000C7C95">
        <w:rPr>
          <w:lang w:val="en-US"/>
        </w:rPr>
        <w:t>[14] Anonymus, ICP-MS Interference Table, Thermo Fischer Scientific, 1995.</w:t>
      </w:r>
    </w:p>
    <w:p w:rsidR="007A2466" w:rsidRDefault="002733AA" w:rsidP="00DB3803">
      <w:pPr>
        <w:jc w:val="both"/>
        <w:rPr>
          <w:b/>
          <w:bCs/>
          <w:lang w:val="en-GB"/>
        </w:rPr>
      </w:pPr>
      <w:r>
        <w:rPr>
          <w:b/>
          <w:bCs/>
          <w:lang w:val="en-GB"/>
        </w:rPr>
        <w:fldChar w:fldCharType="end"/>
      </w:r>
    </w:p>
    <w:p w:rsidR="003A5C32" w:rsidRPr="003A5C32" w:rsidRDefault="003A5C32" w:rsidP="003A5C32">
      <w:pPr>
        <w:spacing w:line="240" w:lineRule="auto"/>
        <w:jc w:val="both"/>
        <w:rPr>
          <w:lang w:val="en-GB"/>
        </w:rPr>
      </w:pPr>
      <w:r w:rsidRPr="003A5C32">
        <w:rPr>
          <w:b/>
          <w:lang w:val="en-GB"/>
        </w:rPr>
        <w:t xml:space="preserve">Table 1: </w:t>
      </w:r>
      <w:r w:rsidRPr="003A5C32">
        <w:rPr>
          <w:lang w:val="en-GB"/>
        </w:rPr>
        <w:t>Serial precision of boron determination by ICP-OES in 1/20 diluted urine, with/without doped standard addition (n=10 each). Recoveries are related to doped concentrations.</w:t>
      </w:r>
    </w:p>
    <w:p w:rsidR="003A5C32" w:rsidRPr="003A5C32" w:rsidRDefault="003A5C32" w:rsidP="003A5C32">
      <w:pPr>
        <w:spacing w:line="240" w:lineRule="auto"/>
        <w:jc w:val="both"/>
        <w:rPr>
          <w:lang w:val="en-GB"/>
        </w:rPr>
      </w:pPr>
    </w:p>
    <w:p w:rsidR="003A5C32" w:rsidRPr="003A5C32" w:rsidRDefault="003A5C32" w:rsidP="003A5C32">
      <w:pPr>
        <w:jc w:val="both"/>
        <w:rPr>
          <w:rFonts w:ascii="Arial" w:hAnsi="Arial" w:cs="Arial"/>
          <w:szCs w:val="24"/>
          <w:lang w:val="en-US"/>
        </w:rPr>
      </w:pPr>
    </w:p>
    <w:tbl>
      <w:tblPr>
        <w:tblW w:w="7965" w:type="dxa"/>
        <w:tblInd w:w="55" w:type="dxa"/>
        <w:tblLayout w:type="fixed"/>
        <w:tblCellMar>
          <w:left w:w="70" w:type="dxa"/>
          <w:right w:w="70" w:type="dxa"/>
        </w:tblCellMar>
        <w:tblLook w:val="04A0" w:firstRow="1" w:lastRow="0" w:firstColumn="1" w:lastColumn="0" w:noHBand="0" w:noVBand="1"/>
      </w:tblPr>
      <w:tblGrid>
        <w:gridCol w:w="1365"/>
        <w:gridCol w:w="1498"/>
        <w:gridCol w:w="1472"/>
        <w:gridCol w:w="1350"/>
        <w:gridCol w:w="1080"/>
        <w:gridCol w:w="1200"/>
      </w:tblGrid>
      <w:tr w:rsidR="003A5C32" w:rsidRPr="003A5C32" w:rsidTr="00EF0153">
        <w:trPr>
          <w:trHeight w:val="1095"/>
        </w:trPr>
        <w:tc>
          <w:tcPr>
            <w:tcW w:w="1365"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n=10</w:t>
            </w:r>
          </w:p>
        </w:tc>
        <w:tc>
          <w:tcPr>
            <w:tcW w:w="1498"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lang w:val="en-US"/>
              </w:rPr>
            </w:pPr>
            <w:r w:rsidRPr="003A5C32">
              <w:rPr>
                <w:color w:val="000000"/>
                <w:szCs w:val="24"/>
                <w:lang w:val="en-GB"/>
              </w:rPr>
              <w:t>Doped standard concentration (µg/l)</w:t>
            </w:r>
          </w:p>
        </w:tc>
        <w:tc>
          <w:tcPr>
            <w:tcW w:w="1472"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lang w:val="en-US"/>
              </w:rPr>
            </w:pPr>
            <w:r w:rsidRPr="003A5C32">
              <w:rPr>
                <w:color w:val="000000"/>
                <w:szCs w:val="24"/>
                <w:lang w:val="en-GB"/>
              </w:rPr>
              <w:t>measured concentration mean ± SD (µg/l)</w:t>
            </w:r>
          </w:p>
        </w:tc>
        <w:tc>
          <w:tcPr>
            <w:tcW w:w="1350"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lang w:val="en-US"/>
              </w:rPr>
            </w:pPr>
            <w:r w:rsidRPr="003A5C32">
              <w:rPr>
                <w:rFonts w:ascii="Calibri" w:hAnsi="Calibri"/>
                <w:b/>
                <w:bCs/>
                <w:color w:val="000000"/>
                <w:sz w:val="22"/>
                <w:szCs w:val="22"/>
                <w:lang w:val="en-US"/>
              </w:rPr>
              <w:t>relative standard deviation: serial precision (%)</w:t>
            </w:r>
          </w:p>
        </w:tc>
        <w:tc>
          <w:tcPr>
            <w:tcW w:w="1080" w:type="dxa"/>
            <w:tcBorders>
              <w:top w:val="single" w:sz="4" w:space="0" w:color="auto"/>
              <w:bottom w:val="single" w:sz="4" w:space="0" w:color="auto"/>
            </w:tcBorders>
          </w:tcPr>
          <w:p w:rsidR="003A5C32" w:rsidRPr="003A5C32" w:rsidRDefault="003A5C32" w:rsidP="003A5C32">
            <w:pPr>
              <w:spacing w:line="240" w:lineRule="auto"/>
              <w:jc w:val="center"/>
              <w:rPr>
                <w:rFonts w:ascii="Calibri" w:hAnsi="Calibri"/>
                <w:bCs/>
                <w:color w:val="000000"/>
                <w:sz w:val="22"/>
                <w:szCs w:val="22"/>
                <w:lang w:val="en-US"/>
              </w:rPr>
            </w:pPr>
            <w:r w:rsidRPr="003A5C32">
              <w:rPr>
                <w:rFonts w:ascii="Calibri" w:hAnsi="Calibri"/>
                <w:bCs/>
                <w:color w:val="000000"/>
                <w:sz w:val="22"/>
                <w:szCs w:val="22"/>
                <w:lang w:val="en-US"/>
              </w:rPr>
              <w:t xml:space="preserve">Difference to urine 1 </w:t>
            </w:r>
          </w:p>
          <w:p w:rsidR="003A5C32" w:rsidRPr="003A5C32" w:rsidRDefault="003A5C32" w:rsidP="003A5C32">
            <w:pPr>
              <w:spacing w:line="240" w:lineRule="auto"/>
              <w:jc w:val="center"/>
              <w:rPr>
                <w:rFonts w:ascii="Calibri" w:hAnsi="Calibri"/>
                <w:bCs/>
                <w:color w:val="000000"/>
                <w:sz w:val="22"/>
                <w:szCs w:val="22"/>
                <w:lang w:val="en-US"/>
              </w:rPr>
            </w:pPr>
            <w:r w:rsidRPr="003A5C32">
              <w:rPr>
                <w:rFonts w:ascii="Calibri" w:hAnsi="Calibri"/>
                <w:bCs/>
                <w:color w:val="000000"/>
                <w:sz w:val="22"/>
                <w:szCs w:val="22"/>
                <w:lang w:val="en-US"/>
              </w:rPr>
              <w:t>1/20</w:t>
            </w:r>
          </w:p>
          <w:p w:rsidR="003A5C32" w:rsidRPr="003A5C32" w:rsidRDefault="003A5C32" w:rsidP="003A5C32">
            <w:pPr>
              <w:spacing w:line="240" w:lineRule="auto"/>
              <w:jc w:val="center"/>
              <w:rPr>
                <w:rFonts w:ascii="Calibri" w:hAnsi="Calibri"/>
                <w:bCs/>
                <w:color w:val="000000"/>
                <w:sz w:val="22"/>
                <w:szCs w:val="22"/>
                <w:lang w:val="en-US"/>
              </w:rPr>
            </w:pPr>
            <w:r w:rsidRPr="003A5C32">
              <w:rPr>
                <w:rFonts w:ascii="Calibri" w:hAnsi="Calibri"/>
                <w:bCs/>
                <w:color w:val="000000"/>
                <w:sz w:val="22"/>
                <w:szCs w:val="22"/>
                <w:lang w:val="en-US"/>
              </w:rPr>
              <w:t>(µg/L)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rPr>
              <w:t>recovery (%)</w:t>
            </w:r>
          </w:p>
        </w:tc>
      </w:tr>
      <w:tr w:rsidR="003A5C32" w:rsidRPr="003A5C32" w:rsidTr="00EF0153">
        <w:trPr>
          <w:trHeight w:val="315"/>
        </w:trPr>
        <w:tc>
          <w:tcPr>
            <w:tcW w:w="1365"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urine No. 1; 1/20</w:t>
            </w:r>
          </w:p>
        </w:tc>
        <w:tc>
          <w:tcPr>
            <w:tcW w:w="1498"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0</w:t>
            </w:r>
          </w:p>
        </w:tc>
        <w:tc>
          <w:tcPr>
            <w:tcW w:w="1472"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123.7± 1.7</w:t>
            </w:r>
          </w:p>
        </w:tc>
        <w:tc>
          <w:tcPr>
            <w:tcW w:w="1350"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1.4%</w:t>
            </w:r>
          </w:p>
        </w:tc>
        <w:tc>
          <w:tcPr>
            <w:tcW w:w="1080" w:type="dxa"/>
            <w:tcBorders>
              <w:top w:val="nil"/>
              <w:bottom w:val="single" w:sz="4" w:space="0" w:color="auto"/>
            </w:tcBorders>
            <w:vAlign w:val="center"/>
          </w:tcPr>
          <w:p w:rsidR="003A5C32" w:rsidRPr="003A5C32" w:rsidRDefault="003A5C32" w:rsidP="003A5C32">
            <w:pPr>
              <w:spacing w:line="240" w:lineRule="auto"/>
              <w:jc w:val="center"/>
              <w:rPr>
                <w:color w:val="000000"/>
                <w:szCs w:val="24"/>
                <w:lang w:val="en-GB"/>
              </w:rPr>
            </w:pPr>
            <w:r w:rsidRPr="003A5C32">
              <w:rPr>
                <w:color w:val="000000"/>
                <w:szCs w:val="24"/>
                <w:lang w:val="en-GB"/>
              </w:rPr>
              <w:t>-</w:t>
            </w:r>
          </w:p>
        </w:tc>
        <w:tc>
          <w:tcPr>
            <w:tcW w:w="1200" w:type="dxa"/>
            <w:tcBorders>
              <w:top w:val="nil"/>
              <w:left w:val="nil"/>
              <w:bottom w:val="single" w:sz="4" w:space="0" w:color="auto"/>
              <w:right w:val="single" w:sz="4" w:space="0" w:color="auto"/>
            </w:tcBorders>
            <w:shd w:val="clear" w:color="auto" w:fill="auto"/>
            <w:noWrap/>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30"/>
        </w:trPr>
        <w:tc>
          <w:tcPr>
            <w:tcW w:w="1365"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 xml:space="preserve">urine No. 1; 1/20 +50 µg/L </w:t>
            </w:r>
          </w:p>
        </w:tc>
        <w:tc>
          <w:tcPr>
            <w:tcW w:w="1498"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50</w:t>
            </w:r>
          </w:p>
        </w:tc>
        <w:tc>
          <w:tcPr>
            <w:tcW w:w="1472"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178.6± 1.71</w:t>
            </w:r>
          </w:p>
        </w:tc>
        <w:tc>
          <w:tcPr>
            <w:tcW w:w="1350"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w:t>
            </w:r>
          </w:p>
        </w:tc>
        <w:tc>
          <w:tcPr>
            <w:tcW w:w="1080" w:type="dxa"/>
            <w:tcBorders>
              <w:top w:val="nil"/>
              <w:bottom w:val="single" w:sz="4" w:space="0" w:color="auto"/>
            </w:tcBorders>
            <w:vAlign w:val="center"/>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54.9</w:t>
            </w:r>
          </w:p>
        </w:tc>
        <w:tc>
          <w:tcPr>
            <w:tcW w:w="1200" w:type="dxa"/>
            <w:tcBorders>
              <w:top w:val="nil"/>
              <w:left w:val="nil"/>
              <w:bottom w:val="single" w:sz="4" w:space="0" w:color="auto"/>
              <w:right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109.8%</w:t>
            </w:r>
          </w:p>
        </w:tc>
      </w:tr>
      <w:tr w:rsidR="003A5C32" w:rsidRPr="003A5C32" w:rsidTr="00EF0153">
        <w:trPr>
          <w:trHeight w:val="630"/>
        </w:trPr>
        <w:tc>
          <w:tcPr>
            <w:tcW w:w="1365"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lastRenderedPageBreak/>
              <w:t xml:space="preserve">urine No. 1; 1/20 +150 µg/L </w:t>
            </w:r>
          </w:p>
        </w:tc>
        <w:tc>
          <w:tcPr>
            <w:tcW w:w="1498"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150</w:t>
            </w:r>
          </w:p>
        </w:tc>
        <w:tc>
          <w:tcPr>
            <w:tcW w:w="1472"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281.7± 3.3</w:t>
            </w:r>
          </w:p>
        </w:tc>
        <w:tc>
          <w:tcPr>
            <w:tcW w:w="1350"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1.2%</w:t>
            </w:r>
          </w:p>
        </w:tc>
        <w:tc>
          <w:tcPr>
            <w:tcW w:w="1080" w:type="dxa"/>
            <w:tcBorders>
              <w:top w:val="nil"/>
              <w:bottom w:val="single" w:sz="4" w:space="0" w:color="auto"/>
            </w:tcBorders>
            <w:vAlign w:val="center"/>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158.0</w:t>
            </w:r>
          </w:p>
        </w:tc>
        <w:tc>
          <w:tcPr>
            <w:tcW w:w="1200" w:type="dxa"/>
            <w:tcBorders>
              <w:top w:val="nil"/>
              <w:left w:val="nil"/>
              <w:bottom w:val="single" w:sz="4" w:space="0" w:color="auto"/>
              <w:right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105.3%</w:t>
            </w:r>
          </w:p>
        </w:tc>
      </w:tr>
    </w:tbl>
    <w:p w:rsidR="003A5C32" w:rsidRPr="003A5C32" w:rsidRDefault="003A5C32" w:rsidP="003A5C32">
      <w:pPr>
        <w:jc w:val="both"/>
        <w:rPr>
          <w:rFonts w:ascii="Arial" w:hAnsi="Arial" w:cs="Arial"/>
          <w:szCs w:val="24"/>
        </w:rPr>
      </w:pPr>
    </w:p>
    <w:p w:rsidR="003A5C32" w:rsidRPr="003A5C32" w:rsidRDefault="003A5C32" w:rsidP="003A5C32">
      <w:pPr>
        <w:spacing w:after="200" w:line="276" w:lineRule="auto"/>
        <w:rPr>
          <w:rFonts w:ascii="Calibri" w:eastAsia="Calibri" w:hAnsi="Calibri"/>
          <w:sz w:val="22"/>
          <w:szCs w:val="22"/>
          <w:lang w:eastAsia="en-US"/>
        </w:rPr>
      </w:pPr>
    </w:p>
    <w:p w:rsidR="003A5C32" w:rsidRPr="003A5C32" w:rsidRDefault="003A5C32" w:rsidP="003A5C32">
      <w:pPr>
        <w:spacing w:after="200" w:line="276" w:lineRule="auto"/>
        <w:rPr>
          <w:rFonts w:ascii="Calibri" w:eastAsia="Calibri" w:hAnsi="Calibri"/>
          <w:sz w:val="22"/>
          <w:szCs w:val="22"/>
          <w:lang w:val="en-GB" w:eastAsia="en-US"/>
        </w:rPr>
      </w:pPr>
    </w:p>
    <w:p w:rsidR="003A5C32" w:rsidRPr="003A5C32" w:rsidRDefault="003A5C32" w:rsidP="003A5C32">
      <w:pPr>
        <w:spacing w:line="240" w:lineRule="auto"/>
        <w:jc w:val="both"/>
        <w:rPr>
          <w:lang w:val="en-GB"/>
        </w:rPr>
      </w:pPr>
      <w:r w:rsidRPr="003A5C32">
        <w:rPr>
          <w:b/>
          <w:szCs w:val="24"/>
          <w:lang w:val="en-US"/>
        </w:rPr>
        <w:t xml:space="preserve">Table 2: </w:t>
      </w:r>
      <w:r w:rsidRPr="003A5C32">
        <w:rPr>
          <w:szCs w:val="24"/>
          <w:lang w:val="en-US"/>
        </w:rPr>
        <w:t xml:space="preserve">Day-to-day precision of boron determination </w:t>
      </w:r>
      <w:r w:rsidRPr="003A5C32">
        <w:rPr>
          <w:lang w:val="en-GB"/>
        </w:rPr>
        <w:t xml:space="preserve">by ICP-OES </w:t>
      </w:r>
      <w:r w:rsidRPr="003A5C32">
        <w:rPr>
          <w:szCs w:val="24"/>
          <w:lang w:val="en-US"/>
        </w:rPr>
        <w:t>in 1/20 diluted urine, with/without doped standard addition (n=10 each).</w:t>
      </w:r>
      <w:r w:rsidRPr="003A5C32">
        <w:rPr>
          <w:lang w:val="en-GB"/>
        </w:rPr>
        <w:t xml:space="preserve"> Recoveries are related to doped concentrations.</w:t>
      </w:r>
    </w:p>
    <w:p w:rsidR="003A5C32" w:rsidRPr="003A5C32" w:rsidRDefault="003A5C32" w:rsidP="003A5C32">
      <w:pPr>
        <w:spacing w:line="240" w:lineRule="auto"/>
        <w:jc w:val="both"/>
        <w:rPr>
          <w:b/>
          <w:szCs w:val="24"/>
          <w:lang w:val="en-US"/>
        </w:rPr>
      </w:pPr>
    </w:p>
    <w:p w:rsidR="003A5C32" w:rsidRPr="003A5C32" w:rsidRDefault="003A5C32" w:rsidP="003A5C32">
      <w:pPr>
        <w:spacing w:line="240" w:lineRule="auto"/>
        <w:jc w:val="both"/>
        <w:rPr>
          <w:szCs w:val="24"/>
          <w:lang w:val="en-US"/>
        </w:rPr>
      </w:pPr>
    </w:p>
    <w:tbl>
      <w:tblPr>
        <w:tblW w:w="9157" w:type="dxa"/>
        <w:tblInd w:w="55" w:type="dxa"/>
        <w:tblCellMar>
          <w:left w:w="70" w:type="dxa"/>
          <w:right w:w="70" w:type="dxa"/>
        </w:tblCellMar>
        <w:tblLook w:val="04A0" w:firstRow="1" w:lastRow="0" w:firstColumn="1" w:lastColumn="0" w:noHBand="0" w:noVBand="1"/>
      </w:tblPr>
      <w:tblGrid>
        <w:gridCol w:w="1867"/>
        <w:gridCol w:w="1701"/>
        <w:gridCol w:w="1447"/>
        <w:gridCol w:w="1749"/>
        <w:gridCol w:w="1193"/>
        <w:gridCol w:w="1200"/>
      </w:tblGrid>
      <w:tr w:rsidR="003A5C32" w:rsidRPr="003A5C32" w:rsidTr="00EF0153">
        <w:trPr>
          <w:trHeight w:val="945"/>
        </w:trPr>
        <w:tc>
          <w:tcPr>
            <w:tcW w:w="1867"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n=10</w:t>
            </w:r>
          </w:p>
        </w:tc>
        <w:tc>
          <w:tcPr>
            <w:tcW w:w="1701"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lang w:val="en-US"/>
              </w:rPr>
            </w:pPr>
            <w:r w:rsidRPr="003A5C32">
              <w:rPr>
                <w:color w:val="000000"/>
                <w:szCs w:val="24"/>
                <w:lang w:val="en-GB"/>
              </w:rPr>
              <w:t>Doped standard concentration [µg/l]</w:t>
            </w:r>
          </w:p>
        </w:tc>
        <w:tc>
          <w:tcPr>
            <w:tcW w:w="1447"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lang w:val="en-US"/>
              </w:rPr>
            </w:pPr>
            <w:r w:rsidRPr="003A5C32">
              <w:rPr>
                <w:color w:val="000000"/>
                <w:szCs w:val="24"/>
                <w:lang w:val="en-GB"/>
              </w:rPr>
              <w:t>measured concentration mean ± SD (µg/l)</w:t>
            </w:r>
          </w:p>
        </w:tc>
        <w:tc>
          <w:tcPr>
            <w:tcW w:w="1749"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lang w:val="en-US"/>
              </w:rPr>
            </w:pPr>
            <w:r w:rsidRPr="003A5C32">
              <w:rPr>
                <w:rFonts w:ascii="Calibri" w:hAnsi="Calibri"/>
                <w:b/>
                <w:bCs/>
                <w:color w:val="000000"/>
                <w:sz w:val="22"/>
                <w:szCs w:val="22"/>
                <w:lang w:val="en-US"/>
              </w:rPr>
              <w:t>relative standard deviation: day to day precision (%)</w:t>
            </w:r>
          </w:p>
        </w:tc>
        <w:tc>
          <w:tcPr>
            <w:tcW w:w="1193" w:type="dxa"/>
            <w:tcBorders>
              <w:top w:val="single" w:sz="4" w:space="0" w:color="auto"/>
              <w:left w:val="nil"/>
              <w:bottom w:val="single" w:sz="4" w:space="0" w:color="auto"/>
              <w:right w:val="nil"/>
            </w:tcBorders>
          </w:tcPr>
          <w:p w:rsidR="003A5C32" w:rsidRPr="003A5C32" w:rsidRDefault="003A5C32" w:rsidP="003A5C32">
            <w:pPr>
              <w:spacing w:line="240" w:lineRule="auto"/>
              <w:jc w:val="center"/>
              <w:rPr>
                <w:rFonts w:ascii="Calibri" w:hAnsi="Calibri"/>
                <w:bCs/>
                <w:color w:val="000000"/>
                <w:sz w:val="22"/>
                <w:szCs w:val="22"/>
                <w:lang w:val="en-US"/>
              </w:rPr>
            </w:pPr>
            <w:r w:rsidRPr="003A5C32">
              <w:rPr>
                <w:rFonts w:ascii="Calibri" w:hAnsi="Calibri"/>
                <w:bCs/>
                <w:color w:val="000000"/>
                <w:sz w:val="22"/>
                <w:szCs w:val="22"/>
                <w:lang w:val="en-US"/>
              </w:rPr>
              <w:t xml:space="preserve">Difference to urine 1 </w:t>
            </w:r>
          </w:p>
          <w:p w:rsidR="003A5C32" w:rsidRPr="003A5C32" w:rsidRDefault="003A5C32" w:rsidP="003A5C32">
            <w:pPr>
              <w:spacing w:line="240" w:lineRule="auto"/>
              <w:jc w:val="center"/>
              <w:rPr>
                <w:rFonts w:ascii="Calibri" w:hAnsi="Calibri"/>
                <w:bCs/>
                <w:color w:val="000000"/>
                <w:sz w:val="22"/>
                <w:szCs w:val="22"/>
                <w:lang w:val="en-US"/>
              </w:rPr>
            </w:pPr>
            <w:r w:rsidRPr="003A5C32">
              <w:rPr>
                <w:rFonts w:ascii="Calibri" w:hAnsi="Calibri"/>
                <w:bCs/>
                <w:color w:val="000000"/>
                <w:sz w:val="22"/>
                <w:szCs w:val="22"/>
                <w:lang w:val="en-US"/>
              </w:rPr>
              <w:t>1/20</w:t>
            </w:r>
          </w:p>
          <w:p w:rsidR="003A5C32" w:rsidRPr="003A5C32" w:rsidRDefault="003A5C32" w:rsidP="003A5C32">
            <w:pPr>
              <w:spacing w:line="240" w:lineRule="auto"/>
              <w:jc w:val="center"/>
              <w:rPr>
                <w:color w:val="000000"/>
                <w:szCs w:val="24"/>
                <w:lang w:val="en-US"/>
              </w:rPr>
            </w:pPr>
            <w:r w:rsidRPr="003A5C32">
              <w:rPr>
                <w:rFonts w:ascii="Calibri" w:hAnsi="Calibri"/>
                <w:bCs/>
                <w:color w:val="000000"/>
                <w:sz w:val="22"/>
                <w:szCs w:val="22"/>
                <w:lang w:val="en-US"/>
              </w:rPr>
              <w:t>(µg/L)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rPr>
              <w:t>recovery (%)</w:t>
            </w:r>
          </w:p>
        </w:tc>
      </w:tr>
      <w:tr w:rsidR="003A5C32" w:rsidRPr="003A5C32" w:rsidTr="00EF0153">
        <w:trPr>
          <w:trHeight w:val="315"/>
        </w:trPr>
        <w:tc>
          <w:tcPr>
            <w:tcW w:w="1867"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urine No. 1; 1/20</w:t>
            </w:r>
          </w:p>
        </w:tc>
        <w:tc>
          <w:tcPr>
            <w:tcW w:w="1701"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0</w:t>
            </w:r>
          </w:p>
        </w:tc>
        <w:tc>
          <w:tcPr>
            <w:tcW w:w="1447"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124.9± 2.1</w:t>
            </w:r>
          </w:p>
        </w:tc>
        <w:tc>
          <w:tcPr>
            <w:tcW w:w="1749"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1.7%</w:t>
            </w:r>
          </w:p>
        </w:tc>
        <w:tc>
          <w:tcPr>
            <w:tcW w:w="1193" w:type="dxa"/>
            <w:tcBorders>
              <w:top w:val="nil"/>
              <w:left w:val="nil"/>
              <w:bottom w:val="single" w:sz="4" w:space="0" w:color="auto"/>
              <w:right w:val="nil"/>
            </w:tcBorders>
            <w:vAlign w:val="center"/>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30"/>
        </w:trPr>
        <w:tc>
          <w:tcPr>
            <w:tcW w:w="1867"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 xml:space="preserve">urine No. 1; 1/20 +50 µg/L </w:t>
            </w:r>
          </w:p>
        </w:tc>
        <w:tc>
          <w:tcPr>
            <w:tcW w:w="1701"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50</w:t>
            </w:r>
          </w:p>
        </w:tc>
        <w:tc>
          <w:tcPr>
            <w:tcW w:w="1447"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176.5± 3.2</w:t>
            </w:r>
          </w:p>
        </w:tc>
        <w:tc>
          <w:tcPr>
            <w:tcW w:w="1749"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1.8%</w:t>
            </w:r>
          </w:p>
        </w:tc>
        <w:tc>
          <w:tcPr>
            <w:tcW w:w="1193" w:type="dxa"/>
            <w:tcBorders>
              <w:top w:val="nil"/>
              <w:left w:val="nil"/>
              <w:bottom w:val="single" w:sz="4" w:space="0" w:color="auto"/>
              <w:right w:val="nil"/>
            </w:tcBorders>
            <w:vAlign w:val="center"/>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51.6</w:t>
            </w:r>
          </w:p>
        </w:tc>
        <w:tc>
          <w:tcPr>
            <w:tcW w:w="1200" w:type="dxa"/>
            <w:tcBorders>
              <w:top w:val="nil"/>
              <w:left w:val="nil"/>
              <w:bottom w:val="single" w:sz="4" w:space="0" w:color="auto"/>
              <w:right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103.2%</w:t>
            </w:r>
          </w:p>
        </w:tc>
      </w:tr>
      <w:tr w:rsidR="003A5C32" w:rsidRPr="003A5C32" w:rsidTr="00EF0153">
        <w:trPr>
          <w:trHeight w:val="630"/>
        </w:trPr>
        <w:tc>
          <w:tcPr>
            <w:tcW w:w="1867" w:type="dxa"/>
            <w:tcBorders>
              <w:top w:val="single" w:sz="4" w:space="0" w:color="auto"/>
              <w:left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 xml:space="preserve">urine No. 1; 1/20 +150 µg/L </w:t>
            </w:r>
          </w:p>
        </w:tc>
        <w:tc>
          <w:tcPr>
            <w:tcW w:w="1701"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150</w:t>
            </w:r>
          </w:p>
        </w:tc>
        <w:tc>
          <w:tcPr>
            <w:tcW w:w="1447"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color w:val="000000"/>
                <w:szCs w:val="24"/>
              </w:rPr>
            </w:pPr>
            <w:r w:rsidRPr="003A5C32">
              <w:rPr>
                <w:color w:val="000000"/>
                <w:szCs w:val="24"/>
                <w:lang w:val="en-GB"/>
              </w:rPr>
              <w:t>278.5± 4.8</w:t>
            </w:r>
          </w:p>
        </w:tc>
        <w:tc>
          <w:tcPr>
            <w:tcW w:w="1749" w:type="dxa"/>
            <w:tcBorders>
              <w:top w:val="single" w:sz="4" w:space="0" w:color="auto"/>
              <w:bottom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1.7%</w:t>
            </w:r>
          </w:p>
        </w:tc>
        <w:tc>
          <w:tcPr>
            <w:tcW w:w="1193" w:type="dxa"/>
            <w:tcBorders>
              <w:top w:val="nil"/>
              <w:left w:val="nil"/>
              <w:bottom w:val="single" w:sz="4" w:space="0" w:color="auto"/>
              <w:right w:val="nil"/>
            </w:tcBorders>
            <w:vAlign w:val="center"/>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153.6</w:t>
            </w:r>
          </w:p>
        </w:tc>
        <w:tc>
          <w:tcPr>
            <w:tcW w:w="1200" w:type="dxa"/>
            <w:tcBorders>
              <w:top w:val="nil"/>
              <w:left w:val="nil"/>
              <w:bottom w:val="single" w:sz="4" w:space="0" w:color="auto"/>
              <w:right w:val="single" w:sz="4" w:space="0" w:color="auto"/>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102.4%</w:t>
            </w:r>
          </w:p>
        </w:tc>
      </w:tr>
    </w:tbl>
    <w:p w:rsidR="003A5C32" w:rsidRPr="003A5C32" w:rsidRDefault="003A5C32" w:rsidP="003A5C32">
      <w:pPr>
        <w:spacing w:line="240" w:lineRule="auto"/>
        <w:jc w:val="both"/>
        <w:rPr>
          <w:szCs w:val="24"/>
        </w:rPr>
      </w:pPr>
    </w:p>
    <w:p w:rsidR="003A5C32" w:rsidRPr="003A5C32" w:rsidRDefault="003A5C32" w:rsidP="003A5C32">
      <w:pPr>
        <w:spacing w:after="200" w:line="276" w:lineRule="auto"/>
        <w:rPr>
          <w:rFonts w:ascii="Calibri" w:eastAsia="Calibri" w:hAnsi="Calibri"/>
          <w:sz w:val="22"/>
          <w:szCs w:val="22"/>
          <w:lang w:eastAsia="en-US"/>
        </w:rPr>
      </w:pPr>
    </w:p>
    <w:p w:rsidR="003A5C32" w:rsidRPr="003A5C32" w:rsidRDefault="003A5C32" w:rsidP="003A5C32">
      <w:pPr>
        <w:spacing w:after="200" w:line="276" w:lineRule="auto"/>
        <w:rPr>
          <w:rFonts w:ascii="Calibri" w:eastAsia="Calibri" w:hAnsi="Calibri"/>
          <w:sz w:val="22"/>
          <w:szCs w:val="22"/>
          <w:lang w:val="en-US" w:eastAsia="en-US"/>
        </w:rPr>
      </w:pPr>
    </w:p>
    <w:p w:rsidR="003A5C32" w:rsidRPr="003A5C32" w:rsidRDefault="003A5C32" w:rsidP="003A5C32">
      <w:pPr>
        <w:jc w:val="both"/>
        <w:rPr>
          <w:b/>
          <w:lang w:val="en-GB"/>
        </w:rPr>
      </w:pPr>
      <w:r w:rsidRPr="003A5C32">
        <w:rPr>
          <w:b/>
          <w:lang w:val="en-GB"/>
        </w:rPr>
        <w:t>Table 3: Performance comparison of ICP-OES, ICP-qMS and ICP-sf-MS</w:t>
      </w:r>
    </w:p>
    <w:p w:rsidR="003A5C32" w:rsidRPr="003A5C32" w:rsidRDefault="003A5C32" w:rsidP="003A5C32">
      <w:pPr>
        <w:jc w:val="both"/>
        <w:rPr>
          <w:sz w:val="22"/>
          <w:lang w:val="en-GB"/>
        </w:rPr>
      </w:pPr>
      <w:r w:rsidRPr="003A5C32">
        <w:rPr>
          <w:sz w:val="22"/>
          <w:lang w:val="en-GB"/>
        </w:rPr>
        <w:t xml:space="preserve">* The recovery and related difference of </w:t>
      </w:r>
      <w:r w:rsidRPr="003A5C32">
        <w:rPr>
          <w:i/>
          <w:sz w:val="22"/>
          <w:lang w:val="en-GB"/>
        </w:rPr>
        <w:t>U2</w:t>
      </w:r>
      <w:r w:rsidRPr="003A5C32">
        <w:rPr>
          <w:sz w:val="22"/>
          <w:lang w:val="en-GB"/>
        </w:rPr>
        <w:t xml:space="preserve"> (without addition) relates to the mean value determined from non-interfered determinations (ICP-OES, </w:t>
      </w:r>
      <w:r w:rsidRPr="003A5C32">
        <w:rPr>
          <w:sz w:val="22"/>
          <w:vertAlign w:val="superscript"/>
          <w:lang w:val="en-GB"/>
        </w:rPr>
        <w:t>11</w:t>
      </w:r>
      <w:r w:rsidRPr="003A5C32">
        <w:rPr>
          <w:sz w:val="22"/>
          <w:lang w:val="en-GB"/>
        </w:rPr>
        <w:t xml:space="preserve">B with ICP-qMS and ICP-sf-MS at low resolution and </w:t>
      </w:r>
      <w:r w:rsidRPr="003A5C32">
        <w:rPr>
          <w:sz w:val="22"/>
          <w:vertAlign w:val="superscript"/>
          <w:lang w:val="en-GB"/>
        </w:rPr>
        <w:t>10</w:t>
      </w:r>
      <w:r w:rsidRPr="003A5C32">
        <w:rPr>
          <w:sz w:val="22"/>
          <w:lang w:val="en-GB"/>
        </w:rPr>
        <w:t xml:space="preserve">B or </w:t>
      </w:r>
      <w:r w:rsidRPr="003A5C32">
        <w:rPr>
          <w:sz w:val="22"/>
          <w:vertAlign w:val="superscript"/>
          <w:lang w:val="en-GB"/>
        </w:rPr>
        <w:t>11</w:t>
      </w:r>
      <w:r w:rsidRPr="003A5C32">
        <w:rPr>
          <w:sz w:val="22"/>
          <w:lang w:val="en-GB"/>
        </w:rPr>
        <w:t>B with ICP-sf-MS at medium resolution (see text). Recoveries and related differences of doped samples relate to respective doped amounts.</w:t>
      </w:r>
    </w:p>
    <w:p w:rsidR="003A5C32" w:rsidRPr="003A5C32" w:rsidRDefault="003A5C32" w:rsidP="003A5C32">
      <w:pPr>
        <w:jc w:val="both"/>
        <w:rPr>
          <w:lang w:val="en-GB"/>
        </w:rPr>
      </w:pPr>
    </w:p>
    <w:tbl>
      <w:tblPr>
        <w:tblW w:w="7605" w:type="dxa"/>
        <w:tblInd w:w="55" w:type="dxa"/>
        <w:tblLayout w:type="fixed"/>
        <w:tblCellMar>
          <w:left w:w="70" w:type="dxa"/>
          <w:right w:w="70" w:type="dxa"/>
        </w:tblCellMar>
        <w:tblLook w:val="04A0" w:firstRow="1" w:lastRow="0" w:firstColumn="1" w:lastColumn="0" w:noHBand="0" w:noVBand="1"/>
      </w:tblPr>
      <w:tblGrid>
        <w:gridCol w:w="1186"/>
        <w:gridCol w:w="1349"/>
        <w:gridCol w:w="1110"/>
        <w:gridCol w:w="720"/>
        <w:gridCol w:w="810"/>
        <w:gridCol w:w="1170"/>
        <w:gridCol w:w="990"/>
        <w:gridCol w:w="270"/>
      </w:tblGrid>
      <w:tr w:rsidR="003A5C32" w:rsidRPr="003A5C32" w:rsidTr="00EF0153">
        <w:trPr>
          <w:trHeight w:val="600"/>
        </w:trPr>
        <w:tc>
          <w:tcPr>
            <w:tcW w:w="1186" w:type="dxa"/>
            <w:tcBorders>
              <w:top w:val="single" w:sz="8" w:space="0" w:color="000000"/>
              <w:left w:val="single" w:sz="8" w:space="0" w:color="000000"/>
              <w:bottom w:val="single" w:sz="4" w:space="0" w:color="000000"/>
            </w:tcBorders>
            <w:shd w:val="clear" w:color="auto" w:fill="auto"/>
            <w:vAlign w:val="bottom"/>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Method</w:t>
            </w:r>
          </w:p>
        </w:tc>
        <w:tc>
          <w:tcPr>
            <w:tcW w:w="1349" w:type="dxa"/>
            <w:tcBorders>
              <w:top w:val="single" w:sz="8" w:space="0" w:color="000000"/>
              <w:bottom w:val="single" w:sz="4" w:space="0" w:color="000000"/>
            </w:tcBorders>
            <w:shd w:val="clear" w:color="auto" w:fill="auto"/>
            <w:vAlign w:val="bottom"/>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Element/</w:t>
            </w:r>
          </w:p>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Isotope</w:t>
            </w:r>
          </w:p>
        </w:tc>
        <w:tc>
          <w:tcPr>
            <w:tcW w:w="1110" w:type="dxa"/>
            <w:tcBorders>
              <w:top w:val="single" w:sz="8" w:space="0" w:color="000000"/>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Sample </w:t>
            </w:r>
          </w:p>
        </w:tc>
        <w:tc>
          <w:tcPr>
            <w:tcW w:w="1530" w:type="dxa"/>
            <w:gridSpan w:val="2"/>
            <w:tcBorders>
              <w:top w:val="single" w:sz="8" w:space="0" w:color="000000"/>
              <w:bottom w:val="single" w:sz="4" w:space="0" w:color="000000"/>
            </w:tcBorders>
            <w:shd w:val="clear" w:color="auto" w:fill="auto"/>
            <w:vAlign w:val="bottom"/>
            <w:hideMark/>
          </w:tcPr>
          <w:p w:rsidR="003A5C32" w:rsidRPr="003A5C32" w:rsidRDefault="003A5C32" w:rsidP="003A5C32">
            <w:pPr>
              <w:spacing w:line="240" w:lineRule="auto"/>
              <w:ind w:hanging="70"/>
              <w:jc w:val="center"/>
              <w:rPr>
                <w:rFonts w:ascii="Calibri" w:hAnsi="Calibri"/>
                <w:b/>
                <w:bCs/>
                <w:color w:val="000000"/>
                <w:sz w:val="22"/>
                <w:szCs w:val="22"/>
              </w:rPr>
            </w:pPr>
            <w:r w:rsidRPr="003A5C32">
              <w:rPr>
                <w:rFonts w:ascii="Calibri" w:hAnsi="Calibri"/>
                <w:b/>
                <w:bCs/>
                <w:color w:val="000000"/>
                <w:sz w:val="22"/>
                <w:szCs w:val="22"/>
              </w:rPr>
              <w:t>Concentration</w:t>
            </w:r>
          </w:p>
        </w:tc>
        <w:tc>
          <w:tcPr>
            <w:tcW w:w="1170" w:type="dxa"/>
            <w:tcBorders>
              <w:top w:val="single" w:sz="8" w:space="0" w:color="000000"/>
              <w:bottom w:val="single" w:sz="4" w:space="0" w:color="000000"/>
            </w:tcBorders>
            <w:shd w:val="clear" w:color="auto" w:fill="auto"/>
            <w:vAlign w:val="bottom"/>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difference (µg/L)</w:t>
            </w:r>
          </w:p>
        </w:tc>
        <w:tc>
          <w:tcPr>
            <w:tcW w:w="990" w:type="dxa"/>
            <w:tcBorders>
              <w:top w:val="single" w:sz="8" w:space="0" w:color="000000"/>
              <w:bottom w:val="single" w:sz="4" w:space="0" w:color="auto"/>
            </w:tcBorders>
            <w:shd w:val="clear" w:color="000000" w:fill="FFFFFF"/>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 xml:space="preserve">Recovery </w:t>
            </w:r>
          </w:p>
        </w:tc>
        <w:tc>
          <w:tcPr>
            <w:tcW w:w="270" w:type="dxa"/>
            <w:tcBorders>
              <w:top w:val="single" w:sz="8" w:space="0" w:color="000000"/>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00"/>
        </w:trPr>
        <w:tc>
          <w:tcPr>
            <w:tcW w:w="1186" w:type="dxa"/>
            <w:vMerge w:val="restart"/>
            <w:tcBorders>
              <w:top w:val="nil"/>
              <w:left w:val="single" w:sz="8" w:space="0" w:color="000000"/>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ICP-OES</w:t>
            </w:r>
          </w:p>
        </w:tc>
        <w:tc>
          <w:tcPr>
            <w:tcW w:w="1349" w:type="dxa"/>
            <w:vMerge w:val="restart"/>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i/>
                <w:iCs/>
                <w:sz w:val="22"/>
                <w:szCs w:val="22"/>
              </w:rPr>
            </w:pPr>
            <w:r w:rsidRPr="003A5C32">
              <w:rPr>
                <w:rFonts w:ascii="Calibri" w:hAnsi="Calibri"/>
                <w:b/>
                <w:bCs/>
                <w:i/>
                <w:i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1460</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100.1%</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600"/>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2460</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1000</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100.0%</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15"/>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110" w:type="dxa"/>
            <w:tcBorders>
              <w:top w:val="nil"/>
              <w:bottom w:val="single" w:sz="8"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+ 2000 µg/L</w:t>
            </w:r>
          </w:p>
        </w:tc>
        <w:tc>
          <w:tcPr>
            <w:tcW w:w="72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3439</w:t>
            </w:r>
          </w:p>
        </w:tc>
        <w:tc>
          <w:tcPr>
            <w:tcW w:w="81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1979</w:t>
            </w:r>
          </w:p>
        </w:tc>
        <w:tc>
          <w:tcPr>
            <w:tcW w:w="990" w:type="dxa"/>
            <w:tcBorders>
              <w:top w:val="nil"/>
              <w:bottom w:val="single" w:sz="8" w:space="0" w:color="000000"/>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99.0%</w:t>
            </w:r>
          </w:p>
        </w:tc>
        <w:tc>
          <w:tcPr>
            <w:tcW w:w="270" w:type="dxa"/>
            <w:tcBorders>
              <w:top w:val="nil"/>
              <w:bottom w:val="nil"/>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00"/>
        </w:trPr>
        <w:tc>
          <w:tcPr>
            <w:tcW w:w="1186" w:type="dxa"/>
            <w:vMerge w:val="restart"/>
            <w:tcBorders>
              <w:top w:val="nil"/>
              <w:left w:val="single" w:sz="8" w:space="0" w:color="000000"/>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ICP-qMS</w:t>
            </w:r>
          </w:p>
        </w:tc>
        <w:tc>
          <w:tcPr>
            <w:tcW w:w="1349" w:type="dxa"/>
            <w:vMerge w:val="restart"/>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b/>
                <w:bCs/>
                <w:sz w:val="22"/>
                <w:szCs w:val="22"/>
              </w:rPr>
            </w:pPr>
            <w:r w:rsidRPr="003A5C32">
              <w:rPr>
                <w:rFonts w:ascii="Calibri" w:hAnsi="Calibri"/>
                <w:b/>
                <w:bCs/>
                <w:sz w:val="22"/>
                <w:szCs w:val="22"/>
                <w:vertAlign w:val="superscript"/>
              </w:rPr>
              <w:t>10</w:t>
            </w:r>
            <w:r w:rsidRPr="003A5C32">
              <w:rPr>
                <w:rFonts w:ascii="Calibri" w:hAnsi="Calibri"/>
                <w:b/>
                <w:bCs/>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i/>
                <w:iCs/>
                <w:sz w:val="22"/>
                <w:szCs w:val="22"/>
              </w:rPr>
            </w:pPr>
            <w:r w:rsidRPr="003A5C32">
              <w:rPr>
                <w:rFonts w:ascii="Calibri" w:hAnsi="Calibri"/>
                <w:b/>
                <w:bCs/>
                <w:i/>
                <w:i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1643</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184</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112.6%</w:t>
            </w:r>
          </w:p>
        </w:tc>
        <w:tc>
          <w:tcPr>
            <w:tcW w:w="270" w:type="dxa"/>
            <w:tcBorders>
              <w:top w:val="single" w:sz="8" w:space="0" w:color="auto"/>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600"/>
        </w:trPr>
        <w:tc>
          <w:tcPr>
            <w:tcW w:w="1186" w:type="dxa"/>
            <w:vMerge/>
            <w:tcBorders>
              <w:top w:val="nil"/>
              <w:left w:val="single" w:sz="8" w:space="0" w:color="000000"/>
              <w:bottom w:val="single" w:sz="4"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4"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2776</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1133</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113.3%</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00"/>
        </w:trPr>
        <w:tc>
          <w:tcPr>
            <w:tcW w:w="1186" w:type="dxa"/>
            <w:vMerge/>
            <w:tcBorders>
              <w:top w:val="nil"/>
              <w:left w:val="single" w:sz="8" w:space="0" w:color="000000"/>
              <w:bottom w:val="single" w:sz="4"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4"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+ 2000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3735</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2092</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104.6%</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00"/>
        </w:trPr>
        <w:tc>
          <w:tcPr>
            <w:tcW w:w="1186" w:type="dxa"/>
            <w:vMerge w:val="restart"/>
            <w:tcBorders>
              <w:top w:val="nil"/>
              <w:left w:val="single" w:sz="8" w:space="0" w:color="000000"/>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ICP-qMS</w:t>
            </w:r>
          </w:p>
        </w:tc>
        <w:tc>
          <w:tcPr>
            <w:tcW w:w="1349" w:type="dxa"/>
            <w:vMerge w:val="restart"/>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sz w:val="22"/>
                <w:szCs w:val="22"/>
              </w:rPr>
            </w:pPr>
            <w:r w:rsidRPr="003A5C32">
              <w:rPr>
                <w:rFonts w:ascii="Calibri" w:hAnsi="Calibri"/>
                <w:b/>
                <w:bCs/>
                <w:sz w:val="22"/>
                <w:szCs w:val="22"/>
                <w:vertAlign w:val="superscript"/>
              </w:rPr>
              <w:t>11</w:t>
            </w:r>
            <w:r w:rsidRPr="003A5C32">
              <w:rPr>
                <w:rFonts w:ascii="Calibri" w:hAnsi="Calibri"/>
                <w:b/>
                <w:bCs/>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1418</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-41</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98.4%</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600"/>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sz w:val="22"/>
                <w:szCs w:val="22"/>
              </w:rPr>
              <w:t>Urine 2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2352</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934</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93.4%</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15"/>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8"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sz w:val="22"/>
                <w:szCs w:val="22"/>
              </w:rPr>
              <w:t>Urine 2 + 2000 µg/L</w:t>
            </w:r>
          </w:p>
        </w:tc>
        <w:tc>
          <w:tcPr>
            <w:tcW w:w="72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3286</w:t>
            </w:r>
          </w:p>
        </w:tc>
        <w:tc>
          <w:tcPr>
            <w:tcW w:w="81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1868</w:t>
            </w:r>
          </w:p>
        </w:tc>
        <w:tc>
          <w:tcPr>
            <w:tcW w:w="990" w:type="dxa"/>
            <w:tcBorders>
              <w:top w:val="nil"/>
              <w:bottom w:val="single" w:sz="8" w:space="0" w:color="000000"/>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93.4%</w:t>
            </w:r>
          </w:p>
        </w:tc>
        <w:tc>
          <w:tcPr>
            <w:tcW w:w="270" w:type="dxa"/>
            <w:tcBorders>
              <w:top w:val="nil"/>
              <w:bottom w:val="nil"/>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00"/>
        </w:trPr>
        <w:tc>
          <w:tcPr>
            <w:tcW w:w="1186" w:type="dxa"/>
            <w:vMerge w:val="restart"/>
            <w:tcBorders>
              <w:top w:val="nil"/>
              <w:left w:val="single" w:sz="8" w:space="0" w:color="000000"/>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lang w:val="en-US"/>
              </w:rPr>
            </w:pPr>
            <w:r w:rsidRPr="003A5C32">
              <w:rPr>
                <w:rFonts w:ascii="Calibri" w:hAnsi="Calibri"/>
                <w:b/>
                <w:bCs/>
                <w:color w:val="000000"/>
                <w:sz w:val="22"/>
                <w:szCs w:val="22"/>
                <w:lang w:val="en-US"/>
              </w:rPr>
              <w:t>ICP-sf-MS low resolution (300)</w:t>
            </w:r>
          </w:p>
        </w:tc>
        <w:tc>
          <w:tcPr>
            <w:tcW w:w="1349" w:type="dxa"/>
            <w:vMerge w:val="restart"/>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b/>
                <w:bCs/>
                <w:sz w:val="22"/>
                <w:szCs w:val="22"/>
              </w:rPr>
            </w:pPr>
            <w:r w:rsidRPr="003A5C32">
              <w:rPr>
                <w:rFonts w:ascii="Calibri" w:hAnsi="Calibri"/>
                <w:b/>
                <w:bCs/>
                <w:sz w:val="22"/>
                <w:szCs w:val="22"/>
                <w:vertAlign w:val="superscript"/>
              </w:rPr>
              <w:t>10</w:t>
            </w:r>
            <w:r w:rsidRPr="003A5C32">
              <w:rPr>
                <w:rFonts w:ascii="Calibri" w:hAnsi="Calibri"/>
                <w:b/>
                <w:bCs/>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i/>
                <w:iCs/>
                <w:sz w:val="22"/>
                <w:szCs w:val="22"/>
              </w:rPr>
            </w:pPr>
            <w:r w:rsidRPr="003A5C32">
              <w:rPr>
                <w:rFonts w:ascii="Calibri" w:hAnsi="Calibri"/>
                <w:b/>
                <w:bCs/>
                <w:i/>
                <w:i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1759</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301</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120.6%</w:t>
            </w:r>
          </w:p>
        </w:tc>
        <w:tc>
          <w:tcPr>
            <w:tcW w:w="270" w:type="dxa"/>
            <w:tcBorders>
              <w:top w:val="single" w:sz="8" w:space="0" w:color="auto"/>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600"/>
        </w:trPr>
        <w:tc>
          <w:tcPr>
            <w:tcW w:w="1186" w:type="dxa"/>
            <w:vMerge/>
            <w:tcBorders>
              <w:top w:val="nil"/>
              <w:left w:val="single" w:sz="8" w:space="0" w:color="000000"/>
              <w:bottom w:val="single" w:sz="4"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4"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2950</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1190</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119.0%</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00"/>
        </w:trPr>
        <w:tc>
          <w:tcPr>
            <w:tcW w:w="1186" w:type="dxa"/>
            <w:vMerge/>
            <w:tcBorders>
              <w:top w:val="nil"/>
              <w:left w:val="single" w:sz="8" w:space="0" w:color="000000"/>
              <w:bottom w:val="single" w:sz="4"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4"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+ 2000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4304</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2545</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127.2%</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00"/>
        </w:trPr>
        <w:tc>
          <w:tcPr>
            <w:tcW w:w="1186" w:type="dxa"/>
            <w:vMerge w:val="restart"/>
            <w:tcBorders>
              <w:top w:val="nil"/>
              <w:left w:val="single" w:sz="8" w:space="0" w:color="000000"/>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lang w:val="en-US"/>
              </w:rPr>
            </w:pPr>
            <w:r w:rsidRPr="003A5C32">
              <w:rPr>
                <w:rFonts w:ascii="Calibri" w:hAnsi="Calibri"/>
                <w:b/>
                <w:bCs/>
                <w:color w:val="000000"/>
                <w:sz w:val="22"/>
                <w:szCs w:val="22"/>
                <w:lang w:val="en-US"/>
              </w:rPr>
              <w:t>ICP-sf-MS low resolution (300)</w:t>
            </w:r>
          </w:p>
        </w:tc>
        <w:tc>
          <w:tcPr>
            <w:tcW w:w="1349" w:type="dxa"/>
            <w:vMerge w:val="restart"/>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sz w:val="22"/>
                <w:szCs w:val="22"/>
              </w:rPr>
            </w:pPr>
            <w:r w:rsidRPr="003A5C32">
              <w:rPr>
                <w:rFonts w:ascii="Calibri" w:hAnsi="Calibri"/>
                <w:b/>
                <w:bCs/>
                <w:sz w:val="22"/>
                <w:szCs w:val="22"/>
                <w:vertAlign w:val="superscript"/>
              </w:rPr>
              <w:t>11</w:t>
            </w:r>
            <w:r w:rsidRPr="003A5C32">
              <w:rPr>
                <w:rFonts w:ascii="Calibri" w:hAnsi="Calibri"/>
                <w:b/>
                <w:bCs/>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i/>
                <w:iCs/>
                <w:sz w:val="22"/>
                <w:szCs w:val="22"/>
              </w:rPr>
            </w:pPr>
            <w:r w:rsidRPr="003A5C32">
              <w:rPr>
                <w:rFonts w:ascii="Calibri" w:hAnsi="Calibri"/>
                <w:b/>
                <w:bCs/>
                <w:i/>
                <w:i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1552</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94</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106.4%</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600"/>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2599</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1047</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104.7%</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15"/>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8"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+ 2000 µg/L</w:t>
            </w:r>
          </w:p>
        </w:tc>
        <w:tc>
          <w:tcPr>
            <w:tcW w:w="72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3644</w:t>
            </w:r>
          </w:p>
        </w:tc>
        <w:tc>
          <w:tcPr>
            <w:tcW w:w="81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2092</w:t>
            </w:r>
          </w:p>
        </w:tc>
        <w:tc>
          <w:tcPr>
            <w:tcW w:w="990" w:type="dxa"/>
            <w:tcBorders>
              <w:top w:val="nil"/>
              <w:bottom w:val="single" w:sz="8" w:space="0" w:color="000000"/>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104.6%</w:t>
            </w:r>
          </w:p>
        </w:tc>
        <w:tc>
          <w:tcPr>
            <w:tcW w:w="270" w:type="dxa"/>
            <w:tcBorders>
              <w:top w:val="nil"/>
              <w:bottom w:val="nil"/>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00"/>
        </w:trPr>
        <w:tc>
          <w:tcPr>
            <w:tcW w:w="1186" w:type="dxa"/>
            <w:vMerge w:val="restart"/>
            <w:tcBorders>
              <w:top w:val="nil"/>
              <w:left w:val="single" w:sz="8" w:space="0" w:color="000000"/>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ICP-sf-MS medium resolution (4000)</w:t>
            </w:r>
          </w:p>
        </w:tc>
        <w:tc>
          <w:tcPr>
            <w:tcW w:w="1349" w:type="dxa"/>
            <w:vMerge w:val="restart"/>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b/>
                <w:bCs/>
                <w:sz w:val="22"/>
                <w:szCs w:val="22"/>
              </w:rPr>
            </w:pPr>
            <w:r w:rsidRPr="003A5C32">
              <w:rPr>
                <w:rFonts w:ascii="Calibri" w:hAnsi="Calibri"/>
                <w:b/>
                <w:bCs/>
                <w:sz w:val="22"/>
                <w:szCs w:val="22"/>
                <w:vertAlign w:val="superscript"/>
              </w:rPr>
              <w:t>10</w:t>
            </w:r>
            <w:r w:rsidRPr="003A5C32">
              <w:rPr>
                <w:rFonts w:ascii="Calibri" w:hAnsi="Calibri"/>
                <w:b/>
                <w:bCs/>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i/>
                <w:iCs/>
                <w:sz w:val="22"/>
                <w:szCs w:val="22"/>
              </w:rPr>
            </w:pPr>
            <w:r w:rsidRPr="003A5C32">
              <w:rPr>
                <w:rFonts w:ascii="Calibri" w:hAnsi="Calibri"/>
                <w:b/>
                <w:bCs/>
                <w:i/>
                <w:i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1417</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-42</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97.2%</w:t>
            </w:r>
          </w:p>
        </w:tc>
        <w:tc>
          <w:tcPr>
            <w:tcW w:w="270" w:type="dxa"/>
            <w:tcBorders>
              <w:top w:val="single" w:sz="8" w:space="0" w:color="auto"/>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585"/>
        </w:trPr>
        <w:tc>
          <w:tcPr>
            <w:tcW w:w="1186" w:type="dxa"/>
            <w:vMerge/>
            <w:tcBorders>
              <w:top w:val="nil"/>
              <w:left w:val="single" w:sz="8" w:space="0" w:color="000000"/>
              <w:bottom w:val="single" w:sz="4"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4"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2415</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998</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99.8%</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600"/>
        </w:trPr>
        <w:tc>
          <w:tcPr>
            <w:tcW w:w="1186" w:type="dxa"/>
            <w:vMerge/>
            <w:tcBorders>
              <w:top w:val="nil"/>
              <w:left w:val="single" w:sz="8" w:space="0" w:color="000000"/>
              <w:bottom w:val="single" w:sz="4"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4"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+ 2000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3409</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1992</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99.6%</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315"/>
        </w:trPr>
        <w:tc>
          <w:tcPr>
            <w:tcW w:w="1186" w:type="dxa"/>
            <w:vMerge w:val="restart"/>
            <w:tcBorders>
              <w:top w:val="nil"/>
              <w:left w:val="single" w:sz="8" w:space="0" w:color="000000"/>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ICP-sf-MS medium resolution (4000)</w:t>
            </w:r>
          </w:p>
        </w:tc>
        <w:tc>
          <w:tcPr>
            <w:tcW w:w="1349" w:type="dxa"/>
            <w:vMerge w:val="restart"/>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b/>
                <w:bCs/>
                <w:sz w:val="22"/>
                <w:szCs w:val="22"/>
              </w:rPr>
            </w:pPr>
            <w:r w:rsidRPr="003A5C32">
              <w:rPr>
                <w:rFonts w:ascii="Calibri" w:hAnsi="Calibri"/>
                <w:b/>
                <w:bCs/>
                <w:sz w:val="22"/>
                <w:szCs w:val="22"/>
                <w:vertAlign w:val="superscript"/>
              </w:rPr>
              <w:t>11</w:t>
            </w:r>
            <w:r w:rsidRPr="003A5C32">
              <w:rPr>
                <w:rFonts w:ascii="Calibri" w:hAnsi="Calibri"/>
                <w:b/>
                <w:bCs/>
                <w:sz w:val="22"/>
                <w:szCs w:val="22"/>
              </w:rPr>
              <w:t>B</w:t>
            </w: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i/>
                <w:iCs/>
                <w:sz w:val="22"/>
                <w:szCs w:val="22"/>
              </w:rPr>
            </w:pPr>
            <w:r w:rsidRPr="003A5C32">
              <w:rPr>
                <w:rFonts w:ascii="Calibri" w:hAnsi="Calibri"/>
                <w:b/>
                <w:bCs/>
                <w:i/>
                <w:iCs/>
                <w:sz w:val="22"/>
                <w:szCs w:val="22"/>
              </w:rPr>
              <w:t>Urine 2</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1446</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-13</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99.1%</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b/>
                <w:bCs/>
                <w:color w:val="000000"/>
                <w:sz w:val="22"/>
                <w:szCs w:val="22"/>
              </w:rPr>
            </w:pPr>
            <w:r w:rsidRPr="003A5C32">
              <w:rPr>
                <w:rFonts w:ascii="Calibri" w:hAnsi="Calibri"/>
                <w:b/>
                <w:bCs/>
                <w:color w:val="000000"/>
                <w:sz w:val="22"/>
                <w:szCs w:val="22"/>
              </w:rPr>
              <w:t>*</w:t>
            </w:r>
          </w:p>
        </w:tc>
      </w:tr>
      <w:tr w:rsidR="003A5C32" w:rsidRPr="003A5C32" w:rsidTr="00EF0153">
        <w:trPr>
          <w:trHeight w:val="540"/>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4"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+ 1000 µg/L</w:t>
            </w:r>
          </w:p>
        </w:tc>
        <w:tc>
          <w:tcPr>
            <w:tcW w:w="72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2481</w:t>
            </w:r>
          </w:p>
        </w:tc>
        <w:tc>
          <w:tcPr>
            <w:tcW w:w="81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4"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1035</w:t>
            </w:r>
          </w:p>
        </w:tc>
        <w:tc>
          <w:tcPr>
            <w:tcW w:w="990" w:type="dxa"/>
            <w:tcBorders>
              <w:top w:val="nil"/>
              <w:bottom w:val="single" w:sz="4" w:space="0" w:color="auto"/>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103.5%</w:t>
            </w:r>
          </w:p>
        </w:tc>
        <w:tc>
          <w:tcPr>
            <w:tcW w:w="270" w:type="dxa"/>
            <w:tcBorders>
              <w:top w:val="nil"/>
              <w:bottom w:val="single" w:sz="4"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r w:rsidR="003A5C32" w:rsidRPr="003A5C32" w:rsidTr="00EF0153">
        <w:trPr>
          <w:trHeight w:val="540"/>
        </w:trPr>
        <w:tc>
          <w:tcPr>
            <w:tcW w:w="1186" w:type="dxa"/>
            <w:vMerge/>
            <w:tcBorders>
              <w:top w:val="nil"/>
              <w:left w:val="single" w:sz="8" w:space="0" w:color="000000"/>
              <w:bottom w:val="single" w:sz="8" w:space="0" w:color="000000"/>
            </w:tcBorders>
            <w:vAlign w:val="center"/>
            <w:hideMark/>
          </w:tcPr>
          <w:p w:rsidR="003A5C32" w:rsidRPr="003A5C32" w:rsidRDefault="003A5C32" w:rsidP="003A5C32">
            <w:pPr>
              <w:spacing w:line="240" w:lineRule="auto"/>
              <w:rPr>
                <w:rFonts w:ascii="Calibri" w:hAnsi="Calibri"/>
                <w:b/>
                <w:bCs/>
                <w:color w:val="000000"/>
                <w:sz w:val="22"/>
                <w:szCs w:val="22"/>
              </w:rPr>
            </w:pPr>
          </w:p>
        </w:tc>
        <w:tc>
          <w:tcPr>
            <w:tcW w:w="1349" w:type="dxa"/>
            <w:vMerge/>
            <w:tcBorders>
              <w:top w:val="nil"/>
              <w:bottom w:val="single" w:sz="8" w:space="0" w:color="000000"/>
            </w:tcBorders>
            <w:vAlign w:val="center"/>
            <w:hideMark/>
          </w:tcPr>
          <w:p w:rsidR="003A5C32" w:rsidRPr="003A5C32" w:rsidRDefault="003A5C32" w:rsidP="003A5C32">
            <w:pPr>
              <w:spacing w:line="240" w:lineRule="auto"/>
              <w:rPr>
                <w:rFonts w:ascii="Calibri" w:hAnsi="Calibri"/>
                <w:b/>
                <w:bCs/>
                <w:sz w:val="22"/>
                <w:szCs w:val="22"/>
              </w:rPr>
            </w:pPr>
          </w:p>
        </w:tc>
        <w:tc>
          <w:tcPr>
            <w:tcW w:w="1110" w:type="dxa"/>
            <w:tcBorders>
              <w:top w:val="nil"/>
              <w:bottom w:val="single" w:sz="8" w:space="0" w:color="000000"/>
            </w:tcBorders>
            <w:shd w:val="clear" w:color="auto" w:fill="auto"/>
            <w:vAlign w:val="bottom"/>
            <w:hideMark/>
          </w:tcPr>
          <w:p w:rsidR="003A5C32" w:rsidRPr="003A5C32" w:rsidRDefault="003A5C32" w:rsidP="003A5C32">
            <w:pPr>
              <w:spacing w:line="240" w:lineRule="auto"/>
              <w:rPr>
                <w:rFonts w:ascii="Calibri" w:hAnsi="Calibri"/>
                <w:b/>
                <w:bCs/>
                <w:sz w:val="22"/>
                <w:szCs w:val="22"/>
              </w:rPr>
            </w:pPr>
            <w:r w:rsidRPr="003A5C32">
              <w:rPr>
                <w:rFonts w:ascii="Calibri" w:hAnsi="Calibri"/>
                <w:b/>
                <w:bCs/>
                <w:i/>
                <w:iCs/>
                <w:sz w:val="22"/>
                <w:szCs w:val="22"/>
              </w:rPr>
              <w:t>Urine 2</w:t>
            </w:r>
            <w:r w:rsidRPr="003A5C32">
              <w:rPr>
                <w:rFonts w:ascii="Calibri" w:hAnsi="Calibri"/>
                <w:b/>
                <w:bCs/>
                <w:sz w:val="22"/>
                <w:szCs w:val="22"/>
              </w:rPr>
              <w:t xml:space="preserve"> + 2000 µg/L</w:t>
            </w:r>
          </w:p>
        </w:tc>
        <w:tc>
          <w:tcPr>
            <w:tcW w:w="72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3439</w:t>
            </w:r>
          </w:p>
        </w:tc>
        <w:tc>
          <w:tcPr>
            <w:tcW w:w="81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µg/L</w:t>
            </w:r>
          </w:p>
        </w:tc>
        <w:tc>
          <w:tcPr>
            <w:tcW w:w="1170" w:type="dxa"/>
            <w:tcBorders>
              <w:top w:val="nil"/>
              <w:bottom w:val="single" w:sz="8" w:space="0" w:color="000000"/>
            </w:tcBorders>
            <w:shd w:val="clear" w:color="auto" w:fill="auto"/>
            <w:vAlign w:val="center"/>
            <w:hideMark/>
          </w:tcPr>
          <w:p w:rsidR="003A5C32" w:rsidRPr="003A5C32" w:rsidRDefault="003A5C32" w:rsidP="003A5C32">
            <w:pPr>
              <w:spacing w:line="240" w:lineRule="auto"/>
              <w:jc w:val="center"/>
              <w:rPr>
                <w:rFonts w:ascii="Calibri" w:hAnsi="Calibri"/>
                <w:color w:val="000000"/>
                <w:sz w:val="22"/>
                <w:szCs w:val="22"/>
              </w:rPr>
            </w:pPr>
            <w:r w:rsidRPr="003A5C32">
              <w:rPr>
                <w:rFonts w:ascii="Calibri" w:hAnsi="Calibri"/>
                <w:color w:val="000000"/>
                <w:sz w:val="22"/>
                <w:szCs w:val="22"/>
              </w:rPr>
              <w:t>1993</w:t>
            </w:r>
          </w:p>
        </w:tc>
        <w:tc>
          <w:tcPr>
            <w:tcW w:w="990" w:type="dxa"/>
            <w:tcBorders>
              <w:top w:val="nil"/>
              <w:bottom w:val="single" w:sz="8" w:space="0" w:color="000000"/>
            </w:tcBorders>
            <w:shd w:val="clear" w:color="000000" w:fill="FFFFFF"/>
            <w:noWrap/>
            <w:vAlign w:val="center"/>
            <w:hideMark/>
          </w:tcPr>
          <w:p w:rsidR="003A5C32" w:rsidRPr="003A5C32" w:rsidRDefault="003A5C32" w:rsidP="003A5C32">
            <w:pPr>
              <w:spacing w:line="240" w:lineRule="auto"/>
              <w:jc w:val="center"/>
              <w:rPr>
                <w:rFonts w:ascii="Calibri" w:hAnsi="Calibri"/>
                <w:b/>
                <w:bCs/>
                <w:color w:val="000000"/>
                <w:sz w:val="22"/>
                <w:szCs w:val="22"/>
              </w:rPr>
            </w:pPr>
            <w:r w:rsidRPr="003A5C32">
              <w:rPr>
                <w:rFonts w:ascii="Calibri" w:hAnsi="Calibri"/>
                <w:b/>
                <w:bCs/>
                <w:color w:val="000000"/>
                <w:sz w:val="22"/>
                <w:szCs w:val="22"/>
              </w:rPr>
              <w:t>99.7%</w:t>
            </w:r>
          </w:p>
        </w:tc>
        <w:tc>
          <w:tcPr>
            <w:tcW w:w="270" w:type="dxa"/>
            <w:tcBorders>
              <w:top w:val="nil"/>
              <w:bottom w:val="single" w:sz="8" w:space="0" w:color="auto"/>
              <w:right w:val="single" w:sz="8" w:space="0" w:color="auto"/>
            </w:tcBorders>
            <w:shd w:val="clear" w:color="auto" w:fill="auto"/>
            <w:noWrap/>
            <w:vAlign w:val="bottom"/>
            <w:hideMark/>
          </w:tcPr>
          <w:p w:rsidR="003A5C32" w:rsidRPr="003A5C32" w:rsidRDefault="003A5C32" w:rsidP="003A5C32">
            <w:pPr>
              <w:spacing w:line="240" w:lineRule="auto"/>
              <w:rPr>
                <w:rFonts w:ascii="Calibri" w:hAnsi="Calibri"/>
                <w:color w:val="000000"/>
                <w:sz w:val="22"/>
                <w:szCs w:val="22"/>
              </w:rPr>
            </w:pPr>
            <w:r w:rsidRPr="003A5C32">
              <w:rPr>
                <w:rFonts w:ascii="Calibri" w:hAnsi="Calibri"/>
                <w:color w:val="000000"/>
                <w:sz w:val="22"/>
                <w:szCs w:val="22"/>
              </w:rPr>
              <w:t> </w:t>
            </w:r>
          </w:p>
        </w:tc>
      </w:tr>
    </w:tbl>
    <w:p w:rsidR="003A5C32" w:rsidRPr="003A5C32" w:rsidRDefault="003A5C32" w:rsidP="003A5C32">
      <w:pPr>
        <w:spacing w:after="200" w:line="276" w:lineRule="auto"/>
        <w:rPr>
          <w:rFonts w:ascii="Calibri" w:eastAsia="Calibri" w:hAnsi="Calibri"/>
          <w:sz w:val="22"/>
          <w:szCs w:val="22"/>
          <w:lang w:eastAsia="en-US"/>
        </w:rPr>
      </w:pPr>
    </w:p>
    <w:p w:rsidR="003A5C32" w:rsidRPr="003A5C32" w:rsidRDefault="003A5C32" w:rsidP="003A5C32">
      <w:pPr>
        <w:jc w:val="both"/>
        <w:rPr>
          <w:b/>
          <w:sz w:val="22"/>
          <w:lang w:val="en-GB"/>
        </w:rPr>
      </w:pPr>
      <w:r w:rsidRPr="003A5C32">
        <w:rPr>
          <w:b/>
          <w:sz w:val="22"/>
          <w:lang w:val="en-GB"/>
        </w:rPr>
        <w:t>Figure 1</w:t>
      </w:r>
    </w:p>
    <w:p w:rsidR="003A5C32" w:rsidRPr="003A5C32" w:rsidRDefault="003A5C32" w:rsidP="003A5C32">
      <w:pPr>
        <w:jc w:val="both"/>
        <w:rPr>
          <w:sz w:val="22"/>
          <w:lang w:val="en-GB"/>
        </w:rPr>
      </w:pPr>
      <w:r w:rsidRPr="003A5C32">
        <w:rPr>
          <w:sz w:val="22"/>
          <w:lang w:val="en-GB"/>
        </w:rPr>
        <w:t xml:space="preserve">ICP-OES emission spectra of a blank, a boron standard (250 µg/L) and the urine sample </w:t>
      </w:r>
      <w:r w:rsidRPr="003A5C32">
        <w:rPr>
          <w:i/>
          <w:sz w:val="22"/>
          <w:lang w:val="en-GB"/>
        </w:rPr>
        <w:t xml:space="preserve">U1 </w:t>
      </w:r>
      <w:r w:rsidRPr="003A5C32">
        <w:rPr>
          <w:sz w:val="22"/>
          <w:lang w:val="en-GB"/>
        </w:rPr>
        <w:t>(1/20 diluted). Two element lines are observed at 249.667 nm and 249.773 nm. Both element lines are clear from interferences.</w:t>
      </w:r>
    </w:p>
    <w:p w:rsidR="003A5C32" w:rsidRPr="003A5C32" w:rsidRDefault="003A5C32" w:rsidP="003A5C32">
      <w:pPr>
        <w:jc w:val="both"/>
        <w:rPr>
          <w:sz w:val="22"/>
          <w:lang w:val="en-GB"/>
        </w:rPr>
      </w:pPr>
      <w:r>
        <w:rPr>
          <w:noProof/>
          <w:sz w:val="22"/>
        </w:rPr>
        <w:lastRenderedPageBreak/>
        <w:drawing>
          <wp:inline distT="0" distB="0" distL="0" distR="0">
            <wp:extent cx="5917565" cy="4093277"/>
            <wp:effectExtent l="0" t="0" r="6985"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7565" cy="4093277"/>
                    </a:xfrm>
                    <a:prstGeom prst="rect">
                      <a:avLst/>
                    </a:prstGeom>
                    <a:noFill/>
                    <a:ln>
                      <a:noFill/>
                    </a:ln>
                  </pic:spPr>
                </pic:pic>
              </a:graphicData>
            </a:graphic>
          </wp:inline>
        </w:drawing>
      </w:r>
    </w:p>
    <w:p w:rsidR="003A5C32" w:rsidRPr="003A5C32" w:rsidRDefault="003A5C32" w:rsidP="003A5C32">
      <w:pPr>
        <w:jc w:val="both"/>
        <w:rPr>
          <w:b/>
          <w:sz w:val="22"/>
          <w:lang w:val="en-GB"/>
        </w:rPr>
      </w:pPr>
      <w:r w:rsidRPr="003A5C32">
        <w:rPr>
          <w:b/>
          <w:sz w:val="22"/>
          <w:lang w:val="en-GB"/>
        </w:rPr>
        <w:t>Figure 2</w:t>
      </w:r>
    </w:p>
    <w:p w:rsidR="003A5C32" w:rsidRPr="003A5C32" w:rsidRDefault="003A5C32" w:rsidP="003A5C32">
      <w:pPr>
        <w:jc w:val="both"/>
        <w:rPr>
          <w:sz w:val="22"/>
          <w:lang w:val="en-GB"/>
        </w:rPr>
      </w:pPr>
      <w:r w:rsidRPr="003A5C32">
        <w:rPr>
          <w:sz w:val="22"/>
          <w:lang w:val="en-GB"/>
        </w:rPr>
        <w:t>9-point calibration curve by ICP-OES. The window shows complete linearity in the lower concentration range where low concentrated 1/20 diluted samples from non-exposed individuals could be measured.</w:t>
      </w:r>
    </w:p>
    <w:p w:rsidR="003A5C32" w:rsidRPr="003A5C32" w:rsidRDefault="003A5C32" w:rsidP="003A5C32">
      <w:pPr>
        <w:jc w:val="both"/>
        <w:rPr>
          <w:sz w:val="22"/>
          <w:lang w:val="en-GB"/>
        </w:rPr>
      </w:pPr>
      <w:r>
        <w:rPr>
          <w:noProof/>
          <w:sz w:val="22"/>
        </w:rPr>
        <w:drawing>
          <wp:inline distT="0" distB="0" distL="0" distR="0">
            <wp:extent cx="5917565" cy="3726276"/>
            <wp:effectExtent l="0" t="0" r="6985"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565" cy="3726276"/>
                    </a:xfrm>
                    <a:prstGeom prst="rect">
                      <a:avLst/>
                    </a:prstGeom>
                    <a:noFill/>
                    <a:ln>
                      <a:noFill/>
                    </a:ln>
                  </pic:spPr>
                </pic:pic>
              </a:graphicData>
            </a:graphic>
          </wp:inline>
        </w:drawing>
      </w:r>
    </w:p>
    <w:p w:rsidR="003A5C32" w:rsidRPr="003A5C32" w:rsidRDefault="003A5C32" w:rsidP="003A5C32">
      <w:pPr>
        <w:jc w:val="both"/>
        <w:rPr>
          <w:b/>
          <w:lang w:val="en-GB"/>
        </w:rPr>
      </w:pPr>
      <w:r w:rsidRPr="003A5C32">
        <w:rPr>
          <w:b/>
          <w:lang w:val="en-GB"/>
        </w:rPr>
        <w:t>Figure 3:</w:t>
      </w:r>
    </w:p>
    <w:p w:rsidR="003A5C32" w:rsidRPr="003A5C32" w:rsidRDefault="003A5C32" w:rsidP="003A5C32">
      <w:pPr>
        <w:jc w:val="both"/>
        <w:rPr>
          <w:lang w:val="en-GB"/>
        </w:rPr>
      </w:pPr>
      <w:r w:rsidRPr="003A5C32">
        <w:rPr>
          <w:lang w:val="en-GB"/>
        </w:rPr>
        <w:lastRenderedPageBreak/>
        <w:t xml:space="preserve">Mass scan of the urine sample around the </w:t>
      </w:r>
      <w:r w:rsidRPr="003A5C32">
        <w:rPr>
          <w:vertAlign w:val="superscript"/>
          <w:lang w:val="en-GB"/>
        </w:rPr>
        <w:t>10</w:t>
      </w:r>
      <w:r w:rsidRPr="003A5C32">
        <w:rPr>
          <w:lang w:val="en-GB"/>
        </w:rPr>
        <w:t>B isotope using the ICP-sf-MS instrument at low resolution.</w:t>
      </w:r>
    </w:p>
    <w:p w:rsidR="003A5C32" w:rsidRPr="003A5C32" w:rsidRDefault="003A5C32" w:rsidP="003A5C32">
      <w:pPr>
        <w:jc w:val="both"/>
        <w:rPr>
          <w:lang w:val="en-GB"/>
        </w:rPr>
      </w:pPr>
      <w:r w:rsidRPr="003A5C32">
        <w:rPr>
          <w:lang w:val="en-GB"/>
        </w:rPr>
        <w:t>Vertical bars (top) are the actual measured intensities in 0.00177 m/z intervals. Curve over bars is the fitted line resulting from the fitted peaks (bottom) using Peakfit</w:t>
      </w:r>
      <w:r w:rsidRPr="003A5C32">
        <w:rPr>
          <w:vertAlign w:val="superscript"/>
          <w:lang w:val="en-GB"/>
        </w:rPr>
        <w:t>TM</w:t>
      </w:r>
      <w:r w:rsidRPr="003A5C32">
        <w:rPr>
          <w:lang w:val="en-GB"/>
        </w:rPr>
        <w:t xml:space="preserve"> Software</w:t>
      </w:r>
    </w:p>
    <w:p w:rsidR="003A5C32" w:rsidRDefault="003A5C32" w:rsidP="003A5C32">
      <w:pPr>
        <w:jc w:val="both"/>
        <w:rPr>
          <w:lang w:val="en-GB"/>
        </w:rPr>
      </w:pPr>
      <w:r w:rsidRPr="003A5C32">
        <w:rPr>
          <w:lang w:val="en-GB"/>
        </w:rPr>
        <w:t>The Ne</w:t>
      </w:r>
      <w:r w:rsidRPr="003A5C32">
        <w:rPr>
          <w:vertAlign w:val="superscript"/>
          <w:lang w:val="en-GB"/>
        </w:rPr>
        <w:t>++</w:t>
      </w:r>
      <w:r w:rsidRPr="003A5C32">
        <w:rPr>
          <w:lang w:val="en-GB"/>
        </w:rPr>
        <w:t xml:space="preserve"> interference is detected at 9.99619 m/z and </w:t>
      </w:r>
      <w:r w:rsidRPr="003A5C32">
        <w:rPr>
          <w:vertAlign w:val="superscript"/>
          <w:lang w:val="en-GB"/>
        </w:rPr>
        <w:t>10</w:t>
      </w:r>
      <w:r w:rsidRPr="003A5C32">
        <w:rPr>
          <w:lang w:val="en-GB"/>
        </w:rPr>
        <w:t>B at 10.0159 m/z. ICP-qMS and ICP-sf-MS at low resolution do not resolve the element signal from the interference.</w:t>
      </w:r>
    </w:p>
    <w:p w:rsidR="003A5C32" w:rsidRDefault="003A5C32" w:rsidP="003A5C32">
      <w:pPr>
        <w:jc w:val="both"/>
        <w:rPr>
          <w:lang w:val="en-GB"/>
        </w:rPr>
      </w:pPr>
    </w:p>
    <w:p w:rsidR="003A5C32" w:rsidRPr="003A5C32" w:rsidRDefault="003A5C32" w:rsidP="003A5C32">
      <w:pPr>
        <w:jc w:val="both"/>
        <w:rPr>
          <w:lang w:val="en-GB"/>
        </w:rPr>
      </w:pPr>
    </w:p>
    <w:p w:rsidR="003A5C32" w:rsidRPr="003A5C32" w:rsidRDefault="003A5C32" w:rsidP="003A5C32">
      <w:pPr>
        <w:jc w:val="both"/>
        <w:rPr>
          <w:sz w:val="22"/>
          <w:lang w:val="en-GB"/>
        </w:rPr>
      </w:pPr>
      <w:r>
        <w:rPr>
          <w:noProof/>
          <w:sz w:val="22"/>
        </w:rPr>
        <w:drawing>
          <wp:inline distT="0" distB="0" distL="0" distR="0">
            <wp:extent cx="5917565" cy="6379501"/>
            <wp:effectExtent l="0" t="0" r="6985"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7565" cy="6379501"/>
                    </a:xfrm>
                    <a:prstGeom prst="rect">
                      <a:avLst/>
                    </a:prstGeom>
                    <a:noFill/>
                    <a:ln>
                      <a:noFill/>
                    </a:ln>
                  </pic:spPr>
                </pic:pic>
              </a:graphicData>
            </a:graphic>
          </wp:inline>
        </w:drawing>
      </w:r>
    </w:p>
    <w:p w:rsidR="003A5C32" w:rsidRPr="003A5C32" w:rsidRDefault="003A5C32" w:rsidP="003A5C32">
      <w:pPr>
        <w:spacing w:after="200" w:line="276" w:lineRule="auto"/>
        <w:rPr>
          <w:rFonts w:ascii="Calibri" w:eastAsia="Calibri" w:hAnsi="Calibri"/>
          <w:sz w:val="22"/>
          <w:szCs w:val="22"/>
          <w:lang w:val="en-GB" w:eastAsia="en-US"/>
        </w:rPr>
      </w:pPr>
    </w:p>
    <w:p w:rsidR="003A5C32" w:rsidRPr="003A5C32" w:rsidRDefault="003A5C32" w:rsidP="003A5C32">
      <w:pPr>
        <w:spacing w:after="200" w:line="276" w:lineRule="auto"/>
        <w:rPr>
          <w:rFonts w:ascii="Calibri" w:eastAsia="Calibri" w:hAnsi="Calibri"/>
          <w:sz w:val="22"/>
          <w:szCs w:val="22"/>
          <w:lang w:val="en-GB" w:eastAsia="en-US"/>
        </w:rPr>
      </w:pPr>
    </w:p>
    <w:p w:rsidR="003A5C32" w:rsidRPr="00C6740E" w:rsidRDefault="003A5C32" w:rsidP="00DB3803">
      <w:pPr>
        <w:jc w:val="both"/>
        <w:rPr>
          <w:b/>
          <w:bCs/>
          <w:lang w:val="en-GB"/>
        </w:rPr>
      </w:pPr>
    </w:p>
    <w:sectPr w:rsidR="003A5C32" w:rsidRPr="00C6740E" w:rsidSect="00033BB2">
      <w:pgSz w:w="11906" w:h="16838"/>
      <w:pgMar w:top="1417" w:right="1417" w:bottom="1134"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ADA"/>
    <w:multiLevelType w:val="hybridMultilevel"/>
    <w:tmpl w:val="3D30DB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D07E3F"/>
    <w:multiLevelType w:val="hybridMultilevel"/>
    <w:tmpl w:val="37A62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D6A4F5E"/>
    <w:multiLevelType w:val="hybridMultilevel"/>
    <w:tmpl w:val="0A5E1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4BA18B6"/>
    <w:multiLevelType w:val="hybridMultilevel"/>
    <w:tmpl w:val="A1F0FCBC"/>
    <w:lvl w:ilvl="0" w:tplc="B7B0694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alytica Chimica Acta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txere4wxpxqeewaxpsedw09sdsxzffvr2&quot;&gt;BM-working-lib&lt;record-ids&gt;&lt;item&gt;298&lt;/item&gt;&lt;item&gt;299&lt;/item&gt;&lt;item&gt;300&lt;/item&gt;&lt;item&gt;301&lt;/item&gt;&lt;item&gt;302&lt;/item&gt;&lt;item&gt;303&lt;/item&gt;&lt;item&gt;304&lt;/item&gt;&lt;item&gt;305&lt;/item&gt;&lt;item&gt;306&lt;/item&gt;&lt;item&gt;307&lt;/item&gt;&lt;item&gt;308&lt;/item&gt;&lt;item&gt;309&lt;/item&gt;&lt;item&gt;310&lt;/item&gt;&lt;item&gt;311&lt;/item&gt;&lt;/record-ids&gt;&lt;/item&gt;&lt;/Libraries&gt;"/>
  </w:docVars>
  <w:rsids>
    <w:rsidRoot w:val="00DB3803"/>
    <w:rsid w:val="000100E6"/>
    <w:rsid w:val="00014F7D"/>
    <w:rsid w:val="000175E2"/>
    <w:rsid w:val="00027EF1"/>
    <w:rsid w:val="00027F4E"/>
    <w:rsid w:val="00031991"/>
    <w:rsid w:val="0003239D"/>
    <w:rsid w:val="00032569"/>
    <w:rsid w:val="00032D54"/>
    <w:rsid w:val="00033BB2"/>
    <w:rsid w:val="00034967"/>
    <w:rsid w:val="000367D1"/>
    <w:rsid w:val="00037126"/>
    <w:rsid w:val="0005121B"/>
    <w:rsid w:val="00056CD2"/>
    <w:rsid w:val="00060EBC"/>
    <w:rsid w:val="00063757"/>
    <w:rsid w:val="00073D87"/>
    <w:rsid w:val="000825F0"/>
    <w:rsid w:val="0008413A"/>
    <w:rsid w:val="000957CF"/>
    <w:rsid w:val="000B6637"/>
    <w:rsid w:val="000C2871"/>
    <w:rsid w:val="000C40E5"/>
    <w:rsid w:val="000C4B43"/>
    <w:rsid w:val="000C7C95"/>
    <w:rsid w:val="000E3993"/>
    <w:rsid w:val="00105310"/>
    <w:rsid w:val="001170AF"/>
    <w:rsid w:val="001235EB"/>
    <w:rsid w:val="00130956"/>
    <w:rsid w:val="00141E79"/>
    <w:rsid w:val="0014690B"/>
    <w:rsid w:val="001618E2"/>
    <w:rsid w:val="00164EE9"/>
    <w:rsid w:val="00167043"/>
    <w:rsid w:val="00171152"/>
    <w:rsid w:val="0017184A"/>
    <w:rsid w:val="0017592D"/>
    <w:rsid w:val="00195904"/>
    <w:rsid w:val="001A1CAB"/>
    <w:rsid w:val="001C7849"/>
    <w:rsid w:val="001D41E3"/>
    <w:rsid w:val="001D74E2"/>
    <w:rsid w:val="001D7FA0"/>
    <w:rsid w:val="001E046B"/>
    <w:rsid w:val="001E20FF"/>
    <w:rsid w:val="001E288B"/>
    <w:rsid w:val="001F30D8"/>
    <w:rsid w:val="00212214"/>
    <w:rsid w:val="0021337C"/>
    <w:rsid w:val="00224AA9"/>
    <w:rsid w:val="00224C09"/>
    <w:rsid w:val="002454D6"/>
    <w:rsid w:val="002608EB"/>
    <w:rsid w:val="0026691D"/>
    <w:rsid w:val="002733AA"/>
    <w:rsid w:val="00275070"/>
    <w:rsid w:val="00276F2A"/>
    <w:rsid w:val="00281A45"/>
    <w:rsid w:val="00282B20"/>
    <w:rsid w:val="00283AB4"/>
    <w:rsid w:val="002A1195"/>
    <w:rsid w:val="002A1EBC"/>
    <w:rsid w:val="002A3A0A"/>
    <w:rsid w:val="002D257C"/>
    <w:rsid w:val="002E1FDB"/>
    <w:rsid w:val="002F0753"/>
    <w:rsid w:val="003132C1"/>
    <w:rsid w:val="0031737B"/>
    <w:rsid w:val="003250F1"/>
    <w:rsid w:val="00333757"/>
    <w:rsid w:val="00333DDC"/>
    <w:rsid w:val="00356F46"/>
    <w:rsid w:val="0036398F"/>
    <w:rsid w:val="0037777E"/>
    <w:rsid w:val="003874F2"/>
    <w:rsid w:val="00387F7E"/>
    <w:rsid w:val="003937B3"/>
    <w:rsid w:val="003A5C32"/>
    <w:rsid w:val="003D3166"/>
    <w:rsid w:val="003D593B"/>
    <w:rsid w:val="003E5D3B"/>
    <w:rsid w:val="003F7E74"/>
    <w:rsid w:val="00414E77"/>
    <w:rsid w:val="004249E5"/>
    <w:rsid w:val="00432FC5"/>
    <w:rsid w:val="00454904"/>
    <w:rsid w:val="004604D8"/>
    <w:rsid w:val="00463A8C"/>
    <w:rsid w:val="00467106"/>
    <w:rsid w:val="00467A7A"/>
    <w:rsid w:val="004846F9"/>
    <w:rsid w:val="004A5DCE"/>
    <w:rsid w:val="004B1614"/>
    <w:rsid w:val="004B48D0"/>
    <w:rsid w:val="004B538F"/>
    <w:rsid w:val="004D17EE"/>
    <w:rsid w:val="004E704A"/>
    <w:rsid w:val="004E748B"/>
    <w:rsid w:val="00515CA1"/>
    <w:rsid w:val="00525404"/>
    <w:rsid w:val="00530159"/>
    <w:rsid w:val="005320AB"/>
    <w:rsid w:val="00533BD9"/>
    <w:rsid w:val="0053664B"/>
    <w:rsid w:val="005439B8"/>
    <w:rsid w:val="00561FB8"/>
    <w:rsid w:val="0058061E"/>
    <w:rsid w:val="00581CA2"/>
    <w:rsid w:val="00585543"/>
    <w:rsid w:val="005957EB"/>
    <w:rsid w:val="005A3B35"/>
    <w:rsid w:val="005B0117"/>
    <w:rsid w:val="005B7037"/>
    <w:rsid w:val="005C6000"/>
    <w:rsid w:val="005C79A7"/>
    <w:rsid w:val="005D0D95"/>
    <w:rsid w:val="005E77CB"/>
    <w:rsid w:val="005F6595"/>
    <w:rsid w:val="006005CF"/>
    <w:rsid w:val="00606CFC"/>
    <w:rsid w:val="00610429"/>
    <w:rsid w:val="00634A10"/>
    <w:rsid w:val="00643598"/>
    <w:rsid w:val="00657835"/>
    <w:rsid w:val="0066316F"/>
    <w:rsid w:val="00677713"/>
    <w:rsid w:val="00691202"/>
    <w:rsid w:val="006A1480"/>
    <w:rsid w:val="006A5690"/>
    <w:rsid w:val="006B31D2"/>
    <w:rsid w:val="006B4C9B"/>
    <w:rsid w:val="006B6589"/>
    <w:rsid w:val="006C2533"/>
    <w:rsid w:val="006D1D7F"/>
    <w:rsid w:val="006D6388"/>
    <w:rsid w:val="006E0758"/>
    <w:rsid w:val="006F0F98"/>
    <w:rsid w:val="00740680"/>
    <w:rsid w:val="00747139"/>
    <w:rsid w:val="00783ACE"/>
    <w:rsid w:val="00785F34"/>
    <w:rsid w:val="00791CF1"/>
    <w:rsid w:val="00797536"/>
    <w:rsid w:val="007A2466"/>
    <w:rsid w:val="007B05B6"/>
    <w:rsid w:val="007B2F40"/>
    <w:rsid w:val="007D62A0"/>
    <w:rsid w:val="007E73BC"/>
    <w:rsid w:val="007F0B20"/>
    <w:rsid w:val="0080565E"/>
    <w:rsid w:val="00815513"/>
    <w:rsid w:val="0083331A"/>
    <w:rsid w:val="00836D2D"/>
    <w:rsid w:val="00840362"/>
    <w:rsid w:val="0085561D"/>
    <w:rsid w:val="0086380E"/>
    <w:rsid w:val="00884E4C"/>
    <w:rsid w:val="00885FF8"/>
    <w:rsid w:val="0089069E"/>
    <w:rsid w:val="008A12E3"/>
    <w:rsid w:val="008A722A"/>
    <w:rsid w:val="008B43E5"/>
    <w:rsid w:val="008B5D4A"/>
    <w:rsid w:val="008C291A"/>
    <w:rsid w:val="008D58FF"/>
    <w:rsid w:val="008F1D4D"/>
    <w:rsid w:val="008F5012"/>
    <w:rsid w:val="009003A2"/>
    <w:rsid w:val="0090306E"/>
    <w:rsid w:val="0091798F"/>
    <w:rsid w:val="00923241"/>
    <w:rsid w:val="00924440"/>
    <w:rsid w:val="00932C88"/>
    <w:rsid w:val="00957323"/>
    <w:rsid w:val="00964095"/>
    <w:rsid w:val="0098475E"/>
    <w:rsid w:val="00997FF6"/>
    <w:rsid w:val="009A161D"/>
    <w:rsid w:val="009C5509"/>
    <w:rsid w:val="009D73BC"/>
    <w:rsid w:val="009E01EF"/>
    <w:rsid w:val="009E0B79"/>
    <w:rsid w:val="009F2F87"/>
    <w:rsid w:val="00A02672"/>
    <w:rsid w:val="00A307EE"/>
    <w:rsid w:val="00A34C03"/>
    <w:rsid w:val="00A449D9"/>
    <w:rsid w:val="00A52C8E"/>
    <w:rsid w:val="00A65F1B"/>
    <w:rsid w:val="00AB3F02"/>
    <w:rsid w:val="00AC2CA4"/>
    <w:rsid w:val="00AC789A"/>
    <w:rsid w:val="00AE279A"/>
    <w:rsid w:val="00AE5848"/>
    <w:rsid w:val="00AF571F"/>
    <w:rsid w:val="00B001E1"/>
    <w:rsid w:val="00B03A0A"/>
    <w:rsid w:val="00B21390"/>
    <w:rsid w:val="00B24C35"/>
    <w:rsid w:val="00B475A4"/>
    <w:rsid w:val="00B51083"/>
    <w:rsid w:val="00B51DA0"/>
    <w:rsid w:val="00B61EAB"/>
    <w:rsid w:val="00B6472A"/>
    <w:rsid w:val="00B67A68"/>
    <w:rsid w:val="00B712B2"/>
    <w:rsid w:val="00B717AE"/>
    <w:rsid w:val="00B806B8"/>
    <w:rsid w:val="00B90579"/>
    <w:rsid w:val="00B93692"/>
    <w:rsid w:val="00B93ADB"/>
    <w:rsid w:val="00BA1DC8"/>
    <w:rsid w:val="00BA61ED"/>
    <w:rsid w:val="00BD0ECC"/>
    <w:rsid w:val="00C04808"/>
    <w:rsid w:val="00C0700E"/>
    <w:rsid w:val="00C3033F"/>
    <w:rsid w:val="00C43F9E"/>
    <w:rsid w:val="00C6037C"/>
    <w:rsid w:val="00C6740E"/>
    <w:rsid w:val="00C80468"/>
    <w:rsid w:val="00C82627"/>
    <w:rsid w:val="00C877EE"/>
    <w:rsid w:val="00C905B4"/>
    <w:rsid w:val="00C967B0"/>
    <w:rsid w:val="00CA6AB7"/>
    <w:rsid w:val="00CD36E0"/>
    <w:rsid w:val="00CF02F9"/>
    <w:rsid w:val="00CF6733"/>
    <w:rsid w:val="00D037DB"/>
    <w:rsid w:val="00D048D5"/>
    <w:rsid w:val="00D20812"/>
    <w:rsid w:val="00D2281A"/>
    <w:rsid w:val="00D42F45"/>
    <w:rsid w:val="00D61B0C"/>
    <w:rsid w:val="00D7716E"/>
    <w:rsid w:val="00D773B8"/>
    <w:rsid w:val="00D8640F"/>
    <w:rsid w:val="00D9707C"/>
    <w:rsid w:val="00DA3053"/>
    <w:rsid w:val="00DB11FA"/>
    <w:rsid w:val="00DB3803"/>
    <w:rsid w:val="00DD5DDE"/>
    <w:rsid w:val="00DF60A0"/>
    <w:rsid w:val="00DF701A"/>
    <w:rsid w:val="00DF79AA"/>
    <w:rsid w:val="00E03629"/>
    <w:rsid w:val="00E0459D"/>
    <w:rsid w:val="00E05D73"/>
    <w:rsid w:val="00E1209D"/>
    <w:rsid w:val="00E15C52"/>
    <w:rsid w:val="00E34D1D"/>
    <w:rsid w:val="00E43B00"/>
    <w:rsid w:val="00E654AC"/>
    <w:rsid w:val="00E70218"/>
    <w:rsid w:val="00E71866"/>
    <w:rsid w:val="00EA4071"/>
    <w:rsid w:val="00EB448F"/>
    <w:rsid w:val="00EB4C0E"/>
    <w:rsid w:val="00EB50DD"/>
    <w:rsid w:val="00EB6764"/>
    <w:rsid w:val="00EC02D2"/>
    <w:rsid w:val="00EC424A"/>
    <w:rsid w:val="00EC5042"/>
    <w:rsid w:val="00ED15D2"/>
    <w:rsid w:val="00EE3272"/>
    <w:rsid w:val="00EE3416"/>
    <w:rsid w:val="00EF59FB"/>
    <w:rsid w:val="00F158C6"/>
    <w:rsid w:val="00F22F9C"/>
    <w:rsid w:val="00F26A03"/>
    <w:rsid w:val="00F27CD3"/>
    <w:rsid w:val="00F36F4C"/>
    <w:rsid w:val="00F40EAF"/>
    <w:rsid w:val="00F5042B"/>
    <w:rsid w:val="00F525F2"/>
    <w:rsid w:val="00F53768"/>
    <w:rsid w:val="00F604E5"/>
    <w:rsid w:val="00F75C78"/>
    <w:rsid w:val="00FE54B0"/>
    <w:rsid w:val="00FE58B3"/>
    <w:rsid w:val="00FF0269"/>
    <w:rsid w:val="00FF3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3803"/>
    <w:pPr>
      <w:spacing w:line="360" w:lineRule="auto"/>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B3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2281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2281A"/>
    <w:rPr>
      <w:rFonts w:ascii="Tahoma" w:hAnsi="Tahoma" w:cs="Tahoma"/>
      <w:sz w:val="16"/>
      <w:szCs w:val="16"/>
    </w:rPr>
  </w:style>
  <w:style w:type="paragraph" w:customStyle="1" w:styleId="EndNoteBibliographyTitle">
    <w:name w:val="EndNote Bibliography Title"/>
    <w:basedOn w:val="Standard"/>
    <w:link w:val="EndNoteBibliographyTitleZchn"/>
    <w:rsid w:val="002733AA"/>
    <w:pPr>
      <w:jc w:val="center"/>
    </w:pPr>
    <w:rPr>
      <w:noProof/>
    </w:rPr>
  </w:style>
  <w:style w:type="character" w:customStyle="1" w:styleId="EndNoteBibliographyTitleZchn">
    <w:name w:val="EndNote Bibliography Title Zchn"/>
    <w:basedOn w:val="Absatz-Standardschriftart"/>
    <w:link w:val="EndNoteBibliographyTitle"/>
    <w:rsid w:val="002733AA"/>
    <w:rPr>
      <w:noProof/>
      <w:sz w:val="24"/>
    </w:rPr>
  </w:style>
  <w:style w:type="paragraph" w:customStyle="1" w:styleId="EndNoteBibliography">
    <w:name w:val="EndNote Bibliography"/>
    <w:basedOn w:val="Standard"/>
    <w:link w:val="EndNoteBibliographyZchn"/>
    <w:rsid w:val="002733AA"/>
    <w:pPr>
      <w:spacing w:line="240" w:lineRule="auto"/>
      <w:jc w:val="both"/>
    </w:pPr>
    <w:rPr>
      <w:noProof/>
    </w:rPr>
  </w:style>
  <w:style w:type="character" w:customStyle="1" w:styleId="EndNoteBibliographyZchn">
    <w:name w:val="EndNote Bibliography Zchn"/>
    <w:basedOn w:val="Absatz-Standardschriftart"/>
    <w:link w:val="EndNoteBibliography"/>
    <w:rsid w:val="002733AA"/>
    <w:rPr>
      <w:noProof/>
      <w:sz w:val="24"/>
    </w:rPr>
  </w:style>
  <w:style w:type="paragraph" w:customStyle="1" w:styleId="Default">
    <w:name w:val="Default"/>
    <w:rsid w:val="00F525F2"/>
    <w:pPr>
      <w:autoSpaceDE w:val="0"/>
      <w:autoSpaceDN w:val="0"/>
      <w:adjustRightInd w:val="0"/>
    </w:pPr>
    <w:rPr>
      <w:rFonts w:ascii="Arial" w:hAnsi="Arial" w:cs="Arial"/>
      <w:color w:val="000000"/>
      <w:sz w:val="24"/>
      <w:szCs w:val="24"/>
    </w:rPr>
  </w:style>
  <w:style w:type="paragraph" w:customStyle="1" w:styleId="Bau1-Datum">
    <w:name w:val="Bau1-Datum"/>
    <w:basedOn w:val="Default"/>
    <w:next w:val="Default"/>
    <w:uiPriority w:val="99"/>
    <w:rsid w:val="00F525F2"/>
    <w:rPr>
      <w:color w:val="auto"/>
    </w:rPr>
  </w:style>
  <w:style w:type="character" w:styleId="Hyperlink">
    <w:name w:val="Hyperlink"/>
    <w:basedOn w:val="Absatz-Standardschriftart"/>
    <w:rsid w:val="00F525F2"/>
    <w:rPr>
      <w:color w:val="0000FF" w:themeColor="hyperlink"/>
      <w:u w:val="single"/>
    </w:rPr>
  </w:style>
  <w:style w:type="paragraph" w:styleId="StandardWeb">
    <w:name w:val="Normal (Web)"/>
    <w:basedOn w:val="Standard"/>
    <w:uiPriority w:val="99"/>
    <w:unhideWhenUsed/>
    <w:rsid w:val="00033BB2"/>
    <w:pPr>
      <w:spacing w:before="100" w:beforeAutospacing="1" w:after="100" w:afterAutospacing="1" w:line="240" w:lineRule="auto"/>
    </w:pPr>
    <w:rPr>
      <w:szCs w:val="24"/>
    </w:rPr>
  </w:style>
  <w:style w:type="paragraph" w:styleId="Listenabsatz">
    <w:name w:val="List Paragraph"/>
    <w:basedOn w:val="Standard"/>
    <w:uiPriority w:val="34"/>
    <w:qFormat/>
    <w:rsid w:val="00903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3803"/>
    <w:pPr>
      <w:spacing w:line="360" w:lineRule="auto"/>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B3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2281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2281A"/>
    <w:rPr>
      <w:rFonts w:ascii="Tahoma" w:hAnsi="Tahoma" w:cs="Tahoma"/>
      <w:sz w:val="16"/>
      <w:szCs w:val="16"/>
    </w:rPr>
  </w:style>
  <w:style w:type="paragraph" w:customStyle="1" w:styleId="EndNoteBibliographyTitle">
    <w:name w:val="EndNote Bibliography Title"/>
    <w:basedOn w:val="Standard"/>
    <w:link w:val="EndNoteBibliographyTitleZchn"/>
    <w:rsid w:val="002733AA"/>
    <w:pPr>
      <w:jc w:val="center"/>
    </w:pPr>
    <w:rPr>
      <w:noProof/>
    </w:rPr>
  </w:style>
  <w:style w:type="character" w:customStyle="1" w:styleId="EndNoteBibliographyTitleZchn">
    <w:name w:val="EndNote Bibliography Title Zchn"/>
    <w:basedOn w:val="Absatz-Standardschriftart"/>
    <w:link w:val="EndNoteBibliographyTitle"/>
    <w:rsid w:val="002733AA"/>
    <w:rPr>
      <w:noProof/>
      <w:sz w:val="24"/>
    </w:rPr>
  </w:style>
  <w:style w:type="paragraph" w:customStyle="1" w:styleId="EndNoteBibliography">
    <w:name w:val="EndNote Bibliography"/>
    <w:basedOn w:val="Standard"/>
    <w:link w:val="EndNoteBibliographyZchn"/>
    <w:rsid w:val="002733AA"/>
    <w:pPr>
      <w:spacing w:line="240" w:lineRule="auto"/>
      <w:jc w:val="both"/>
    </w:pPr>
    <w:rPr>
      <w:noProof/>
    </w:rPr>
  </w:style>
  <w:style w:type="character" w:customStyle="1" w:styleId="EndNoteBibliographyZchn">
    <w:name w:val="EndNote Bibliography Zchn"/>
    <w:basedOn w:val="Absatz-Standardschriftart"/>
    <w:link w:val="EndNoteBibliography"/>
    <w:rsid w:val="002733AA"/>
    <w:rPr>
      <w:noProof/>
      <w:sz w:val="24"/>
    </w:rPr>
  </w:style>
  <w:style w:type="paragraph" w:customStyle="1" w:styleId="Default">
    <w:name w:val="Default"/>
    <w:rsid w:val="00F525F2"/>
    <w:pPr>
      <w:autoSpaceDE w:val="0"/>
      <w:autoSpaceDN w:val="0"/>
      <w:adjustRightInd w:val="0"/>
    </w:pPr>
    <w:rPr>
      <w:rFonts w:ascii="Arial" w:hAnsi="Arial" w:cs="Arial"/>
      <w:color w:val="000000"/>
      <w:sz w:val="24"/>
      <w:szCs w:val="24"/>
    </w:rPr>
  </w:style>
  <w:style w:type="paragraph" w:customStyle="1" w:styleId="Bau1-Datum">
    <w:name w:val="Bau1-Datum"/>
    <w:basedOn w:val="Default"/>
    <w:next w:val="Default"/>
    <w:uiPriority w:val="99"/>
    <w:rsid w:val="00F525F2"/>
    <w:rPr>
      <w:color w:val="auto"/>
    </w:rPr>
  </w:style>
  <w:style w:type="character" w:styleId="Hyperlink">
    <w:name w:val="Hyperlink"/>
    <w:basedOn w:val="Absatz-Standardschriftart"/>
    <w:rsid w:val="00F525F2"/>
    <w:rPr>
      <w:color w:val="0000FF" w:themeColor="hyperlink"/>
      <w:u w:val="single"/>
    </w:rPr>
  </w:style>
  <w:style w:type="paragraph" w:styleId="StandardWeb">
    <w:name w:val="Normal (Web)"/>
    <w:basedOn w:val="Standard"/>
    <w:uiPriority w:val="99"/>
    <w:unhideWhenUsed/>
    <w:rsid w:val="00033BB2"/>
    <w:pPr>
      <w:spacing w:before="100" w:beforeAutospacing="1" w:after="100" w:afterAutospacing="1" w:line="240" w:lineRule="auto"/>
    </w:pPr>
    <w:rPr>
      <w:szCs w:val="24"/>
    </w:rPr>
  </w:style>
  <w:style w:type="paragraph" w:styleId="Listenabsatz">
    <w:name w:val="List Paragraph"/>
    <w:basedOn w:val="Standard"/>
    <w:uiPriority w:val="34"/>
    <w:qFormat/>
    <w:rsid w:val="00903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339">
      <w:bodyDiv w:val="1"/>
      <w:marLeft w:val="0"/>
      <w:marRight w:val="0"/>
      <w:marTop w:val="0"/>
      <w:marBottom w:val="0"/>
      <w:divBdr>
        <w:top w:val="none" w:sz="0" w:space="0" w:color="auto"/>
        <w:left w:val="none" w:sz="0" w:space="0" w:color="auto"/>
        <w:bottom w:val="none" w:sz="0" w:space="0" w:color="auto"/>
        <w:right w:val="none" w:sz="0" w:space="0" w:color="auto"/>
      </w:divBdr>
    </w:div>
    <w:div w:id="351685754">
      <w:bodyDiv w:val="1"/>
      <w:marLeft w:val="0"/>
      <w:marRight w:val="0"/>
      <w:marTop w:val="0"/>
      <w:marBottom w:val="0"/>
      <w:divBdr>
        <w:top w:val="none" w:sz="0" w:space="0" w:color="auto"/>
        <w:left w:val="none" w:sz="0" w:space="0" w:color="auto"/>
        <w:bottom w:val="none" w:sz="0" w:space="0" w:color="auto"/>
        <w:right w:val="none" w:sz="0" w:space="0" w:color="auto"/>
      </w:divBdr>
    </w:div>
    <w:div w:id="645282716">
      <w:bodyDiv w:val="1"/>
      <w:marLeft w:val="0"/>
      <w:marRight w:val="0"/>
      <w:marTop w:val="0"/>
      <w:marBottom w:val="0"/>
      <w:divBdr>
        <w:top w:val="none" w:sz="0" w:space="0" w:color="auto"/>
        <w:left w:val="none" w:sz="0" w:space="0" w:color="auto"/>
        <w:bottom w:val="none" w:sz="0" w:space="0" w:color="auto"/>
        <w:right w:val="none" w:sz="0" w:space="0" w:color="auto"/>
      </w:divBdr>
    </w:div>
    <w:div w:id="675496283">
      <w:bodyDiv w:val="1"/>
      <w:marLeft w:val="0"/>
      <w:marRight w:val="0"/>
      <w:marTop w:val="0"/>
      <w:marBottom w:val="0"/>
      <w:divBdr>
        <w:top w:val="none" w:sz="0" w:space="0" w:color="auto"/>
        <w:left w:val="none" w:sz="0" w:space="0" w:color="auto"/>
        <w:bottom w:val="none" w:sz="0" w:space="0" w:color="auto"/>
        <w:right w:val="none" w:sz="0" w:space="0" w:color="auto"/>
      </w:divBdr>
    </w:div>
    <w:div w:id="989167397">
      <w:bodyDiv w:val="1"/>
      <w:marLeft w:val="0"/>
      <w:marRight w:val="0"/>
      <w:marTop w:val="0"/>
      <w:marBottom w:val="0"/>
      <w:divBdr>
        <w:top w:val="none" w:sz="0" w:space="0" w:color="auto"/>
        <w:left w:val="none" w:sz="0" w:space="0" w:color="auto"/>
        <w:bottom w:val="none" w:sz="0" w:space="0" w:color="auto"/>
        <w:right w:val="none" w:sz="0" w:space="0" w:color="auto"/>
      </w:divBdr>
    </w:div>
    <w:div w:id="1179546769">
      <w:bodyDiv w:val="1"/>
      <w:marLeft w:val="0"/>
      <w:marRight w:val="0"/>
      <w:marTop w:val="0"/>
      <w:marBottom w:val="0"/>
      <w:divBdr>
        <w:top w:val="none" w:sz="0" w:space="0" w:color="auto"/>
        <w:left w:val="none" w:sz="0" w:space="0" w:color="auto"/>
        <w:bottom w:val="none" w:sz="0" w:space="0" w:color="auto"/>
        <w:right w:val="none" w:sz="0" w:space="0" w:color="auto"/>
      </w:divBdr>
    </w:div>
    <w:div w:id="1368412376">
      <w:bodyDiv w:val="1"/>
      <w:marLeft w:val="0"/>
      <w:marRight w:val="0"/>
      <w:marTop w:val="0"/>
      <w:marBottom w:val="0"/>
      <w:divBdr>
        <w:top w:val="none" w:sz="0" w:space="0" w:color="auto"/>
        <w:left w:val="none" w:sz="0" w:space="0" w:color="auto"/>
        <w:bottom w:val="none" w:sz="0" w:space="0" w:color="auto"/>
        <w:right w:val="none" w:sz="0" w:space="0" w:color="auto"/>
      </w:divBdr>
    </w:div>
    <w:div w:id="1663198231">
      <w:bodyDiv w:val="1"/>
      <w:marLeft w:val="0"/>
      <w:marRight w:val="0"/>
      <w:marTop w:val="0"/>
      <w:marBottom w:val="0"/>
      <w:divBdr>
        <w:top w:val="none" w:sz="0" w:space="0" w:color="auto"/>
        <w:left w:val="none" w:sz="0" w:space="0" w:color="auto"/>
        <w:bottom w:val="none" w:sz="0" w:space="0" w:color="auto"/>
        <w:right w:val="none" w:sz="0" w:space="0" w:color="auto"/>
      </w:divBdr>
    </w:div>
    <w:div w:id="1729769626">
      <w:bodyDiv w:val="1"/>
      <w:marLeft w:val="0"/>
      <w:marRight w:val="0"/>
      <w:marTop w:val="0"/>
      <w:marBottom w:val="0"/>
      <w:divBdr>
        <w:top w:val="none" w:sz="0" w:space="0" w:color="auto"/>
        <w:left w:val="none" w:sz="0" w:space="0" w:color="auto"/>
        <w:bottom w:val="none" w:sz="0" w:space="0" w:color="auto"/>
        <w:right w:val="none" w:sz="0" w:space="0" w:color="auto"/>
      </w:divBdr>
      <w:divsChild>
        <w:div w:id="446658658">
          <w:marLeft w:val="0"/>
          <w:marRight w:val="0"/>
          <w:marTop w:val="0"/>
          <w:marBottom w:val="0"/>
          <w:divBdr>
            <w:top w:val="none" w:sz="0" w:space="0" w:color="auto"/>
            <w:left w:val="none" w:sz="0" w:space="0" w:color="auto"/>
            <w:bottom w:val="none" w:sz="0" w:space="0" w:color="auto"/>
            <w:right w:val="none" w:sz="0" w:space="0" w:color="auto"/>
          </w:divBdr>
        </w:div>
        <w:div w:id="1409620489">
          <w:marLeft w:val="0"/>
          <w:marRight w:val="0"/>
          <w:marTop w:val="0"/>
          <w:marBottom w:val="0"/>
          <w:divBdr>
            <w:top w:val="none" w:sz="0" w:space="0" w:color="auto"/>
            <w:left w:val="none" w:sz="0" w:space="0" w:color="auto"/>
            <w:bottom w:val="none" w:sz="0" w:space="0" w:color="auto"/>
            <w:right w:val="none" w:sz="0" w:space="0" w:color="auto"/>
          </w:divBdr>
          <w:divsChild>
            <w:div w:id="1909918606">
              <w:marLeft w:val="0"/>
              <w:marRight w:val="0"/>
              <w:marTop w:val="0"/>
              <w:marBottom w:val="0"/>
              <w:divBdr>
                <w:top w:val="none" w:sz="0" w:space="0" w:color="auto"/>
                <w:left w:val="none" w:sz="0" w:space="0" w:color="auto"/>
                <w:bottom w:val="none" w:sz="0" w:space="0" w:color="auto"/>
                <w:right w:val="none" w:sz="0" w:space="0" w:color="auto"/>
              </w:divBdr>
              <w:divsChild>
                <w:div w:id="2125608586">
                  <w:marLeft w:val="0"/>
                  <w:marRight w:val="0"/>
                  <w:marTop w:val="0"/>
                  <w:marBottom w:val="0"/>
                  <w:divBdr>
                    <w:top w:val="none" w:sz="0" w:space="0" w:color="auto"/>
                    <w:left w:val="none" w:sz="0" w:space="0" w:color="auto"/>
                    <w:bottom w:val="none" w:sz="0" w:space="0" w:color="auto"/>
                    <w:right w:val="none" w:sz="0" w:space="0" w:color="auto"/>
                  </w:divBdr>
                  <w:divsChild>
                    <w:div w:id="1513186221">
                      <w:marLeft w:val="0"/>
                      <w:marRight w:val="0"/>
                      <w:marTop w:val="0"/>
                      <w:marBottom w:val="0"/>
                      <w:divBdr>
                        <w:top w:val="none" w:sz="0" w:space="0" w:color="auto"/>
                        <w:left w:val="none" w:sz="0" w:space="0" w:color="auto"/>
                        <w:bottom w:val="none" w:sz="0" w:space="0" w:color="auto"/>
                        <w:right w:val="none" w:sz="0" w:space="0" w:color="auto"/>
                      </w:divBdr>
                      <w:divsChild>
                        <w:div w:id="266274242">
                          <w:marLeft w:val="0"/>
                          <w:marRight w:val="0"/>
                          <w:marTop w:val="0"/>
                          <w:marBottom w:val="0"/>
                          <w:divBdr>
                            <w:top w:val="none" w:sz="0" w:space="0" w:color="auto"/>
                            <w:left w:val="none" w:sz="0" w:space="0" w:color="auto"/>
                            <w:bottom w:val="none" w:sz="0" w:space="0" w:color="auto"/>
                            <w:right w:val="none" w:sz="0" w:space="0" w:color="auto"/>
                          </w:divBdr>
                          <w:divsChild>
                            <w:div w:id="19073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213996">
      <w:bodyDiv w:val="1"/>
      <w:marLeft w:val="0"/>
      <w:marRight w:val="0"/>
      <w:marTop w:val="0"/>
      <w:marBottom w:val="0"/>
      <w:divBdr>
        <w:top w:val="none" w:sz="0" w:space="0" w:color="auto"/>
        <w:left w:val="none" w:sz="0" w:space="0" w:color="auto"/>
        <w:bottom w:val="none" w:sz="0" w:space="0" w:color="auto"/>
        <w:right w:val="none" w:sz="0" w:space="0" w:color="auto"/>
      </w:divBdr>
      <w:divsChild>
        <w:div w:id="1137801639">
          <w:marLeft w:val="0"/>
          <w:marRight w:val="0"/>
          <w:marTop w:val="0"/>
          <w:marBottom w:val="0"/>
          <w:divBdr>
            <w:top w:val="none" w:sz="0" w:space="0" w:color="auto"/>
            <w:left w:val="none" w:sz="0" w:space="0" w:color="auto"/>
            <w:bottom w:val="none" w:sz="0" w:space="0" w:color="auto"/>
            <w:right w:val="none" w:sz="0" w:space="0" w:color="auto"/>
          </w:divBdr>
        </w:div>
        <w:div w:id="1427994759">
          <w:marLeft w:val="0"/>
          <w:marRight w:val="0"/>
          <w:marTop w:val="0"/>
          <w:marBottom w:val="0"/>
          <w:divBdr>
            <w:top w:val="none" w:sz="0" w:space="0" w:color="auto"/>
            <w:left w:val="none" w:sz="0" w:space="0" w:color="auto"/>
            <w:bottom w:val="none" w:sz="0" w:space="0" w:color="auto"/>
            <w:right w:val="none" w:sz="0" w:space="0" w:color="auto"/>
          </w:divBdr>
          <w:divsChild>
            <w:div w:id="1231111375">
              <w:marLeft w:val="0"/>
              <w:marRight w:val="0"/>
              <w:marTop w:val="0"/>
              <w:marBottom w:val="0"/>
              <w:divBdr>
                <w:top w:val="none" w:sz="0" w:space="0" w:color="auto"/>
                <w:left w:val="none" w:sz="0" w:space="0" w:color="auto"/>
                <w:bottom w:val="none" w:sz="0" w:space="0" w:color="auto"/>
                <w:right w:val="none" w:sz="0" w:space="0" w:color="auto"/>
              </w:divBdr>
              <w:divsChild>
                <w:div w:id="298144756">
                  <w:marLeft w:val="0"/>
                  <w:marRight w:val="0"/>
                  <w:marTop w:val="0"/>
                  <w:marBottom w:val="0"/>
                  <w:divBdr>
                    <w:top w:val="none" w:sz="0" w:space="0" w:color="auto"/>
                    <w:left w:val="none" w:sz="0" w:space="0" w:color="auto"/>
                    <w:bottom w:val="none" w:sz="0" w:space="0" w:color="auto"/>
                    <w:right w:val="none" w:sz="0" w:space="0" w:color="auto"/>
                  </w:divBdr>
                  <w:divsChild>
                    <w:div w:id="1396397579">
                      <w:marLeft w:val="0"/>
                      <w:marRight w:val="0"/>
                      <w:marTop w:val="0"/>
                      <w:marBottom w:val="0"/>
                      <w:divBdr>
                        <w:top w:val="none" w:sz="0" w:space="0" w:color="auto"/>
                        <w:left w:val="none" w:sz="0" w:space="0" w:color="auto"/>
                        <w:bottom w:val="none" w:sz="0" w:space="0" w:color="auto"/>
                        <w:right w:val="none" w:sz="0" w:space="0" w:color="auto"/>
                      </w:divBdr>
                      <w:divsChild>
                        <w:div w:id="851185180">
                          <w:marLeft w:val="0"/>
                          <w:marRight w:val="0"/>
                          <w:marTop w:val="0"/>
                          <w:marBottom w:val="0"/>
                          <w:divBdr>
                            <w:top w:val="none" w:sz="0" w:space="0" w:color="auto"/>
                            <w:left w:val="none" w:sz="0" w:space="0" w:color="auto"/>
                            <w:bottom w:val="none" w:sz="0" w:space="0" w:color="auto"/>
                            <w:right w:val="none" w:sz="0" w:space="0" w:color="auto"/>
                          </w:divBdr>
                          <w:divsChild>
                            <w:div w:id="353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001459">
      <w:bodyDiv w:val="1"/>
      <w:marLeft w:val="0"/>
      <w:marRight w:val="0"/>
      <w:marTop w:val="0"/>
      <w:marBottom w:val="0"/>
      <w:divBdr>
        <w:top w:val="none" w:sz="0" w:space="0" w:color="auto"/>
        <w:left w:val="none" w:sz="0" w:space="0" w:color="auto"/>
        <w:bottom w:val="none" w:sz="0" w:space="0" w:color="auto"/>
        <w:right w:val="none" w:sz="0" w:space="0" w:color="auto"/>
      </w:divBdr>
    </w:div>
    <w:div w:id="2011909180">
      <w:bodyDiv w:val="1"/>
      <w:marLeft w:val="0"/>
      <w:marRight w:val="0"/>
      <w:marTop w:val="0"/>
      <w:marBottom w:val="0"/>
      <w:divBdr>
        <w:top w:val="none" w:sz="0" w:space="0" w:color="auto"/>
        <w:left w:val="none" w:sz="0" w:space="0" w:color="auto"/>
        <w:bottom w:val="none" w:sz="0" w:space="0" w:color="auto"/>
        <w:right w:val="none" w:sz="0" w:space="0" w:color="auto"/>
      </w:divBdr>
    </w:div>
    <w:div w:id="2054620157">
      <w:bodyDiv w:val="1"/>
      <w:marLeft w:val="0"/>
      <w:marRight w:val="0"/>
      <w:marTop w:val="0"/>
      <w:marBottom w:val="0"/>
      <w:divBdr>
        <w:top w:val="none" w:sz="0" w:space="0" w:color="auto"/>
        <w:left w:val="none" w:sz="0" w:space="0" w:color="auto"/>
        <w:bottom w:val="none" w:sz="0" w:space="0" w:color="auto"/>
        <w:right w:val="none" w:sz="0" w:space="0" w:color="auto"/>
      </w:divBdr>
    </w:div>
    <w:div w:id="20898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nhard.michalke@helmholtz-muenchen.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4068</Words>
  <Characters>39048</Characters>
  <Application>Microsoft Office Word</Application>
  <DocSecurity>4</DocSecurity>
  <Lines>325</Lines>
  <Paragraphs>86</Paragraphs>
  <ScaleCrop>false</ScaleCrop>
  <HeadingPairs>
    <vt:vector size="2" baseType="variant">
      <vt:variant>
        <vt:lpstr>Titel</vt:lpstr>
      </vt:variant>
      <vt:variant>
        <vt:i4>1</vt:i4>
      </vt:variant>
    </vt:vector>
  </HeadingPairs>
  <TitlesOfParts>
    <vt:vector size="1" baseType="lpstr">
      <vt:lpstr>Pressure digestion:</vt:lpstr>
    </vt:vector>
  </TitlesOfParts>
  <Company>Helmholtz Zentrum Muenchen</Company>
  <LinksUpToDate>false</LinksUpToDate>
  <CharactersWithSpaces>43030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Pressure digestion:</dc:title>
  <dc:creator>bernhard.michalke</dc:creator>
  <cp:lastModifiedBy>katrin.rauner</cp:lastModifiedBy>
  <cp:revision>2</cp:revision>
  <cp:lastPrinted>2016-09-27T08:17:00Z</cp:lastPrinted>
  <dcterms:created xsi:type="dcterms:W3CDTF">2017-02-01T11:44:00Z</dcterms:created>
  <dcterms:modified xsi:type="dcterms:W3CDTF">2017-02-01T11:44:00Z</dcterms:modified>
</cp:coreProperties>
</file>