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83" w:rsidRDefault="00112383" w:rsidP="00CD18DA">
      <w:pPr>
        <w:shd w:val="clear" w:color="auto" w:fill="FFFFFF"/>
        <w:spacing w:after="0" w:line="289" w:lineRule="atLeast"/>
        <w:textAlignment w:val="baseline"/>
        <w:rPr>
          <w:rFonts w:ascii="Helvetica" w:hAnsi="Helvetica" w:cs="Arial"/>
          <w:lang w:val="en-US"/>
        </w:rPr>
      </w:pPr>
      <w:r w:rsidRPr="00CE71A7">
        <w:rPr>
          <w:rFonts w:ascii="Arial" w:hAnsi="Arial" w:cs="Arial"/>
          <w:b/>
          <w:sz w:val="24"/>
          <w:szCs w:val="24"/>
          <w:lang w:val="en-US"/>
        </w:rPr>
        <w:t xml:space="preserve">Generation of a human induced pluripotent stem cell </w:t>
      </w:r>
      <w:r>
        <w:rPr>
          <w:rFonts w:ascii="Arial" w:hAnsi="Arial" w:cs="Arial"/>
          <w:b/>
          <w:sz w:val="24"/>
          <w:szCs w:val="24"/>
          <w:lang w:val="en-US"/>
        </w:rPr>
        <w:t xml:space="preserve">(iPSC) </w:t>
      </w:r>
      <w:r w:rsidR="00242E26">
        <w:rPr>
          <w:rFonts w:ascii="Arial" w:hAnsi="Arial" w:cs="Arial"/>
          <w:b/>
          <w:sz w:val="24"/>
          <w:szCs w:val="24"/>
          <w:lang w:val="en-US"/>
        </w:rPr>
        <w:t>line from a</w:t>
      </w:r>
      <w:r w:rsidR="00FE0787">
        <w:rPr>
          <w:rFonts w:ascii="Arial" w:hAnsi="Arial" w:cs="Arial"/>
          <w:b/>
          <w:sz w:val="24"/>
          <w:szCs w:val="24"/>
          <w:lang w:val="en-US"/>
        </w:rPr>
        <w:t xml:space="preserve"> patient carrying a P33T</w:t>
      </w:r>
      <w:r w:rsidRPr="00CE71A7">
        <w:rPr>
          <w:rFonts w:ascii="Arial" w:hAnsi="Arial" w:cs="Arial"/>
          <w:b/>
          <w:sz w:val="24"/>
          <w:szCs w:val="24"/>
          <w:lang w:val="en-US"/>
        </w:rPr>
        <w:t xml:space="preserve"> mutation in the </w:t>
      </w:r>
      <w:r w:rsidRPr="00CE71A7">
        <w:rPr>
          <w:rFonts w:ascii="Arial" w:hAnsi="Arial" w:cs="Arial"/>
          <w:b/>
          <w:i/>
          <w:sz w:val="24"/>
          <w:szCs w:val="24"/>
          <w:lang w:val="en-US"/>
        </w:rPr>
        <w:t>PDX1</w:t>
      </w:r>
      <w:r w:rsidRPr="00CE71A7">
        <w:rPr>
          <w:rFonts w:ascii="Arial" w:hAnsi="Arial" w:cs="Arial"/>
          <w:b/>
          <w:sz w:val="24"/>
          <w:szCs w:val="24"/>
          <w:lang w:val="en-US"/>
        </w:rPr>
        <w:t xml:space="preserve"> gene</w:t>
      </w:r>
      <w:r w:rsidRPr="00112383">
        <w:rPr>
          <w:rFonts w:ascii="Helvetica" w:hAnsi="Helvetica" w:cs="Arial"/>
          <w:lang w:val="en-US"/>
        </w:rPr>
        <w:t xml:space="preserve"> </w:t>
      </w:r>
    </w:p>
    <w:p w:rsidR="00112383" w:rsidRDefault="00112383" w:rsidP="00CD18DA">
      <w:pPr>
        <w:shd w:val="clear" w:color="auto" w:fill="FFFFFF"/>
        <w:spacing w:after="0" w:line="289" w:lineRule="atLeast"/>
        <w:textAlignment w:val="baseline"/>
        <w:rPr>
          <w:rFonts w:ascii="Helvetica" w:hAnsi="Helvetica" w:cs="Arial"/>
          <w:lang w:val="en-US"/>
        </w:rPr>
      </w:pPr>
    </w:p>
    <w:p w:rsidR="00112383" w:rsidRDefault="00112383" w:rsidP="00CD18DA">
      <w:pPr>
        <w:shd w:val="clear" w:color="auto" w:fill="FFFFFF"/>
        <w:spacing w:after="0" w:line="289" w:lineRule="atLeast"/>
        <w:textAlignment w:val="baseline"/>
        <w:rPr>
          <w:rFonts w:ascii="Helvetica" w:hAnsi="Helvetica" w:cs="Arial"/>
          <w:lang w:val="en-US"/>
        </w:rPr>
      </w:pPr>
    </w:p>
    <w:p w:rsidR="00112383" w:rsidRPr="00112383" w:rsidRDefault="00112383" w:rsidP="00112383">
      <w:pPr>
        <w:shd w:val="clear" w:color="auto" w:fill="FFFFFF"/>
        <w:spacing w:after="0" w:line="480" w:lineRule="auto"/>
        <w:jc w:val="center"/>
        <w:textAlignment w:val="baseline"/>
        <w:rPr>
          <w:rFonts w:ascii="Helvetica" w:hAnsi="Helvetica" w:cs="Arial"/>
          <w:u w:val="single"/>
        </w:rPr>
      </w:pPr>
      <w:proofErr w:type="spellStart"/>
      <w:r w:rsidRPr="004978B7">
        <w:rPr>
          <w:rFonts w:ascii="Helvetica" w:hAnsi="Helvetica" w:cs="Arial"/>
          <w:u w:val="single"/>
        </w:rPr>
        <w:t>by</w:t>
      </w:r>
      <w:proofErr w:type="spellEnd"/>
      <w:r w:rsidRPr="004978B7">
        <w:rPr>
          <w:rFonts w:ascii="Helvetica" w:hAnsi="Helvetica" w:cs="Arial"/>
          <w:u w:val="single"/>
        </w:rPr>
        <w:t xml:space="preserve">                 </w:t>
      </w:r>
      <w:bookmarkStart w:id="0" w:name="_GoBack"/>
      <w:bookmarkEnd w:id="0"/>
      <w:r w:rsidRPr="004978B7">
        <w:rPr>
          <w:rFonts w:ascii="Helvetica" w:hAnsi="Helvetica" w:cs="Arial"/>
          <w:u w:val="single"/>
        </w:rPr>
        <w:t xml:space="preserve">                                     </w:t>
      </w:r>
    </w:p>
    <w:p w:rsidR="00112383" w:rsidRPr="004978B7" w:rsidRDefault="00112383" w:rsidP="00CD18DA">
      <w:pPr>
        <w:shd w:val="clear" w:color="auto" w:fill="FFFFFF"/>
        <w:spacing w:after="0" w:line="289" w:lineRule="atLeast"/>
        <w:textAlignment w:val="baseline"/>
        <w:rPr>
          <w:rFonts w:ascii="Helvetica" w:hAnsi="Helvetica" w:cs="Arial"/>
        </w:rPr>
      </w:pPr>
    </w:p>
    <w:p w:rsidR="00242E26" w:rsidRPr="001B72D0" w:rsidRDefault="00242E26" w:rsidP="00242E26">
      <w:pPr>
        <w:shd w:val="clear" w:color="auto" w:fill="FFFFFF"/>
        <w:spacing w:after="0" w:line="289" w:lineRule="atLeast"/>
        <w:textAlignment w:val="baseline"/>
        <w:rPr>
          <w:rFonts w:ascii="Helvetica" w:hAnsi="Helvetica" w:cs="Arial"/>
        </w:rPr>
      </w:pPr>
    </w:p>
    <w:p w:rsidR="003B23AF" w:rsidRPr="00735819" w:rsidRDefault="003B23AF" w:rsidP="003B23AF">
      <w:pPr>
        <w:shd w:val="clear" w:color="auto" w:fill="FFFFFF"/>
        <w:spacing w:after="0" w:line="480" w:lineRule="auto"/>
        <w:jc w:val="center"/>
        <w:textAlignment w:val="baseline"/>
        <w:rPr>
          <w:rFonts w:ascii="Helvetica" w:hAnsi="Helvetica" w:cs="Arial"/>
        </w:rPr>
      </w:pPr>
      <w:r w:rsidRPr="00CD18DA">
        <w:rPr>
          <w:rFonts w:ascii="Helvetica" w:hAnsi="Helvetica" w:cs="Arial"/>
        </w:rPr>
        <w:t>Xianming Wang</w:t>
      </w:r>
      <w:r>
        <w:rPr>
          <w:rFonts w:ascii="Helvetica" w:hAnsi="Helvetica" w:cs="Arial"/>
          <w:vertAlign w:val="superscript"/>
        </w:rPr>
        <w:t>1,2,9</w:t>
      </w:r>
      <w:r w:rsidRPr="00CD18DA">
        <w:rPr>
          <w:rFonts w:ascii="Helvetica" w:hAnsi="Helvetica" w:cs="Arial"/>
        </w:rPr>
        <w:t>,</w:t>
      </w:r>
      <w:r>
        <w:rPr>
          <w:rFonts w:ascii="Helvetica" w:hAnsi="Helvetica" w:cs="Arial"/>
        </w:rPr>
        <w:t xml:space="preserve"> Shen Chen</w:t>
      </w:r>
      <w:r w:rsidRPr="001306A0">
        <w:rPr>
          <w:rFonts w:ascii="Helvetica" w:hAnsi="Helvetica" w:cs="Arial"/>
          <w:vertAlign w:val="superscript"/>
        </w:rPr>
        <w:t>3</w:t>
      </w:r>
      <w:r w:rsidRPr="00CD18DA">
        <w:rPr>
          <w:rFonts w:ascii="Helvetica" w:hAnsi="Helvetica" w:cs="Arial"/>
        </w:rPr>
        <w:t xml:space="preserve">, </w:t>
      </w:r>
      <w:hyperlink r:id="rId7" w:history="1">
        <w:r w:rsidRPr="00CD18DA">
          <w:rPr>
            <w:rFonts w:ascii="Helvetica" w:hAnsi="Helvetica"/>
          </w:rPr>
          <w:t>Ingo Burtscher</w:t>
        </w:r>
      </w:hyperlink>
      <w:r w:rsidRPr="00914B1E">
        <w:rPr>
          <w:rFonts w:ascii="Helvetica" w:hAnsi="Helvetica"/>
          <w:vertAlign w:val="superscript"/>
        </w:rPr>
        <w:t>1</w:t>
      </w:r>
      <w:r>
        <w:rPr>
          <w:rFonts w:ascii="Helvetica" w:hAnsi="Helvetica"/>
          <w:vertAlign w:val="superscript"/>
        </w:rPr>
        <w:t>,</w:t>
      </w:r>
      <w:r w:rsidRPr="00914B1E">
        <w:rPr>
          <w:rFonts w:ascii="Helvetica" w:hAnsi="Helvetica"/>
          <w:vertAlign w:val="superscript"/>
        </w:rPr>
        <w:t>2</w:t>
      </w:r>
      <w:r>
        <w:rPr>
          <w:rFonts w:ascii="Helvetica" w:hAnsi="Helvetica" w:cs="Arial"/>
        </w:rPr>
        <w:t>,</w:t>
      </w:r>
      <w:r w:rsidRPr="00CD18DA">
        <w:rPr>
          <w:rFonts w:ascii="Helvetica" w:hAnsi="Helvetica" w:cs="Arial"/>
        </w:rPr>
        <w:t xml:space="preserve"> </w:t>
      </w:r>
      <w:hyperlink r:id="rId8" w:history="1">
        <w:r w:rsidRPr="00CD18DA">
          <w:rPr>
            <w:rFonts w:ascii="Helvetica" w:hAnsi="Helvetica"/>
          </w:rPr>
          <w:t>Michael Sterr</w:t>
        </w:r>
      </w:hyperlink>
      <w:r w:rsidRPr="00914B1E">
        <w:rPr>
          <w:rFonts w:ascii="Helvetica" w:hAnsi="Helvetica"/>
          <w:vertAlign w:val="superscript"/>
        </w:rPr>
        <w:t>1,2</w:t>
      </w:r>
      <w:r>
        <w:rPr>
          <w:rFonts w:ascii="Arial" w:hAnsi="Arial" w:cs="Arial"/>
          <w:color w:val="2E2E2E"/>
          <w:sz w:val="20"/>
          <w:szCs w:val="20"/>
        </w:rPr>
        <w:t xml:space="preserve">, </w:t>
      </w:r>
      <w:r>
        <w:rPr>
          <w:rFonts w:ascii="Helvetica" w:hAnsi="Helvetica" w:cs="Arial"/>
        </w:rPr>
        <w:t>Anja Hieronimus</w:t>
      </w:r>
      <w:r w:rsidR="00E119FB">
        <w:rPr>
          <w:rFonts w:ascii="Helvetica" w:hAnsi="Helvetica" w:cs="Arial"/>
          <w:vertAlign w:val="superscript"/>
        </w:rPr>
        <w:t>4,5,10</w:t>
      </w:r>
      <w:r>
        <w:rPr>
          <w:rFonts w:ascii="Helvetica" w:hAnsi="Helvetica" w:cs="Arial"/>
        </w:rPr>
        <w:t>, Fausto Machicao</w:t>
      </w:r>
      <w:r w:rsidR="00E119FB">
        <w:rPr>
          <w:rFonts w:ascii="Helvetica" w:hAnsi="Helvetica" w:cs="Arial"/>
          <w:vertAlign w:val="superscript"/>
        </w:rPr>
        <w:t>6,10</w:t>
      </w:r>
      <w:r>
        <w:rPr>
          <w:rFonts w:ascii="Helvetica" w:hAnsi="Helvetica" w:cs="Arial"/>
          <w:vertAlign w:val="superscript"/>
        </w:rPr>
        <w:t xml:space="preserve"> </w:t>
      </w:r>
      <w:r>
        <w:rPr>
          <w:rFonts w:ascii="Helvetica" w:hAnsi="Helvetica" w:cs="Arial"/>
        </w:rPr>
        <w:t xml:space="preserve">, </w:t>
      </w:r>
      <w:r w:rsidRPr="00CD18DA">
        <w:rPr>
          <w:rFonts w:ascii="Helvetica" w:hAnsi="Helvetica" w:cs="Arial"/>
        </w:rPr>
        <w:t>Harald Staiger</w:t>
      </w:r>
      <w:r>
        <w:rPr>
          <w:rFonts w:ascii="Helvetica" w:hAnsi="Helvetica" w:cs="Arial"/>
          <w:vertAlign w:val="superscript"/>
        </w:rPr>
        <w:t xml:space="preserve">4,7,10 </w:t>
      </w:r>
      <w:r w:rsidR="004C45FC">
        <w:rPr>
          <w:rFonts w:ascii="Helvetica" w:hAnsi="Helvetica" w:cs="Arial"/>
        </w:rPr>
        <w:t xml:space="preserve">, </w:t>
      </w:r>
      <w:r w:rsidRPr="009142D6">
        <w:rPr>
          <w:rFonts w:ascii="Helvetica" w:hAnsi="Helvetica" w:cs="Arial"/>
          <w:color w:val="000000" w:themeColor="text1"/>
        </w:rPr>
        <w:t>Hans-Ulrich Häring</w:t>
      </w:r>
      <w:r w:rsidRPr="009142D6">
        <w:rPr>
          <w:rFonts w:ascii="Helvetica" w:hAnsi="Helvetica" w:cs="Arial"/>
          <w:color w:val="000000" w:themeColor="text1"/>
          <w:vertAlign w:val="superscript"/>
        </w:rPr>
        <w:t>4,</w:t>
      </w:r>
      <w:r>
        <w:rPr>
          <w:rFonts w:ascii="Helvetica" w:hAnsi="Helvetica" w:cs="Arial"/>
          <w:color w:val="000000" w:themeColor="text1"/>
          <w:vertAlign w:val="superscript"/>
        </w:rPr>
        <w:t>5,10</w:t>
      </w:r>
      <w:r>
        <w:rPr>
          <w:rFonts w:ascii="Helvetica" w:hAnsi="Helvetica" w:cs="Arial"/>
          <w:color w:val="000000" w:themeColor="text1"/>
        </w:rPr>
        <w:t xml:space="preserve">, </w:t>
      </w:r>
      <w:r w:rsidRPr="009142D6">
        <w:rPr>
          <w:rFonts w:ascii="Helvetica" w:hAnsi="Helvetica" w:cs="Arial"/>
          <w:color w:val="000000" w:themeColor="text1"/>
        </w:rPr>
        <w:t>Gabriele Lederer</w:t>
      </w:r>
      <w:r>
        <w:rPr>
          <w:rFonts w:ascii="Helvetica" w:hAnsi="Helvetica" w:cs="Arial"/>
          <w:color w:val="000000" w:themeColor="text1"/>
          <w:vertAlign w:val="superscript"/>
        </w:rPr>
        <w:t>8</w:t>
      </w:r>
      <w:r w:rsidRPr="009142D6">
        <w:rPr>
          <w:rFonts w:ascii="Helvetica" w:hAnsi="Helvetica" w:cs="Arial"/>
          <w:color w:val="000000" w:themeColor="text1"/>
        </w:rPr>
        <w:t>,</w:t>
      </w:r>
      <w:r>
        <w:rPr>
          <w:rFonts w:ascii="Helvetica" w:hAnsi="Helvetica" w:cs="Arial"/>
          <w:color w:val="000000" w:themeColor="text1"/>
        </w:rPr>
        <w:t xml:space="preserve"> </w:t>
      </w:r>
      <w:r w:rsidRPr="009142D6">
        <w:rPr>
          <w:rFonts w:ascii="Helvetica" w:hAnsi="Helvetica" w:cs="Arial"/>
          <w:color w:val="000000" w:themeColor="text1"/>
        </w:rPr>
        <w:t>Thomas Meitinger</w:t>
      </w:r>
      <w:r>
        <w:rPr>
          <w:rFonts w:ascii="Helvetica" w:hAnsi="Helvetica" w:cs="Arial"/>
          <w:color w:val="000000" w:themeColor="text1"/>
          <w:vertAlign w:val="superscript"/>
        </w:rPr>
        <w:t>8</w:t>
      </w:r>
      <w:r w:rsidRPr="009142D6">
        <w:rPr>
          <w:rFonts w:ascii="Helvetica" w:hAnsi="Helvetica" w:cs="Arial"/>
          <w:color w:val="000000" w:themeColor="text1"/>
        </w:rPr>
        <w:t xml:space="preserve"> </w:t>
      </w:r>
      <w:r w:rsidRPr="00CD18DA">
        <w:rPr>
          <w:rFonts w:ascii="Helvetica" w:hAnsi="Helvetica" w:cs="Arial"/>
        </w:rPr>
        <w:t>&amp; Heiko Lickert</w:t>
      </w:r>
      <w:r>
        <w:rPr>
          <w:rFonts w:ascii="Helvetica" w:hAnsi="Helvetica" w:cs="Arial"/>
          <w:vertAlign w:val="superscript"/>
        </w:rPr>
        <w:t>1,2,9</w:t>
      </w:r>
      <w:r w:rsidRPr="00914B1E">
        <w:rPr>
          <w:rFonts w:ascii="Helvetica" w:hAnsi="Helvetica" w:cs="Arial"/>
          <w:vertAlign w:val="superscript"/>
        </w:rPr>
        <w:t>,</w:t>
      </w:r>
      <w:r>
        <w:rPr>
          <w:rFonts w:ascii="Helvetica" w:hAnsi="Helvetica" w:cs="Arial"/>
          <w:vertAlign w:val="superscript"/>
        </w:rPr>
        <w:t>10</w:t>
      </w:r>
    </w:p>
    <w:p w:rsidR="003B23AF" w:rsidRPr="009142D6" w:rsidRDefault="003B23AF" w:rsidP="003B23AF">
      <w:pPr>
        <w:shd w:val="clear" w:color="auto" w:fill="FFFFFF"/>
        <w:spacing w:after="0" w:line="289" w:lineRule="atLeast"/>
        <w:textAlignment w:val="baseline"/>
        <w:rPr>
          <w:rFonts w:ascii="Helvetica" w:hAnsi="Helvetica" w:cs="Arial"/>
        </w:rPr>
      </w:pPr>
    </w:p>
    <w:p w:rsidR="003B23AF" w:rsidRPr="00AC06FE" w:rsidRDefault="003B23AF" w:rsidP="003B23AF">
      <w:pPr>
        <w:shd w:val="clear" w:color="auto" w:fill="FFFFFF"/>
        <w:spacing w:after="0" w:line="289" w:lineRule="atLeast"/>
        <w:textAlignment w:val="baseline"/>
        <w:rPr>
          <w:rFonts w:ascii="Helvetica" w:hAnsi="Helvetica" w:cs="Arial"/>
          <w:vertAlign w:val="superscript"/>
        </w:rPr>
      </w:pPr>
    </w:p>
    <w:p w:rsidR="007A6DB3" w:rsidRPr="009142D6" w:rsidRDefault="007A6DB3" w:rsidP="007A6DB3">
      <w:pPr>
        <w:suppressAutoHyphens/>
        <w:spacing w:line="480" w:lineRule="auto"/>
        <w:jc w:val="both"/>
        <w:rPr>
          <w:rFonts w:ascii="Helvetica" w:hAnsi="Helvetica" w:cs="Arial"/>
          <w:i/>
          <w:sz w:val="20"/>
          <w:szCs w:val="20"/>
          <w:lang w:val="en-US"/>
        </w:rPr>
      </w:pPr>
      <w:r w:rsidRPr="00154B88">
        <w:rPr>
          <w:rFonts w:ascii="Helvetica" w:hAnsi="Helvetica" w:cs="Arial"/>
          <w:i/>
          <w:sz w:val="20"/>
          <w:szCs w:val="20"/>
          <w:vertAlign w:val="superscript"/>
          <w:lang w:val="en-US"/>
        </w:rPr>
        <w:t>1</w:t>
      </w:r>
      <w:r w:rsidRPr="00154B88">
        <w:rPr>
          <w:rFonts w:ascii="Helvetica" w:hAnsi="Helvetica" w:cs="Arial"/>
          <w:i/>
          <w:sz w:val="20"/>
          <w:szCs w:val="20"/>
          <w:lang w:val="en-US"/>
        </w:rPr>
        <w:t>Institute of Diabetes and Regeneration Research,</w:t>
      </w:r>
      <w:r>
        <w:rPr>
          <w:rFonts w:ascii="Helvetica" w:hAnsi="Helvetica" w:cs="Arial"/>
          <w:i/>
          <w:sz w:val="20"/>
          <w:szCs w:val="20"/>
          <w:lang w:val="en-US"/>
        </w:rPr>
        <w:t xml:space="preserve"> </w:t>
      </w:r>
      <w:r w:rsidRPr="00686838">
        <w:rPr>
          <w:rFonts w:ascii="Helvetica" w:hAnsi="Helvetica" w:cs="Arial"/>
          <w:i/>
          <w:sz w:val="20"/>
          <w:szCs w:val="20"/>
          <w:lang w:val="en-US"/>
        </w:rPr>
        <w:t xml:space="preserve">Helmholtz </w:t>
      </w:r>
      <w:proofErr w:type="spellStart"/>
      <w:r w:rsidRPr="00686838">
        <w:rPr>
          <w:rFonts w:ascii="Helvetica" w:hAnsi="Helvetica" w:cs="Arial"/>
          <w:i/>
          <w:sz w:val="20"/>
          <w:szCs w:val="20"/>
          <w:lang w:val="en-US"/>
        </w:rPr>
        <w:t>Zentrum</w:t>
      </w:r>
      <w:proofErr w:type="spellEnd"/>
      <w:r w:rsidRPr="00686838">
        <w:rPr>
          <w:rFonts w:ascii="Helvetica" w:hAnsi="Helvetica" w:cs="Arial"/>
          <w:i/>
          <w:sz w:val="20"/>
          <w:szCs w:val="20"/>
          <w:lang w:val="en-US"/>
        </w:rPr>
        <w:t xml:space="preserve"> </w:t>
      </w:r>
      <w:proofErr w:type="spellStart"/>
      <w:r w:rsidRPr="00686838">
        <w:rPr>
          <w:rFonts w:ascii="Helvetica" w:hAnsi="Helvetica" w:cs="Arial"/>
          <w:i/>
          <w:sz w:val="20"/>
          <w:szCs w:val="20"/>
          <w:lang w:val="en-US"/>
        </w:rPr>
        <w:t>München</w:t>
      </w:r>
      <w:proofErr w:type="spellEnd"/>
      <w:r w:rsidRPr="00686838">
        <w:rPr>
          <w:rFonts w:ascii="Helvetica" w:hAnsi="Helvetica" w:cs="Arial"/>
          <w:i/>
          <w:sz w:val="20"/>
          <w:szCs w:val="20"/>
          <w:lang w:val="en-US"/>
        </w:rPr>
        <w:t xml:space="preserve">, </w:t>
      </w:r>
      <w:r>
        <w:rPr>
          <w:rFonts w:ascii="Helvetica" w:hAnsi="Helvetica" w:cs="Arial"/>
          <w:i/>
          <w:sz w:val="20"/>
          <w:szCs w:val="20"/>
          <w:lang w:val="en-US"/>
        </w:rPr>
        <w:t xml:space="preserve">85764 </w:t>
      </w:r>
      <w:proofErr w:type="spellStart"/>
      <w:r w:rsidRPr="00686838">
        <w:rPr>
          <w:rFonts w:ascii="Helvetica" w:hAnsi="Helvetica" w:cs="Arial"/>
          <w:i/>
          <w:sz w:val="20"/>
          <w:szCs w:val="20"/>
          <w:lang w:val="en-US"/>
        </w:rPr>
        <w:t>Neuherberg</w:t>
      </w:r>
      <w:proofErr w:type="spellEnd"/>
      <w:r w:rsidRPr="00686838">
        <w:rPr>
          <w:rFonts w:ascii="Helvetica" w:hAnsi="Helvetica" w:cs="Arial"/>
          <w:i/>
          <w:sz w:val="20"/>
          <w:szCs w:val="20"/>
          <w:lang w:val="en-US"/>
        </w:rPr>
        <w:t>, Germany</w:t>
      </w:r>
      <w:r>
        <w:rPr>
          <w:rFonts w:ascii="Helvetica" w:hAnsi="Helvetica" w:cs="Arial"/>
          <w:i/>
          <w:sz w:val="20"/>
          <w:szCs w:val="20"/>
          <w:lang w:val="en-US"/>
        </w:rPr>
        <w:t>,</w:t>
      </w:r>
      <w:r w:rsidRPr="00154B88">
        <w:rPr>
          <w:rFonts w:ascii="Helvetica" w:hAnsi="Helvetica" w:cs="Arial"/>
          <w:i/>
          <w:sz w:val="20"/>
          <w:szCs w:val="20"/>
          <w:lang w:val="en-US"/>
        </w:rPr>
        <w:t xml:space="preserve"> </w:t>
      </w:r>
      <w:r w:rsidRPr="00154B88">
        <w:rPr>
          <w:rFonts w:ascii="Helvetica" w:hAnsi="Helvetica" w:cs="Arial"/>
          <w:i/>
          <w:sz w:val="20"/>
          <w:szCs w:val="20"/>
          <w:vertAlign w:val="superscript"/>
          <w:lang w:val="en-GB"/>
        </w:rPr>
        <w:t>2</w:t>
      </w:r>
      <w:r w:rsidRPr="00154B88">
        <w:rPr>
          <w:rFonts w:ascii="Helvetica" w:hAnsi="Helvetica" w:cs="Arial"/>
          <w:i/>
          <w:sz w:val="20"/>
          <w:szCs w:val="20"/>
          <w:lang w:val="en-US"/>
        </w:rPr>
        <w:t>In</w:t>
      </w:r>
      <w:r>
        <w:rPr>
          <w:rFonts w:ascii="Helvetica" w:hAnsi="Helvetica" w:cs="Arial"/>
          <w:i/>
          <w:sz w:val="20"/>
          <w:szCs w:val="20"/>
          <w:lang w:val="en-US"/>
        </w:rPr>
        <w:t xml:space="preserve">stitute of Stem Cell Research, </w:t>
      </w:r>
      <w:r w:rsidRPr="00686838">
        <w:rPr>
          <w:rFonts w:ascii="Helvetica" w:hAnsi="Helvetica" w:cs="Arial"/>
          <w:i/>
          <w:sz w:val="20"/>
          <w:szCs w:val="20"/>
          <w:lang w:val="en-US"/>
        </w:rPr>
        <w:t xml:space="preserve">Helmholtz </w:t>
      </w:r>
      <w:proofErr w:type="spellStart"/>
      <w:r w:rsidRPr="00686838">
        <w:rPr>
          <w:rFonts w:ascii="Helvetica" w:hAnsi="Helvetica" w:cs="Arial"/>
          <w:i/>
          <w:sz w:val="20"/>
          <w:szCs w:val="20"/>
          <w:lang w:val="en-US"/>
        </w:rPr>
        <w:t>Zentrum</w:t>
      </w:r>
      <w:proofErr w:type="spellEnd"/>
      <w:r w:rsidRPr="00686838">
        <w:rPr>
          <w:rFonts w:ascii="Helvetica" w:hAnsi="Helvetica" w:cs="Arial"/>
          <w:i/>
          <w:sz w:val="20"/>
          <w:szCs w:val="20"/>
          <w:lang w:val="en-US"/>
        </w:rPr>
        <w:t xml:space="preserve"> </w:t>
      </w:r>
      <w:proofErr w:type="spellStart"/>
      <w:r w:rsidRPr="00686838">
        <w:rPr>
          <w:rFonts w:ascii="Helvetica" w:hAnsi="Helvetica" w:cs="Arial"/>
          <w:i/>
          <w:sz w:val="20"/>
          <w:szCs w:val="20"/>
          <w:lang w:val="en-US"/>
        </w:rPr>
        <w:t>München</w:t>
      </w:r>
      <w:proofErr w:type="spellEnd"/>
      <w:r w:rsidRPr="00686838">
        <w:rPr>
          <w:rFonts w:ascii="Helvetica" w:hAnsi="Helvetica" w:cs="Arial"/>
          <w:i/>
          <w:sz w:val="20"/>
          <w:szCs w:val="20"/>
          <w:lang w:val="en-US"/>
        </w:rPr>
        <w:t>,</w:t>
      </w:r>
      <w:r>
        <w:rPr>
          <w:rFonts w:ascii="Helvetica" w:hAnsi="Helvetica" w:cs="Arial"/>
          <w:i/>
          <w:sz w:val="20"/>
          <w:szCs w:val="20"/>
          <w:lang w:val="en-US"/>
        </w:rPr>
        <w:t xml:space="preserve"> 85764 </w:t>
      </w:r>
      <w:proofErr w:type="spellStart"/>
      <w:r w:rsidRPr="00686838">
        <w:rPr>
          <w:rFonts w:ascii="Helvetica" w:hAnsi="Helvetica" w:cs="Arial"/>
          <w:i/>
          <w:sz w:val="20"/>
          <w:szCs w:val="20"/>
          <w:lang w:val="en-US"/>
        </w:rPr>
        <w:t>Neuherberg</w:t>
      </w:r>
      <w:proofErr w:type="spellEnd"/>
      <w:r w:rsidRPr="00686838">
        <w:rPr>
          <w:rFonts w:ascii="Helvetica" w:hAnsi="Helvetica" w:cs="Arial"/>
          <w:i/>
          <w:sz w:val="20"/>
          <w:szCs w:val="20"/>
          <w:lang w:val="en-US"/>
        </w:rPr>
        <w:t>, Germany</w:t>
      </w:r>
      <w:r>
        <w:rPr>
          <w:rFonts w:ascii="Helvetica" w:hAnsi="Helvetica" w:cs="Arial"/>
          <w:i/>
          <w:sz w:val="20"/>
          <w:szCs w:val="20"/>
          <w:lang w:val="en-US"/>
        </w:rPr>
        <w:t xml:space="preserve">, </w:t>
      </w:r>
      <w:r w:rsidRPr="001306A0">
        <w:rPr>
          <w:rFonts w:ascii="Helvetica" w:hAnsi="Helvetica" w:cs="Arial"/>
          <w:i/>
          <w:sz w:val="20"/>
          <w:szCs w:val="20"/>
          <w:vertAlign w:val="superscript"/>
          <w:lang w:val="en-US"/>
        </w:rPr>
        <w:t>3</w:t>
      </w:r>
      <w:r w:rsidRPr="001306A0">
        <w:rPr>
          <w:rFonts w:ascii="Helvetica" w:hAnsi="Helvetica" w:cs="Arial"/>
          <w:i/>
          <w:sz w:val="20"/>
          <w:szCs w:val="20"/>
          <w:lang w:val="en-US"/>
        </w:rPr>
        <w:t xml:space="preserve">iPS and Cancer Research Unit, Department of Histology and Embryology, </w:t>
      </w:r>
      <w:proofErr w:type="spellStart"/>
      <w:r w:rsidRPr="001306A0">
        <w:rPr>
          <w:rFonts w:ascii="Helvetica" w:hAnsi="Helvetica" w:cs="Arial"/>
          <w:i/>
          <w:sz w:val="20"/>
          <w:szCs w:val="20"/>
          <w:lang w:val="en-US"/>
        </w:rPr>
        <w:t>Zhongshan</w:t>
      </w:r>
      <w:proofErr w:type="spellEnd"/>
      <w:r w:rsidRPr="001306A0">
        <w:rPr>
          <w:rFonts w:ascii="Helvetica" w:hAnsi="Helvetica" w:cs="Arial"/>
          <w:i/>
          <w:sz w:val="20"/>
          <w:szCs w:val="20"/>
          <w:lang w:val="en-US"/>
        </w:rPr>
        <w:t xml:space="preserve"> School of Medicine, Sun </w:t>
      </w:r>
      <w:proofErr w:type="spellStart"/>
      <w:r w:rsidRPr="001306A0">
        <w:rPr>
          <w:rFonts w:ascii="Helvetica" w:hAnsi="Helvetica" w:cs="Arial"/>
          <w:i/>
          <w:sz w:val="20"/>
          <w:szCs w:val="20"/>
          <w:lang w:val="en-US"/>
        </w:rPr>
        <w:t>Yat-sen</w:t>
      </w:r>
      <w:proofErr w:type="spellEnd"/>
      <w:r w:rsidRPr="001306A0">
        <w:rPr>
          <w:rFonts w:ascii="Helvetica" w:hAnsi="Helvetica" w:cs="Arial"/>
          <w:i/>
          <w:sz w:val="20"/>
          <w:szCs w:val="20"/>
          <w:lang w:val="en-US"/>
        </w:rPr>
        <w:t xml:space="preserve"> University, Guangzhou 510080, China</w:t>
      </w:r>
      <w:r>
        <w:rPr>
          <w:rFonts w:ascii="Helvetica" w:hAnsi="Helvetica" w:cs="Arial"/>
          <w:i/>
          <w:sz w:val="20"/>
          <w:szCs w:val="20"/>
          <w:lang w:val="en-US"/>
        </w:rPr>
        <w:t xml:space="preserve">, </w:t>
      </w:r>
      <w:r>
        <w:rPr>
          <w:rFonts w:ascii="Helvetica" w:hAnsi="Helvetica" w:cs="Arial"/>
          <w:i/>
          <w:sz w:val="20"/>
          <w:szCs w:val="20"/>
          <w:vertAlign w:val="superscript"/>
          <w:lang w:val="en-US"/>
        </w:rPr>
        <w:t>4</w:t>
      </w:r>
      <w:r w:rsidRPr="00154B88">
        <w:rPr>
          <w:rFonts w:ascii="Helvetica" w:hAnsi="Helvetica" w:cs="Arial"/>
          <w:i/>
          <w:sz w:val="20"/>
          <w:szCs w:val="20"/>
          <w:lang w:val="en-US"/>
        </w:rPr>
        <w:t xml:space="preserve">Institute for Diabetes Research and Metabolic Diseases of the Helmholtz </w:t>
      </w:r>
      <w:proofErr w:type="spellStart"/>
      <w:r w:rsidRPr="00154B88">
        <w:rPr>
          <w:rFonts w:ascii="Helvetica" w:hAnsi="Helvetica" w:cs="Arial"/>
          <w:i/>
          <w:sz w:val="20"/>
          <w:szCs w:val="20"/>
          <w:lang w:val="en-US"/>
        </w:rPr>
        <w:t>Zentrum</w:t>
      </w:r>
      <w:proofErr w:type="spellEnd"/>
      <w:r w:rsidRPr="00154B88">
        <w:rPr>
          <w:rFonts w:ascii="Helvetica" w:hAnsi="Helvetica" w:cs="Arial"/>
          <w:i/>
          <w:sz w:val="20"/>
          <w:szCs w:val="20"/>
          <w:lang w:val="en-US"/>
        </w:rPr>
        <w:t xml:space="preserve"> </w:t>
      </w:r>
      <w:proofErr w:type="spellStart"/>
      <w:r w:rsidRPr="00154B88">
        <w:rPr>
          <w:rFonts w:ascii="Helvetica" w:hAnsi="Helvetica" w:cs="Arial"/>
          <w:i/>
          <w:sz w:val="20"/>
          <w:szCs w:val="20"/>
          <w:lang w:val="en-US"/>
        </w:rPr>
        <w:t>München</w:t>
      </w:r>
      <w:proofErr w:type="spellEnd"/>
      <w:r w:rsidRPr="00154B88">
        <w:rPr>
          <w:rFonts w:ascii="Helvetica" w:hAnsi="Helvetica" w:cs="Arial"/>
          <w:i/>
          <w:sz w:val="20"/>
          <w:szCs w:val="20"/>
          <w:lang w:val="en-US"/>
        </w:rPr>
        <w:t xml:space="preserve"> at the University</w:t>
      </w:r>
      <w:r>
        <w:rPr>
          <w:rFonts w:ascii="Helvetica" w:hAnsi="Helvetica" w:cs="Arial"/>
          <w:i/>
          <w:sz w:val="20"/>
          <w:szCs w:val="20"/>
          <w:lang w:val="en-US"/>
        </w:rPr>
        <w:t xml:space="preserve"> of </w:t>
      </w:r>
      <w:proofErr w:type="spellStart"/>
      <w:r>
        <w:rPr>
          <w:rFonts w:ascii="Helvetica" w:hAnsi="Helvetica" w:cs="Arial"/>
          <w:i/>
          <w:sz w:val="20"/>
          <w:szCs w:val="20"/>
          <w:lang w:val="en-US"/>
        </w:rPr>
        <w:t>Tübingen</w:t>
      </w:r>
      <w:proofErr w:type="spellEnd"/>
      <w:r>
        <w:rPr>
          <w:rFonts w:ascii="Helvetica" w:hAnsi="Helvetica" w:cs="Arial"/>
          <w:i/>
          <w:sz w:val="20"/>
          <w:szCs w:val="20"/>
          <w:lang w:val="en-US"/>
        </w:rPr>
        <w:t xml:space="preserve">, 72076 </w:t>
      </w:r>
      <w:proofErr w:type="spellStart"/>
      <w:r>
        <w:rPr>
          <w:rFonts w:ascii="Helvetica" w:hAnsi="Helvetica" w:cs="Arial"/>
          <w:i/>
          <w:sz w:val="20"/>
          <w:szCs w:val="20"/>
          <w:lang w:val="en-US"/>
        </w:rPr>
        <w:t>Tübingen</w:t>
      </w:r>
      <w:proofErr w:type="spellEnd"/>
      <w:r>
        <w:rPr>
          <w:rFonts w:ascii="Helvetica" w:hAnsi="Helvetica" w:cs="Arial"/>
          <w:i/>
          <w:sz w:val="20"/>
          <w:szCs w:val="20"/>
          <w:lang w:val="en-US"/>
        </w:rPr>
        <w:t xml:space="preserve">, Germany, </w:t>
      </w:r>
      <w:r w:rsidRPr="00154B88">
        <w:rPr>
          <w:rFonts w:ascii="Helvetica" w:hAnsi="Helvetica" w:cs="Arial"/>
          <w:i/>
          <w:sz w:val="20"/>
          <w:szCs w:val="20"/>
          <w:lang w:val="en-US"/>
        </w:rPr>
        <w:t xml:space="preserve"> </w:t>
      </w:r>
      <w:r>
        <w:rPr>
          <w:rFonts w:ascii="Helvetica" w:hAnsi="Helvetica" w:cs="Arial"/>
          <w:i/>
          <w:sz w:val="20"/>
          <w:szCs w:val="20"/>
          <w:vertAlign w:val="superscript"/>
          <w:lang w:val="en-US"/>
        </w:rPr>
        <w:t>5</w:t>
      </w:r>
      <w:r w:rsidRPr="00154B88">
        <w:rPr>
          <w:rFonts w:ascii="Helvetica" w:hAnsi="Helvetica" w:cs="Arial"/>
          <w:i/>
          <w:sz w:val="20"/>
          <w:szCs w:val="20"/>
          <w:lang w:val="en-US"/>
        </w:rPr>
        <w:t>Department of Internal Medic</w:t>
      </w:r>
      <w:r>
        <w:rPr>
          <w:rFonts w:ascii="Helvetica" w:hAnsi="Helvetica" w:cs="Arial"/>
          <w:i/>
          <w:sz w:val="20"/>
          <w:szCs w:val="20"/>
          <w:lang w:val="en-US"/>
        </w:rPr>
        <w:t xml:space="preserve">ine, Division of Endocrinology, </w:t>
      </w:r>
      <w:proofErr w:type="spellStart"/>
      <w:r w:rsidRPr="00154B88">
        <w:rPr>
          <w:rFonts w:ascii="Helvetica" w:hAnsi="Helvetica" w:cs="Arial"/>
          <w:i/>
          <w:sz w:val="20"/>
          <w:szCs w:val="20"/>
          <w:lang w:val="en-US"/>
        </w:rPr>
        <w:t>Diabetology</w:t>
      </w:r>
      <w:proofErr w:type="spellEnd"/>
      <w:r w:rsidRPr="00154B88">
        <w:rPr>
          <w:rFonts w:ascii="Helvetica" w:hAnsi="Helvetica" w:cs="Arial"/>
          <w:i/>
          <w:sz w:val="20"/>
          <w:szCs w:val="20"/>
          <w:lang w:val="en-US"/>
        </w:rPr>
        <w:t>, Vascular Disease, Nephrology and Clinical Chemistry, University</w:t>
      </w:r>
      <w:r>
        <w:rPr>
          <w:rFonts w:ascii="Helvetica" w:hAnsi="Helvetica" w:cs="Arial"/>
          <w:i/>
          <w:sz w:val="20"/>
          <w:szCs w:val="20"/>
          <w:lang w:val="en-US"/>
        </w:rPr>
        <w:t xml:space="preserve"> of </w:t>
      </w:r>
      <w:proofErr w:type="spellStart"/>
      <w:r>
        <w:rPr>
          <w:rFonts w:ascii="Helvetica" w:hAnsi="Helvetica" w:cs="Arial"/>
          <w:i/>
          <w:sz w:val="20"/>
          <w:szCs w:val="20"/>
          <w:lang w:val="en-US"/>
        </w:rPr>
        <w:t>Tübingen</w:t>
      </w:r>
      <w:proofErr w:type="spellEnd"/>
      <w:r>
        <w:rPr>
          <w:rFonts w:ascii="Helvetica" w:hAnsi="Helvetica" w:cs="Arial"/>
          <w:i/>
          <w:sz w:val="20"/>
          <w:szCs w:val="20"/>
          <w:lang w:val="en-US"/>
        </w:rPr>
        <w:t xml:space="preserve">, 72076 </w:t>
      </w:r>
      <w:proofErr w:type="spellStart"/>
      <w:r>
        <w:rPr>
          <w:rFonts w:ascii="Helvetica" w:hAnsi="Helvetica" w:cs="Arial"/>
          <w:i/>
          <w:sz w:val="20"/>
          <w:szCs w:val="20"/>
          <w:lang w:val="en-US"/>
        </w:rPr>
        <w:t>Tübingen</w:t>
      </w:r>
      <w:proofErr w:type="spellEnd"/>
      <w:r>
        <w:rPr>
          <w:rFonts w:ascii="Helvetica" w:hAnsi="Helvetica" w:cs="Arial"/>
          <w:i/>
          <w:sz w:val="20"/>
          <w:szCs w:val="20"/>
          <w:lang w:val="en-US"/>
        </w:rPr>
        <w:t xml:space="preserve">, Germany,  </w:t>
      </w:r>
      <w:r>
        <w:rPr>
          <w:rFonts w:ascii="Helvetica" w:hAnsi="Helvetica" w:cs="Arial"/>
          <w:i/>
          <w:sz w:val="20"/>
          <w:szCs w:val="20"/>
          <w:vertAlign w:val="superscript"/>
          <w:lang w:val="en-US"/>
        </w:rPr>
        <w:t>6</w:t>
      </w:r>
      <w:r w:rsidRPr="00931729">
        <w:rPr>
          <w:rFonts w:ascii="Helvetica" w:hAnsi="Helvetica" w:cs="Arial"/>
          <w:i/>
          <w:sz w:val="20"/>
          <w:szCs w:val="20"/>
          <w:lang w:val="en-US"/>
        </w:rPr>
        <w:t xml:space="preserve">Institute of Experimental Genetics of the Helmholtz </w:t>
      </w:r>
      <w:proofErr w:type="spellStart"/>
      <w:r w:rsidRPr="00931729">
        <w:rPr>
          <w:rFonts w:ascii="Helvetica" w:hAnsi="Helvetica" w:cs="Arial"/>
          <w:i/>
          <w:sz w:val="20"/>
          <w:szCs w:val="20"/>
          <w:lang w:val="en-US"/>
        </w:rPr>
        <w:t>Zentrum</w:t>
      </w:r>
      <w:proofErr w:type="spellEnd"/>
      <w:r w:rsidRPr="00931729">
        <w:rPr>
          <w:rFonts w:ascii="Helvetica" w:hAnsi="Helvetica" w:cs="Arial"/>
          <w:i/>
          <w:sz w:val="20"/>
          <w:szCs w:val="20"/>
          <w:lang w:val="en-US"/>
        </w:rPr>
        <w:t xml:space="preserve"> </w:t>
      </w:r>
      <w:proofErr w:type="spellStart"/>
      <w:r w:rsidRPr="00931729">
        <w:rPr>
          <w:rFonts w:ascii="Helvetica" w:hAnsi="Helvetica" w:cs="Arial"/>
          <w:i/>
          <w:sz w:val="20"/>
          <w:szCs w:val="20"/>
          <w:lang w:val="en-US"/>
        </w:rPr>
        <w:t>München</w:t>
      </w:r>
      <w:proofErr w:type="spellEnd"/>
      <w:r w:rsidRPr="00931729">
        <w:rPr>
          <w:rFonts w:ascii="Helvetica" w:hAnsi="Helvetica" w:cs="Arial"/>
          <w:i/>
          <w:sz w:val="20"/>
          <w:szCs w:val="20"/>
          <w:lang w:val="en-US"/>
        </w:rPr>
        <w:t>,</w:t>
      </w:r>
      <w:r>
        <w:rPr>
          <w:rFonts w:ascii="Helvetica" w:hAnsi="Helvetica" w:cs="Arial"/>
          <w:i/>
          <w:sz w:val="20"/>
          <w:szCs w:val="20"/>
          <w:lang w:val="en-US"/>
        </w:rPr>
        <w:t xml:space="preserve"> 85764 </w:t>
      </w:r>
      <w:proofErr w:type="spellStart"/>
      <w:r>
        <w:rPr>
          <w:rFonts w:ascii="Helvetica" w:hAnsi="Helvetica" w:cs="Arial"/>
          <w:i/>
          <w:sz w:val="20"/>
          <w:szCs w:val="20"/>
          <w:lang w:val="en-US"/>
        </w:rPr>
        <w:t>Neuherberg</w:t>
      </w:r>
      <w:proofErr w:type="spellEnd"/>
      <w:r>
        <w:rPr>
          <w:rFonts w:ascii="Helvetica" w:hAnsi="Helvetica" w:cs="Arial"/>
          <w:i/>
          <w:sz w:val="20"/>
          <w:szCs w:val="20"/>
          <w:lang w:val="en-US"/>
        </w:rPr>
        <w:t xml:space="preserve">, Germany, </w:t>
      </w:r>
      <w:r>
        <w:rPr>
          <w:rFonts w:ascii="Helvetica" w:hAnsi="Helvetica" w:cs="Arial"/>
          <w:i/>
          <w:sz w:val="20"/>
          <w:szCs w:val="20"/>
          <w:vertAlign w:val="superscript"/>
          <w:lang w:val="en-US"/>
        </w:rPr>
        <w:t>7</w:t>
      </w:r>
      <w:r w:rsidRPr="00931729">
        <w:rPr>
          <w:rFonts w:ascii="Helvetica" w:hAnsi="Helvetica" w:cs="Arial"/>
          <w:i/>
          <w:sz w:val="20"/>
          <w:szCs w:val="20"/>
          <w:lang w:val="en-US"/>
        </w:rPr>
        <w:t xml:space="preserve">Interfaculty Centre for Pharmacogenomics and Pharma Research at the University of </w:t>
      </w:r>
      <w:proofErr w:type="spellStart"/>
      <w:r w:rsidRPr="00931729">
        <w:rPr>
          <w:rFonts w:ascii="Helvetica" w:hAnsi="Helvetica" w:cs="Arial"/>
          <w:i/>
          <w:sz w:val="20"/>
          <w:szCs w:val="20"/>
          <w:lang w:val="en-US"/>
        </w:rPr>
        <w:t>Tübingen</w:t>
      </w:r>
      <w:proofErr w:type="spellEnd"/>
      <w:r w:rsidRPr="00931729">
        <w:rPr>
          <w:rFonts w:ascii="Helvetica" w:hAnsi="Helvetica" w:cs="Arial"/>
          <w:i/>
          <w:sz w:val="20"/>
          <w:szCs w:val="20"/>
          <w:lang w:val="en-US"/>
        </w:rPr>
        <w:t xml:space="preserve">, </w:t>
      </w:r>
      <w:r>
        <w:rPr>
          <w:rFonts w:ascii="Helvetica" w:hAnsi="Helvetica" w:cs="Arial"/>
          <w:i/>
          <w:sz w:val="20"/>
          <w:szCs w:val="20"/>
          <w:lang w:val="en-US"/>
        </w:rPr>
        <w:t xml:space="preserve">72076 </w:t>
      </w:r>
      <w:proofErr w:type="spellStart"/>
      <w:r w:rsidRPr="00931729">
        <w:rPr>
          <w:rFonts w:ascii="Helvetica" w:hAnsi="Helvetica" w:cs="Arial"/>
          <w:i/>
          <w:sz w:val="20"/>
          <w:szCs w:val="20"/>
          <w:lang w:val="en-US"/>
        </w:rPr>
        <w:t>Tübingen</w:t>
      </w:r>
      <w:proofErr w:type="spellEnd"/>
      <w:r w:rsidRPr="00931729">
        <w:rPr>
          <w:rFonts w:ascii="Helvetica" w:hAnsi="Helvetica" w:cs="Arial"/>
          <w:i/>
          <w:sz w:val="20"/>
          <w:szCs w:val="20"/>
          <w:lang w:val="en-US"/>
        </w:rPr>
        <w:t>, Germany</w:t>
      </w:r>
      <w:r>
        <w:rPr>
          <w:rFonts w:ascii="Helvetica" w:hAnsi="Helvetica" w:cs="Arial"/>
          <w:i/>
          <w:sz w:val="20"/>
          <w:szCs w:val="20"/>
          <w:lang w:val="en-US"/>
        </w:rPr>
        <w:t xml:space="preserve">, </w:t>
      </w:r>
      <w:r>
        <w:rPr>
          <w:rFonts w:ascii="Helvetica" w:hAnsi="Helvetica" w:cs="Arial"/>
          <w:i/>
          <w:sz w:val="20"/>
          <w:szCs w:val="20"/>
          <w:vertAlign w:val="superscript"/>
          <w:lang w:val="en-US"/>
        </w:rPr>
        <w:t>8</w:t>
      </w:r>
      <w:r w:rsidRPr="00686838">
        <w:rPr>
          <w:rFonts w:ascii="Helvetica" w:hAnsi="Helvetica" w:cs="Arial"/>
          <w:i/>
          <w:sz w:val="20"/>
          <w:szCs w:val="20"/>
          <w:lang w:val="en-US"/>
        </w:rPr>
        <w:t>Institute of Human Genetics, Helmhol</w:t>
      </w:r>
      <w:r>
        <w:rPr>
          <w:rFonts w:ascii="Helvetica" w:hAnsi="Helvetica" w:cs="Arial"/>
          <w:i/>
          <w:sz w:val="20"/>
          <w:szCs w:val="20"/>
          <w:lang w:val="en-US"/>
        </w:rPr>
        <w:t xml:space="preserve">tz </w:t>
      </w:r>
      <w:proofErr w:type="spellStart"/>
      <w:r>
        <w:rPr>
          <w:rFonts w:ascii="Helvetica" w:hAnsi="Helvetica" w:cs="Arial"/>
          <w:i/>
          <w:sz w:val="20"/>
          <w:szCs w:val="20"/>
          <w:lang w:val="en-US"/>
        </w:rPr>
        <w:t>Zentrum</w:t>
      </w:r>
      <w:proofErr w:type="spellEnd"/>
      <w:r>
        <w:rPr>
          <w:rFonts w:ascii="Helvetica" w:hAnsi="Helvetica" w:cs="Arial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Helvetica" w:hAnsi="Helvetica" w:cs="Arial"/>
          <w:i/>
          <w:sz w:val="20"/>
          <w:szCs w:val="20"/>
          <w:lang w:val="en-US"/>
        </w:rPr>
        <w:t>München</w:t>
      </w:r>
      <w:proofErr w:type="spellEnd"/>
      <w:r>
        <w:rPr>
          <w:rFonts w:ascii="Helvetica" w:hAnsi="Helvetica" w:cs="Arial"/>
          <w:i/>
          <w:sz w:val="20"/>
          <w:szCs w:val="20"/>
          <w:lang w:val="en-US"/>
        </w:rPr>
        <w:t xml:space="preserve">, </w:t>
      </w:r>
      <w:proofErr w:type="spellStart"/>
      <w:r>
        <w:rPr>
          <w:rFonts w:ascii="Helvetica" w:hAnsi="Helvetica" w:cs="Arial"/>
          <w:i/>
          <w:sz w:val="20"/>
          <w:szCs w:val="20"/>
          <w:lang w:val="en-US"/>
        </w:rPr>
        <w:t>Neuherberg</w:t>
      </w:r>
      <w:proofErr w:type="spellEnd"/>
      <w:r>
        <w:rPr>
          <w:rFonts w:ascii="Helvetica" w:hAnsi="Helvetica" w:cs="Arial"/>
          <w:i/>
          <w:sz w:val="20"/>
          <w:szCs w:val="20"/>
          <w:lang w:val="en-US"/>
        </w:rPr>
        <w:t xml:space="preserve">, </w:t>
      </w:r>
      <w:r w:rsidRPr="00686838">
        <w:rPr>
          <w:rFonts w:ascii="Helvetica" w:hAnsi="Helvetica" w:cs="Arial"/>
          <w:i/>
          <w:sz w:val="20"/>
          <w:szCs w:val="20"/>
          <w:lang w:val="en-US"/>
        </w:rPr>
        <w:t>Germany</w:t>
      </w:r>
      <w:r>
        <w:rPr>
          <w:rFonts w:ascii="Helvetica" w:hAnsi="Helvetica" w:cs="Arial"/>
          <w:i/>
          <w:sz w:val="20"/>
          <w:szCs w:val="20"/>
          <w:lang w:val="en-US"/>
        </w:rPr>
        <w:t xml:space="preserve">, </w:t>
      </w:r>
      <w:r>
        <w:rPr>
          <w:rFonts w:ascii="Helvetica" w:hAnsi="Helvetica" w:cs="Arial"/>
          <w:i/>
          <w:color w:val="000000" w:themeColor="text1"/>
          <w:sz w:val="20"/>
          <w:szCs w:val="20"/>
          <w:vertAlign w:val="superscript"/>
          <w:lang w:val="en-US"/>
        </w:rPr>
        <w:t>9</w:t>
      </w:r>
      <w:r w:rsidRPr="009142D6">
        <w:rPr>
          <w:rFonts w:ascii="Helvetica" w:hAnsi="Helvetica" w:cs="Arial"/>
          <w:i/>
          <w:sz w:val="20"/>
          <w:szCs w:val="20"/>
          <w:lang w:val="en-US"/>
        </w:rPr>
        <w:t xml:space="preserve">Technische </w:t>
      </w:r>
      <w:proofErr w:type="spellStart"/>
      <w:r w:rsidRPr="009142D6">
        <w:rPr>
          <w:rFonts w:ascii="Helvetica" w:hAnsi="Helvetica" w:cs="Arial"/>
          <w:i/>
          <w:sz w:val="20"/>
          <w:szCs w:val="20"/>
          <w:lang w:val="en-US"/>
        </w:rPr>
        <w:t>Universität</w:t>
      </w:r>
      <w:proofErr w:type="spellEnd"/>
      <w:r w:rsidRPr="009142D6">
        <w:rPr>
          <w:rFonts w:ascii="Helvetica" w:hAnsi="Helvetica" w:cs="Arial"/>
          <w:i/>
          <w:sz w:val="20"/>
          <w:szCs w:val="20"/>
          <w:lang w:val="en-US"/>
        </w:rPr>
        <w:t xml:space="preserve"> </w:t>
      </w:r>
      <w:proofErr w:type="spellStart"/>
      <w:r w:rsidRPr="009142D6">
        <w:rPr>
          <w:rFonts w:ascii="Helvetica" w:hAnsi="Helvetica" w:cs="Arial"/>
          <w:i/>
          <w:sz w:val="20"/>
          <w:szCs w:val="20"/>
          <w:lang w:val="en-US"/>
        </w:rPr>
        <w:t>München</w:t>
      </w:r>
      <w:proofErr w:type="spellEnd"/>
      <w:r w:rsidRPr="009142D6">
        <w:rPr>
          <w:rFonts w:ascii="Helvetica" w:hAnsi="Helvetica" w:cs="Arial"/>
          <w:i/>
          <w:sz w:val="20"/>
          <w:szCs w:val="20"/>
          <w:lang w:val="en-US"/>
        </w:rPr>
        <w:t>,</w:t>
      </w:r>
      <w:r>
        <w:rPr>
          <w:rFonts w:ascii="Helvetica" w:hAnsi="Helvetica" w:cs="Arial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Helvetica" w:hAnsi="Helvetica" w:cs="Arial"/>
          <w:i/>
          <w:sz w:val="20"/>
          <w:szCs w:val="20"/>
          <w:lang w:val="en-US"/>
        </w:rPr>
        <w:t>Ismaninger</w:t>
      </w:r>
      <w:proofErr w:type="spellEnd"/>
      <w:r>
        <w:rPr>
          <w:rFonts w:ascii="Helvetica" w:hAnsi="Helvetica" w:cs="Arial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Helvetica" w:hAnsi="Helvetica" w:cs="Arial"/>
          <w:i/>
          <w:sz w:val="20"/>
          <w:szCs w:val="20"/>
          <w:lang w:val="en-US"/>
        </w:rPr>
        <w:t>straße</w:t>
      </w:r>
      <w:proofErr w:type="spellEnd"/>
      <w:r>
        <w:rPr>
          <w:rFonts w:ascii="Helvetica" w:hAnsi="Helvetica" w:cs="Arial"/>
          <w:i/>
          <w:sz w:val="20"/>
          <w:szCs w:val="20"/>
          <w:lang w:val="en-US"/>
        </w:rPr>
        <w:t xml:space="preserve"> 22, 81675 </w:t>
      </w:r>
      <w:proofErr w:type="spellStart"/>
      <w:r w:rsidRPr="00686838">
        <w:rPr>
          <w:rFonts w:ascii="Helvetica" w:hAnsi="Helvetica" w:cs="Arial"/>
          <w:i/>
          <w:sz w:val="20"/>
          <w:szCs w:val="20"/>
          <w:lang w:val="en-US"/>
        </w:rPr>
        <w:t>München</w:t>
      </w:r>
      <w:proofErr w:type="spellEnd"/>
      <w:r>
        <w:rPr>
          <w:rFonts w:ascii="Helvetica" w:hAnsi="Helvetica" w:cs="Arial"/>
          <w:i/>
          <w:sz w:val="20"/>
          <w:szCs w:val="20"/>
          <w:lang w:val="en-US"/>
        </w:rPr>
        <w:t xml:space="preserve">, </w:t>
      </w:r>
      <w:r w:rsidRPr="00931729">
        <w:rPr>
          <w:rFonts w:ascii="Helvetica" w:hAnsi="Helvetica" w:cs="Arial"/>
          <w:i/>
          <w:sz w:val="20"/>
          <w:szCs w:val="20"/>
          <w:lang w:val="en-US"/>
        </w:rPr>
        <w:t>Germany</w:t>
      </w:r>
      <w:r>
        <w:rPr>
          <w:rFonts w:ascii="Helvetica" w:hAnsi="Helvetica" w:cs="Arial"/>
          <w:i/>
          <w:sz w:val="20"/>
          <w:szCs w:val="20"/>
          <w:lang w:val="en-US"/>
        </w:rPr>
        <w:t xml:space="preserve">,  </w:t>
      </w:r>
      <w:r>
        <w:rPr>
          <w:rFonts w:ascii="Helvetica" w:hAnsi="Helvetica" w:cs="Arial"/>
          <w:i/>
          <w:sz w:val="20"/>
          <w:szCs w:val="20"/>
          <w:vertAlign w:val="superscript"/>
          <w:lang w:val="en-US"/>
        </w:rPr>
        <w:t>10</w:t>
      </w:r>
      <w:r w:rsidRPr="009142D6">
        <w:rPr>
          <w:rFonts w:ascii="Helvetica" w:hAnsi="Helvetica" w:cs="Arial"/>
          <w:i/>
          <w:sz w:val="20"/>
          <w:szCs w:val="20"/>
          <w:lang w:val="en-US"/>
        </w:rPr>
        <w:t xml:space="preserve">German Center for Diabetes Research (DZD), </w:t>
      </w:r>
      <w:r>
        <w:rPr>
          <w:rFonts w:ascii="Helvetica" w:hAnsi="Helvetica" w:cs="Arial"/>
          <w:i/>
          <w:sz w:val="20"/>
          <w:szCs w:val="20"/>
          <w:lang w:val="en-US"/>
        </w:rPr>
        <w:t xml:space="preserve">85764 </w:t>
      </w:r>
      <w:r w:rsidRPr="00686838">
        <w:rPr>
          <w:rFonts w:ascii="Helvetica" w:hAnsi="Helvetica" w:cs="Arial"/>
          <w:i/>
          <w:sz w:val="20"/>
          <w:szCs w:val="20"/>
          <w:lang w:val="en-US"/>
        </w:rPr>
        <w:t>Neuherberg</w:t>
      </w:r>
      <w:r>
        <w:rPr>
          <w:rFonts w:ascii="Helvetica" w:hAnsi="Helvetica" w:cs="Arial"/>
          <w:i/>
          <w:sz w:val="20"/>
          <w:szCs w:val="20"/>
          <w:lang w:val="en-US"/>
        </w:rPr>
        <w:t>,</w:t>
      </w:r>
      <w:r w:rsidRPr="009142D6">
        <w:rPr>
          <w:rFonts w:ascii="Helvetica" w:hAnsi="Helvetica" w:cs="Arial"/>
          <w:i/>
          <w:sz w:val="20"/>
          <w:szCs w:val="20"/>
          <w:lang w:val="en-US"/>
        </w:rPr>
        <w:t xml:space="preserve"> Germany.</w:t>
      </w:r>
    </w:p>
    <w:p w:rsidR="006316CE" w:rsidRPr="00754E55" w:rsidRDefault="003B23AF" w:rsidP="006316CE">
      <w:pPr>
        <w:suppressAutoHyphens/>
        <w:spacing w:line="480" w:lineRule="auto"/>
        <w:jc w:val="both"/>
        <w:rPr>
          <w:rFonts w:ascii="Helvetica" w:hAnsi="Helvetica" w:cs="Arial"/>
          <w:lang w:val="en-GB"/>
        </w:rPr>
      </w:pPr>
      <w:r>
        <w:rPr>
          <w:rFonts w:ascii="Helvetica" w:hAnsi="Helvetica" w:cs="Arial"/>
          <w:i/>
          <w:sz w:val="20"/>
          <w:szCs w:val="20"/>
          <w:lang w:val="en-US"/>
        </w:rPr>
        <w:t xml:space="preserve">  </w:t>
      </w:r>
      <w:r w:rsidR="006316CE" w:rsidRPr="00754E55">
        <w:rPr>
          <w:rFonts w:ascii="Helvetica" w:hAnsi="Helvetica" w:cs="Arial"/>
          <w:lang w:val="en-GB"/>
        </w:rPr>
        <w:t>Correspondence and requests for materials should be addressed to H.L. (</w:t>
      </w:r>
      <w:hyperlink r:id="rId9" w:history="1">
        <w:r w:rsidR="006316CE" w:rsidRPr="00754E55">
          <w:rPr>
            <w:rStyle w:val="Hyperlink"/>
            <w:rFonts w:ascii="Helvetica" w:hAnsi="Helvetica" w:cs="Arial"/>
            <w:lang w:val="en-GB"/>
          </w:rPr>
          <w:t>heiko.lickert@helmholtz-muenchen.de</w:t>
        </w:r>
      </w:hyperlink>
      <w:r w:rsidR="006316CE" w:rsidRPr="00754E55">
        <w:rPr>
          <w:rFonts w:ascii="Helvetica" w:hAnsi="Helvetica" w:cs="Arial"/>
          <w:lang w:val="en-GB"/>
        </w:rPr>
        <w:t>)</w:t>
      </w:r>
    </w:p>
    <w:p w:rsidR="006316CE" w:rsidRPr="008B7A25" w:rsidRDefault="006316CE" w:rsidP="006316CE">
      <w:pPr>
        <w:rPr>
          <w:rFonts w:ascii="Arial" w:hAnsi="Arial" w:cs="Arial"/>
          <w:sz w:val="20"/>
          <w:szCs w:val="20"/>
          <w:lang w:val="en-US"/>
        </w:rPr>
      </w:pPr>
      <w:r w:rsidRPr="00754E55">
        <w:rPr>
          <w:rFonts w:ascii="Helvetica" w:hAnsi="Helvetica" w:cs="Arial"/>
        </w:rPr>
        <w:t xml:space="preserve">Heiko Lickert, Helmholtz Zentrum München, Parkring 11, D-85748, Garching, Germany. </w:t>
      </w:r>
      <w:r w:rsidRPr="00754E55">
        <w:rPr>
          <w:rFonts w:ascii="Helvetica" w:hAnsi="Helvetica" w:cs="Arial"/>
          <w:lang w:val="en-GB"/>
        </w:rPr>
        <w:t>P</w:t>
      </w:r>
      <w:r w:rsidRPr="00754E55">
        <w:rPr>
          <w:rFonts w:ascii="Helvetica" w:hAnsi="Helvetica" w:cs="Arial"/>
          <w:caps/>
          <w:lang w:val="en-GB"/>
        </w:rPr>
        <w:t>hone</w:t>
      </w:r>
      <w:r w:rsidRPr="00754E55">
        <w:rPr>
          <w:rFonts w:ascii="Helvetica" w:hAnsi="Helvetica" w:cs="Arial"/>
          <w:lang w:val="en-GB"/>
        </w:rPr>
        <w:t>: +49 89 31873760, FAX: +49 89 31873761.</w:t>
      </w:r>
    </w:p>
    <w:p w:rsidR="003B23AF" w:rsidRPr="001306A0" w:rsidRDefault="003B23AF" w:rsidP="003B23AF">
      <w:pPr>
        <w:shd w:val="clear" w:color="auto" w:fill="FFFFFF"/>
        <w:spacing w:after="0" w:line="480" w:lineRule="auto"/>
        <w:textAlignment w:val="baseline"/>
        <w:rPr>
          <w:rFonts w:ascii="Helvetica" w:hAnsi="Helvetica" w:cs="Arial"/>
          <w:lang w:val="en-US"/>
        </w:rPr>
      </w:pPr>
    </w:p>
    <w:p w:rsidR="00CD18DA" w:rsidRDefault="00CD18DA" w:rsidP="00D82405">
      <w:pPr>
        <w:rPr>
          <w:rFonts w:ascii="Arial" w:hAnsi="Arial" w:cs="Arial"/>
          <w:b/>
          <w:sz w:val="20"/>
          <w:szCs w:val="20"/>
          <w:lang w:val="en-US"/>
        </w:rPr>
      </w:pPr>
    </w:p>
    <w:p w:rsidR="00CD18DA" w:rsidRDefault="00CD18DA" w:rsidP="00D82405">
      <w:pPr>
        <w:rPr>
          <w:rFonts w:ascii="Arial" w:hAnsi="Arial" w:cs="Arial"/>
          <w:b/>
          <w:sz w:val="20"/>
          <w:szCs w:val="20"/>
          <w:lang w:val="en-US"/>
        </w:rPr>
      </w:pPr>
    </w:p>
    <w:p w:rsidR="00CD18DA" w:rsidRDefault="00CD18DA" w:rsidP="00D82405">
      <w:pPr>
        <w:rPr>
          <w:rFonts w:ascii="Arial" w:hAnsi="Arial" w:cs="Arial"/>
          <w:b/>
          <w:sz w:val="20"/>
          <w:szCs w:val="20"/>
          <w:lang w:val="en-US"/>
        </w:rPr>
      </w:pPr>
    </w:p>
    <w:p w:rsidR="003B23AF" w:rsidRDefault="003B23AF" w:rsidP="00242E26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BA3505" w:rsidRDefault="00BA3505" w:rsidP="00242E26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242E26" w:rsidRPr="008B7A25" w:rsidRDefault="00242E26" w:rsidP="00242E26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ABSTRACT</w:t>
      </w:r>
    </w:p>
    <w:p w:rsidR="00AB4889" w:rsidRPr="00CE71A7" w:rsidRDefault="00AB4889" w:rsidP="00AB4889">
      <w:pPr>
        <w:spacing w:line="480" w:lineRule="auto"/>
        <w:jc w:val="both"/>
        <w:rPr>
          <w:rFonts w:ascii="Arial" w:eastAsia="Calibri" w:hAnsi="Arial" w:cs="Arial"/>
          <w:b/>
          <w:sz w:val="20"/>
          <w:szCs w:val="20"/>
          <w:lang w:val="en-US" w:eastAsia="en-US"/>
        </w:rPr>
      </w:pPr>
      <w:r w:rsidRPr="002B13D3">
        <w:rPr>
          <w:rFonts w:ascii="Arial" w:eastAsia="Calibri" w:hAnsi="Arial" w:cs="Arial"/>
          <w:b/>
          <w:color w:val="000000" w:themeColor="text1"/>
          <w:sz w:val="20"/>
          <w:szCs w:val="20"/>
          <w:lang w:val="en-US" w:eastAsia="en-US"/>
        </w:rPr>
        <w:t>Homozygous</w:t>
      </w:r>
      <w:r w:rsidRPr="00CE71A7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loss-of-function mutations in the gene coding for the </w:t>
      </w:r>
      <w:proofErr w:type="spellStart"/>
      <w:r w:rsidRPr="00CE71A7">
        <w:rPr>
          <w:rFonts w:ascii="Arial" w:eastAsia="Calibri" w:hAnsi="Arial" w:cs="Arial"/>
          <w:b/>
          <w:sz w:val="20"/>
          <w:szCs w:val="20"/>
          <w:lang w:val="en-US" w:eastAsia="en-US"/>
        </w:rPr>
        <w:t>homeobox</w:t>
      </w:r>
      <w:proofErr w:type="spellEnd"/>
      <w:r w:rsidRPr="00CE71A7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transcription factor </w:t>
      </w:r>
      <w:r w:rsidRPr="00CE71A7">
        <w:rPr>
          <w:rFonts w:ascii="Arial" w:eastAsia="Calibri" w:hAnsi="Arial" w:cs="Arial"/>
          <w:b/>
          <w:i/>
          <w:sz w:val="20"/>
          <w:szCs w:val="20"/>
          <w:lang w:val="en-US" w:eastAsia="en-US"/>
        </w:rPr>
        <w:t>PDX1</w:t>
      </w:r>
      <w:r w:rsidRPr="00CE71A7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en-US" w:eastAsia="en-US"/>
        </w:rPr>
        <w:t>leads</w:t>
      </w:r>
      <w:r w:rsidRPr="00136222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to pancreatic agenesis</w:t>
      </w:r>
      <w:r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, </w:t>
      </w:r>
      <w:r w:rsidRPr="00CE71A7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whereas certain </w:t>
      </w:r>
      <w:r w:rsidRPr="00BF35CD">
        <w:rPr>
          <w:rFonts w:ascii="Arial" w:eastAsia="Calibri" w:hAnsi="Arial" w:cs="Arial"/>
          <w:b/>
          <w:sz w:val="20"/>
          <w:szCs w:val="20"/>
          <w:lang w:val="en-US" w:eastAsia="en-US"/>
        </w:rPr>
        <w:t>heterozygous</w:t>
      </w:r>
      <w:r w:rsidRPr="00CE71A7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point mutations are associated with</w:t>
      </w:r>
      <w:r w:rsidRPr="00BF35CD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</w:t>
      </w:r>
      <w:r w:rsidRPr="00CE71A7">
        <w:rPr>
          <w:rFonts w:ascii="Arial" w:eastAsia="Calibri" w:hAnsi="Arial" w:cs="Arial"/>
          <w:b/>
          <w:sz w:val="20"/>
          <w:szCs w:val="20"/>
          <w:lang w:val="en-US" w:eastAsia="en-US"/>
        </w:rPr>
        <w:t>Maturity-Onset Diabetes of the Young 4 (MODY4)</w:t>
      </w:r>
      <w:r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and</w:t>
      </w:r>
      <w:r w:rsidR="004912BF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Type 2 Diabetes M</w:t>
      </w:r>
      <w:r w:rsidR="00856A9B">
        <w:rPr>
          <w:rFonts w:ascii="Arial" w:eastAsia="Calibri" w:hAnsi="Arial" w:cs="Arial"/>
          <w:b/>
          <w:sz w:val="20"/>
          <w:szCs w:val="20"/>
          <w:lang w:val="en-US" w:eastAsia="en-US"/>
        </w:rPr>
        <w:t>ellitus (T2DM). To</w:t>
      </w:r>
      <w:r w:rsidRPr="00CE71A7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understand the </w:t>
      </w:r>
      <w:proofErr w:type="spellStart"/>
      <w:r w:rsidRPr="00CE71A7">
        <w:rPr>
          <w:rFonts w:ascii="Arial" w:eastAsia="Calibri" w:hAnsi="Arial" w:cs="Arial"/>
          <w:b/>
          <w:sz w:val="20"/>
          <w:szCs w:val="20"/>
          <w:lang w:val="en-US" w:eastAsia="en-US"/>
        </w:rPr>
        <w:t>pathomechanism</w:t>
      </w:r>
      <w:proofErr w:type="spellEnd"/>
      <w:r w:rsidRPr="00CE71A7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of</w:t>
      </w:r>
      <w:r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MODY4 and T2DM,</w:t>
      </w:r>
      <w:r w:rsidRPr="00CE71A7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we have generated </w:t>
      </w:r>
      <w:proofErr w:type="spellStart"/>
      <w:r w:rsidRPr="00CE71A7">
        <w:rPr>
          <w:rFonts w:ascii="Arial" w:eastAsia="Calibri" w:hAnsi="Arial" w:cs="Arial"/>
          <w:b/>
          <w:sz w:val="20"/>
          <w:szCs w:val="20"/>
          <w:lang w:val="en-US" w:eastAsia="en-US"/>
        </w:rPr>
        <w:t>iPSCs</w:t>
      </w:r>
      <w:proofErr w:type="spellEnd"/>
      <w:r w:rsidRPr="00CE71A7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from a </w:t>
      </w:r>
      <w:r>
        <w:rPr>
          <w:rFonts w:ascii="Arial" w:eastAsia="Calibri" w:hAnsi="Arial" w:cs="Arial"/>
          <w:b/>
          <w:sz w:val="20"/>
          <w:szCs w:val="20"/>
          <w:lang w:val="en-US" w:eastAsia="en-US"/>
        </w:rPr>
        <w:t>woman with a P33T</w:t>
      </w:r>
      <w:r w:rsidRPr="00CE71A7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heterozygous mutation in the transactivation domain of PDX1. The resulting </w:t>
      </w:r>
      <w:r w:rsidRPr="00914B1E">
        <w:rPr>
          <w:rFonts w:ascii="Arial" w:eastAsia="Calibri" w:hAnsi="Arial" w:cs="Arial"/>
          <w:b/>
          <w:i/>
          <w:sz w:val="20"/>
          <w:szCs w:val="20"/>
          <w:lang w:val="en-US" w:eastAsia="en-US"/>
        </w:rPr>
        <w:t>PDX1</w:t>
      </w:r>
      <w:r w:rsidRPr="00CE71A7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</w:t>
      </w:r>
      <w:r w:rsidR="002128F5">
        <w:rPr>
          <w:rFonts w:ascii="Arial" w:eastAsia="Calibri" w:hAnsi="Arial" w:cs="Arial"/>
          <w:b/>
          <w:sz w:val="20"/>
          <w:szCs w:val="20"/>
          <w:lang w:val="en-US" w:eastAsia="en-US"/>
        </w:rPr>
        <w:t>P33T</w:t>
      </w:r>
      <w:r w:rsidRPr="00CE71A7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</w:t>
      </w:r>
      <w:proofErr w:type="spellStart"/>
      <w:r w:rsidRPr="00CE71A7">
        <w:rPr>
          <w:rFonts w:ascii="Arial" w:eastAsia="Calibri" w:hAnsi="Arial" w:cs="Arial"/>
          <w:b/>
          <w:sz w:val="20"/>
          <w:szCs w:val="20"/>
          <w:lang w:val="en-US" w:eastAsia="en-US"/>
        </w:rPr>
        <w:t>iPSCs</w:t>
      </w:r>
      <w:proofErr w:type="spellEnd"/>
      <w:r w:rsidRPr="00CE71A7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generated by </w:t>
      </w:r>
      <w:proofErr w:type="spellStart"/>
      <w:r w:rsidRPr="00CE71A7">
        <w:rPr>
          <w:rFonts w:ascii="Arial" w:eastAsia="Calibri" w:hAnsi="Arial" w:cs="Arial"/>
          <w:b/>
          <w:sz w:val="20"/>
          <w:szCs w:val="20"/>
          <w:lang w:val="en-US" w:eastAsia="en-US"/>
        </w:rPr>
        <w:t>episomal</w:t>
      </w:r>
      <w:proofErr w:type="spellEnd"/>
      <w:r w:rsidR="004912BF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reprogramming are inte</w:t>
      </w:r>
      <w:r w:rsidRPr="00CE71A7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gration-free, have a normal karyotype and are pluripotent </w:t>
      </w:r>
      <w:r w:rsidRPr="00CE71A7">
        <w:rPr>
          <w:rFonts w:ascii="Arial" w:eastAsia="Calibri" w:hAnsi="Arial" w:cs="Arial"/>
          <w:b/>
          <w:i/>
          <w:sz w:val="20"/>
          <w:szCs w:val="20"/>
          <w:lang w:val="en-US" w:eastAsia="en-US"/>
        </w:rPr>
        <w:t>in vitro</w:t>
      </w:r>
      <w:r w:rsidRPr="00CE71A7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and </w:t>
      </w:r>
      <w:r w:rsidRPr="00CE71A7">
        <w:rPr>
          <w:rFonts w:ascii="Arial" w:eastAsia="Calibri" w:hAnsi="Arial" w:cs="Arial"/>
          <w:b/>
          <w:i/>
          <w:sz w:val="20"/>
          <w:szCs w:val="20"/>
          <w:lang w:val="en-US" w:eastAsia="en-US"/>
        </w:rPr>
        <w:t>in vivo</w:t>
      </w:r>
      <w:r w:rsidRPr="00CE71A7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. </w:t>
      </w:r>
      <w:r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Taken together, this </w:t>
      </w:r>
      <w:r w:rsidRPr="00CE71A7">
        <w:rPr>
          <w:rFonts w:ascii="Arial" w:eastAsia="Calibri" w:hAnsi="Arial" w:cs="Arial"/>
          <w:b/>
          <w:sz w:val="20"/>
          <w:szCs w:val="20"/>
          <w:lang w:val="en-US" w:eastAsia="en-US"/>
        </w:rPr>
        <w:t>iPSC line wil</w:t>
      </w:r>
      <w:r w:rsidR="00856A9B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l be </w:t>
      </w:r>
      <w:r>
        <w:rPr>
          <w:rFonts w:ascii="Arial" w:eastAsia="Calibri" w:hAnsi="Arial" w:cs="Arial"/>
          <w:b/>
          <w:sz w:val="20"/>
          <w:szCs w:val="20"/>
          <w:lang w:val="en-US" w:eastAsia="en-US"/>
        </w:rPr>
        <w:t>useful to study diabetes</w:t>
      </w:r>
      <w:r w:rsidR="00856A9B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</w:t>
      </w:r>
      <w:proofErr w:type="spellStart"/>
      <w:r w:rsidR="00856A9B">
        <w:rPr>
          <w:rFonts w:ascii="Arial" w:eastAsia="Calibri" w:hAnsi="Arial" w:cs="Arial"/>
          <w:b/>
          <w:sz w:val="20"/>
          <w:szCs w:val="20"/>
          <w:lang w:val="en-US" w:eastAsia="en-US"/>
        </w:rPr>
        <w:t>pathomechanisms</w:t>
      </w:r>
      <w:proofErr w:type="spellEnd"/>
      <w:r w:rsidRPr="00CE71A7">
        <w:rPr>
          <w:rFonts w:ascii="Arial" w:eastAsia="Calibri" w:hAnsi="Arial" w:cs="Arial"/>
          <w:b/>
          <w:sz w:val="20"/>
          <w:szCs w:val="20"/>
          <w:lang w:val="en-US" w:eastAsia="en-US"/>
        </w:rPr>
        <w:t>.</w:t>
      </w:r>
    </w:p>
    <w:p w:rsidR="00EC0FB9" w:rsidRDefault="00EC0FB9" w:rsidP="00242E26">
      <w:pPr>
        <w:spacing w:line="480" w:lineRule="auto"/>
        <w:jc w:val="both"/>
        <w:rPr>
          <w:rFonts w:ascii="Arial" w:eastAsia="Calibri" w:hAnsi="Arial" w:cs="Arial"/>
          <w:b/>
          <w:sz w:val="20"/>
          <w:szCs w:val="20"/>
          <w:lang w:val="en-US" w:eastAsia="en-US"/>
        </w:rPr>
      </w:pPr>
    </w:p>
    <w:p w:rsidR="00242E26" w:rsidRPr="00035235" w:rsidRDefault="00242E26" w:rsidP="00242E26">
      <w:pPr>
        <w:spacing w:line="480" w:lineRule="auto"/>
        <w:jc w:val="both"/>
        <w:rPr>
          <w:rFonts w:ascii="Arial" w:eastAsia="Calibri" w:hAnsi="Arial" w:cs="Arial"/>
          <w:b/>
          <w:sz w:val="20"/>
          <w:szCs w:val="20"/>
          <w:lang w:val="en-US" w:eastAsia="en-US"/>
        </w:rPr>
      </w:pPr>
      <w:r w:rsidRPr="00035235">
        <w:rPr>
          <w:rFonts w:ascii="Arial" w:eastAsia="Calibri" w:hAnsi="Arial" w:cs="Arial"/>
          <w:b/>
          <w:sz w:val="20"/>
          <w:szCs w:val="20"/>
          <w:lang w:val="en-US" w:eastAsia="en-US"/>
        </w:rPr>
        <w:t>1. Resource table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760"/>
      </w:tblGrid>
      <w:tr w:rsidR="00242E26" w:rsidTr="00A64681">
        <w:tc>
          <w:tcPr>
            <w:tcW w:w="3528" w:type="dxa"/>
            <w:shd w:val="clear" w:color="auto" w:fill="auto"/>
          </w:tcPr>
          <w:p w:rsidR="00242E26" w:rsidRPr="00112383" w:rsidRDefault="00242E26" w:rsidP="00A64681">
            <w:pPr>
              <w:rPr>
                <w:rFonts w:eastAsia="Times New Roman"/>
                <w:shd w:val="clear" w:color="auto" w:fill="FFFF00"/>
                <w:lang w:val="en-US"/>
              </w:rPr>
            </w:pPr>
            <w:r w:rsidRPr="00112383">
              <w:rPr>
                <w:rFonts w:eastAsia="Times New Roman"/>
                <w:lang w:val="en-US"/>
              </w:rPr>
              <w:t>Name of Stem Cell line</w:t>
            </w:r>
          </w:p>
        </w:tc>
        <w:tc>
          <w:tcPr>
            <w:tcW w:w="5760" w:type="dxa"/>
            <w:shd w:val="clear" w:color="auto" w:fill="auto"/>
          </w:tcPr>
          <w:p w:rsidR="00242E26" w:rsidRPr="00F714D3" w:rsidRDefault="00242E26" w:rsidP="00A64681">
            <w:pPr>
              <w:rPr>
                <w:rFonts w:eastAsia="Times New Roman"/>
              </w:rPr>
            </w:pPr>
            <w:r w:rsidRPr="00914B1E">
              <w:rPr>
                <w:rFonts w:eastAsia="Times New Roman"/>
                <w:i/>
                <w:lang w:val="en-US"/>
              </w:rPr>
              <w:t>PDX1</w:t>
            </w:r>
            <w:r>
              <w:rPr>
                <w:rFonts w:eastAsia="Times New Roman"/>
                <w:lang w:val="en-US"/>
              </w:rPr>
              <w:t xml:space="preserve"> P33T iPS</w:t>
            </w:r>
            <w:r w:rsidR="00AB4889">
              <w:rPr>
                <w:rFonts w:eastAsia="Times New Roman"/>
                <w:lang w:val="en-US"/>
              </w:rPr>
              <w:t>C</w:t>
            </w:r>
            <w:r>
              <w:rPr>
                <w:rFonts w:eastAsia="Times New Roman"/>
                <w:lang w:val="en-US"/>
              </w:rPr>
              <w:t>1</w:t>
            </w:r>
          </w:p>
        </w:tc>
      </w:tr>
      <w:tr w:rsidR="00242E26" w:rsidRPr="00A124A3" w:rsidTr="00A64681">
        <w:tc>
          <w:tcPr>
            <w:tcW w:w="3528" w:type="dxa"/>
            <w:shd w:val="clear" w:color="auto" w:fill="auto"/>
          </w:tcPr>
          <w:p w:rsidR="00242E26" w:rsidRPr="00F714D3" w:rsidRDefault="00242E26" w:rsidP="00A64681">
            <w:pPr>
              <w:rPr>
                <w:rFonts w:eastAsia="Times New Roman"/>
              </w:rPr>
            </w:pPr>
            <w:r w:rsidRPr="00F714D3">
              <w:rPr>
                <w:rFonts w:eastAsia="Times New Roman"/>
              </w:rPr>
              <w:t>Institution</w:t>
            </w:r>
          </w:p>
        </w:tc>
        <w:tc>
          <w:tcPr>
            <w:tcW w:w="5760" w:type="dxa"/>
            <w:shd w:val="clear" w:color="auto" w:fill="auto"/>
          </w:tcPr>
          <w:p w:rsidR="00242E26" w:rsidRPr="00112383" w:rsidRDefault="00242E26" w:rsidP="00A64681">
            <w:pPr>
              <w:rPr>
                <w:rFonts w:eastAsia="Times New Roman"/>
                <w:lang w:val="en-US"/>
              </w:rPr>
            </w:pPr>
            <w:r w:rsidRPr="00154B88">
              <w:rPr>
                <w:rFonts w:ascii="Helvetica" w:hAnsi="Helvetica" w:cs="Arial"/>
                <w:i/>
                <w:sz w:val="20"/>
                <w:szCs w:val="20"/>
                <w:lang w:val="en-US"/>
              </w:rPr>
              <w:t>Institute of Diabetes and Regeneration Research</w:t>
            </w:r>
          </w:p>
        </w:tc>
      </w:tr>
      <w:tr w:rsidR="00242E26" w:rsidTr="00A64681">
        <w:tc>
          <w:tcPr>
            <w:tcW w:w="3528" w:type="dxa"/>
            <w:shd w:val="clear" w:color="auto" w:fill="auto"/>
          </w:tcPr>
          <w:p w:rsidR="00242E26" w:rsidRPr="00F714D3" w:rsidRDefault="00242E26" w:rsidP="00A64681">
            <w:pPr>
              <w:rPr>
                <w:rFonts w:eastAsia="Times New Roman"/>
                <w:shd w:val="clear" w:color="auto" w:fill="FFFF00"/>
              </w:rPr>
            </w:pPr>
            <w:r w:rsidRPr="00F714D3">
              <w:rPr>
                <w:rFonts w:eastAsia="Times New Roman"/>
              </w:rPr>
              <w:t xml:space="preserve">Person </w:t>
            </w:r>
            <w:proofErr w:type="spellStart"/>
            <w:r w:rsidRPr="00F714D3">
              <w:rPr>
                <w:rFonts w:eastAsia="Times New Roman"/>
              </w:rPr>
              <w:t>who</w:t>
            </w:r>
            <w:proofErr w:type="spellEnd"/>
            <w:r w:rsidRPr="00F714D3">
              <w:rPr>
                <w:rFonts w:eastAsia="Times New Roman"/>
              </w:rPr>
              <w:t xml:space="preserve"> </w:t>
            </w:r>
            <w:proofErr w:type="spellStart"/>
            <w:r w:rsidRPr="00F714D3">
              <w:rPr>
                <w:rFonts w:eastAsia="Times New Roman"/>
              </w:rPr>
              <w:t>created</w:t>
            </w:r>
            <w:proofErr w:type="spellEnd"/>
            <w:r w:rsidRPr="00F714D3">
              <w:rPr>
                <w:rFonts w:eastAsia="Times New Roman"/>
              </w:rPr>
              <w:t xml:space="preserve"> </w:t>
            </w:r>
            <w:proofErr w:type="spellStart"/>
            <w:r w:rsidRPr="00F714D3">
              <w:rPr>
                <w:rFonts w:eastAsia="Times New Roman"/>
              </w:rPr>
              <w:t>resource</w:t>
            </w:r>
            <w:proofErr w:type="spellEnd"/>
          </w:p>
        </w:tc>
        <w:tc>
          <w:tcPr>
            <w:tcW w:w="5760" w:type="dxa"/>
            <w:shd w:val="clear" w:color="auto" w:fill="auto"/>
          </w:tcPr>
          <w:p w:rsidR="00242E26" w:rsidRPr="00F714D3" w:rsidRDefault="00242E26" w:rsidP="00A64681">
            <w:pPr>
              <w:rPr>
                <w:rFonts w:eastAsia="Times New Roman"/>
              </w:rPr>
            </w:pPr>
            <w:r w:rsidRPr="001419E0">
              <w:rPr>
                <w:rFonts w:ascii="Helvetica" w:hAnsi="Helvetica" w:cs="Arial"/>
                <w:lang w:val="en-US"/>
              </w:rPr>
              <w:t>Xianming Wang</w:t>
            </w:r>
          </w:p>
        </w:tc>
      </w:tr>
      <w:tr w:rsidR="00242E26" w:rsidTr="00A64681">
        <w:tc>
          <w:tcPr>
            <w:tcW w:w="3528" w:type="dxa"/>
            <w:shd w:val="clear" w:color="auto" w:fill="auto"/>
          </w:tcPr>
          <w:p w:rsidR="00242E26" w:rsidRPr="00F714D3" w:rsidRDefault="00242E26" w:rsidP="00A64681">
            <w:pPr>
              <w:rPr>
                <w:rFonts w:eastAsia="Times New Roman"/>
                <w:shd w:val="clear" w:color="auto" w:fill="FFFF00"/>
              </w:rPr>
            </w:pPr>
            <w:proofErr w:type="spellStart"/>
            <w:r w:rsidRPr="00F714D3">
              <w:rPr>
                <w:rFonts w:eastAsia="Times New Roman"/>
              </w:rPr>
              <w:t>Contact</w:t>
            </w:r>
            <w:proofErr w:type="spellEnd"/>
            <w:r w:rsidRPr="00F714D3">
              <w:rPr>
                <w:rFonts w:eastAsia="Times New Roman"/>
              </w:rPr>
              <w:t xml:space="preserve"> </w:t>
            </w:r>
            <w:proofErr w:type="spellStart"/>
            <w:r w:rsidRPr="00F714D3">
              <w:rPr>
                <w:rFonts w:eastAsia="Times New Roman"/>
              </w:rPr>
              <w:t>person</w:t>
            </w:r>
            <w:proofErr w:type="spellEnd"/>
            <w:r w:rsidRPr="00F714D3">
              <w:rPr>
                <w:rFonts w:eastAsia="Times New Roman"/>
              </w:rPr>
              <w:t xml:space="preserve"> </w:t>
            </w:r>
            <w:proofErr w:type="spellStart"/>
            <w:r w:rsidRPr="00F714D3">
              <w:rPr>
                <w:rFonts w:eastAsia="Times New Roman"/>
              </w:rPr>
              <w:t>and</w:t>
            </w:r>
            <w:proofErr w:type="spellEnd"/>
            <w:r w:rsidRPr="00F714D3">
              <w:rPr>
                <w:rFonts w:eastAsia="Times New Roman"/>
              </w:rPr>
              <w:t xml:space="preserve"> email</w:t>
            </w:r>
          </w:p>
        </w:tc>
        <w:tc>
          <w:tcPr>
            <w:tcW w:w="5760" w:type="dxa"/>
            <w:shd w:val="clear" w:color="auto" w:fill="auto"/>
          </w:tcPr>
          <w:p w:rsidR="00242E26" w:rsidRPr="00112383" w:rsidRDefault="00AB4889" w:rsidP="00A64681">
            <w:pPr>
              <w:rPr>
                <w:rFonts w:eastAsia="Times New Roman"/>
              </w:rPr>
            </w:pPr>
            <w:r w:rsidRPr="00CD2DE4">
              <w:rPr>
                <w:rFonts w:ascii="Helvetica" w:hAnsi="Helvetica" w:cs="Arial"/>
              </w:rPr>
              <w:t>Heiko Lickert  heiko.lickert@helmholtz-muenchen.de</w:t>
            </w:r>
          </w:p>
        </w:tc>
      </w:tr>
      <w:tr w:rsidR="00242E26" w:rsidTr="00A64681">
        <w:tc>
          <w:tcPr>
            <w:tcW w:w="3528" w:type="dxa"/>
            <w:shd w:val="clear" w:color="auto" w:fill="auto"/>
          </w:tcPr>
          <w:p w:rsidR="00242E26" w:rsidRPr="00F714D3" w:rsidRDefault="00242E26" w:rsidP="00A64681">
            <w:pPr>
              <w:rPr>
                <w:rFonts w:eastAsia="Times New Roman"/>
                <w:shd w:val="clear" w:color="auto" w:fill="FFFF00"/>
              </w:rPr>
            </w:pPr>
            <w:r w:rsidRPr="00F714D3">
              <w:rPr>
                <w:rFonts w:eastAsia="Times New Roman"/>
              </w:rPr>
              <w:t xml:space="preserve">Date </w:t>
            </w:r>
            <w:proofErr w:type="spellStart"/>
            <w:r w:rsidRPr="00F714D3">
              <w:rPr>
                <w:rFonts w:eastAsia="Times New Roman"/>
              </w:rPr>
              <w:t>archived</w:t>
            </w:r>
            <w:proofErr w:type="spellEnd"/>
            <w:r w:rsidRPr="00F714D3">
              <w:rPr>
                <w:rFonts w:eastAsia="Times New Roman"/>
              </w:rPr>
              <w:t xml:space="preserve">/stock </w:t>
            </w:r>
            <w:proofErr w:type="spellStart"/>
            <w:r w:rsidRPr="00F714D3">
              <w:rPr>
                <w:rFonts w:eastAsia="Times New Roman"/>
              </w:rPr>
              <w:t>date</w:t>
            </w:r>
            <w:proofErr w:type="spellEnd"/>
          </w:p>
        </w:tc>
        <w:tc>
          <w:tcPr>
            <w:tcW w:w="5760" w:type="dxa"/>
            <w:shd w:val="clear" w:color="auto" w:fill="auto"/>
          </w:tcPr>
          <w:p w:rsidR="00242E26" w:rsidRPr="00F714D3" w:rsidRDefault="00242E26" w:rsidP="00A64681">
            <w:pPr>
              <w:rPr>
                <w:rFonts w:eastAsia="Times New Roman"/>
              </w:rPr>
            </w:pPr>
            <w:r w:rsidRPr="001419E0">
              <w:rPr>
                <w:rFonts w:eastAsia="Times New Roman"/>
                <w:lang w:val="en-US"/>
              </w:rPr>
              <w:t>April 2014</w:t>
            </w:r>
          </w:p>
        </w:tc>
      </w:tr>
      <w:tr w:rsidR="00242E26" w:rsidTr="00A64681">
        <w:tc>
          <w:tcPr>
            <w:tcW w:w="3528" w:type="dxa"/>
            <w:shd w:val="clear" w:color="auto" w:fill="auto"/>
          </w:tcPr>
          <w:p w:rsidR="00242E26" w:rsidRPr="00F714D3" w:rsidRDefault="00242E26" w:rsidP="00A64681">
            <w:pPr>
              <w:rPr>
                <w:rFonts w:eastAsia="Times New Roman"/>
                <w:shd w:val="clear" w:color="auto" w:fill="FFFF00"/>
              </w:rPr>
            </w:pPr>
            <w:r w:rsidRPr="00F714D3">
              <w:rPr>
                <w:rFonts w:eastAsia="Times New Roman"/>
              </w:rPr>
              <w:t xml:space="preserve">Origin </w:t>
            </w:r>
          </w:p>
        </w:tc>
        <w:tc>
          <w:tcPr>
            <w:tcW w:w="5760" w:type="dxa"/>
            <w:shd w:val="clear" w:color="auto" w:fill="auto"/>
          </w:tcPr>
          <w:p w:rsidR="00242E26" w:rsidRPr="00F714D3" w:rsidRDefault="00242E26" w:rsidP="00A646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Human dermal </w:t>
            </w:r>
            <w:proofErr w:type="spellStart"/>
            <w:r>
              <w:rPr>
                <w:rFonts w:eastAsia="Times New Roman"/>
              </w:rPr>
              <w:t>fibroblasts</w:t>
            </w:r>
            <w:proofErr w:type="spellEnd"/>
          </w:p>
        </w:tc>
      </w:tr>
      <w:tr w:rsidR="00242E26" w:rsidRPr="00A124A3" w:rsidTr="00A64681">
        <w:tc>
          <w:tcPr>
            <w:tcW w:w="3528" w:type="dxa"/>
            <w:shd w:val="clear" w:color="auto" w:fill="auto"/>
          </w:tcPr>
          <w:p w:rsidR="00242E26" w:rsidRPr="00F714D3" w:rsidRDefault="00242E26" w:rsidP="00A64681">
            <w:pPr>
              <w:rPr>
                <w:rFonts w:eastAsia="Times New Roman"/>
                <w:shd w:val="clear" w:color="auto" w:fill="FFFF00"/>
              </w:rPr>
            </w:pPr>
            <w:r w:rsidRPr="00F714D3">
              <w:rPr>
                <w:rFonts w:eastAsia="Times New Roman"/>
              </w:rPr>
              <w:t xml:space="preserve">Type </w:t>
            </w:r>
            <w:proofErr w:type="spellStart"/>
            <w:r w:rsidRPr="00F714D3">
              <w:rPr>
                <w:rFonts w:eastAsia="Times New Roman"/>
              </w:rPr>
              <w:t>of</w:t>
            </w:r>
            <w:proofErr w:type="spellEnd"/>
            <w:r w:rsidRPr="00F714D3">
              <w:rPr>
                <w:rFonts w:eastAsia="Times New Roman"/>
              </w:rPr>
              <w:t xml:space="preserve"> </w:t>
            </w:r>
            <w:proofErr w:type="spellStart"/>
            <w:r w:rsidRPr="00F714D3">
              <w:rPr>
                <w:rFonts w:eastAsia="Times New Roman"/>
              </w:rPr>
              <w:t>resource</w:t>
            </w:r>
            <w:proofErr w:type="spellEnd"/>
          </w:p>
        </w:tc>
        <w:tc>
          <w:tcPr>
            <w:tcW w:w="5760" w:type="dxa"/>
            <w:shd w:val="clear" w:color="auto" w:fill="auto"/>
          </w:tcPr>
          <w:p w:rsidR="00242E26" w:rsidRPr="00112383" w:rsidRDefault="00242E26" w:rsidP="00A64681">
            <w:pPr>
              <w:rPr>
                <w:rFonts w:eastAsia="Times New Roman"/>
                <w:lang w:val="en-US"/>
              </w:rPr>
            </w:pPr>
            <w:r w:rsidRPr="001419E0">
              <w:rPr>
                <w:rFonts w:eastAsia="Times New Roman"/>
                <w:lang w:val="en-US"/>
              </w:rPr>
              <w:t>Induce</w:t>
            </w:r>
            <w:r>
              <w:rPr>
                <w:rFonts w:eastAsia="Times New Roman"/>
                <w:lang w:val="en-US"/>
              </w:rPr>
              <w:t xml:space="preserve">d pluripotent stem cells from </w:t>
            </w:r>
            <w:r w:rsidRPr="001419E0">
              <w:rPr>
                <w:rFonts w:eastAsia="Times New Roman"/>
                <w:lang w:val="en-US"/>
              </w:rPr>
              <w:t xml:space="preserve">a </w:t>
            </w:r>
            <w:r>
              <w:rPr>
                <w:rFonts w:eastAsia="Times New Roman"/>
                <w:lang w:val="en-US"/>
              </w:rPr>
              <w:t xml:space="preserve">woman carrying a </w:t>
            </w:r>
            <w:r w:rsidRPr="00FB347D">
              <w:rPr>
                <w:rFonts w:eastAsia="Times New Roman"/>
                <w:i/>
                <w:lang w:val="en-US"/>
              </w:rPr>
              <w:t xml:space="preserve">PDX1 </w:t>
            </w:r>
            <w:r>
              <w:rPr>
                <w:rFonts w:eastAsia="Times New Roman"/>
                <w:lang w:val="en-US"/>
              </w:rPr>
              <w:t>P33T</w:t>
            </w:r>
            <w:r w:rsidRPr="001419E0">
              <w:rPr>
                <w:rFonts w:eastAsia="Times New Roman"/>
                <w:lang w:val="en-US"/>
              </w:rPr>
              <w:t xml:space="preserve"> Mutation</w:t>
            </w:r>
          </w:p>
        </w:tc>
      </w:tr>
      <w:tr w:rsidR="00242E26" w:rsidTr="00A64681">
        <w:tc>
          <w:tcPr>
            <w:tcW w:w="3528" w:type="dxa"/>
            <w:shd w:val="clear" w:color="auto" w:fill="auto"/>
          </w:tcPr>
          <w:p w:rsidR="00242E26" w:rsidRPr="00F714D3" w:rsidRDefault="00242E26" w:rsidP="00A64681">
            <w:pPr>
              <w:rPr>
                <w:rFonts w:eastAsia="Times New Roman"/>
                <w:shd w:val="clear" w:color="auto" w:fill="FFFF00"/>
              </w:rPr>
            </w:pPr>
            <w:r w:rsidRPr="00F714D3">
              <w:rPr>
                <w:rFonts w:eastAsia="Times New Roman"/>
              </w:rPr>
              <w:t>Sub-type</w:t>
            </w:r>
          </w:p>
        </w:tc>
        <w:tc>
          <w:tcPr>
            <w:tcW w:w="5760" w:type="dxa"/>
            <w:shd w:val="clear" w:color="auto" w:fill="auto"/>
          </w:tcPr>
          <w:p w:rsidR="00242E26" w:rsidRPr="00F714D3" w:rsidRDefault="00242E26" w:rsidP="00A6468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Cell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line</w:t>
            </w:r>
            <w:proofErr w:type="spellEnd"/>
          </w:p>
        </w:tc>
      </w:tr>
      <w:tr w:rsidR="00242E26" w:rsidRPr="00A124A3" w:rsidTr="00A64681">
        <w:tc>
          <w:tcPr>
            <w:tcW w:w="3528" w:type="dxa"/>
            <w:shd w:val="clear" w:color="auto" w:fill="auto"/>
          </w:tcPr>
          <w:p w:rsidR="00242E26" w:rsidRPr="00F714D3" w:rsidRDefault="00242E26" w:rsidP="00A64681">
            <w:pPr>
              <w:rPr>
                <w:rFonts w:eastAsia="Times New Roman"/>
                <w:shd w:val="clear" w:color="auto" w:fill="FFFF00"/>
              </w:rPr>
            </w:pPr>
            <w:r w:rsidRPr="00F714D3">
              <w:rPr>
                <w:rFonts w:eastAsia="Times New Roman"/>
              </w:rPr>
              <w:t xml:space="preserve">Key </w:t>
            </w:r>
            <w:proofErr w:type="spellStart"/>
            <w:r w:rsidRPr="00F714D3">
              <w:rPr>
                <w:rFonts w:eastAsia="Times New Roman"/>
              </w:rPr>
              <w:t>transcription</w:t>
            </w:r>
            <w:proofErr w:type="spellEnd"/>
            <w:r w:rsidRPr="00F714D3">
              <w:rPr>
                <w:rFonts w:eastAsia="Times New Roman"/>
              </w:rPr>
              <w:t xml:space="preserve"> </w:t>
            </w:r>
            <w:proofErr w:type="spellStart"/>
            <w:r w:rsidRPr="00F714D3">
              <w:rPr>
                <w:rFonts w:eastAsia="Times New Roman"/>
              </w:rPr>
              <w:t>factors</w:t>
            </w:r>
            <w:proofErr w:type="spellEnd"/>
          </w:p>
        </w:tc>
        <w:tc>
          <w:tcPr>
            <w:tcW w:w="5760" w:type="dxa"/>
            <w:shd w:val="clear" w:color="auto" w:fill="auto"/>
          </w:tcPr>
          <w:p w:rsidR="00242E26" w:rsidRPr="00112383" w:rsidRDefault="00242E26" w:rsidP="00A64681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OCT4, SOX2, NANOG, LIN28, KLF4, and L-MYC</w:t>
            </w:r>
          </w:p>
        </w:tc>
      </w:tr>
      <w:tr w:rsidR="00242E26" w:rsidRPr="00A124A3" w:rsidTr="00A64681">
        <w:tc>
          <w:tcPr>
            <w:tcW w:w="3528" w:type="dxa"/>
            <w:shd w:val="clear" w:color="auto" w:fill="auto"/>
          </w:tcPr>
          <w:p w:rsidR="00242E26" w:rsidRPr="00F714D3" w:rsidRDefault="00242E26" w:rsidP="00A64681">
            <w:pPr>
              <w:rPr>
                <w:rFonts w:eastAsia="Times New Roman"/>
                <w:shd w:val="clear" w:color="auto" w:fill="FFFF00"/>
              </w:rPr>
            </w:pPr>
            <w:r w:rsidRPr="00F714D3">
              <w:rPr>
                <w:rFonts w:eastAsia="Times New Roman"/>
              </w:rPr>
              <w:t>Authentication</w:t>
            </w:r>
          </w:p>
        </w:tc>
        <w:tc>
          <w:tcPr>
            <w:tcW w:w="5760" w:type="dxa"/>
            <w:shd w:val="clear" w:color="auto" w:fill="auto"/>
          </w:tcPr>
          <w:p w:rsidR="00242E26" w:rsidRPr="00112383" w:rsidRDefault="00242E26" w:rsidP="00A64681">
            <w:pPr>
              <w:rPr>
                <w:rFonts w:eastAsia="Times New Roman"/>
                <w:lang w:val="en-US"/>
              </w:rPr>
            </w:pPr>
            <w:r w:rsidRPr="001419E0">
              <w:rPr>
                <w:rFonts w:eastAsia="Times New Roman"/>
                <w:lang w:val="en-US"/>
              </w:rPr>
              <w:t>Identity and purity of cell line confirmed</w:t>
            </w:r>
          </w:p>
        </w:tc>
      </w:tr>
      <w:tr w:rsidR="00242E26" w:rsidRPr="00112383" w:rsidTr="00A64681">
        <w:tc>
          <w:tcPr>
            <w:tcW w:w="3528" w:type="dxa"/>
            <w:shd w:val="clear" w:color="auto" w:fill="auto"/>
          </w:tcPr>
          <w:p w:rsidR="00242E26" w:rsidRPr="00F714D3" w:rsidRDefault="00242E26" w:rsidP="00A64681">
            <w:pPr>
              <w:rPr>
                <w:rFonts w:eastAsia="Times New Roman"/>
              </w:rPr>
            </w:pPr>
            <w:r w:rsidRPr="00F714D3">
              <w:rPr>
                <w:rFonts w:eastAsia="Times New Roman"/>
              </w:rPr>
              <w:t xml:space="preserve">Link </w:t>
            </w:r>
            <w:proofErr w:type="spellStart"/>
            <w:r w:rsidRPr="00F714D3">
              <w:rPr>
                <w:rFonts w:eastAsia="Times New Roman"/>
              </w:rPr>
              <w:t>to</w:t>
            </w:r>
            <w:proofErr w:type="spellEnd"/>
            <w:r w:rsidRPr="00F714D3">
              <w:rPr>
                <w:rFonts w:eastAsia="Times New Roman"/>
              </w:rPr>
              <w:t xml:space="preserve"> </w:t>
            </w:r>
            <w:proofErr w:type="spellStart"/>
            <w:r w:rsidRPr="00F714D3">
              <w:rPr>
                <w:rFonts w:eastAsia="Times New Roman"/>
              </w:rPr>
              <w:t>related</w:t>
            </w:r>
            <w:proofErr w:type="spellEnd"/>
            <w:r w:rsidRPr="00F714D3">
              <w:rPr>
                <w:rFonts w:eastAsia="Times New Roman"/>
              </w:rPr>
              <w:t xml:space="preserve"> </w:t>
            </w:r>
            <w:proofErr w:type="spellStart"/>
            <w:r w:rsidRPr="00F714D3">
              <w:rPr>
                <w:rFonts w:eastAsia="Times New Roman"/>
              </w:rPr>
              <w:t>literature</w:t>
            </w:r>
            <w:proofErr w:type="spellEnd"/>
          </w:p>
        </w:tc>
        <w:tc>
          <w:tcPr>
            <w:tcW w:w="5760" w:type="dxa"/>
            <w:shd w:val="clear" w:color="auto" w:fill="auto"/>
          </w:tcPr>
          <w:p w:rsidR="00242E26" w:rsidRPr="00112383" w:rsidRDefault="00242E26" w:rsidP="00A64681">
            <w:pPr>
              <w:rPr>
                <w:rFonts w:eastAsia="Times New Roman"/>
                <w:lang w:val="en-US"/>
              </w:rPr>
            </w:pPr>
            <w:r w:rsidRPr="00E30BE6">
              <w:rPr>
                <w:rFonts w:eastAsia="Times New Roman"/>
                <w:lang w:val="en-US"/>
              </w:rPr>
              <w:t>Not ava</w:t>
            </w:r>
            <w:r>
              <w:rPr>
                <w:rFonts w:eastAsia="Times New Roman"/>
                <w:lang w:val="en-US"/>
              </w:rPr>
              <w:t>i</w:t>
            </w:r>
            <w:r w:rsidRPr="00E30BE6">
              <w:rPr>
                <w:rFonts w:eastAsia="Times New Roman"/>
                <w:lang w:val="en-US"/>
              </w:rPr>
              <w:t>lable</w:t>
            </w:r>
          </w:p>
        </w:tc>
      </w:tr>
      <w:tr w:rsidR="00242E26" w:rsidRPr="00112383" w:rsidTr="00A64681">
        <w:tc>
          <w:tcPr>
            <w:tcW w:w="3528" w:type="dxa"/>
            <w:shd w:val="clear" w:color="auto" w:fill="auto"/>
          </w:tcPr>
          <w:p w:rsidR="00242E26" w:rsidRPr="00F714D3" w:rsidRDefault="00242E26" w:rsidP="00A64681">
            <w:pPr>
              <w:rPr>
                <w:rFonts w:eastAsia="Times New Roman"/>
                <w:shd w:val="clear" w:color="auto" w:fill="FFFF00"/>
              </w:rPr>
            </w:pPr>
            <w:r w:rsidRPr="00F714D3">
              <w:rPr>
                <w:rFonts w:eastAsia="Times New Roman"/>
              </w:rPr>
              <w:t xml:space="preserve">Information in </w:t>
            </w:r>
            <w:proofErr w:type="spellStart"/>
            <w:r w:rsidRPr="00F714D3">
              <w:rPr>
                <w:rFonts w:eastAsia="Times New Roman"/>
              </w:rPr>
              <w:t>public</w:t>
            </w:r>
            <w:proofErr w:type="spellEnd"/>
            <w:r w:rsidRPr="00F714D3">
              <w:rPr>
                <w:rFonts w:eastAsia="Times New Roman"/>
              </w:rPr>
              <w:t xml:space="preserve"> </w:t>
            </w:r>
            <w:proofErr w:type="spellStart"/>
            <w:r w:rsidRPr="00F714D3">
              <w:rPr>
                <w:rFonts w:eastAsia="Times New Roman"/>
              </w:rPr>
              <w:t>databases</w:t>
            </w:r>
            <w:proofErr w:type="spellEnd"/>
          </w:p>
        </w:tc>
        <w:tc>
          <w:tcPr>
            <w:tcW w:w="5760" w:type="dxa"/>
            <w:shd w:val="clear" w:color="auto" w:fill="auto"/>
          </w:tcPr>
          <w:p w:rsidR="00242E26" w:rsidRPr="00112383" w:rsidRDefault="00242E26" w:rsidP="00A64681">
            <w:pPr>
              <w:rPr>
                <w:rFonts w:eastAsia="Times New Roman"/>
                <w:i/>
                <w:shd w:val="clear" w:color="auto" w:fill="FFFF00"/>
                <w:lang w:val="en-US"/>
              </w:rPr>
            </w:pPr>
            <w:r w:rsidRPr="00E30BE6">
              <w:rPr>
                <w:rFonts w:eastAsia="Times New Roman"/>
                <w:lang w:val="en-US"/>
              </w:rPr>
              <w:t>Not ava</w:t>
            </w:r>
            <w:r>
              <w:rPr>
                <w:rFonts w:eastAsia="Times New Roman"/>
                <w:lang w:val="en-US"/>
              </w:rPr>
              <w:t>i</w:t>
            </w:r>
            <w:r w:rsidRPr="00E30BE6">
              <w:rPr>
                <w:rFonts w:eastAsia="Times New Roman"/>
                <w:lang w:val="en-US"/>
              </w:rPr>
              <w:t>lable</w:t>
            </w:r>
          </w:p>
        </w:tc>
      </w:tr>
      <w:tr w:rsidR="00242E26" w:rsidRPr="00112383" w:rsidTr="00A64681">
        <w:tc>
          <w:tcPr>
            <w:tcW w:w="3528" w:type="dxa"/>
            <w:shd w:val="clear" w:color="auto" w:fill="auto"/>
          </w:tcPr>
          <w:p w:rsidR="00242E26" w:rsidRPr="00F714D3" w:rsidRDefault="00242E26" w:rsidP="00A6468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Ethics</w:t>
            </w:r>
            <w:proofErr w:type="spellEnd"/>
          </w:p>
        </w:tc>
        <w:tc>
          <w:tcPr>
            <w:tcW w:w="5760" w:type="dxa"/>
            <w:shd w:val="clear" w:color="auto" w:fill="auto"/>
          </w:tcPr>
          <w:p w:rsidR="00242E26" w:rsidRPr="00112383" w:rsidRDefault="00AB4889" w:rsidP="00A64681">
            <w:pPr>
              <w:rPr>
                <w:rFonts w:eastAsia="Times New Roman"/>
                <w:shd w:val="clear" w:color="auto" w:fill="FFFF00"/>
                <w:lang w:val="en-US"/>
              </w:rPr>
            </w:pPr>
            <w:r>
              <w:rPr>
                <w:rFonts w:eastAsia="Times New Roman"/>
                <w:lang w:val="en-US"/>
              </w:rPr>
              <w:t>I</w:t>
            </w:r>
            <w:r w:rsidR="00242E26" w:rsidRPr="00E30BE6">
              <w:rPr>
                <w:rFonts w:eastAsia="Times New Roman"/>
                <w:lang w:val="en-US"/>
              </w:rPr>
              <w:t xml:space="preserve">nformed </w:t>
            </w:r>
            <w:r w:rsidR="00242E26">
              <w:rPr>
                <w:rFonts w:eastAsia="Times New Roman"/>
                <w:lang w:val="en-US"/>
              </w:rPr>
              <w:t xml:space="preserve">written </w:t>
            </w:r>
            <w:r w:rsidR="00242E26" w:rsidRPr="00E30BE6">
              <w:rPr>
                <w:rFonts w:eastAsia="Times New Roman"/>
                <w:lang w:val="en-US"/>
              </w:rPr>
              <w:t>consent obtained</w:t>
            </w:r>
          </w:p>
        </w:tc>
      </w:tr>
    </w:tbl>
    <w:p w:rsidR="00EC0FB9" w:rsidRDefault="00EC0FB9" w:rsidP="00242E26">
      <w:pPr>
        <w:spacing w:line="480" w:lineRule="auto"/>
        <w:jc w:val="both"/>
        <w:rPr>
          <w:rFonts w:ascii="Arial" w:eastAsia="Calibri" w:hAnsi="Arial" w:cs="Arial"/>
          <w:b/>
          <w:sz w:val="20"/>
          <w:szCs w:val="20"/>
          <w:lang w:val="en-US" w:eastAsia="en-US"/>
        </w:rPr>
      </w:pPr>
    </w:p>
    <w:p w:rsidR="00242E26" w:rsidRPr="008B7A25" w:rsidRDefault="00242E26" w:rsidP="00242E26">
      <w:pPr>
        <w:spacing w:line="480" w:lineRule="auto"/>
        <w:jc w:val="both"/>
        <w:rPr>
          <w:rFonts w:ascii="Arial" w:eastAsia="Calibri" w:hAnsi="Arial" w:cs="Arial"/>
          <w:b/>
          <w:sz w:val="20"/>
          <w:szCs w:val="20"/>
          <w:lang w:val="en-US" w:eastAsia="en-US"/>
        </w:rPr>
      </w:pPr>
      <w:r w:rsidRPr="008B7A25">
        <w:rPr>
          <w:rFonts w:ascii="Arial" w:eastAsia="Calibri" w:hAnsi="Arial" w:cs="Arial"/>
          <w:b/>
          <w:sz w:val="20"/>
          <w:szCs w:val="20"/>
          <w:lang w:val="en-US" w:eastAsia="en-US"/>
        </w:rPr>
        <w:lastRenderedPageBreak/>
        <w:t>2. Resource details</w:t>
      </w:r>
    </w:p>
    <w:p w:rsidR="00AB4889" w:rsidRPr="008B7A25" w:rsidRDefault="00140E2E" w:rsidP="00AB4889">
      <w:pPr>
        <w:spacing w:line="480" w:lineRule="auto"/>
        <w:jc w:val="both"/>
        <w:rPr>
          <w:rFonts w:ascii="Arial" w:eastAsia="Calibri" w:hAnsi="Arial" w:cs="Arial"/>
          <w:sz w:val="20"/>
          <w:szCs w:val="20"/>
          <w:lang w:val="en-US" w:eastAsia="en-US"/>
        </w:rPr>
      </w:pP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The </w:t>
      </w:r>
      <w:proofErr w:type="spellStart"/>
      <w:r>
        <w:rPr>
          <w:rFonts w:ascii="Arial" w:eastAsia="Calibri" w:hAnsi="Arial" w:cs="Arial"/>
          <w:sz w:val="20"/>
          <w:szCs w:val="20"/>
          <w:lang w:val="en-US" w:eastAsia="en-US"/>
        </w:rPr>
        <w:t>Tübingen</w:t>
      </w:r>
      <w:proofErr w:type="spellEnd"/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Family S</w:t>
      </w:r>
      <w:r w:rsidR="00242E26" w:rsidRPr="003B23AF">
        <w:rPr>
          <w:rFonts w:ascii="Arial" w:eastAsia="Calibri" w:hAnsi="Arial" w:cs="Arial"/>
          <w:sz w:val="20"/>
          <w:szCs w:val="20"/>
          <w:lang w:val="en-US" w:eastAsia="en-US"/>
        </w:rPr>
        <w:t xml:space="preserve">tudy for </w:t>
      </w:r>
      <w:r w:rsidR="004912BF" w:rsidRPr="004912BF">
        <w:rPr>
          <w:rFonts w:ascii="Arial" w:eastAsia="Calibri" w:hAnsi="Arial" w:cs="Arial"/>
          <w:sz w:val="20"/>
          <w:szCs w:val="20"/>
          <w:lang w:val="en-US" w:eastAsia="en-US"/>
        </w:rPr>
        <w:t>T2DM</w:t>
      </w:r>
      <w:r w:rsidR="004912BF" w:rsidRPr="003B23AF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242E26" w:rsidRPr="003B23AF">
        <w:rPr>
          <w:rFonts w:ascii="Arial" w:eastAsia="Calibri" w:hAnsi="Arial" w:cs="Arial"/>
          <w:sz w:val="20"/>
          <w:szCs w:val="20"/>
          <w:lang w:val="en-US" w:eastAsia="en-US"/>
        </w:rPr>
        <w:t xml:space="preserve">(TÜF study, N=2500) was screened for known rare mutations in the MODY4 gene </w:t>
      </w:r>
      <w:r w:rsidR="00242E26" w:rsidRPr="00471C1D">
        <w:rPr>
          <w:rFonts w:ascii="Arial" w:eastAsia="Calibri" w:hAnsi="Arial" w:cs="Arial"/>
          <w:i/>
          <w:sz w:val="20"/>
          <w:szCs w:val="20"/>
          <w:lang w:val="en-US" w:eastAsia="en-US"/>
        </w:rPr>
        <w:t>PDX1</w:t>
      </w:r>
      <w:r w:rsidR="00242E26" w:rsidRPr="003B23AF">
        <w:rPr>
          <w:rFonts w:ascii="Arial" w:eastAsia="Calibri" w:hAnsi="Arial" w:cs="Arial"/>
          <w:sz w:val="20"/>
          <w:szCs w:val="20"/>
          <w:lang w:val="en-US" w:eastAsia="en-US"/>
        </w:rPr>
        <w:t xml:space="preserve">. By mass spectrometry-based genotyping, one heterozygous </w:t>
      </w:r>
      <w:r w:rsidR="00242E26" w:rsidRPr="00471C1D">
        <w:rPr>
          <w:rFonts w:ascii="Arial" w:eastAsia="Calibri" w:hAnsi="Arial" w:cs="Arial"/>
          <w:i/>
          <w:sz w:val="20"/>
          <w:szCs w:val="20"/>
          <w:lang w:val="en-US" w:eastAsia="en-US"/>
        </w:rPr>
        <w:t>PDX1</w:t>
      </w:r>
      <w:r w:rsidR="00242E26" w:rsidRPr="003B23AF">
        <w:rPr>
          <w:rFonts w:ascii="Arial" w:eastAsia="Calibri" w:hAnsi="Arial" w:cs="Arial"/>
          <w:sz w:val="20"/>
          <w:szCs w:val="20"/>
          <w:lang w:val="en-US" w:eastAsia="en-US"/>
        </w:rPr>
        <w:t xml:space="preserve"> P33T carrier could be identified and recruited for full-thickness skin biopsy.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From the biopsy material, the epidermal layer was separated from </w:t>
      </w:r>
      <w:r w:rsidR="00AB4889">
        <w:rPr>
          <w:rFonts w:ascii="Arial" w:eastAsia="Calibri" w:hAnsi="Arial" w:cs="Arial"/>
          <w:sz w:val="20"/>
          <w:szCs w:val="20"/>
          <w:lang w:val="en-US" w:eastAsia="en-US"/>
        </w:rPr>
        <w:t xml:space="preserve">the dermis by </w:t>
      </w:r>
      <w:proofErr w:type="spellStart"/>
      <w:r w:rsidR="00AB4889">
        <w:rPr>
          <w:rFonts w:ascii="Arial" w:eastAsia="Calibri" w:hAnsi="Arial" w:cs="Arial"/>
          <w:sz w:val="20"/>
          <w:szCs w:val="20"/>
          <w:lang w:val="en-US" w:eastAsia="en-US"/>
        </w:rPr>
        <w:t>dispase</w:t>
      </w:r>
      <w:proofErr w:type="spellEnd"/>
      <w:r w:rsidR="00AB4889">
        <w:rPr>
          <w:rFonts w:ascii="Arial" w:eastAsia="Calibri" w:hAnsi="Arial" w:cs="Arial"/>
          <w:sz w:val="20"/>
          <w:szCs w:val="20"/>
          <w:lang w:val="en-US" w:eastAsia="en-US"/>
        </w:rPr>
        <w:t xml:space="preserve"> digestion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and fibroblasts were isolated from the dermis by trypsin digestion using an established protocol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(see material and methods)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. The </w:t>
      </w:r>
      <w:r w:rsidR="00242E26" w:rsidRPr="00471C1D">
        <w:rPr>
          <w:rFonts w:ascii="Arial" w:eastAsia="Calibri" w:hAnsi="Arial" w:cs="Arial"/>
          <w:i/>
          <w:sz w:val="20"/>
          <w:szCs w:val="20"/>
          <w:lang w:val="en-US" w:eastAsia="en-US"/>
        </w:rPr>
        <w:t xml:space="preserve">PDX1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P33T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fibroblast</w:t>
      </w:r>
      <w:r w:rsidR="00AB4889">
        <w:rPr>
          <w:rFonts w:ascii="Arial" w:eastAsia="Calibri" w:hAnsi="Arial" w:cs="Arial"/>
          <w:sz w:val="20"/>
          <w:szCs w:val="20"/>
          <w:lang w:val="en-US" w:eastAsia="en-US"/>
        </w:rPr>
        <w:t>s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were expanded using commercially available growth media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and deep-frozen in liquid nitrogen. From this collection of dermal fibroblasts, samples were tested for the presence of viruses pathogenic to humans (</w:t>
      </w:r>
      <w:r w:rsidR="00242E26" w:rsidRPr="003B23AF">
        <w:rPr>
          <w:rFonts w:ascii="Arial" w:eastAsia="Calibri" w:hAnsi="Arial" w:cs="Arial"/>
          <w:sz w:val="20"/>
          <w:szCs w:val="20"/>
          <w:lang w:val="en-US" w:eastAsia="en-US"/>
        </w:rPr>
        <w:t xml:space="preserve">HBV, HCV, </w:t>
      </w:r>
      <w:proofErr w:type="gramStart"/>
      <w:r w:rsidR="00242E26" w:rsidRPr="003B23AF">
        <w:rPr>
          <w:rFonts w:ascii="Arial" w:eastAsia="Calibri" w:hAnsi="Arial" w:cs="Arial"/>
          <w:sz w:val="20"/>
          <w:szCs w:val="20"/>
          <w:lang w:val="en-US" w:eastAsia="en-US"/>
        </w:rPr>
        <w:t>HIV</w:t>
      </w:r>
      <w:proofErr w:type="gramEnd"/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) as well as for the presence of mycoplasma. All cultures were found to be negative for all of these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potential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contaminants. </w:t>
      </w:r>
      <w:r w:rsidR="00242E26" w:rsidRPr="00471C1D">
        <w:rPr>
          <w:rFonts w:ascii="Arial" w:eastAsia="Calibri" w:hAnsi="Arial" w:cs="Arial"/>
          <w:i/>
          <w:sz w:val="20"/>
          <w:szCs w:val="20"/>
          <w:lang w:val="en-US" w:eastAsia="en-US"/>
        </w:rPr>
        <w:t xml:space="preserve">PDX1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P33T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primary fibroblasts were reprogrammed into </w:t>
      </w:r>
      <w:proofErr w:type="spellStart"/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iPSCs</w:t>
      </w:r>
      <w:proofErr w:type="spellEnd"/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using </w:t>
      </w:r>
      <w:proofErr w:type="spellStart"/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nucleofection</w:t>
      </w:r>
      <w:proofErr w:type="spellEnd"/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with three </w:t>
      </w:r>
      <w:proofErr w:type="spellStart"/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episomal</w:t>
      </w:r>
      <w:proofErr w:type="spellEnd"/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plasmids encoding human </w:t>
      </w:r>
      <w:r w:rsidR="00242E26" w:rsidRPr="00CE71A7">
        <w:rPr>
          <w:rFonts w:ascii="Arial" w:eastAsia="Calibri" w:hAnsi="Arial" w:cs="Arial"/>
          <w:i/>
          <w:sz w:val="20"/>
          <w:szCs w:val="20"/>
          <w:lang w:val="en-US" w:eastAsia="en-US"/>
        </w:rPr>
        <w:t>OCT4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, </w:t>
      </w:r>
      <w:r w:rsidR="00242E26" w:rsidRPr="00CE71A7">
        <w:rPr>
          <w:rFonts w:ascii="Arial" w:eastAsia="Calibri" w:hAnsi="Arial" w:cs="Arial"/>
          <w:i/>
          <w:sz w:val="20"/>
          <w:szCs w:val="20"/>
          <w:lang w:val="en-US" w:eastAsia="en-US"/>
        </w:rPr>
        <w:t>SOX2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, </w:t>
      </w:r>
      <w:r w:rsidR="00242E26" w:rsidRPr="00CE71A7">
        <w:rPr>
          <w:rFonts w:ascii="Arial" w:eastAsia="Calibri" w:hAnsi="Arial" w:cs="Arial"/>
          <w:i/>
          <w:sz w:val="20"/>
          <w:szCs w:val="20"/>
          <w:lang w:val="en-US" w:eastAsia="en-US"/>
        </w:rPr>
        <w:t>NANOG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, </w:t>
      </w:r>
      <w:r w:rsidR="00242E26" w:rsidRPr="00CE71A7">
        <w:rPr>
          <w:rFonts w:ascii="Arial" w:eastAsia="Calibri" w:hAnsi="Arial" w:cs="Arial"/>
          <w:i/>
          <w:sz w:val="20"/>
          <w:szCs w:val="20"/>
          <w:lang w:val="en-US" w:eastAsia="en-US"/>
        </w:rPr>
        <w:t>LIN28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, </w:t>
      </w:r>
      <w:r w:rsidR="00242E26" w:rsidRPr="00CE71A7">
        <w:rPr>
          <w:rFonts w:ascii="Arial" w:eastAsia="Calibri" w:hAnsi="Arial" w:cs="Arial"/>
          <w:i/>
          <w:sz w:val="20"/>
          <w:szCs w:val="20"/>
          <w:lang w:val="en-US" w:eastAsia="en-US"/>
        </w:rPr>
        <w:t>KLF4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, and </w:t>
      </w:r>
      <w:r w:rsidR="00242E26" w:rsidRPr="00CE71A7">
        <w:rPr>
          <w:rFonts w:ascii="Arial" w:eastAsia="Calibri" w:hAnsi="Arial" w:cs="Arial"/>
          <w:i/>
          <w:sz w:val="20"/>
          <w:szCs w:val="20"/>
          <w:lang w:val="en-US" w:eastAsia="en-US"/>
        </w:rPr>
        <w:t>L-MYC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(Fig. 1B). T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he reprogramming protocol (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t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ransfection,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r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eprogramming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and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e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xpansion)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is shown in Fig. 1C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. 3 weeks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after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transfection, many colonies with h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uman embryonic stem cell (</w:t>
      </w:r>
      <w:proofErr w:type="spellStart"/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h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ESC</w:t>
      </w:r>
      <w:proofErr w:type="spellEnd"/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)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-like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morphology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appeared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that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we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re </w:t>
      </w:r>
      <w:proofErr w:type="spellStart"/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hand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picked</w:t>
      </w:r>
      <w:proofErr w:type="spellEnd"/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by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day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21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, expanded and frozen down as individual iPSC lines. The analysis of one of these iPSC lines confirmed that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242E26" w:rsidRPr="00CE71A7">
        <w:rPr>
          <w:rFonts w:ascii="Arial" w:eastAsia="Calibri" w:hAnsi="Arial" w:cs="Arial"/>
          <w:i/>
          <w:sz w:val="20"/>
          <w:szCs w:val="20"/>
          <w:lang w:val="en-US" w:eastAsia="en-US"/>
        </w:rPr>
        <w:t>PDX1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P33T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fibroblasts were successful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ly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reprogrammed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in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to </w:t>
      </w:r>
      <w:proofErr w:type="spellStart"/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iPSCs</w:t>
      </w:r>
      <w:proofErr w:type="spellEnd"/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with a normal karyotype 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(Fig.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1D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)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and contai</w:t>
      </w:r>
      <w:r w:rsidR="004912BF">
        <w:rPr>
          <w:rFonts w:ascii="Arial" w:eastAsia="Calibri" w:hAnsi="Arial" w:cs="Arial"/>
          <w:sz w:val="20"/>
          <w:szCs w:val="20"/>
          <w:lang w:val="en-US" w:eastAsia="en-US"/>
        </w:rPr>
        <w:t>ning the C&gt;A mutation causing a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4912BF">
        <w:rPr>
          <w:rFonts w:ascii="Arial" w:eastAsia="Calibri" w:hAnsi="Arial" w:cs="Arial"/>
          <w:sz w:val="20"/>
          <w:szCs w:val="20"/>
          <w:lang w:val="en-US" w:eastAsia="en-US"/>
        </w:rPr>
        <w:t xml:space="preserve">P33T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amino</w:t>
      </w:r>
      <w:r w:rsidR="00031787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acid exchange in the transactivation domain (Fig. 1A, 1E).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Integration of the exo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genous transgenes in the genome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of </w:t>
      </w:r>
      <w:proofErr w:type="spellStart"/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iPSCs</w:t>
      </w:r>
      <w:proofErr w:type="spellEnd"/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was excluded 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by semi-quantitative PCR (Fig.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1F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).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To confirm that this iPSC line was pluripotent</w:t>
      </w:r>
      <w:r w:rsidR="00B649C9">
        <w:rPr>
          <w:rFonts w:ascii="Arial" w:eastAsia="Calibri" w:hAnsi="Arial" w:cs="Arial"/>
          <w:sz w:val="20"/>
          <w:szCs w:val="20"/>
          <w:lang w:val="en-US" w:eastAsia="en-US"/>
        </w:rPr>
        <w:t>,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we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performed imm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u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n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ofluorescence staining for the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pluripotency transcription factors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OCT4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and 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SOX2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, as well as for the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proofErr w:type="spellStart"/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h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ESC</w:t>
      </w:r>
      <w:proofErr w:type="spellEnd"/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surface markers SSEA-3, SSEA-4 and TRA-1-81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, which were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all expressed in the </w:t>
      </w:r>
      <w:r w:rsidR="00242E26" w:rsidRPr="00CE71A7">
        <w:rPr>
          <w:rFonts w:ascii="Arial" w:eastAsia="Calibri" w:hAnsi="Arial" w:cs="Arial"/>
          <w:i/>
          <w:sz w:val="20"/>
          <w:szCs w:val="20"/>
          <w:lang w:val="en-US" w:eastAsia="en-US"/>
        </w:rPr>
        <w:t>PDX1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P33T 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iPSC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line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(Fig. 2A)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. To further demonstrate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pluripotency of the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selected iPSC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line we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injected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2x10</w:t>
      </w:r>
      <w:r w:rsidR="00242E26" w:rsidRPr="00CE71A7">
        <w:rPr>
          <w:rFonts w:ascii="Arial" w:eastAsia="Calibri" w:hAnsi="Arial" w:cs="Arial"/>
          <w:sz w:val="20"/>
          <w:szCs w:val="20"/>
          <w:vertAlign w:val="superscript"/>
          <w:lang w:val="en-US" w:eastAsia="en-US"/>
        </w:rPr>
        <w:t>6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AB4889">
        <w:rPr>
          <w:rFonts w:ascii="Arial" w:eastAsia="Calibri" w:hAnsi="Arial" w:cs="Arial"/>
          <w:sz w:val="20"/>
          <w:szCs w:val="20"/>
          <w:lang w:val="en-US" w:eastAsia="en-US"/>
        </w:rPr>
        <w:t xml:space="preserve">cells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subcutaneously 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into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NOD/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SCID mice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to generate </w:t>
      </w:r>
      <w:proofErr w:type="spellStart"/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teratomas</w:t>
      </w:r>
      <w:proofErr w:type="spellEnd"/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. The histological analysis of the induced </w:t>
      </w:r>
      <w:proofErr w:type="spellStart"/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teratomas</w:t>
      </w:r>
      <w:proofErr w:type="spellEnd"/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revealed that all tissues from all three germ </w:t>
      </w:r>
      <w:r w:rsidR="00AB4889">
        <w:rPr>
          <w:rFonts w:ascii="Arial" w:eastAsia="Calibri" w:hAnsi="Arial" w:cs="Arial"/>
          <w:sz w:val="20"/>
          <w:szCs w:val="20"/>
          <w:lang w:val="en-US" w:eastAsia="en-US"/>
        </w:rPr>
        <w:t>layers were differentiated confi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rming pluripotency in this </w:t>
      </w:r>
      <w:r w:rsidR="00242E26" w:rsidRPr="00CE71A7">
        <w:rPr>
          <w:rFonts w:ascii="Arial" w:eastAsia="Calibri" w:hAnsi="Arial" w:cs="Arial"/>
          <w:i/>
          <w:sz w:val="20"/>
          <w:szCs w:val="20"/>
          <w:lang w:val="en-US" w:eastAsia="en-US"/>
        </w:rPr>
        <w:t>in vivo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assay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(Fig.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2B).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Taken together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, we have successfully reprogrammed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242E26" w:rsidRPr="00CE71A7">
        <w:rPr>
          <w:rFonts w:ascii="Arial" w:eastAsia="Calibri" w:hAnsi="Arial" w:cs="Arial"/>
          <w:i/>
          <w:sz w:val="20"/>
          <w:szCs w:val="20"/>
          <w:lang w:val="en-US" w:eastAsia="en-US"/>
        </w:rPr>
        <w:t>PDX1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P33T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dermal 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fibroblasts into</w:t>
      </w:r>
      <w:r w:rsidR="00AB4889">
        <w:rPr>
          <w:rFonts w:ascii="Arial" w:eastAsia="Calibri" w:hAnsi="Arial" w:cs="Arial"/>
          <w:sz w:val="20"/>
          <w:szCs w:val="20"/>
          <w:lang w:val="en-US" w:eastAsia="en-US"/>
        </w:rPr>
        <w:t xml:space="preserve"> pluripotent</w:t>
      </w:r>
      <w:r w:rsidR="00AB4889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proofErr w:type="spellStart"/>
      <w:r w:rsidR="00AB4889" w:rsidRPr="008B7A25">
        <w:rPr>
          <w:rFonts w:ascii="Arial" w:eastAsia="Calibri" w:hAnsi="Arial" w:cs="Arial"/>
          <w:sz w:val="20"/>
          <w:szCs w:val="20"/>
          <w:lang w:val="en-US" w:eastAsia="en-US"/>
        </w:rPr>
        <w:t>iPS</w:t>
      </w:r>
      <w:r w:rsidR="00AB4889">
        <w:rPr>
          <w:rFonts w:ascii="Arial" w:eastAsia="Calibri" w:hAnsi="Arial" w:cs="Arial"/>
          <w:sz w:val="20"/>
          <w:szCs w:val="20"/>
          <w:lang w:val="en-US" w:eastAsia="en-US"/>
        </w:rPr>
        <w:t>Cs</w:t>
      </w:r>
      <w:proofErr w:type="spellEnd"/>
      <w:r w:rsidR="00AB4889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that</w:t>
      </w:r>
      <w:r w:rsidR="00AB4889">
        <w:rPr>
          <w:rFonts w:ascii="Arial" w:eastAsia="Calibri" w:hAnsi="Arial" w:cs="Arial"/>
          <w:sz w:val="20"/>
          <w:szCs w:val="20"/>
          <w:lang w:val="en-US" w:eastAsia="en-US"/>
        </w:rPr>
        <w:t xml:space="preserve"> can be used to study a point mutation in the transactivation domain of </w:t>
      </w:r>
      <w:r w:rsidR="00AB4889" w:rsidRPr="00F7537A">
        <w:rPr>
          <w:rFonts w:ascii="Arial" w:eastAsia="Calibri" w:hAnsi="Arial" w:cs="Arial"/>
          <w:sz w:val="20"/>
          <w:szCs w:val="20"/>
          <w:lang w:val="en-US" w:eastAsia="en-US"/>
        </w:rPr>
        <w:t>PDX1</w:t>
      </w:r>
      <w:r w:rsidR="00AB4889">
        <w:rPr>
          <w:rFonts w:ascii="Arial" w:eastAsia="Calibri" w:hAnsi="Arial" w:cs="Arial"/>
          <w:sz w:val="20"/>
          <w:szCs w:val="20"/>
          <w:lang w:val="en-US" w:eastAsia="en-US"/>
        </w:rPr>
        <w:t xml:space="preserve"> to study the development of diabetes</w:t>
      </w:r>
      <w:r w:rsidR="00AB4889" w:rsidRPr="008B7A25">
        <w:rPr>
          <w:rFonts w:ascii="Arial" w:eastAsia="Calibri" w:hAnsi="Arial" w:cs="Arial"/>
          <w:sz w:val="20"/>
          <w:szCs w:val="20"/>
          <w:lang w:val="en-US" w:eastAsia="en-US"/>
        </w:rPr>
        <w:t>.</w:t>
      </w:r>
    </w:p>
    <w:p w:rsidR="00242E26" w:rsidRPr="008B7A25" w:rsidRDefault="00242E26" w:rsidP="00242E26">
      <w:pPr>
        <w:spacing w:line="480" w:lineRule="auto"/>
        <w:jc w:val="both"/>
        <w:rPr>
          <w:rFonts w:ascii="Arial" w:eastAsia="Calibri" w:hAnsi="Arial" w:cs="Arial"/>
          <w:sz w:val="20"/>
          <w:szCs w:val="20"/>
          <w:lang w:val="en-US" w:eastAsia="en-US"/>
        </w:rPr>
      </w:pPr>
    </w:p>
    <w:p w:rsidR="00A6525B" w:rsidRDefault="00A6525B" w:rsidP="00242E26">
      <w:pPr>
        <w:spacing w:line="480" w:lineRule="auto"/>
        <w:jc w:val="both"/>
        <w:rPr>
          <w:rFonts w:ascii="Arial" w:eastAsia="Calibri" w:hAnsi="Arial" w:cs="Arial"/>
          <w:b/>
          <w:sz w:val="20"/>
          <w:szCs w:val="20"/>
          <w:lang w:val="en-US" w:eastAsia="en-US"/>
        </w:rPr>
      </w:pPr>
    </w:p>
    <w:p w:rsidR="00242E26" w:rsidRDefault="00035235" w:rsidP="00242E26">
      <w:pPr>
        <w:spacing w:line="480" w:lineRule="auto"/>
        <w:jc w:val="both"/>
        <w:rPr>
          <w:rFonts w:ascii="Arial" w:eastAsia="Calibri" w:hAnsi="Arial" w:cs="Arial"/>
          <w:b/>
          <w:sz w:val="20"/>
          <w:szCs w:val="20"/>
          <w:lang w:val="en-US" w:eastAsia="en-US"/>
        </w:rPr>
      </w:pPr>
      <w:r>
        <w:rPr>
          <w:rFonts w:ascii="Arial" w:eastAsia="Calibri" w:hAnsi="Arial" w:cs="Arial"/>
          <w:b/>
          <w:sz w:val="20"/>
          <w:szCs w:val="20"/>
          <w:lang w:val="en-US" w:eastAsia="en-US"/>
        </w:rPr>
        <w:lastRenderedPageBreak/>
        <w:t>3. Materials and methods</w:t>
      </w:r>
    </w:p>
    <w:p w:rsidR="00242E26" w:rsidRPr="00931729" w:rsidRDefault="00242E26" w:rsidP="00242E26">
      <w:pPr>
        <w:spacing w:line="480" w:lineRule="auto"/>
        <w:jc w:val="both"/>
        <w:rPr>
          <w:rFonts w:ascii="Arial" w:eastAsia="Calibri" w:hAnsi="Arial" w:cs="Arial"/>
          <w:b/>
          <w:sz w:val="20"/>
          <w:szCs w:val="20"/>
          <w:lang w:val="en-US" w:eastAsia="en-US"/>
        </w:rPr>
      </w:pPr>
      <w:r w:rsidRPr="00931729">
        <w:rPr>
          <w:rFonts w:ascii="Arial" w:eastAsia="Calibri" w:hAnsi="Arial" w:cs="Arial"/>
          <w:b/>
          <w:sz w:val="20"/>
          <w:szCs w:val="20"/>
          <w:lang w:val="en-US" w:eastAsia="en-US"/>
        </w:rPr>
        <w:t>Ethics statement</w:t>
      </w:r>
    </w:p>
    <w:p w:rsidR="00242E26" w:rsidRDefault="00242E26" w:rsidP="00242E26">
      <w:pPr>
        <w:spacing w:line="480" w:lineRule="auto"/>
        <w:jc w:val="both"/>
        <w:rPr>
          <w:rFonts w:ascii="Arial" w:eastAsia="Calibri" w:hAnsi="Arial" w:cs="Arial"/>
          <w:sz w:val="20"/>
          <w:szCs w:val="20"/>
          <w:lang w:val="en-US" w:eastAsia="en-US"/>
        </w:rPr>
      </w:pPr>
      <w:r w:rsidRPr="00676F00">
        <w:rPr>
          <w:rFonts w:ascii="Arial" w:eastAsia="Calibri" w:hAnsi="Arial" w:cs="Arial"/>
          <w:sz w:val="20"/>
          <w:szCs w:val="20"/>
          <w:lang w:val="en-US" w:eastAsia="en-US"/>
        </w:rPr>
        <w:t>The study adhered to the Declaration of Helsinki</w:t>
      </w:r>
      <w:r>
        <w:rPr>
          <w:rFonts w:ascii="Arial" w:eastAsia="Calibri" w:hAnsi="Arial" w:cs="Arial"/>
          <w:sz w:val="20"/>
          <w:szCs w:val="20"/>
          <w:lang w:val="en-US" w:eastAsia="en-US"/>
        </w:rPr>
        <w:t>.</w:t>
      </w:r>
      <w:r w:rsidRPr="00676F00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en-US" w:eastAsia="en-US"/>
        </w:rPr>
        <w:t>A</w:t>
      </w:r>
      <w:r w:rsidRPr="00676F00">
        <w:rPr>
          <w:rFonts w:ascii="Arial" w:eastAsia="Calibri" w:hAnsi="Arial" w:cs="Arial"/>
          <w:sz w:val="20"/>
          <w:szCs w:val="20"/>
          <w:lang w:val="en-US" w:eastAsia="en-US"/>
        </w:rPr>
        <w:t>ll participants gave informed written consent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, and the study </w:t>
      </w:r>
      <w:r w:rsidRPr="00676F00">
        <w:rPr>
          <w:rFonts w:ascii="Arial" w:eastAsia="Calibri" w:hAnsi="Arial" w:cs="Arial"/>
          <w:sz w:val="20"/>
          <w:szCs w:val="20"/>
          <w:lang w:val="en-US" w:eastAsia="en-US"/>
        </w:rPr>
        <w:t>protocol</w:t>
      </w:r>
      <w:r>
        <w:rPr>
          <w:rFonts w:ascii="Arial" w:eastAsia="Calibri" w:hAnsi="Arial" w:cs="Arial"/>
          <w:sz w:val="20"/>
          <w:szCs w:val="20"/>
          <w:lang w:val="en-US" w:eastAsia="en-US"/>
        </w:rPr>
        <w:t>s</w:t>
      </w:r>
      <w:r w:rsidRPr="00676F00">
        <w:rPr>
          <w:rFonts w:ascii="Arial" w:eastAsia="Calibri" w:hAnsi="Arial" w:cs="Arial"/>
          <w:sz w:val="20"/>
          <w:szCs w:val="20"/>
          <w:lang w:val="en-US" w:eastAsia="en-US"/>
        </w:rPr>
        <w:t xml:space="preserve"> w</w:t>
      </w:r>
      <w:r>
        <w:rPr>
          <w:rFonts w:ascii="Arial" w:eastAsia="Calibri" w:hAnsi="Arial" w:cs="Arial"/>
          <w:sz w:val="20"/>
          <w:szCs w:val="20"/>
          <w:lang w:val="en-US" w:eastAsia="en-US"/>
        </w:rPr>
        <w:t>ere</w:t>
      </w:r>
      <w:r w:rsidRPr="00676F00">
        <w:rPr>
          <w:rFonts w:ascii="Arial" w:eastAsia="Calibri" w:hAnsi="Arial" w:cs="Arial"/>
          <w:sz w:val="20"/>
          <w:szCs w:val="20"/>
          <w:lang w:val="en-US" w:eastAsia="en-US"/>
        </w:rPr>
        <w:t xml:space="preserve"> approved by the local ethics board (Ethics Committee of the Eberhard </w:t>
      </w:r>
      <w:proofErr w:type="spellStart"/>
      <w:r w:rsidRPr="00676F00">
        <w:rPr>
          <w:rFonts w:ascii="Arial" w:eastAsia="Calibri" w:hAnsi="Arial" w:cs="Arial"/>
          <w:sz w:val="20"/>
          <w:szCs w:val="20"/>
          <w:lang w:val="en-US" w:eastAsia="en-US"/>
        </w:rPr>
        <w:t>Karls</w:t>
      </w:r>
      <w:proofErr w:type="spellEnd"/>
      <w:r w:rsidRPr="00676F00">
        <w:rPr>
          <w:rFonts w:ascii="Arial" w:eastAsia="Calibri" w:hAnsi="Arial" w:cs="Arial"/>
          <w:sz w:val="20"/>
          <w:szCs w:val="20"/>
          <w:lang w:val="en-US" w:eastAsia="en-US"/>
        </w:rPr>
        <w:t xml:space="preserve"> University </w:t>
      </w:r>
      <w:proofErr w:type="spellStart"/>
      <w:r w:rsidRPr="00676F00">
        <w:rPr>
          <w:rFonts w:ascii="Arial" w:eastAsia="Calibri" w:hAnsi="Arial" w:cs="Arial"/>
          <w:sz w:val="20"/>
          <w:szCs w:val="20"/>
          <w:lang w:val="en-US" w:eastAsia="en-US"/>
        </w:rPr>
        <w:t>Tübingen</w:t>
      </w:r>
      <w:proofErr w:type="spellEnd"/>
      <w:r w:rsidRPr="00676F00">
        <w:rPr>
          <w:rFonts w:ascii="Arial" w:eastAsia="Calibri" w:hAnsi="Arial" w:cs="Arial"/>
          <w:sz w:val="20"/>
          <w:szCs w:val="20"/>
          <w:lang w:val="en-US" w:eastAsia="en-US"/>
        </w:rPr>
        <w:t>).</w:t>
      </w:r>
    </w:p>
    <w:p w:rsidR="00242E26" w:rsidRPr="00931729" w:rsidRDefault="00242E26" w:rsidP="00242E26">
      <w:pPr>
        <w:spacing w:line="480" w:lineRule="auto"/>
        <w:jc w:val="both"/>
        <w:rPr>
          <w:rFonts w:ascii="Arial" w:eastAsia="Calibri" w:hAnsi="Arial" w:cs="Arial"/>
          <w:b/>
          <w:sz w:val="20"/>
          <w:szCs w:val="20"/>
          <w:lang w:val="en-US" w:eastAsia="en-US"/>
        </w:rPr>
      </w:pPr>
      <w:r>
        <w:rPr>
          <w:rFonts w:ascii="Arial" w:eastAsia="Calibri" w:hAnsi="Arial" w:cs="Arial"/>
          <w:b/>
          <w:sz w:val="20"/>
          <w:szCs w:val="20"/>
          <w:lang w:val="en-US" w:eastAsia="en-US"/>
        </w:rPr>
        <w:t>Study p</w:t>
      </w:r>
      <w:r w:rsidRPr="00931729">
        <w:rPr>
          <w:rFonts w:ascii="Arial" w:eastAsia="Calibri" w:hAnsi="Arial" w:cs="Arial"/>
          <w:b/>
          <w:sz w:val="20"/>
          <w:szCs w:val="20"/>
          <w:lang w:val="en-US" w:eastAsia="en-US"/>
        </w:rPr>
        <w:t>articipants</w:t>
      </w:r>
    </w:p>
    <w:p w:rsidR="00242E26" w:rsidRDefault="00242E26" w:rsidP="00242E26">
      <w:pPr>
        <w:spacing w:line="480" w:lineRule="auto"/>
        <w:jc w:val="both"/>
        <w:rPr>
          <w:rFonts w:ascii="Arial" w:eastAsia="Calibri" w:hAnsi="Arial" w:cs="Arial"/>
          <w:sz w:val="20"/>
          <w:szCs w:val="20"/>
          <w:lang w:val="en-US" w:eastAsia="en-US"/>
        </w:rPr>
      </w:pPr>
      <w:r>
        <w:rPr>
          <w:rFonts w:ascii="Arial" w:eastAsia="Calibri" w:hAnsi="Arial" w:cs="Arial"/>
          <w:sz w:val="20"/>
          <w:szCs w:val="20"/>
          <w:lang w:val="en-US" w:eastAsia="en-US"/>
        </w:rPr>
        <w:t>The</w:t>
      </w:r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 xml:space="preserve"> ongoing TÜF </w:t>
      </w:r>
      <w:r>
        <w:rPr>
          <w:rFonts w:ascii="Arial" w:eastAsia="Calibri" w:hAnsi="Arial" w:cs="Arial"/>
          <w:sz w:val="20"/>
          <w:szCs w:val="20"/>
          <w:lang w:val="en-US" w:eastAsia="en-US"/>
        </w:rPr>
        <w:t>s</w:t>
      </w:r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>tudy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currently includes more than 3000</w:t>
      </w:r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 xml:space="preserve"> non-related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>individuals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at risk for type-2 diabetes mellitus (T2DM)</w:t>
      </w:r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 xml:space="preserve">, </w:t>
      </w:r>
      <w:r w:rsidRPr="009C4CAA">
        <w:rPr>
          <w:rFonts w:ascii="Arial" w:eastAsia="Calibri" w:hAnsi="Arial" w:cs="Arial" w:hint="eastAsia"/>
          <w:sz w:val="20"/>
          <w:szCs w:val="20"/>
          <w:lang w:val="en-US" w:eastAsia="en-US"/>
        </w:rPr>
        <w:t xml:space="preserve">i.e., 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healthy subjects with a </w:t>
      </w:r>
      <w:r w:rsidRPr="009C4CAA">
        <w:rPr>
          <w:rFonts w:ascii="Arial" w:eastAsia="Calibri" w:hAnsi="Arial" w:cs="Arial" w:hint="eastAsia"/>
          <w:sz w:val="20"/>
          <w:szCs w:val="20"/>
          <w:lang w:val="en-US" w:eastAsia="en-US"/>
        </w:rPr>
        <w:t xml:space="preserve">family history of </w:t>
      </w:r>
      <w:r>
        <w:rPr>
          <w:rFonts w:ascii="Arial" w:eastAsia="Calibri" w:hAnsi="Arial" w:cs="Arial"/>
          <w:sz w:val="20"/>
          <w:szCs w:val="20"/>
          <w:lang w:val="en-US" w:eastAsia="en-US"/>
        </w:rPr>
        <w:t>T2DM</w:t>
      </w:r>
      <w:r w:rsidRPr="009C4CAA">
        <w:rPr>
          <w:rFonts w:ascii="Arial" w:eastAsia="Calibri" w:hAnsi="Arial" w:cs="Arial" w:hint="eastAsia"/>
          <w:sz w:val="20"/>
          <w:szCs w:val="20"/>
          <w:lang w:val="en-US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en-US" w:eastAsia="en-US"/>
        </w:rPr>
        <w:t>a body mass index</w:t>
      </w:r>
      <w:r w:rsidRPr="009C4CAA">
        <w:rPr>
          <w:rFonts w:ascii="Arial" w:eastAsia="Calibri" w:hAnsi="Arial" w:cs="Arial" w:hint="eastAsia"/>
          <w:sz w:val="20"/>
          <w:szCs w:val="20"/>
          <w:lang w:val="en-US" w:eastAsia="en-US"/>
        </w:rPr>
        <w:t xml:space="preserve"> </w:t>
      </w:r>
      <w:r w:rsidRPr="009C4CAA">
        <w:rPr>
          <w:rFonts w:ascii="Arial" w:eastAsia="Calibri" w:hAnsi="Arial" w:cs="Arial" w:hint="eastAsia"/>
          <w:sz w:val="20"/>
          <w:szCs w:val="20"/>
          <w:lang w:val="en-US" w:eastAsia="en-US"/>
        </w:rPr>
        <w:t>≥</w:t>
      </w:r>
      <w:r w:rsidRPr="009C4CAA">
        <w:rPr>
          <w:rFonts w:ascii="Arial" w:eastAsia="Calibri" w:hAnsi="Arial" w:cs="Arial" w:hint="eastAsia"/>
          <w:sz w:val="20"/>
          <w:szCs w:val="20"/>
          <w:lang w:val="en-US" w:eastAsia="en-US"/>
        </w:rPr>
        <w:t>27 kg/m</w:t>
      </w:r>
      <w:r w:rsidRPr="00931729">
        <w:rPr>
          <w:rFonts w:ascii="Arial" w:eastAsia="Calibri" w:hAnsi="Arial" w:cs="Arial"/>
          <w:sz w:val="20"/>
          <w:szCs w:val="20"/>
          <w:vertAlign w:val="superscript"/>
          <w:lang w:val="en-US" w:eastAsia="en-US"/>
        </w:rPr>
        <w:t>2</w:t>
      </w:r>
      <w:r w:rsidRPr="009C4CAA">
        <w:rPr>
          <w:rFonts w:ascii="Arial" w:eastAsia="Calibri" w:hAnsi="Arial" w:cs="Arial" w:hint="eastAsia"/>
          <w:sz w:val="20"/>
          <w:szCs w:val="20"/>
          <w:lang w:val="en-US" w:eastAsia="en-US"/>
        </w:rPr>
        <w:t>, impaired fasting glycaemia, and/or previous gestational diabetes (</w:t>
      </w:r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 xml:space="preserve">Stefan N, </w:t>
      </w:r>
      <w:proofErr w:type="spellStart"/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>Machicao</w:t>
      </w:r>
      <w:proofErr w:type="spellEnd"/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 xml:space="preserve"> F, </w:t>
      </w:r>
      <w:proofErr w:type="spellStart"/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>Staiger</w:t>
      </w:r>
      <w:proofErr w:type="spellEnd"/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 xml:space="preserve"> H, </w:t>
      </w:r>
      <w:proofErr w:type="spellStart"/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>Machann</w:t>
      </w:r>
      <w:proofErr w:type="spellEnd"/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 xml:space="preserve"> J, Schick F, </w:t>
      </w:r>
      <w:proofErr w:type="spellStart"/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>Tschritter</w:t>
      </w:r>
      <w:proofErr w:type="spellEnd"/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 xml:space="preserve"> O, Spieth C, </w:t>
      </w:r>
      <w:proofErr w:type="spellStart"/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>Weigert</w:t>
      </w:r>
      <w:proofErr w:type="spellEnd"/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 xml:space="preserve"> C, Fritsche A, </w:t>
      </w:r>
      <w:proofErr w:type="spellStart"/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>Stumvoll</w:t>
      </w:r>
      <w:proofErr w:type="spellEnd"/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 xml:space="preserve"> M, H</w:t>
      </w:r>
      <w:r>
        <w:rPr>
          <w:rFonts w:ascii="Arial" w:eastAsia="Calibri" w:hAnsi="Arial" w:cs="Arial"/>
          <w:sz w:val="20"/>
          <w:szCs w:val="20"/>
          <w:lang w:val="en-US" w:eastAsia="en-US"/>
        </w:rPr>
        <w:t>ä</w:t>
      </w:r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>ring HU</w:t>
      </w:r>
      <w:r w:rsidR="004562AF">
        <w:rPr>
          <w:rFonts w:ascii="Arial" w:eastAsia="Calibri" w:hAnsi="Arial" w:cs="Arial"/>
          <w:sz w:val="20"/>
          <w:szCs w:val="20"/>
          <w:lang w:val="en-US" w:eastAsia="en-US"/>
        </w:rPr>
        <w:t>)</w:t>
      </w:r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 xml:space="preserve">. </w:t>
      </w:r>
      <w:r>
        <w:rPr>
          <w:rFonts w:ascii="Arial" w:eastAsia="Calibri" w:hAnsi="Arial" w:cs="Arial"/>
          <w:sz w:val="20"/>
          <w:szCs w:val="20"/>
          <w:lang w:val="en-US" w:eastAsia="en-US"/>
        </w:rPr>
        <w:t>From a</w:t>
      </w:r>
      <w:r w:rsidRPr="009C4CAA">
        <w:rPr>
          <w:rFonts w:ascii="Arial" w:eastAsia="Calibri" w:hAnsi="Arial" w:cs="Arial" w:hint="eastAsia"/>
          <w:sz w:val="20"/>
          <w:szCs w:val="20"/>
          <w:lang w:val="en-US" w:eastAsia="en-US"/>
        </w:rPr>
        <w:t xml:space="preserve">ll 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TÜF </w:t>
      </w:r>
      <w:r w:rsidRPr="009C4CAA">
        <w:rPr>
          <w:rFonts w:ascii="Arial" w:eastAsia="Calibri" w:hAnsi="Arial" w:cs="Arial" w:hint="eastAsia"/>
          <w:sz w:val="20"/>
          <w:szCs w:val="20"/>
          <w:lang w:val="en-US" w:eastAsia="en-US"/>
        </w:rPr>
        <w:t>participants</w:t>
      </w:r>
      <w:r>
        <w:rPr>
          <w:rFonts w:ascii="Arial" w:eastAsia="Calibri" w:hAnsi="Arial" w:cs="Arial"/>
          <w:sz w:val="20"/>
          <w:szCs w:val="20"/>
          <w:lang w:val="en-US" w:eastAsia="en-US"/>
        </w:rPr>
        <w:t>,</w:t>
      </w:r>
      <w:r w:rsidRPr="009C4CAA">
        <w:rPr>
          <w:rFonts w:ascii="Arial" w:eastAsia="Calibri" w:hAnsi="Arial" w:cs="Arial" w:hint="eastAsia"/>
          <w:sz w:val="20"/>
          <w:szCs w:val="20"/>
          <w:lang w:val="en-US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the </w:t>
      </w:r>
      <w:r w:rsidRPr="009C4CAA">
        <w:rPr>
          <w:rFonts w:ascii="Arial" w:eastAsia="Calibri" w:hAnsi="Arial" w:cs="Arial" w:hint="eastAsia"/>
          <w:sz w:val="20"/>
          <w:szCs w:val="20"/>
          <w:lang w:val="en-US" w:eastAsia="en-US"/>
        </w:rPr>
        <w:t xml:space="preserve">medical history, smoking status, and alcohol consumption </w:t>
      </w:r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>habits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were queried and documented. Furthermore</w:t>
      </w:r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all participants underwent </w:t>
      </w:r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>physical examination, routine blood tests, bioelectric impedance measurement</w:t>
      </w:r>
      <w:r>
        <w:rPr>
          <w:rFonts w:ascii="Arial" w:eastAsia="Calibri" w:hAnsi="Arial" w:cs="Arial"/>
          <w:sz w:val="20"/>
          <w:szCs w:val="20"/>
          <w:lang w:val="en-US" w:eastAsia="en-US"/>
        </w:rPr>
        <w:t>,</w:t>
      </w:r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 xml:space="preserve"> and 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5-point </w:t>
      </w:r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>oral glucose tolerance test</w:t>
      </w:r>
      <w:r>
        <w:rPr>
          <w:rFonts w:ascii="Arial" w:eastAsia="Calibri" w:hAnsi="Arial" w:cs="Arial"/>
          <w:sz w:val="20"/>
          <w:szCs w:val="20"/>
          <w:lang w:val="en-US" w:eastAsia="en-US"/>
        </w:rPr>
        <w:t>s (OGTTs) with insulin and glucose measurements</w:t>
      </w:r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 xml:space="preserve">. The </w:t>
      </w:r>
      <w:r>
        <w:rPr>
          <w:rFonts w:ascii="Arial" w:eastAsia="Calibri" w:hAnsi="Arial" w:cs="Arial"/>
          <w:sz w:val="20"/>
          <w:szCs w:val="20"/>
          <w:lang w:val="en-US" w:eastAsia="en-US"/>
        </w:rPr>
        <w:t>current</w:t>
      </w:r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 xml:space="preserve"> study population </w:t>
      </w:r>
      <w:r>
        <w:rPr>
          <w:rFonts w:ascii="Arial" w:eastAsia="Calibri" w:hAnsi="Arial" w:cs="Arial"/>
          <w:sz w:val="20"/>
          <w:szCs w:val="20"/>
          <w:lang w:val="en-US" w:eastAsia="en-US"/>
        </w:rPr>
        <w:t>comprised</w:t>
      </w:r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2500 </w:t>
      </w:r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 xml:space="preserve">individuals </w:t>
      </w:r>
      <w:r>
        <w:rPr>
          <w:rFonts w:ascii="Arial" w:eastAsia="Calibri" w:hAnsi="Arial" w:cs="Arial"/>
          <w:sz w:val="20"/>
          <w:szCs w:val="20"/>
          <w:lang w:val="en-US" w:eastAsia="en-US"/>
        </w:rPr>
        <w:t>who spent DNA for genotyping, were not on any</w:t>
      </w:r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 xml:space="preserve"> medication 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known to </w:t>
      </w:r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>influenc</w:t>
      </w:r>
      <w:r>
        <w:rPr>
          <w:rFonts w:ascii="Arial" w:eastAsia="Calibri" w:hAnsi="Arial" w:cs="Arial"/>
          <w:sz w:val="20"/>
          <w:szCs w:val="20"/>
          <w:lang w:val="en-US" w:eastAsia="en-US"/>
        </w:rPr>
        <w:t>e</w:t>
      </w:r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 xml:space="preserve"> glucose tolerance, insulin sensitivity, or insulin secretion</w:t>
      </w:r>
      <w:r>
        <w:rPr>
          <w:rFonts w:ascii="Arial" w:eastAsia="Calibri" w:hAnsi="Arial" w:cs="Arial"/>
          <w:sz w:val="20"/>
          <w:szCs w:val="20"/>
          <w:lang w:val="en-US" w:eastAsia="en-US"/>
        </w:rPr>
        <w:t>, and who had</w:t>
      </w:r>
      <w:r w:rsidRPr="009C4CAA">
        <w:rPr>
          <w:rFonts w:ascii="Arial" w:eastAsia="Calibri" w:hAnsi="Arial" w:cs="Arial"/>
          <w:sz w:val="20"/>
          <w:szCs w:val="20"/>
          <w:lang w:val="en-US" w:eastAsia="en-US"/>
        </w:rPr>
        <w:t xml:space="preserve"> complete OGTT data sets</w:t>
      </w:r>
      <w:r>
        <w:rPr>
          <w:rFonts w:ascii="Arial" w:eastAsia="Calibri" w:hAnsi="Arial" w:cs="Arial"/>
          <w:sz w:val="20"/>
          <w:szCs w:val="20"/>
          <w:lang w:val="en-US" w:eastAsia="en-US"/>
        </w:rPr>
        <w:t>.</w:t>
      </w:r>
    </w:p>
    <w:p w:rsidR="00B946D6" w:rsidRPr="00B946D6" w:rsidRDefault="001667E3" w:rsidP="00B946D6">
      <w:pPr>
        <w:spacing w:line="480" w:lineRule="auto"/>
        <w:jc w:val="both"/>
        <w:rPr>
          <w:rFonts w:ascii="Arial" w:eastAsia="Calibri" w:hAnsi="Arial" w:cs="Arial"/>
          <w:sz w:val="20"/>
          <w:szCs w:val="20"/>
          <w:lang w:val="en-US" w:eastAsia="en-US"/>
        </w:rPr>
      </w:pPr>
      <w:r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  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Using the </w:t>
      </w:r>
      <w:r w:rsidR="00242E26" w:rsidRPr="008063DF">
        <w:rPr>
          <w:rFonts w:ascii="Arial" w:eastAsia="Calibri" w:hAnsi="Arial" w:cs="Arial"/>
          <w:sz w:val="20"/>
          <w:szCs w:val="20"/>
          <w:lang w:val="en-US" w:eastAsia="en-US"/>
        </w:rPr>
        <w:t>mass spectrometry-based genotyping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platform </w:t>
      </w:r>
      <w:proofErr w:type="spellStart"/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massARRAY</w:t>
      </w:r>
      <w:proofErr w:type="spellEnd"/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from </w:t>
      </w:r>
      <w:proofErr w:type="spellStart"/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Sequenom</w:t>
      </w:r>
      <w:proofErr w:type="spellEnd"/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(Hamburg, Germany) and the </w:t>
      </w:r>
      <w:r w:rsidR="00242E26" w:rsidRPr="00757712">
        <w:rPr>
          <w:rFonts w:ascii="Arial" w:eastAsia="Calibri" w:hAnsi="Arial" w:cs="Arial"/>
          <w:sz w:val="20"/>
          <w:szCs w:val="20"/>
          <w:lang w:val="en-US" w:eastAsia="en-US"/>
        </w:rPr>
        <w:t xml:space="preserve">manufacturer’s </w:t>
      </w:r>
      <w:proofErr w:type="spellStart"/>
      <w:r w:rsidR="00242E26" w:rsidRPr="00757712">
        <w:rPr>
          <w:rFonts w:ascii="Arial" w:eastAsia="Calibri" w:hAnsi="Arial" w:cs="Arial"/>
          <w:sz w:val="20"/>
          <w:szCs w:val="20"/>
          <w:lang w:val="en-US" w:eastAsia="en-US"/>
        </w:rPr>
        <w:t>iPLEX</w:t>
      </w:r>
      <w:proofErr w:type="spellEnd"/>
      <w:r w:rsidR="00242E26" w:rsidRPr="00757712">
        <w:rPr>
          <w:rFonts w:ascii="Arial" w:eastAsia="Calibri" w:hAnsi="Arial" w:cs="Arial"/>
          <w:sz w:val="20"/>
          <w:szCs w:val="20"/>
          <w:lang w:val="en-US" w:eastAsia="en-US"/>
        </w:rPr>
        <w:t xml:space="preserve"> software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,</w:t>
      </w:r>
      <w:r w:rsidR="00242E26" w:rsidRPr="00757712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the 2500 subjects were</w:t>
      </w:r>
      <w:r w:rsidR="00242E26" w:rsidRPr="008063DF">
        <w:rPr>
          <w:rFonts w:ascii="Arial" w:eastAsia="Calibri" w:hAnsi="Arial" w:cs="Arial"/>
          <w:sz w:val="20"/>
          <w:szCs w:val="20"/>
          <w:lang w:val="en-US" w:eastAsia="en-US"/>
        </w:rPr>
        <w:t xml:space="preserve"> screened for known rare mutations in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maturity onset of diabetes (</w:t>
      </w:r>
      <w:r w:rsidR="00242E26" w:rsidRPr="008063DF">
        <w:rPr>
          <w:rFonts w:ascii="Arial" w:eastAsia="Calibri" w:hAnsi="Arial" w:cs="Arial"/>
          <w:sz w:val="20"/>
          <w:szCs w:val="20"/>
          <w:lang w:val="en-US" w:eastAsia="en-US"/>
        </w:rPr>
        <w:t>MODY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)</w:t>
      </w:r>
      <w:r w:rsidR="00242E26" w:rsidRPr="008063DF">
        <w:rPr>
          <w:rFonts w:ascii="Arial" w:eastAsia="Calibri" w:hAnsi="Arial" w:cs="Arial"/>
          <w:sz w:val="20"/>
          <w:szCs w:val="20"/>
          <w:lang w:val="en-US" w:eastAsia="en-US"/>
        </w:rPr>
        <w:t xml:space="preserve"> genes that were described in the literature to co-segregate with MODY phenotypes in families.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W</w:t>
      </w:r>
      <w:r w:rsidR="00242E26" w:rsidRPr="008063DF">
        <w:rPr>
          <w:rFonts w:ascii="Arial" w:eastAsia="Calibri" w:hAnsi="Arial" w:cs="Arial"/>
          <w:sz w:val="20"/>
          <w:szCs w:val="20"/>
          <w:lang w:val="en-US" w:eastAsia="en-US"/>
        </w:rPr>
        <w:t xml:space="preserve">e identified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seven individuals with heterozygous mutations in </w:t>
      </w:r>
      <w:r w:rsidR="00242E26" w:rsidRPr="008606F8">
        <w:rPr>
          <w:rFonts w:ascii="Arial" w:eastAsia="Calibri" w:hAnsi="Arial" w:cs="Arial"/>
          <w:i/>
          <w:sz w:val="20"/>
          <w:szCs w:val="20"/>
          <w:lang w:val="en-US" w:eastAsia="en-US"/>
        </w:rPr>
        <w:t>PDX1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(MODY4)</w:t>
      </w:r>
      <w:r w:rsidR="00A6525B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A6525B">
        <w:rPr>
          <w:rFonts w:ascii="Arial" w:eastAsia="Calibri" w:hAnsi="Arial" w:cs="Arial"/>
          <w:sz w:val="20"/>
          <w:szCs w:val="20"/>
          <w:lang w:val="en-US" w:eastAsia="en-US"/>
        </w:rPr>
        <w:fldChar w:fldCharType="begin"/>
      </w:r>
      <w:r w:rsidR="00A6525B">
        <w:rPr>
          <w:rFonts w:ascii="Arial" w:eastAsia="Calibri" w:hAnsi="Arial" w:cs="Arial"/>
          <w:sz w:val="20"/>
          <w:szCs w:val="20"/>
          <w:lang w:val="en-US" w:eastAsia="en-US"/>
        </w:rPr>
        <w:instrText xml:space="preserve"> ADDIN EN.CITE &lt;EndNote&gt;&lt;Cite&gt;&lt;Author&gt;McKinnon&lt;/Author&gt;&lt;Year&gt;2001&lt;/Year&gt;&lt;RecNum&gt;4541&lt;/RecNum&gt;&lt;DisplayText&gt;(McKinnon and Docherty, 2001)&lt;/DisplayText&gt;&lt;record&gt;&lt;rec-number&gt;4541&lt;/rec-number&gt;&lt;foreign-keys&gt;&lt;key app="EN" db-id="50wxdpzd9vd5r7e9t5b595djrfpttrxw9avp" timestamp="1469718226"&gt;4541&lt;/key&gt;&lt;/foreign-keys&gt;&lt;ref-type name="Journal Article"&gt;17&lt;/ref-type&gt;&lt;contributors&gt;&lt;authors&gt;&lt;author&gt;McKinnon, C. M.&lt;/author&gt;&lt;author&gt;Docherty, K.&lt;/author&gt;&lt;/authors&gt;&lt;/contributors&gt;&lt;auth-address&gt;Department of Molecular and Cell Biology, University of Aberdeen, Institute of Medical Sciences, Foresterhill, Aberdeen, UK.&lt;/auth-address&gt;&lt;titles&gt;&lt;title&gt;Pancreatic duodenal homeobox-1, PDX-1, a major regulator of beta cell identity and function&lt;/title&gt;&lt;secondary-title&gt;Diabetologia&lt;/secondary-title&gt;&lt;alt-title&gt;Diabetologia&lt;/alt-title&gt;&lt;/titles&gt;&lt;periodical&gt;&lt;full-title&gt;Diabetologia&lt;/full-title&gt;&lt;abbr-1&gt;Diabetologia&lt;/abbr-1&gt;&lt;/periodical&gt;&lt;alt-periodical&gt;&lt;full-title&gt;Diabetologia&lt;/full-title&gt;&lt;abbr-1&gt;Diabetologia&lt;/abbr-1&gt;&lt;/alt-periodical&gt;&lt;pages&gt;1203-14&lt;/pages&gt;&lt;volume&gt;44&lt;/volume&gt;&lt;number&gt;10&lt;/number&gt;&lt;keywords&gt;&lt;keyword&gt;Animals&lt;/keyword&gt;&lt;keyword&gt;Cell Differentiation&lt;/keyword&gt;&lt;keyword&gt;Cell Division&lt;/keyword&gt;&lt;keyword&gt;Diabetes Mellitus, Type 2/genetics&lt;/keyword&gt;&lt;keyword&gt;Gene Expression Regulation&lt;/keyword&gt;&lt;keyword&gt;Glucose Intolerance/genetics&lt;/keyword&gt;&lt;keyword&gt;Heterozygote&lt;/keyword&gt;&lt;keyword&gt;Homeodomain Proteins/genetics/physiology&lt;/keyword&gt;&lt;keyword&gt;Homozygote&lt;/keyword&gt;&lt;keyword&gt;Humans&lt;/keyword&gt;&lt;keyword&gt;Islets of Langerhans/pathology/physiology&lt;/keyword&gt;&lt;keyword&gt;Mutation&lt;/keyword&gt;&lt;keyword&gt;Pancreas/embryology/growth &amp;amp; development&lt;/keyword&gt;&lt;keyword&gt;Trans-Activators/analysis/chemistry/genetics/*physiology&lt;/keyword&gt;&lt;/keywords&gt;&lt;dates&gt;&lt;year&gt;2001&lt;/year&gt;&lt;pub-dates&gt;&lt;date&gt;Oct&lt;/date&gt;&lt;/pub-dates&gt;&lt;/dates&gt;&lt;isbn&gt;0012-186X (Print)&amp;#xD;0012-186X (Linking)&lt;/isbn&gt;&lt;accession-num&gt;11692168&lt;/accession-num&gt;&lt;urls&gt;&lt;related-urls&gt;&lt;url&gt;http://www.ncbi.nlm.nih.gov/pubmed/11692168&lt;/url&gt;&lt;/related-urls&gt;&lt;/urls&gt;&lt;electronic-resource-num&gt;10.1007/s001250100628&lt;/electronic-resource-num&gt;&lt;/record&gt;&lt;/Cite&gt;&lt;/EndNote&gt;</w:instrText>
      </w:r>
      <w:r w:rsidR="00A6525B">
        <w:rPr>
          <w:rFonts w:ascii="Arial" w:eastAsia="Calibri" w:hAnsi="Arial" w:cs="Arial"/>
          <w:sz w:val="20"/>
          <w:szCs w:val="20"/>
          <w:lang w:val="en-US" w:eastAsia="en-US"/>
        </w:rPr>
        <w:fldChar w:fldCharType="separate"/>
      </w:r>
      <w:r w:rsidR="00A6525B">
        <w:rPr>
          <w:rFonts w:ascii="Arial" w:eastAsia="Calibri" w:hAnsi="Arial" w:cs="Arial"/>
          <w:noProof/>
          <w:sz w:val="20"/>
          <w:szCs w:val="20"/>
          <w:lang w:val="en-US" w:eastAsia="en-US"/>
        </w:rPr>
        <w:t>(McKinnon and Docherty, 2001)</w:t>
      </w:r>
      <w:r w:rsidR="00A6525B">
        <w:rPr>
          <w:rFonts w:ascii="Arial" w:eastAsia="Calibri" w:hAnsi="Arial" w:cs="Arial"/>
          <w:sz w:val="20"/>
          <w:szCs w:val="20"/>
          <w:lang w:val="en-US" w:eastAsia="en-US"/>
        </w:rPr>
        <w:fldChar w:fldCharType="end"/>
      </w:r>
      <w:r w:rsidR="00242E26" w:rsidRPr="008063DF">
        <w:rPr>
          <w:rFonts w:ascii="Arial" w:eastAsia="Calibri" w:hAnsi="Arial" w:cs="Arial"/>
          <w:sz w:val="20"/>
          <w:szCs w:val="20"/>
          <w:lang w:val="en-US" w:eastAsia="en-US"/>
        </w:rPr>
        <w:t xml:space="preserve">. </w:t>
      </w:r>
      <w:r w:rsidR="00B946D6" w:rsidRPr="00B946D6">
        <w:rPr>
          <w:rFonts w:ascii="Arial" w:eastAsia="Calibri" w:hAnsi="Arial" w:cs="Arial"/>
          <w:sz w:val="20"/>
          <w:szCs w:val="20"/>
          <w:lang w:val="en-US" w:eastAsia="en-US"/>
        </w:rPr>
        <w:t xml:space="preserve">We identified seven individuals with heterozygous mutations in </w:t>
      </w:r>
      <w:r w:rsidR="00B946D6" w:rsidRPr="00471C1D">
        <w:rPr>
          <w:rFonts w:ascii="Arial" w:eastAsia="Calibri" w:hAnsi="Arial" w:cs="Arial"/>
          <w:i/>
          <w:sz w:val="20"/>
          <w:szCs w:val="20"/>
          <w:lang w:val="en-US" w:eastAsia="en-US"/>
        </w:rPr>
        <w:t xml:space="preserve">PDX1 </w:t>
      </w:r>
      <w:r w:rsidR="00B946D6" w:rsidRPr="00B946D6">
        <w:rPr>
          <w:rFonts w:ascii="Arial" w:eastAsia="Calibri" w:hAnsi="Arial" w:cs="Arial"/>
          <w:sz w:val="20"/>
          <w:szCs w:val="20"/>
          <w:lang w:val="en-US" w:eastAsia="en-US"/>
        </w:rPr>
        <w:t xml:space="preserve">(MODY4). From these cases, one glucose-tolerant female </w:t>
      </w:r>
      <w:r w:rsidR="00B946D6" w:rsidRPr="00471C1D">
        <w:rPr>
          <w:rFonts w:ascii="Arial" w:eastAsia="Calibri" w:hAnsi="Arial" w:cs="Arial"/>
          <w:i/>
          <w:sz w:val="20"/>
          <w:szCs w:val="20"/>
          <w:lang w:val="en-US" w:eastAsia="en-US"/>
        </w:rPr>
        <w:t>PDX1</w:t>
      </w:r>
      <w:r w:rsidR="00B946D6" w:rsidRPr="00B946D6">
        <w:rPr>
          <w:rFonts w:ascii="Arial" w:eastAsia="Calibri" w:hAnsi="Arial" w:cs="Arial"/>
          <w:sz w:val="20"/>
          <w:szCs w:val="20"/>
          <w:lang w:val="en-US" w:eastAsia="en-US"/>
        </w:rPr>
        <w:t xml:space="preserve"> Pro33Thr (P33T) carrier (aged 40 years; BMI 23.0 kg/m²) could be recruited </w:t>
      </w:r>
      <w:r w:rsidR="00BA3505">
        <w:rPr>
          <w:rFonts w:ascii="Arial" w:eastAsia="Calibri" w:hAnsi="Arial" w:cs="Arial"/>
          <w:sz w:val="20"/>
          <w:szCs w:val="20"/>
          <w:lang w:val="en-US" w:eastAsia="en-US"/>
        </w:rPr>
        <w:t>for full-thickness skin biopsy.</w:t>
      </w:r>
    </w:p>
    <w:p w:rsidR="00242E26" w:rsidRPr="00931729" w:rsidRDefault="00242E26" w:rsidP="00242E26">
      <w:pPr>
        <w:spacing w:line="480" w:lineRule="auto"/>
        <w:jc w:val="both"/>
        <w:rPr>
          <w:rFonts w:ascii="Arial" w:eastAsia="Calibri" w:hAnsi="Arial" w:cs="Arial"/>
          <w:b/>
          <w:sz w:val="20"/>
          <w:szCs w:val="20"/>
          <w:lang w:val="en-US" w:eastAsia="en-US"/>
        </w:rPr>
      </w:pPr>
      <w:r w:rsidRPr="00DA24CC">
        <w:rPr>
          <w:rFonts w:ascii="Arial" w:eastAsia="Calibri" w:hAnsi="Arial" w:cs="Arial"/>
          <w:b/>
          <w:sz w:val="20"/>
          <w:szCs w:val="20"/>
          <w:lang w:val="en-US" w:eastAsia="en-US"/>
        </w:rPr>
        <w:t>Skin biopsy</w:t>
      </w:r>
      <w:r>
        <w:rPr>
          <w:rFonts w:ascii="Arial" w:eastAsia="Calibri" w:hAnsi="Arial" w:cs="Arial"/>
          <w:b/>
          <w:sz w:val="20"/>
          <w:szCs w:val="20"/>
          <w:lang w:val="en-US" w:eastAsia="en-US"/>
        </w:rPr>
        <w:t>,</w:t>
      </w:r>
      <w:r w:rsidRPr="00931729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isolation </w:t>
      </w:r>
      <w:r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and testing </w:t>
      </w:r>
      <w:r w:rsidRPr="00931729">
        <w:rPr>
          <w:rFonts w:ascii="Arial" w:eastAsia="Calibri" w:hAnsi="Arial" w:cs="Arial"/>
          <w:b/>
          <w:sz w:val="20"/>
          <w:szCs w:val="20"/>
          <w:lang w:val="en-US" w:eastAsia="en-US"/>
        </w:rPr>
        <w:t>of dermal fibroblasts</w:t>
      </w:r>
    </w:p>
    <w:p w:rsidR="00242E26" w:rsidRPr="008B7A25" w:rsidRDefault="00242E26" w:rsidP="00242E26">
      <w:pPr>
        <w:spacing w:line="480" w:lineRule="auto"/>
        <w:jc w:val="both"/>
        <w:rPr>
          <w:rFonts w:ascii="Arial" w:eastAsia="Calibri" w:hAnsi="Arial" w:cs="Arial"/>
          <w:b/>
          <w:sz w:val="20"/>
          <w:szCs w:val="20"/>
          <w:lang w:val="en-US" w:eastAsia="en-US"/>
        </w:rPr>
      </w:pP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A full-thickness skin specimen was taken by punch </w:t>
      </w:r>
      <w:proofErr w:type="spellStart"/>
      <w:r>
        <w:rPr>
          <w:rFonts w:ascii="Arial" w:eastAsia="Calibri" w:hAnsi="Arial" w:cs="Arial"/>
          <w:sz w:val="20"/>
          <w:szCs w:val="20"/>
          <w:lang w:val="en-US" w:eastAsia="en-US"/>
        </w:rPr>
        <w:t>biobsy</w:t>
      </w:r>
      <w:proofErr w:type="spellEnd"/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from the upper arm in the deltoid muscle region. After removal of adipose tissue remnants and visible blood vessels, the sample was digested overnight at 4°C </w:t>
      </w:r>
      <w:proofErr w:type="gramStart"/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with 10 U/mL </w:t>
      </w:r>
      <w:proofErr w:type="spellStart"/>
      <w:r>
        <w:rPr>
          <w:rFonts w:ascii="Arial" w:eastAsia="Calibri" w:hAnsi="Arial" w:cs="Arial"/>
          <w:sz w:val="20"/>
          <w:szCs w:val="20"/>
          <w:lang w:val="en-US" w:eastAsia="en-US"/>
        </w:rPr>
        <w:t>dispase</w:t>
      </w:r>
      <w:proofErr w:type="spellEnd"/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II (Roche Diagnost</w:t>
      </w:r>
      <w:r w:rsidR="007A6DB3">
        <w:rPr>
          <w:rFonts w:ascii="Arial" w:eastAsia="Calibri" w:hAnsi="Arial" w:cs="Arial"/>
          <w:sz w:val="20"/>
          <w:szCs w:val="20"/>
          <w:lang w:val="en-US" w:eastAsia="en-US"/>
        </w:rPr>
        <w:t>ics, Mannheim, Germany)</w:t>
      </w:r>
      <w:proofErr w:type="gramEnd"/>
      <w:r w:rsidR="007A6DB3">
        <w:rPr>
          <w:rFonts w:ascii="Arial" w:eastAsia="Calibri" w:hAnsi="Arial" w:cs="Arial"/>
          <w:sz w:val="20"/>
          <w:szCs w:val="20"/>
          <w:lang w:val="en-US" w:eastAsia="en-US"/>
        </w:rPr>
        <w:t xml:space="preserve"> in 50 </w:t>
      </w:r>
      <w:proofErr w:type="spellStart"/>
      <w:r w:rsidR="007A6DB3">
        <w:rPr>
          <w:rFonts w:ascii="Arial" w:eastAsia="Calibri" w:hAnsi="Arial" w:cs="Arial"/>
          <w:sz w:val="20"/>
          <w:szCs w:val="20"/>
          <w:lang w:val="en-US" w:eastAsia="en-US"/>
        </w:rPr>
        <w:t>m</w:t>
      </w:r>
      <w:r w:rsidR="004912BF">
        <w:rPr>
          <w:rFonts w:ascii="Arial" w:eastAsia="Calibri" w:hAnsi="Arial" w:cs="Arial"/>
          <w:sz w:val="20"/>
          <w:szCs w:val="20"/>
          <w:lang w:val="en-US" w:eastAsia="en-US"/>
        </w:rPr>
        <w:t>M</w:t>
      </w:r>
      <w:proofErr w:type="spellEnd"/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  <w:lang w:val="en-US" w:eastAsia="en-US"/>
        </w:rPr>
        <w:t>Hepes</w:t>
      </w:r>
      <w:proofErr w:type="spellEnd"/>
      <w:r w:rsidRPr="00D6334F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4C45FC">
        <w:rPr>
          <w:rFonts w:ascii="Arial" w:eastAsia="Calibri" w:hAnsi="Arial" w:cs="Arial"/>
          <w:sz w:val="20"/>
          <w:szCs w:val="20"/>
          <w:lang w:val="en-US" w:eastAsia="en-US"/>
        </w:rPr>
        <w:lastRenderedPageBreak/>
        <w:t xml:space="preserve">pH 7.4, 150 </w:t>
      </w:r>
      <w:proofErr w:type="spellStart"/>
      <w:r w:rsidR="004C45FC">
        <w:rPr>
          <w:rFonts w:ascii="Arial" w:eastAsia="Calibri" w:hAnsi="Arial" w:cs="Arial"/>
          <w:sz w:val="20"/>
          <w:szCs w:val="20"/>
          <w:lang w:val="en-US" w:eastAsia="en-US"/>
        </w:rPr>
        <w:t>m</w:t>
      </w:r>
      <w:r w:rsidR="004912BF">
        <w:rPr>
          <w:rFonts w:ascii="Arial" w:eastAsia="Calibri" w:hAnsi="Arial" w:cs="Arial"/>
          <w:sz w:val="20"/>
          <w:szCs w:val="20"/>
          <w:lang w:val="en-US" w:eastAsia="en-US"/>
        </w:rPr>
        <w:t>M</w:t>
      </w:r>
      <w:proofErr w:type="spellEnd"/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  <w:lang w:val="en-US" w:eastAsia="en-US"/>
        </w:rPr>
        <w:t>NaCl</w:t>
      </w:r>
      <w:proofErr w:type="spellEnd"/>
      <w:r>
        <w:rPr>
          <w:rFonts w:ascii="Arial" w:eastAsia="Calibri" w:hAnsi="Arial" w:cs="Arial"/>
          <w:sz w:val="20"/>
          <w:szCs w:val="20"/>
          <w:lang w:val="en-US" w:eastAsia="en-US"/>
        </w:rPr>
        <w:t>. Thereafter, t</w:t>
      </w:r>
      <w:r w:rsidR="00AB4889">
        <w:rPr>
          <w:rFonts w:ascii="Arial" w:eastAsia="Calibri" w:hAnsi="Arial" w:cs="Arial"/>
          <w:sz w:val="20"/>
          <w:szCs w:val="20"/>
          <w:lang w:val="en-US" w:eastAsia="en-US"/>
        </w:rPr>
        <w:t>he digest was heated for 30 min at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37°C under continuous shaking (1200 rpm). Using forceps, the </w:t>
      </w:r>
      <w:r w:rsidRPr="005427E7">
        <w:rPr>
          <w:rFonts w:ascii="Arial" w:eastAsia="Calibri" w:hAnsi="Arial" w:cs="Arial"/>
          <w:sz w:val="20"/>
          <w:szCs w:val="20"/>
          <w:lang w:val="en-US" w:eastAsia="en-US"/>
        </w:rPr>
        <w:t>dermis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was separated from</w:t>
      </w:r>
      <w:r w:rsidRPr="005427E7">
        <w:rPr>
          <w:rFonts w:ascii="Arial" w:eastAsia="Calibri" w:hAnsi="Arial" w:cs="Arial"/>
          <w:sz w:val="20"/>
          <w:szCs w:val="20"/>
          <w:lang w:val="en-US" w:eastAsia="en-US"/>
        </w:rPr>
        <w:t xml:space="preserve"> the epidermal layer, and fibroblasts were isolated from the dermis by digestion</w:t>
      </w:r>
      <w:r w:rsidRPr="00E757CC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C21418">
        <w:rPr>
          <w:rFonts w:ascii="Arial" w:eastAsia="Calibri" w:hAnsi="Arial" w:cs="Arial"/>
          <w:sz w:val="20"/>
          <w:szCs w:val="20"/>
          <w:lang w:val="en-US" w:eastAsia="en-US"/>
        </w:rPr>
        <w:t>with 0.2</w:t>
      </w:r>
      <w:r>
        <w:rPr>
          <w:rFonts w:ascii="Arial" w:eastAsia="Calibri" w:hAnsi="Arial" w:cs="Arial"/>
          <w:sz w:val="20"/>
          <w:szCs w:val="20"/>
          <w:lang w:val="en-US" w:eastAsia="en-US"/>
        </w:rPr>
        <w:t>% collagenase CLS I (</w:t>
      </w:r>
      <w:proofErr w:type="spellStart"/>
      <w:r>
        <w:rPr>
          <w:rFonts w:ascii="Arial" w:eastAsia="Calibri" w:hAnsi="Arial" w:cs="Arial"/>
          <w:sz w:val="20"/>
          <w:szCs w:val="20"/>
          <w:lang w:val="en-US" w:eastAsia="en-US"/>
        </w:rPr>
        <w:t>Biochro</w:t>
      </w:r>
      <w:r w:rsidR="007A6DB3">
        <w:rPr>
          <w:rFonts w:ascii="Arial" w:eastAsia="Calibri" w:hAnsi="Arial" w:cs="Arial"/>
          <w:sz w:val="20"/>
          <w:szCs w:val="20"/>
          <w:lang w:val="en-US" w:eastAsia="en-US"/>
        </w:rPr>
        <w:t>m</w:t>
      </w:r>
      <w:proofErr w:type="spellEnd"/>
      <w:r w:rsidR="007A6DB3">
        <w:rPr>
          <w:rFonts w:ascii="Arial" w:eastAsia="Calibri" w:hAnsi="Arial" w:cs="Arial"/>
          <w:sz w:val="20"/>
          <w:szCs w:val="20"/>
          <w:lang w:val="en-US" w:eastAsia="en-US"/>
        </w:rPr>
        <w:t>, Berlin, Germany) in DMEM, 10</w:t>
      </w:r>
      <w:r w:rsidR="00AB4889">
        <w:rPr>
          <w:rFonts w:ascii="Arial" w:eastAsia="Calibri" w:hAnsi="Arial" w:cs="Arial"/>
          <w:sz w:val="20"/>
          <w:szCs w:val="20"/>
          <w:lang w:val="en-US" w:eastAsia="en-US"/>
        </w:rPr>
        <w:t>% BSA for 45 min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at 37°C under continuous shaking (1200 rpm)</w:t>
      </w:r>
      <w:r w:rsidRPr="005427E7">
        <w:rPr>
          <w:rFonts w:ascii="Arial" w:eastAsia="Calibri" w:hAnsi="Arial" w:cs="Arial"/>
          <w:sz w:val="20"/>
          <w:szCs w:val="20"/>
          <w:lang w:val="en-US" w:eastAsia="en-US"/>
        </w:rPr>
        <w:t xml:space="preserve">. </w:t>
      </w:r>
      <w:r>
        <w:rPr>
          <w:rFonts w:ascii="Arial" w:eastAsia="Calibri" w:hAnsi="Arial" w:cs="Arial"/>
          <w:sz w:val="20"/>
          <w:szCs w:val="20"/>
          <w:lang w:val="en-US" w:eastAsia="en-US"/>
        </w:rPr>
        <w:t>For purification of the fibroblasts, the d</w:t>
      </w:r>
      <w:r w:rsidR="004C45FC">
        <w:rPr>
          <w:rFonts w:ascii="Arial" w:eastAsia="Calibri" w:hAnsi="Arial" w:cs="Arial"/>
          <w:sz w:val="20"/>
          <w:szCs w:val="20"/>
          <w:lang w:val="en-US" w:eastAsia="en-US"/>
        </w:rPr>
        <w:t xml:space="preserve">igest was filtered through a 70 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µm mesh and centrifuged. </w:t>
      </w:r>
      <w:r w:rsidRPr="005427E7">
        <w:rPr>
          <w:rFonts w:ascii="Arial" w:eastAsia="Calibri" w:hAnsi="Arial" w:cs="Arial"/>
          <w:sz w:val="20"/>
          <w:szCs w:val="20"/>
          <w:lang w:val="en-US" w:eastAsia="en-US"/>
        </w:rPr>
        <w:t xml:space="preserve">The 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pelleted </w:t>
      </w:r>
      <w:r w:rsidRPr="005427E7">
        <w:rPr>
          <w:rFonts w:ascii="Arial" w:eastAsia="Calibri" w:hAnsi="Arial" w:cs="Arial"/>
          <w:sz w:val="20"/>
          <w:szCs w:val="20"/>
          <w:lang w:val="en-US" w:eastAsia="en-US"/>
        </w:rPr>
        <w:t xml:space="preserve">cells were </w:t>
      </w:r>
      <w:proofErr w:type="spellStart"/>
      <w:r>
        <w:rPr>
          <w:rFonts w:ascii="Arial" w:eastAsia="Calibri" w:hAnsi="Arial" w:cs="Arial"/>
          <w:sz w:val="20"/>
          <w:szCs w:val="20"/>
          <w:lang w:val="en-US" w:eastAsia="en-US"/>
        </w:rPr>
        <w:t>resuspended</w:t>
      </w:r>
      <w:proofErr w:type="spellEnd"/>
      <w:r>
        <w:rPr>
          <w:rFonts w:ascii="Arial" w:eastAsia="Calibri" w:hAnsi="Arial" w:cs="Arial"/>
          <w:sz w:val="20"/>
          <w:szCs w:val="20"/>
          <w:lang w:val="en-US" w:eastAsia="en-US"/>
        </w:rPr>
        <w:t>, g</w:t>
      </w:r>
      <w:r w:rsidR="007A6DB3">
        <w:rPr>
          <w:rFonts w:ascii="Arial" w:eastAsia="Calibri" w:hAnsi="Arial" w:cs="Arial"/>
          <w:sz w:val="20"/>
          <w:szCs w:val="20"/>
          <w:lang w:val="en-US" w:eastAsia="en-US"/>
        </w:rPr>
        <w:t>rown for three days in DMEM, 10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% FCS, and subsequently further </w:t>
      </w:r>
      <w:r w:rsidRPr="005427E7">
        <w:rPr>
          <w:rFonts w:ascii="Arial" w:eastAsia="Calibri" w:hAnsi="Arial" w:cs="Arial"/>
          <w:sz w:val="20"/>
          <w:szCs w:val="20"/>
          <w:lang w:val="en-US" w:eastAsia="en-US"/>
        </w:rPr>
        <w:t xml:space="preserve">expanded 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in Medium 106 supplemented with low serum growth supplement (Invitrogen, </w:t>
      </w:r>
      <w:proofErr w:type="spellStart"/>
      <w:r>
        <w:rPr>
          <w:rFonts w:ascii="Arial" w:eastAsia="Calibri" w:hAnsi="Arial" w:cs="Arial"/>
          <w:sz w:val="20"/>
          <w:szCs w:val="20"/>
          <w:lang w:val="en-US" w:eastAsia="en-US"/>
        </w:rPr>
        <w:t>Thermo</w:t>
      </w:r>
      <w:proofErr w:type="spellEnd"/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Fisher Scientific, </w:t>
      </w:r>
      <w:proofErr w:type="gramStart"/>
      <w:r w:rsidRPr="00973703">
        <w:rPr>
          <w:rFonts w:ascii="Arial" w:eastAsia="Calibri" w:hAnsi="Arial" w:cs="Arial"/>
          <w:sz w:val="20"/>
          <w:szCs w:val="20"/>
          <w:lang w:val="en-US" w:eastAsia="en-US"/>
        </w:rPr>
        <w:t>Waltham</w:t>
      </w:r>
      <w:proofErr w:type="gramEnd"/>
      <w:r w:rsidRPr="00973703">
        <w:rPr>
          <w:rFonts w:ascii="Arial" w:eastAsia="Calibri" w:hAnsi="Arial" w:cs="Arial"/>
          <w:sz w:val="20"/>
          <w:szCs w:val="20"/>
          <w:lang w:val="en-US" w:eastAsia="en-US"/>
        </w:rPr>
        <w:t>, MA</w:t>
      </w:r>
      <w:r>
        <w:rPr>
          <w:rFonts w:ascii="Arial" w:eastAsia="Calibri" w:hAnsi="Arial" w:cs="Arial"/>
          <w:sz w:val="20"/>
          <w:szCs w:val="20"/>
          <w:lang w:val="en-US" w:eastAsia="en-US"/>
        </w:rPr>
        <w:t>,</w:t>
      </w:r>
      <w:r w:rsidRPr="00973703">
        <w:rPr>
          <w:rFonts w:ascii="Arial" w:eastAsia="Calibri" w:hAnsi="Arial" w:cs="Arial"/>
          <w:sz w:val="20"/>
          <w:szCs w:val="20"/>
          <w:lang w:val="en-US" w:eastAsia="en-US"/>
        </w:rPr>
        <w:t xml:space="preserve"> USA</w:t>
      </w:r>
      <w:r>
        <w:rPr>
          <w:rFonts w:ascii="Arial" w:eastAsia="Calibri" w:hAnsi="Arial" w:cs="Arial"/>
          <w:sz w:val="20"/>
          <w:szCs w:val="20"/>
          <w:lang w:val="en-US" w:eastAsia="en-US"/>
        </w:rPr>
        <w:t>)</w:t>
      </w:r>
      <w:r w:rsidRPr="005427E7">
        <w:rPr>
          <w:rFonts w:ascii="Arial" w:eastAsia="Calibri" w:hAnsi="Arial" w:cs="Arial"/>
          <w:sz w:val="20"/>
          <w:szCs w:val="20"/>
          <w:lang w:val="en-US" w:eastAsia="en-US"/>
        </w:rPr>
        <w:t xml:space="preserve">. </w:t>
      </w:r>
      <w:r>
        <w:rPr>
          <w:rFonts w:ascii="Arial" w:eastAsia="Calibri" w:hAnsi="Arial" w:cs="Arial"/>
          <w:sz w:val="20"/>
          <w:szCs w:val="20"/>
          <w:lang w:val="en-US" w:eastAsia="en-US"/>
        </w:rPr>
        <w:t>S</w:t>
      </w:r>
      <w:r w:rsidRPr="005427E7">
        <w:rPr>
          <w:rFonts w:ascii="Arial" w:eastAsia="Calibri" w:hAnsi="Arial" w:cs="Arial"/>
          <w:sz w:val="20"/>
          <w:szCs w:val="20"/>
          <w:lang w:val="en-US" w:eastAsia="en-US"/>
        </w:rPr>
        <w:t xml:space="preserve">amples 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of dermal fibroblasts </w:t>
      </w:r>
      <w:r w:rsidRPr="005427E7">
        <w:rPr>
          <w:rFonts w:ascii="Arial" w:eastAsia="Calibri" w:hAnsi="Arial" w:cs="Arial"/>
          <w:sz w:val="20"/>
          <w:szCs w:val="20"/>
          <w:lang w:val="en-US" w:eastAsia="en-US"/>
        </w:rPr>
        <w:t>were tested for the presence of viruses pathogenic to humans</w:t>
      </w:r>
      <w:r>
        <w:rPr>
          <w:rFonts w:ascii="Arial" w:eastAsia="Calibri" w:hAnsi="Arial" w:cs="Arial"/>
          <w:sz w:val="20"/>
          <w:szCs w:val="20"/>
          <w:lang w:val="en-US" w:eastAsia="en-US"/>
        </w:rPr>
        <w:t>, i.e.,</w:t>
      </w:r>
      <w:r w:rsidRPr="005427E7">
        <w:rPr>
          <w:rFonts w:ascii="Arial" w:eastAsia="Calibri" w:hAnsi="Arial" w:cs="Arial"/>
          <w:sz w:val="20"/>
          <w:szCs w:val="20"/>
          <w:lang w:val="en-US" w:eastAsia="en-US"/>
        </w:rPr>
        <w:t xml:space="preserve"> HBV, HCV, 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and </w:t>
      </w:r>
      <w:r w:rsidRPr="005427E7">
        <w:rPr>
          <w:rFonts w:ascii="Arial" w:eastAsia="Calibri" w:hAnsi="Arial" w:cs="Arial"/>
          <w:sz w:val="20"/>
          <w:szCs w:val="20"/>
          <w:lang w:val="en-US" w:eastAsia="en-US"/>
        </w:rPr>
        <w:t>HIV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, with </w:t>
      </w:r>
      <w:proofErr w:type="spellStart"/>
      <w:r>
        <w:rPr>
          <w:rFonts w:ascii="Arial" w:eastAsia="Calibri" w:hAnsi="Arial" w:cs="Arial"/>
          <w:sz w:val="20"/>
          <w:szCs w:val="20"/>
          <w:lang w:val="en-US" w:eastAsia="en-US"/>
        </w:rPr>
        <w:t>Genesig</w:t>
      </w:r>
      <w:proofErr w:type="spellEnd"/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PCR-based detection kits from </w:t>
      </w:r>
      <w:proofErr w:type="spellStart"/>
      <w:r>
        <w:rPr>
          <w:rFonts w:ascii="Arial" w:eastAsia="Calibri" w:hAnsi="Arial" w:cs="Arial"/>
          <w:sz w:val="20"/>
          <w:szCs w:val="20"/>
          <w:lang w:val="en-US" w:eastAsia="en-US"/>
        </w:rPr>
        <w:t>Primerdesign</w:t>
      </w:r>
      <w:proofErr w:type="spellEnd"/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Ltd. (</w:t>
      </w:r>
      <w:r w:rsidRPr="004439D1">
        <w:rPr>
          <w:rFonts w:ascii="Arial" w:eastAsia="Calibri" w:hAnsi="Arial" w:cs="Arial"/>
          <w:sz w:val="20"/>
          <w:szCs w:val="20"/>
          <w:lang w:val="en-US" w:eastAsia="en-US"/>
        </w:rPr>
        <w:t>Chandler's Ford</w:t>
      </w:r>
      <w:r>
        <w:rPr>
          <w:rFonts w:ascii="Arial" w:eastAsia="Calibri" w:hAnsi="Arial" w:cs="Arial"/>
          <w:sz w:val="20"/>
          <w:szCs w:val="20"/>
          <w:lang w:val="en-US" w:eastAsia="en-US"/>
        </w:rPr>
        <w:t>, UK)</w:t>
      </w:r>
      <w:r w:rsidRPr="005427E7">
        <w:rPr>
          <w:rFonts w:ascii="Arial" w:eastAsia="Calibri" w:hAnsi="Arial" w:cs="Arial"/>
          <w:sz w:val="20"/>
          <w:szCs w:val="20"/>
          <w:lang w:val="en-US" w:eastAsia="en-US"/>
        </w:rPr>
        <w:t xml:space="preserve"> and for the presence of mycoplasm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a with a PCR test kit from </w:t>
      </w:r>
      <w:proofErr w:type="spellStart"/>
      <w:r>
        <w:rPr>
          <w:rFonts w:ascii="Arial" w:eastAsia="Calibri" w:hAnsi="Arial" w:cs="Arial"/>
          <w:sz w:val="20"/>
          <w:szCs w:val="20"/>
          <w:lang w:val="en-US" w:eastAsia="en-US"/>
        </w:rPr>
        <w:t>PanReac</w:t>
      </w:r>
      <w:proofErr w:type="spellEnd"/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AppliChem (Darmstadt, Germany) and, in parallel, by DNA staining with DAPI</w:t>
      </w:r>
      <w:r w:rsidRPr="005427E7">
        <w:rPr>
          <w:rFonts w:ascii="Arial" w:eastAsia="Calibri" w:hAnsi="Arial" w:cs="Arial"/>
          <w:sz w:val="20"/>
          <w:szCs w:val="20"/>
          <w:lang w:val="en-US" w:eastAsia="en-US"/>
        </w:rPr>
        <w:t>. All cultures were found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to be negative for the tested</w:t>
      </w:r>
      <w:r w:rsidRPr="005427E7">
        <w:rPr>
          <w:rFonts w:ascii="Arial" w:eastAsia="Calibri" w:hAnsi="Arial" w:cs="Arial"/>
          <w:sz w:val="20"/>
          <w:szCs w:val="20"/>
          <w:lang w:val="en-US" w:eastAsia="en-US"/>
        </w:rPr>
        <w:t xml:space="preserve"> contaminants</w:t>
      </w:r>
      <w:r w:rsidR="003B23AF">
        <w:rPr>
          <w:rFonts w:ascii="Arial" w:eastAsia="Calibri" w:hAnsi="Arial" w:cs="Arial"/>
          <w:sz w:val="20"/>
          <w:szCs w:val="20"/>
          <w:lang w:val="en-US" w:eastAsia="en-US"/>
        </w:rPr>
        <w:t>.</w:t>
      </w:r>
    </w:p>
    <w:p w:rsidR="00242E26" w:rsidRPr="008606F8" w:rsidRDefault="00242E26" w:rsidP="00242E26">
      <w:pPr>
        <w:spacing w:line="480" w:lineRule="auto"/>
        <w:rPr>
          <w:rFonts w:ascii="Arial" w:eastAsia="Calibri" w:hAnsi="Arial" w:cs="Arial"/>
          <w:b/>
          <w:sz w:val="20"/>
          <w:szCs w:val="20"/>
          <w:lang w:val="en-US" w:eastAsia="en-US"/>
        </w:rPr>
      </w:pPr>
      <w:proofErr w:type="gramStart"/>
      <w:r w:rsidRPr="008606F8">
        <w:rPr>
          <w:rFonts w:ascii="Arial" w:eastAsia="Calibri" w:hAnsi="Arial" w:cs="Arial"/>
          <w:b/>
          <w:sz w:val="20"/>
          <w:szCs w:val="20"/>
          <w:lang w:val="en-US" w:eastAsia="en-US"/>
        </w:rPr>
        <w:t>iPSC</w:t>
      </w:r>
      <w:proofErr w:type="gramEnd"/>
      <w:r w:rsidRPr="008606F8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generation</w:t>
      </w:r>
    </w:p>
    <w:p w:rsidR="00242E26" w:rsidRPr="008B7A25" w:rsidRDefault="00242E26" w:rsidP="00AB4889">
      <w:pPr>
        <w:spacing w:line="480" w:lineRule="auto"/>
        <w:jc w:val="both"/>
        <w:rPr>
          <w:rFonts w:ascii="Arial" w:eastAsia="Calibri" w:hAnsi="Arial" w:cs="Arial"/>
          <w:sz w:val="20"/>
          <w:szCs w:val="20"/>
          <w:lang w:val="en-US" w:eastAsia="en-US"/>
        </w:rPr>
      </w:pP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Primary fibroblasts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from patient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were </w:t>
      </w:r>
      <w:r>
        <w:rPr>
          <w:rFonts w:ascii="Arial" w:eastAsia="Calibri" w:hAnsi="Arial" w:cs="Arial"/>
          <w:sz w:val="20"/>
          <w:szCs w:val="20"/>
          <w:lang w:val="en-US" w:eastAsia="en-US"/>
        </w:rPr>
        <w:t>reprogrammed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into pluripotent stem cells by using a non-integrating </w:t>
      </w:r>
      <w:proofErr w:type="spellStart"/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Episomal</w:t>
      </w:r>
      <w:proofErr w:type="spellEnd"/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iPSC Reprogramming Kit (Invitrogen, Cat.no.A14703). This kit contains mixture of three vectors which has the </w:t>
      </w:r>
      <w:proofErr w:type="spellStart"/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oriP</w:t>
      </w:r>
      <w:proofErr w:type="spellEnd"/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/EBNA-1 (Epstein-Barr unclear antigen-1) backbone that delivers six reprogramming factors:</w:t>
      </w:r>
      <w:r w:rsidRPr="00541EB2">
        <w:rPr>
          <w:rFonts w:ascii="Arial" w:eastAsia="Calibri" w:hAnsi="Arial" w:cs="Arial"/>
          <w:i/>
          <w:sz w:val="20"/>
          <w:szCs w:val="20"/>
          <w:lang w:val="en-US" w:eastAsia="en-US"/>
        </w:rPr>
        <w:t xml:space="preserve"> </w:t>
      </w:r>
      <w:r w:rsidRPr="00CE71A7">
        <w:rPr>
          <w:rFonts w:ascii="Arial" w:eastAsia="Calibri" w:hAnsi="Arial" w:cs="Arial"/>
          <w:i/>
          <w:sz w:val="20"/>
          <w:szCs w:val="20"/>
          <w:lang w:val="en-US" w:eastAsia="en-US"/>
        </w:rPr>
        <w:t>OCT4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, </w:t>
      </w:r>
      <w:r w:rsidRPr="00CE71A7">
        <w:rPr>
          <w:rFonts w:ascii="Arial" w:eastAsia="Calibri" w:hAnsi="Arial" w:cs="Arial"/>
          <w:i/>
          <w:sz w:val="20"/>
          <w:szCs w:val="20"/>
          <w:lang w:val="en-US" w:eastAsia="en-US"/>
        </w:rPr>
        <w:t>SOX2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, </w:t>
      </w:r>
      <w:r w:rsidRPr="00CE71A7">
        <w:rPr>
          <w:rFonts w:ascii="Arial" w:eastAsia="Calibri" w:hAnsi="Arial" w:cs="Arial"/>
          <w:i/>
          <w:sz w:val="20"/>
          <w:szCs w:val="20"/>
          <w:lang w:val="en-US" w:eastAsia="en-US"/>
        </w:rPr>
        <w:t>NANOG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, </w:t>
      </w:r>
      <w:r w:rsidRPr="00CE71A7">
        <w:rPr>
          <w:rFonts w:ascii="Arial" w:eastAsia="Calibri" w:hAnsi="Arial" w:cs="Arial"/>
          <w:i/>
          <w:sz w:val="20"/>
          <w:szCs w:val="20"/>
          <w:lang w:val="en-US" w:eastAsia="en-US"/>
        </w:rPr>
        <w:t>LIN28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, </w:t>
      </w:r>
      <w:r w:rsidRPr="00CE71A7">
        <w:rPr>
          <w:rFonts w:ascii="Arial" w:eastAsia="Calibri" w:hAnsi="Arial" w:cs="Arial"/>
          <w:i/>
          <w:sz w:val="20"/>
          <w:szCs w:val="20"/>
          <w:lang w:val="en-US" w:eastAsia="en-US"/>
        </w:rPr>
        <w:t>KLF4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, and </w:t>
      </w:r>
      <w:r w:rsidRPr="00CE71A7">
        <w:rPr>
          <w:rFonts w:ascii="Arial" w:eastAsia="Calibri" w:hAnsi="Arial" w:cs="Arial"/>
          <w:i/>
          <w:sz w:val="20"/>
          <w:szCs w:val="20"/>
          <w:lang w:val="en-US" w:eastAsia="en-US"/>
        </w:rPr>
        <w:t>L-MYC</w:t>
      </w:r>
      <w:r w:rsidR="00A6525B">
        <w:rPr>
          <w:rFonts w:ascii="Arial" w:eastAsia="Calibri" w:hAnsi="Arial" w:cs="Arial"/>
          <w:i/>
          <w:sz w:val="20"/>
          <w:szCs w:val="20"/>
          <w:lang w:val="en-US" w:eastAsia="en-US"/>
        </w:rPr>
        <w:t xml:space="preserve"> </w:t>
      </w:r>
      <w:r w:rsidR="00A6525B">
        <w:rPr>
          <w:rFonts w:ascii="Arial" w:eastAsia="Calibri" w:hAnsi="Arial" w:cs="Arial"/>
          <w:i/>
          <w:sz w:val="20"/>
          <w:szCs w:val="20"/>
          <w:lang w:val="en-US" w:eastAsia="en-US"/>
        </w:rPr>
        <w:fldChar w:fldCharType="begin"/>
      </w:r>
      <w:r w:rsidR="00A6525B">
        <w:rPr>
          <w:rFonts w:ascii="Arial" w:eastAsia="Calibri" w:hAnsi="Arial" w:cs="Arial"/>
          <w:i/>
          <w:sz w:val="20"/>
          <w:szCs w:val="20"/>
          <w:lang w:val="en-US" w:eastAsia="en-US"/>
        </w:rPr>
        <w:instrText xml:space="preserve"> ADDIN EN.CITE &lt;EndNote&gt;&lt;Cite&gt;&lt;Author&gt;Yu&lt;/Author&gt;&lt;Year&gt;2011&lt;/Year&gt;&lt;RecNum&gt;4540&lt;/RecNum&gt;&lt;DisplayText&gt;(Yu et al., 2011)&lt;/DisplayText&gt;&lt;record&gt;&lt;rec-number&gt;4540&lt;/rec-number&gt;&lt;foreign-keys&gt;&lt;key app="EN" db-id="50wxdpzd9vd5r7e9t5b595djrfpttrxw9avp" timestamp="1469717792"&gt;4540&lt;/key&gt;&lt;/foreign-keys&gt;&lt;ref-type name="Journal Article"&gt;17&lt;/ref-type&gt;&lt;contributors&gt;&lt;authors&gt;&lt;author&gt;Yu, J.&lt;/author&gt;&lt;author&gt;Chau, K. F.&lt;/author&gt;&lt;author&gt;Vodyanik, M. A.&lt;/author&gt;&lt;author&gt;Jiang, J.&lt;/author&gt;&lt;author&gt;Jiang, Y.&lt;/author&gt;&lt;/authors&gt;&lt;/contributors&gt;&lt;auth-address&gt;Advanced Development Programs, Cellular Dynamics International, Inc., Madison, Wisconsin, United States of America. jyu@cellulardynamics.com&lt;/auth-address&gt;&lt;titles&gt;&lt;title&gt;Efficient feeder-free episomal reprogramming with small molecules&lt;/title&gt;&lt;secondary-title&gt;PLoS One&lt;/secondary-title&gt;&lt;alt-title&gt;PloS one&lt;/alt-title&gt;&lt;/titles&gt;&lt;periodical&gt;&lt;full-title&gt;PLoS ONE&lt;/full-title&gt;&lt;abbr-1&gt;PLoS One&lt;/abbr-1&gt;&lt;abbr-2&gt;PLoS One&lt;/abbr-2&gt;&lt;/periodical&gt;&lt;alt-periodical&gt;&lt;full-title&gt;PLoS ONE&lt;/full-title&gt;&lt;abbr-1&gt;PLoS One&lt;/abbr-1&gt;&lt;abbr-2&gt;PLoS One&lt;/abbr-2&gt;&lt;/alt-periodical&gt;&lt;pages&gt;e17557&lt;/pages&gt;&lt;volume&gt;6&lt;/volume&gt;&lt;number&gt;3&lt;/number&gt;&lt;keywords&gt;&lt;keyword&gt;Animals&lt;/keyword&gt;&lt;keyword&gt;Cell Culture Techniques/*methods&lt;/keyword&gt;&lt;keyword&gt;Cellular Reprogramming/drug effects/*genetics&lt;/keyword&gt;&lt;keyword&gt;Culture Media/pharmacology&lt;/keyword&gt;&lt;keyword&gt;Enzyme Inhibitors/*pharmacology&lt;/keyword&gt;&lt;keyword&gt;Genetic Vectors/genetics&lt;/keyword&gt;&lt;keyword&gt;Humans&lt;/keyword&gt;&lt;keyword&gt;Induced Pluripotent Stem Cells/drug effects/metabolism&lt;/keyword&gt;&lt;keyword&gt;Mice&lt;/keyword&gt;&lt;keyword&gt;Plasmids/drug effects/*genetics&lt;/keyword&gt;&lt;keyword&gt;Transgenes/genetics&lt;/keyword&gt;&lt;/keywords&gt;&lt;dates&gt;&lt;year&gt;2011&lt;/year&gt;&lt;/dates&gt;&lt;isbn&gt;1932-6203 (Electronic)&amp;#xD;1932-6203 (Linking)&lt;/isbn&gt;&lt;accession-num&gt;21390254&lt;/accession-num&gt;&lt;urls&gt;&lt;related-urls&gt;&lt;url&gt;http://www.ncbi.nlm.nih.gov/pubmed/21390254&lt;/url&gt;&lt;/related-urls&gt;&lt;/urls&gt;&lt;custom2&gt;3046978&lt;/custom2&gt;&lt;electronic-resource-num&gt;10.1371/journal.pone.0017557&lt;/electronic-resource-num&gt;&lt;/record&gt;&lt;/Cite&gt;&lt;/EndNote&gt;</w:instrText>
      </w:r>
      <w:r w:rsidR="00A6525B">
        <w:rPr>
          <w:rFonts w:ascii="Arial" w:eastAsia="Calibri" w:hAnsi="Arial" w:cs="Arial"/>
          <w:i/>
          <w:sz w:val="20"/>
          <w:szCs w:val="20"/>
          <w:lang w:val="en-US" w:eastAsia="en-US"/>
        </w:rPr>
        <w:fldChar w:fldCharType="separate"/>
      </w:r>
      <w:r w:rsidR="00A6525B">
        <w:rPr>
          <w:rFonts w:ascii="Arial" w:eastAsia="Calibri" w:hAnsi="Arial" w:cs="Arial"/>
          <w:i/>
          <w:noProof/>
          <w:sz w:val="20"/>
          <w:szCs w:val="20"/>
          <w:lang w:val="en-US" w:eastAsia="en-US"/>
        </w:rPr>
        <w:t>(Yu et al., 2011)</w:t>
      </w:r>
      <w:r w:rsidR="00A6525B">
        <w:rPr>
          <w:rFonts w:ascii="Arial" w:eastAsia="Calibri" w:hAnsi="Arial" w:cs="Arial"/>
          <w:i/>
          <w:sz w:val="20"/>
          <w:szCs w:val="20"/>
          <w:lang w:val="en-US" w:eastAsia="en-US"/>
        </w:rPr>
        <w:fldChar w:fldCharType="end"/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. Human fibroblasts at 75-90% confluent were transfected using the </w:t>
      </w:r>
      <w:proofErr w:type="spellStart"/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Amaxa</w:t>
      </w:r>
      <w:proofErr w:type="spellEnd"/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4D-Nucleofector </w:t>
      </w:r>
      <w:proofErr w:type="gramStart"/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transfection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system</w:t>
      </w:r>
      <w:proofErr w:type="gramEnd"/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and a </w:t>
      </w:r>
      <w:proofErr w:type="spellStart"/>
      <w:r>
        <w:rPr>
          <w:rFonts w:ascii="Arial" w:eastAsia="Calibri" w:hAnsi="Arial" w:cs="Arial"/>
          <w:sz w:val="20"/>
          <w:szCs w:val="20"/>
          <w:lang w:val="en-US" w:eastAsia="en-US"/>
        </w:rPr>
        <w:t>nucleofector</w:t>
      </w:r>
      <w:proofErr w:type="spellEnd"/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kit for human dermal fibroblast (</w:t>
      </w:r>
      <w:proofErr w:type="spellStart"/>
      <w:r>
        <w:rPr>
          <w:rFonts w:ascii="Arial" w:eastAsia="Calibri" w:hAnsi="Arial" w:cs="Arial"/>
          <w:sz w:val="20"/>
          <w:szCs w:val="20"/>
          <w:lang w:val="en-US" w:eastAsia="en-US"/>
        </w:rPr>
        <w:t>Lonza</w:t>
      </w:r>
      <w:proofErr w:type="spellEnd"/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,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Cat.no.</w:t>
      </w:r>
      <w:r w:rsidR="007A6DB3">
        <w:rPr>
          <w:rFonts w:ascii="Arial" w:eastAsia="Calibri" w:hAnsi="Arial" w:cs="Arial"/>
          <w:sz w:val="20"/>
          <w:szCs w:val="20"/>
          <w:lang w:val="en-US" w:eastAsia="en-US"/>
        </w:rPr>
        <w:t>VPD-1001)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, plated onto </w:t>
      </w:r>
      <w:proofErr w:type="spellStart"/>
      <w:r>
        <w:rPr>
          <w:rFonts w:ascii="Arial" w:eastAsia="Calibri" w:hAnsi="Arial" w:cs="Arial"/>
          <w:sz w:val="20"/>
          <w:szCs w:val="20"/>
          <w:lang w:val="en-US" w:eastAsia="en-US"/>
        </w:rPr>
        <w:t>geltrex</w:t>
      </w:r>
      <w:proofErr w:type="spellEnd"/>
      <w:r w:rsidR="001C3050">
        <w:rPr>
          <w:rFonts w:ascii="Arial" w:eastAsia="Calibri" w:hAnsi="Arial" w:cs="Arial"/>
          <w:sz w:val="20"/>
          <w:szCs w:val="20"/>
          <w:lang w:val="en-US" w:eastAsia="en-US"/>
        </w:rPr>
        <w:t>-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coated</w:t>
      </w:r>
      <w:r w:rsidR="007A6DB3">
        <w:rPr>
          <w:rFonts w:ascii="Arial" w:eastAsia="Calibri" w:hAnsi="Arial" w:cs="Arial"/>
          <w:sz w:val="20"/>
          <w:szCs w:val="20"/>
          <w:lang w:val="en-US" w:eastAsia="en-US"/>
        </w:rPr>
        <w:t xml:space="preserve"> culture dishes</w:t>
      </w:r>
      <w:r>
        <w:rPr>
          <w:rFonts w:ascii="Arial" w:eastAsia="Calibri" w:hAnsi="Arial" w:cs="Arial"/>
          <w:sz w:val="20"/>
          <w:szCs w:val="20"/>
          <w:lang w:val="en-US" w:eastAsia="en-US"/>
        </w:rPr>
        <w:t>, incubated in s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upplemented fibrobla</w:t>
      </w:r>
      <w:r w:rsidR="0068463F">
        <w:rPr>
          <w:rFonts w:ascii="Arial" w:eastAsia="Calibri" w:hAnsi="Arial" w:cs="Arial"/>
          <w:sz w:val="20"/>
          <w:szCs w:val="20"/>
          <w:lang w:val="en-US" w:eastAsia="en-US"/>
        </w:rPr>
        <w:t xml:space="preserve">st medium. </w:t>
      </w:r>
      <w:proofErr w:type="gramStart"/>
      <w:r w:rsidR="0068463F">
        <w:rPr>
          <w:rFonts w:ascii="Arial" w:eastAsia="Calibri" w:hAnsi="Arial" w:cs="Arial"/>
          <w:sz w:val="20"/>
          <w:szCs w:val="20"/>
          <w:lang w:val="en-US" w:eastAsia="en-US"/>
        </w:rPr>
        <w:t>This medium contained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knockout DMEM/F-12 (Life technologies),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10% FBS of ESC-qualified (Life technologies), </w:t>
      </w:r>
      <w:r w:rsidR="0068463F">
        <w:rPr>
          <w:rFonts w:ascii="Arial" w:eastAsia="Calibri" w:hAnsi="Arial" w:cs="Arial"/>
          <w:sz w:val="20"/>
          <w:szCs w:val="20"/>
          <w:lang w:val="en-US" w:eastAsia="en-US"/>
        </w:rPr>
        <w:t>1% MEM non-essential amino ac</w:t>
      </w:r>
      <w:r>
        <w:rPr>
          <w:rFonts w:ascii="Arial" w:eastAsia="Calibri" w:hAnsi="Arial" w:cs="Arial"/>
          <w:sz w:val="20"/>
          <w:szCs w:val="20"/>
          <w:lang w:val="en-US" w:eastAsia="en-US"/>
        </w:rPr>
        <w:t>ids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(Life technologies), 10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7A6DB3">
        <w:rPr>
          <w:rFonts w:ascii="Arial" w:eastAsia="Calibri" w:hAnsi="Arial" w:cs="Arial"/>
          <w:sz w:val="20"/>
          <w:szCs w:val="20"/>
          <w:lang w:val="en-US" w:eastAsia="en-US"/>
        </w:rPr>
        <w:t>µ</w:t>
      </w:r>
      <w:r w:rsidR="00AB4889">
        <w:rPr>
          <w:rFonts w:ascii="Arial" w:eastAsia="Calibri" w:hAnsi="Arial" w:cs="Arial"/>
          <w:sz w:val="20"/>
          <w:szCs w:val="20"/>
          <w:lang w:val="en-US" w:eastAsia="en-US"/>
        </w:rPr>
        <w:t>M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HA-100 (Santa Cruz) and 4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ng/ml </w:t>
      </w:r>
      <w:proofErr w:type="spellStart"/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bFGF</w:t>
      </w:r>
      <w:proofErr w:type="spellEnd"/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(Life technologies).</w:t>
      </w:r>
      <w:proofErr w:type="gramEnd"/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At 24 hours after transfection, the medium w</w:t>
      </w:r>
      <w:r w:rsidR="0020041F">
        <w:rPr>
          <w:rFonts w:ascii="Arial" w:eastAsia="Calibri" w:hAnsi="Arial" w:cs="Arial"/>
          <w:sz w:val="20"/>
          <w:szCs w:val="20"/>
          <w:lang w:val="en-US" w:eastAsia="en-US"/>
        </w:rPr>
        <w:t>as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exchanged with N2B2</w:t>
      </w:r>
      <w:r w:rsidR="007A6DB3">
        <w:rPr>
          <w:rFonts w:ascii="Arial" w:eastAsia="Calibri" w:hAnsi="Arial" w:cs="Arial"/>
          <w:sz w:val="20"/>
          <w:szCs w:val="20"/>
          <w:lang w:val="en-US" w:eastAsia="en-US"/>
        </w:rPr>
        <w:t>7 medium supplemented with 0.5 µ</w:t>
      </w:r>
      <w:r w:rsidR="00AB4889">
        <w:rPr>
          <w:rFonts w:ascii="Arial" w:eastAsia="Calibri" w:hAnsi="Arial" w:cs="Arial"/>
          <w:sz w:val="20"/>
          <w:szCs w:val="20"/>
          <w:lang w:val="en-US" w:eastAsia="en-US"/>
        </w:rPr>
        <w:t>M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PD0325901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(</w:t>
      </w:r>
      <w:proofErr w:type="spellStart"/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Stemgent</w:t>
      </w:r>
      <w:proofErr w:type="spellEnd"/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), 3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7A6DB3">
        <w:rPr>
          <w:rFonts w:ascii="Arial" w:eastAsia="Calibri" w:hAnsi="Arial" w:cs="Arial"/>
          <w:sz w:val="20"/>
          <w:szCs w:val="20"/>
          <w:lang w:val="en-US" w:eastAsia="en-US"/>
        </w:rPr>
        <w:t>µ</w:t>
      </w:r>
      <w:r w:rsidR="00AB4889">
        <w:rPr>
          <w:rFonts w:ascii="Arial" w:eastAsia="Calibri" w:hAnsi="Arial" w:cs="Arial"/>
          <w:sz w:val="20"/>
          <w:szCs w:val="20"/>
          <w:lang w:val="en-US" w:eastAsia="en-US"/>
        </w:rPr>
        <w:t>M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CHIR99021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(</w:t>
      </w:r>
      <w:proofErr w:type="spellStart"/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Stemgent</w:t>
      </w:r>
      <w:proofErr w:type="spellEnd"/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), 0.5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7A6DB3">
        <w:rPr>
          <w:rFonts w:ascii="Arial" w:eastAsia="Calibri" w:hAnsi="Arial" w:cs="Arial"/>
          <w:sz w:val="20"/>
          <w:szCs w:val="20"/>
          <w:lang w:val="en-US" w:eastAsia="en-US"/>
        </w:rPr>
        <w:t>µ</w:t>
      </w:r>
      <w:r w:rsidR="00AB4889">
        <w:rPr>
          <w:rFonts w:ascii="Arial" w:eastAsia="Calibri" w:hAnsi="Arial" w:cs="Arial"/>
          <w:sz w:val="20"/>
          <w:szCs w:val="20"/>
          <w:lang w:val="en-US" w:eastAsia="en-US"/>
        </w:rPr>
        <w:t>M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A-83-01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(</w:t>
      </w:r>
      <w:proofErr w:type="spellStart"/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Stemgent</w:t>
      </w:r>
      <w:proofErr w:type="spellEnd"/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), 10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7A6DB3">
        <w:rPr>
          <w:rFonts w:ascii="Arial" w:eastAsia="Calibri" w:hAnsi="Arial" w:cs="Arial"/>
          <w:sz w:val="20"/>
          <w:szCs w:val="20"/>
          <w:lang w:val="en-US" w:eastAsia="en-US"/>
        </w:rPr>
        <w:t>µ</w:t>
      </w:r>
      <w:r w:rsidR="00AB4889">
        <w:rPr>
          <w:rFonts w:ascii="Arial" w:eastAsia="Calibri" w:hAnsi="Arial" w:cs="Arial"/>
          <w:sz w:val="20"/>
          <w:szCs w:val="20"/>
          <w:lang w:val="en-US" w:eastAsia="en-US"/>
        </w:rPr>
        <w:t>M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HA-100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(Santa Cruz),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10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ng/ml </w:t>
      </w:r>
      <w:proofErr w:type="spellStart"/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hLIF</w:t>
      </w:r>
      <w:proofErr w:type="spellEnd"/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(Life technologies) and 100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ng/ml </w:t>
      </w:r>
      <w:proofErr w:type="spellStart"/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bFGF</w:t>
      </w:r>
      <w:proofErr w:type="spellEnd"/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.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The basic N2B27 medium contained DMEM/F12 with HEPES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(Life technologies)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, 1x N2 supplement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(Life technologies)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, 1x B27 supplement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(Life technologies)</w:t>
      </w:r>
      <w:r w:rsidR="001C3050">
        <w:rPr>
          <w:rFonts w:ascii="Arial" w:eastAsia="Calibri" w:hAnsi="Arial" w:cs="Arial"/>
          <w:sz w:val="20"/>
          <w:szCs w:val="20"/>
          <w:lang w:val="en-US" w:eastAsia="en-US"/>
        </w:rPr>
        <w:t>, 1% MEM non-essential amino ac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ids, 1x </w:t>
      </w:r>
      <w:proofErr w:type="spellStart"/>
      <w:r>
        <w:rPr>
          <w:rFonts w:ascii="Arial" w:eastAsia="Calibri" w:hAnsi="Arial" w:cs="Arial"/>
          <w:sz w:val="20"/>
          <w:szCs w:val="20"/>
          <w:lang w:val="en-US" w:eastAsia="en-US"/>
        </w:rPr>
        <w:t>Glutamax</w:t>
      </w:r>
      <w:proofErr w:type="spellEnd"/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(Life technologies)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and 1x </w:t>
      </w:r>
      <w:r w:rsidRPr="00FA37A5">
        <w:rPr>
          <w:rFonts w:ascii="Arial" w:eastAsia="Calibri" w:hAnsi="Arial" w:cs="Arial"/>
          <w:sz w:val="20"/>
          <w:szCs w:val="20"/>
          <w:lang w:val="en-US" w:eastAsia="en-US"/>
        </w:rPr>
        <w:t> </w:t>
      </w:r>
      <w:r w:rsidRPr="00FA37A5">
        <w:rPr>
          <w:rFonts w:ascii="Arial" w:eastAsia="Calibri" w:hAnsi="Arial" w:cs="Arial"/>
          <w:sz w:val="20"/>
          <w:szCs w:val="20"/>
          <w:lang w:eastAsia="en-US"/>
        </w:rPr>
        <w:t>β</w:t>
      </w:r>
      <w:r w:rsidRPr="00FA37A5">
        <w:rPr>
          <w:rFonts w:ascii="Arial" w:eastAsia="Calibri" w:hAnsi="Arial" w:cs="Arial"/>
          <w:sz w:val="20"/>
          <w:szCs w:val="20"/>
          <w:lang w:val="en-US" w:eastAsia="en-US"/>
        </w:rPr>
        <w:t>-</w:t>
      </w:r>
      <w:proofErr w:type="spellStart"/>
      <w:r w:rsidRPr="00FA37A5">
        <w:rPr>
          <w:rFonts w:ascii="Arial" w:eastAsia="Calibri" w:hAnsi="Arial" w:cs="Arial"/>
          <w:sz w:val="20"/>
          <w:szCs w:val="20"/>
          <w:lang w:val="en-US" w:eastAsia="en-US"/>
        </w:rPr>
        <w:t>Mercaptoethanol</w:t>
      </w:r>
      <w:proofErr w:type="spellEnd"/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(Life technologies)</w:t>
      </w:r>
      <w:r w:rsidR="00AB4889">
        <w:rPr>
          <w:rFonts w:ascii="Arial" w:eastAsia="Calibri" w:hAnsi="Arial" w:cs="Arial"/>
          <w:sz w:val="20"/>
          <w:szCs w:val="20"/>
          <w:lang w:val="en-US" w:eastAsia="en-US"/>
        </w:rPr>
        <w:t>. On day</w:t>
      </w:r>
      <w:r w:rsidR="006B6FE1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en-US" w:eastAsia="en-US"/>
        </w:rPr>
        <w:t>15 after transfection</w:t>
      </w:r>
      <w:r w:rsidR="0020041F">
        <w:rPr>
          <w:rFonts w:ascii="Arial" w:eastAsia="Calibri" w:hAnsi="Arial" w:cs="Arial"/>
          <w:sz w:val="20"/>
          <w:szCs w:val="20"/>
          <w:lang w:val="en-US" w:eastAsia="en-US"/>
        </w:rPr>
        <w:t>, the medium was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exchanged with Essential 8 medium and monitored for the emergence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lastRenderedPageBreak/>
        <w:t>of iPSC colonies. Around 3 weeks after transfectio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n,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undifferentiated </w:t>
      </w:r>
      <w:proofErr w:type="spellStart"/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iPS</w:t>
      </w:r>
      <w:proofErr w:type="spellEnd"/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colonies were picked and</w:t>
      </w:r>
      <w:r w:rsidR="0020041F">
        <w:rPr>
          <w:rFonts w:ascii="Arial" w:eastAsia="Calibri" w:hAnsi="Arial" w:cs="Arial"/>
          <w:sz w:val="20"/>
          <w:szCs w:val="20"/>
          <w:lang w:val="en-US" w:eastAsia="en-US"/>
        </w:rPr>
        <w:t xml:space="preserve"> transferred onto fresh </w:t>
      </w:r>
      <w:proofErr w:type="spellStart"/>
      <w:r w:rsidR="0020041F">
        <w:rPr>
          <w:rFonts w:ascii="Arial" w:eastAsia="Calibri" w:hAnsi="Arial" w:cs="Arial"/>
          <w:sz w:val="20"/>
          <w:szCs w:val="20"/>
          <w:lang w:val="en-US" w:eastAsia="en-US"/>
        </w:rPr>
        <w:t>geltrex</w:t>
      </w:r>
      <w:proofErr w:type="spellEnd"/>
      <w:r w:rsidR="0020041F">
        <w:rPr>
          <w:rFonts w:ascii="Arial" w:eastAsia="Calibri" w:hAnsi="Arial" w:cs="Arial"/>
          <w:sz w:val="20"/>
          <w:szCs w:val="20"/>
          <w:lang w:val="en-US" w:eastAsia="en-US"/>
        </w:rPr>
        <w:t>-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coated culture dishes for expansion.</w:t>
      </w:r>
    </w:p>
    <w:p w:rsidR="00242E26" w:rsidRPr="008606F8" w:rsidRDefault="00242E26" w:rsidP="00242E26">
      <w:pPr>
        <w:spacing w:line="480" w:lineRule="auto"/>
        <w:jc w:val="both"/>
        <w:rPr>
          <w:rFonts w:ascii="Arial" w:eastAsia="Calibri" w:hAnsi="Arial" w:cs="Arial"/>
          <w:b/>
          <w:sz w:val="20"/>
          <w:szCs w:val="20"/>
          <w:lang w:val="en-US" w:eastAsia="en-US"/>
        </w:rPr>
      </w:pP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proofErr w:type="gramStart"/>
      <w:r w:rsidRPr="008606F8">
        <w:rPr>
          <w:rFonts w:ascii="Arial" w:eastAsia="Calibri" w:hAnsi="Arial" w:cs="Arial"/>
          <w:b/>
          <w:sz w:val="20"/>
          <w:szCs w:val="20"/>
          <w:lang w:val="en-US" w:eastAsia="en-US"/>
        </w:rPr>
        <w:t>iPSC</w:t>
      </w:r>
      <w:proofErr w:type="gramEnd"/>
      <w:r w:rsidRPr="008606F8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 characterization</w:t>
      </w:r>
    </w:p>
    <w:p w:rsidR="00242E26" w:rsidRPr="008B7A25" w:rsidRDefault="00AB4889" w:rsidP="00242E26">
      <w:pPr>
        <w:spacing w:line="480" w:lineRule="auto"/>
        <w:jc w:val="both"/>
        <w:rPr>
          <w:rFonts w:ascii="Arial" w:eastAsia="Calibri" w:hAnsi="Arial" w:cs="Arial"/>
          <w:sz w:val="20"/>
          <w:szCs w:val="20"/>
          <w:lang w:val="en-US" w:eastAsia="en-US"/>
        </w:rPr>
      </w:pP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DNA was extracted from </w:t>
      </w:r>
      <w:proofErr w:type="spellStart"/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iPSCs</w:t>
      </w:r>
      <w:proofErr w:type="spellEnd"/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by using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standard procedure. 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Markers for the </w:t>
      </w:r>
      <w:proofErr w:type="spellStart"/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episomal</w:t>
      </w:r>
      <w:proofErr w:type="spellEnd"/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backbone were amplified by semi-quantitativ</w:t>
      </w:r>
      <w:r w:rsidR="00DF302B">
        <w:rPr>
          <w:rFonts w:ascii="Arial" w:eastAsia="Calibri" w:hAnsi="Arial" w:cs="Arial"/>
          <w:sz w:val="20"/>
          <w:szCs w:val="20"/>
          <w:lang w:val="en-US" w:eastAsia="en-US"/>
        </w:rPr>
        <w:t>e PCR to exclude transgene inte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gration. Primers are as follows: </w:t>
      </w:r>
      <w:proofErr w:type="spellStart"/>
      <w:r w:rsidR="00242E26" w:rsidRPr="00F042C8">
        <w:rPr>
          <w:rFonts w:ascii="Arial" w:eastAsia="Calibri" w:hAnsi="Arial" w:cs="Arial"/>
          <w:i/>
          <w:sz w:val="20"/>
          <w:szCs w:val="20"/>
          <w:lang w:val="en-US" w:eastAsia="en-US"/>
        </w:rPr>
        <w:t>oriP</w:t>
      </w:r>
      <w:proofErr w:type="spellEnd"/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forward: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TTCCACGAGGCTAGTGAACC.</w:t>
      </w:r>
      <w:r w:rsidR="00242E26" w:rsidRPr="004978B7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proofErr w:type="spellStart"/>
      <w:proofErr w:type="gramStart"/>
      <w:r w:rsidR="00242E26" w:rsidRPr="00F042C8">
        <w:rPr>
          <w:rFonts w:ascii="Arial" w:eastAsia="Calibri" w:hAnsi="Arial" w:cs="Arial"/>
          <w:i/>
          <w:sz w:val="20"/>
          <w:szCs w:val="20"/>
          <w:lang w:val="en-US" w:eastAsia="en-US"/>
        </w:rPr>
        <w:t>oriP</w:t>
      </w:r>
      <w:proofErr w:type="spellEnd"/>
      <w:proofErr w:type="gramEnd"/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reverse: TCGGGGGTGTTAGAGACAAC; </w:t>
      </w:r>
      <w:r w:rsidR="00242E26" w:rsidRPr="00F042C8">
        <w:rPr>
          <w:rFonts w:ascii="Arial" w:eastAsia="Calibri" w:hAnsi="Arial" w:cs="Arial"/>
          <w:i/>
          <w:sz w:val="20"/>
          <w:szCs w:val="20"/>
          <w:lang w:val="en-US" w:eastAsia="en-US"/>
        </w:rPr>
        <w:t>EBNA-1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forward: ATCGTCAAAGCTGCACACAG. </w:t>
      </w:r>
      <w:r w:rsidR="00242E26" w:rsidRPr="00F042C8">
        <w:rPr>
          <w:rFonts w:ascii="Arial" w:eastAsia="Calibri" w:hAnsi="Arial" w:cs="Arial"/>
          <w:i/>
          <w:sz w:val="20"/>
          <w:szCs w:val="20"/>
          <w:lang w:val="en-US" w:eastAsia="en-US"/>
        </w:rPr>
        <w:t>EBNA-1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reverse: CCCAGGAGTCCCAGTAGTCA. For karyotype analysis, we used the cells growing in logarithmic phase. They were fed with fresh medium the nig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ht before adding </w:t>
      </w:r>
      <w:proofErr w:type="spellStart"/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colcemid</w:t>
      </w:r>
      <w:proofErr w:type="spellEnd"/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for 2 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h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ours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.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Cells were then </w:t>
      </w:r>
      <w:proofErr w:type="spellStart"/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trypsinized</w:t>
      </w:r>
      <w:proofErr w:type="spellEnd"/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, treated </w:t>
      </w:r>
      <w:r w:rsidR="002D3678">
        <w:rPr>
          <w:rFonts w:ascii="Arial" w:eastAsia="Calibri" w:hAnsi="Arial" w:cs="Arial"/>
          <w:sz w:val="20"/>
          <w:szCs w:val="20"/>
          <w:lang w:val="en-US" w:eastAsia="en-US"/>
        </w:rPr>
        <w:t>with hypotonic solution (0.075 m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 </w:t>
      </w:r>
      <w:proofErr w:type="spellStart"/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KCl</w:t>
      </w:r>
      <w:proofErr w:type="spellEnd"/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) for 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20 min and fixed with </w:t>
      </w:r>
      <w:proofErr w:type="gramStart"/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methanol :</w:t>
      </w:r>
      <w:proofErr w:type="gramEnd"/>
      <w:r w:rsidR="00242E26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acetic acid (3:1). Metaphases were spread on microscope slides, and chromosomes were classified according to the International System for Human </w:t>
      </w:r>
      <w:proofErr w:type="spellStart"/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Cytogenic</w:t>
      </w:r>
      <w:proofErr w:type="spellEnd"/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Nomenclature using the standard G banding technique. At least, 20 metaphases were counted per cell line, and the final karyotype was stated if it was present in more than 85% of them. For </w:t>
      </w:r>
      <w:proofErr w:type="spellStart"/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teratomas</w:t>
      </w:r>
      <w:proofErr w:type="spellEnd"/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, </w:t>
      </w:r>
      <w:proofErr w:type="gramStart"/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2x10</w:t>
      </w:r>
      <w:r w:rsidR="00242E26" w:rsidRPr="00CE71A7">
        <w:rPr>
          <w:rFonts w:ascii="Arial" w:eastAsia="Calibri" w:hAnsi="Arial" w:cs="Arial"/>
          <w:sz w:val="20"/>
          <w:szCs w:val="20"/>
          <w:vertAlign w:val="superscript"/>
          <w:lang w:val="en-US" w:eastAsia="en-US"/>
        </w:rPr>
        <w:t>6</w:t>
      </w:r>
      <w:r w:rsidR="00242E26">
        <w:rPr>
          <w:rFonts w:ascii="Arial" w:eastAsia="Calibri" w:hAnsi="Arial" w:cs="Arial"/>
          <w:sz w:val="20"/>
          <w:szCs w:val="20"/>
          <w:vertAlign w:val="superscript"/>
          <w:lang w:val="en-US" w:eastAsia="en-US"/>
        </w:rPr>
        <w:t xml:space="preserve">  </w:t>
      </w:r>
      <w:proofErr w:type="spellStart"/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iPSCs</w:t>
      </w:r>
      <w:proofErr w:type="spellEnd"/>
      <w:proofErr w:type="gramEnd"/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were injected into the right hi</w:t>
      </w:r>
      <w:r w:rsidR="00242E26">
        <w:rPr>
          <w:rFonts w:ascii="Arial" w:eastAsia="Calibri" w:hAnsi="Arial" w:cs="Arial"/>
          <w:sz w:val="20"/>
          <w:szCs w:val="20"/>
          <w:lang w:val="en-US" w:eastAsia="en-US"/>
        </w:rPr>
        <w:t>nd leg of immunocompromised NOD/</w:t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SCID mice. Tumors were excised after 8 weeks, fixed, embedded in paraffin, sectioned and stained with hematoxylin/eosin</w:t>
      </w:r>
      <w:r w:rsidR="00A6525B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A6525B">
        <w:rPr>
          <w:rFonts w:ascii="Arial" w:eastAsia="Calibri" w:hAnsi="Arial" w:cs="Arial"/>
          <w:sz w:val="20"/>
          <w:szCs w:val="20"/>
          <w:lang w:val="en-US" w:eastAsia="en-US"/>
        </w:rPr>
        <w:fldChar w:fldCharType="begin">
          <w:fldData xml:space="preserve">PEVuZE5vdGU+PENpdGU+PEF1dGhvcj5UYWthaGFzaGk8L0F1dGhvcj48WWVhcj4yMDA3PC9ZZWFy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</w:fldData>
        </w:fldChar>
      </w:r>
      <w:r w:rsidR="00A6525B">
        <w:rPr>
          <w:rFonts w:ascii="Arial" w:eastAsia="Calibri" w:hAnsi="Arial" w:cs="Arial"/>
          <w:sz w:val="20"/>
          <w:szCs w:val="20"/>
          <w:lang w:val="en-US" w:eastAsia="en-US"/>
        </w:rPr>
        <w:instrText xml:space="preserve"> ADDIN EN.CITE </w:instrText>
      </w:r>
      <w:r w:rsidR="00A6525B">
        <w:rPr>
          <w:rFonts w:ascii="Arial" w:eastAsia="Calibri" w:hAnsi="Arial" w:cs="Arial"/>
          <w:sz w:val="20"/>
          <w:szCs w:val="20"/>
          <w:lang w:val="en-US" w:eastAsia="en-US"/>
        </w:rPr>
        <w:fldChar w:fldCharType="begin">
          <w:fldData xml:space="preserve">PEVuZE5vdGU+PENpdGU+PEF1dGhvcj5UYWthaGFzaGk8L0F1dGhvcj48WWVhcj4yMDA3PC9ZZWFy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</w:fldData>
        </w:fldChar>
      </w:r>
      <w:r w:rsidR="00A6525B">
        <w:rPr>
          <w:rFonts w:ascii="Arial" w:eastAsia="Calibri" w:hAnsi="Arial" w:cs="Arial"/>
          <w:sz w:val="20"/>
          <w:szCs w:val="20"/>
          <w:lang w:val="en-US" w:eastAsia="en-US"/>
        </w:rPr>
        <w:instrText xml:space="preserve"> ADDIN EN.CITE.DATA </w:instrText>
      </w:r>
      <w:r w:rsidR="00A6525B">
        <w:rPr>
          <w:rFonts w:ascii="Arial" w:eastAsia="Calibri" w:hAnsi="Arial" w:cs="Arial"/>
          <w:sz w:val="20"/>
          <w:szCs w:val="20"/>
          <w:lang w:val="en-US" w:eastAsia="en-US"/>
        </w:rPr>
      </w:r>
      <w:r w:rsidR="00A6525B">
        <w:rPr>
          <w:rFonts w:ascii="Arial" w:eastAsia="Calibri" w:hAnsi="Arial" w:cs="Arial"/>
          <w:sz w:val="20"/>
          <w:szCs w:val="20"/>
          <w:lang w:val="en-US" w:eastAsia="en-US"/>
        </w:rPr>
        <w:fldChar w:fldCharType="end"/>
      </w:r>
      <w:r w:rsidR="00A6525B">
        <w:rPr>
          <w:rFonts w:ascii="Arial" w:eastAsia="Calibri" w:hAnsi="Arial" w:cs="Arial"/>
          <w:sz w:val="20"/>
          <w:szCs w:val="20"/>
          <w:lang w:val="en-US" w:eastAsia="en-US"/>
        </w:rPr>
      </w:r>
      <w:r w:rsidR="00A6525B">
        <w:rPr>
          <w:rFonts w:ascii="Arial" w:eastAsia="Calibri" w:hAnsi="Arial" w:cs="Arial"/>
          <w:sz w:val="20"/>
          <w:szCs w:val="20"/>
          <w:lang w:val="en-US" w:eastAsia="en-US"/>
        </w:rPr>
        <w:fldChar w:fldCharType="separate"/>
      </w:r>
      <w:r w:rsidR="00A6525B">
        <w:rPr>
          <w:rFonts w:ascii="Arial" w:eastAsia="Calibri" w:hAnsi="Arial" w:cs="Arial"/>
          <w:noProof/>
          <w:sz w:val="20"/>
          <w:szCs w:val="20"/>
          <w:lang w:val="en-US" w:eastAsia="en-US"/>
        </w:rPr>
        <w:t>(Takahashi et al., 2007)</w:t>
      </w:r>
      <w:r w:rsidR="00A6525B">
        <w:rPr>
          <w:rFonts w:ascii="Arial" w:eastAsia="Calibri" w:hAnsi="Arial" w:cs="Arial"/>
          <w:sz w:val="20"/>
          <w:szCs w:val="20"/>
          <w:lang w:val="en-US" w:eastAsia="en-US"/>
        </w:rPr>
        <w:fldChar w:fldCharType="end"/>
      </w:r>
      <w:r w:rsidR="00242E26" w:rsidRPr="008B7A25">
        <w:rPr>
          <w:rFonts w:ascii="Arial" w:eastAsia="Calibri" w:hAnsi="Arial" w:cs="Arial"/>
          <w:sz w:val="20"/>
          <w:szCs w:val="20"/>
          <w:lang w:val="en-US" w:eastAsia="en-US"/>
        </w:rPr>
        <w:t>.</w:t>
      </w:r>
    </w:p>
    <w:p w:rsidR="00242E26" w:rsidRPr="008606F8" w:rsidRDefault="00242E26" w:rsidP="00242E26">
      <w:pPr>
        <w:spacing w:line="480" w:lineRule="auto"/>
        <w:jc w:val="both"/>
        <w:rPr>
          <w:rFonts w:ascii="Arial" w:eastAsia="Calibri" w:hAnsi="Arial" w:cs="Arial"/>
          <w:b/>
          <w:sz w:val="20"/>
          <w:szCs w:val="20"/>
          <w:lang w:val="en-US" w:eastAsia="en-US"/>
        </w:rPr>
      </w:pPr>
      <w:r w:rsidRPr="008606F8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Mutation analysis </w:t>
      </w:r>
    </w:p>
    <w:p w:rsidR="00242E26" w:rsidRPr="008B7A25" w:rsidRDefault="00242E26" w:rsidP="00242E26">
      <w:pPr>
        <w:spacing w:line="480" w:lineRule="auto"/>
        <w:jc w:val="both"/>
        <w:rPr>
          <w:rFonts w:ascii="Arial" w:eastAsia="Calibri" w:hAnsi="Arial" w:cs="Arial"/>
          <w:sz w:val="20"/>
          <w:szCs w:val="20"/>
          <w:lang w:val="en-US" w:eastAsia="en-US"/>
        </w:rPr>
      </w:pP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G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enomic DNA was isolated from </w:t>
      </w:r>
      <w:r w:rsidRPr="001F50DF">
        <w:rPr>
          <w:rFonts w:ascii="Arial" w:eastAsia="Calibri" w:hAnsi="Arial" w:cs="Arial"/>
          <w:i/>
          <w:sz w:val="20"/>
          <w:szCs w:val="20"/>
          <w:lang w:val="en-US" w:eastAsia="en-US"/>
        </w:rPr>
        <w:t>PDX1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en-US" w:eastAsia="en-US"/>
        </w:rPr>
        <w:t>P33T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and control </w:t>
      </w:r>
      <w:proofErr w:type="spellStart"/>
      <w:r w:rsidR="00AB4889" w:rsidRPr="008B7A25">
        <w:rPr>
          <w:rFonts w:ascii="Arial" w:eastAsia="Calibri" w:hAnsi="Arial" w:cs="Arial"/>
          <w:sz w:val="20"/>
          <w:szCs w:val="20"/>
          <w:lang w:val="en-US" w:eastAsia="en-US"/>
        </w:rPr>
        <w:t>iPS</w:t>
      </w:r>
      <w:r w:rsidR="00AB4889">
        <w:rPr>
          <w:rFonts w:ascii="Arial" w:eastAsia="Calibri" w:hAnsi="Arial" w:cs="Arial"/>
          <w:sz w:val="20"/>
          <w:szCs w:val="20"/>
          <w:lang w:val="en-US" w:eastAsia="en-US"/>
        </w:rPr>
        <w:t>Cs</w:t>
      </w:r>
      <w:proofErr w:type="spellEnd"/>
      <w:r w:rsidR="00AB4889"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using 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standard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procedure. PCR amplification with a set of primers </w:t>
      </w:r>
      <w:r>
        <w:rPr>
          <w:rFonts w:ascii="Arial" w:eastAsia="Calibri" w:hAnsi="Arial" w:cs="Arial"/>
          <w:sz w:val="20"/>
          <w:szCs w:val="20"/>
          <w:lang w:val="en-US" w:eastAsia="en-US"/>
        </w:rPr>
        <w:t>flanking the mutation site was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performed in those two samples. PCR products were sequenced using the reverse primer by Sanger sequencing on 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an ABI 3130 genetic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analyzer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(Applied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Biosystems).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Primers are as follows: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Pr="00816693">
        <w:rPr>
          <w:rFonts w:ascii="Arial" w:eastAsia="Calibri" w:hAnsi="Arial" w:cs="Arial"/>
          <w:i/>
          <w:sz w:val="20"/>
          <w:szCs w:val="20"/>
          <w:lang w:val="en-US" w:eastAsia="en-US"/>
        </w:rPr>
        <w:t>PDX1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forward: GGAGTGTGCAGCAAACTCAG</w:t>
      </w:r>
      <w:r>
        <w:rPr>
          <w:rFonts w:ascii="Arial" w:eastAsia="Calibri" w:hAnsi="Arial" w:cs="Arial"/>
          <w:sz w:val="20"/>
          <w:szCs w:val="20"/>
          <w:lang w:val="en-US" w:eastAsia="en-US"/>
        </w:rPr>
        <w:t>,</w:t>
      </w:r>
      <w:r w:rsidR="00F26CF3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Pr="00816693">
        <w:rPr>
          <w:rFonts w:ascii="Arial" w:eastAsia="Calibri" w:hAnsi="Arial" w:cs="Arial"/>
          <w:i/>
          <w:sz w:val="20"/>
          <w:szCs w:val="20"/>
          <w:lang w:val="en-US" w:eastAsia="en-US"/>
        </w:rPr>
        <w:t>PDX1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reverse: ACGCGTGAGCTTTGGTAGAC</w:t>
      </w:r>
      <w:r>
        <w:rPr>
          <w:rFonts w:ascii="Arial" w:eastAsia="Calibri" w:hAnsi="Arial" w:cs="Arial"/>
          <w:sz w:val="20"/>
          <w:szCs w:val="20"/>
          <w:lang w:val="en-US" w:eastAsia="en-US"/>
        </w:rPr>
        <w:t>.</w:t>
      </w:r>
    </w:p>
    <w:p w:rsidR="00242E26" w:rsidRPr="008606F8" w:rsidRDefault="00242E26" w:rsidP="00242E26">
      <w:pPr>
        <w:spacing w:line="480" w:lineRule="auto"/>
        <w:jc w:val="both"/>
        <w:rPr>
          <w:rFonts w:ascii="Arial" w:eastAsia="Calibri" w:hAnsi="Arial" w:cs="Arial"/>
          <w:b/>
          <w:sz w:val="20"/>
          <w:szCs w:val="20"/>
          <w:lang w:val="en-US" w:eastAsia="en-US"/>
        </w:rPr>
      </w:pPr>
      <w:r w:rsidRPr="008606F8">
        <w:rPr>
          <w:rFonts w:ascii="Arial" w:eastAsia="Calibri" w:hAnsi="Arial" w:cs="Arial"/>
          <w:b/>
          <w:sz w:val="20"/>
          <w:szCs w:val="20"/>
          <w:lang w:val="en-US" w:eastAsia="en-US"/>
        </w:rPr>
        <w:t>Immunofluorescence imaging</w:t>
      </w:r>
    </w:p>
    <w:p w:rsidR="00242E26" w:rsidRPr="004978B7" w:rsidRDefault="00242E26" w:rsidP="00242E26">
      <w:pPr>
        <w:spacing w:line="480" w:lineRule="auto"/>
        <w:jc w:val="both"/>
        <w:rPr>
          <w:rFonts w:ascii="Arial" w:eastAsia="Calibri" w:hAnsi="Arial" w:cs="Arial"/>
          <w:sz w:val="20"/>
          <w:szCs w:val="20"/>
          <w:lang w:val="en-US" w:eastAsia="en-US"/>
        </w:rPr>
      </w:pP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Cells were fixed with 4% paraformaldehyde for 30</w:t>
      </w:r>
      <w:r w:rsidR="002F09FF">
        <w:rPr>
          <w:rFonts w:ascii="Arial" w:eastAsia="Calibri" w:hAnsi="Arial" w:cs="Arial"/>
          <w:sz w:val="20"/>
          <w:szCs w:val="20"/>
          <w:lang w:val="en-US" w:eastAsia="en-US"/>
        </w:rPr>
        <w:t xml:space="preserve"> min and then </w:t>
      </w:r>
      <w:proofErr w:type="spellStart"/>
      <w:r w:rsidR="002F09FF">
        <w:rPr>
          <w:rFonts w:ascii="Arial" w:eastAsia="Calibri" w:hAnsi="Arial" w:cs="Arial"/>
          <w:sz w:val="20"/>
          <w:szCs w:val="20"/>
          <w:lang w:val="en-US" w:eastAsia="en-US"/>
        </w:rPr>
        <w:t>permeabilized</w:t>
      </w:r>
      <w:proofErr w:type="spellEnd"/>
      <w:r w:rsidR="002F09FF">
        <w:rPr>
          <w:rFonts w:ascii="Arial" w:eastAsia="Calibri" w:hAnsi="Arial" w:cs="Arial"/>
          <w:sz w:val="20"/>
          <w:szCs w:val="20"/>
          <w:lang w:val="en-US" w:eastAsia="en-US"/>
        </w:rPr>
        <w:t xml:space="preserve"> in 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PBS containing 0.2% Triton </w:t>
      </w:r>
      <w:r w:rsidR="00AB4889">
        <w:rPr>
          <w:rFonts w:ascii="Arial" w:eastAsia="Calibri" w:hAnsi="Arial" w:cs="Arial"/>
          <w:sz w:val="20"/>
          <w:szCs w:val="20"/>
          <w:lang w:val="en-US" w:eastAsia="en-US"/>
        </w:rPr>
        <w:t xml:space="preserve">X-100. Cells were blocked with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PBS containing 3% BSA, and incubated with primary antibodies overnight at 4°C. Then secondary antibodies were incubated for 1 hour at room temperature after washing with</w:t>
      </w:r>
      <w:r w:rsidR="007A4AAB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="00AB4889">
        <w:rPr>
          <w:rFonts w:ascii="Arial" w:eastAsia="Calibri" w:hAnsi="Arial" w:cs="Arial"/>
          <w:sz w:val="20"/>
          <w:szCs w:val="20"/>
          <w:lang w:val="en-US" w:eastAsia="en-US"/>
        </w:rPr>
        <w:t>PBS. Images were acquired on a l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aser scanning microscope. The following antibodies and di</w:t>
      </w:r>
      <w:r>
        <w:rPr>
          <w:rFonts w:ascii="Arial" w:eastAsia="Calibri" w:hAnsi="Arial" w:cs="Arial"/>
          <w:sz w:val="20"/>
          <w:szCs w:val="20"/>
          <w:lang w:val="en-US" w:eastAsia="en-US"/>
        </w:rPr>
        <w:t>lutions were used: goat anti-OCT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3/4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(1</w:t>
      </w:r>
      <w:r>
        <w:rPr>
          <w:rFonts w:ascii="Arial" w:eastAsia="Calibri" w:hAnsi="Arial" w:cs="Arial"/>
          <w:sz w:val="20"/>
          <w:szCs w:val="20"/>
          <w:lang w:val="en-US" w:eastAsia="en-US"/>
        </w:rPr>
        <w:t>:500, Santa Cruz), goat anti-SOX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2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(1:500, Santa Cruz)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en-US" w:eastAsia="en-US"/>
        </w:rPr>
        <w:lastRenderedPageBreak/>
        <w:t>rat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 anti-</w:t>
      </w:r>
      <w:r>
        <w:rPr>
          <w:rFonts w:ascii="Arial" w:eastAsia="Calibri" w:hAnsi="Arial" w:cs="Arial"/>
          <w:sz w:val="20"/>
          <w:szCs w:val="20"/>
          <w:lang w:val="en-US" w:eastAsia="en-US"/>
        </w:rPr>
        <w:t>SSEA3 (1:50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en-US" w:eastAsia="en-US"/>
        </w:rPr>
        <w:t>Invitrogen), mouse anti-SSEA4 (1:500, C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>ell signaling)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and </w:t>
      </w:r>
      <w:r w:rsidRPr="008B7A25">
        <w:rPr>
          <w:rFonts w:ascii="Arial" w:eastAsia="Calibri" w:hAnsi="Arial" w:cs="Arial"/>
          <w:sz w:val="20"/>
          <w:szCs w:val="20"/>
          <w:lang w:val="en-US" w:eastAsia="en-US"/>
        </w:rPr>
        <w:t xml:space="preserve">mouse </w:t>
      </w:r>
      <w:r>
        <w:rPr>
          <w:rFonts w:ascii="Arial" w:eastAsia="Calibri" w:hAnsi="Arial" w:cs="Arial"/>
          <w:sz w:val="20"/>
          <w:szCs w:val="20"/>
          <w:lang w:val="en-US" w:eastAsia="en-US"/>
        </w:rPr>
        <w:t>anti-TRA-1-81 (1:50, Millipore).</w:t>
      </w:r>
    </w:p>
    <w:p w:rsidR="00242E26" w:rsidRPr="008606F8" w:rsidRDefault="00242E26" w:rsidP="00242E26">
      <w:pPr>
        <w:spacing w:line="480" w:lineRule="auto"/>
        <w:jc w:val="both"/>
        <w:rPr>
          <w:rFonts w:ascii="Arial" w:eastAsia="Calibri" w:hAnsi="Arial" w:cs="Arial"/>
          <w:b/>
          <w:sz w:val="20"/>
          <w:szCs w:val="20"/>
          <w:lang w:val="en-US" w:eastAsia="en-US"/>
        </w:rPr>
      </w:pPr>
      <w:r w:rsidRPr="008606F8">
        <w:rPr>
          <w:rFonts w:ascii="Arial" w:eastAsia="Calibri" w:hAnsi="Arial" w:cs="Arial"/>
          <w:b/>
          <w:sz w:val="20"/>
          <w:szCs w:val="20"/>
          <w:lang w:val="en-US" w:eastAsia="en-US"/>
        </w:rPr>
        <w:t xml:space="preserve">Author disclosure statement </w:t>
      </w:r>
    </w:p>
    <w:p w:rsidR="00242E26" w:rsidRPr="004978B7" w:rsidRDefault="00242E26" w:rsidP="00242E26">
      <w:pPr>
        <w:spacing w:line="480" w:lineRule="auto"/>
        <w:jc w:val="both"/>
        <w:rPr>
          <w:rFonts w:ascii="Arial" w:eastAsia="Calibri" w:hAnsi="Arial" w:cs="Arial"/>
          <w:sz w:val="20"/>
          <w:szCs w:val="20"/>
          <w:lang w:val="en-US" w:eastAsia="en-US"/>
        </w:rPr>
      </w:pPr>
      <w:r w:rsidRPr="00494AE7">
        <w:rPr>
          <w:rFonts w:ascii="Arial" w:eastAsia="Calibri" w:hAnsi="Arial" w:cs="Arial"/>
          <w:sz w:val="20"/>
          <w:szCs w:val="20"/>
          <w:lang w:val="en-US" w:eastAsia="en-US"/>
        </w:rPr>
        <w:t>There are no competing financial interests in this study</w:t>
      </w:r>
      <w:r w:rsidRPr="004978B7">
        <w:rPr>
          <w:rFonts w:ascii="Arial" w:eastAsia="Calibri" w:hAnsi="Arial" w:cs="Arial"/>
          <w:sz w:val="20"/>
          <w:szCs w:val="20"/>
          <w:lang w:val="en-US" w:eastAsia="en-US"/>
        </w:rPr>
        <w:t>.</w:t>
      </w:r>
    </w:p>
    <w:p w:rsidR="002D3678" w:rsidRPr="002C1861" w:rsidRDefault="002D3678" w:rsidP="002D3678">
      <w:pPr>
        <w:spacing w:line="480" w:lineRule="auto"/>
        <w:jc w:val="both"/>
        <w:rPr>
          <w:rFonts w:ascii="Arial" w:eastAsia="Calibri" w:hAnsi="Arial" w:cs="Arial"/>
          <w:b/>
          <w:sz w:val="20"/>
          <w:szCs w:val="20"/>
          <w:lang w:val="en-US" w:eastAsia="en-US"/>
        </w:rPr>
      </w:pPr>
      <w:r w:rsidRPr="002C1861">
        <w:rPr>
          <w:rFonts w:ascii="Arial" w:eastAsia="Calibri" w:hAnsi="Arial" w:cs="Arial"/>
          <w:b/>
          <w:sz w:val="20"/>
          <w:szCs w:val="20"/>
          <w:lang w:val="en-US" w:eastAsia="en-US"/>
        </w:rPr>
        <w:t>Acknowledgements</w:t>
      </w:r>
    </w:p>
    <w:p w:rsidR="003F3A23" w:rsidRPr="002C1861" w:rsidRDefault="003F3A23" w:rsidP="003F3A23">
      <w:pPr>
        <w:spacing w:line="480" w:lineRule="auto"/>
        <w:jc w:val="both"/>
        <w:rPr>
          <w:rFonts w:ascii="Arial" w:eastAsia="Calibri" w:hAnsi="Arial" w:cs="Arial"/>
          <w:sz w:val="20"/>
          <w:szCs w:val="20"/>
          <w:lang w:val="en-US" w:eastAsia="en-US"/>
        </w:rPr>
      </w:pPr>
      <w:r w:rsidRPr="002C1861">
        <w:rPr>
          <w:rFonts w:ascii="Arial" w:eastAsia="Calibri" w:hAnsi="Arial" w:cs="Arial"/>
          <w:sz w:val="20"/>
          <w:szCs w:val="20"/>
          <w:lang w:val="en-US" w:eastAsia="en-US"/>
        </w:rPr>
        <w:t xml:space="preserve">We are grateful to A. Raducanu, A. Böttcher for comments, discussions and to A. Theis, B. Vogel and K. Diemer for their technical support. </w:t>
      </w:r>
      <w:r w:rsidRPr="00790E04">
        <w:rPr>
          <w:rFonts w:ascii="Arial" w:eastAsia="Calibri" w:hAnsi="Arial" w:cs="Arial"/>
          <w:sz w:val="20"/>
          <w:szCs w:val="20"/>
          <w:lang w:val="en-US" w:eastAsia="en-US"/>
        </w:rPr>
        <w:t xml:space="preserve">This work was funded in part by the German Center for Diabetes Research (DZD </w:t>
      </w:r>
      <w:proofErr w:type="spellStart"/>
      <w:r w:rsidRPr="00790E04">
        <w:rPr>
          <w:rFonts w:ascii="Arial" w:eastAsia="Calibri" w:hAnsi="Arial" w:cs="Arial"/>
          <w:sz w:val="20"/>
          <w:szCs w:val="20"/>
          <w:lang w:val="en-US" w:eastAsia="en-US"/>
        </w:rPr>
        <w:t>e.V</w:t>
      </w:r>
      <w:proofErr w:type="spellEnd"/>
      <w:r w:rsidRPr="00790E04">
        <w:rPr>
          <w:rFonts w:ascii="Arial" w:eastAsia="Calibri" w:hAnsi="Arial" w:cs="Arial"/>
          <w:sz w:val="20"/>
          <w:szCs w:val="20"/>
          <w:lang w:val="en-US" w:eastAsia="en-US"/>
        </w:rPr>
        <w:t>.)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r w:rsidRPr="002C1861">
        <w:rPr>
          <w:rFonts w:ascii="Arial" w:eastAsia="Calibri" w:hAnsi="Arial" w:cs="Arial"/>
          <w:sz w:val="20"/>
          <w:szCs w:val="20"/>
          <w:lang w:val="en-US" w:eastAsia="en-US"/>
        </w:rPr>
        <w:t xml:space="preserve">and has received funding for the </w:t>
      </w:r>
      <w:proofErr w:type="spellStart"/>
      <w:r w:rsidRPr="002C1861">
        <w:rPr>
          <w:rFonts w:ascii="Arial" w:eastAsia="Calibri" w:hAnsi="Arial" w:cs="Arial"/>
          <w:sz w:val="20"/>
          <w:szCs w:val="20"/>
          <w:lang w:val="en-US" w:eastAsia="en-US"/>
        </w:rPr>
        <w:t>HumEn</w:t>
      </w:r>
      <w:proofErr w:type="spellEnd"/>
      <w:r w:rsidRPr="002C1861">
        <w:rPr>
          <w:rFonts w:ascii="Arial" w:eastAsia="Calibri" w:hAnsi="Arial" w:cs="Arial"/>
          <w:sz w:val="20"/>
          <w:szCs w:val="20"/>
          <w:lang w:val="en-US" w:eastAsia="en-US"/>
        </w:rPr>
        <w:t xml:space="preserve"> project from the European Union's Seventh Framework </w:t>
      </w:r>
      <w:proofErr w:type="spellStart"/>
      <w:r w:rsidRPr="002C1861">
        <w:rPr>
          <w:rFonts w:ascii="Arial" w:eastAsia="Calibri" w:hAnsi="Arial" w:cs="Arial"/>
          <w:sz w:val="20"/>
          <w:szCs w:val="20"/>
          <w:lang w:val="en-US" w:eastAsia="en-US"/>
        </w:rPr>
        <w:t>Programme</w:t>
      </w:r>
      <w:proofErr w:type="spellEnd"/>
      <w:r w:rsidRPr="002C1861">
        <w:rPr>
          <w:rFonts w:ascii="Arial" w:eastAsia="Calibri" w:hAnsi="Arial" w:cs="Arial"/>
          <w:sz w:val="20"/>
          <w:szCs w:val="20"/>
          <w:lang w:val="en-US" w:eastAsia="en-US"/>
        </w:rPr>
        <w:t xml:space="preserve"> for Research, Technological Development and Demonstration under grant agreement No. 602587 (</w:t>
      </w:r>
      <w:hyperlink r:id="rId10" w:history="1">
        <w:r w:rsidRPr="002C1861">
          <w:rPr>
            <w:rFonts w:eastAsia="Calibri"/>
            <w:sz w:val="20"/>
            <w:szCs w:val="20"/>
            <w:lang w:val="en-US" w:eastAsia="en-US"/>
          </w:rPr>
          <w:t>http://www.hum-en.eu/</w:t>
        </w:r>
      </w:hyperlink>
      <w:r w:rsidRPr="002C1861">
        <w:rPr>
          <w:rFonts w:ascii="Arial" w:eastAsia="Calibri" w:hAnsi="Arial" w:cs="Arial"/>
          <w:sz w:val="20"/>
          <w:szCs w:val="20"/>
          <w:lang w:val="en-US" w:eastAsia="en-US"/>
        </w:rPr>
        <w:t>).</w:t>
      </w:r>
    </w:p>
    <w:p w:rsidR="00242E26" w:rsidRPr="00342A93" w:rsidRDefault="00242E26" w:rsidP="00242E26">
      <w:pPr>
        <w:spacing w:line="480" w:lineRule="auto"/>
        <w:jc w:val="both"/>
        <w:rPr>
          <w:rFonts w:ascii="Arial" w:eastAsia="Calibri" w:hAnsi="Arial" w:cs="Arial"/>
          <w:b/>
          <w:sz w:val="20"/>
          <w:szCs w:val="20"/>
          <w:lang w:val="en-US" w:eastAsia="en-US"/>
        </w:rPr>
      </w:pPr>
      <w:r w:rsidRPr="00342A93">
        <w:rPr>
          <w:rFonts w:ascii="Arial" w:eastAsia="Calibri" w:hAnsi="Arial" w:cs="Arial"/>
          <w:b/>
          <w:sz w:val="20"/>
          <w:szCs w:val="20"/>
          <w:lang w:val="en-US" w:eastAsia="en-US"/>
        </w:rPr>
        <w:t>References</w:t>
      </w:r>
    </w:p>
    <w:p w:rsidR="00A6525B" w:rsidRPr="00AB4889" w:rsidRDefault="00A6525B" w:rsidP="00BF021D">
      <w:pPr>
        <w:pStyle w:val="EndNoteBibliography"/>
        <w:spacing w:after="0" w:line="480" w:lineRule="auto"/>
        <w:jc w:val="both"/>
        <w:rPr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fldChar w:fldCharType="begin"/>
      </w:r>
      <w:r>
        <w:rPr>
          <w:rFonts w:ascii="Arial" w:hAnsi="Arial" w:cs="Arial"/>
          <w:b/>
          <w:sz w:val="20"/>
          <w:szCs w:val="20"/>
          <w:lang w:val="en-US"/>
        </w:rPr>
        <w:instrText xml:space="preserve"> ADDIN EN.REFLIST </w:instrText>
      </w:r>
      <w:r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Pr="00AB4889">
        <w:rPr>
          <w:lang w:val="en-US"/>
        </w:rPr>
        <w:t>McKinnon, C.M., and Docherty, K. (2001). Pancreatic duodenal homeobox-1, PDX-1, a major regulator of beta cell identity and function. Diabetologia</w:t>
      </w:r>
      <w:r w:rsidRPr="00AB4889">
        <w:rPr>
          <w:i/>
          <w:lang w:val="en-US"/>
        </w:rPr>
        <w:t xml:space="preserve"> 44</w:t>
      </w:r>
      <w:r w:rsidRPr="00AB4889">
        <w:rPr>
          <w:lang w:val="en-US"/>
        </w:rPr>
        <w:t>, 1203-1214.</w:t>
      </w:r>
    </w:p>
    <w:p w:rsidR="00A6525B" w:rsidRPr="00AB4889" w:rsidRDefault="00A6525B" w:rsidP="00BF021D">
      <w:pPr>
        <w:pStyle w:val="EndNoteBibliography"/>
        <w:spacing w:after="0" w:line="480" w:lineRule="auto"/>
        <w:jc w:val="both"/>
        <w:rPr>
          <w:lang w:val="en-US"/>
        </w:rPr>
      </w:pPr>
      <w:r w:rsidRPr="00AB4889">
        <w:rPr>
          <w:lang w:val="en-US"/>
        </w:rPr>
        <w:t>Takahashi, K., Tanabe, K., Ohnuki, M., Narita, M., Ichisaka, T., Tomoda, K., and Yamanaka, S. (2007). Induction of pluripotent stem cells from adult human fibroblasts by defined factors. Cell</w:t>
      </w:r>
      <w:r w:rsidRPr="00AB4889">
        <w:rPr>
          <w:i/>
          <w:lang w:val="en-US"/>
        </w:rPr>
        <w:t xml:space="preserve"> 131</w:t>
      </w:r>
      <w:r w:rsidRPr="00AB4889">
        <w:rPr>
          <w:lang w:val="en-US"/>
        </w:rPr>
        <w:t>, 861-872.</w:t>
      </w:r>
    </w:p>
    <w:p w:rsidR="00A6525B" w:rsidRPr="00AB4889" w:rsidRDefault="00A6525B" w:rsidP="00BF021D">
      <w:pPr>
        <w:pStyle w:val="EndNoteBibliography"/>
        <w:spacing w:line="480" w:lineRule="auto"/>
        <w:jc w:val="both"/>
        <w:rPr>
          <w:lang w:val="en-US"/>
        </w:rPr>
      </w:pPr>
      <w:r w:rsidRPr="00AB4889">
        <w:rPr>
          <w:lang w:val="en-US"/>
        </w:rPr>
        <w:t>Yu, J., Chau, K.F., Vodyanik, M.A., Jiang, J., and Jiang, Y. (2011). Efficient feeder-free episomal reprogramming with small molecules. PLoS One</w:t>
      </w:r>
      <w:r w:rsidRPr="00AB4889">
        <w:rPr>
          <w:i/>
          <w:lang w:val="en-US"/>
        </w:rPr>
        <w:t xml:space="preserve"> 6</w:t>
      </w:r>
      <w:r w:rsidRPr="00AB4889">
        <w:rPr>
          <w:lang w:val="en-US"/>
        </w:rPr>
        <w:t>, e17557.</w:t>
      </w:r>
    </w:p>
    <w:p w:rsidR="00112383" w:rsidRDefault="00A6525B" w:rsidP="00BF021D">
      <w:pPr>
        <w:spacing w:line="48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fldChar w:fldCharType="end"/>
      </w:r>
    </w:p>
    <w:sectPr w:rsidR="001123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B5184"/>
    <w:multiLevelType w:val="multilevel"/>
    <w:tmpl w:val="0CCE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0wxdpzd9vd5r7e9t5b595djrfpttrxw9avp&quot;&gt;Sample_Library_X7&lt;record-ids&gt;&lt;item&gt;4288&lt;/item&gt;&lt;item&gt;4540&lt;/item&gt;&lt;item&gt;4541&lt;/item&gt;&lt;/record-ids&gt;&lt;/item&gt;&lt;/Libraries&gt;"/>
  </w:docVars>
  <w:rsids>
    <w:rsidRoot w:val="000234E9"/>
    <w:rsid w:val="00020FD4"/>
    <w:rsid w:val="000234E9"/>
    <w:rsid w:val="00031787"/>
    <w:rsid w:val="00035235"/>
    <w:rsid w:val="0005546F"/>
    <w:rsid w:val="000971FD"/>
    <w:rsid w:val="000A09DB"/>
    <w:rsid w:val="000D66E3"/>
    <w:rsid w:val="000D7D26"/>
    <w:rsid w:val="000F3A7C"/>
    <w:rsid w:val="00112383"/>
    <w:rsid w:val="00140E2E"/>
    <w:rsid w:val="001419E0"/>
    <w:rsid w:val="001667E3"/>
    <w:rsid w:val="001826F9"/>
    <w:rsid w:val="00196D0B"/>
    <w:rsid w:val="001B72D0"/>
    <w:rsid w:val="001C3050"/>
    <w:rsid w:val="001E76B0"/>
    <w:rsid w:val="001F0C78"/>
    <w:rsid w:val="001F50DF"/>
    <w:rsid w:val="0020041F"/>
    <w:rsid w:val="002128F5"/>
    <w:rsid w:val="0022310A"/>
    <w:rsid w:val="00242E26"/>
    <w:rsid w:val="00294AF1"/>
    <w:rsid w:val="0029747C"/>
    <w:rsid w:val="002A4B0F"/>
    <w:rsid w:val="002D3678"/>
    <w:rsid w:val="002F09FF"/>
    <w:rsid w:val="00304537"/>
    <w:rsid w:val="00323555"/>
    <w:rsid w:val="00331CEB"/>
    <w:rsid w:val="00342A93"/>
    <w:rsid w:val="00355714"/>
    <w:rsid w:val="00382F71"/>
    <w:rsid w:val="003B23AF"/>
    <w:rsid w:val="003E1BAE"/>
    <w:rsid w:val="003F3A23"/>
    <w:rsid w:val="004247F3"/>
    <w:rsid w:val="004562AF"/>
    <w:rsid w:val="00461191"/>
    <w:rsid w:val="00471C1D"/>
    <w:rsid w:val="00471DCA"/>
    <w:rsid w:val="004912BF"/>
    <w:rsid w:val="00494AE7"/>
    <w:rsid w:val="004978B7"/>
    <w:rsid w:val="004C45FC"/>
    <w:rsid w:val="004D161B"/>
    <w:rsid w:val="00541EB2"/>
    <w:rsid w:val="00552BBC"/>
    <w:rsid w:val="00593674"/>
    <w:rsid w:val="006316CE"/>
    <w:rsid w:val="0068463F"/>
    <w:rsid w:val="00690561"/>
    <w:rsid w:val="006A1C2B"/>
    <w:rsid w:val="006A3686"/>
    <w:rsid w:val="006B6FE1"/>
    <w:rsid w:val="00735819"/>
    <w:rsid w:val="00744BFB"/>
    <w:rsid w:val="007A4AAB"/>
    <w:rsid w:val="007A6DB3"/>
    <w:rsid w:val="008113BD"/>
    <w:rsid w:val="00816693"/>
    <w:rsid w:val="00823496"/>
    <w:rsid w:val="00856A9B"/>
    <w:rsid w:val="00857A00"/>
    <w:rsid w:val="00872002"/>
    <w:rsid w:val="00891B73"/>
    <w:rsid w:val="008A5EF9"/>
    <w:rsid w:val="008B7A25"/>
    <w:rsid w:val="00900B71"/>
    <w:rsid w:val="00914B1E"/>
    <w:rsid w:val="0091792E"/>
    <w:rsid w:val="00943131"/>
    <w:rsid w:val="00961D2A"/>
    <w:rsid w:val="009A20C0"/>
    <w:rsid w:val="009B3847"/>
    <w:rsid w:val="00A020AF"/>
    <w:rsid w:val="00A124A3"/>
    <w:rsid w:val="00A62744"/>
    <w:rsid w:val="00A6525B"/>
    <w:rsid w:val="00A74E30"/>
    <w:rsid w:val="00AA2017"/>
    <w:rsid w:val="00AA275C"/>
    <w:rsid w:val="00AB4889"/>
    <w:rsid w:val="00B10E10"/>
    <w:rsid w:val="00B5748A"/>
    <w:rsid w:val="00B649C9"/>
    <w:rsid w:val="00B946D6"/>
    <w:rsid w:val="00BA2860"/>
    <w:rsid w:val="00BA3505"/>
    <w:rsid w:val="00BB5CE9"/>
    <w:rsid w:val="00BD29A0"/>
    <w:rsid w:val="00BF021D"/>
    <w:rsid w:val="00BF35CD"/>
    <w:rsid w:val="00C21418"/>
    <w:rsid w:val="00CB6AEB"/>
    <w:rsid w:val="00CD18DA"/>
    <w:rsid w:val="00CE014F"/>
    <w:rsid w:val="00D178E5"/>
    <w:rsid w:val="00D22F01"/>
    <w:rsid w:val="00D76D09"/>
    <w:rsid w:val="00D82405"/>
    <w:rsid w:val="00D92C1D"/>
    <w:rsid w:val="00DA5F97"/>
    <w:rsid w:val="00DB02A4"/>
    <w:rsid w:val="00DE1EDD"/>
    <w:rsid w:val="00DF302B"/>
    <w:rsid w:val="00E01856"/>
    <w:rsid w:val="00E119FB"/>
    <w:rsid w:val="00E30BE6"/>
    <w:rsid w:val="00E772C8"/>
    <w:rsid w:val="00E916C3"/>
    <w:rsid w:val="00EC0FB9"/>
    <w:rsid w:val="00ED7ED1"/>
    <w:rsid w:val="00EF5F9D"/>
    <w:rsid w:val="00F042C8"/>
    <w:rsid w:val="00F26CF3"/>
    <w:rsid w:val="00F83FD3"/>
    <w:rsid w:val="00F90DFC"/>
    <w:rsid w:val="00FA2572"/>
    <w:rsid w:val="00FA37A5"/>
    <w:rsid w:val="00FB0962"/>
    <w:rsid w:val="00FB347D"/>
    <w:rsid w:val="00FC7363"/>
    <w:rsid w:val="00FE0787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240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5748A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CD18DA"/>
  </w:style>
  <w:style w:type="character" w:styleId="Kommentarzeichen">
    <w:name w:val="annotation reference"/>
    <w:basedOn w:val="Absatz-Standardschriftart"/>
    <w:uiPriority w:val="99"/>
    <w:semiHidden/>
    <w:unhideWhenUsed/>
    <w:rsid w:val="00112383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2383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2383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2383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7A00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7A00"/>
    <w:rPr>
      <w:b/>
      <w:bCs/>
      <w:sz w:val="20"/>
      <w:szCs w:val="20"/>
    </w:rPr>
  </w:style>
  <w:style w:type="paragraph" w:customStyle="1" w:styleId="EndNoteBibliographyTitle">
    <w:name w:val="EndNote Bibliography Title"/>
    <w:basedOn w:val="Standard"/>
    <w:link w:val="EndNoteBibliographyTitleChar"/>
    <w:rsid w:val="00A6525B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Absatz-Standardschriftart"/>
    <w:link w:val="EndNoteBibliographyTitle"/>
    <w:rsid w:val="00A6525B"/>
    <w:rPr>
      <w:rFonts w:ascii="Calibri" w:hAnsi="Calibri"/>
      <w:noProof/>
    </w:rPr>
  </w:style>
  <w:style w:type="paragraph" w:customStyle="1" w:styleId="EndNoteBibliography">
    <w:name w:val="EndNote Bibliography"/>
    <w:basedOn w:val="Standard"/>
    <w:link w:val="EndNoteBibliographyChar"/>
    <w:rsid w:val="00A6525B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Absatz-Standardschriftart"/>
    <w:link w:val="EndNoteBibliography"/>
    <w:rsid w:val="00A6525B"/>
    <w:rPr>
      <w:rFonts w:ascii="Calibri" w:hAnsi="Calibri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240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5748A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CD18DA"/>
  </w:style>
  <w:style w:type="character" w:styleId="Kommentarzeichen">
    <w:name w:val="annotation reference"/>
    <w:basedOn w:val="Absatz-Standardschriftart"/>
    <w:uiPriority w:val="99"/>
    <w:semiHidden/>
    <w:unhideWhenUsed/>
    <w:rsid w:val="00112383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2383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2383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2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2383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7A00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7A00"/>
    <w:rPr>
      <w:b/>
      <w:bCs/>
      <w:sz w:val="20"/>
      <w:szCs w:val="20"/>
    </w:rPr>
  </w:style>
  <w:style w:type="paragraph" w:customStyle="1" w:styleId="EndNoteBibliographyTitle">
    <w:name w:val="EndNote Bibliography Title"/>
    <w:basedOn w:val="Standard"/>
    <w:link w:val="EndNoteBibliographyTitleChar"/>
    <w:rsid w:val="00A6525B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Absatz-Standardschriftart"/>
    <w:link w:val="EndNoteBibliographyTitle"/>
    <w:rsid w:val="00A6525B"/>
    <w:rPr>
      <w:rFonts w:ascii="Calibri" w:hAnsi="Calibri"/>
      <w:noProof/>
    </w:rPr>
  </w:style>
  <w:style w:type="paragraph" w:customStyle="1" w:styleId="EndNoteBibliography">
    <w:name w:val="EndNote Bibliography"/>
    <w:basedOn w:val="Standard"/>
    <w:link w:val="EndNoteBibliographyChar"/>
    <w:rsid w:val="00A6525B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Absatz-Standardschriftart"/>
    <w:link w:val="EndNoteBibliography"/>
    <w:rsid w:val="00A6525B"/>
    <w:rPr>
      <w:rFonts w:ascii="Calibri" w:hAnsi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2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article/pii/S092547731530037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ciencedirect.com/science/article/pii/S092547731530037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hum-en.e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eiko.lickert@helmholtz-muench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8D229-3024-47E2-9607-00B0E9AFD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1999</Words>
  <Characters>16464</Characters>
  <Application>Microsoft Office Word</Application>
  <DocSecurity>0</DocSecurity>
  <Lines>137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Helmholtz Zentrum München</Company>
  <LinksUpToDate>false</LinksUpToDate>
  <CharactersWithSpaces>18427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xianming.wang</dc:creator>
  <cp:lastModifiedBy>katrin.rauner</cp:lastModifiedBy>
  <cp:revision>2</cp:revision>
  <cp:lastPrinted>2016-08-02T13:13:00Z</cp:lastPrinted>
  <dcterms:created xsi:type="dcterms:W3CDTF">2017-02-07T09:12:00Z</dcterms:created>
  <dcterms:modified xsi:type="dcterms:W3CDTF">2017-02-07T09:12:00Z</dcterms:modified>
</cp:coreProperties>
</file>