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D11" w:rsidRPr="0032447D" w:rsidRDefault="00347D11" w:rsidP="00347D11">
      <w:pPr>
        <w:spacing w:line="480" w:lineRule="auto"/>
        <w:jc w:val="both"/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en-US"/>
        </w:rPr>
      </w:pPr>
      <w:bookmarkStart w:id="0" w:name="_GoBack"/>
      <w:bookmarkEnd w:id="0"/>
      <w:r w:rsidRPr="0032447D">
        <w:rPr>
          <w:rFonts w:ascii="Times New Roman" w:hAnsi="Times New Roman" w:cs="Times New Roman"/>
          <w:b/>
          <w:sz w:val="22"/>
          <w:szCs w:val="22"/>
          <w:shd w:val="clear" w:color="auto" w:fill="FFFFFF"/>
          <w:lang w:val="en-US"/>
        </w:rPr>
        <w:t>Human neutrophil peptide 1 limits hypercholesterolemia-induced atherosclerosis by increasing hepatic LDL clearance</w:t>
      </w:r>
    </w:p>
    <w:p w:rsidR="00347D11" w:rsidRPr="0032447D" w:rsidRDefault="00347D11" w:rsidP="00347D11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Nicole Paulin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1*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Yvonne Döring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1*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, Sander </w:t>
      </w:r>
      <w:r w:rsidRPr="0032447D">
        <w:rPr>
          <w:rFonts w:ascii="Times New Roman" w:hAnsi="Times New Roman" w:cs="Times New Roman"/>
          <w:color w:val="000000"/>
          <w:sz w:val="22"/>
          <w:szCs w:val="22"/>
          <w:lang w:val="en-US"/>
        </w:rPr>
        <w:t>Kooijman</w:t>
      </w:r>
      <w:r w:rsidRPr="0032447D">
        <w:rPr>
          <w:rFonts w:ascii="Times New Roman" w:hAnsi="Times New Roman" w:cs="Times New Roman"/>
          <w:color w:val="000000"/>
          <w:sz w:val="22"/>
          <w:szCs w:val="22"/>
          <w:vertAlign w:val="superscript"/>
          <w:lang w:val="en-US"/>
        </w:rPr>
        <w:t>2,</w:t>
      </w: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3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Xavier Blanchet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Joana R. Viola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1,4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Renske de Jong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1,4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Manuela Mandl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, Jeffrey </w:t>
      </w:r>
      <w:r w:rsidR="004F4018"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Hendri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kse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1,4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Maximilian Schiener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Philipp von Hundelshausen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Anja Vogt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5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Christian Weber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1,6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Khalil Bdeir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7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Susanna M. Hofmann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5,8,9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Patrick C.N. Rensen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2,</w:t>
      </w: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3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Maik</w:t>
      </w:r>
      <w:proofErr w:type="spellEnd"/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Drechsler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1,4,6#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>, Oliver Soehnlein</w:t>
      </w:r>
      <w:r w:rsidRPr="0032447D">
        <w:rPr>
          <w:rFonts w:ascii="Times New Roman" w:hAnsi="Times New Roman" w:cs="Times New Roman"/>
          <w:sz w:val="22"/>
          <w:szCs w:val="22"/>
          <w:shd w:val="clear" w:color="auto" w:fill="FFFFFF"/>
          <w:vertAlign w:val="superscript"/>
          <w:lang w:val="en-US"/>
        </w:rPr>
        <w:t>1,4,6#</w:t>
      </w:r>
    </w:p>
    <w:p w:rsidR="004D2DED" w:rsidRPr="0032447D" w:rsidRDefault="004D2DED" w:rsidP="004D2DE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4D2DED" w:rsidRPr="0032447D" w:rsidRDefault="004D2DED" w:rsidP="004D2DE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lang w:val="en-US"/>
        </w:rPr>
        <w:t>Running title: HNP1 limits atherosclerosis</w:t>
      </w:r>
    </w:p>
    <w:p w:rsidR="004D2DED" w:rsidRPr="0032447D" w:rsidRDefault="004D2DED" w:rsidP="004D2DE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4D2DED" w:rsidRPr="0032447D" w:rsidRDefault="004D2DED" w:rsidP="004D2DE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*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32447D">
        <w:rPr>
          <w:rFonts w:ascii="Times New Roman" w:hAnsi="Times New Roman" w:cs="Times New Roman"/>
          <w:sz w:val="22"/>
          <w:szCs w:val="22"/>
          <w:lang w:val="en-US"/>
        </w:rPr>
        <w:t>and</w:t>
      </w:r>
      <w:proofErr w:type="gramEnd"/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#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 denote equal contribution</w:t>
      </w:r>
    </w:p>
    <w:p w:rsidR="004D2DED" w:rsidRPr="0032447D" w:rsidRDefault="004D2DED" w:rsidP="004D2DE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>Institute for Cardiovascular Prevention (IPEK), LMU Munich, Munich, 80336, Germany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2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>Department of Medicine, Division of Endocrinology, Leiden University Medical Center, 2300 RC Leiden, the Netherlands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3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>Einthoven Laboratory for Vascular Medicine, Leiden University Medical Center, 2300 RC Leiden, the Netherlands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4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Department of Pathology, AMC, 1105 AZ, Amsterdam, the Netherlands 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</w:rPr>
      </w:pPr>
      <w:r w:rsidRPr="0032447D">
        <w:rPr>
          <w:rFonts w:ascii="Times New Roman" w:hAnsi="Times New Roman" w:cs="Times New Roman"/>
          <w:sz w:val="22"/>
          <w:szCs w:val="22"/>
          <w:vertAlign w:val="superscript"/>
        </w:rPr>
        <w:t>5</w:t>
      </w:r>
      <w:r w:rsidRPr="0032447D">
        <w:rPr>
          <w:rFonts w:ascii="Times New Roman" w:hAnsi="Times New Roman" w:cs="Times New Roman"/>
          <w:sz w:val="22"/>
          <w:szCs w:val="22"/>
        </w:rPr>
        <w:t>Medizinische Klinik und Poliklinik IV, Klinikum der LMU München, Munich, 80336, Germany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6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>DZHK, partner site Munich Heart Alliance, Munich, 80336, Germany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7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>Department of Pathology and Laboratory Medicine, University of Pennsylvania, Philadelphia, PA, 19104, USA.</w:t>
      </w:r>
      <w:proofErr w:type="gramEnd"/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8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>Institute for Diabetes and Regeneration, Helmholtz Center Munich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vertAlign w:val="superscript"/>
          <w:lang w:val="en-US"/>
        </w:rPr>
        <w:t>9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German Center for Diabetes Research (DZD) </w:t>
      </w:r>
      <w:proofErr w:type="spellStart"/>
      <w:r w:rsidRPr="0032447D">
        <w:rPr>
          <w:rFonts w:ascii="Times New Roman" w:hAnsi="Times New Roman" w:cs="Times New Roman"/>
          <w:sz w:val="22"/>
          <w:szCs w:val="22"/>
          <w:lang w:val="en-US"/>
        </w:rPr>
        <w:t>München-Neuherberg</w:t>
      </w:r>
      <w:proofErr w:type="spellEnd"/>
      <w:r w:rsidRPr="0032447D">
        <w:rPr>
          <w:rFonts w:ascii="Times New Roman" w:hAnsi="Times New Roman" w:cs="Times New Roman"/>
          <w:sz w:val="22"/>
          <w:szCs w:val="22"/>
          <w:lang w:val="en-US"/>
        </w:rPr>
        <w:t>, Germany</w:t>
      </w:r>
    </w:p>
    <w:p w:rsidR="004D2DED" w:rsidRPr="0032447D" w:rsidRDefault="004D2DED" w:rsidP="004D2DE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4D2DED" w:rsidRPr="0032447D" w:rsidRDefault="004D2DED" w:rsidP="004D2DED">
      <w:pPr>
        <w:spacing w:line="480" w:lineRule="auto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Contact information:  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Oliver </w:t>
      </w:r>
      <w:proofErr w:type="spellStart"/>
      <w:r w:rsidRPr="0032447D">
        <w:rPr>
          <w:rFonts w:ascii="Times New Roman" w:hAnsi="Times New Roman" w:cs="Times New Roman"/>
          <w:sz w:val="22"/>
          <w:szCs w:val="22"/>
          <w:lang w:val="en-US"/>
        </w:rPr>
        <w:t>Soehnlein</w:t>
      </w:r>
      <w:proofErr w:type="spellEnd"/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Institute for Cardiovascular Prevention 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lang w:val="en-US"/>
        </w:rPr>
        <w:t>Ludwig-</w:t>
      </w:r>
      <w:proofErr w:type="spellStart"/>
      <w:r w:rsidRPr="0032447D">
        <w:rPr>
          <w:rFonts w:ascii="Times New Roman" w:hAnsi="Times New Roman" w:cs="Times New Roman"/>
          <w:sz w:val="22"/>
          <w:szCs w:val="22"/>
          <w:lang w:val="en-US"/>
        </w:rPr>
        <w:t>Maximilians</w:t>
      </w:r>
      <w:proofErr w:type="spellEnd"/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-University Munich 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proofErr w:type="spellStart"/>
      <w:proofErr w:type="gramStart"/>
      <w:r w:rsidRPr="0032447D">
        <w:rPr>
          <w:rFonts w:ascii="Times New Roman" w:hAnsi="Times New Roman" w:cs="Times New Roman"/>
          <w:sz w:val="22"/>
          <w:szCs w:val="22"/>
          <w:lang w:val="en-US"/>
        </w:rPr>
        <w:t>Pettenkoferstr</w:t>
      </w:r>
      <w:proofErr w:type="spellEnd"/>
      <w:r w:rsidRPr="0032447D">
        <w:rPr>
          <w:rFonts w:ascii="Times New Roman" w:hAnsi="Times New Roman" w:cs="Times New Roman"/>
          <w:sz w:val="22"/>
          <w:szCs w:val="22"/>
          <w:lang w:val="en-US"/>
        </w:rPr>
        <w:t>.</w:t>
      </w:r>
      <w:proofErr w:type="gramEnd"/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 9, 80336 Munich 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Phone: +49-(0)89-4400-54667 </w:t>
      </w:r>
    </w:p>
    <w:p w:rsidR="004D2DED" w:rsidRPr="0032447D" w:rsidRDefault="004D2DED" w:rsidP="004D2DED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lang w:val="en-US"/>
        </w:rPr>
        <w:t>Email: oliver.soehnlein@gmail.com</w:t>
      </w:r>
    </w:p>
    <w:p w:rsidR="004D2DED" w:rsidRPr="0032447D" w:rsidRDefault="004D2DED" w:rsidP="004D2DED">
      <w:pPr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4D2DED" w:rsidRPr="0032447D" w:rsidRDefault="004D2DED" w:rsidP="004D2DED">
      <w:pPr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sz w:val="22"/>
          <w:szCs w:val="22"/>
          <w:lang w:val="en-US"/>
        </w:rPr>
      </w:pPr>
    </w:p>
    <w:p w:rsidR="006D7F2C" w:rsidRPr="0032447D" w:rsidRDefault="006D7F2C" w:rsidP="004D2DED">
      <w:pPr>
        <w:autoSpaceDE/>
        <w:autoSpaceDN/>
        <w:adjustRightInd/>
        <w:spacing w:line="480" w:lineRule="auto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b/>
          <w:sz w:val="22"/>
          <w:szCs w:val="22"/>
          <w:lang w:val="en-US"/>
        </w:rPr>
        <w:t>- Data supplement -</w:t>
      </w:r>
    </w:p>
    <w:p w:rsidR="006D7F2C" w:rsidRPr="0032447D" w:rsidRDefault="006D7F2C">
      <w:pPr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2"/>
          <w:szCs w:val="22"/>
          <w:lang w:val="en-US"/>
        </w:rPr>
      </w:pPr>
      <w:r w:rsidRPr="0032447D">
        <w:rPr>
          <w:rFonts w:ascii="Times New Roman" w:hAnsi="Times New Roman" w:cs="Times New Roman"/>
          <w:sz w:val="22"/>
          <w:szCs w:val="22"/>
          <w:lang w:val="en-US"/>
        </w:rPr>
        <w:br w:type="page"/>
      </w:r>
    </w:p>
    <w:p w:rsidR="005E0516" w:rsidRPr="0032447D" w:rsidRDefault="000D7B2F" w:rsidP="005E0516">
      <w:pPr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3834000" cy="1224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000" cy="12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0516" w:rsidRPr="0032447D" w:rsidRDefault="005E0516" w:rsidP="005129B3">
      <w:pPr>
        <w:autoSpaceDE/>
        <w:autoSpaceDN/>
        <w:adjustRightInd/>
        <w:spacing w:after="200"/>
        <w:jc w:val="both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b/>
          <w:lang w:val="en-US"/>
        </w:rPr>
        <w:t>Figure S1: HNP1 plasma levels in</w:t>
      </w:r>
      <w:r w:rsidR="000D7B2F" w:rsidRPr="0032447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0D7B2F" w:rsidRPr="0032447D">
        <w:rPr>
          <w:rFonts w:ascii="Times New Roman" w:hAnsi="Times New Roman" w:cs="Times New Roman"/>
          <w:b/>
          <w:i/>
          <w:lang w:val="en-US"/>
        </w:rPr>
        <w:t>Apoe</w:t>
      </w:r>
      <w:proofErr w:type="spellEnd"/>
      <w:r w:rsidR="000D7B2F" w:rsidRPr="0032447D">
        <w:rPr>
          <w:rFonts w:ascii="Times New Roman" w:hAnsi="Times New Roman" w:cs="Times New Roman"/>
          <w:b/>
          <w:i/>
          <w:vertAlign w:val="superscript"/>
          <w:lang w:val="en-US"/>
        </w:rPr>
        <w:t>-/-</w:t>
      </w:r>
      <w:r w:rsidR="000D7B2F" w:rsidRPr="0032447D">
        <w:rPr>
          <w:rFonts w:ascii="Times New Roman" w:hAnsi="Times New Roman" w:cs="Times New Roman"/>
          <w:b/>
          <w:lang w:val="en-US"/>
        </w:rPr>
        <w:t xml:space="preserve"> and</w:t>
      </w:r>
      <w:r w:rsidRPr="0032447D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32447D">
        <w:rPr>
          <w:rFonts w:ascii="Times New Roman" w:hAnsi="Times New Roman" w:cs="Times New Roman"/>
          <w:b/>
          <w:i/>
          <w:lang w:val="en-US"/>
        </w:rPr>
        <w:t>Apoe</w:t>
      </w:r>
      <w:proofErr w:type="spellEnd"/>
      <w:r w:rsidRPr="0032447D">
        <w:rPr>
          <w:rFonts w:ascii="Times New Roman" w:hAnsi="Times New Roman" w:cs="Times New Roman"/>
          <w:b/>
          <w:i/>
          <w:vertAlign w:val="superscript"/>
          <w:lang w:val="en-US"/>
        </w:rPr>
        <w:t>-/-</w:t>
      </w:r>
      <w:r w:rsidRPr="0032447D">
        <w:rPr>
          <w:rFonts w:ascii="Times New Roman" w:hAnsi="Times New Roman" w:cs="Times New Roman"/>
          <w:b/>
          <w:i/>
          <w:lang w:val="en-US"/>
        </w:rPr>
        <w:t>HNP1</w:t>
      </w:r>
      <w:r w:rsidRPr="0032447D">
        <w:rPr>
          <w:rFonts w:ascii="Times New Roman" w:hAnsi="Times New Roman" w:cs="Times New Roman"/>
          <w:b/>
          <w:i/>
          <w:vertAlign w:val="superscript"/>
          <w:lang w:val="en-US"/>
        </w:rPr>
        <w:t>tg/</w:t>
      </w:r>
      <w:proofErr w:type="spellStart"/>
      <w:r w:rsidRPr="0032447D">
        <w:rPr>
          <w:rFonts w:ascii="Times New Roman" w:hAnsi="Times New Roman" w:cs="Times New Roman"/>
          <w:b/>
          <w:i/>
          <w:vertAlign w:val="superscript"/>
          <w:lang w:val="en-US"/>
        </w:rPr>
        <w:t>tg</w:t>
      </w:r>
      <w:proofErr w:type="spellEnd"/>
      <w:r w:rsidRPr="0032447D">
        <w:rPr>
          <w:rFonts w:ascii="Times New Roman" w:hAnsi="Times New Roman" w:cs="Times New Roman"/>
          <w:b/>
          <w:lang w:val="en-US"/>
        </w:rPr>
        <w:t xml:space="preserve"> mice.</w:t>
      </w:r>
      <w:r w:rsidRPr="0032447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129B3"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="005129B3"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="005129B3" w:rsidRPr="0032447D">
        <w:rPr>
          <w:rFonts w:ascii="Times New Roman" w:hAnsi="Times New Roman" w:cs="Times New Roman"/>
          <w:lang w:val="en-US"/>
        </w:rPr>
        <w:t xml:space="preserve"> or </w:t>
      </w:r>
      <w:proofErr w:type="spellStart"/>
      <w:r w:rsidR="005129B3"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="005129B3"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="005129B3" w:rsidRPr="0032447D">
        <w:rPr>
          <w:rFonts w:ascii="Times New Roman" w:hAnsi="Times New Roman" w:cs="Times New Roman"/>
          <w:i/>
          <w:lang w:val="en-US"/>
        </w:rPr>
        <w:t>HNP1</w:t>
      </w:r>
      <w:r w:rsidR="005129B3" w:rsidRPr="0032447D">
        <w:rPr>
          <w:rFonts w:ascii="Times New Roman" w:hAnsi="Times New Roman" w:cs="Times New Roman"/>
          <w:i/>
          <w:vertAlign w:val="superscript"/>
          <w:lang w:val="en-US"/>
        </w:rPr>
        <w:t>tg/</w:t>
      </w:r>
      <w:proofErr w:type="spellStart"/>
      <w:r w:rsidR="005129B3" w:rsidRPr="0032447D">
        <w:rPr>
          <w:rFonts w:ascii="Times New Roman" w:hAnsi="Times New Roman" w:cs="Times New Roman"/>
          <w:i/>
          <w:vertAlign w:val="superscript"/>
          <w:lang w:val="en-US"/>
        </w:rPr>
        <w:t>tg</w:t>
      </w:r>
      <w:proofErr w:type="spellEnd"/>
      <w:r w:rsidR="005129B3" w:rsidRPr="0032447D">
        <w:rPr>
          <w:rFonts w:ascii="Times New Roman" w:hAnsi="Times New Roman" w:cs="Times New Roman"/>
          <w:lang w:val="en-US"/>
        </w:rPr>
        <w:t xml:space="preserve"> mice were fed a high fat diet for four weeks. Recombinant HNP1 (A) or plasma (B) were spotted on a nitrocellulose membrane and probed with an antibody to HNP1. </w:t>
      </w:r>
      <w:r w:rsidR="000D7B2F" w:rsidRPr="0032447D">
        <w:rPr>
          <w:rFonts w:ascii="Times New Roman" w:hAnsi="Times New Roman" w:cs="Times New Roman"/>
          <w:lang w:val="en-US"/>
        </w:rPr>
        <w:t>Each dot in (B) corresponds to a mouse in figure 1.</w:t>
      </w:r>
      <w:r w:rsidRPr="0032447D">
        <w:rPr>
          <w:rFonts w:ascii="Times New Roman" w:hAnsi="Times New Roman" w:cs="Times New Roman"/>
          <w:lang w:val="en-US"/>
        </w:rPr>
        <w:br w:type="page"/>
      </w:r>
    </w:p>
    <w:p w:rsidR="005E0516" w:rsidRPr="0032447D" w:rsidRDefault="00C57886" w:rsidP="005E0516">
      <w:pPr>
        <w:jc w:val="center"/>
        <w:rPr>
          <w:rFonts w:ascii="Times New Roman" w:hAnsi="Times New Roman" w:cs="Times New Roman"/>
          <w:b/>
          <w:lang w:val="en-US"/>
        </w:rPr>
      </w:pPr>
      <w:r w:rsidRPr="0032447D">
        <w:rPr>
          <w:rFonts w:ascii="Times New Roman" w:hAnsi="Times New Roman" w:cs="Times New Roman"/>
          <w:b/>
          <w:noProof/>
          <w:lang w:val="en-US" w:eastAsia="en-US"/>
        </w:rPr>
        <w:lastRenderedPageBreak/>
        <w:drawing>
          <wp:inline distT="0" distB="0" distL="0" distR="0">
            <wp:extent cx="5675319" cy="1757238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20504"/>
                    <a:stretch/>
                  </pic:blipFill>
                  <pic:spPr bwMode="auto">
                    <a:xfrm>
                      <a:off x="0" y="0"/>
                      <a:ext cx="5684400" cy="176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B039D" w:rsidRPr="0032447D" w:rsidRDefault="006B039D" w:rsidP="00313A75">
      <w:pPr>
        <w:jc w:val="both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b/>
          <w:lang w:val="en-US"/>
        </w:rPr>
        <w:t>Figure S</w:t>
      </w:r>
      <w:r w:rsidR="005E0516" w:rsidRPr="0032447D">
        <w:rPr>
          <w:rFonts w:ascii="Times New Roman" w:hAnsi="Times New Roman" w:cs="Times New Roman"/>
          <w:b/>
          <w:lang w:val="en-US"/>
        </w:rPr>
        <w:t>2</w:t>
      </w:r>
      <w:r w:rsidRPr="0032447D">
        <w:rPr>
          <w:rFonts w:ascii="Times New Roman" w:hAnsi="Times New Roman" w:cs="Times New Roman"/>
          <w:b/>
          <w:lang w:val="en-US"/>
        </w:rPr>
        <w:t>:</w:t>
      </w:r>
      <w:r w:rsidRPr="0032447D">
        <w:rPr>
          <w:rFonts w:ascii="Times New Roman" w:hAnsi="Times New Roman" w:cs="Times New Roman"/>
          <w:lang w:val="en-US"/>
        </w:rPr>
        <w:t xml:space="preserve"> </w:t>
      </w:r>
      <w:r w:rsidRPr="0032447D">
        <w:rPr>
          <w:rFonts w:ascii="Times New Roman" w:hAnsi="Times New Roman" w:cs="Times New Roman"/>
          <w:b/>
          <w:lang w:val="en-US"/>
        </w:rPr>
        <w:t xml:space="preserve">Transgenic expression of HNP1 does not affect lesional neutrophil accumulation and plasma triglyceride levels. </w:t>
      </w:r>
      <w:proofErr w:type="spellStart"/>
      <w:r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Pr="0032447D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Pr="0032447D">
        <w:rPr>
          <w:rFonts w:ascii="Times New Roman" w:hAnsi="Times New Roman" w:cs="Times New Roman"/>
          <w:i/>
          <w:lang w:val="en-US"/>
        </w:rPr>
        <w:t>HNP1</w:t>
      </w:r>
      <w:r w:rsidRPr="0032447D">
        <w:rPr>
          <w:rFonts w:ascii="Times New Roman" w:hAnsi="Times New Roman" w:cs="Times New Roman"/>
          <w:i/>
          <w:vertAlign w:val="superscript"/>
          <w:lang w:val="en-US"/>
        </w:rPr>
        <w:t>tg/</w:t>
      </w:r>
      <w:proofErr w:type="spellStart"/>
      <w:r w:rsidRPr="0032447D">
        <w:rPr>
          <w:rFonts w:ascii="Times New Roman" w:hAnsi="Times New Roman" w:cs="Times New Roman"/>
          <w:i/>
          <w:vertAlign w:val="superscript"/>
          <w:lang w:val="en-US"/>
        </w:rPr>
        <w:t>tg</w:t>
      </w:r>
      <w:proofErr w:type="spellEnd"/>
      <w:r w:rsidRPr="0032447D">
        <w:rPr>
          <w:rFonts w:ascii="Times New Roman" w:hAnsi="Times New Roman" w:cs="Times New Roman"/>
          <w:lang w:val="en-US"/>
        </w:rPr>
        <w:t xml:space="preserve"> mice were fed a high-fat diet for 4 weeks. </w:t>
      </w:r>
      <w:r w:rsidRPr="0032447D">
        <w:rPr>
          <w:rFonts w:ascii="Times New Roman" w:hAnsi="Times New Roman" w:cs="Times New Roman"/>
          <w:b/>
          <w:lang w:val="en-US"/>
        </w:rPr>
        <w:t>(A)</w:t>
      </w:r>
      <w:r w:rsidRPr="0032447D">
        <w:rPr>
          <w:rFonts w:ascii="Times New Roman" w:hAnsi="Times New Roman" w:cs="Times New Roman"/>
          <w:lang w:val="en-US"/>
        </w:rPr>
        <w:t xml:space="preserve"> Quantification of DAPI</w:t>
      </w:r>
      <w:r w:rsidRPr="0032447D">
        <w:rPr>
          <w:rFonts w:ascii="Times New Roman" w:hAnsi="Times New Roman" w:cs="Times New Roman"/>
          <w:vertAlign w:val="superscript"/>
          <w:lang w:val="en-US"/>
        </w:rPr>
        <w:t>+</w:t>
      </w:r>
      <w:r w:rsidRPr="0032447D">
        <w:rPr>
          <w:rFonts w:ascii="Times New Roman" w:hAnsi="Times New Roman" w:cs="Times New Roman"/>
          <w:lang w:val="en-US"/>
        </w:rPr>
        <w:t xml:space="preserve"> cells. </w:t>
      </w:r>
      <w:r w:rsidRPr="0032447D">
        <w:rPr>
          <w:rFonts w:ascii="Times New Roman" w:hAnsi="Times New Roman" w:cs="Times New Roman"/>
          <w:b/>
          <w:lang w:val="en-US"/>
        </w:rPr>
        <w:t>(B)</w:t>
      </w:r>
      <w:r w:rsidRPr="0032447D">
        <w:rPr>
          <w:rFonts w:ascii="Times New Roman" w:hAnsi="Times New Roman" w:cs="Times New Roman"/>
          <w:lang w:val="en-US"/>
        </w:rPr>
        <w:t xml:space="preserve"> Quantification of lesional neutrophils</w:t>
      </w:r>
      <w:r w:rsidR="000D7B2F" w:rsidRPr="0032447D">
        <w:rPr>
          <w:rFonts w:ascii="Times New Roman" w:hAnsi="Times New Roman" w:cs="Times New Roman"/>
          <w:lang w:val="en-US"/>
        </w:rPr>
        <w:t xml:space="preserve"> following Ly6G staining</w:t>
      </w:r>
      <w:r w:rsidRPr="0032447D">
        <w:rPr>
          <w:rFonts w:ascii="Times New Roman" w:hAnsi="Times New Roman" w:cs="Times New Roman"/>
          <w:lang w:val="en-US"/>
        </w:rPr>
        <w:t xml:space="preserve">. </w:t>
      </w:r>
      <w:r w:rsidRPr="0032447D">
        <w:rPr>
          <w:rFonts w:ascii="Times New Roman" w:hAnsi="Times New Roman" w:cs="Times New Roman"/>
          <w:b/>
          <w:lang w:val="en-US"/>
        </w:rPr>
        <w:t>(C)</w:t>
      </w:r>
      <w:r w:rsidRPr="0032447D">
        <w:rPr>
          <w:rFonts w:ascii="Times New Roman" w:hAnsi="Times New Roman" w:cs="Times New Roman"/>
          <w:lang w:val="en-US"/>
        </w:rPr>
        <w:t xml:space="preserve"> Plasma triglyceride levels. </w:t>
      </w:r>
      <w:r w:rsidR="004F643B" w:rsidRPr="0032447D">
        <w:rPr>
          <w:rFonts w:ascii="Times New Roman" w:hAnsi="Times New Roman" w:cs="Times New Roman"/>
          <w:b/>
          <w:lang w:val="en-US"/>
        </w:rPr>
        <w:t>(D)</w:t>
      </w:r>
      <w:r w:rsidR="004F643B" w:rsidRPr="0032447D">
        <w:rPr>
          <w:rFonts w:ascii="Times New Roman" w:hAnsi="Times New Roman" w:cs="Times New Roman"/>
          <w:lang w:val="en-US"/>
        </w:rPr>
        <w:t xml:space="preserve"> Pearson correlation of plasma cholesterol levels and lesion size in aortic root sections.</w:t>
      </w:r>
      <w:r w:rsidR="005E0516" w:rsidRPr="0032447D">
        <w:rPr>
          <w:rFonts w:ascii="Times New Roman" w:hAnsi="Times New Roman" w:cs="Times New Roman"/>
          <w:lang w:val="en-US"/>
        </w:rPr>
        <w:t xml:space="preserve"> </w:t>
      </w:r>
      <w:r w:rsidR="005E0516" w:rsidRPr="0032447D">
        <w:rPr>
          <w:rFonts w:ascii="Times New Roman" w:hAnsi="Times New Roman" w:cs="Times New Roman"/>
          <w:b/>
          <w:lang w:val="en-US"/>
        </w:rPr>
        <w:t>(E)</w:t>
      </w:r>
      <w:r w:rsidR="005E0516" w:rsidRPr="0032447D">
        <w:rPr>
          <w:rFonts w:ascii="Times New Roman" w:hAnsi="Times New Roman" w:cs="Times New Roman"/>
          <w:lang w:val="en-US"/>
        </w:rPr>
        <w:t xml:space="preserve"> </w:t>
      </w:r>
      <w:r w:rsidR="005129B3" w:rsidRPr="0032447D">
        <w:rPr>
          <w:rFonts w:ascii="Times New Roman" w:hAnsi="Times New Roman" w:cs="Times New Roman"/>
          <w:lang w:val="en-US"/>
        </w:rPr>
        <w:t xml:space="preserve">Plasma concentration of serum amyloid A (SAA). </w:t>
      </w:r>
      <w:r w:rsidR="000D7B2F" w:rsidRPr="0032447D">
        <w:rPr>
          <w:rFonts w:ascii="Times New Roman" w:hAnsi="Times New Roman" w:cs="Times New Roman"/>
          <w:lang w:val="en-US"/>
        </w:rPr>
        <w:t>Data were analyzed with unpaired t-test in (A-C) and (E).</w:t>
      </w:r>
      <w:r w:rsidR="000D7B2F" w:rsidRPr="0032447D">
        <w:rPr>
          <w:lang w:val="en-US"/>
        </w:rPr>
        <w:t xml:space="preserve"> n=10.</w:t>
      </w:r>
      <w:r w:rsidRPr="0032447D">
        <w:rPr>
          <w:rFonts w:ascii="Times New Roman" w:hAnsi="Times New Roman" w:cs="Times New Roman"/>
          <w:lang w:val="en-US"/>
        </w:rPr>
        <w:br w:type="page"/>
      </w:r>
    </w:p>
    <w:p w:rsidR="006B039D" w:rsidRPr="0032447D" w:rsidRDefault="00C57886" w:rsidP="005E0516">
      <w:pPr>
        <w:jc w:val="center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284800" cy="1864800"/>
            <wp:effectExtent l="0" t="0" r="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800" cy="186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039D" w:rsidRPr="0032447D" w:rsidRDefault="006B039D" w:rsidP="006B039D">
      <w:pPr>
        <w:jc w:val="center"/>
        <w:rPr>
          <w:rFonts w:ascii="Times New Roman" w:hAnsi="Times New Roman" w:cs="Times New Roman"/>
          <w:lang w:val="en-US"/>
        </w:rPr>
      </w:pPr>
    </w:p>
    <w:p w:rsidR="005129B3" w:rsidRPr="0032447D" w:rsidRDefault="005E0516" w:rsidP="005129B3">
      <w:pPr>
        <w:autoSpaceDE/>
        <w:autoSpaceDN/>
        <w:adjustRightInd/>
        <w:spacing w:after="200"/>
        <w:jc w:val="both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b/>
          <w:lang w:val="en-US"/>
        </w:rPr>
        <w:t>Figure S3</w:t>
      </w:r>
      <w:r w:rsidR="006B039D" w:rsidRPr="0032447D">
        <w:rPr>
          <w:rFonts w:ascii="Times New Roman" w:hAnsi="Times New Roman" w:cs="Times New Roman"/>
          <w:b/>
          <w:lang w:val="en-US"/>
        </w:rPr>
        <w:t>: Treatment with HNP1 reduces atherosclerosis. (A)</w:t>
      </w:r>
      <w:r w:rsidR="006B039D" w:rsidRPr="0032447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039D"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="006B039D"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="006B039D" w:rsidRPr="0032447D">
        <w:rPr>
          <w:rFonts w:ascii="Times New Roman" w:hAnsi="Times New Roman" w:cs="Times New Roman"/>
          <w:lang w:val="en-US"/>
        </w:rPr>
        <w:t xml:space="preserve"> mice were fed a high fat diet for four weeks. Mice were injected with a single dose of HNP1 (1 or 10 µg</w:t>
      </w:r>
      <w:r w:rsidR="000D7B2F" w:rsidRPr="0032447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0D7B2F" w:rsidRPr="0032447D">
        <w:rPr>
          <w:rFonts w:ascii="Times New Roman" w:hAnsi="Times New Roman" w:cs="Times New Roman"/>
          <w:lang w:val="en-US"/>
        </w:rPr>
        <w:t>i.v</w:t>
      </w:r>
      <w:proofErr w:type="spellEnd"/>
      <w:r w:rsidR="000D7B2F" w:rsidRPr="0032447D">
        <w:rPr>
          <w:rFonts w:ascii="Times New Roman" w:hAnsi="Times New Roman" w:cs="Times New Roman"/>
          <w:lang w:val="en-US"/>
        </w:rPr>
        <w:t>.</w:t>
      </w:r>
      <w:r w:rsidR="006B039D" w:rsidRPr="0032447D">
        <w:rPr>
          <w:rFonts w:ascii="Times New Roman" w:hAnsi="Times New Roman" w:cs="Times New Roman"/>
          <w:lang w:val="en-US"/>
        </w:rPr>
        <w:t>) or PBS and plasma was collected after 24 hours</w:t>
      </w:r>
      <w:r w:rsidR="000D7B2F" w:rsidRPr="0032447D">
        <w:rPr>
          <w:rFonts w:ascii="Times New Roman" w:hAnsi="Times New Roman" w:cs="Times New Roman"/>
          <w:lang w:val="en-US"/>
        </w:rPr>
        <w:t xml:space="preserve">. Subsequently </w:t>
      </w:r>
      <w:r w:rsidR="00851CFD" w:rsidRPr="0032447D">
        <w:rPr>
          <w:rFonts w:ascii="Times New Roman" w:hAnsi="Times New Roman" w:cs="Times New Roman"/>
          <w:lang w:val="en-US"/>
        </w:rPr>
        <w:t>plasma cholesterol levels were quantified.</w:t>
      </w:r>
      <w:r w:rsidR="006B039D" w:rsidRPr="0032447D">
        <w:rPr>
          <w:rFonts w:ascii="Times New Roman" w:hAnsi="Times New Roman" w:cs="Times New Roman"/>
          <w:lang w:val="en-US"/>
        </w:rPr>
        <w:t xml:space="preserve"> PBS-treated mice were set to 100%. </w:t>
      </w:r>
      <w:r w:rsidR="00F93E5E" w:rsidRPr="0032447D">
        <w:rPr>
          <w:rFonts w:ascii="Times New Roman" w:hAnsi="Times New Roman" w:cs="Times New Roman"/>
          <w:lang w:val="en-US"/>
        </w:rPr>
        <w:t>Data were analyzed by o</w:t>
      </w:r>
      <w:r w:rsidR="00851CFD"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ne way-ANOVA. *p&lt;0.05, ****p&lt;0.0001 vs PBS-treated mice according to Bonferroni multiple comparison test. </w:t>
      </w:r>
      <w:r w:rsidR="00F93E5E" w:rsidRPr="0032447D">
        <w:rPr>
          <w:rFonts w:ascii="Times New Roman" w:hAnsi="Times New Roman" w:cs="Times New Roman"/>
          <w:b/>
          <w:lang w:val="en-US"/>
        </w:rPr>
        <w:t>(B-E</w:t>
      </w:r>
      <w:r w:rsidR="006B039D" w:rsidRPr="0032447D">
        <w:rPr>
          <w:rFonts w:ascii="Times New Roman" w:hAnsi="Times New Roman" w:cs="Times New Roman"/>
          <w:b/>
          <w:lang w:val="en-US"/>
        </w:rPr>
        <w:t>)</w:t>
      </w:r>
      <w:r w:rsidR="006B039D" w:rsidRPr="0032447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B039D"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="006B039D"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="006B039D" w:rsidRPr="0032447D">
        <w:rPr>
          <w:rFonts w:ascii="Times New Roman" w:hAnsi="Times New Roman" w:cs="Times New Roman"/>
          <w:lang w:val="en-US"/>
        </w:rPr>
        <w:t xml:space="preserve"> mice were fed a high fat diet for four weeks after which the baseline group was harvested. Two additional groups were fed a high fat diet for 8 weeks and received either PBS (every other day) or HNP1 (10 µg, every other day</w:t>
      </w:r>
      <w:r w:rsidR="00F93E5E" w:rsidRPr="0032447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F93E5E" w:rsidRPr="0032447D">
        <w:rPr>
          <w:rFonts w:ascii="Times New Roman" w:hAnsi="Times New Roman" w:cs="Times New Roman"/>
          <w:lang w:val="en-US"/>
        </w:rPr>
        <w:t>i.v</w:t>
      </w:r>
      <w:proofErr w:type="spellEnd"/>
      <w:r w:rsidR="00F93E5E" w:rsidRPr="0032447D">
        <w:rPr>
          <w:rFonts w:ascii="Times New Roman" w:hAnsi="Times New Roman" w:cs="Times New Roman"/>
          <w:lang w:val="en-US"/>
        </w:rPr>
        <w:t>.</w:t>
      </w:r>
      <w:r w:rsidR="006B039D" w:rsidRPr="0032447D">
        <w:rPr>
          <w:rFonts w:ascii="Times New Roman" w:hAnsi="Times New Roman" w:cs="Times New Roman"/>
          <w:lang w:val="en-US"/>
        </w:rPr>
        <w:t xml:space="preserve">) during the last four weeks of high fat diet feeding. </w:t>
      </w:r>
      <w:r w:rsidR="006B039D" w:rsidRPr="0032447D">
        <w:rPr>
          <w:rFonts w:ascii="Times New Roman" w:hAnsi="Times New Roman" w:cs="Times New Roman"/>
          <w:b/>
          <w:lang w:val="en-US"/>
        </w:rPr>
        <w:t>(B)</w:t>
      </w:r>
      <w:r w:rsidR="00F93E5E" w:rsidRPr="0032447D">
        <w:rPr>
          <w:rFonts w:ascii="Times New Roman" w:hAnsi="Times New Roman" w:cs="Times New Roman"/>
          <w:lang w:val="en-US"/>
        </w:rPr>
        <w:t xml:space="preserve"> Enumeration</w:t>
      </w:r>
      <w:r w:rsidR="006B039D" w:rsidRPr="0032447D">
        <w:rPr>
          <w:rFonts w:ascii="Times New Roman" w:hAnsi="Times New Roman" w:cs="Times New Roman"/>
          <w:lang w:val="en-US"/>
        </w:rPr>
        <w:t xml:space="preserve"> of lesional cells following DAPI staining. </w:t>
      </w:r>
      <w:r w:rsidR="006B039D" w:rsidRPr="0032447D">
        <w:rPr>
          <w:rFonts w:ascii="Times New Roman" w:hAnsi="Times New Roman" w:cs="Times New Roman"/>
          <w:b/>
          <w:lang w:val="en-US"/>
        </w:rPr>
        <w:t>(C)</w:t>
      </w:r>
      <w:r w:rsidR="006B039D" w:rsidRPr="0032447D">
        <w:rPr>
          <w:rFonts w:ascii="Times New Roman" w:hAnsi="Times New Roman" w:cs="Times New Roman"/>
          <w:lang w:val="en-US"/>
        </w:rPr>
        <w:t xml:space="preserve"> Quantification of plasma triglyceride levels. Data in B and C are presented as </w:t>
      </w:r>
      <w:proofErr w:type="spellStart"/>
      <w:r w:rsidR="006B039D" w:rsidRPr="0032447D">
        <w:rPr>
          <w:rFonts w:ascii="Times New Roman" w:hAnsi="Times New Roman" w:cs="Times New Roman"/>
          <w:lang w:val="en-US"/>
        </w:rPr>
        <w:t>mean±SEM</w:t>
      </w:r>
      <w:proofErr w:type="spellEnd"/>
      <w:r w:rsidR="006B039D" w:rsidRPr="0032447D">
        <w:rPr>
          <w:rFonts w:ascii="Times New Roman" w:hAnsi="Times New Roman" w:cs="Times New Roman"/>
          <w:lang w:val="en-US"/>
        </w:rPr>
        <w:t xml:space="preserve"> and were analyzed by one-way ANOVA.</w:t>
      </w:r>
      <w:r w:rsidR="00B17A9E" w:rsidRPr="0032447D">
        <w:rPr>
          <w:rFonts w:ascii="Times New Roman" w:hAnsi="Times New Roman" w:cs="Times New Roman"/>
          <w:lang w:val="en-US"/>
        </w:rPr>
        <w:t xml:space="preserve"> n=8</w:t>
      </w:r>
      <w:r w:rsidR="006B039D" w:rsidRPr="0032447D">
        <w:rPr>
          <w:rFonts w:ascii="Times New Roman" w:hAnsi="Times New Roman" w:cs="Times New Roman"/>
          <w:lang w:val="en-US"/>
        </w:rPr>
        <w:t>-11 per group.</w:t>
      </w:r>
      <w:r w:rsidR="00851CFD"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="00851CFD"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**p&lt;0.01, ***p&lt;0.001 according to Bonferroni multiple comparison test, </w:t>
      </w:r>
      <w:proofErr w:type="spellStart"/>
      <w:r w:rsidR="00851CFD" w:rsidRPr="0032447D">
        <w:rPr>
          <w:rFonts w:ascii="Times New Roman" w:hAnsi="Times New Roman" w:cs="Times New Roman"/>
          <w:sz w:val="22"/>
          <w:szCs w:val="22"/>
          <w:lang w:val="en-US"/>
        </w:rPr>
        <w:t>n.s</w:t>
      </w:r>
      <w:proofErr w:type="spellEnd"/>
      <w:r w:rsidR="00851CFD" w:rsidRPr="0032447D">
        <w:rPr>
          <w:rFonts w:ascii="Times New Roman" w:hAnsi="Times New Roman" w:cs="Times New Roman"/>
          <w:sz w:val="22"/>
          <w:szCs w:val="22"/>
          <w:lang w:val="en-US"/>
        </w:rPr>
        <w:t>. not significant.</w:t>
      </w:r>
      <w:proofErr w:type="gramEnd"/>
      <w:r w:rsidR="00E944C0"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E944C0" w:rsidRPr="0032447D">
        <w:rPr>
          <w:rFonts w:ascii="Times New Roman" w:hAnsi="Times New Roman" w:cs="Times New Roman"/>
          <w:b/>
          <w:sz w:val="22"/>
          <w:szCs w:val="22"/>
          <w:lang w:val="en-US"/>
        </w:rPr>
        <w:t>(D)</w:t>
      </w:r>
      <w:r w:rsidR="0085495E" w:rsidRPr="0032447D">
        <w:rPr>
          <w:lang w:val="en-US"/>
        </w:rPr>
        <w:t xml:space="preserve"> </w:t>
      </w:r>
      <w:r w:rsidR="0085495E"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Pearson correlation of plasma cholesterol levels and </w:t>
      </w:r>
      <w:r w:rsidR="00952875" w:rsidRPr="0032447D">
        <w:rPr>
          <w:rFonts w:ascii="Times New Roman" w:hAnsi="Times New Roman" w:cs="Times New Roman"/>
          <w:sz w:val="22"/>
          <w:szCs w:val="22"/>
          <w:lang w:val="en-US"/>
        </w:rPr>
        <w:t>lesion</w:t>
      </w:r>
      <w:r w:rsidR="0085495E"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 area in aortic root sections.</w:t>
      </w:r>
      <w:r w:rsidRPr="0032447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5129B3" w:rsidRPr="0032447D">
        <w:rPr>
          <w:rFonts w:ascii="Times New Roman" w:hAnsi="Times New Roman" w:cs="Times New Roman"/>
          <w:b/>
          <w:lang w:val="en-US"/>
        </w:rPr>
        <w:t>(E)</w:t>
      </w:r>
      <w:r w:rsidR="005129B3" w:rsidRPr="0032447D">
        <w:rPr>
          <w:rFonts w:ascii="Times New Roman" w:hAnsi="Times New Roman" w:cs="Times New Roman"/>
          <w:lang w:val="en-US"/>
        </w:rPr>
        <w:t xml:space="preserve"> Plasma concentration of serum amyloid A (SAA).</w:t>
      </w:r>
      <w:r w:rsidR="00F93E5E" w:rsidRPr="0032447D">
        <w:rPr>
          <w:rFonts w:ascii="Times New Roman" w:hAnsi="Times New Roman" w:cs="Times New Roman"/>
          <w:lang w:val="en-US"/>
        </w:rPr>
        <w:t xml:space="preserve"> Data were analyzed with unpaired t-test.</w:t>
      </w:r>
      <w:r w:rsidR="005129B3" w:rsidRPr="0032447D">
        <w:rPr>
          <w:rFonts w:ascii="Times New Roman" w:hAnsi="Times New Roman" w:cs="Times New Roman"/>
          <w:lang w:val="en-US"/>
        </w:rPr>
        <w:br w:type="page"/>
      </w:r>
    </w:p>
    <w:p w:rsidR="005E0516" w:rsidRPr="0032447D" w:rsidRDefault="002D5097" w:rsidP="002D5097">
      <w:pPr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4183200" cy="30168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200" cy="301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5097" w:rsidRPr="0032447D" w:rsidRDefault="005129B3" w:rsidP="005129B3">
      <w:pPr>
        <w:autoSpaceDE/>
        <w:autoSpaceDN/>
        <w:adjustRightInd/>
        <w:spacing w:after="200"/>
        <w:jc w:val="both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b/>
          <w:lang w:val="en-US"/>
        </w:rPr>
        <w:t>Figure S4: Kinetic studies for interaction of HNP1 to human apolipoproteins.</w:t>
      </w:r>
      <w:r w:rsidRPr="0032447D">
        <w:rPr>
          <w:rFonts w:ascii="Times New Roman" w:hAnsi="Times New Roman" w:cs="Times New Roman"/>
          <w:lang w:val="en-US"/>
        </w:rPr>
        <w:t xml:space="preserve"> </w:t>
      </w:r>
      <w:proofErr w:type="gramStart"/>
      <w:r w:rsidRPr="0032447D">
        <w:rPr>
          <w:rFonts w:ascii="Times New Roman" w:hAnsi="Times New Roman" w:cs="Times New Roman"/>
          <w:lang w:val="en-US"/>
        </w:rPr>
        <w:t>Exam</w:t>
      </w:r>
      <w:r w:rsidR="008D6DE3" w:rsidRPr="0032447D">
        <w:rPr>
          <w:rFonts w:ascii="Times New Roman" w:hAnsi="Times New Roman" w:cs="Times New Roman"/>
          <w:lang w:val="en-US"/>
        </w:rPr>
        <w:t xml:space="preserve">ples of </w:t>
      </w:r>
      <w:proofErr w:type="spellStart"/>
      <w:r w:rsidR="008D6DE3" w:rsidRPr="0032447D">
        <w:rPr>
          <w:rFonts w:ascii="Times New Roman" w:hAnsi="Times New Roman" w:cs="Times New Roman"/>
          <w:lang w:val="en-US"/>
        </w:rPr>
        <w:t>sensograms</w:t>
      </w:r>
      <w:proofErr w:type="spellEnd"/>
      <w:r w:rsidR="008D6DE3" w:rsidRPr="0032447D">
        <w:rPr>
          <w:rFonts w:ascii="Times New Roman" w:hAnsi="Times New Roman" w:cs="Times New Roman"/>
          <w:lang w:val="en-US"/>
        </w:rPr>
        <w:t xml:space="preserve"> of human Apo</w:t>
      </w:r>
      <w:r w:rsidRPr="0032447D">
        <w:rPr>
          <w:rFonts w:ascii="Times New Roman" w:hAnsi="Times New Roman" w:cs="Times New Roman"/>
          <w:lang w:val="en-US"/>
        </w:rPr>
        <w:t>C3</w:t>
      </w:r>
      <w:r w:rsidR="008D6DE3" w:rsidRPr="0032447D">
        <w:rPr>
          <w:rFonts w:ascii="Times New Roman" w:hAnsi="Times New Roman" w:cs="Times New Roman"/>
          <w:lang w:val="en-US"/>
        </w:rPr>
        <w:t xml:space="preserve"> (A) or </w:t>
      </w:r>
      <w:proofErr w:type="spellStart"/>
      <w:r w:rsidR="008D6DE3" w:rsidRPr="0032447D">
        <w:rPr>
          <w:rFonts w:ascii="Times New Roman" w:hAnsi="Times New Roman" w:cs="Times New Roman"/>
          <w:lang w:val="en-US"/>
        </w:rPr>
        <w:t>ApoB</w:t>
      </w:r>
      <w:proofErr w:type="spellEnd"/>
      <w:r w:rsidR="008D6DE3" w:rsidRPr="0032447D">
        <w:rPr>
          <w:rFonts w:ascii="Times New Roman" w:hAnsi="Times New Roman" w:cs="Times New Roman"/>
          <w:lang w:val="en-US"/>
        </w:rPr>
        <w:t xml:space="preserve"> (B) binding to HNP</w:t>
      </w:r>
      <w:r w:rsidRPr="0032447D">
        <w:rPr>
          <w:rFonts w:ascii="Times New Roman" w:hAnsi="Times New Roman" w:cs="Times New Roman"/>
          <w:lang w:val="en-US"/>
        </w:rPr>
        <w:t>1.</w:t>
      </w:r>
      <w:proofErr w:type="gramEnd"/>
      <w:r w:rsidRPr="0032447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447D">
        <w:rPr>
          <w:rFonts w:ascii="Times New Roman" w:hAnsi="Times New Roman" w:cs="Times New Roman"/>
          <w:lang w:val="en-US"/>
        </w:rPr>
        <w:t>Analytes</w:t>
      </w:r>
      <w:proofErr w:type="spellEnd"/>
      <w:r w:rsidRPr="0032447D">
        <w:rPr>
          <w:rFonts w:ascii="Times New Roman" w:hAnsi="Times New Roman" w:cs="Times New Roman"/>
          <w:lang w:val="en-US"/>
        </w:rPr>
        <w:t xml:space="preserve"> were </w:t>
      </w:r>
      <w:proofErr w:type="spellStart"/>
      <w:r w:rsidRPr="0032447D">
        <w:rPr>
          <w:rFonts w:ascii="Times New Roman" w:hAnsi="Times New Roman" w:cs="Times New Roman"/>
          <w:lang w:val="en-US"/>
        </w:rPr>
        <w:t>perfused</w:t>
      </w:r>
      <w:proofErr w:type="spellEnd"/>
      <w:r w:rsidRPr="0032447D">
        <w:rPr>
          <w:rFonts w:ascii="Times New Roman" w:hAnsi="Times New Roman" w:cs="Times New Roman"/>
          <w:lang w:val="en-US"/>
        </w:rPr>
        <w:t xml:space="preserve"> at concentrations from 62.5 to 1000 ng/ml over the chip for 1 minute at 90 µl/min followed by a dissociation phase of 10 or 20 minutes. </w:t>
      </w:r>
      <w:proofErr w:type="spellStart"/>
      <w:r w:rsidRPr="0032447D">
        <w:rPr>
          <w:rFonts w:ascii="Times New Roman" w:hAnsi="Times New Roman" w:cs="Times New Roman"/>
          <w:lang w:val="en-US"/>
        </w:rPr>
        <w:t>Sensograms</w:t>
      </w:r>
      <w:proofErr w:type="spellEnd"/>
      <w:r w:rsidRPr="0032447D">
        <w:rPr>
          <w:rFonts w:ascii="Times New Roman" w:hAnsi="Times New Roman" w:cs="Times New Roman"/>
          <w:lang w:val="en-US"/>
        </w:rPr>
        <w:t xml:space="preserve"> were normalized from the baseline signal and kinetic constants were determined using BIACORE X100 evaluation 2.0 software. </w:t>
      </w:r>
      <w:r w:rsidR="002D5097" w:rsidRPr="0032447D">
        <w:rPr>
          <w:rFonts w:ascii="Times New Roman" w:hAnsi="Times New Roman" w:cs="Times New Roman"/>
          <w:lang w:val="en-US"/>
        </w:rPr>
        <w:br w:type="page"/>
      </w:r>
    </w:p>
    <w:p w:rsidR="002D5097" w:rsidRPr="0032447D" w:rsidRDefault="002D5097" w:rsidP="005129B3">
      <w:pPr>
        <w:autoSpaceDE/>
        <w:autoSpaceDN/>
        <w:adjustRightInd/>
        <w:spacing w:after="200" w:line="276" w:lineRule="auto"/>
        <w:jc w:val="center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3340800" cy="15588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800" cy="155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05E7" w:rsidRPr="0032447D" w:rsidRDefault="005129B3" w:rsidP="005129B3">
      <w:pPr>
        <w:jc w:val="both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b/>
          <w:lang w:val="en-US"/>
        </w:rPr>
        <w:t>Figure S5: HNP1 treatment enhances LDLR expression in the liver.</w:t>
      </w:r>
      <w:r w:rsidRPr="0032447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Pr="0032447D">
        <w:rPr>
          <w:rFonts w:ascii="Times New Roman" w:hAnsi="Times New Roman" w:cs="Times New Roman"/>
          <w:lang w:val="en-US"/>
        </w:rPr>
        <w:t xml:space="preserve"> mice were fed a high fat diet for eight weeks. During the last four weeks mice were injected with PBS (every other day, </w:t>
      </w:r>
      <w:proofErr w:type="spellStart"/>
      <w:r w:rsidRPr="0032447D">
        <w:rPr>
          <w:rFonts w:ascii="Times New Roman" w:hAnsi="Times New Roman" w:cs="Times New Roman"/>
          <w:lang w:val="en-US"/>
        </w:rPr>
        <w:t>i.v</w:t>
      </w:r>
      <w:proofErr w:type="spellEnd"/>
      <w:r w:rsidRPr="0032447D">
        <w:rPr>
          <w:rFonts w:ascii="Times New Roman" w:hAnsi="Times New Roman" w:cs="Times New Roman"/>
          <w:lang w:val="en-US"/>
        </w:rPr>
        <w:t xml:space="preserve">.) or HNP1 (10 µg, every other day, </w:t>
      </w:r>
      <w:proofErr w:type="spellStart"/>
      <w:proofErr w:type="gramStart"/>
      <w:r w:rsidRPr="0032447D">
        <w:rPr>
          <w:rFonts w:ascii="Times New Roman" w:hAnsi="Times New Roman" w:cs="Times New Roman"/>
          <w:lang w:val="en-US"/>
        </w:rPr>
        <w:t>i.v</w:t>
      </w:r>
      <w:proofErr w:type="spellEnd"/>
      <w:proofErr w:type="gramEnd"/>
      <w:r w:rsidRPr="0032447D">
        <w:rPr>
          <w:rFonts w:ascii="Times New Roman" w:hAnsi="Times New Roman" w:cs="Times New Roman"/>
          <w:lang w:val="en-US"/>
        </w:rPr>
        <w:t>.). Displayed is the protein (A/B) and mRNA expression of LDLR (C).</w:t>
      </w:r>
      <w:r w:rsidR="004905E7" w:rsidRPr="0032447D">
        <w:rPr>
          <w:rFonts w:ascii="Times New Roman" w:hAnsi="Times New Roman" w:cs="Times New Roman"/>
          <w:lang w:val="en-US"/>
        </w:rPr>
        <w:t xml:space="preserve"> n=8 per group. </w:t>
      </w:r>
      <w:r w:rsidR="008D6DE3" w:rsidRPr="0032447D">
        <w:rPr>
          <w:rFonts w:ascii="Times New Roman" w:hAnsi="Times New Roman" w:cs="Times New Roman"/>
          <w:lang w:val="en-US"/>
        </w:rPr>
        <w:t>Data were analyzed by u</w:t>
      </w:r>
      <w:r w:rsidR="004905E7" w:rsidRPr="0032447D">
        <w:rPr>
          <w:rFonts w:ascii="Times New Roman" w:hAnsi="Times New Roman" w:cs="Times New Roman"/>
          <w:lang w:val="en-US"/>
        </w:rPr>
        <w:t>npaired t-test.</w:t>
      </w:r>
      <w:r w:rsidRPr="0032447D">
        <w:rPr>
          <w:rFonts w:ascii="Times New Roman" w:hAnsi="Times New Roman" w:cs="Times New Roman"/>
          <w:lang w:val="en-US"/>
        </w:rPr>
        <w:t xml:space="preserve"> </w:t>
      </w:r>
    </w:p>
    <w:p w:rsidR="004905E7" w:rsidRPr="0032447D" w:rsidRDefault="004905E7">
      <w:pPr>
        <w:autoSpaceDE/>
        <w:autoSpaceDN/>
        <w:adjustRightInd/>
        <w:spacing w:after="200" w:line="276" w:lineRule="auto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lang w:val="en-US"/>
        </w:rPr>
        <w:br w:type="page"/>
      </w:r>
    </w:p>
    <w:p w:rsidR="004905E7" w:rsidRPr="0032447D" w:rsidRDefault="004905E7" w:rsidP="005129B3">
      <w:pPr>
        <w:jc w:val="both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noProof/>
          <w:lang w:val="en-US" w:eastAsia="en-US"/>
        </w:rPr>
        <w:lastRenderedPageBreak/>
        <w:drawing>
          <wp:inline distT="0" distB="0" distL="0" distR="0">
            <wp:extent cx="5760720" cy="32397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05E7" w:rsidRPr="0032447D" w:rsidRDefault="004905E7" w:rsidP="005129B3">
      <w:pPr>
        <w:jc w:val="both"/>
        <w:rPr>
          <w:rFonts w:ascii="Times New Roman" w:hAnsi="Times New Roman" w:cs="Times New Roman"/>
          <w:lang w:val="en-US"/>
        </w:rPr>
      </w:pPr>
    </w:p>
    <w:p w:rsidR="002D5097" w:rsidRPr="0032447D" w:rsidRDefault="004905E7" w:rsidP="005129B3">
      <w:pPr>
        <w:jc w:val="both"/>
        <w:rPr>
          <w:rFonts w:ascii="Times New Roman" w:hAnsi="Times New Roman" w:cs="Times New Roman"/>
          <w:b/>
          <w:lang w:val="en-US"/>
        </w:rPr>
      </w:pPr>
      <w:r w:rsidRPr="0032447D">
        <w:rPr>
          <w:rFonts w:ascii="Times New Roman" w:hAnsi="Times New Roman" w:cs="Times New Roman"/>
          <w:b/>
          <w:lang w:val="en-US"/>
        </w:rPr>
        <w:t>Figure S6: Summary of proposed mechanism.</w:t>
      </w:r>
      <w:r w:rsidR="002D5097" w:rsidRPr="0032447D">
        <w:rPr>
          <w:rFonts w:ascii="Times New Roman" w:hAnsi="Times New Roman" w:cs="Times New Roman"/>
          <w:b/>
          <w:lang w:val="en-US"/>
        </w:rPr>
        <w:br w:type="page"/>
      </w:r>
    </w:p>
    <w:p w:rsidR="005E0516" w:rsidRPr="0032447D" w:rsidRDefault="005E0516" w:rsidP="00313A75">
      <w:pPr>
        <w:jc w:val="both"/>
        <w:rPr>
          <w:rFonts w:ascii="Times New Roman" w:hAnsi="Times New Roman" w:cs="Times New Roman"/>
          <w:lang w:val="en-US"/>
        </w:rPr>
      </w:pPr>
    </w:p>
    <w:tbl>
      <w:tblPr>
        <w:tblStyle w:val="MediumShading1-Accent6"/>
        <w:tblW w:w="9279" w:type="dxa"/>
        <w:tblLook w:val="0420"/>
      </w:tblPr>
      <w:tblGrid>
        <w:gridCol w:w="1214"/>
        <w:gridCol w:w="1337"/>
        <w:gridCol w:w="1730"/>
        <w:gridCol w:w="1726"/>
        <w:gridCol w:w="1647"/>
        <w:gridCol w:w="1625"/>
      </w:tblGrid>
      <w:tr w:rsidR="006B039D" w:rsidRPr="0032447D" w:rsidTr="00347D11">
        <w:trPr>
          <w:cnfStyle w:val="100000000000"/>
        </w:trPr>
        <w:tc>
          <w:tcPr>
            <w:tcW w:w="1214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color w:val="FFFFFF" w:themeColor="light1"/>
                <w:kern w:val="24"/>
                <w:lang w:val="en-US"/>
              </w:rPr>
              <w:t>WBC</w:t>
            </w:r>
          </w:p>
        </w:tc>
        <w:tc>
          <w:tcPr>
            <w:tcW w:w="1730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color w:val="FFFFFF" w:themeColor="light1"/>
                <w:kern w:val="24"/>
                <w:lang w:val="en-US"/>
              </w:rPr>
              <w:t>platelets</w:t>
            </w:r>
          </w:p>
        </w:tc>
        <w:tc>
          <w:tcPr>
            <w:tcW w:w="1726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color w:val="FFFFFF" w:themeColor="light1"/>
                <w:kern w:val="24"/>
                <w:lang w:val="en-US"/>
              </w:rPr>
              <w:t>lymphocytes</w:t>
            </w:r>
          </w:p>
        </w:tc>
        <w:tc>
          <w:tcPr>
            <w:tcW w:w="1647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color w:val="FFFFFF" w:themeColor="light1"/>
                <w:kern w:val="24"/>
                <w:lang w:val="en-US"/>
              </w:rPr>
              <w:t>monocytes</w:t>
            </w:r>
          </w:p>
        </w:tc>
        <w:tc>
          <w:tcPr>
            <w:tcW w:w="1625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color w:val="FFFFFF" w:themeColor="light1"/>
                <w:kern w:val="24"/>
                <w:lang w:val="en-US"/>
              </w:rPr>
              <w:t>neutrophils</w:t>
            </w:r>
          </w:p>
        </w:tc>
      </w:tr>
      <w:tr w:rsidR="006B039D" w:rsidRPr="0032447D" w:rsidTr="00331DAC">
        <w:trPr>
          <w:cnfStyle w:val="000000100000"/>
          <w:trHeight w:val="975"/>
        </w:trPr>
        <w:tc>
          <w:tcPr>
            <w:tcW w:w="121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47D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kern w:val="24"/>
                <w:lang w:val="en-US"/>
              </w:rPr>
              <w:t>Apoe</w:t>
            </w:r>
            <w:proofErr w:type="spellEnd"/>
            <w:r w:rsidRPr="0032447D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kern w:val="24"/>
                <w:position w:val="10"/>
                <w:vertAlign w:val="superscript"/>
                <w:lang w:val="en-US"/>
              </w:rPr>
              <w:t>-/-</w:t>
            </w:r>
          </w:p>
        </w:tc>
        <w:tc>
          <w:tcPr>
            <w:tcW w:w="1337" w:type="dxa"/>
            <w:vAlign w:val="center"/>
            <w:hideMark/>
          </w:tcPr>
          <w:p w:rsidR="006B039D" w:rsidRPr="0032447D" w:rsidRDefault="006B039D" w:rsidP="00331DAC">
            <w:pPr>
              <w:jc w:val="center"/>
              <w:textAlignment w:val="bottom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5.7x10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textAlignment w:val="bottom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±1.4</w:t>
            </w:r>
            <w:r w:rsidRPr="0032447D">
              <w:rPr>
                <w:rFonts w:ascii="Times New Roman" w:hAnsi="Times New Roman" w:cs="Times New Roman"/>
                <w:bCs/>
                <w:color w:val="000000" w:themeColor="dark1"/>
                <w:kern w:val="24"/>
                <w:lang w:val="en-US"/>
              </w:rPr>
              <w:t>x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10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  <w:tc>
          <w:tcPr>
            <w:tcW w:w="1730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1486x10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±132.2</w:t>
            </w:r>
            <w:r w:rsidRPr="0032447D">
              <w:rPr>
                <w:rFonts w:ascii="Times New Roman" w:hAnsi="Times New Roman" w:cs="Times New Roman"/>
                <w:bCs/>
                <w:color w:val="000000" w:themeColor="dark1"/>
                <w:kern w:val="24"/>
                <w:lang w:val="en-US"/>
              </w:rPr>
              <w:t>x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10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  <w:tc>
          <w:tcPr>
            <w:tcW w:w="1726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3.2x10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0.9x10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  <w:tc>
          <w:tcPr>
            <w:tcW w:w="1647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0.4x10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0.2x10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  <w:tc>
          <w:tcPr>
            <w:tcW w:w="1625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2.0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x10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0.8x10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</w:tr>
      <w:tr w:rsidR="006B039D" w:rsidRPr="0032447D" w:rsidTr="00331DAC">
        <w:trPr>
          <w:cnfStyle w:val="000000010000"/>
          <w:trHeight w:val="584"/>
        </w:trPr>
        <w:tc>
          <w:tcPr>
            <w:tcW w:w="121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0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039D" w:rsidRPr="0032447D" w:rsidTr="00331DAC">
        <w:trPr>
          <w:cnfStyle w:val="000000100000"/>
          <w:trHeight w:val="1054"/>
        </w:trPr>
        <w:tc>
          <w:tcPr>
            <w:tcW w:w="121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47D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kern w:val="24"/>
                <w:lang w:val="en-US"/>
              </w:rPr>
              <w:t>Apoe</w:t>
            </w:r>
            <w:proofErr w:type="spellEnd"/>
            <w:r w:rsidRPr="0032447D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kern w:val="24"/>
                <w:position w:val="10"/>
                <w:vertAlign w:val="superscript"/>
                <w:lang w:val="en-US"/>
              </w:rPr>
              <w:t>-/-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kern w:val="24"/>
                <w:lang w:val="en-US"/>
              </w:rPr>
              <w:t>HNP1</w:t>
            </w:r>
            <w:proofErr w:type="spellStart"/>
            <w:r w:rsidRPr="0032447D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kern w:val="24"/>
                <w:position w:val="10"/>
                <w:vertAlign w:val="superscript"/>
                <w:lang w:val="en-US"/>
              </w:rPr>
              <w:t>tg</w:t>
            </w:r>
            <w:proofErr w:type="spellEnd"/>
            <w:r w:rsidRPr="0032447D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kern w:val="24"/>
                <w:position w:val="10"/>
                <w:vertAlign w:val="superscript"/>
                <w:lang w:val="en-US"/>
              </w:rPr>
              <w:t>/</w:t>
            </w:r>
            <w:proofErr w:type="spellStart"/>
            <w:r w:rsidRPr="0032447D">
              <w:rPr>
                <w:rFonts w:ascii="Times New Roman" w:eastAsiaTheme="minorEastAsia" w:hAnsi="Times New Roman" w:cs="Times New Roman"/>
                <w:bCs/>
                <w:i/>
                <w:iCs/>
                <w:color w:val="000000"/>
                <w:kern w:val="24"/>
                <w:position w:val="10"/>
                <w:vertAlign w:val="superscript"/>
                <w:lang w:val="en-US"/>
              </w:rPr>
              <w:t>tg</w:t>
            </w:r>
            <w:proofErr w:type="spellEnd"/>
          </w:p>
        </w:tc>
        <w:tc>
          <w:tcPr>
            <w:tcW w:w="1337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6.6x10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2.9x10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  <w:tc>
          <w:tcPr>
            <w:tcW w:w="1730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1319x10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192.1x10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  <w:tc>
          <w:tcPr>
            <w:tcW w:w="1726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4.4x10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2.2x10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  <w:tc>
          <w:tcPr>
            <w:tcW w:w="1647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0.4x10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0.2x10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  <w:tc>
          <w:tcPr>
            <w:tcW w:w="1625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2.0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x10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1.0x10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position w:val="10"/>
                <w:vertAlign w:val="superscript"/>
                <w:lang w:val="en-US"/>
              </w:rPr>
              <w:t>9</w:t>
            </w: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/l</w:t>
            </w:r>
          </w:p>
        </w:tc>
      </w:tr>
      <w:tr w:rsidR="006B039D" w:rsidRPr="0032447D" w:rsidTr="00331DAC">
        <w:trPr>
          <w:cnfStyle w:val="000000010000"/>
          <w:trHeight w:val="584"/>
        </w:trPr>
        <w:tc>
          <w:tcPr>
            <w:tcW w:w="121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7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30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6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47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5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039D" w:rsidRPr="0032447D" w:rsidTr="00331DAC">
        <w:trPr>
          <w:cnfStyle w:val="000000100000"/>
          <w:trHeight w:val="584"/>
        </w:trPr>
        <w:tc>
          <w:tcPr>
            <w:tcW w:w="121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p-value</w:t>
            </w:r>
          </w:p>
        </w:tc>
        <w:tc>
          <w:tcPr>
            <w:tcW w:w="1337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0.5037</w:t>
            </w:r>
          </w:p>
        </w:tc>
        <w:tc>
          <w:tcPr>
            <w:tcW w:w="1730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0.0818</w:t>
            </w:r>
          </w:p>
        </w:tc>
        <w:tc>
          <w:tcPr>
            <w:tcW w:w="1726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0.2150</w:t>
            </w:r>
          </w:p>
        </w:tc>
        <w:tc>
          <w:tcPr>
            <w:tcW w:w="1647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0.5071</w:t>
            </w:r>
          </w:p>
        </w:tc>
        <w:tc>
          <w:tcPr>
            <w:tcW w:w="1625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eastAsiaTheme="minorEastAsia" w:hAnsi="Times New Roman" w:cs="Times New Roman"/>
                <w:bCs/>
                <w:color w:val="000000"/>
                <w:kern w:val="24"/>
                <w:lang w:val="en-US"/>
              </w:rPr>
              <w:t>0.9971</w:t>
            </w:r>
          </w:p>
        </w:tc>
      </w:tr>
    </w:tbl>
    <w:p w:rsidR="006B039D" w:rsidRPr="0032447D" w:rsidRDefault="006B039D" w:rsidP="006B039D">
      <w:pPr>
        <w:rPr>
          <w:rFonts w:ascii="Times New Roman" w:hAnsi="Times New Roman" w:cs="Times New Roman"/>
          <w:lang w:val="en-US"/>
        </w:rPr>
      </w:pPr>
    </w:p>
    <w:p w:rsidR="006B039D" w:rsidRPr="0032447D" w:rsidRDefault="006B039D" w:rsidP="00313A75">
      <w:pPr>
        <w:jc w:val="both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b/>
          <w:lang w:val="en-US"/>
        </w:rPr>
        <w:t>Table S1: Transgenic expression of HNP1 does not affect blood cell counts.</w:t>
      </w:r>
      <w:r w:rsidRPr="0032447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Pr="0032447D">
        <w:rPr>
          <w:rFonts w:ascii="Times New Roman" w:hAnsi="Times New Roman" w:cs="Times New Roman"/>
          <w:lang w:val="en-US"/>
        </w:rPr>
        <w:t xml:space="preserve"> and </w:t>
      </w:r>
      <w:proofErr w:type="spellStart"/>
      <w:r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Pr="0032447D">
        <w:rPr>
          <w:rFonts w:ascii="Times New Roman" w:hAnsi="Times New Roman" w:cs="Times New Roman"/>
          <w:i/>
          <w:lang w:val="en-US"/>
        </w:rPr>
        <w:t>HNP1</w:t>
      </w:r>
      <w:r w:rsidRPr="0032447D">
        <w:rPr>
          <w:rFonts w:ascii="Times New Roman" w:hAnsi="Times New Roman" w:cs="Times New Roman"/>
          <w:i/>
          <w:vertAlign w:val="superscript"/>
          <w:lang w:val="en-US"/>
        </w:rPr>
        <w:t>tg/</w:t>
      </w:r>
      <w:proofErr w:type="spellStart"/>
      <w:r w:rsidRPr="0032447D">
        <w:rPr>
          <w:rFonts w:ascii="Times New Roman" w:hAnsi="Times New Roman" w:cs="Times New Roman"/>
          <w:i/>
          <w:vertAlign w:val="superscript"/>
          <w:lang w:val="en-US"/>
        </w:rPr>
        <w:t>tg</w:t>
      </w:r>
      <w:proofErr w:type="spellEnd"/>
      <w:r w:rsidRPr="0032447D">
        <w:rPr>
          <w:rFonts w:ascii="Times New Roman" w:hAnsi="Times New Roman" w:cs="Times New Roman"/>
          <w:lang w:val="en-US"/>
        </w:rPr>
        <w:t xml:space="preserve"> mice were fed a high-fat diet for 4 weeks. Indicated blood cells were quantified by </w:t>
      </w:r>
      <w:r w:rsidR="008D6DE3" w:rsidRPr="0032447D">
        <w:rPr>
          <w:rFonts w:ascii="Times New Roman" w:hAnsi="Times New Roman" w:cs="Times New Roman"/>
          <w:lang w:val="en-US"/>
        </w:rPr>
        <w:t>flow cytometry</w:t>
      </w:r>
      <w:r w:rsidRPr="0032447D">
        <w:rPr>
          <w:rFonts w:ascii="Times New Roman" w:hAnsi="Times New Roman" w:cs="Times New Roman"/>
          <w:lang w:val="en-US"/>
        </w:rPr>
        <w:t>. Data were analyzed with unpaired t-test, n = 10.</w:t>
      </w:r>
      <w:r w:rsidRPr="0032447D">
        <w:rPr>
          <w:rFonts w:ascii="Times New Roman" w:hAnsi="Times New Roman" w:cs="Times New Roman"/>
          <w:lang w:val="en-US"/>
        </w:rPr>
        <w:br w:type="page"/>
      </w:r>
    </w:p>
    <w:p w:rsidR="006B039D" w:rsidRPr="0032447D" w:rsidRDefault="006B039D" w:rsidP="006B039D">
      <w:pPr>
        <w:rPr>
          <w:rFonts w:ascii="Times New Roman" w:hAnsi="Times New Roman" w:cs="Times New Roman"/>
          <w:lang w:val="en-US"/>
        </w:rPr>
      </w:pPr>
    </w:p>
    <w:tbl>
      <w:tblPr>
        <w:tblStyle w:val="MediumShading1-Accent6"/>
        <w:tblW w:w="9639" w:type="dxa"/>
        <w:tblLook w:val="0420"/>
      </w:tblPr>
      <w:tblGrid>
        <w:gridCol w:w="1258"/>
        <w:gridCol w:w="1553"/>
        <w:gridCol w:w="1794"/>
        <w:gridCol w:w="1722"/>
        <w:gridCol w:w="1628"/>
        <w:gridCol w:w="1684"/>
      </w:tblGrid>
      <w:tr w:rsidR="006B039D" w:rsidRPr="0032447D" w:rsidTr="00347D11">
        <w:trPr>
          <w:cnfStyle w:val="100000000000"/>
          <w:trHeight w:val="426"/>
        </w:trPr>
        <w:tc>
          <w:tcPr>
            <w:tcW w:w="1258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lang w:val="en-US"/>
              </w:rPr>
              <w:t>WBC</w:t>
            </w:r>
          </w:p>
        </w:tc>
        <w:tc>
          <w:tcPr>
            <w:tcW w:w="1794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lang w:val="en-US"/>
              </w:rPr>
              <w:t>platelets</w:t>
            </w:r>
          </w:p>
        </w:tc>
        <w:tc>
          <w:tcPr>
            <w:tcW w:w="1722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lang w:val="en-US"/>
              </w:rPr>
              <w:t>lymphocytes</w:t>
            </w:r>
          </w:p>
        </w:tc>
        <w:tc>
          <w:tcPr>
            <w:tcW w:w="1628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lang w:val="en-US"/>
              </w:rPr>
              <w:t>monocytes</w:t>
            </w:r>
          </w:p>
        </w:tc>
        <w:tc>
          <w:tcPr>
            <w:tcW w:w="1684" w:type="dxa"/>
            <w:hideMark/>
          </w:tcPr>
          <w:p w:rsidR="006B039D" w:rsidRPr="0032447D" w:rsidRDefault="006B039D" w:rsidP="00BB0B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lang w:val="en-US"/>
              </w:rPr>
              <w:t>neutrophils</w:t>
            </w:r>
          </w:p>
        </w:tc>
      </w:tr>
      <w:tr w:rsidR="006B039D" w:rsidRPr="0032447D" w:rsidTr="00331DAC">
        <w:trPr>
          <w:cnfStyle w:val="000000100000"/>
          <w:trHeight w:val="721"/>
        </w:trPr>
        <w:tc>
          <w:tcPr>
            <w:tcW w:w="125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47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Apoe</w:t>
            </w:r>
            <w:proofErr w:type="spellEnd"/>
            <w:r w:rsidRPr="0032447D">
              <w:rPr>
                <w:rFonts w:ascii="Times New Roman" w:hAnsi="Times New Roman" w:cs="Times New Roman"/>
                <w:bCs/>
                <w:i/>
                <w:iCs/>
                <w:vertAlign w:val="superscript"/>
                <w:lang w:val="en-US"/>
              </w:rPr>
              <w:t>-/-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baseline</w:t>
            </w:r>
          </w:p>
        </w:tc>
        <w:tc>
          <w:tcPr>
            <w:tcW w:w="1553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4.8x10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1.2x10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79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797.1x10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365.3x10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722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2.5x10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0.5x10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62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0.2x10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0.1x10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68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2.0x10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0.9x10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</w:tr>
      <w:tr w:rsidR="006B039D" w:rsidRPr="0032447D" w:rsidTr="00331DAC">
        <w:trPr>
          <w:cnfStyle w:val="000000010000"/>
          <w:trHeight w:val="524"/>
        </w:trPr>
        <w:tc>
          <w:tcPr>
            <w:tcW w:w="125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039D" w:rsidRPr="0032447D" w:rsidTr="00331DAC">
        <w:trPr>
          <w:cnfStyle w:val="000000100000"/>
          <w:trHeight w:val="721"/>
        </w:trPr>
        <w:tc>
          <w:tcPr>
            <w:tcW w:w="125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47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Apoe</w:t>
            </w:r>
            <w:proofErr w:type="spellEnd"/>
            <w:r w:rsidRPr="0032447D">
              <w:rPr>
                <w:rFonts w:ascii="Times New Roman" w:hAnsi="Times New Roman" w:cs="Times New Roman"/>
                <w:bCs/>
                <w:i/>
                <w:iCs/>
                <w:vertAlign w:val="superscript"/>
                <w:lang w:val="en-US"/>
              </w:rPr>
              <w:t>-/-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 xml:space="preserve">PBS </w:t>
            </w:r>
            <w:r w:rsidR="004D2DED" w:rsidRPr="0032447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treatment</w:t>
            </w:r>
          </w:p>
        </w:tc>
        <w:tc>
          <w:tcPr>
            <w:tcW w:w="1553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4.2x10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2.1x10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79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861.2x10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465.0x10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722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2.4x10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0.8x10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62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0.1x10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0.1x10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68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1.7x10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1.3x10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</w:tr>
      <w:tr w:rsidR="006B039D" w:rsidRPr="0032447D" w:rsidTr="00331DAC">
        <w:trPr>
          <w:cnfStyle w:val="000000010000"/>
          <w:trHeight w:val="432"/>
        </w:trPr>
        <w:tc>
          <w:tcPr>
            <w:tcW w:w="125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3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9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22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8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B039D" w:rsidRPr="0032447D" w:rsidTr="00331DAC">
        <w:trPr>
          <w:cnfStyle w:val="000000100000"/>
          <w:trHeight w:val="780"/>
        </w:trPr>
        <w:tc>
          <w:tcPr>
            <w:tcW w:w="125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2447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Apoe</w:t>
            </w:r>
            <w:proofErr w:type="spellEnd"/>
            <w:r w:rsidRPr="0032447D">
              <w:rPr>
                <w:rFonts w:ascii="Times New Roman" w:hAnsi="Times New Roman" w:cs="Times New Roman"/>
                <w:bCs/>
                <w:i/>
                <w:iCs/>
                <w:vertAlign w:val="superscript"/>
                <w:lang w:val="en-US"/>
              </w:rPr>
              <w:t>-/-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HNP1 treatment</w:t>
            </w:r>
          </w:p>
        </w:tc>
        <w:tc>
          <w:tcPr>
            <w:tcW w:w="1553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4.4x10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2.2x10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79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958x10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451.8x10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722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2.1x10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1.1x10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628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0.1x10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0.1x10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  <w:tc>
          <w:tcPr>
            <w:tcW w:w="1684" w:type="dxa"/>
            <w:vAlign w:val="center"/>
            <w:hideMark/>
          </w:tcPr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lang w:val="en-US"/>
              </w:rPr>
              <w:t>2.2x10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  <w:p w:rsidR="006B039D" w:rsidRPr="0032447D" w:rsidRDefault="006B039D" w:rsidP="00331D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447D">
              <w:rPr>
                <w:rFonts w:ascii="Times New Roman" w:hAnsi="Times New Roman" w:cs="Times New Roman"/>
                <w:bCs/>
                <w:color w:val="000000"/>
                <w:kern w:val="24"/>
                <w:lang w:val="en-US"/>
              </w:rPr>
              <w:t>±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1.8x10</w:t>
            </w:r>
            <w:r w:rsidRPr="0032447D">
              <w:rPr>
                <w:rFonts w:ascii="Times New Roman" w:hAnsi="Times New Roman" w:cs="Times New Roman"/>
                <w:bCs/>
                <w:vertAlign w:val="superscript"/>
                <w:lang w:val="en-US"/>
              </w:rPr>
              <w:t>9</w:t>
            </w:r>
            <w:r w:rsidRPr="0032447D">
              <w:rPr>
                <w:rFonts w:ascii="Times New Roman" w:hAnsi="Times New Roman" w:cs="Times New Roman"/>
                <w:bCs/>
                <w:lang w:val="en-US"/>
              </w:rPr>
              <w:t>/l</w:t>
            </w:r>
          </w:p>
        </w:tc>
      </w:tr>
    </w:tbl>
    <w:p w:rsidR="006B039D" w:rsidRPr="0032447D" w:rsidRDefault="006B039D" w:rsidP="006B039D">
      <w:pPr>
        <w:rPr>
          <w:rFonts w:ascii="Times New Roman" w:hAnsi="Times New Roman" w:cs="Times New Roman"/>
          <w:lang w:val="en-US"/>
        </w:rPr>
      </w:pPr>
    </w:p>
    <w:p w:rsidR="00923CCF" w:rsidRPr="00313A75" w:rsidRDefault="006B039D" w:rsidP="00313A75">
      <w:pPr>
        <w:jc w:val="both"/>
        <w:rPr>
          <w:rFonts w:ascii="Times New Roman" w:hAnsi="Times New Roman" w:cs="Times New Roman"/>
          <w:lang w:val="en-US"/>
        </w:rPr>
      </w:pPr>
      <w:r w:rsidRPr="0032447D">
        <w:rPr>
          <w:rFonts w:ascii="Times New Roman" w:hAnsi="Times New Roman" w:cs="Times New Roman"/>
          <w:b/>
          <w:lang w:val="en-US"/>
        </w:rPr>
        <w:t xml:space="preserve">Table S2: HNP1 treatment does not affect blood cell counts. </w:t>
      </w:r>
      <w:proofErr w:type="spellStart"/>
      <w:r w:rsidRPr="0032447D">
        <w:rPr>
          <w:rFonts w:ascii="Times New Roman" w:hAnsi="Times New Roman" w:cs="Times New Roman"/>
          <w:i/>
          <w:lang w:val="en-US"/>
        </w:rPr>
        <w:t>Apoe</w:t>
      </w:r>
      <w:proofErr w:type="spellEnd"/>
      <w:r w:rsidRPr="0032447D">
        <w:rPr>
          <w:rFonts w:ascii="Times New Roman" w:hAnsi="Times New Roman" w:cs="Times New Roman"/>
          <w:i/>
          <w:vertAlign w:val="superscript"/>
          <w:lang w:val="en-US"/>
        </w:rPr>
        <w:t>-/-</w:t>
      </w:r>
      <w:r w:rsidRPr="0032447D">
        <w:rPr>
          <w:rFonts w:ascii="Times New Roman" w:hAnsi="Times New Roman" w:cs="Times New Roman"/>
          <w:lang w:val="en-US"/>
        </w:rPr>
        <w:t xml:space="preserve"> mice were fed a high fat diet for four weeks after which the baseline group was harvested. Two additional groups were fed a high fat diet for 8 weeks and received either PBS (every other day) or HNP1 (10 µg, every other day</w:t>
      </w:r>
      <w:r w:rsidR="008D6DE3" w:rsidRPr="0032447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D6DE3" w:rsidRPr="0032447D">
        <w:rPr>
          <w:rFonts w:ascii="Times New Roman" w:hAnsi="Times New Roman" w:cs="Times New Roman"/>
          <w:lang w:val="en-US"/>
        </w:rPr>
        <w:t>i.v</w:t>
      </w:r>
      <w:proofErr w:type="spellEnd"/>
      <w:r w:rsidR="008D6DE3" w:rsidRPr="0032447D">
        <w:rPr>
          <w:rFonts w:ascii="Times New Roman" w:hAnsi="Times New Roman" w:cs="Times New Roman"/>
          <w:lang w:val="en-US"/>
        </w:rPr>
        <w:t>.</w:t>
      </w:r>
      <w:r w:rsidRPr="0032447D">
        <w:rPr>
          <w:rFonts w:ascii="Times New Roman" w:hAnsi="Times New Roman" w:cs="Times New Roman"/>
          <w:lang w:val="en-US"/>
        </w:rPr>
        <w:t xml:space="preserve">) during the last four weeks of high fat diet feeding. Indicated blood cells were quantified by </w:t>
      </w:r>
      <w:r w:rsidR="008D6DE3" w:rsidRPr="0032447D">
        <w:rPr>
          <w:rFonts w:ascii="Times New Roman" w:hAnsi="Times New Roman" w:cs="Times New Roman"/>
          <w:lang w:val="en-US"/>
        </w:rPr>
        <w:t>flow cytometry</w:t>
      </w:r>
      <w:r w:rsidRPr="0032447D">
        <w:rPr>
          <w:rFonts w:ascii="Times New Roman" w:hAnsi="Times New Roman" w:cs="Times New Roman"/>
          <w:lang w:val="en-US"/>
        </w:rPr>
        <w:t xml:space="preserve">. n = </w:t>
      </w:r>
      <w:r w:rsidR="00B17A9E" w:rsidRPr="0032447D">
        <w:rPr>
          <w:rFonts w:ascii="Times New Roman" w:hAnsi="Times New Roman" w:cs="Times New Roman"/>
          <w:lang w:val="en-US"/>
        </w:rPr>
        <w:t>8</w:t>
      </w:r>
      <w:r w:rsidRPr="0032447D">
        <w:rPr>
          <w:rFonts w:ascii="Times New Roman" w:hAnsi="Times New Roman" w:cs="Times New Roman"/>
          <w:lang w:val="en-US"/>
        </w:rPr>
        <w:t>-11 per group.</w:t>
      </w:r>
    </w:p>
    <w:sectPr w:rsidR="00923CCF" w:rsidRPr="00313A75" w:rsidSect="009470A5"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3DD" w:rsidRDefault="007613DD" w:rsidP="004D2DED">
      <w:r>
        <w:separator/>
      </w:r>
    </w:p>
  </w:endnote>
  <w:endnote w:type="continuationSeparator" w:id="0">
    <w:p w:rsidR="007613DD" w:rsidRDefault="007613DD" w:rsidP="004D2D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76672"/>
      <w:docPartObj>
        <w:docPartGallery w:val="Page Numbers (Bottom of Page)"/>
        <w:docPartUnique/>
      </w:docPartObj>
    </w:sdtPr>
    <w:sdtContent>
      <w:p w:rsidR="004D2DED" w:rsidRDefault="00985611">
        <w:pPr>
          <w:pStyle w:val="Footer"/>
          <w:jc w:val="center"/>
        </w:pPr>
        <w:r>
          <w:fldChar w:fldCharType="begin"/>
        </w:r>
        <w:r w:rsidR="004D2DED">
          <w:instrText>PAGE   \* MERGEFORMAT</w:instrText>
        </w:r>
        <w:r>
          <w:fldChar w:fldCharType="separate"/>
        </w:r>
        <w:r w:rsidR="009470A5">
          <w:rPr>
            <w:noProof/>
          </w:rPr>
          <w:t>9</w:t>
        </w:r>
        <w:r>
          <w:fldChar w:fldCharType="end"/>
        </w:r>
      </w:p>
    </w:sdtContent>
  </w:sdt>
  <w:p w:rsidR="004D2DED" w:rsidRDefault="004D2D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3DD" w:rsidRDefault="007613DD" w:rsidP="004D2DED">
      <w:r>
        <w:separator/>
      </w:r>
    </w:p>
  </w:footnote>
  <w:footnote w:type="continuationSeparator" w:id="0">
    <w:p w:rsidR="007613DD" w:rsidRDefault="007613DD" w:rsidP="004D2D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951CE"/>
    <w:multiLevelType w:val="hybridMultilevel"/>
    <w:tmpl w:val="926A725A"/>
    <w:lvl w:ilvl="0" w:tplc="EF182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Total_Editing_Time" w:val="0"/>
  </w:docVars>
  <w:rsids>
    <w:rsidRoot w:val="006D7F2C"/>
    <w:rsid w:val="000D7B2F"/>
    <w:rsid w:val="00147221"/>
    <w:rsid w:val="001F6082"/>
    <w:rsid w:val="00283003"/>
    <w:rsid w:val="002D5097"/>
    <w:rsid w:val="00313A75"/>
    <w:rsid w:val="0032447D"/>
    <w:rsid w:val="00331DAC"/>
    <w:rsid w:val="003371B7"/>
    <w:rsid w:val="00347D11"/>
    <w:rsid w:val="003C5224"/>
    <w:rsid w:val="003D3E12"/>
    <w:rsid w:val="004905E7"/>
    <w:rsid w:val="004A3283"/>
    <w:rsid w:val="004B2740"/>
    <w:rsid w:val="004D2DED"/>
    <w:rsid w:val="004D54AD"/>
    <w:rsid w:val="004D6C25"/>
    <w:rsid w:val="004F4018"/>
    <w:rsid w:val="004F54B7"/>
    <w:rsid w:val="004F643B"/>
    <w:rsid w:val="005129B3"/>
    <w:rsid w:val="00592F63"/>
    <w:rsid w:val="005C5F75"/>
    <w:rsid w:val="005E0516"/>
    <w:rsid w:val="006B039D"/>
    <w:rsid w:val="006B61EC"/>
    <w:rsid w:val="006D7F2C"/>
    <w:rsid w:val="007613DD"/>
    <w:rsid w:val="00764E48"/>
    <w:rsid w:val="007A36AF"/>
    <w:rsid w:val="00831DCB"/>
    <w:rsid w:val="00851CFD"/>
    <w:rsid w:val="00852096"/>
    <w:rsid w:val="0085495E"/>
    <w:rsid w:val="008D6DE3"/>
    <w:rsid w:val="00923CCF"/>
    <w:rsid w:val="00935A3B"/>
    <w:rsid w:val="009470A5"/>
    <w:rsid w:val="00952875"/>
    <w:rsid w:val="00971883"/>
    <w:rsid w:val="00985611"/>
    <w:rsid w:val="009E147D"/>
    <w:rsid w:val="00AA0282"/>
    <w:rsid w:val="00B17A9E"/>
    <w:rsid w:val="00BB7501"/>
    <w:rsid w:val="00C16245"/>
    <w:rsid w:val="00C57886"/>
    <w:rsid w:val="00C94CE7"/>
    <w:rsid w:val="00DA0235"/>
    <w:rsid w:val="00DB7342"/>
    <w:rsid w:val="00DF14F1"/>
    <w:rsid w:val="00E0656C"/>
    <w:rsid w:val="00E944C0"/>
    <w:rsid w:val="00F93E5E"/>
    <w:rsid w:val="00FC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2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vNorm">
    <w:name w:val="AanvNorm"/>
    <w:rsid w:val="006D7F2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nl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D7F2C"/>
    <w:pPr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D7F2C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6D7F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9D"/>
    <w:rPr>
      <w:rFonts w:ascii="Tahoma" w:eastAsia="Times New Roman" w:hAnsi="Tahoma" w:cs="Tahoma"/>
      <w:sz w:val="16"/>
      <w:szCs w:val="16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4D2DED"/>
  </w:style>
  <w:style w:type="paragraph" w:styleId="Header">
    <w:name w:val="header"/>
    <w:basedOn w:val="Normal"/>
    <w:link w:val="HeaderChar"/>
    <w:uiPriority w:val="99"/>
    <w:unhideWhenUsed/>
    <w:rsid w:val="004D2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DED"/>
    <w:rPr>
      <w:rFonts w:ascii="Times" w:eastAsia="Times New Roman" w:hAnsi="Times" w:cs="Times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D2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DED"/>
    <w:rPr>
      <w:rFonts w:ascii="Times" w:eastAsia="Times New Roman" w:hAnsi="Times" w:cs="Times"/>
      <w:sz w:val="24"/>
      <w:szCs w:val="24"/>
      <w:lang w:eastAsia="de-DE"/>
    </w:rPr>
  </w:style>
  <w:style w:type="table" w:styleId="MediumShading1-Accent6">
    <w:name w:val="Medium Shading 1 Accent 6"/>
    <w:basedOn w:val="TableNormal"/>
    <w:uiPriority w:val="63"/>
    <w:rsid w:val="00347D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F2C"/>
    <w:pPr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vNorm">
    <w:name w:val="AanvNorm"/>
    <w:rsid w:val="006D7F2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nl"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6D7F2C"/>
    <w:pPr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6D7F2C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ListParagraph">
    <w:name w:val="List Paragraph"/>
    <w:basedOn w:val="Normal"/>
    <w:uiPriority w:val="34"/>
    <w:qFormat/>
    <w:rsid w:val="006D7F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3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39D"/>
    <w:rPr>
      <w:rFonts w:ascii="Tahoma" w:eastAsia="Times New Roman" w:hAnsi="Tahoma" w:cs="Tahoma"/>
      <w:sz w:val="16"/>
      <w:szCs w:val="16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4D2DED"/>
  </w:style>
  <w:style w:type="paragraph" w:styleId="Header">
    <w:name w:val="header"/>
    <w:basedOn w:val="Normal"/>
    <w:link w:val="HeaderChar"/>
    <w:uiPriority w:val="99"/>
    <w:unhideWhenUsed/>
    <w:rsid w:val="004D2D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DED"/>
    <w:rPr>
      <w:rFonts w:ascii="Times" w:eastAsia="Times New Roman" w:hAnsi="Times" w:cs="Times"/>
      <w:sz w:val="24"/>
      <w:szCs w:val="24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4D2D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DED"/>
    <w:rPr>
      <w:rFonts w:ascii="Times" w:eastAsia="Times New Roman" w:hAnsi="Times" w:cs="Times"/>
      <w:sz w:val="24"/>
      <w:szCs w:val="24"/>
      <w:lang w:eastAsia="de-DE"/>
    </w:rPr>
  </w:style>
  <w:style w:type="table" w:styleId="MediumShading1-Accent6">
    <w:name w:val="Medium Shading 1 Accent 6"/>
    <w:basedOn w:val="TableNormal"/>
    <w:uiPriority w:val="63"/>
    <w:rsid w:val="00347D1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860</Words>
  <Characters>5128</Characters>
  <Application>Microsoft Office Word</Application>
  <DocSecurity>0</DocSecurity>
  <Lines>197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PEK_OS</dc:creator>
  <cp:lastModifiedBy>JFON</cp:lastModifiedBy>
  <cp:revision>3</cp:revision>
  <cp:lastPrinted>2016-12-01T16:29:00Z</cp:lastPrinted>
  <dcterms:created xsi:type="dcterms:W3CDTF">2017-01-05T13:28:00Z</dcterms:created>
  <dcterms:modified xsi:type="dcterms:W3CDTF">2017-01-06T19:33:00Z</dcterms:modified>
</cp:coreProperties>
</file>