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800"/>
        <w:gridCol w:w="540"/>
        <w:gridCol w:w="10600"/>
        <w:gridCol w:w="1260"/>
      </w:tblGrid>
      <w:tr w:rsidR="00FB3483" w:rsidRPr="004C1685" w:rsidTr="00550BF1">
        <w:trPr>
          <w:trHeight w:val="663"/>
        </w:trPr>
        <w:tc>
          <w:tcPr>
            <w:tcW w:w="2800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:rsidR="00FB3483" w:rsidRPr="004C1685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4C1685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Section/topic </w:t>
            </w:r>
          </w:p>
        </w:tc>
        <w:tc>
          <w:tcPr>
            <w:tcW w:w="540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:rsidR="00FB3483" w:rsidRPr="005979B8" w:rsidRDefault="00FB3483" w:rsidP="003B79FF">
            <w:pPr>
              <w:pStyle w:val="Default"/>
              <w:jc w:val="righ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5979B8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6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:rsidR="00FB3483" w:rsidRPr="004C1685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4C1685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6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:rsidR="00FB3483" w:rsidRPr="004C1685" w:rsidRDefault="00FB3483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4C1685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Reported on page # </w:t>
            </w:r>
          </w:p>
        </w:tc>
      </w:tr>
      <w:tr w:rsidR="00FB3483" w:rsidRPr="004C1685">
        <w:trPr>
          <w:trHeight w:val="335"/>
        </w:trPr>
        <w:tc>
          <w:tcPr>
            <w:tcW w:w="1394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:rsidR="00FB3483" w:rsidRPr="004C1685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C16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6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FB3483" w:rsidRPr="004C1685" w:rsidRDefault="00FB3483">
            <w:pPr>
              <w:pStyle w:val="Default"/>
              <w:jc w:val="right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323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Title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:rsidR="00FB3483" w:rsidRPr="00363B8D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B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EE1675" w:rsidRDefault="00FA0C23" w:rsidP="007C2913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FA0C23">
              <w:rPr>
                <w:sz w:val="20"/>
                <w:szCs w:val="20"/>
              </w:rPr>
              <w:t>Gene-set meta-analysis of lung cancer identifies pathway related to systemic lupus erythematosus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>
        <w:trPr>
          <w:trHeight w:val="335"/>
        </w:trPr>
        <w:tc>
          <w:tcPr>
            <w:tcW w:w="1394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:rsidR="00FB3483" w:rsidRPr="004C1685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C16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ABSTRACT </w:t>
            </w:r>
          </w:p>
        </w:tc>
        <w:tc>
          <w:tcPr>
            <w:tcW w:w="126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FB3483" w:rsidRPr="004C1685" w:rsidRDefault="00FB3483">
            <w:pPr>
              <w:pStyle w:val="Default"/>
              <w:jc w:val="right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810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Structured summary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:rsidR="00FB3483" w:rsidRPr="00363B8D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B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A0C23" w:rsidRPr="00FA0C23" w:rsidRDefault="00FA0C23" w:rsidP="00FA0C23">
            <w:pPr>
              <w:jc w:val="both"/>
              <w:rPr>
                <w:rFonts w:asciiTheme="minorHAnsi" w:hAnsiTheme="minorHAnsi"/>
                <w:sz w:val="20"/>
              </w:rPr>
            </w:pPr>
            <w:r w:rsidRPr="00FA0C23">
              <w:rPr>
                <w:rFonts w:asciiTheme="minorHAnsi" w:hAnsiTheme="minorHAnsi"/>
                <w:b/>
                <w:sz w:val="20"/>
              </w:rPr>
              <w:t>Introduction:</w:t>
            </w:r>
            <w:r w:rsidRPr="00FA0C23">
              <w:rPr>
                <w:rFonts w:asciiTheme="minorHAnsi" w:hAnsiTheme="minorHAnsi"/>
                <w:sz w:val="20"/>
              </w:rPr>
              <w:t xml:space="preserve"> Gene-set analysis (GSA) is an approach using the results of single-marker genome-wide association studies when investigating pathways as a whole with respect to the genetic basis of a disease. </w:t>
            </w:r>
            <w:r w:rsidRPr="00FA0C23">
              <w:rPr>
                <w:rFonts w:asciiTheme="minorHAnsi" w:hAnsiTheme="minorHAnsi"/>
                <w:b/>
                <w:sz w:val="20"/>
              </w:rPr>
              <w:t>Methods:</w:t>
            </w:r>
            <w:r w:rsidRPr="00FA0C23">
              <w:rPr>
                <w:rFonts w:asciiTheme="minorHAnsi" w:hAnsiTheme="minorHAnsi"/>
                <w:sz w:val="20"/>
              </w:rPr>
              <w:t xml:space="preserve"> We performed a meta-analysis of seven GSAs for lung cancer, applying the method M</w:t>
            </w:r>
            <w:r w:rsidRPr="00FA0C23">
              <w:rPr>
                <w:rFonts w:asciiTheme="minorHAnsi" w:hAnsiTheme="minorHAnsi"/>
                <w:sz w:val="20"/>
              </w:rPr>
              <w:t>E</w:t>
            </w:r>
            <w:r w:rsidRPr="00FA0C23">
              <w:rPr>
                <w:rFonts w:asciiTheme="minorHAnsi" w:hAnsiTheme="minorHAnsi"/>
                <w:sz w:val="20"/>
              </w:rPr>
              <w:t>TA-GSA. Overall, the information taken from 11,365 cases and 22,505 controls from within the TRICL/ILCCO consortia was used to investigate a total of 234 pathways from the Kyoto Encyclopedia of Genes and Genomes (KEGG) database.</w:t>
            </w:r>
            <w:r w:rsidRPr="00FA0C23">
              <w:rPr>
                <w:rFonts w:asciiTheme="minorHAnsi" w:hAnsiTheme="minorHAnsi"/>
                <w:b/>
                <w:sz w:val="20"/>
              </w:rPr>
              <w:t xml:space="preserve"> Results: </w:t>
            </w:r>
            <w:r w:rsidRPr="00FA0C23">
              <w:rPr>
                <w:rFonts w:asciiTheme="minorHAnsi" w:hAnsiTheme="minorHAnsi"/>
                <w:sz w:val="20"/>
              </w:rPr>
              <w:t>META-GSA reveals the systemic lupus erythematosus KEGG pat</w:t>
            </w:r>
            <w:r w:rsidRPr="00FA0C23">
              <w:rPr>
                <w:rFonts w:asciiTheme="minorHAnsi" w:hAnsiTheme="minorHAnsi"/>
                <w:sz w:val="20"/>
              </w:rPr>
              <w:t>h</w:t>
            </w:r>
            <w:r w:rsidRPr="00FA0C23">
              <w:rPr>
                <w:rFonts w:asciiTheme="minorHAnsi" w:hAnsiTheme="minorHAnsi"/>
                <w:sz w:val="20"/>
              </w:rPr>
              <w:t xml:space="preserve">way </w:t>
            </w:r>
            <w:r w:rsidRPr="00FA0C23">
              <w:rPr>
                <w:rFonts w:asciiTheme="minorHAnsi" w:hAnsiTheme="minorHAnsi"/>
                <w:i/>
                <w:sz w:val="20"/>
              </w:rPr>
              <w:t>hsa05322</w:t>
            </w:r>
            <w:r w:rsidRPr="00FA0C23">
              <w:rPr>
                <w:rFonts w:asciiTheme="minorHAnsi" w:hAnsiTheme="minorHAnsi"/>
                <w:sz w:val="20"/>
              </w:rPr>
              <w:t xml:space="preserve">, driven by the gene region 6p21-22, as also implicated in lung cancer (p=0.0306). This gene region is known to be associated with squamous cell lung carcinoma. The most important genes driving the significance of this pathway belong to the genomic areas </w:t>
            </w:r>
            <w:r w:rsidRPr="00FA0C23">
              <w:rPr>
                <w:rFonts w:asciiTheme="minorHAnsi" w:hAnsiTheme="minorHAnsi"/>
                <w:i/>
                <w:sz w:val="20"/>
              </w:rPr>
              <w:t>HIST1-H4L, -1BN, -2BN, -H2AK, -H4K</w:t>
            </w:r>
            <w:r w:rsidRPr="00FA0C23">
              <w:rPr>
                <w:rFonts w:asciiTheme="minorHAnsi" w:hAnsiTheme="minorHAnsi"/>
                <w:sz w:val="20"/>
              </w:rPr>
              <w:t xml:space="preserve"> and </w:t>
            </w:r>
            <w:r w:rsidRPr="00FA0C23">
              <w:rPr>
                <w:rFonts w:asciiTheme="minorHAnsi" w:hAnsiTheme="minorHAnsi"/>
                <w:i/>
                <w:sz w:val="20"/>
              </w:rPr>
              <w:t>C2/C4A/C4B</w:t>
            </w:r>
            <w:r w:rsidRPr="00FA0C23">
              <w:rPr>
                <w:rFonts w:asciiTheme="minorHAnsi" w:hAnsiTheme="minorHAnsi"/>
                <w:sz w:val="20"/>
              </w:rPr>
              <w:t>. Within these areas, the markers most significantly associated with LC are rs13194781 (l</w:t>
            </w:r>
            <w:r w:rsidRPr="00FA0C23">
              <w:rPr>
                <w:rFonts w:asciiTheme="minorHAnsi" w:hAnsiTheme="minorHAnsi"/>
                <w:sz w:val="20"/>
              </w:rPr>
              <w:t>o</w:t>
            </w:r>
            <w:r w:rsidRPr="00FA0C23">
              <w:rPr>
                <w:rFonts w:asciiTheme="minorHAnsi" w:hAnsiTheme="minorHAnsi"/>
                <w:sz w:val="20"/>
              </w:rPr>
              <w:t xml:space="preserve">cated within HIST12BN) and rs1270942 (located between </w:t>
            </w:r>
            <w:r w:rsidRPr="00FA0C23">
              <w:rPr>
                <w:rFonts w:asciiTheme="minorHAnsi" w:hAnsiTheme="minorHAnsi"/>
                <w:i/>
                <w:sz w:val="20"/>
              </w:rPr>
              <w:t>C2</w:t>
            </w:r>
            <w:r w:rsidRPr="00FA0C23">
              <w:rPr>
                <w:rFonts w:asciiTheme="minorHAnsi" w:hAnsiTheme="minorHAnsi"/>
                <w:sz w:val="20"/>
              </w:rPr>
              <w:t xml:space="preserve"> and </w:t>
            </w:r>
            <w:r w:rsidRPr="00FA0C23">
              <w:rPr>
                <w:rFonts w:asciiTheme="minorHAnsi" w:hAnsiTheme="minorHAnsi"/>
                <w:i/>
                <w:sz w:val="20"/>
              </w:rPr>
              <w:t>C4A</w:t>
            </w:r>
            <w:r w:rsidRPr="00FA0C23">
              <w:rPr>
                <w:rFonts w:asciiTheme="minorHAnsi" w:hAnsiTheme="minorHAnsi"/>
                <w:sz w:val="20"/>
              </w:rPr>
              <w:t xml:space="preserve">). </w:t>
            </w:r>
            <w:r w:rsidRPr="00FA0C23">
              <w:rPr>
                <w:rFonts w:asciiTheme="minorHAnsi" w:hAnsiTheme="minorHAnsi"/>
                <w:b/>
                <w:sz w:val="20"/>
              </w:rPr>
              <w:t>Conclusions:</w:t>
            </w:r>
            <w:r w:rsidRPr="00FA0C23">
              <w:rPr>
                <w:rFonts w:asciiTheme="minorHAnsi" w:hAnsiTheme="minorHAnsi"/>
                <w:sz w:val="20"/>
              </w:rPr>
              <w:t xml:space="preserve"> We have discovered a pathway currently marked as specific to systemic lupus erythematosus as being signif</w:t>
            </w:r>
            <w:r w:rsidRPr="00FA0C23">
              <w:rPr>
                <w:rFonts w:asciiTheme="minorHAnsi" w:hAnsiTheme="minorHAnsi"/>
                <w:sz w:val="20"/>
              </w:rPr>
              <w:t>i</w:t>
            </w:r>
            <w:r w:rsidRPr="00FA0C23">
              <w:rPr>
                <w:rFonts w:asciiTheme="minorHAnsi" w:hAnsiTheme="minorHAnsi"/>
                <w:sz w:val="20"/>
              </w:rPr>
              <w:t xml:space="preserve">cantly implicated in lung cancer. The gene region 6p21-22 in this pathway appears to be more extensively associated with lung cancer than previously assumed. Given wide-stretched linkage disequilibrium to the area </w:t>
            </w:r>
            <w:r w:rsidRPr="00FA0C23">
              <w:rPr>
                <w:rFonts w:asciiTheme="minorHAnsi" w:hAnsiTheme="minorHAnsi"/>
                <w:i/>
                <w:sz w:val="20"/>
              </w:rPr>
              <w:t>APOM/BAG6/MSH5</w:t>
            </w:r>
            <w:r w:rsidRPr="00FA0C23">
              <w:rPr>
                <w:rFonts w:asciiTheme="minorHAnsi" w:hAnsiTheme="minorHAnsi"/>
                <w:sz w:val="20"/>
              </w:rPr>
              <w:t>, there is currently simply not enough information or evidence to conclude whether the potential pleiotropy of lung cancer and systemic lupus erythematosus is spurious, biological, or mediated. Further r</w:t>
            </w:r>
            <w:r w:rsidRPr="00FA0C23">
              <w:rPr>
                <w:rFonts w:asciiTheme="minorHAnsi" w:hAnsiTheme="minorHAnsi"/>
                <w:sz w:val="20"/>
              </w:rPr>
              <w:t>e</w:t>
            </w:r>
            <w:r w:rsidRPr="00FA0C23">
              <w:rPr>
                <w:rFonts w:asciiTheme="minorHAnsi" w:hAnsiTheme="minorHAnsi"/>
                <w:sz w:val="20"/>
              </w:rPr>
              <w:t>search into this pathway and gene region will be necessary.</w:t>
            </w:r>
          </w:p>
          <w:p w:rsidR="00FB3483" w:rsidRPr="00FA0C23" w:rsidRDefault="00FB3483" w:rsidP="009D7B2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4C1685" w:rsidRDefault="009D7B2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</w:t>
            </w:r>
          </w:p>
        </w:tc>
      </w:tr>
      <w:tr w:rsidR="00FB3483" w:rsidRPr="004C1685">
        <w:trPr>
          <w:trHeight w:val="335"/>
        </w:trPr>
        <w:tc>
          <w:tcPr>
            <w:tcW w:w="1394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:rsidR="00FB3483" w:rsidRPr="004C1685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C16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INTRODUCTION </w:t>
            </w:r>
          </w:p>
        </w:tc>
        <w:tc>
          <w:tcPr>
            <w:tcW w:w="126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FB3483" w:rsidRPr="004C1685" w:rsidRDefault="00FB3483">
            <w:pPr>
              <w:pStyle w:val="Default"/>
              <w:jc w:val="right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333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Rationale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363B8D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B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FA0C23" w:rsidP="00FA0C23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The </w:t>
            </w:r>
            <w:r>
              <w:rPr>
                <w:rFonts w:cs="Arial"/>
                <w:sz w:val="20"/>
                <w:szCs w:val="20"/>
              </w:rPr>
              <w:t xml:space="preserve">genetically </w:t>
            </w:r>
            <w:r>
              <w:rPr>
                <w:rFonts w:cs="Arial"/>
                <w:sz w:val="20"/>
                <w:szCs w:val="20"/>
              </w:rPr>
              <w:t xml:space="preserve">susceptibility to Lung Cancer is </w:t>
            </w:r>
            <w:r>
              <w:rPr>
                <w:rFonts w:cs="Arial"/>
                <w:sz w:val="20"/>
                <w:szCs w:val="20"/>
              </w:rPr>
              <w:t>complex</w:t>
            </w:r>
            <w:r>
              <w:rPr>
                <w:rFonts w:cs="Arial"/>
                <w:sz w:val="20"/>
                <w:szCs w:val="20"/>
              </w:rPr>
              <w:t xml:space="preserve">. Multiple related genes may interact can be missed by singe marker association analyses. 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56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Objectives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:rsidR="00FB3483" w:rsidRPr="00363B8D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B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7C2913" w:rsidRPr="00EE1675" w:rsidRDefault="007C2913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b/>
                <w:sz w:val="20"/>
                <w:szCs w:val="20"/>
              </w:rPr>
              <w:t>Questions being addressed</w:t>
            </w:r>
            <w:r w:rsidRPr="00EE1675">
              <w:rPr>
                <w:rFonts w:cs="Arial"/>
                <w:sz w:val="20"/>
                <w:szCs w:val="20"/>
              </w:rPr>
              <w:t xml:space="preserve">: Identification of predefined sets of gens, being enriched across studies with genes associated to lung cancer at a nominal significance level, accounting for correlation across studies in the patterns resulting from single marker association point estimates </w:t>
            </w:r>
          </w:p>
          <w:p w:rsidR="007C2913" w:rsidRPr="00EE1675" w:rsidRDefault="007C2913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b/>
                <w:sz w:val="20"/>
                <w:szCs w:val="20"/>
              </w:rPr>
              <w:t>Participants</w:t>
            </w:r>
            <w:r w:rsidRPr="00EE1675">
              <w:rPr>
                <w:rFonts w:cs="Arial"/>
                <w:sz w:val="20"/>
                <w:szCs w:val="20"/>
              </w:rPr>
              <w:t>:</w:t>
            </w:r>
            <w:r w:rsidR="00145C53" w:rsidRPr="00EE1675">
              <w:rPr>
                <w:rFonts w:cs="Arial"/>
                <w:sz w:val="20"/>
                <w:szCs w:val="20"/>
              </w:rPr>
              <w:tab/>
            </w:r>
            <w:r w:rsidRPr="00EE1675">
              <w:rPr>
                <w:rFonts w:cs="Arial"/>
                <w:sz w:val="20"/>
                <w:szCs w:val="20"/>
              </w:rPr>
              <w:t xml:space="preserve">Lung cancer patients and hospital or population controls </w:t>
            </w:r>
          </w:p>
          <w:p w:rsidR="007C2913" w:rsidRPr="00EE1675" w:rsidRDefault="007C2913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b/>
                <w:sz w:val="20"/>
                <w:szCs w:val="20"/>
              </w:rPr>
              <w:t>Intervention</w:t>
            </w:r>
            <w:r w:rsidRPr="00EE1675">
              <w:rPr>
                <w:rFonts w:cs="Arial"/>
                <w:sz w:val="20"/>
                <w:szCs w:val="20"/>
              </w:rPr>
              <w:t>:</w:t>
            </w:r>
            <w:r w:rsidR="00145C53" w:rsidRPr="00EE1675">
              <w:rPr>
                <w:rFonts w:cs="Arial"/>
                <w:sz w:val="20"/>
                <w:szCs w:val="20"/>
              </w:rPr>
              <w:tab/>
            </w:r>
            <w:r w:rsidRPr="00EE1675">
              <w:rPr>
                <w:rFonts w:cs="Arial"/>
                <w:sz w:val="20"/>
                <w:szCs w:val="20"/>
              </w:rPr>
              <w:t>non</w:t>
            </w:r>
          </w:p>
          <w:p w:rsidR="00F845E4" w:rsidRPr="00EE1675" w:rsidRDefault="007C2913" w:rsidP="00F845E4">
            <w:pPr>
              <w:pStyle w:val="Default"/>
              <w:spacing w:before="40" w:after="40"/>
              <w:ind w:left="1480" w:hanging="148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b/>
                <w:sz w:val="20"/>
                <w:szCs w:val="20"/>
              </w:rPr>
              <w:t>Comparisons</w:t>
            </w:r>
            <w:r w:rsidRPr="00EE1675">
              <w:rPr>
                <w:rFonts w:cs="Arial"/>
                <w:sz w:val="20"/>
                <w:szCs w:val="20"/>
              </w:rPr>
              <w:t>:</w:t>
            </w:r>
            <w:r w:rsidRPr="00EE1675">
              <w:rPr>
                <w:rFonts w:cs="Arial"/>
                <w:sz w:val="20"/>
                <w:szCs w:val="20"/>
              </w:rPr>
              <w:tab/>
              <w:t>at the GSA level: “gene set of interest” with all “remaining genes”</w:t>
            </w:r>
            <w:r w:rsidRPr="00EE1675">
              <w:rPr>
                <w:rFonts w:cs="Arial"/>
                <w:sz w:val="20"/>
                <w:szCs w:val="20"/>
              </w:rPr>
              <w:br/>
            </w:r>
            <w:r w:rsidR="00F845E4" w:rsidRPr="00EE1675">
              <w:rPr>
                <w:rFonts w:cs="Arial"/>
                <w:sz w:val="20"/>
                <w:szCs w:val="20"/>
              </w:rPr>
              <w:t>at the GWAS level: cases with controls</w:t>
            </w:r>
          </w:p>
          <w:p w:rsidR="00F845E4" w:rsidRPr="00EE1675" w:rsidRDefault="00F845E4" w:rsidP="00F845E4">
            <w:pPr>
              <w:pStyle w:val="Default"/>
              <w:spacing w:before="40" w:after="40"/>
              <w:ind w:left="1480" w:hanging="148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b/>
                <w:sz w:val="20"/>
                <w:szCs w:val="20"/>
              </w:rPr>
              <w:t>Outcomes</w:t>
            </w:r>
            <w:r w:rsidRPr="00EE1675">
              <w:rPr>
                <w:rFonts w:cs="Arial"/>
                <w:sz w:val="20"/>
                <w:szCs w:val="20"/>
              </w:rPr>
              <w:t>:</w:t>
            </w:r>
            <w:r w:rsidR="00145C53" w:rsidRPr="00EE1675">
              <w:rPr>
                <w:rFonts w:cs="Arial"/>
                <w:sz w:val="20"/>
                <w:szCs w:val="20"/>
              </w:rPr>
              <w:tab/>
            </w:r>
            <w:r w:rsidRPr="00EE1675">
              <w:rPr>
                <w:rFonts w:cs="Arial"/>
                <w:sz w:val="20"/>
                <w:szCs w:val="20"/>
              </w:rPr>
              <w:t>p-values</w:t>
            </w:r>
          </w:p>
          <w:p w:rsidR="00FB3483" w:rsidRPr="00EE1675" w:rsidRDefault="00F845E4" w:rsidP="00F845E4">
            <w:pPr>
              <w:pStyle w:val="Default"/>
              <w:spacing w:before="40" w:after="40"/>
              <w:ind w:left="1480" w:hanging="148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b/>
                <w:sz w:val="20"/>
                <w:szCs w:val="20"/>
              </w:rPr>
              <w:t xml:space="preserve">Study design: </w:t>
            </w:r>
            <w:r w:rsidR="00145C53" w:rsidRPr="00EE1675">
              <w:rPr>
                <w:rFonts w:cs="Arial"/>
                <w:b/>
                <w:sz w:val="20"/>
                <w:szCs w:val="20"/>
              </w:rPr>
              <w:tab/>
            </w:r>
            <w:r w:rsidRPr="00EE1675">
              <w:rPr>
                <w:rFonts w:cs="Arial"/>
                <w:sz w:val="20"/>
                <w:szCs w:val="20"/>
              </w:rPr>
              <w:t>Meta-analysis of g</w:t>
            </w:r>
            <w:proofErr w:type="spellStart"/>
            <w:r w:rsidRPr="00EE1675">
              <w:rPr>
                <w:sz w:val="20"/>
                <w:szCs w:val="20"/>
                <w:lang w:val="en-US"/>
              </w:rPr>
              <w:t>ene</w:t>
            </w:r>
            <w:proofErr w:type="spellEnd"/>
            <w:r w:rsidRPr="00EE1675">
              <w:rPr>
                <w:sz w:val="20"/>
                <w:szCs w:val="20"/>
                <w:lang w:val="en-US"/>
              </w:rPr>
              <w:t>-set analyses (GSA) based on genome-wide association studies (GWASs).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4C1685" w:rsidRDefault="009D7B2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19-20</w:t>
            </w:r>
          </w:p>
        </w:tc>
      </w:tr>
      <w:tr w:rsidR="00FB3483" w:rsidRPr="004C1685">
        <w:trPr>
          <w:trHeight w:val="335"/>
        </w:trPr>
        <w:tc>
          <w:tcPr>
            <w:tcW w:w="1394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:rsidR="00FB3483" w:rsidRPr="004C1685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C16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6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FB3483" w:rsidRPr="004C1685" w:rsidRDefault="00FB3483">
            <w:pPr>
              <w:pStyle w:val="Default"/>
              <w:jc w:val="right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57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lastRenderedPageBreak/>
              <w:t xml:space="preserve">Protocol and registration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363B8D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B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F845E4" w:rsidP="00FA0C23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 xml:space="preserve">no </w:t>
            </w:r>
            <w:r w:rsidR="00FB3483" w:rsidRPr="00EE1675">
              <w:rPr>
                <w:rFonts w:cs="Arial"/>
                <w:sz w:val="20"/>
                <w:szCs w:val="20"/>
              </w:rPr>
              <w:t>review protocol exists</w:t>
            </w:r>
            <w:r w:rsidR="009D7B29">
              <w:rPr>
                <w:rFonts w:cs="Arial"/>
                <w:sz w:val="20"/>
                <w:szCs w:val="20"/>
              </w:rPr>
              <w:t xml:space="preserve">, because </w:t>
            </w:r>
            <w:r w:rsidR="00FA0C23">
              <w:rPr>
                <w:rFonts w:cs="Arial"/>
                <w:sz w:val="20"/>
                <w:szCs w:val="20"/>
              </w:rPr>
              <w:t xml:space="preserve">all 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9D7B2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19</w:t>
            </w:r>
          </w:p>
        </w:tc>
      </w:tr>
      <w:tr w:rsidR="00FB3483" w:rsidRPr="004C1685" w:rsidTr="005979B8">
        <w:trPr>
          <w:trHeight w:val="57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Eligibility criteria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363B8D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B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F845E4" w:rsidP="00FA0C23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 xml:space="preserve">Already </w:t>
            </w:r>
            <w:r w:rsidR="00FA0C23">
              <w:rPr>
                <w:rFonts w:cs="Arial"/>
                <w:sz w:val="20"/>
                <w:szCs w:val="20"/>
              </w:rPr>
              <w:t xml:space="preserve">and newly </w:t>
            </w:r>
            <w:r w:rsidRPr="00EE1675">
              <w:rPr>
                <w:rFonts w:cs="Arial"/>
                <w:sz w:val="20"/>
                <w:szCs w:val="20"/>
              </w:rPr>
              <w:t xml:space="preserve">performed GSA on GWAS </w:t>
            </w:r>
            <w:r w:rsidR="00FA0C23">
              <w:rPr>
                <w:rFonts w:cs="Arial"/>
                <w:sz w:val="20"/>
                <w:szCs w:val="20"/>
              </w:rPr>
              <w:t xml:space="preserve">were combined </w:t>
            </w:r>
            <w:r w:rsidRPr="00EE1675">
              <w:rPr>
                <w:rFonts w:cs="Arial"/>
                <w:sz w:val="20"/>
                <w:szCs w:val="20"/>
              </w:rPr>
              <w:t>addressing lung cancer with at least 300 cases and 300 controls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9D7B2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19</w:t>
            </w:r>
          </w:p>
        </w:tc>
      </w:tr>
      <w:tr w:rsidR="00FB3483" w:rsidRPr="004C1685" w:rsidTr="005979B8">
        <w:trPr>
          <w:trHeight w:val="57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Information sources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363B8D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B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F845E4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 xml:space="preserve">Data shared within the </w:t>
            </w:r>
            <w:r w:rsidRPr="00EE1675">
              <w:rPr>
                <w:i/>
                <w:sz w:val="20"/>
                <w:szCs w:val="20"/>
                <w:lang w:val="en-US"/>
              </w:rPr>
              <w:t>International Lung Cancer Consortium (ILCCO)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9D7B2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19</w:t>
            </w:r>
          </w:p>
        </w:tc>
      </w:tr>
      <w:tr w:rsidR="00FB3483" w:rsidRPr="004C1685" w:rsidTr="005979B8">
        <w:trPr>
          <w:trHeight w:val="57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Search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363B8D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B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F845E4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--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57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Study selection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363B8D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B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F845E4" w:rsidP="00145C53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--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57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Data collection process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FA0C23" w:rsidP="00FA0C23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sz w:val="20"/>
                <w:lang w:val="en-GB"/>
              </w:rPr>
              <w:t xml:space="preserve">Four </w:t>
            </w:r>
            <w:r w:rsidR="00145C53" w:rsidRPr="00145C53">
              <w:rPr>
                <w:sz w:val="20"/>
                <w:lang w:val="en-GB"/>
              </w:rPr>
              <w:t xml:space="preserve">studies </w:t>
            </w:r>
            <w:r w:rsidR="008024D1">
              <w:rPr>
                <w:sz w:val="20"/>
                <w:lang w:val="en-GB"/>
              </w:rPr>
              <w:t xml:space="preserve">had </w:t>
            </w:r>
            <w:r w:rsidR="00145C53" w:rsidRPr="00145C53">
              <w:rPr>
                <w:sz w:val="20"/>
                <w:lang w:val="en-GB"/>
              </w:rPr>
              <w:t xml:space="preserve">previously been used </w:t>
            </w:r>
            <w:r w:rsidR="00145C53" w:rsidRPr="00145C53">
              <w:rPr>
                <w:sz w:val="20"/>
                <w:lang w:val="en-GB"/>
              </w:rPr>
              <w:fldChar w:fldCharType="begin"/>
            </w:r>
            <w:r w:rsidR="00145C53" w:rsidRPr="00145C53">
              <w:rPr>
                <w:sz w:val="20"/>
                <w:lang w:val="en-GB"/>
              </w:rPr>
              <w:instrText xml:space="preserve"> ADDIN EN.CITE &lt;EndNote&gt;&lt;Cite&gt;&lt;Author&gt;Fehringer&lt;/Author&gt;&lt;Year&gt;2012&lt;/Year&gt;&lt;RecNum&gt;274&lt;/RecNum&gt;&lt;DisplayText&gt;[23]&lt;/DisplayText&gt;&lt;record&gt;&lt;rec-number&gt;274&lt;/rec-number&gt;&lt;foreign-keys&gt;&lt;key app="EN" db-id="a5s00fx5pxfed2edddpxwp5hx0pzsfpxvzva" timestamp="1375962928"&gt;274&lt;/key&gt;&lt;/foreign-keys&gt;&lt;ref-type name="Journal Article"&gt;17&lt;/ref-type&gt;&lt;contributors&gt;&lt;authors&gt;&lt;author&gt;Fehringer, Gordon&lt;/author&gt;&lt;author&gt;Liu, Geoffrey&lt;/author&gt;&lt;author&gt;Briollais, Laurent&lt;/author&gt;&lt;author&gt;Brennan, Paul&lt;/author&gt;&lt;author&gt;Amos, Christopher I.&lt;/author&gt;&lt;author&gt;Spitz, Margaret R.&lt;/author&gt;&lt;author&gt;BickebÇôller, Heike&lt;/author&gt;&lt;author&gt;Wichmann, H. Erich&lt;/author&gt;&lt;author&gt;Risch, Angela&lt;/author&gt;&lt;author&gt;Hung, Rayjean J.&lt;/author&gt;&lt;/authors&gt;&lt;/contributors&gt;&lt;titles&gt;&lt;title&gt;Comparison of Pathway Analysis Approaches Using Lung Cancer GWAS Data Sets&lt;/title&gt;&lt;secondary-title&gt;PLoS One&lt;/secondary-title&gt;&lt;/titles&gt;&lt;periodical&gt;&lt;full-title&gt;PLoS One&lt;/full-title&gt;&lt;/periodical&gt;&lt;pages&gt;e31816&lt;/pages&gt;&lt;volume&gt;7&lt;/volume&gt;&lt;number&gt;2&lt;/number&gt;&lt;reprint-edition&gt;IN FILE&lt;/reprint-edition&gt;&lt;keywords&gt;&lt;keyword&gt;analysis&lt;/keyword&gt;&lt;keyword&gt;Association&lt;/keyword&gt;&lt;keyword&gt;Europe&lt;/keyword&gt;&lt;keyword&gt;Genes&lt;/keyword&gt;&lt;keyword&gt;Genotype&lt;/keyword&gt;&lt;keyword&gt;Germany&lt;/keyword&gt;&lt;keyword&gt;Lung&lt;/keyword&gt;&lt;keyword&gt;LUNG-CANCER&lt;/keyword&gt;&lt;keyword&gt;methods&lt;/keyword&gt;&lt;keyword&gt;p-value&lt;/keyword&gt;&lt;keyword&gt;Software&lt;/keyword&gt;&lt;keyword&gt;Statistics&lt;/keyword&gt;&lt;keyword&gt;TESTS&lt;/keyword&gt;&lt;keyword&gt;TOOL&lt;/keyword&gt;&lt;/keywords&gt;&lt;dates&gt;&lt;year&gt;2012&lt;/year&gt;&lt;/dates&gt;&lt;urls&gt;&lt;related-urls&gt;&lt;url&gt;http://dx.doi.org/10.1371%2Fjournal.pone.0031816&lt;/url&gt;&lt;/related-urls&gt;&lt;/urls&gt;&lt;/record&gt;&lt;/Cite&gt;&lt;/EndNote&gt;</w:instrText>
            </w:r>
            <w:r w:rsidR="00145C53" w:rsidRPr="00145C53">
              <w:rPr>
                <w:sz w:val="20"/>
                <w:lang w:val="en-GB"/>
              </w:rPr>
              <w:fldChar w:fldCharType="end"/>
            </w:r>
            <w:r w:rsidR="00145C53" w:rsidRPr="00145C53">
              <w:rPr>
                <w:sz w:val="20"/>
                <w:lang w:val="en-GB"/>
              </w:rPr>
              <w:t>to compare the performance of four different GSA approaches</w:t>
            </w:r>
            <w:r w:rsidR="00145C53">
              <w:rPr>
                <w:sz w:val="20"/>
                <w:lang w:val="en-GB"/>
              </w:rPr>
              <w:t xml:space="preserve"> by </w:t>
            </w:r>
            <w:r w:rsidR="00145C53" w:rsidRPr="00145C53">
              <w:rPr>
                <w:sz w:val="20"/>
                <w:lang w:val="en-GB"/>
              </w:rPr>
              <w:t xml:space="preserve">Fehringer Get al. (2012) </w:t>
            </w:r>
            <w:proofErr w:type="spellStart"/>
            <w:r w:rsidR="00145C53" w:rsidRPr="00145C53">
              <w:rPr>
                <w:sz w:val="20"/>
                <w:lang w:val="en-GB"/>
              </w:rPr>
              <w:t>PLoS</w:t>
            </w:r>
            <w:proofErr w:type="spellEnd"/>
            <w:r w:rsidR="00F65D79">
              <w:rPr>
                <w:sz w:val="20"/>
                <w:lang w:val="en-GB"/>
              </w:rPr>
              <w:t> </w:t>
            </w:r>
            <w:r w:rsidR="00145C53" w:rsidRPr="00145C53">
              <w:rPr>
                <w:sz w:val="20"/>
                <w:lang w:val="en-GB"/>
              </w:rPr>
              <w:t>One</w:t>
            </w:r>
            <w:r w:rsidR="00F65D79">
              <w:rPr>
                <w:sz w:val="20"/>
                <w:lang w:val="en-GB"/>
              </w:rPr>
              <w:t> </w:t>
            </w:r>
            <w:r w:rsidR="00145C53" w:rsidRPr="00145C53">
              <w:rPr>
                <w:sz w:val="20"/>
                <w:lang w:val="en-GB"/>
              </w:rPr>
              <w:t>7:</w:t>
            </w:r>
            <w:r w:rsidR="00F65D79">
              <w:rPr>
                <w:sz w:val="20"/>
                <w:lang w:val="en-GB"/>
              </w:rPr>
              <w:t> </w:t>
            </w:r>
            <w:r w:rsidR="00145C53" w:rsidRPr="00145C53">
              <w:rPr>
                <w:sz w:val="20"/>
                <w:lang w:val="en-GB"/>
              </w:rPr>
              <w:t>e31816</w:t>
            </w:r>
            <w:r>
              <w:rPr>
                <w:sz w:val="20"/>
                <w:lang w:val="en-GB"/>
              </w:rPr>
              <w:t xml:space="preserve">. Three further Studies were made available for this meta-analysis by members of the ILCCO. 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9D7B2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19</w:t>
            </w:r>
          </w:p>
        </w:tc>
      </w:tr>
      <w:tr w:rsidR="00FB3483" w:rsidRPr="004C1685" w:rsidTr="005979B8">
        <w:trPr>
          <w:trHeight w:val="57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Data items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F845E4" w:rsidP="00F845E4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 xml:space="preserve">GWAS: odds ratio and p-value for single marker association test , </w:t>
            </w:r>
            <w:proofErr w:type="spellStart"/>
            <w:r w:rsidRPr="00EE1675">
              <w:rPr>
                <w:rFonts w:cs="Arial"/>
                <w:sz w:val="20"/>
                <w:szCs w:val="20"/>
              </w:rPr>
              <w:t>snp</w:t>
            </w:r>
            <w:proofErr w:type="spellEnd"/>
            <w:r w:rsidRPr="00EE1675">
              <w:rPr>
                <w:rFonts w:cs="Arial"/>
                <w:sz w:val="20"/>
                <w:szCs w:val="20"/>
              </w:rPr>
              <w:t xml:space="preserve">-to-gene allocation; </w:t>
            </w:r>
            <w:r w:rsidRPr="00EE1675">
              <w:rPr>
                <w:rFonts w:cs="Arial"/>
                <w:sz w:val="20"/>
                <w:szCs w:val="20"/>
              </w:rPr>
              <w:br/>
              <w:t>GSA, p-values and gene-to-pathway allocation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57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Risk of bias in individual studies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651740" w:rsidP="00651740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GWAS: any remaining risk of case-control studies, after careful accomplishment</w:t>
            </w:r>
            <w:r w:rsidRPr="00EE1675">
              <w:rPr>
                <w:rFonts w:cs="Arial"/>
                <w:sz w:val="20"/>
                <w:szCs w:val="20"/>
              </w:rPr>
              <w:br/>
              <w:t>GSA: insufficient marker coverage and insufficient calculation of gene-level statistics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333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Summary measures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F845E4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p-value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580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Synthesis of results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F845E4" w:rsidP="001A4830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A4830">
              <w:rPr>
                <w:rFonts w:ascii="Calibri" w:hAnsi="Calibri" w:cs="Arial"/>
                <w:color w:val="000000"/>
                <w:sz w:val="20"/>
                <w:szCs w:val="20"/>
              </w:rPr>
              <w:t>described in detail in the manuscript</w:t>
            </w:r>
            <w:r w:rsidR="00FA0C23" w:rsidRPr="001A4830">
              <w:rPr>
                <w:rFonts w:ascii="Calibri" w:hAnsi="Calibri" w:cs="Arial"/>
                <w:color w:val="000000"/>
                <w:sz w:val="20"/>
                <w:szCs w:val="20"/>
              </w:rPr>
              <w:t xml:space="preserve">, an a previous publications (Rosenberger </w:t>
            </w:r>
            <w:r w:rsidR="001A4830" w:rsidRPr="001A4830">
              <w:rPr>
                <w:rFonts w:ascii="Calibri" w:hAnsi="Calibri" w:cs="Arial"/>
                <w:color w:val="000000"/>
                <w:sz w:val="20"/>
                <w:szCs w:val="20"/>
              </w:rPr>
              <w:t>e</w:t>
            </w:r>
            <w:r w:rsidR="00FA0C23" w:rsidRPr="001A4830">
              <w:rPr>
                <w:rFonts w:ascii="Calibri" w:hAnsi="Calibri" w:cs="Arial"/>
                <w:color w:val="000000"/>
                <w:sz w:val="20"/>
                <w:szCs w:val="20"/>
              </w:rPr>
              <w:t>t al.</w:t>
            </w:r>
            <w:r w:rsidR="001A4830" w:rsidRPr="001A4830">
              <w:rPr>
                <w:rFonts w:ascii="Calibri" w:hAnsi="Calibri" w:cs="Arial"/>
                <w:color w:val="000000"/>
                <w:sz w:val="20"/>
                <w:szCs w:val="20"/>
              </w:rPr>
              <w:t xml:space="preserve">, </w:t>
            </w:r>
            <w:r w:rsidR="001A4830" w:rsidRPr="001A4830">
              <w:rPr>
                <w:rFonts w:ascii="Calibri" w:hAnsi="Calibri" w:cs="Arial"/>
                <w:color w:val="000000"/>
                <w:sz w:val="20"/>
                <w:szCs w:val="20"/>
              </w:rPr>
              <w:t>META-GSA: Combining Findings from Gene-Set Analyses across Several Genome-Wide Association Studies</w:t>
            </w:r>
            <w:r w:rsidR="001A4830" w:rsidRPr="001A4830">
              <w:rPr>
                <w:rFonts w:ascii="Calibri" w:hAnsi="Calibri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A4830" w:rsidRPr="001A4830">
              <w:rPr>
                <w:rFonts w:ascii="Calibri" w:hAnsi="Calibri" w:cs="Arial"/>
                <w:color w:val="000000"/>
                <w:sz w:val="20"/>
                <w:szCs w:val="20"/>
              </w:rPr>
              <w:t>PLoS</w:t>
            </w:r>
            <w:proofErr w:type="spellEnd"/>
            <w:r w:rsidR="001A4830" w:rsidRPr="001A4830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One. 2015 Oct 26;10(10):e0140179. </w:t>
            </w:r>
            <w:proofErr w:type="spellStart"/>
            <w:r w:rsidR="001A4830" w:rsidRPr="001A4830">
              <w:rPr>
                <w:rFonts w:ascii="Calibri" w:hAnsi="Calibri" w:cs="Arial"/>
                <w:color w:val="000000"/>
                <w:sz w:val="20"/>
                <w:szCs w:val="20"/>
              </w:rPr>
              <w:t>doi</w:t>
            </w:r>
            <w:proofErr w:type="spellEnd"/>
            <w:r w:rsidR="001A4830" w:rsidRPr="001A4830">
              <w:rPr>
                <w:rFonts w:ascii="Calibri" w:hAnsi="Calibri" w:cs="Arial"/>
                <w:color w:val="000000"/>
                <w:sz w:val="20"/>
                <w:szCs w:val="20"/>
              </w:rPr>
              <w:t xml:space="preserve">: 10.1371/journal.pone.0140179. </w:t>
            </w:r>
            <w:proofErr w:type="spellStart"/>
            <w:r w:rsidR="001A4830" w:rsidRPr="001A4830">
              <w:rPr>
                <w:rFonts w:ascii="Calibri" w:hAnsi="Calibri" w:cs="Arial"/>
                <w:color w:val="000000"/>
                <w:sz w:val="20"/>
                <w:szCs w:val="20"/>
              </w:rPr>
              <w:t>eCollection</w:t>
            </w:r>
            <w:proofErr w:type="spellEnd"/>
            <w:r w:rsidR="001A4830" w:rsidRPr="001A4830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2015.</w:t>
            </w:r>
            <w:r w:rsidR="001A4830">
              <w:rPr>
                <w:rFonts w:ascii="Calibri" w:hAnsi="Calibri" w:cs="Arial"/>
                <w:color w:val="000000"/>
                <w:sz w:val="20"/>
                <w:szCs w:val="20"/>
              </w:rPr>
              <w:t>)</w:t>
            </w:r>
            <w:r w:rsidR="00FA0C23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9D7B2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21-23</w:t>
            </w:r>
          </w:p>
        </w:tc>
      </w:tr>
    </w:tbl>
    <w:p w:rsidR="00E324A8" w:rsidRPr="004C1685" w:rsidRDefault="00E324A8">
      <w:pPr>
        <w:pStyle w:val="CM1"/>
        <w:jc w:val="center"/>
        <w:rPr>
          <w:rFonts w:ascii="Arial" w:hAnsi="Arial" w:cs="Arial"/>
          <w:sz w:val="8"/>
          <w:szCs w:val="8"/>
        </w:rPr>
      </w:pPr>
    </w:p>
    <w:p w:rsidR="00FB3483" w:rsidRPr="004C1685" w:rsidRDefault="00FB3483">
      <w:pPr>
        <w:pStyle w:val="CM1"/>
        <w:jc w:val="center"/>
        <w:rPr>
          <w:rFonts w:ascii="Arial" w:hAnsi="Arial" w:cs="Arial"/>
          <w:sz w:val="16"/>
          <w:szCs w:val="16"/>
        </w:rPr>
      </w:pPr>
      <w:r w:rsidRPr="004C1685">
        <w:rPr>
          <w:rFonts w:ascii="Arial" w:hAnsi="Arial" w:cs="Arial"/>
          <w:sz w:val="16"/>
          <w:szCs w:val="16"/>
        </w:rPr>
        <w:t xml:space="preserve">Page 1 of 2 </w:t>
      </w:r>
    </w:p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800"/>
        <w:gridCol w:w="540"/>
        <w:gridCol w:w="10600"/>
        <w:gridCol w:w="1260"/>
      </w:tblGrid>
      <w:tr w:rsidR="00FB3483" w:rsidRPr="004C1685" w:rsidTr="00550BF1">
        <w:trPr>
          <w:trHeight w:val="663"/>
        </w:trPr>
        <w:tc>
          <w:tcPr>
            <w:tcW w:w="28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:rsidR="00FB3483" w:rsidRPr="004C1685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4C1685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Section/topic </w:t>
            </w:r>
          </w:p>
        </w:tc>
        <w:tc>
          <w:tcPr>
            <w:tcW w:w="54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:rsidR="00FB3483" w:rsidRPr="004C1685" w:rsidRDefault="00FB3483" w:rsidP="003B79FF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0BF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6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:rsidR="00FB3483" w:rsidRPr="004C1685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4C1685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6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:rsidR="00FB3483" w:rsidRPr="004C1685" w:rsidRDefault="00FB3483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4C1685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Reported on page # </w:t>
            </w:r>
          </w:p>
        </w:tc>
      </w:tr>
      <w:tr w:rsidR="00FB3483" w:rsidRPr="004C1685" w:rsidTr="005979B8">
        <w:trPr>
          <w:trHeight w:val="575"/>
        </w:trPr>
        <w:tc>
          <w:tcPr>
            <w:tcW w:w="28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Risk of bias across studies </w:t>
            </w:r>
          </w:p>
        </w:tc>
        <w:tc>
          <w:tcPr>
            <w:tcW w:w="54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06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651740" w:rsidP="00191DAA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restricted study selection</w:t>
            </w:r>
            <w:r w:rsidRPr="00EE1675">
              <w:rPr>
                <w:rFonts w:cs="Arial"/>
                <w:sz w:val="20"/>
                <w:szCs w:val="20"/>
              </w:rPr>
              <w:br/>
              <w:t xml:space="preserve">one of the four studies </w:t>
            </w:r>
            <w:r w:rsidR="00191DAA" w:rsidRPr="00EE1675">
              <w:rPr>
                <w:rFonts w:cs="Arial"/>
                <w:sz w:val="20"/>
                <w:szCs w:val="20"/>
              </w:rPr>
              <w:t>investigated small cell lung cancer patients only</w:t>
            </w:r>
            <w:r w:rsidR="00191DAA" w:rsidRPr="00EE1675">
              <w:rPr>
                <w:rFonts w:cs="Arial"/>
                <w:sz w:val="20"/>
                <w:szCs w:val="20"/>
              </w:rPr>
              <w:br/>
              <w:t xml:space="preserve">another of the four studies focused on young cases and controls (&lt;50 years of age) </w:t>
            </w:r>
          </w:p>
        </w:tc>
        <w:tc>
          <w:tcPr>
            <w:tcW w:w="126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56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Additional analyses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EE1675" w:rsidRDefault="00191DAA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--</w:t>
            </w:r>
            <w:r w:rsidR="00FB3483" w:rsidRPr="00EE1675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>
        <w:trPr>
          <w:trHeight w:val="335"/>
        </w:trPr>
        <w:tc>
          <w:tcPr>
            <w:tcW w:w="1394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:rsidR="00FB3483" w:rsidRPr="004C1685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C16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6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FB3483" w:rsidRPr="004C1685" w:rsidRDefault="00FB3483">
            <w:pPr>
              <w:pStyle w:val="Default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57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Study selection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191DAA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--</w:t>
            </w:r>
            <w:r w:rsidR="00FB3483" w:rsidRPr="00EE1675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57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Study characteristics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145C53" w:rsidP="00145C53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S</w:t>
            </w:r>
            <w:r w:rsidR="00FB3483" w:rsidRPr="00EE1675">
              <w:rPr>
                <w:rFonts w:cs="Arial"/>
                <w:sz w:val="20"/>
                <w:szCs w:val="20"/>
              </w:rPr>
              <w:t xml:space="preserve">tudy </w:t>
            </w:r>
            <w:r w:rsidR="00191DAA" w:rsidRPr="00EE1675">
              <w:rPr>
                <w:rFonts w:cs="Arial"/>
                <w:sz w:val="20"/>
                <w:szCs w:val="20"/>
              </w:rPr>
              <w:t>c</w:t>
            </w:r>
            <w:r w:rsidR="00FB3483" w:rsidRPr="00EE1675">
              <w:rPr>
                <w:rFonts w:cs="Arial"/>
                <w:sz w:val="20"/>
                <w:szCs w:val="20"/>
              </w:rPr>
              <w:t xml:space="preserve">haracteristics </w:t>
            </w:r>
            <w:r w:rsidR="00191DAA" w:rsidRPr="00EE1675">
              <w:rPr>
                <w:rFonts w:cs="Arial"/>
                <w:sz w:val="20"/>
                <w:szCs w:val="20"/>
              </w:rPr>
              <w:t xml:space="preserve">are given in detail in: Fehringer G, Liu G, </w:t>
            </w:r>
            <w:proofErr w:type="spellStart"/>
            <w:r w:rsidR="00191DAA" w:rsidRPr="00EE1675">
              <w:rPr>
                <w:rFonts w:cs="Arial"/>
                <w:sz w:val="20"/>
                <w:szCs w:val="20"/>
              </w:rPr>
              <w:t>Briollais</w:t>
            </w:r>
            <w:proofErr w:type="spellEnd"/>
            <w:r w:rsidR="00191DAA" w:rsidRPr="00EE1675">
              <w:rPr>
                <w:rFonts w:cs="Arial"/>
                <w:sz w:val="20"/>
                <w:szCs w:val="20"/>
              </w:rPr>
              <w:t xml:space="preserve"> L, Brennan P, Amos CI, et al. (2012) Comparison of Pathway Analysis Approaches Using Lung Cancer GWAS Data Sets. </w:t>
            </w:r>
            <w:proofErr w:type="spellStart"/>
            <w:r w:rsidR="00191DAA" w:rsidRPr="00EE1675">
              <w:rPr>
                <w:rFonts w:cs="Arial"/>
                <w:sz w:val="20"/>
                <w:szCs w:val="20"/>
              </w:rPr>
              <w:t>PLoS</w:t>
            </w:r>
            <w:proofErr w:type="spellEnd"/>
            <w:r w:rsidR="00191DAA" w:rsidRPr="00EE1675">
              <w:rPr>
                <w:rFonts w:cs="Arial"/>
                <w:sz w:val="20"/>
                <w:szCs w:val="20"/>
              </w:rPr>
              <w:t xml:space="preserve"> One 7: e31816</w:t>
            </w:r>
            <w:r w:rsidR="001A4830">
              <w:rPr>
                <w:rFonts w:cs="Arial"/>
                <w:sz w:val="20"/>
                <w:szCs w:val="20"/>
              </w:rPr>
              <w:t xml:space="preserve"> and in Table 1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9D7B2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20</w:t>
            </w:r>
          </w:p>
        </w:tc>
      </w:tr>
      <w:tr w:rsidR="00FB3483" w:rsidRPr="004C1685" w:rsidTr="005979B8">
        <w:trPr>
          <w:trHeight w:val="333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Risk of bias within studies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191DAA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--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57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lastRenderedPageBreak/>
              <w:t xml:space="preserve">Results of individual studies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191DAA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--</w:t>
            </w:r>
            <w:r w:rsidR="00FB3483" w:rsidRPr="00EE1675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335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Synthesis of results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4830" w:rsidRPr="00EE1675" w:rsidRDefault="001A4830" w:rsidP="001A4830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 xml:space="preserve">The </w:t>
            </w:r>
            <w:r w:rsidRPr="00FA0C23">
              <w:rPr>
                <w:rFonts w:asciiTheme="minorHAnsi" w:hAnsiTheme="minorHAnsi"/>
                <w:sz w:val="20"/>
              </w:rPr>
              <w:t xml:space="preserve">KEGG pathway </w:t>
            </w:r>
            <w:r w:rsidRPr="00FA0C23">
              <w:rPr>
                <w:rFonts w:asciiTheme="minorHAnsi" w:hAnsiTheme="minorHAnsi"/>
                <w:i/>
                <w:sz w:val="20"/>
              </w:rPr>
              <w:t>hsa05322</w:t>
            </w:r>
            <w:r>
              <w:rPr>
                <w:rFonts w:asciiTheme="minorHAnsi" w:hAnsiTheme="minorHAnsi"/>
                <w:i/>
                <w:sz w:val="20"/>
              </w:rPr>
              <w:t xml:space="preserve"> (</w:t>
            </w:r>
            <w:r w:rsidRPr="00FA0C23">
              <w:rPr>
                <w:rFonts w:asciiTheme="minorHAnsi" w:hAnsiTheme="minorHAnsi"/>
                <w:sz w:val="20"/>
              </w:rPr>
              <w:t>systemic lupus erythematosus</w:t>
            </w:r>
            <w:r>
              <w:rPr>
                <w:rFonts w:asciiTheme="minorHAnsi" w:hAnsiTheme="minorHAnsi"/>
                <w:sz w:val="20"/>
              </w:rPr>
              <w:t xml:space="preserve">) is </w:t>
            </w:r>
            <w:r w:rsidRPr="00FA0C23">
              <w:rPr>
                <w:rFonts w:asciiTheme="minorHAnsi" w:hAnsiTheme="minorHAnsi"/>
                <w:sz w:val="20"/>
              </w:rPr>
              <w:t>signif</w:t>
            </w:r>
            <w:r w:rsidRPr="00FA0C23">
              <w:rPr>
                <w:rFonts w:asciiTheme="minorHAnsi" w:hAnsiTheme="minorHAnsi"/>
                <w:sz w:val="20"/>
              </w:rPr>
              <w:t>i</w:t>
            </w:r>
            <w:r w:rsidRPr="00FA0C23">
              <w:rPr>
                <w:rFonts w:asciiTheme="minorHAnsi" w:hAnsiTheme="minorHAnsi"/>
                <w:sz w:val="20"/>
              </w:rPr>
              <w:t>cantly implicated in lung cancer.</w:t>
            </w:r>
            <w:r>
              <w:rPr>
                <w:rFonts w:asciiTheme="minorHAnsi" w:hAnsiTheme="minorHAnsi"/>
                <w:sz w:val="20"/>
              </w:rPr>
              <w:t xml:space="preserve"> The </w:t>
            </w:r>
            <w:r w:rsidRPr="00FA0C23">
              <w:rPr>
                <w:rFonts w:asciiTheme="minorHAnsi" w:hAnsiTheme="minorHAnsi"/>
                <w:sz w:val="20"/>
              </w:rPr>
              <w:t>gene region 6p21-22 in this pathway appears to be more extensively associated with lung cancer than previously assumed.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9D7B2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22,34</w:t>
            </w:r>
          </w:p>
        </w:tc>
      </w:tr>
      <w:tr w:rsidR="00FB3483" w:rsidRPr="004C1685" w:rsidTr="005979B8">
        <w:trPr>
          <w:trHeight w:val="333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Risk of bias across studies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145C53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--</w:t>
            </w:r>
            <w:r w:rsidR="00FB3483" w:rsidRPr="00EE1675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393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Additional analysis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EE1675" w:rsidRDefault="00145C53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--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>
        <w:trPr>
          <w:trHeight w:val="335"/>
        </w:trPr>
        <w:tc>
          <w:tcPr>
            <w:tcW w:w="1394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:rsidR="00FB3483" w:rsidRPr="004C1685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C16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6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FB3483" w:rsidRPr="004C1685" w:rsidRDefault="00FB3483">
            <w:pPr>
              <w:pStyle w:val="Default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57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Summary of evidence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145C53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--</w:t>
            </w:r>
            <w:r w:rsidR="00FB3483" w:rsidRPr="00EE1675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578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Limitations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EE1675" w:rsidRDefault="00145C53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restricted study selection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420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Conclusions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EE1675" w:rsidRDefault="00145C53" w:rsidP="005979B8">
            <w:pPr>
              <w:pStyle w:val="Default"/>
              <w:spacing w:before="40" w:after="40"/>
              <w:rPr>
                <w:rFonts w:cs="Arial"/>
                <w:sz w:val="20"/>
                <w:szCs w:val="20"/>
              </w:rPr>
            </w:pPr>
            <w:r w:rsidRPr="00EE1675">
              <w:rPr>
                <w:rFonts w:cs="Arial"/>
                <w:sz w:val="20"/>
                <w:szCs w:val="20"/>
              </w:rPr>
              <w:t>--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>
        <w:trPr>
          <w:trHeight w:val="333"/>
        </w:trPr>
        <w:tc>
          <w:tcPr>
            <w:tcW w:w="1394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:rsidR="00FB3483" w:rsidRPr="004C1685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C16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FUNDING </w:t>
            </w:r>
          </w:p>
        </w:tc>
        <w:tc>
          <w:tcPr>
            <w:tcW w:w="126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FB3483" w:rsidRPr="004C1685" w:rsidRDefault="00FB3483">
            <w:pPr>
              <w:pStyle w:val="Default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FB3483" w:rsidRPr="004C1685" w:rsidTr="005979B8">
        <w:trPr>
          <w:trHeight w:val="570"/>
        </w:trPr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 xml:space="preserve">Funding 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4C1685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168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06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EE1675" w:rsidRDefault="00145C53" w:rsidP="00145C53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  <w:r w:rsidRPr="00EE1675">
              <w:rPr>
                <w:rFonts w:ascii="Calibri" w:hAnsi="Calibri" w:cs="Arial"/>
                <w:color w:val="000000"/>
                <w:sz w:val="20"/>
                <w:szCs w:val="20"/>
              </w:rPr>
              <w:t>The investigations in this article were supported by the grant from the National Institute of Health (NIH) (U19CA148127)</w:t>
            </w:r>
            <w:bookmarkStart w:id="0" w:name="_GoBack"/>
            <w:bookmarkEnd w:id="0"/>
            <w:r w:rsidRPr="00EE1675">
              <w:rPr>
                <w:rFonts w:ascii="Calibri" w:hAnsi="Calibri" w:cs="Arial"/>
                <w:color w:val="000000"/>
                <w:sz w:val="20"/>
                <w:szCs w:val="20"/>
              </w:rPr>
              <w:t>. The funding has no impact onto the results.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FB3483" w:rsidRPr="004C1685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</w:rPr>
            </w:pPr>
          </w:p>
        </w:tc>
      </w:tr>
    </w:tbl>
    <w:p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:rsidR="00FB3483" w:rsidRPr="004C1685" w:rsidRDefault="00FB3483">
      <w:pPr>
        <w:pStyle w:val="Default"/>
        <w:spacing w:line="183" w:lineRule="atLeast"/>
        <w:jc w:val="center"/>
        <w:rPr>
          <w:rFonts w:ascii="Arial" w:hAnsi="Arial" w:cs="Arial"/>
        </w:rPr>
      </w:pPr>
      <w:r w:rsidRPr="004C1685">
        <w:rPr>
          <w:rFonts w:ascii="Arial" w:hAnsi="Arial" w:cs="Arial"/>
          <w:sz w:val="16"/>
          <w:szCs w:val="16"/>
        </w:rPr>
        <w:t xml:space="preserve">Page 2 of 2 </w:t>
      </w:r>
    </w:p>
    <w:sectPr w:rsidR="00FB3483" w:rsidRPr="004C1685" w:rsidSect="00E324A8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675" w:rsidRDefault="00EE1675">
      <w:r>
        <w:separator/>
      </w:r>
    </w:p>
  </w:endnote>
  <w:endnote w:type="continuationSeparator" w:id="0">
    <w:p w:rsidR="00EE1675" w:rsidRDefault="00EE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675" w:rsidRDefault="00EE1675">
      <w:r>
        <w:separator/>
      </w:r>
    </w:p>
  </w:footnote>
  <w:footnote w:type="continuationSeparator" w:id="0">
    <w:p w:rsidR="00EE1675" w:rsidRDefault="00EE1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707" w:rsidRPr="004C1685" w:rsidRDefault="0081646B" w:rsidP="00E324A8">
    <w:pPr>
      <w:pStyle w:val="CM2"/>
      <w:ind w:left="1080"/>
      <w:rPr>
        <w:rFonts w:ascii="Lucida Sans" w:hAnsi="Lucida Sans"/>
      </w:rPr>
    </w:pPr>
    <w:r>
      <w:rPr>
        <w:rFonts w:ascii="Lucida Sans" w:hAnsi="Lucida Sans"/>
        <w:noProof/>
        <w:lang w:val="de-DE" w:eastAsia="de-DE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4C1685">
      <w:rPr>
        <w:rFonts w:ascii="Lucida Sans" w:hAnsi="Lucida Sans"/>
        <w:b/>
        <w:bCs/>
        <w:sz w:val="32"/>
        <w:szCs w:val="32"/>
      </w:rPr>
      <w:t>PRISMA 2009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AF"/>
    <w:rsid w:val="00145C53"/>
    <w:rsid w:val="00191DAA"/>
    <w:rsid w:val="001A4830"/>
    <w:rsid w:val="00246C93"/>
    <w:rsid w:val="00256BAF"/>
    <w:rsid w:val="002A2A06"/>
    <w:rsid w:val="00363B8D"/>
    <w:rsid w:val="003B79FF"/>
    <w:rsid w:val="00400A0B"/>
    <w:rsid w:val="004C1685"/>
    <w:rsid w:val="00550BF1"/>
    <w:rsid w:val="0059028D"/>
    <w:rsid w:val="005979B8"/>
    <w:rsid w:val="00651740"/>
    <w:rsid w:val="007C2913"/>
    <w:rsid w:val="008024D1"/>
    <w:rsid w:val="0081646B"/>
    <w:rsid w:val="008E2C91"/>
    <w:rsid w:val="00947707"/>
    <w:rsid w:val="009B3D29"/>
    <w:rsid w:val="009D7B29"/>
    <w:rsid w:val="00A97F54"/>
    <w:rsid w:val="00E324A8"/>
    <w:rsid w:val="00EE1675"/>
    <w:rsid w:val="00F65D79"/>
    <w:rsid w:val="00F67C14"/>
    <w:rsid w:val="00F845E4"/>
    <w:rsid w:val="00FA0C23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en-CA" w:eastAsia="en-C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Kopfzeile">
    <w:name w:val="header"/>
    <w:basedOn w:val="Standard"/>
    <w:rsid w:val="00E324A8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rsid w:val="00E324A8"/>
    <w:pPr>
      <w:tabs>
        <w:tab w:val="center" w:pos="4320"/>
        <w:tab w:val="right" w:pos="8640"/>
      </w:tabs>
    </w:pPr>
  </w:style>
  <w:style w:type="table" w:styleId="Tabellenraster">
    <w:name w:val="Table Grid"/>
    <w:basedOn w:val="NormaleTabelle"/>
    <w:uiPriority w:val="59"/>
    <w:rsid w:val="007C2913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an9">
    <w:name w:val="span9"/>
    <w:rsid w:val="007C29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en-CA" w:eastAsia="en-C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Kopfzeile">
    <w:name w:val="header"/>
    <w:basedOn w:val="Standard"/>
    <w:rsid w:val="00E324A8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rsid w:val="00E324A8"/>
    <w:pPr>
      <w:tabs>
        <w:tab w:val="center" w:pos="4320"/>
        <w:tab w:val="right" w:pos="8640"/>
      </w:tabs>
    </w:pPr>
  </w:style>
  <w:style w:type="table" w:styleId="Tabellenraster">
    <w:name w:val="Table Grid"/>
    <w:basedOn w:val="NormaleTabelle"/>
    <w:uiPriority w:val="59"/>
    <w:rsid w:val="007C2913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an9">
    <w:name w:val="span9"/>
    <w:rsid w:val="007C2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0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A45FE9FF.dotm</Template>
  <TotalTime>0</TotalTime>
  <Pages>3</Pages>
  <Words>782</Words>
  <Characters>6151</Characters>
  <Application>Microsoft Office Word</Application>
  <DocSecurity>0</DocSecurity>
  <Lines>51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PRISMA 2009 Checklist.doc</vt:lpstr>
      <vt:lpstr>Microsoft Word - PRISMA 2009 Checklist.doc</vt:lpstr>
    </vt:vector>
  </TitlesOfParts>
  <Company/>
  <LinksUpToDate>false</LinksUpToDate>
  <CharactersWithSpaces>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creator>mocampo</dc:creator>
  <cp:lastModifiedBy>Albert Rosenberger</cp:lastModifiedBy>
  <cp:revision>4</cp:revision>
  <dcterms:created xsi:type="dcterms:W3CDTF">2014-09-17T10:36:00Z</dcterms:created>
  <dcterms:modified xsi:type="dcterms:W3CDTF">2016-09-29T13:38:00Z</dcterms:modified>
</cp:coreProperties>
</file>