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52D" w:rsidRDefault="00A9152D" w:rsidP="00A9152D">
      <w:pPr>
        <w:pStyle w:val="Titre5"/>
      </w:pPr>
      <w:r>
        <w:t>S1a Table. Power of the study to detect effect of single common variants.</w:t>
      </w:r>
    </w:p>
    <w:tbl>
      <w:tblPr>
        <w:tblW w:w="3500" w:type="pct"/>
        <w:jc w:val="center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546"/>
        <w:gridCol w:w="1296"/>
        <w:gridCol w:w="1164"/>
        <w:gridCol w:w="1296"/>
        <w:gridCol w:w="1282"/>
      </w:tblGrid>
      <w:tr w:rsidR="00A9152D" w:rsidTr="00143062">
        <w:trPr>
          <w:jc w:val="center"/>
        </w:trPr>
        <w:tc>
          <w:tcPr>
            <w:tcW w:w="1585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A9152D" w:rsidRDefault="00A9152D" w:rsidP="00143062">
            <w:pPr>
              <w:pStyle w:val="Compact"/>
              <w:jc w:val="center"/>
            </w:pPr>
            <w:r>
              <w:t>Frequency</w:t>
            </w:r>
          </w:p>
        </w:tc>
        <w:tc>
          <w:tcPr>
            <w:tcW w:w="1323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A9152D" w:rsidRDefault="00A9152D" w:rsidP="00143062">
            <w:pPr>
              <w:pStyle w:val="Compact"/>
              <w:jc w:val="center"/>
            </w:pPr>
            <w:r>
              <w:t>RR=1.25</w:t>
            </w:r>
          </w:p>
        </w:tc>
        <w:tc>
          <w:tcPr>
            <w:tcW w:w="119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A9152D" w:rsidRDefault="00A9152D" w:rsidP="00143062">
            <w:pPr>
              <w:pStyle w:val="Compact"/>
              <w:jc w:val="center"/>
            </w:pPr>
            <w:r>
              <w:t>RR=1.5</w:t>
            </w:r>
          </w:p>
        </w:tc>
        <w:tc>
          <w:tcPr>
            <w:tcW w:w="132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A9152D" w:rsidRDefault="00A9152D" w:rsidP="00143062">
            <w:pPr>
              <w:pStyle w:val="Compact"/>
              <w:jc w:val="center"/>
            </w:pPr>
            <w:r>
              <w:t>RR=1.75</w:t>
            </w:r>
          </w:p>
        </w:tc>
        <w:tc>
          <w:tcPr>
            <w:tcW w:w="1324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A9152D" w:rsidRDefault="00A9152D" w:rsidP="00143062">
            <w:pPr>
              <w:pStyle w:val="Compact"/>
              <w:jc w:val="center"/>
            </w:pPr>
            <w:r>
              <w:t>RR=2.0</w:t>
            </w:r>
          </w:p>
        </w:tc>
      </w:tr>
      <w:tr w:rsidR="00A9152D" w:rsidTr="00143062">
        <w:trPr>
          <w:jc w:val="center"/>
        </w:trPr>
        <w:tc>
          <w:tcPr>
            <w:tcW w:w="158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0.010</w:t>
            </w:r>
          </w:p>
        </w:tc>
        <w:tc>
          <w:tcPr>
            <w:tcW w:w="132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0.21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0.67</w:t>
            </w:r>
          </w:p>
        </w:tc>
      </w:tr>
      <w:tr w:rsidR="00A9152D" w:rsidTr="00143062">
        <w:trPr>
          <w:jc w:val="center"/>
        </w:trPr>
        <w:tc>
          <w:tcPr>
            <w:tcW w:w="158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0.025</w:t>
            </w:r>
          </w:p>
        </w:tc>
        <w:tc>
          <w:tcPr>
            <w:tcW w:w="132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0.32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A9152D" w:rsidTr="00143062">
        <w:trPr>
          <w:jc w:val="center"/>
        </w:trPr>
        <w:tc>
          <w:tcPr>
            <w:tcW w:w="158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0.050</w:t>
            </w:r>
          </w:p>
        </w:tc>
        <w:tc>
          <w:tcPr>
            <w:tcW w:w="132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A9152D" w:rsidTr="00143062">
        <w:trPr>
          <w:jc w:val="center"/>
        </w:trPr>
        <w:tc>
          <w:tcPr>
            <w:tcW w:w="158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0.100</w:t>
            </w:r>
          </w:p>
        </w:tc>
        <w:tc>
          <w:tcPr>
            <w:tcW w:w="132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0.29</w:t>
            </w:r>
          </w:p>
        </w:tc>
        <w:tc>
          <w:tcPr>
            <w:tcW w:w="1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A9152D" w:rsidTr="00143062">
        <w:trPr>
          <w:jc w:val="center"/>
        </w:trPr>
        <w:tc>
          <w:tcPr>
            <w:tcW w:w="1585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0.250</w:t>
            </w:r>
          </w:p>
        </w:tc>
        <w:tc>
          <w:tcPr>
            <w:tcW w:w="1323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0.90</w:t>
            </w:r>
          </w:p>
        </w:tc>
        <w:tc>
          <w:tcPr>
            <w:tcW w:w="119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24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A9152D" w:rsidRDefault="00A9152D" w:rsidP="00143062">
            <w:pPr>
              <w:pStyle w:val="Compact"/>
              <w:jc w:val="center"/>
            </w:pPr>
            <w:r>
              <w:t>&gt;0.9</w:t>
            </w:r>
          </w:p>
        </w:tc>
      </w:tr>
    </w:tbl>
    <w:p w:rsidR="006232B4" w:rsidRDefault="000F2570" w:rsidP="006232B4">
      <w:pPr>
        <w:pStyle w:val="Corpsdetexte"/>
      </w:pPr>
      <w:r w:rsidRPr="000F2570">
        <w:rPr>
          <w:b/>
          <w:i/>
        </w:rPr>
        <w:t xml:space="preserve">S1a </w:t>
      </w:r>
      <w:r>
        <w:rPr>
          <w:b/>
          <w:i/>
        </w:rPr>
        <w:t>T</w:t>
      </w:r>
      <w:bookmarkStart w:id="0" w:name="_GoBack"/>
      <w:bookmarkEnd w:id="0"/>
      <w:r w:rsidRPr="000F2570">
        <w:rPr>
          <w:b/>
          <w:i/>
        </w:rPr>
        <w:t>able</w:t>
      </w:r>
      <w:r>
        <w:t xml:space="preserve"> reports t</w:t>
      </w:r>
      <w:r w:rsidR="006232B4">
        <w:t>he power of our study for various MAF and allelic risk. The computations were done with the Genetic Power Calculator (Case-control for discrete traits) (</w:t>
      </w:r>
      <w:hyperlink w:anchor="ref-purcell_genetic_2003">
        <w:r w:rsidR="006232B4">
          <w:rPr>
            <w:rStyle w:val="LienInternet"/>
          </w:rPr>
          <w:t>Purcell</w:t>
        </w:r>
      </w:hyperlink>
      <w:r w:rsidR="006232B4">
        <w:rPr>
          <w:rStyle w:val="LienInternet"/>
        </w:rPr>
        <w:t xml:space="preserve"> et al</w:t>
      </w:r>
      <w:r>
        <w:rPr>
          <w:rStyle w:val="LienInternet"/>
        </w:rPr>
        <w:t>, Bioinformatics, 2003:19:149-150</w:t>
      </w:r>
      <w:r w:rsidR="006232B4">
        <w:t>) using the following parameters: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High risk allele frequencies: 0.01, 0.1 and 0.25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Prevalence: 0.002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allelic relative risk: 1.25, 1.5, 2.0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D-prime = 1 and marker allele frequency = High risk allele frequencies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Number of cases: 2796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Control : case ratio: 2.46</w:t>
      </w:r>
    </w:p>
    <w:p w:rsidR="006232B4" w:rsidRDefault="006232B4" w:rsidP="006232B4">
      <w:pPr>
        <w:pStyle w:val="Normalcentr"/>
        <w:numPr>
          <w:ilvl w:val="0"/>
          <w:numId w:val="1"/>
        </w:numPr>
      </w:pPr>
      <w:r>
        <w:t>type I error: 5 x 10</w:t>
      </w:r>
      <w:r>
        <w:rPr>
          <w:vertAlign w:val="superscript"/>
        </w:rPr>
        <w:t>-7</w:t>
      </w:r>
    </w:p>
    <w:p w:rsidR="00050B15" w:rsidRDefault="00050B15"/>
    <w:p w:rsidR="000F2570" w:rsidRDefault="000F2570" w:rsidP="000F2570">
      <w:pPr>
        <w:pStyle w:val="Titre5"/>
      </w:pPr>
      <w:r>
        <w:t>S1b Table. Power of the study to detect effect of set of rare variants.</w:t>
      </w:r>
    </w:p>
    <w:tbl>
      <w:tblPr>
        <w:tblW w:w="9065" w:type="dxa"/>
        <w:jc w:val="center"/>
        <w:tblBorders>
          <w:bottom w:val="single" w:sz="6" w:space="0" w:color="000001"/>
          <w:insideH w:val="single" w:sz="6" w:space="0" w:color="000001"/>
        </w:tblBorders>
        <w:tblLook w:val="04A0" w:firstRow="1" w:lastRow="0" w:firstColumn="1" w:lastColumn="0" w:noHBand="0" w:noVBand="1"/>
      </w:tblPr>
      <w:tblGrid>
        <w:gridCol w:w="1078"/>
        <w:gridCol w:w="1079"/>
        <w:gridCol w:w="1080"/>
        <w:gridCol w:w="1080"/>
        <w:gridCol w:w="1079"/>
        <w:gridCol w:w="1080"/>
        <w:gridCol w:w="1221"/>
        <w:gridCol w:w="1368"/>
      </w:tblGrid>
      <w:tr w:rsidR="000F2570" w:rsidTr="00143062">
        <w:trPr>
          <w:jc w:val="center"/>
        </w:trPr>
        <w:tc>
          <w:tcPr>
            <w:tcW w:w="107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</w:pPr>
            <w:r>
              <w:t>causal</w:t>
            </w:r>
          </w:p>
        </w:tc>
        <w:tc>
          <w:tcPr>
            <w:tcW w:w="1079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</w:pPr>
            <w:r>
              <w:t>RR</w:t>
            </w:r>
          </w:p>
        </w:tc>
        <w:tc>
          <w:tcPr>
            <w:tcW w:w="108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</w:pPr>
            <w:r>
              <w:t>alpha</w:t>
            </w:r>
          </w:p>
        </w:tc>
        <w:tc>
          <w:tcPr>
            <w:tcW w:w="108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  <w:jc w:val="center"/>
            </w:pPr>
            <w:proofErr w:type="spellStart"/>
            <w:r>
              <w:t>nvar</w:t>
            </w:r>
            <w:proofErr w:type="spellEnd"/>
            <w:r>
              <w:t>=25</w:t>
            </w:r>
          </w:p>
        </w:tc>
        <w:tc>
          <w:tcPr>
            <w:tcW w:w="1079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  <w:jc w:val="center"/>
            </w:pPr>
            <w:proofErr w:type="spellStart"/>
            <w:r>
              <w:t>nvar</w:t>
            </w:r>
            <w:proofErr w:type="spellEnd"/>
            <w:r>
              <w:t>=50</w:t>
            </w:r>
          </w:p>
        </w:tc>
        <w:tc>
          <w:tcPr>
            <w:tcW w:w="1080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  <w:jc w:val="center"/>
            </w:pPr>
            <w:proofErr w:type="spellStart"/>
            <w:r>
              <w:t>nvar</w:t>
            </w:r>
            <w:proofErr w:type="spellEnd"/>
            <w:r>
              <w:t>=75</w:t>
            </w:r>
          </w:p>
        </w:tc>
        <w:tc>
          <w:tcPr>
            <w:tcW w:w="1221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  <w:jc w:val="center"/>
            </w:pPr>
            <w:proofErr w:type="spellStart"/>
            <w:r>
              <w:t>nvar</w:t>
            </w:r>
            <w:proofErr w:type="spellEnd"/>
            <w:r>
              <w:t>=100</w:t>
            </w:r>
          </w:p>
        </w:tc>
        <w:tc>
          <w:tcPr>
            <w:tcW w:w="1368" w:type="dxa"/>
            <w:tcBorders>
              <w:bottom w:val="single" w:sz="6" w:space="0" w:color="000001"/>
            </w:tcBorders>
            <w:shd w:val="clear" w:color="auto" w:fill="auto"/>
            <w:vAlign w:val="bottom"/>
          </w:tcPr>
          <w:p w:rsidR="000F2570" w:rsidRDefault="000F2570" w:rsidP="00143062">
            <w:pPr>
              <w:pStyle w:val="Compact"/>
              <w:jc w:val="center"/>
            </w:pPr>
            <w:proofErr w:type="spellStart"/>
            <w:r>
              <w:t>nvar</w:t>
            </w:r>
            <w:proofErr w:type="spellEnd"/>
            <w:r>
              <w:t>=500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0.32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0.10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0.19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0.24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0.75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0.43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0.26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0.44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0.62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0.94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0.27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0.29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0.79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&lt;0.15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&lt;0.25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0.25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0.35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0.50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0.14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0.16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0.22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0.71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0.71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0.81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0.88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0.26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0.54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0.62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0.22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0.33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0.45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0.55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3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&lt;0.1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0.13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0.20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0.52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0.75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0.86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0.90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lastRenderedPageBreak/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0.26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0.40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0.56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0.62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0.00625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0.87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0.94</w:t>
            </w:r>
          </w:p>
        </w:tc>
      </w:tr>
      <w:tr w:rsidR="000F2570" w:rsidTr="00143062">
        <w:trPr>
          <w:jc w:val="center"/>
        </w:trPr>
        <w:tc>
          <w:tcPr>
            <w:tcW w:w="107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25%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10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</w:pPr>
            <w:r>
              <w:t>4x10</w:t>
            </w:r>
            <w:r>
              <w:rPr>
                <w:vertAlign w:val="superscript"/>
              </w:rPr>
              <w:t>-6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0.61</w:t>
            </w:r>
          </w:p>
        </w:tc>
        <w:tc>
          <w:tcPr>
            <w:tcW w:w="1079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0.86</w:t>
            </w:r>
          </w:p>
        </w:tc>
        <w:tc>
          <w:tcPr>
            <w:tcW w:w="1080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0.90</w:t>
            </w:r>
          </w:p>
        </w:tc>
        <w:tc>
          <w:tcPr>
            <w:tcW w:w="1221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  <w:tc>
          <w:tcPr>
            <w:tcW w:w="1368" w:type="dxa"/>
            <w:tcBorders>
              <w:top w:val="single" w:sz="6" w:space="0" w:color="000001"/>
              <w:bottom w:val="single" w:sz="6" w:space="0" w:color="000001"/>
            </w:tcBorders>
            <w:shd w:val="clear" w:color="auto" w:fill="auto"/>
          </w:tcPr>
          <w:p w:rsidR="000F2570" w:rsidRDefault="000F2570" w:rsidP="00143062">
            <w:pPr>
              <w:pStyle w:val="Compact"/>
              <w:jc w:val="center"/>
            </w:pPr>
            <w:r>
              <w:t>&gt;0.9</w:t>
            </w:r>
          </w:p>
        </w:tc>
      </w:tr>
    </w:tbl>
    <w:p w:rsidR="000F2570" w:rsidRDefault="000F2570" w:rsidP="000F2570">
      <w:pPr>
        <w:pStyle w:val="Corpsdetexte"/>
      </w:pPr>
      <w:bookmarkStart w:id="1" w:name="table-s2.-number-of-dcm-patients-and-con"/>
      <w:bookmarkStart w:id="2" w:name="table-s4.-skat-analysis-of-variants-in-g"/>
      <w:bookmarkEnd w:id="1"/>
      <w:bookmarkEnd w:id="2"/>
      <w:r>
        <w:rPr>
          <w:b/>
          <w:i/>
        </w:rPr>
        <w:t>S1b</w:t>
      </w:r>
      <w:r>
        <w:t xml:space="preserve"> </w:t>
      </w:r>
      <w:r>
        <w:rPr>
          <w:b/>
          <w:i/>
        </w:rPr>
        <w:t xml:space="preserve">Table </w:t>
      </w:r>
      <w:r>
        <w:t>reports the power of our study for various number of variants (</w:t>
      </w:r>
      <w:proofErr w:type="spellStart"/>
      <w:r>
        <w:t>nvar</w:t>
      </w:r>
      <w:proofErr w:type="spellEnd"/>
      <w:r>
        <w:t>), percentage of causal variants (%causal), allelic relative risk (RR) and type I error rate (alpha). The computations were done with R/SKAT using the following parameters (see R/SKAT '</w:t>
      </w:r>
      <w:proofErr w:type="spellStart"/>
      <w:r>
        <w:t>Power_Logistic</w:t>
      </w:r>
      <w:proofErr w:type="spellEnd"/>
      <w:r>
        <w:t>' function for more details on the parameters</w:t>
      </w:r>
      <w:proofErr w:type="gramStart"/>
      <w:r>
        <w:t>) :</w:t>
      </w:r>
      <w:proofErr w:type="gramEnd"/>
    </w:p>
    <w:p w:rsidR="000F2570" w:rsidRDefault="000F2570" w:rsidP="000F2570">
      <w:pPr>
        <w:pStyle w:val="Normalcentr"/>
        <w:numPr>
          <w:ilvl w:val="0"/>
          <w:numId w:val="2"/>
        </w:numPr>
      </w:pPr>
      <w:r>
        <w:t>Number of variants: 25, 75, 50, 50, 100, 500 (values were chosen to reflect situations encountered in our study. Note that the number of variants is derived, it is the sub-region length which is provided as a parameter.)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Disease Prevalence: 0.002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allelic relative risk (</w:t>
      </w:r>
      <w:proofErr w:type="spellStart"/>
      <w:r>
        <w:t>MaxOR</w:t>
      </w:r>
      <w:proofErr w:type="spellEnd"/>
      <w:r>
        <w:t>): 3, 5, 10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Causal MAF cutoff (only variants with a MAF &lt; cutoff are considered as causal): 0.01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Causal Percent (Percentage of causal variants among rare variants): 5, 10, 25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Number of cases/controls: 2796/6877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proofErr w:type="gramStart"/>
      <w:r>
        <w:t>type</w:t>
      </w:r>
      <w:proofErr w:type="gramEnd"/>
      <w:r>
        <w:t xml:space="preserve"> I error: 0.00625 and 4.16 x 10</w:t>
      </w:r>
      <w:r>
        <w:rPr>
          <w:vertAlign w:val="superscript"/>
        </w:rPr>
        <w:t>-6</w:t>
      </w:r>
      <w:r>
        <w:t>, corresponding respectively to a Bonferroni P-value of 0.05 corrected for the number of candidate regions (n = 8) and the number of genes (n = 12,000).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proofErr w:type="spellStart"/>
      <w:r>
        <w:t>Weight.Param</w:t>
      </w:r>
      <w:proofErr w:type="spellEnd"/>
      <w:r>
        <w:t>: [1,25]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r>
        <w:t>Number of simulations (</w:t>
      </w:r>
      <w:proofErr w:type="spellStart"/>
      <w:r>
        <w:t>N.Sim</w:t>
      </w:r>
      <w:proofErr w:type="spellEnd"/>
      <w:r>
        <w:t>): 200</w:t>
      </w:r>
    </w:p>
    <w:p w:rsidR="000F2570" w:rsidRDefault="000F2570" w:rsidP="000F2570">
      <w:pPr>
        <w:pStyle w:val="Normalcentr"/>
        <w:numPr>
          <w:ilvl w:val="0"/>
          <w:numId w:val="2"/>
        </w:numPr>
      </w:pPr>
      <w:proofErr w:type="spellStart"/>
      <w:r>
        <w:t>Negative.Percent</w:t>
      </w:r>
      <w:proofErr w:type="spellEnd"/>
      <w:r>
        <w:t>: 0 (we neglect protective variants)</w:t>
      </w:r>
    </w:p>
    <w:p w:rsidR="000F2570" w:rsidRDefault="000F2570" w:rsidP="000F2570">
      <w:pPr>
        <w:pStyle w:val="FirstParagraph"/>
      </w:pPr>
      <w:r>
        <w:t xml:space="preserve">It appears that for sets including 25 variants or less, very high values of percentage of rare variants (&gt; 25%) and allelic relative risk (&gt; 10) would be needed to reach an acceptable power. When 50 variants are available (i.e. </w:t>
      </w:r>
      <w:r>
        <w:rPr>
          <w:i/>
        </w:rPr>
        <w:t>ZBTB17</w:t>
      </w:r>
      <w:r>
        <w:t>) and alpha = 0.00625, the power would reach 0.75 when 25% of the rare variants are causal and the maximum allelic RR = 5. When the variants set is large (</w:t>
      </w:r>
      <w:proofErr w:type="spellStart"/>
      <w:r>
        <w:t>nvar</w:t>
      </w:r>
      <w:proofErr w:type="spellEnd"/>
      <w:r>
        <w:t xml:space="preserve"> = 500, i.e. </w:t>
      </w:r>
      <w:r>
        <w:rPr>
          <w:i/>
        </w:rPr>
        <w:t>TTN</w:t>
      </w:r>
      <w:r>
        <w:t xml:space="preserve"> or the DCM set) the power of the study is large under a number of conditions.</w:t>
      </w:r>
    </w:p>
    <w:p w:rsidR="006232B4" w:rsidRDefault="006232B4"/>
    <w:sectPr w:rsidR="006232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10D61"/>
    <w:multiLevelType w:val="multilevel"/>
    <w:tmpl w:val="D910F10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120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92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64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336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408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800" w:hanging="48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4EEA1A77"/>
    <w:multiLevelType w:val="multilevel"/>
    <w:tmpl w:val="01FEDA02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1200" w:hanging="48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920" w:hanging="48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2160"/>
        </w:tabs>
        <w:ind w:left="2640" w:hanging="48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3360" w:hanging="48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3600"/>
        </w:tabs>
        <w:ind w:left="4080" w:hanging="48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800" w:hanging="480"/>
      </w:pPr>
      <w:rPr>
        <w:rFonts w:ascii="Symbol" w:hAnsi="Symbol" w:cs="Symbol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2D"/>
    <w:rsid w:val="00050B15"/>
    <w:rsid w:val="000F2570"/>
    <w:rsid w:val="006232B4"/>
    <w:rsid w:val="00A9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03FF94F-DD83-45D5-86F9-EF57EBF79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152D"/>
    <w:pPr>
      <w:spacing w:after="200" w:line="240" w:lineRule="auto"/>
    </w:pPr>
    <w:rPr>
      <w:rFonts w:ascii="Cambria" w:eastAsia="Cambria" w:hAnsi="Cambria"/>
      <w:color w:val="00000A"/>
      <w:sz w:val="24"/>
      <w:szCs w:val="24"/>
    </w:rPr>
  </w:style>
  <w:style w:type="paragraph" w:styleId="Titre5">
    <w:name w:val="heading 5"/>
    <w:basedOn w:val="Normal"/>
    <w:link w:val="Titre5Car"/>
    <w:uiPriority w:val="9"/>
    <w:unhideWhenUsed/>
    <w:qFormat/>
    <w:rsid w:val="00A9152D"/>
    <w:pPr>
      <w:keepNext/>
      <w:keepLines/>
      <w:spacing w:before="283" w:after="170"/>
      <w:ind w:right="283"/>
      <w:jc w:val="center"/>
      <w:outlineLvl w:val="4"/>
    </w:pPr>
    <w:rPr>
      <w:rFonts w:ascii="Arial" w:eastAsiaTheme="majorEastAsia" w:hAnsi="Arial" w:cstheme="majorBidi"/>
      <w:b/>
      <w:iCs/>
      <w:color w:val="000000"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A9152D"/>
    <w:rPr>
      <w:rFonts w:ascii="Arial" w:eastAsiaTheme="majorEastAsia" w:hAnsi="Arial" w:cstheme="majorBidi"/>
      <w:b/>
      <w:iCs/>
      <w:color w:val="000000"/>
      <w:sz w:val="26"/>
      <w:szCs w:val="24"/>
    </w:rPr>
  </w:style>
  <w:style w:type="paragraph" w:styleId="Corpsdetexte">
    <w:name w:val="Body Text"/>
    <w:basedOn w:val="Normal"/>
    <w:link w:val="CorpsdetexteCar"/>
    <w:qFormat/>
    <w:rsid w:val="00A9152D"/>
    <w:pPr>
      <w:spacing w:before="180" w:after="180"/>
      <w:jc w:val="both"/>
    </w:pPr>
    <w:rPr>
      <w:rFonts w:ascii="Arial" w:hAnsi="Arial"/>
      <w:sz w:val="22"/>
    </w:rPr>
  </w:style>
  <w:style w:type="character" w:customStyle="1" w:styleId="CorpsdetexteCar">
    <w:name w:val="Corps de texte Car"/>
    <w:basedOn w:val="Policepardfaut"/>
    <w:link w:val="Corpsdetexte"/>
    <w:rsid w:val="00A9152D"/>
    <w:rPr>
      <w:rFonts w:ascii="Arial" w:eastAsia="Cambria" w:hAnsi="Arial"/>
      <w:color w:val="00000A"/>
      <w:szCs w:val="24"/>
    </w:rPr>
  </w:style>
  <w:style w:type="paragraph" w:customStyle="1" w:styleId="Compact">
    <w:name w:val="Compact"/>
    <w:basedOn w:val="Corpsdetexte"/>
    <w:qFormat/>
    <w:rsid w:val="00A9152D"/>
    <w:pPr>
      <w:spacing w:before="36" w:after="36"/>
    </w:pPr>
  </w:style>
  <w:style w:type="character" w:customStyle="1" w:styleId="LienInternet">
    <w:name w:val="Lien Internet"/>
    <w:basedOn w:val="Policepardfaut"/>
    <w:qFormat/>
    <w:rsid w:val="006232B4"/>
    <w:rPr>
      <w:color w:val="5B9BD5" w:themeColor="accent1"/>
    </w:rPr>
  </w:style>
  <w:style w:type="paragraph" w:styleId="Normalcentr">
    <w:name w:val="Block Text"/>
    <w:basedOn w:val="Corpsdetexte"/>
    <w:uiPriority w:val="9"/>
    <w:unhideWhenUsed/>
    <w:qFormat/>
    <w:rsid w:val="006232B4"/>
    <w:pPr>
      <w:spacing w:before="100" w:after="100"/>
    </w:pPr>
    <w:rPr>
      <w:rFonts w:eastAsiaTheme="majorEastAsia" w:cstheme="majorBidi"/>
      <w:bCs/>
      <w:sz w:val="20"/>
      <w:szCs w:val="20"/>
    </w:rPr>
  </w:style>
  <w:style w:type="paragraph" w:styleId="Bibliographie">
    <w:name w:val="Bibliography"/>
    <w:basedOn w:val="Normal"/>
    <w:next w:val="Normal"/>
    <w:uiPriority w:val="37"/>
    <w:semiHidden/>
    <w:unhideWhenUsed/>
    <w:rsid w:val="006232B4"/>
  </w:style>
  <w:style w:type="paragraph" w:customStyle="1" w:styleId="FirstParagraph">
    <w:name w:val="First Paragraph"/>
    <w:basedOn w:val="Corpsdetexte"/>
    <w:qFormat/>
    <w:rsid w:val="000F25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Villard</dc:creator>
  <cp:keywords/>
  <dc:description/>
  <cp:lastModifiedBy>eric Villard</cp:lastModifiedBy>
  <cp:revision>2</cp:revision>
  <dcterms:created xsi:type="dcterms:W3CDTF">2017-02-16T15:06:00Z</dcterms:created>
  <dcterms:modified xsi:type="dcterms:W3CDTF">2017-02-16T15:06:00Z</dcterms:modified>
</cp:coreProperties>
</file>