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F5C" w14:textId="3014A9C1" w:rsidR="008210C2" w:rsidRPr="00D165A9" w:rsidRDefault="008210C2" w:rsidP="008210C2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Supplemental </w:t>
      </w:r>
      <w:r w:rsidRPr="00D165A9">
        <w:rPr>
          <w:rFonts w:ascii="Times New Roman" w:hAnsi="Times New Roman"/>
          <w:b/>
          <w:sz w:val="20"/>
          <w:szCs w:val="20"/>
        </w:rPr>
        <w:t>Table 1:</w:t>
      </w:r>
      <w:r w:rsidRPr="00D165A9">
        <w:rPr>
          <w:rFonts w:ascii="Times New Roman" w:hAnsi="Times New Roman"/>
          <w:sz w:val="20"/>
          <w:szCs w:val="20"/>
        </w:rPr>
        <w:t xml:space="preserve"> </w:t>
      </w:r>
      <w:r w:rsidRPr="00D165A9">
        <w:rPr>
          <w:rFonts w:ascii="Times New Roman" w:hAnsi="Times New Roman"/>
          <w:b/>
          <w:sz w:val="20"/>
          <w:szCs w:val="20"/>
        </w:rPr>
        <w:t xml:space="preserve">Effect of GLP-1/GIP/glucagon triple agonism on circulating levels of selected markers in female and fat mass-matched male mice. </w:t>
      </w:r>
      <w:r w:rsidRPr="00D165A9">
        <w:rPr>
          <w:rFonts w:ascii="Times New Roman" w:hAnsi="Times New Roman"/>
          <w:sz w:val="20"/>
          <w:szCs w:val="20"/>
        </w:rPr>
        <w:t>Concentration of leptin, triglycerides, non-esterifi</w:t>
      </w:r>
      <w:r w:rsidR="00385F76">
        <w:rPr>
          <w:rFonts w:ascii="Times New Roman" w:hAnsi="Times New Roman"/>
          <w:sz w:val="20"/>
          <w:szCs w:val="20"/>
        </w:rPr>
        <w:t xml:space="preserve">ed free fatty acids (NEFAs), </w:t>
      </w:r>
      <w:r w:rsidRPr="00D165A9">
        <w:rPr>
          <w:rFonts w:ascii="Times New Roman" w:hAnsi="Times New Roman"/>
          <w:sz w:val="20"/>
          <w:szCs w:val="20"/>
        </w:rPr>
        <w:t>FGF21</w:t>
      </w:r>
      <w:r w:rsidR="00385F76">
        <w:rPr>
          <w:rFonts w:ascii="Times New Roman" w:hAnsi="Times New Roman"/>
          <w:sz w:val="20"/>
          <w:szCs w:val="20"/>
        </w:rPr>
        <w:t>, L-alanine:2-oxoglutarate a</w:t>
      </w:r>
      <w:r w:rsidR="00385F76" w:rsidRPr="00385F76">
        <w:rPr>
          <w:rFonts w:ascii="Times New Roman" w:hAnsi="Times New Roman"/>
          <w:sz w:val="20"/>
          <w:szCs w:val="20"/>
        </w:rPr>
        <w:t>minotransferase (ALT)</w:t>
      </w:r>
      <w:r w:rsidR="00385F76">
        <w:rPr>
          <w:rFonts w:ascii="Times New Roman" w:hAnsi="Times New Roman"/>
          <w:sz w:val="20"/>
          <w:szCs w:val="20"/>
        </w:rPr>
        <w:t>, and a</w:t>
      </w:r>
      <w:r w:rsidR="00385F76" w:rsidRPr="00385F76">
        <w:rPr>
          <w:rFonts w:ascii="Times New Roman" w:hAnsi="Times New Roman"/>
          <w:sz w:val="20"/>
          <w:szCs w:val="20"/>
        </w:rPr>
        <w:t>spa</w:t>
      </w:r>
      <w:r w:rsidR="00385F76">
        <w:rPr>
          <w:rFonts w:ascii="Times New Roman" w:hAnsi="Times New Roman"/>
          <w:sz w:val="20"/>
          <w:szCs w:val="20"/>
        </w:rPr>
        <w:t>rtate a</w:t>
      </w:r>
      <w:r w:rsidR="00385F76" w:rsidRPr="00385F76">
        <w:rPr>
          <w:rFonts w:ascii="Times New Roman" w:hAnsi="Times New Roman"/>
          <w:sz w:val="20"/>
          <w:szCs w:val="20"/>
        </w:rPr>
        <w:t>minotransferase (AST</w:t>
      </w:r>
      <w:r w:rsidR="00385F76">
        <w:rPr>
          <w:rFonts w:ascii="Times New Roman" w:hAnsi="Times New Roman"/>
          <w:sz w:val="20"/>
          <w:szCs w:val="20"/>
        </w:rPr>
        <w:t>)</w:t>
      </w:r>
      <w:r w:rsidRPr="00D165A9">
        <w:rPr>
          <w:rFonts w:ascii="Times New Roman" w:hAnsi="Times New Roman"/>
          <w:sz w:val="20"/>
          <w:szCs w:val="20"/>
        </w:rPr>
        <w:t xml:space="preserve"> in plasma of 6 hours-fasted female and fat mass-matched male mice treated daily with vehicle, 5 nmol/kg or 10 nmol/kg of the triagonist (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age 9 months; </w:t>
      </w:r>
      <w:r w:rsidRPr="002500A0">
        <w:rPr>
          <w:rFonts w:ascii="Times New Roman" w:eastAsia="+mn-ea" w:hAnsi="Times New Roman"/>
          <w:color w:val="000000"/>
          <w:kern w:val="24"/>
          <w:sz w:val="20"/>
          <w:szCs w:val="20"/>
        </w:rPr>
        <w:t>♀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>n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= 5-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>10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; </w:t>
      </w:r>
      <w:r w:rsidRPr="002500A0">
        <w:rPr>
          <w:rFonts w:ascii="Times New Roman" w:eastAsia="+mn-ea" w:hAnsi="Times New Roman"/>
          <w:color w:val="000000"/>
          <w:kern w:val="24"/>
          <w:sz w:val="20"/>
          <w:szCs w:val="20"/>
        </w:rPr>
        <w:t>♂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</w:t>
      </w:r>
      <w:r w:rsidRPr="002500A0">
        <w:rPr>
          <w:rFonts w:ascii="Times New Roman" w:eastAsia="+mn-ea" w:hAnsi="Times New Roman"/>
          <w:i/>
          <w:color w:val="000000"/>
          <w:kern w:val="24"/>
          <w:sz w:val="20"/>
          <w:szCs w:val="20"/>
        </w:rPr>
        <w:t>n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= 6-8 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>per group</w:t>
      </w:r>
      <w:r w:rsidRPr="00D165A9">
        <w:rPr>
          <w:rFonts w:ascii="Times New Roman" w:hAnsi="Times New Roman"/>
          <w:sz w:val="20"/>
          <w:szCs w:val="20"/>
        </w:rPr>
        <w:t>). Leptin, triglycerides</w:t>
      </w:r>
      <w:r>
        <w:rPr>
          <w:rFonts w:ascii="Times New Roman" w:hAnsi="Times New Roman"/>
          <w:sz w:val="20"/>
          <w:szCs w:val="20"/>
        </w:rPr>
        <w:t>,</w:t>
      </w:r>
      <w:r w:rsidRPr="00D165A9">
        <w:rPr>
          <w:rFonts w:ascii="Times New Roman" w:hAnsi="Times New Roman"/>
          <w:sz w:val="20"/>
          <w:szCs w:val="20"/>
        </w:rPr>
        <w:t xml:space="preserve"> and NEFAs were </w:t>
      </w:r>
      <w:r w:rsidR="00385F76">
        <w:rPr>
          <w:rFonts w:ascii="Times New Roman" w:hAnsi="Times New Roman"/>
          <w:sz w:val="20"/>
          <w:szCs w:val="20"/>
        </w:rPr>
        <w:t xml:space="preserve">measured at study day 22, FGF21, ALT, and AST </w:t>
      </w:r>
      <w:r w:rsidRPr="00D165A9">
        <w:rPr>
          <w:rFonts w:ascii="Times New Roman" w:hAnsi="Times New Roman"/>
          <w:sz w:val="20"/>
          <w:szCs w:val="20"/>
        </w:rPr>
        <w:t xml:space="preserve">at study day 27. 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>Data represent mean ± s.e.m. *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 xml:space="preserve">P 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>&lt; 0.05, **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>P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&lt; 0.01, ***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>P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&lt; 0.001, determined by two-way ANOVA comparing vehicle with compound injections in both sexes. </w:t>
      </w:r>
      <w:r w:rsidRPr="00D165A9">
        <w:rPr>
          <w:rFonts w:ascii="Times New Roman" w:eastAsia="+mn-ea" w:hAnsi="Times New Roman"/>
          <w:color w:val="000000"/>
          <w:kern w:val="24"/>
          <w:position w:val="6"/>
          <w:sz w:val="20"/>
          <w:szCs w:val="20"/>
          <w:vertAlign w:val="superscript"/>
        </w:rPr>
        <w:t>$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>P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&lt; 0.05</w:t>
      </w:r>
      <w:r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determined by two-way ANOVA comparing both sexes. ANOVA was followed by Tukey </w:t>
      </w:r>
      <w:r w:rsidRPr="00D165A9">
        <w:rPr>
          <w:rFonts w:ascii="Times New Roman" w:eastAsia="+mn-ea" w:hAnsi="Times New Roman"/>
          <w:i/>
          <w:iCs/>
          <w:color w:val="000000"/>
          <w:kern w:val="24"/>
          <w:sz w:val="20"/>
          <w:szCs w:val="20"/>
        </w:rPr>
        <w:t>post hoc</w:t>
      </w:r>
      <w:r w:rsidRPr="00D165A9">
        <w:rPr>
          <w:rFonts w:ascii="Times New Roman" w:eastAsia="+mn-ea" w:hAnsi="Times New Roman"/>
          <w:color w:val="000000"/>
          <w:kern w:val="24"/>
          <w:sz w:val="20"/>
          <w:szCs w:val="20"/>
        </w:rPr>
        <w:t xml:space="preserve"> multiple comparison analysis to determine statistical significance.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418"/>
        <w:gridCol w:w="1417"/>
        <w:gridCol w:w="1276"/>
        <w:gridCol w:w="1276"/>
        <w:gridCol w:w="1276"/>
      </w:tblGrid>
      <w:tr w:rsidR="008210C2" w:rsidRPr="00D165A9" w14:paraId="092033A1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bottom"/>
          </w:tcPr>
          <w:p w14:paraId="4213E8F7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14:paraId="10DD1C95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Females</w:t>
            </w:r>
          </w:p>
        </w:tc>
        <w:tc>
          <w:tcPr>
            <w:tcW w:w="3828" w:type="dxa"/>
            <w:gridSpan w:val="3"/>
            <w:shd w:val="clear" w:color="auto" w:fill="auto"/>
            <w:vAlign w:val="bottom"/>
          </w:tcPr>
          <w:p w14:paraId="0D9E333C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Males</w:t>
            </w:r>
          </w:p>
        </w:tc>
      </w:tr>
      <w:tr w:rsidR="008210C2" w:rsidRPr="00D165A9" w14:paraId="0BE41F98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bottom"/>
          </w:tcPr>
          <w:p w14:paraId="33696F1F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Treatment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D8C49C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Vehicle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FB9866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5 nmol/kg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B12411F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10 nmol/kg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590159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Vehicle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95B149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5 nmol/kg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BF2466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5A9">
              <w:rPr>
                <w:rFonts w:ascii="Times New Roman" w:hAnsi="Times New Roman"/>
                <w:b/>
                <w:sz w:val="20"/>
                <w:szCs w:val="20"/>
              </w:rPr>
              <w:t>10 nmol/kg</w:t>
            </w:r>
          </w:p>
        </w:tc>
      </w:tr>
      <w:tr w:rsidR="008210C2" w:rsidRPr="00D165A9" w14:paraId="2EAA1710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99CC915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Leptin (ng/ml)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B13AE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13.88 ± 1.96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8EC703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4.75 ± 1.42*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759EE5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3.76 ± 1.20**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DAB1A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12.78 ± 2.26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A0493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7.23 ± 2.03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E4642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3.55± 0.53*</w:t>
            </w:r>
          </w:p>
        </w:tc>
      </w:tr>
      <w:tr w:rsidR="008210C2" w:rsidRPr="00D165A9" w14:paraId="78736EC1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E43866C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Triglycerides (mg/dl)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8AD43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96.27 ± 4.9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B9685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91.57 ± 6.4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7A221D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105.74 ± 6.8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7B9C6A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98.73 ± 4.8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C34F3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87.09 ± 6.5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808B8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85.62 ± 6.6</w:t>
            </w:r>
          </w:p>
        </w:tc>
      </w:tr>
      <w:tr w:rsidR="008210C2" w:rsidRPr="00D165A9" w14:paraId="7CB5D36A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F6CE23D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NEFAs (mM)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302F61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1.01 ± 0.09</w:t>
            </w:r>
            <w:r w:rsidRPr="00D165A9">
              <w:rPr>
                <w:rFonts w:ascii="Times New Roman" w:hAnsi="Times New Roman"/>
                <w:vertAlign w:val="superscript"/>
              </w:rPr>
              <w:t>$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66166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1.34 ± 0.14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352A2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2.06 ± 0.17***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5DCC0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1.60 ± 0.11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2B206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1.42 ± 0.08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48F2F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1.54 ± 0.18</w:t>
            </w:r>
          </w:p>
        </w:tc>
      </w:tr>
      <w:tr w:rsidR="008210C2" w:rsidRPr="00D165A9" w14:paraId="749EF34D" w14:textId="77777777" w:rsidTr="00E2237E">
        <w:trPr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67C8570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FGF21 (pg/ml)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18044F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238.7 ± 44.4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A36BE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637.3 ± 167.2*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C31461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429.4 ± 66.0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1A2BC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290.5 ± 64.4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CC370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427.0 ± 68.4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281EC" w14:textId="77777777" w:rsidR="008210C2" w:rsidRPr="00D165A9" w:rsidRDefault="008210C2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5A9">
              <w:rPr>
                <w:rFonts w:ascii="Times New Roman" w:hAnsi="Times New Roman"/>
                <w:sz w:val="20"/>
                <w:szCs w:val="20"/>
              </w:rPr>
              <w:t>307.9 ± 45.8</w:t>
            </w:r>
          </w:p>
        </w:tc>
      </w:tr>
      <w:tr w:rsidR="00481104" w:rsidRPr="00D165A9" w14:paraId="5FB5C0F2" w14:textId="77777777" w:rsidTr="00481104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91B" w14:textId="77777777" w:rsidR="00481104" w:rsidRPr="00D165A9" w:rsidRDefault="00481104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 (U/l</w:t>
            </w:r>
            <w:r w:rsidRPr="00D165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0134" w14:textId="23817C23" w:rsidR="00481104" w:rsidRPr="00D165A9" w:rsidRDefault="00E2237E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31.61 ± 9.08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ED0C" w14:textId="0CE9F9A2" w:rsidR="00481104" w:rsidRPr="00D165A9" w:rsidRDefault="00E2237E" w:rsidP="004811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12.21</w:t>
            </w:r>
            <w:r w:rsidR="00481104">
              <w:rPr>
                <w:rFonts w:ascii="Times New Roman" w:hAnsi="Times New Roman"/>
                <w:sz w:val="20"/>
                <w:szCs w:val="20"/>
              </w:rPr>
              <w:t xml:space="preserve"> ± 3.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D84C" w14:textId="6A287252" w:rsidR="00481104" w:rsidRPr="00D165A9" w:rsidRDefault="00E2237E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11.56 ± 3.65</w:t>
            </w:r>
            <w:r w:rsidR="00481104" w:rsidRPr="00D165A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CDE0" w14:textId="681E4C8B" w:rsidR="00481104" w:rsidRPr="00D165A9" w:rsidRDefault="00E2237E" w:rsidP="004811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18.61</w:t>
            </w:r>
            <w:r w:rsidR="00481104" w:rsidRPr="00D165A9">
              <w:rPr>
                <w:rFonts w:ascii="Times New Roman" w:hAnsi="Times New Roman"/>
                <w:sz w:val="20"/>
                <w:szCs w:val="20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</w:rPr>
              <w:t>4.56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44A" w14:textId="5B3124C1" w:rsidR="00481104" w:rsidRPr="00D165A9" w:rsidRDefault="00E2237E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</w:t>
            </w:r>
            <w:r w:rsidR="00481104" w:rsidRPr="00D165A9">
              <w:rPr>
                <w:rFonts w:ascii="Times New Roman" w:hAnsi="Times New Roman"/>
                <w:sz w:val="20"/>
                <w:szCs w:val="20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</w:rPr>
              <w:t>2.51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387" w14:textId="53BC2F8F" w:rsidR="00481104" w:rsidRPr="00D165A9" w:rsidRDefault="00E2237E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5.43</w:t>
            </w:r>
            <w:r w:rsidR="00481104">
              <w:rPr>
                <w:rFonts w:ascii="Times New Roman" w:hAnsi="Times New Roman"/>
                <w:sz w:val="20"/>
                <w:szCs w:val="20"/>
              </w:rPr>
              <w:t xml:space="preserve"> ± 0.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</w:tr>
      <w:tr w:rsidR="00385F76" w:rsidRPr="00D165A9" w14:paraId="0AC19381" w14:textId="77777777" w:rsidTr="00385F76">
        <w:trPr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801B" w14:textId="77777777" w:rsidR="00385F76" w:rsidRPr="00D165A9" w:rsidRDefault="00385F76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AST (U/l</w:t>
            </w:r>
            <w:r w:rsidRPr="00D165A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4595" w14:textId="38718D78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33.92 ± 8.68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1A55" w14:textId="4E9EE73A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22.48 ± 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101" w14:textId="60D8D21C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17.65 ± 4.22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D10F" w14:textId="27CB92BF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30.53</w:t>
            </w:r>
            <w:r w:rsidR="00385F76" w:rsidRPr="00D165A9">
              <w:rPr>
                <w:rFonts w:ascii="Times New Roman" w:hAnsi="Times New Roman"/>
                <w:sz w:val="20"/>
                <w:szCs w:val="20"/>
              </w:rPr>
              <w:t xml:space="preserve"> 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034A" w14:textId="03D42323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35.95</w:t>
            </w:r>
            <w:r w:rsidR="00385F76" w:rsidRPr="00D165A9">
              <w:rPr>
                <w:rFonts w:ascii="Times New Roman" w:hAnsi="Times New Roman"/>
                <w:sz w:val="20"/>
                <w:szCs w:val="20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</w:rPr>
              <w:t>12.76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1BBB" w14:textId="3FC3EB68" w:rsidR="00385F76" w:rsidRPr="00D165A9" w:rsidRDefault="00784AF5" w:rsidP="00E22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30.87</w:t>
            </w:r>
            <w:r w:rsidR="00385F76" w:rsidRPr="00D165A9">
              <w:rPr>
                <w:rFonts w:ascii="Times New Roman" w:hAnsi="Times New Roman"/>
                <w:sz w:val="20"/>
                <w:szCs w:val="20"/>
              </w:rPr>
              <w:t xml:space="preserve"> ± </w:t>
            </w:r>
            <w:r>
              <w:rPr>
                <w:rFonts w:ascii="Times New Roman" w:hAnsi="Times New Roman"/>
                <w:sz w:val="20"/>
                <w:szCs w:val="20"/>
              </w:rPr>
              <w:t>6.47</w:t>
            </w:r>
          </w:p>
        </w:tc>
      </w:tr>
    </w:tbl>
    <w:p w14:paraId="5AB7F8E0" w14:textId="77777777" w:rsidR="00461646" w:rsidRPr="008210C2" w:rsidRDefault="00461646" w:rsidP="00481104"/>
    <w:sectPr w:rsidR="00461646" w:rsidRPr="008210C2" w:rsidSect="004616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C2"/>
    <w:rsid w:val="00291495"/>
    <w:rsid w:val="00385F76"/>
    <w:rsid w:val="00461646"/>
    <w:rsid w:val="00481104"/>
    <w:rsid w:val="00784AF5"/>
    <w:rsid w:val="008210C2"/>
    <w:rsid w:val="00CC7270"/>
    <w:rsid w:val="00E2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9E2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0C2"/>
    <w:rPr>
      <w:rFonts w:ascii="Cambria" w:eastAsia="MS Mincho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AF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AF5"/>
    <w:rPr>
      <w:rFonts w:ascii="Lucida Grande" w:eastAsia="MS Mincho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10C2"/>
    <w:rPr>
      <w:rFonts w:ascii="Cambria" w:eastAsia="MS Mincho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4AF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4AF5"/>
    <w:rPr>
      <w:rFonts w:ascii="Lucida Grande" w:eastAsia="MS Minch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4</DocSecurity>
  <Lines>11</Lines>
  <Paragraphs>3</Paragraphs>
  <ScaleCrop>false</ScaleCrop>
  <Company>Helmholtz Zentrum München</Company>
  <LinksUpToDate>false</LinksUpToDate>
  <CharactersWithSpaces>1560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Rauner, Katrin</dc:creator>
  <cp:lastModifiedBy>katrin.rauner</cp:lastModifiedBy>
  <cp:revision>2</cp:revision>
  <dcterms:created xsi:type="dcterms:W3CDTF">2017-04-28T10:59:00Z</dcterms:created>
  <dcterms:modified xsi:type="dcterms:W3CDTF">2017-04-28T10:59:00Z</dcterms:modified>
</cp:coreProperties>
</file>