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4D7A" w:rsidRPr="00083DE8" w:rsidRDefault="00F44C4C" w:rsidP="00271A3E">
      <w:pPr>
        <w:spacing w:line="240" w:lineRule="auto"/>
        <w:jc w:val="both"/>
        <w:rPr>
          <w:rFonts w:ascii="Arial" w:hAnsi="Arial" w:cs="Arial"/>
          <w:b/>
          <w:sz w:val="20"/>
          <w:szCs w:val="20"/>
        </w:rPr>
      </w:pPr>
      <w:r w:rsidRPr="00083DE8">
        <w:rPr>
          <w:rFonts w:ascii="Arial" w:hAnsi="Arial" w:cs="Arial"/>
          <w:b/>
          <w:sz w:val="20"/>
          <w:szCs w:val="20"/>
        </w:rPr>
        <w:t>SUPPORTING MATERIAL</w:t>
      </w:r>
    </w:p>
    <w:p w:rsidR="00224D7A" w:rsidRPr="00083DE8" w:rsidRDefault="00F80239" w:rsidP="00224D7A">
      <w:pPr>
        <w:spacing w:line="24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table S1 related to Experimental Procedures</w:t>
      </w:r>
    </w:p>
    <w:p w:rsidR="00224D7A" w:rsidRPr="00083DE8" w:rsidRDefault="00224D7A" w:rsidP="00224D7A">
      <w:pPr>
        <w:spacing w:line="240" w:lineRule="auto"/>
        <w:jc w:val="both"/>
        <w:rPr>
          <w:rFonts w:ascii="Arial" w:hAnsi="Arial" w:cs="Arial"/>
          <w:sz w:val="20"/>
          <w:szCs w:val="20"/>
        </w:rPr>
      </w:pPr>
      <w:r w:rsidRPr="00083DE8">
        <w:rPr>
          <w:rFonts w:ascii="Arial" w:hAnsi="Arial" w:cs="Arial"/>
          <w:sz w:val="20"/>
          <w:szCs w:val="20"/>
        </w:rPr>
        <w:t xml:space="preserve">Primers used in the direction of 5’-3’ orientation for qPCR. </w:t>
      </w:r>
    </w:p>
    <w:p w:rsidR="00224D7A" w:rsidRPr="00083DE8" w:rsidRDefault="00F80239" w:rsidP="00224D7A">
      <w:pPr>
        <w:spacing w:line="24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table S2 related to Experimental Procedures</w:t>
      </w:r>
    </w:p>
    <w:p w:rsidR="00224D7A" w:rsidRPr="00083DE8" w:rsidRDefault="00224D7A" w:rsidP="00224D7A">
      <w:pPr>
        <w:spacing w:line="240" w:lineRule="auto"/>
        <w:jc w:val="both"/>
        <w:rPr>
          <w:rFonts w:ascii="Arial" w:hAnsi="Arial" w:cs="Arial"/>
          <w:sz w:val="20"/>
          <w:szCs w:val="20"/>
        </w:rPr>
      </w:pPr>
      <w:proofErr w:type="gramStart"/>
      <w:r w:rsidRPr="00083DE8">
        <w:rPr>
          <w:rFonts w:ascii="Arial" w:hAnsi="Arial" w:cs="Arial"/>
          <w:sz w:val="20"/>
          <w:szCs w:val="20"/>
        </w:rPr>
        <w:t>Antibodies and their concentrations.</w:t>
      </w:r>
      <w:proofErr w:type="gramEnd"/>
    </w:p>
    <w:p w:rsidR="00224D7A" w:rsidRPr="00083DE8" w:rsidRDefault="00F80239" w:rsidP="00224D7A">
      <w:pPr>
        <w:spacing w:line="36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table S3 related to Experimental Procedures</w:t>
      </w:r>
    </w:p>
    <w:p w:rsidR="00224D7A" w:rsidRPr="00083DE8" w:rsidRDefault="00224D7A" w:rsidP="00224D7A">
      <w:pPr>
        <w:spacing w:line="360" w:lineRule="auto"/>
        <w:jc w:val="both"/>
        <w:rPr>
          <w:rFonts w:ascii="Arial" w:hAnsi="Arial" w:cs="Arial"/>
          <w:sz w:val="20"/>
          <w:szCs w:val="20"/>
        </w:rPr>
      </w:pPr>
      <w:proofErr w:type="gramStart"/>
      <w:r w:rsidRPr="00083DE8">
        <w:rPr>
          <w:rFonts w:ascii="Arial" w:hAnsi="Arial" w:cs="Arial"/>
          <w:sz w:val="20"/>
          <w:szCs w:val="20"/>
        </w:rPr>
        <w:t>Published ChIP-seq and microarray datasets</w:t>
      </w:r>
      <w:r w:rsidR="00083AD0" w:rsidRPr="00083DE8">
        <w:rPr>
          <w:rFonts w:ascii="Arial" w:hAnsi="Arial" w:cs="Arial"/>
          <w:sz w:val="20"/>
          <w:szCs w:val="20"/>
        </w:rPr>
        <w:t>.</w:t>
      </w:r>
      <w:proofErr w:type="gramEnd"/>
    </w:p>
    <w:p w:rsidR="00224D7A" w:rsidRPr="00083DE8" w:rsidRDefault="00F80239" w:rsidP="00224D7A">
      <w:pPr>
        <w:spacing w:line="48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experimental procedures</w:t>
      </w:r>
    </w:p>
    <w:p w:rsidR="00224D7A" w:rsidRPr="00083DE8" w:rsidRDefault="00F80239" w:rsidP="00224D7A">
      <w:pPr>
        <w:spacing w:line="48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references</w:t>
      </w:r>
    </w:p>
    <w:p w:rsidR="00224D7A" w:rsidRPr="00083DE8" w:rsidRDefault="00F80239" w:rsidP="00224D7A">
      <w:pPr>
        <w:spacing w:line="480" w:lineRule="auto"/>
        <w:jc w:val="both"/>
        <w:rPr>
          <w:rFonts w:ascii="Arial" w:hAnsi="Arial" w:cs="Arial"/>
          <w:b/>
          <w:sz w:val="20"/>
          <w:szCs w:val="20"/>
        </w:rPr>
      </w:pPr>
      <w:r w:rsidRPr="00083DE8">
        <w:rPr>
          <w:rFonts w:ascii="Arial" w:hAnsi="Arial" w:cs="Arial"/>
          <w:b/>
          <w:sz w:val="20"/>
          <w:szCs w:val="20"/>
        </w:rPr>
        <w:t>Supporting</w:t>
      </w:r>
      <w:r w:rsidR="00224D7A" w:rsidRPr="00083DE8">
        <w:rPr>
          <w:rFonts w:ascii="Arial" w:hAnsi="Arial" w:cs="Arial"/>
          <w:b/>
          <w:sz w:val="20"/>
          <w:szCs w:val="20"/>
        </w:rPr>
        <w:t xml:space="preserve"> figures and figure legends</w:t>
      </w:r>
    </w:p>
    <w:p w:rsidR="000330CA" w:rsidRPr="00083DE8" w:rsidRDefault="000330CA" w:rsidP="005E2269">
      <w:pPr>
        <w:spacing w:line="240" w:lineRule="auto"/>
        <w:jc w:val="both"/>
        <w:rPr>
          <w:rFonts w:ascii="Arial" w:hAnsi="Arial" w:cs="Arial"/>
          <w:b/>
          <w:sz w:val="20"/>
          <w:szCs w:val="20"/>
        </w:rPr>
      </w:pPr>
      <w:r w:rsidRPr="00083DE8">
        <w:rPr>
          <w:rFonts w:ascii="Arial" w:hAnsi="Arial" w:cs="Arial"/>
          <w:b/>
          <w:sz w:val="20"/>
          <w:szCs w:val="20"/>
        </w:rPr>
        <w:t>Supporting excel file</w:t>
      </w:r>
    </w:p>
    <w:p w:rsidR="000330CA" w:rsidRPr="00083DE8" w:rsidRDefault="000330CA" w:rsidP="005E2269">
      <w:pPr>
        <w:spacing w:line="240" w:lineRule="auto"/>
        <w:jc w:val="both"/>
        <w:rPr>
          <w:rFonts w:ascii="Arial" w:hAnsi="Arial" w:cs="Arial"/>
          <w:sz w:val="20"/>
          <w:szCs w:val="20"/>
        </w:rPr>
      </w:pPr>
      <w:proofErr w:type="gramStart"/>
      <w:r w:rsidRPr="00083DE8">
        <w:rPr>
          <w:rFonts w:ascii="Arial" w:hAnsi="Arial" w:cs="Arial"/>
          <w:sz w:val="20"/>
          <w:szCs w:val="20"/>
        </w:rPr>
        <w:t>List of significantly up/downregulated genes of 2 fold upon BRD4 perturbation.</w:t>
      </w:r>
      <w:proofErr w:type="gramEnd"/>
      <w:r w:rsidRPr="00083DE8">
        <w:rPr>
          <w:rFonts w:ascii="Arial" w:hAnsi="Arial" w:cs="Arial"/>
          <w:sz w:val="20"/>
          <w:szCs w:val="20"/>
        </w:rPr>
        <w:t xml:space="preserve"> Adjusted p-value ≤ 0.05</w:t>
      </w:r>
    </w:p>
    <w:p w:rsidR="00224D7A" w:rsidRPr="00083DE8" w:rsidRDefault="00224D7A" w:rsidP="00224D7A">
      <w:pPr>
        <w:spacing w:line="240" w:lineRule="auto"/>
        <w:jc w:val="both"/>
        <w:rPr>
          <w:rFonts w:ascii="Arial" w:hAnsi="Arial" w:cs="Arial"/>
          <w:sz w:val="24"/>
          <w:szCs w:val="24"/>
        </w:rPr>
      </w:pPr>
    </w:p>
    <w:p w:rsidR="00224D7A" w:rsidRPr="00083DE8" w:rsidRDefault="00224D7A" w:rsidP="00271A3E">
      <w:pPr>
        <w:spacing w:line="240" w:lineRule="auto"/>
        <w:jc w:val="both"/>
        <w:rPr>
          <w:rFonts w:ascii="Arial" w:hAnsi="Arial" w:cs="Arial"/>
          <w:b/>
          <w:sz w:val="24"/>
          <w:szCs w:val="24"/>
        </w:rPr>
      </w:pPr>
    </w:p>
    <w:p w:rsidR="00224D7A" w:rsidRPr="00083DE8" w:rsidRDefault="00224D7A" w:rsidP="00271A3E">
      <w:pPr>
        <w:spacing w:line="240" w:lineRule="auto"/>
        <w:jc w:val="both"/>
        <w:rPr>
          <w:rFonts w:ascii="Arial" w:hAnsi="Arial" w:cs="Arial"/>
          <w:b/>
          <w:sz w:val="24"/>
          <w:szCs w:val="24"/>
        </w:rPr>
      </w:pPr>
    </w:p>
    <w:p w:rsidR="00224D7A" w:rsidRPr="00083DE8" w:rsidRDefault="00224D7A">
      <w:pPr>
        <w:rPr>
          <w:rFonts w:ascii="Arial" w:hAnsi="Arial" w:cs="Arial"/>
          <w:b/>
          <w:sz w:val="24"/>
          <w:szCs w:val="24"/>
        </w:rPr>
      </w:pPr>
      <w:r w:rsidRPr="00083DE8">
        <w:rPr>
          <w:rFonts w:ascii="Arial" w:hAnsi="Arial" w:cs="Arial"/>
          <w:b/>
          <w:sz w:val="24"/>
          <w:szCs w:val="24"/>
        </w:rPr>
        <w:br w:type="page"/>
      </w:r>
    </w:p>
    <w:p w:rsidR="00180FE6" w:rsidRPr="00083DE8" w:rsidRDefault="00F80239" w:rsidP="00271A3E">
      <w:pPr>
        <w:spacing w:line="240" w:lineRule="auto"/>
        <w:jc w:val="both"/>
        <w:rPr>
          <w:rFonts w:ascii="Arial" w:hAnsi="Arial" w:cs="Arial"/>
          <w:b/>
          <w:sz w:val="20"/>
          <w:szCs w:val="20"/>
        </w:rPr>
      </w:pPr>
      <w:r w:rsidRPr="00083DE8">
        <w:rPr>
          <w:rFonts w:ascii="Arial" w:hAnsi="Arial" w:cs="Arial"/>
          <w:b/>
          <w:sz w:val="20"/>
          <w:szCs w:val="20"/>
          <w:u w:val="single"/>
        </w:rPr>
        <w:lastRenderedPageBreak/>
        <w:t>Supporting</w:t>
      </w:r>
      <w:r w:rsidR="00180FE6" w:rsidRPr="00083DE8">
        <w:rPr>
          <w:rFonts w:ascii="Arial" w:hAnsi="Arial" w:cs="Arial"/>
          <w:b/>
          <w:sz w:val="20"/>
          <w:szCs w:val="20"/>
          <w:u w:val="single"/>
        </w:rPr>
        <w:t xml:space="preserve"> table </w:t>
      </w:r>
      <w:r w:rsidR="00E02607" w:rsidRPr="00083DE8">
        <w:rPr>
          <w:rFonts w:ascii="Arial" w:hAnsi="Arial" w:cs="Arial"/>
          <w:b/>
          <w:sz w:val="20"/>
          <w:szCs w:val="20"/>
          <w:u w:val="single"/>
        </w:rPr>
        <w:t>S</w:t>
      </w:r>
      <w:r w:rsidR="00180FE6" w:rsidRPr="00083DE8">
        <w:rPr>
          <w:rFonts w:ascii="Arial" w:hAnsi="Arial" w:cs="Arial"/>
          <w:b/>
          <w:sz w:val="20"/>
          <w:szCs w:val="20"/>
          <w:u w:val="single"/>
        </w:rPr>
        <w:t>1</w:t>
      </w:r>
      <w:r w:rsidR="005F3A4D" w:rsidRPr="00083DE8">
        <w:rPr>
          <w:rFonts w:ascii="Arial" w:hAnsi="Arial" w:cs="Arial"/>
          <w:b/>
          <w:sz w:val="20"/>
          <w:szCs w:val="20"/>
        </w:rPr>
        <w:t xml:space="preserve"> related to Experimental Procedures</w:t>
      </w:r>
    </w:p>
    <w:p w:rsidR="00187F45" w:rsidRPr="00083DE8" w:rsidRDefault="00187F45" w:rsidP="00271A3E">
      <w:pPr>
        <w:spacing w:line="240" w:lineRule="auto"/>
        <w:jc w:val="both"/>
        <w:rPr>
          <w:rFonts w:ascii="Arial" w:hAnsi="Arial" w:cs="Arial"/>
          <w:sz w:val="20"/>
          <w:szCs w:val="20"/>
        </w:rPr>
      </w:pPr>
      <w:r w:rsidRPr="00083DE8">
        <w:rPr>
          <w:rFonts w:ascii="Arial" w:hAnsi="Arial" w:cs="Arial"/>
          <w:sz w:val="20"/>
          <w:szCs w:val="20"/>
        </w:rPr>
        <w:t>Primers used in the direction of 5’-3’ ori</w:t>
      </w:r>
      <w:bookmarkStart w:id="0" w:name="_GoBack"/>
      <w:bookmarkEnd w:id="0"/>
      <w:r w:rsidRPr="00083DE8">
        <w:rPr>
          <w:rFonts w:ascii="Arial" w:hAnsi="Arial" w:cs="Arial"/>
          <w:sz w:val="20"/>
          <w:szCs w:val="20"/>
        </w:rPr>
        <w:t>entation</w:t>
      </w:r>
      <w:r w:rsidR="00F90C4E" w:rsidRPr="00083DE8">
        <w:rPr>
          <w:rFonts w:ascii="Arial" w:hAnsi="Arial" w:cs="Arial"/>
          <w:sz w:val="20"/>
          <w:szCs w:val="20"/>
        </w:rPr>
        <w:t xml:space="preserve"> for qPCR</w:t>
      </w:r>
      <w:r w:rsidR="00DF4409" w:rsidRPr="00083DE8">
        <w:rPr>
          <w:rFonts w:ascii="Arial" w:hAnsi="Arial" w:cs="Arial"/>
          <w:sz w:val="20"/>
          <w:szCs w:val="20"/>
        </w:rPr>
        <w:t xml:space="preserve">. Primers used in this study were designed using PRIMER BLAST. </w:t>
      </w:r>
    </w:p>
    <w:p w:rsidR="00645E65" w:rsidRPr="00083DE8" w:rsidRDefault="00645E65" w:rsidP="00271A3E">
      <w:pPr>
        <w:spacing w:line="240" w:lineRule="auto"/>
        <w:jc w:val="both"/>
        <w:rPr>
          <w:rFonts w:ascii="Arial" w:hAnsi="Arial" w:cs="Arial"/>
          <w:sz w:val="20"/>
          <w:szCs w:val="20"/>
        </w:rPr>
      </w:pPr>
      <w:r w:rsidRPr="00083DE8">
        <w:rPr>
          <w:rFonts w:ascii="Arial" w:hAnsi="Arial" w:cs="Arial"/>
          <w:sz w:val="20"/>
          <w:szCs w:val="20"/>
        </w:rPr>
        <w:t>Human:</w:t>
      </w:r>
    </w:p>
    <w:tbl>
      <w:tblPr>
        <w:tblStyle w:val="TableGrid"/>
        <w:tblW w:w="9923" w:type="dxa"/>
        <w:tblInd w:w="-459" w:type="dxa"/>
        <w:tblLayout w:type="fixed"/>
        <w:tblLook w:val="04A0" w:firstRow="1" w:lastRow="0" w:firstColumn="1" w:lastColumn="0" w:noHBand="0" w:noVBand="1"/>
      </w:tblPr>
      <w:tblGrid>
        <w:gridCol w:w="1134"/>
        <w:gridCol w:w="3261"/>
        <w:gridCol w:w="3402"/>
        <w:gridCol w:w="2126"/>
      </w:tblGrid>
      <w:tr w:rsidR="00083DE8" w:rsidRPr="00083DE8" w:rsidTr="00271A3E">
        <w:tc>
          <w:tcPr>
            <w:tcW w:w="1134" w:type="dxa"/>
          </w:tcPr>
          <w:p w:rsidR="00180FE6" w:rsidRPr="00083DE8" w:rsidRDefault="00180FE6" w:rsidP="00271A3E">
            <w:pPr>
              <w:contextualSpacing/>
              <w:jc w:val="center"/>
              <w:rPr>
                <w:rFonts w:ascii="Arial" w:hAnsi="Arial" w:cs="Arial"/>
                <w:b/>
                <w:sz w:val="16"/>
                <w:szCs w:val="16"/>
              </w:rPr>
            </w:pPr>
            <w:r w:rsidRPr="00083DE8">
              <w:rPr>
                <w:rFonts w:ascii="Arial" w:hAnsi="Arial" w:cs="Arial"/>
                <w:b/>
                <w:sz w:val="16"/>
                <w:szCs w:val="16"/>
              </w:rPr>
              <w:t>Name</w:t>
            </w:r>
            <w:r w:rsidR="00187F45" w:rsidRPr="00083DE8">
              <w:rPr>
                <w:rFonts w:ascii="Arial" w:hAnsi="Arial" w:cs="Arial"/>
                <w:b/>
                <w:sz w:val="16"/>
                <w:szCs w:val="16"/>
              </w:rPr>
              <w:t xml:space="preserve"> of the gene </w:t>
            </w:r>
          </w:p>
        </w:tc>
        <w:tc>
          <w:tcPr>
            <w:tcW w:w="3261" w:type="dxa"/>
          </w:tcPr>
          <w:p w:rsidR="00180FE6" w:rsidRPr="00083DE8" w:rsidRDefault="00180FE6" w:rsidP="00271A3E">
            <w:pPr>
              <w:contextualSpacing/>
              <w:jc w:val="center"/>
              <w:rPr>
                <w:rFonts w:ascii="Arial" w:hAnsi="Arial" w:cs="Arial"/>
                <w:b/>
                <w:sz w:val="16"/>
                <w:szCs w:val="16"/>
              </w:rPr>
            </w:pPr>
            <w:r w:rsidRPr="00083DE8">
              <w:rPr>
                <w:rFonts w:ascii="Arial" w:hAnsi="Arial" w:cs="Arial"/>
                <w:b/>
                <w:sz w:val="16"/>
                <w:szCs w:val="16"/>
              </w:rPr>
              <w:t>Forward primer</w:t>
            </w:r>
          </w:p>
        </w:tc>
        <w:tc>
          <w:tcPr>
            <w:tcW w:w="3402" w:type="dxa"/>
          </w:tcPr>
          <w:p w:rsidR="00180FE6" w:rsidRPr="00083DE8" w:rsidRDefault="00180FE6" w:rsidP="00271A3E">
            <w:pPr>
              <w:contextualSpacing/>
              <w:jc w:val="center"/>
              <w:rPr>
                <w:rFonts w:ascii="Arial" w:hAnsi="Arial" w:cs="Arial"/>
                <w:b/>
                <w:sz w:val="16"/>
                <w:szCs w:val="16"/>
              </w:rPr>
            </w:pPr>
            <w:r w:rsidRPr="00083DE8">
              <w:rPr>
                <w:rFonts w:ascii="Arial" w:hAnsi="Arial" w:cs="Arial"/>
                <w:b/>
                <w:sz w:val="16"/>
                <w:szCs w:val="16"/>
              </w:rPr>
              <w:t>Reverse primer</w:t>
            </w:r>
          </w:p>
        </w:tc>
        <w:tc>
          <w:tcPr>
            <w:tcW w:w="2126" w:type="dxa"/>
          </w:tcPr>
          <w:p w:rsidR="00180FE6" w:rsidRPr="00083DE8" w:rsidRDefault="00180FE6" w:rsidP="00271A3E">
            <w:pPr>
              <w:contextualSpacing/>
              <w:jc w:val="center"/>
              <w:rPr>
                <w:rFonts w:ascii="Arial" w:hAnsi="Arial" w:cs="Arial"/>
                <w:b/>
                <w:sz w:val="16"/>
                <w:szCs w:val="16"/>
              </w:rPr>
            </w:pPr>
            <w:r w:rsidRPr="00083DE8">
              <w:rPr>
                <w:rFonts w:ascii="Arial" w:hAnsi="Arial" w:cs="Arial"/>
                <w:b/>
                <w:sz w:val="16"/>
                <w:szCs w:val="16"/>
              </w:rPr>
              <w:t>Reference</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RPLP0</w:t>
            </w:r>
          </w:p>
        </w:tc>
        <w:tc>
          <w:tcPr>
            <w:tcW w:w="3261"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GATTGGCTACCCAACTGT</w:t>
            </w:r>
          </w:p>
        </w:tc>
        <w:tc>
          <w:tcPr>
            <w:tcW w:w="3402"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CAGGGGCAGCAGCCACAA</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IL1RN</w:t>
            </w:r>
          </w:p>
        </w:tc>
        <w:tc>
          <w:tcPr>
            <w:tcW w:w="3261"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AGCCTCATGCTCTGTTCTTG</w:t>
            </w:r>
          </w:p>
        </w:tc>
        <w:tc>
          <w:tcPr>
            <w:tcW w:w="3402"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TGTCCTGCTTTCTGTTCTCG</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KRT13</w:t>
            </w:r>
          </w:p>
        </w:tc>
        <w:tc>
          <w:tcPr>
            <w:tcW w:w="3261"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ACGCCAAGATGATTGGTTTC</w:t>
            </w:r>
          </w:p>
        </w:tc>
        <w:tc>
          <w:tcPr>
            <w:tcW w:w="3402"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CGACCAGAGGCATTAGAGGT</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KRT15</w:t>
            </w:r>
          </w:p>
        </w:tc>
        <w:tc>
          <w:tcPr>
            <w:tcW w:w="3261"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ATGCCAAGATGGCTGGCATTG</w:t>
            </w:r>
          </w:p>
        </w:tc>
        <w:tc>
          <w:tcPr>
            <w:tcW w:w="3402"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GGCAAGGGACGTTTCTCCTG</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CEACAM1</w:t>
            </w:r>
          </w:p>
        </w:tc>
        <w:tc>
          <w:tcPr>
            <w:tcW w:w="3261"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TGCTGAACGTAAACTATAATGCTCT</w:t>
            </w:r>
          </w:p>
        </w:tc>
        <w:tc>
          <w:tcPr>
            <w:tcW w:w="3402" w:type="dxa"/>
          </w:tcPr>
          <w:p w:rsidR="00180FE6" w:rsidRPr="00083DE8" w:rsidRDefault="006D3FA7" w:rsidP="00271A3E">
            <w:pPr>
              <w:contextualSpacing/>
              <w:jc w:val="center"/>
              <w:rPr>
                <w:rFonts w:ascii="Arial" w:hAnsi="Arial" w:cs="Arial"/>
                <w:sz w:val="16"/>
                <w:szCs w:val="16"/>
              </w:rPr>
            </w:pPr>
            <w:r w:rsidRPr="00083DE8">
              <w:rPr>
                <w:rFonts w:ascii="Arial" w:hAnsi="Arial" w:cs="Arial"/>
                <w:sz w:val="16"/>
                <w:szCs w:val="16"/>
              </w:rPr>
              <w:t>GGGTCATTGGAGTGGTCCTG</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180FE6" w:rsidRPr="00083DE8" w:rsidRDefault="00180FE6" w:rsidP="00271A3E">
            <w:pPr>
              <w:contextualSpacing/>
              <w:jc w:val="center"/>
              <w:rPr>
                <w:rFonts w:ascii="Arial" w:hAnsi="Arial" w:cs="Arial"/>
                <w:i/>
                <w:sz w:val="16"/>
                <w:szCs w:val="16"/>
              </w:rPr>
            </w:pPr>
            <w:r w:rsidRPr="00083DE8">
              <w:rPr>
                <w:rFonts w:ascii="Arial" w:hAnsi="Arial" w:cs="Arial"/>
                <w:i/>
                <w:sz w:val="16"/>
                <w:szCs w:val="16"/>
              </w:rPr>
              <w:t>ELF3</w:t>
            </w:r>
          </w:p>
        </w:tc>
        <w:tc>
          <w:tcPr>
            <w:tcW w:w="3261" w:type="dxa"/>
          </w:tcPr>
          <w:p w:rsidR="00180FE6" w:rsidRPr="00083DE8" w:rsidRDefault="00DD79FA" w:rsidP="00271A3E">
            <w:pPr>
              <w:contextualSpacing/>
              <w:jc w:val="center"/>
              <w:rPr>
                <w:rFonts w:ascii="Arial" w:hAnsi="Arial" w:cs="Arial"/>
                <w:sz w:val="16"/>
                <w:szCs w:val="16"/>
              </w:rPr>
            </w:pPr>
            <w:r w:rsidRPr="00083DE8">
              <w:rPr>
                <w:rFonts w:ascii="Arial" w:hAnsi="Arial" w:cs="Arial"/>
                <w:sz w:val="16"/>
                <w:szCs w:val="16"/>
              </w:rPr>
              <w:t>CTCAGACTCCGGTGGAAGTG</w:t>
            </w:r>
          </w:p>
        </w:tc>
        <w:tc>
          <w:tcPr>
            <w:tcW w:w="3402" w:type="dxa"/>
          </w:tcPr>
          <w:p w:rsidR="00180FE6" w:rsidRPr="00083DE8" w:rsidRDefault="00DD79FA" w:rsidP="00271A3E">
            <w:pPr>
              <w:contextualSpacing/>
              <w:jc w:val="center"/>
              <w:rPr>
                <w:rFonts w:ascii="Arial" w:hAnsi="Arial" w:cs="Arial"/>
                <w:sz w:val="16"/>
                <w:szCs w:val="16"/>
              </w:rPr>
            </w:pPr>
            <w:r w:rsidRPr="00083DE8">
              <w:rPr>
                <w:rFonts w:ascii="Arial" w:hAnsi="Arial" w:cs="Arial"/>
                <w:sz w:val="16"/>
                <w:szCs w:val="16"/>
              </w:rPr>
              <w:t>ATCCCCCTTCTTGCAGTCAC</w:t>
            </w:r>
          </w:p>
        </w:tc>
        <w:tc>
          <w:tcPr>
            <w:tcW w:w="2126" w:type="dxa"/>
          </w:tcPr>
          <w:p w:rsidR="00180FE6" w:rsidRPr="00083DE8" w:rsidRDefault="00FD522F"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466EED" w:rsidRPr="00083DE8" w:rsidRDefault="00466EED" w:rsidP="00271A3E">
            <w:pPr>
              <w:contextualSpacing/>
              <w:jc w:val="center"/>
              <w:rPr>
                <w:rFonts w:ascii="Arial" w:hAnsi="Arial" w:cs="Arial"/>
                <w:i/>
                <w:sz w:val="16"/>
                <w:szCs w:val="16"/>
              </w:rPr>
            </w:pPr>
            <w:r w:rsidRPr="00083DE8">
              <w:rPr>
                <w:rFonts w:ascii="Arial" w:hAnsi="Arial" w:cs="Arial"/>
                <w:i/>
                <w:sz w:val="16"/>
                <w:szCs w:val="16"/>
              </w:rPr>
              <w:t>VIM</w:t>
            </w:r>
          </w:p>
        </w:tc>
        <w:tc>
          <w:tcPr>
            <w:tcW w:w="3261" w:type="dxa"/>
          </w:tcPr>
          <w:p w:rsidR="00466EED" w:rsidRPr="00083DE8" w:rsidRDefault="00466EED" w:rsidP="00271A3E">
            <w:pPr>
              <w:contextualSpacing/>
              <w:jc w:val="center"/>
              <w:rPr>
                <w:rFonts w:ascii="Arial" w:hAnsi="Arial" w:cs="Arial"/>
                <w:sz w:val="16"/>
                <w:szCs w:val="16"/>
              </w:rPr>
            </w:pPr>
            <w:r w:rsidRPr="00083DE8">
              <w:rPr>
                <w:rFonts w:ascii="Arial" w:hAnsi="Arial" w:cs="Arial"/>
                <w:sz w:val="16"/>
                <w:szCs w:val="16"/>
              </w:rPr>
              <w:t>AAGGCGAGGAGAGCAGGATTTCTCTG</w:t>
            </w:r>
          </w:p>
        </w:tc>
        <w:tc>
          <w:tcPr>
            <w:tcW w:w="3402" w:type="dxa"/>
          </w:tcPr>
          <w:p w:rsidR="00466EED" w:rsidRPr="00083DE8" w:rsidRDefault="00466EED" w:rsidP="00271A3E">
            <w:pPr>
              <w:contextualSpacing/>
              <w:jc w:val="center"/>
              <w:rPr>
                <w:rFonts w:ascii="Arial" w:hAnsi="Arial" w:cs="Arial"/>
                <w:sz w:val="16"/>
                <w:szCs w:val="16"/>
              </w:rPr>
            </w:pPr>
            <w:r w:rsidRPr="00083DE8">
              <w:rPr>
                <w:rFonts w:ascii="Arial" w:hAnsi="Arial" w:cs="Arial"/>
                <w:sz w:val="16"/>
                <w:szCs w:val="16"/>
              </w:rPr>
              <w:t>TGAGTGGGTATCAACCAGAGGGAGTGA</w:t>
            </w:r>
          </w:p>
        </w:tc>
        <w:tc>
          <w:tcPr>
            <w:tcW w:w="2126" w:type="dxa"/>
          </w:tcPr>
          <w:p w:rsidR="00466EED" w:rsidRPr="00083DE8" w:rsidRDefault="00466EED"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645E65">
        <w:tc>
          <w:tcPr>
            <w:tcW w:w="1134" w:type="dxa"/>
          </w:tcPr>
          <w:p w:rsidR="00645E65" w:rsidRPr="00083DE8" w:rsidRDefault="00645E65" w:rsidP="00645E65">
            <w:pPr>
              <w:contextualSpacing/>
              <w:jc w:val="center"/>
              <w:rPr>
                <w:rFonts w:ascii="Arial" w:hAnsi="Arial" w:cs="Arial"/>
                <w:i/>
                <w:sz w:val="16"/>
                <w:szCs w:val="16"/>
              </w:rPr>
            </w:pPr>
            <w:r w:rsidRPr="00083DE8">
              <w:rPr>
                <w:rFonts w:ascii="Arial" w:hAnsi="Arial" w:cs="Arial"/>
                <w:i/>
                <w:sz w:val="16"/>
                <w:szCs w:val="16"/>
              </w:rPr>
              <w:t>TJP1</w:t>
            </w:r>
          </w:p>
        </w:tc>
        <w:tc>
          <w:tcPr>
            <w:tcW w:w="3261"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GAGCGGGGACAAGATGAAGTA</w:t>
            </w:r>
          </w:p>
        </w:tc>
        <w:tc>
          <w:tcPr>
            <w:tcW w:w="3402"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AGAGGATGGCGTTACCCACA</w:t>
            </w:r>
          </w:p>
        </w:tc>
        <w:tc>
          <w:tcPr>
            <w:tcW w:w="2126"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i/>
                <w:sz w:val="16"/>
                <w:szCs w:val="16"/>
              </w:rPr>
            </w:pPr>
            <w:r w:rsidRPr="00083DE8">
              <w:rPr>
                <w:rFonts w:ascii="Arial" w:hAnsi="Arial" w:cs="Arial"/>
                <w:i/>
                <w:sz w:val="16"/>
                <w:szCs w:val="16"/>
              </w:rPr>
              <w:t>BRD4</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GCCGTCCACACTGCGTGAGC</w:t>
            </w:r>
          </w:p>
        </w:tc>
        <w:tc>
          <w:tcPr>
            <w:tcW w:w="3402" w:type="dxa"/>
          </w:tcPr>
          <w:p w:rsidR="00645E65" w:rsidRPr="00083DE8" w:rsidRDefault="00645E65" w:rsidP="00271A3E">
            <w:pPr>
              <w:autoSpaceDE w:val="0"/>
              <w:autoSpaceDN w:val="0"/>
              <w:adjustRightInd w:val="0"/>
              <w:contextualSpacing/>
              <w:jc w:val="center"/>
              <w:rPr>
                <w:rFonts w:ascii="Arial" w:hAnsi="Arial" w:cs="Arial"/>
                <w:sz w:val="16"/>
                <w:szCs w:val="16"/>
              </w:rPr>
            </w:pPr>
            <w:r w:rsidRPr="00083DE8">
              <w:rPr>
                <w:rFonts w:ascii="Arial" w:hAnsi="Arial" w:cs="Arial"/>
                <w:sz w:val="16"/>
                <w:szCs w:val="16"/>
              </w:rPr>
              <w:t>TCCCGGGGTGCCCCTTCTTT</w:t>
            </w:r>
          </w:p>
        </w:tc>
        <w:tc>
          <w:tcPr>
            <w:tcW w:w="2126" w:type="dxa"/>
          </w:tcPr>
          <w:p w:rsidR="00645E65" w:rsidRPr="00083DE8" w:rsidRDefault="005D11BD" w:rsidP="00271A3E">
            <w:pPr>
              <w:contextualSpacing/>
              <w:jc w:val="center"/>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2iji7rcqrh","properties":{"formattedCitation":"(1)","plainCitation":"(1)"},"citationItems":[{"id":88,"uris":["http://zotero.org/users/local/zvOAVRAY/items/IBQTBJTB"],"uri":["http://zotero.org/users/local/zvOAVRAY/items/IBQTBJTB"],"itemData":{"id":88,"type":"article-journal","title":"Bromodomain Protein BRD4 Is Required for Estrogen Receptor-Dependent Enhancer Activation and Gene Transcription","container-title":"Cell Reports","page":"460-469","volume":"8","issue":"2","source":"ScienceDirect","abstract":"Summary\nThe estrogen receptor α (ERα) controls cell proliferation and tumorigenesis by recruiting various cofactors to estrogen response elements (EREs) to control gene transcription. A deeper understanding of these transcriptional mechanisms may uncover therapeutic targets for ERα-dependent cancers. We show that BRD4 regulates ERα-induced gene expression by affecting elongation-associated phosphorylation of RNA polymerase II (RNAPII) and histone H2B monoubiquitination. Consistently, BRD4 activity is required for proliferation of ER+ breast and endometrial cancer cells and uterine growth in mice. Genome-wide studies revealed an enrichment of BRD4 on transcriptional start sites of active genes and a requirement of BRD4 for H2B monoubiquitination in the transcribed region of estrogen-responsive genes. Importantly, we demonstrate that BRD4 occupancy on distal EREs enriched for H3K27ac is required for recruitment and elongation of RNAPII on EREs and the production of ERα-dependent enhancer RNAs. These results uncover BRD4 as a central regulator of ERα function and potential therapeutic target.","DOI":"10.1016/j.celrep.2014.06.016","ISSN":"2211-1247","journalAbbreviation":"Cell Reports","author":[{"family":"Nagarajan","given":"Sankari"},{"family":"Hossan","given":"Tareq"},{"family":"Alawi","given":"Malik"},{"family":"Najafova","given":"Zeynab"},{"family":"Indenbirken","given":"Daniela"},{"family":"Bedi","given":"Upasana"},{"family":"Taipaleenmäki","given":"Hanna"},{"family":"Ben-Batalla","given":"Isabel"},{"family":"Scheller","given":"Marina"},{"family":"Loges","given":"Sonja"},{"family":"Knapp","given":"Stefan"},{"family":"Hesse","given":"Eric"},{"family":"Chiang","given":"Cheng-Ming"},{"family":"Grundhoff","given":"Adam"},{"family":"Johnsen","given":"Steven A."}],"issued":{"date-parts":[["2014",7,24]]}}}],"schema":"https://github.com/citation-style-language/schema/raw/master/csl-citation.json"}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w:t>
            </w:r>
            <w:r w:rsidRPr="00083DE8">
              <w:rPr>
                <w:rFonts w:ascii="Arial" w:hAnsi="Arial" w:cs="Arial"/>
                <w:sz w:val="16"/>
                <w:szCs w:val="16"/>
              </w:rPr>
              <w:fldChar w:fldCharType="end"/>
            </w:r>
          </w:p>
        </w:tc>
      </w:tr>
      <w:tr w:rsidR="00083DE8" w:rsidRPr="00083DE8" w:rsidTr="00271A3E">
        <w:tc>
          <w:tcPr>
            <w:tcW w:w="1134" w:type="dxa"/>
          </w:tcPr>
          <w:p w:rsidR="00645E65" w:rsidRPr="00083DE8" w:rsidRDefault="00645E65" w:rsidP="00271A3E">
            <w:pPr>
              <w:contextualSpacing/>
              <w:jc w:val="center"/>
              <w:rPr>
                <w:rFonts w:ascii="Arial" w:hAnsi="Arial" w:cs="Arial"/>
                <w:i/>
                <w:sz w:val="16"/>
                <w:szCs w:val="16"/>
              </w:rPr>
            </w:pPr>
            <w:r w:rsidRPr="00083DE8">
              <w:rPr>
                <w:rFonts w:ascii="Arial" w:hAnsi="Arial" w:cs="Arial"/>
                <w:i/>
                <w:sz w:val="16"/>
                <w:szCs w:val="16"/>
              </w:rPr>
              <w:t>GRHL3</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ATGACCCACAGGAGTCGATG</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TAGTCCTCTGGACATGGGGG</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hn</w:t>
            </w:r>
            <w:r w:rsidRPr="00083DE8">
              <w:rPr>
                <w:rFonts w:ascii="Arial" w:hAnsi="Arial" w:cs="Arial"/>
                <w:i/>
                <w:sz w:val="16"/>
                <w:szCs w:val="16"/>
              </w:rPr>
              <w:t>GRHL3</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GTTGACAGCTGCCACAAAGG</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CAGAGGGGGTAGACGTACCA</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e</w:t>
            </w:r>
            <w:r w:rsidRPr="00083DE8">
              <w:rPr>
                <w:rFonts w:ascii="Arial" w:hAnsi="Arial" w:cs="Arial"/>
                <w:i/>
                <w:sz w:val="16"/>
                <w:szCs w:val="16"/>
              </w:rPr>
              <w:t>GRHL3</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TTATCTGGGAGCACATCGCC</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CACAGAGGGAAGTGGGTCAC</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ΔNp63</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AGAGAGAGGGACTTGAGTTCTG</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GCTCACTAAATTGAGTCTGGGC</w:t>
            </w:r>
          </w:p>
        </w:tc>
        <w:tc>
          <w:tcPr>
            <w:tcW w:w="2126" w:type="dxa"/>
          </w:tcPr>
          <w:p w:rsidR="00645E65" w:rsidRPr="00083DE8" w:rsidRDefault="005D11BD" w:rsidP="00271A3E">
            <w:pPr>
              <w:contextualSpacing/>
              <w:jc w:val="center"/>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{"citationID":"12qitasifv","properties":{"unsorted":true,"formattedCitation":"{\\rtf (2\\uc0\\u8211{}4)}","plainCitation":"(2–4)"},"citationItems":[{"id":217,"uris":["http://zotero.org/users/local/bDn5D7qt/items/K7KBRMZH"],"uri":["http://zotero.org/users/local/bDn5D7qt/items/K7KBRMZH"],"itemData":{"id":217,"type":"article-journal","title":"Immunofluorescence-based screening identifies germ cell associated microRNA 302 as an antagonist to p63 expression","container-title":"Cell Cycle (Georgetown, Tex.)","page":"1426-1432","volume":"8","issue":"9","source":"PubMed","abstract":"The tumor suppressor homologue p63 is required for proper skin and limb development, but specific isoforms of it also act as a \"guardian of the germline.\" To gain insight into the regulation of p63 expression, we performed immunofluorescence-based screening assays. Using a large collection of microRNA expression plasmids, we identified microRNAs of the 302 cluster as potent suppressors of p63 accumulation in various cell species. MiR-302 reduces p63 protein and mRNA levels through two target sites within the p63 3' untranslated region. In testicular cancer cells, endogenous miR-302 contributes to the suppression of p63. MiR-302 might also contribute to the elimination of p63 in mature oocytes. Thus, miR-302 appears as part of a stringent regulatory mechanism for p63 in germ cells, reminiscent of the tight control for p53 levels in somatic cells.","DOI":"10.4161/cc.8.9.8324","ISSN":"1551-4005","note":"PMID: 19342891","journalAbbreviation":"Cell Cycle","language":"eng","author":[{"family":"Scheel","given":"Andreas Hans Joachim"},{"family":"Beyer","given":"Ulrike"},{"family":"Agami","given":"Reuven"},{"family":"Dobbelstein","given":"Matthias"}],"issued":{"date-parts":[["2009",5,1]]},"PMID":"19342891"}},{"id":225,"uris":["http://zotero.org/users/local/bDn5D7qt/items/K4GIHXWZ"],"uri":["http://zotero.org/users/local/bDn5D7qt/items/K4GIHXWZ"],"itemData":{"id":225,"type":"article-journal","title":"Novel proapoptotic p63 isoforms are driven by an endogenous retrovirus in the male germ line of humans and great apes, likely increasing genome stability","source":"ediss.uni-goettingen.de","abstract":"TAp63, ein Homolog des Tumorsuppressors p53, hat die            Fähigkeit, die weibliche Keimbahn zu beschützen, indem            es Oozyten mit schweren DNA-Schäden nach Bestrahlung            eliminiert. Obwohl die Expression von TAp63 in            männlichen Keimbahnzellen vermutet wird, ist noch            unklar, ob TAp63 auch als Wächter der männlichen            Keimbahn fungiert. In dieser Arbeit identifizieren wir            bisher unbekannte humane p63-Transkripte mit neuen            5`-Enden, die sich von Exons ableiten, welche             upstream  des ersten p63-Exons liegen. Eine            Expressionsanalyse in einer Vielzahl von humanen            Geweben ergab, dass diese neuen TAp63-Transkripte            vorwiegend in humanem Testis exprimiert sind. Die am            meisten 5´-gelegene Sequenz dieser Transkripte stimmt            interessanterweise mit einem LTR (,long terminal            repeat') des endogenen Retrovirus ERV9 überein. Die            Insertion des ERV9-LTR vor den p63-Locus ist nur in            Menschen und Menschenaffen (Hominidae) zu finden.            Deshalb nehmen wir an, dass die retrovirale Integration            sich sehr spät in der Evolution, vor ungefähr 15            Millionen Jahren, ereignete. Das entsprechende Protein            ist das einzige p63-Protein in humanem testikulären            Lysat, das in verschiedenen männlichen Keimzellen mit            Hilfe von Immunhistochemie detektiert wurde. Während            dieses humane p63-Protein nicht in reifen Spermatozoen            vorhanden war, waren Spermatogonien stark p63-positiv.            Im Gegenteil dazu zeigten murine männliche Keimzellen,            die die ERV9-Sequenz vor dem Trp63-Gen nicht            beinhalten, im Vergleich zu humanem Hoden eine relativ            schwache p63-Färbung in murinen Spermienvorläufern.            Funktionale Analysen deuten darauf hin, dass das            humane, Keimzell-kodierte TAp63-Protein (bezeichnet als            GTAp63) hauptsächlich proapoptotische Zielgene wie PUMA            und Noxa aktiviert, teilweise mit Mitochondrien            assoziiert und die Apoptose von human Zellen verstärkt,            wenn es durch aktivierte Caspasen nahe des            Carboxylterminus gespalten wird. Eine mögliche Rolle            von GTAp63 in der testikulären Tumorigenese ist            zusätzlich dadurch belegt, dass sowohl humanes            Hodenkrebsgewebe als auch -zellinien größtenteils die            Expression von p63 verloren haben. Von Bedeutung ist            außerdem, dass die pharmakologische Inhibition von            Histondeacetylasen die p63-Expression in testikulären            Krebszellen vollständig wiederherstellt, wobei dies zu            einem ca. 3000-fachen Anstieg der GTAp63-mRNA-Level            führt. Unsere Ergebnisse liefern Hinweise, die die            Rolle von Testis-spezifischem GTAp63 bei der            Aufrechterhaltung der genomischen Integrität von            männlichen Keimzellen unterstützen. Die Integration und            Selektion eines endogenen retroviralen LTRs  upstream             des TP63-Locus könnte die Wächterfunktion von p63 in            hominiden Spezies sehr deutlich verstärkt haben. Dieser            Event könnte durch die damit verbundene gesteigerte            Stabilität der Keimbahn zur Evolution von Menschen und            Menschenaffen beigetragen und deren längere Lebensdauer            ermöglicht haben.","URL":"https://ediss.uni-goettingen.de/handle/11858/00-1735-0000-0006-AE02-F","language":"eng","author":[{"family":"Beyer","given":"Ulrike"}],"issued":{"date-parts":[["2011",5,4]]},"accessed":{"date-parts":[["2016",5,5]]}}},{"id":222,"uris":["http://zotero.org/users/local/bDn5D7qt/items/TPWBHRF2"],"uri":["http://zotero.org/users/local/bDn5D7qt/items/TPWBHRF2"],"itemData":{"id":222,"type":"article-journal","title":"Role of endogenous retrovirus promoter activity in tumor suppression","source":"ediss.uni-goettingen.de","abstract":"Roughly 8% of the human genome consists of human endogenous retroviruses (HERVs). They are believed to be remnants of ancient retroviral infections of the germline that were passed on from one generation to the next over millions of years. While initially regarded as „junk DNA“, it has become increasingly clear that HERV elements exert defined functions in their hosts. In 2011, our group reported the discovery of an isoform of the tumor suppressor p63 that is expressed under the control of a long terminal repeat (LTR) of the endogenous retrovirus family 9 (termed LTR12). Due to its expression in the spermatogonia of the testis, this isoform was called Germ cell-associated TAp63 (GTAp63). Transcription of GTAp63 was found to be silenced in testicular cancer cells. However, it could be restored by treatment with histone deacetylase inhibitors (HDACi). Moreover, a recent approach identified a set of 17 cellular genes driven by an LTR12 whose transcription can be enhanced by HDACi treatment in testicular cancer cells. Among these genes was TNFRSF10B, which encodes for Death Receptor 5.\r\nFollowing up on these previous findings, the main goals of this study were to verify TNFRSF10B as a novel candidate gene that is driven by an LTR12, to elucidate the functional implications of this regulation in tumor cells and to clarify the mechanisms behind the localized activation of these specific promoter sites.\r\nWe identified at least three LTR12-driven transcripts of TNFRSF10B whose expression is inducible by HDAC inhibitor treatment. Insertion of the solitary LTR12 upstream of the TNFRSF10B gene occurred roughly 18 million years ago. Combined treatment of HDAC inhibitor Trichostatin A (TSA) and TNFRSF10B’s ligand TRAIL resulted in an enhanced apoptotic response in testicular cancer cells. Moreover, we observed enhanced LTR12 promoter activity upon treatment with HDAC inhibitors in a variety of human cancer cell lines. Apart from TSA, induction of LTR12 promoter activity was also observed with the FDA-approved HDAC inhibitor SAHA as well as Entinostat and Mocetinostat, which are currently undergoing phase II clinical trials for cancer therapy. Regarding the mechanisms underlying the specific activation of LTR12-driven gene transcription, we identified increased binding of nuclear transcription factor Y at LTR12 genomic loci upon TSA treatment. The specific activation of LTR12-driven expression of putative tumor suppressor genes like TP63 and TNFRSF10B suggests a novel mechanism of how inhibition of HDACs can exert anti-cancer effects.\r\nTaken together, we present an example of how co-evolution of transposable elements with the host might have been beneficial for the host and therefore be rendered active in the human genome instead of being eliminated as “junk DNA”. Furthermore, LTR12 activation represents a plausible mechanism of how HDAC inhibitors exert anti-cancer activity in human cells.","URL":"https://ediss.uni-goettingen.de/handle/11858/00-1735-0000-0022-6008-2","language":"eng","author":[{"family":"Krönung","given":"Sonja Katharina"}],"issued":{"date-parts":[["2015",6,3]]},"accessed":{"date-parts":[["2016",5,5]]}}}],"schema":"https://github.com/citation-style-language/schema/raw/master/csl-citation.json"}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szCs w:val="24"/>
              </w:rPr>
              <w:t>(2–4)</w:t>
            </w:r>
            <w:r w:rsidRPr="00083DE8">
              <w:rPr>
                <w:rFonts w:ascii="Arial" w:hAnsi="Arial" w:cs="Arial"/>
                <w:sz w:val="16"/>
                <w:szCs w:val="16"/>
              </w:rPr>
              <w:fldChar w:fldCharType="end"/>
            </w:r>
          </w:p>
        </w:tc>
      </w:tr>
      <w:tr w:rsidR="00083DE8" w:rsidRPr="00083DE8" w:rsidTr="00271A3E">
        <w:tc>
          <w:tcPr>
            <w:tcW w:w="1134" w:type="dxa"/>
          </w:tcPr>
          <w:p w:rsidR="00645E65" w:rsidRPr="00083DE8" w:rsidRDefault="00645E65" w:rsidP="00271A3E">
            <w:pPr>
              <w:contextualSpacing/>
              <w:jc w:val="center"/>
              <w:rPr>
                <w:rFonts w:ascii="Arial" w:hAnsi="Arial" w:cs="Arial"/>
                <w:i/>
                <w:sz w:val="16"/>
                <w:szCs w:val="16"/>
              </w:rPr>
            </w:pPr>
            <w:r w:rsidRPr="00083DE8">
              <w:rPr>
                <w:rFonts w:ascii="Arial" w:hAnsi="Arial" w:cs="Arial"/>
                <w:i/>
                <w:sz w:val="16"/>
                <w:szCs w:val="16"/>
              </w:rPr>
              <w:t xml:space="preserve">TP63 </w:t>
            </w:r>
            <w:r w:rsidRPr="00083DE8">
              <w:rPr>
                <w:rFonts w:ascii="Arial" w:hAnsi="Arial" w:cs="Arial"/>
                <w:sz w:val="16"/>
                <w:szCs w:val="16"/>
              </w:rPr>
              <w:t>(total)</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CCCGTTTCGTCAGAACACAC</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CGGCCCCTCACTGGTAAGTA</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TAp63</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GTTATTACCGATCCACCATGTCC</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CCCAGATATGCTGGAAAACCT</w:t>
            </w:r>
          </w:p>
        </w:tc>
        <w:tc>
          <w:tcPr>
            <w:tcW w:w="2126" w:type="dxa"/>
          </w:tcPr>
          <w:p w:rsidR="00645E65" w:rsidRPr="00083DE8" w:rsidRDefault="005D11BD" w:rsidP="00271A3E">
            <w:pPr>
              <w:contextualSpacing/>
              <w:jc w:val="center"/>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givdv2e88","properties":{"formattedCitation":"(5)","plainCitation":"(5)"},"citationItems":[{"id":219,"uris":["http://zotero.org/users/local/bDn5D7qt/items/BGI7QUVS"],"uri":["http://zotero.org/users/local/bDn5D7qt/items/BGI7QUVS"],"itemData":{"id":219,"type":"article-journal","title":"Endogenous retrovirus drives hitherto unknown proapoptotic p63 isoforms in the male germ line of humans and great apes","container-title":"Proceedings of the National Academy of Sciences of the United States of America","page":"3624-3629","volume":"108","issue":"9","source":"PubMed","abstract":"TAp63, but not its homolog p53, eliminates oocytes that suffered DNA damage. An equivalent gene for guarding the male germ line is currently not known. Here we identify hitherto unknown human p63 transcripts with unique 5'-ends derived from incorporated exons upstream of the currently mapped TP63 gene. These unique p63 transcripts are highly and specifically expressed in testis. Their most upstream region corresponds to a LTR of the human endogenous retrovirus 9 (ERV9). The insertion of this LTR upstream of the TP63 locus occurred only recently in evolution and is unique to humans and great apes (Hominidae). A corresponding p63 protein is the sole p63 species in healthy human testis, and is strongly expressed in spermatogenic precursors but not in mature spermatozoa. In response to DNA damage, this human male germ-cell-encoded TAp63 protein (designated GTAp63) is activated by caspase cleavage near its carboxyterminal domain and induces apoptosis. Human testicular cancer tissues and cell lines largely lost p63 expression. However, pharmacological inhibition of histone deacetylases completely restores p63 expression in testicular cancer cells (&gt;3,000-fold increase). Our data support a model whereby testis-specific GTAp63 protects the genomic integrity of the male germ line and acts as a tumor suppressor. In Hominidae, this guardian function was greatly enhanced by integration of an endogenous retrovirus upstream of the TP63 locus that occurred 15 million years ago. By providing increased germ-line stability, this event may have contributed to the evolution of hominids and enabled their long reproductive periods.","DOI":"10.1073/pnas.1016201108","ISSN":"1091-6490","note":"PMID: 21300884\nPMCID: PMC3048127","journalAbbreviation":"Proc. Natl. Acad. Sci. U.S.A.","language":"eng","author":[{"family":"Beyer","given":"Ulrike"},{"family":"Moll-Rocek","given":"Julian"},{"family":"Moll","given":"Ute M."},{"family":"Dobbelstein","given":"Matthias"}],"issued":{"date-parts":[["2011",3,1]]},"PMID":"21300884","PMCID":"PMC3048127"}}],"schema":"https://github.com/citation-style-language/schema/raw/master/csl-citation.json"}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(5)</w:t>
            </w:r>
            <w:r w:rsidRPr="00083DE8">
              <w:rPr>
                <w:rFonts w:ascii="Arial" w:hAnsi="Arial" w:cs="Arial"/>
                <w:sz w:val="16"/>
                <w:szCs w:val="16"/>
              </w:rPr>
              <w:fldChar w:fldCharType="end"/>
            </w:r>
          </w:p>
        </w:tc>
      </w:tr>
      <w:tr w:rsidR="00083DE8" w:rsidRPr="00083DE8" w:rsidTr="00645E65">
        <w:tc>
          <w:tcPr>
            <w:tcW w:w="1134"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e</w:t>
            </w:r>
            <w:r w:rsidRPr="00083DE8">
              <w:rPr>
                <w:rFonts w:ascii="Arial" w:hAnsi="Arial" w:cs="Arial"/>
                <w:i/>
                <w:sz w:val="16"/>
                <w:szCs w:val="16"/>
              </w:rPr>
              <w:t>TP63</w:t>
            </w:r>
          </w:p>
        </w:tc>
        <w:tc>
          <w:tcPr>
            <w:tcW w:w="3261"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AGCCTGGCTCTTTAGTTGCC</w:t>
            </w:r>
          </w:p>
        </w:tc>
        <w:tc>
          <w:tcPr>
            <w:tcW w:w="3402"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CTAGCAGGGAGACAGTGCAG</w:t>
            </w:r>
          </w:p>
        </w:tc>
        <w:tc>
          <w:tcPr>
            <w:tcW w:w="2126" w:type="dxa"/>
          </w:tcPr>
          <w:p w:rsidR="00645E65" w:rsidRPr="00083DE8" w:rsidRDefault="00645E65" w:rsidP="00645E65">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G6PC</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ACGTGATGGTCACATCTACTCT</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CAGCAATGCCTGACAGGACTC</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PEPCK</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ACAACTGCTGGTTGGCTCTC</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CTCCTCTGACATCCAGCGAC</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134"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MTTP</w:t>
            </w:r>
          </w:p>
        </w:tc>
        <w:tc>
          <w:tcPr>
            <w:tcW w:w="3261"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TGCAGTTGAGGATTGCTGGT</w:t>
            </w:r>
          </w:p>
        </w:tc>
        <w:tc>
          <w:tcPr>
            <w:tcW w:w="3402"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AGAGACCAGTTGTGTGACCTTT</w:t>
            </w:r>
          </w:p>
        </w:tc>
        <w:tc>
          <w:tcPr>
            <w:tcW w:w="2126" w:type="dxa"/>
          </w:tcPr>
          <w:p w:rsidR="00645E65" w:rsidRPr="00083DE8" w:rsidRDefault="00645E65" w:rsidP="00271A3E">
            <w:pPr>
              <w:contextualSpacing/>
              <w:jc w:val="center"/>
              <w:rPr>
                <w:rFonts w:ascii="Arial" w:hAnsi="Arial" w:cs="Arial"/>
                <w:sz w:val="16"/>
                <w:szCs w:val="16"/>
              </w:rPr>
            </w:pPr>
            <w:r w:rsidRPr="00083DE8">
              <w:rPr>
                <w:rFonts w:ascii="Arial" w:hAnsi="Arial" w:cs="Arial"/>
                <w:sz w:val="16"/>
                <w:szCs w:val="16"/>
              </w:rPr>
              <w:t>This study</w:t>
            </w:r>
          </w:p>
        </w:tc>
      </w:tr>
    </w:tbl>
    <w:p w:rsidR="00645E65" w:rsidRPr="00083DE8" w:rsidRDefault="00645E65" w:rsidP="00271A3E">
      <w:pPr>
        <w:spacing w:before="240" w:line="240" w:lineRule="auto"/>
        <w:jc w:val="both"/>
        <w:rPr>
          <w:rFonts w:ascii="Arial" w:hAnsi="Arial" w:cs="Arial"/>
          <w:sz w:val="20"/>
          <w:szCs w:val="20"/>
        </w:rPr>
      </w:pPr>
      <w:r w:rsidRPr="00083DE8">
        <w:rPr>
          <w:rFonts w:ascii="Arial" w:hAnsi="Arial" w:cs="Arial"/>
          <w:sz w:val="20"/>
          <w:szCs w:val="20"/>
        </w:rPr>
        <w:t>Mouse:</w:t>
      </w:r>
    </w:p>
    <w:tbl>
      <w:tblPr>
        <w:tblStyle w:val="TableGrid"/>
        <w:tblW w:w="9923" w:type="dxa"/>
        <w:tblInd w:w="-459" w:type="dxa"/>
        <w:tblLook w:val="04A0" w:firstRow="1" w:lastRow="0" w:firstColumn="1" w:lastColumn="0" w:noHBand="0" w:noVBand="1"/>
      </w:tblPr>
      <w:tblGrid>
        <w:gridCol w:w="1789"/>
        <w:gridCol w:w="3159"/>
        <w:gridCol w:w="3275"/>
        <w:gridCol w:w="1700"/>
      </w:tblGrid>
      <w:tr w:rsidR="00083DE8" w:rsidRPr="00083DE8" w:rsidTr="00271A3E">
        <w:tc>
          <w:tcPr>
            <w:tcW w:w="1789"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 xml:space="preserve">Name of the gene </w:t>
            </w:r>
          </w:p>
        </w:tc>
        <w:tc>
          <w:tcPr>
            <w:tcW w:w="3159"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Forward primer</w:t>
            </w:r>
          </w:p>
        </w:tc>
        <w:tc>
          <w:tcPr>
            <w:tcW w:w="3275"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Reverse primer</w:t>
            </w:r>
          </w:p>
        </w:tc>
        <w:tc>
          <w:tcPr>
            <w:tcW w:w="1700"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Reference</w:t>
            </w:r>
          </w:p>
        </w:tc>
      </w:tr>
      <w:tr w:rsidR="00083DE8" w:rsidRPr="00083DE8" w:rsidTr="00271A3E">
        <w:tc>
          <w:tcPr>
            <w:tcW w:w="1789" w:type="dxa"/>
            <w:vAlign w:val="bottom"/>
          </w:tcPr>
          <w:p w:rsidR="0071152E" w:rsidRPr="00083DE8" w:rsidRDefault="0071152E" w:rsidP="00271A3E">
            <w:pPr>
              <w:spacing w:after="200"/>
              <w:contextualSpacing/>
              <w:jc w:val="center"/>
              <w:rPr>
                <w:rFonts w:ascii="Arial" w:hAnsi="Arial" w:cs="Arial"/>
                <w:sz w:val="16"/>
                <w:szCs w:val="16"/>
              </w:rPr>
            </w:pPr>
            <w:r w:rsidRPr="00083DE8">
              <w:rPr>
                <w:rFonts w:ascii="Arial" w:hAnsi="Arial" w:cs="Arial"/>
                <w:sz w:val="16"/>
                <w:szCs w:val="16"/>
              </w:rPr>
              <w:t xml:space="preserve">ΔNp63 </w:t>
            </w:r>
          </w:p>
        </w:tc>
        <w:tc>
          <w:tcPr>
            <w:tcW w:w="3159"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AGCAGCCTTGACCAGTCTCAC</w:t>
            </w:r>
          </w:p>
        </w:tc>
        <w:tc>
          <w:tcPr>
            <w:tcW w:w="3275"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GACGAGGAGCCGTTCTGAAT</w:t>
            </w:r>
          </w:p>
        </w:tc>
        <w:tc>
          <w:tcPr>
            <w:tcW w:w="1700"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789"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i/>
                <w:sz w:val="16"/>
                <w:szCs w:val="16"/>
              </w:rPr>
              <w:t xml:space="preserve">Trp63 </w:t>
            </w:r>
            <w:r w:rsidRPr="00083DE8">
              <w:rPr>
                <w:rFonts w:ascii="Arial" w:hAnsi="Arial" w:cs="Arial"/>
                <w:sz w:val="16"/>
                <w:szCs w:val="16"/>
              </w:rPr>
              <w:t>(total)</w:t>
            </w:r>
          </w:p>
        </w:tc>
        <w:tc>
          <w:tcPr>
            <w:tcW w:w="3159"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AAGTCAGCCACCTGGACGTAT</w:t>
            </w:r>
          </w:p>
        </w:tc>
        <w:tc>
          <w:tcPr>
            <w:tcW w:w="3275"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CTCGGTGACATGCTCAGCTT</w:t>
            </w:r>
          </w:p>
        </w:tc>
        <w:tc>
          <w:tcPr>
            <w:tcW w:w="1700"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789" w:type="dxa"/>
            <w:vAlign w:val="bottom"/>
          </w:tcPr>
          <w:p w:rsidR="0071152E" w:rsidRPr="00083DE8" w:rsidRDefault="0071152E" w:rsidP="00271A3E">
            <w:pPr>
              <w:spacing w:after="200"/>
              <w:contextualSpacing/>
              <w:jc w:val="center"/>
              <w:rPr>
                <w:rFonts w:ascii="Arial" w:hAnsi="Arial" w:cs="Arial"/>
                <w:sz w:val="16"/>
                <w:szCs w:val="16"/>
              </w:rPr>
            </w:pPr>
            <w:r w:rsidRPr="00083DE8">
              <w:rPr>
                <w:rFonts w:ascii="Arial" w:hAnsi="Arial" w:cs="Arial"/>
                <w:sz w:val="16"/>
                <w:szCs w:val="16"/>
              </w:rPr>
              <w:t>TAp63</w:t>
            </w:r>
          </w:p>
        </w:tc>
        <w:tc>
          <w:tcPr>
            <w:tcW w:w="3159"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CCAGACAAGCGAGTTCCTCAG</w:t>
            </w:r>
          </w:p>
        </w:tc>
        <w:tc>
          <w:tcPr>
            <w:tcW w:w="3275"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TCTGAGTCTTGCATGCGGATAC</w:t>
            </w:r>
          </w:p>
        </w:tc>
        <w:tc>
          <w:tcPr>
            <w:tcW w:w="1700"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1789" w:type="dxa"/>
            <w:vAlign w:val="bottom"/>
          </w:tcPr>
          <w:p w:rsidR="0071152E" w:rsidRPr="00083DE8" w:rsidRDefault="0071152E" w:rsidP="00271A3E">
            <w:pPr>
              <w:contextualSpacing/>
              <w:jc w:val="center"/>
              <w:rPr>
                <w:rFonts w:ascii="Arial" w:hAnsi="Arial" w:cs="Arial"/>
                <w:sz w:val="16"/>
                <w:szCs w:val="16"/>
              </w:rPr>
            </w:pPr>
            <w:proofErr w:type="spellStart"/>
            <w:r w:rsidRPr="00083DE8">
              <w:rPr>
                <w:rFonts w:ascii="Arial" w:hAnsi="Arial" w:cs="Arial"/>
                <w:sz w:val="16"/>
                <w:szCs w:val="16"/>
              </w:rPr>
              <w:t>Gapdh</w:t>
            </w:r>
            <w:proofErr w:type="spellEnd"/>
          </w:p>
        </w:tc>
        <w:tc>
          <w:tcPr>
            <w:tcW w:w="3159"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CACTTGAAGGGTGGAGCCAA</w:t>
            </w:r>
          </w:p>
        </w:tc>
        <w:tc>
          <w:tcPr>
            <w:tcW w:w="3275"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GGTCATGAGCCCTTCCACAA</w:t>
            </w:r>
          </w:p>
        </w:tc>
        <w:tc>
          <w:tcPr>
            <w:tcW w:w="1700"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bl>
    <w:p w:rsidR="00F90C4E" w:rsidRPr="00083DE8" w:rsidRDefault="00F90C4E" w:rsidP="00271A3E">
      <w:pPr>
        <w:spacing w:before="240" w:line="240" w:lineRule="auto"/>
        <w:jc w:val="both"/>
        <w:rPr>
          <w:rFonts w:ascii="Arial" w:hAnsi="Arial" w:cs="Arial"/>
          <w:sz w:val="20"/>
          <w:szCs w:val="20"/>
        </w:rPr>
      </w:pPr>
      <w:r w:rsidRPr="00083DE8">
        <w:rPr>
          <w:rFonts w:ascii="Arial" w:hAnsi="Arial" w:cs="Arial"/>
          <w:sz w:val="20"/>
          <w:szCs w:val="20"/>
        </w:rPr>
        <w:t>Primers used in the direction of 5’-3’ orientation for ChIP</w:t>
      </w:r>
      <w:r w:rsidR="00DF4409" w:rsidRPr="00083DE8">
        <w:rPr>
          <w:rFonts w:ascii="Arial" w:hAnsi="Arial" w:cs="Arial"/>
          <w:sz w:val="20"/>
          <w:szCs w:val="20"/>
        </w:rPr>
        <w:t xml:space="preserve">. Primers used in this study were designed using PRIMER BLAST. </w:t>
      </w:r>
    </w:p>
    <w:tbl>
      <w:tblPr>
        <w:tblStyle w:val="TableGrid"/>
        <w:tblW w:w="9923" w:type="dxa"/>
        <w:tblInd w:w="-459" w:type="dxa"/>
        <w:tblLook w:val="04A0" w:firstRow="1" w:lastRow="0" w:firstColumn="1" w:lastColumn="0" w:noHBand="0" w:noVBand="1"/>
      </w:tblPr>
      <w:tblGrid>
        <w:gridCol w:w="2694"/>
        <w:gridCol w:w="2976"/>
        <w:gridCol w:w="2552"/>
        <w:gridCol w:w="1701"/>
      </w:tblGrid>
      <w:tr w:rsidR="00083DE8" w:rsidRPr="00083DE8" w:rsidTr="00271A3E">
        <w:tc>
          <w:tcPr>
            <w:tcW w:w="2694" w:type="dxa"/>
          </w:tcPr>
          <w:p w:rsidR="0071152E" w:rsidRPr="00083DE8" w:rsidRDefault="0071152E">
            <w:pPr>
              <w:contextualSpacing/>
              <w:jc w:val="center"/>
              <w:rPr>
                <w:rFonts w:ascii="Arial" w:hAnsi="Arial" w:cs="Arial"/>
                <w:i/>
                <w:sz w:val="16"/>
                <w:szCs w:val="16"/>
              </w:rPr>
            </w:pPr>
            <w:r w:rsidRPr="00083DE8">
              <w:rPr>
                <w:rFonts w:ascii="Arial" w:hAnsi="Arial" w:cs="Arial"/>
                <w:b/>
                <w:sz w:val="16"/>
                <w:szCs w:val="16"/>
              </w:rPr>
              <w:t>Name of the region</w:t>
            </w:r>
          </w:p>
        </w:tc>
        <w:tc>
          <w:tcPr>
            <w:tcW w:w="2976"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Forward primer</w:t>
            </w:r>
          </w:p>
        </w:tc>
        <w:tc>
          <w:tcPr>
            <w:tcW w:w="2552"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Reverse primer</w:t>
            </w:r>
          </w:p>
        </w:tc>
        <w:tc>
          <w:tcPr>
            <w:tcW w:w="1701" w:type="dxa"/>
          </w:tcPr>
          <w:p w:rsidR="0071152E" w:rsidRPr="00083DE8" w:rsidRDefault="0071152E">
            <w:pPr>
              <w:contextualSpacing/>
              <w:jc w:val="center"/>
              <w:rPr>
                <w:rFonts w:ascii="Arial" w:hAnsi="Arial" w:cs="Arial"/>
                <w:sz w:val="16"/>
                <w:szCs w:val="16"/>
              </w:rPr>
            </w:pPr>
            <w:r w:rsidRPr="00083DE8">
              <w:rPr>
                <w:rFonts w:ascii="Arial" w:hAnsi="Arial" w:cs="Arial"/>
                <w:b/>
                <w:sz w:val="16"/>
                <w:szCs w:val="16"/>
              </w:rPr>
              <w:t>Reference</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i/>
                <w:sz w:val="16"/>
                <w:szCs w:val="16"/>
              </w:rPr>
              <w:t>GRHL3</w:t>
            </w:r>
            <w:r w:rsidRPr="00083DE8">
              <w:rPr>
                <w:rFonts w:ascii="Arial" w:hAnsi="Arial" w:cs="Arial"/>
                <w:sz w:val="16"/>
                <w:szCs w:val="16"/>
              </w:rPr>
              <w:t xml:space="preserve"> TSS BRD4 positive site</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GGTGACCTGTTGTTCCCCTC</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AGACCTACTGTGTGCCAAGC</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i/>
                <w:sz w:val="16"/>
                <w:szCs w:val="16"/>
              </w:rPr>
              <w:t>GRHL3</w:t>
            </w:r>
            <w:r w:rsidRPr="00083DE8">
              <w:rPr>
                <w:rFonts w:ascii="Arial" w:hAnsi="Arial" w:cs="Arial"/>
                <w:sz w:val="16"/>
                <w:szCs w:val="16"/>
              </w:rPr>
              <w:t xml:space="preserve"> TSS RNAPII positive site</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GCGGGCTAAGAGTTAACAGC</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CTGACAGGTAGGTTCCCAGC</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i/>
                <w:sz w:val="16"/>
                <w:szCs w:val="16"/>
              </w:rPr>
              <w:t xml:space="preserve">GRHL3 </w:t>
            </w:r>
            <w:r w:rsidRPr="00083DE8">
              <w:rPr>
                <w:rFonts w:ascii="Arial" w:hAnsi="Arial" w:cs="Arial"/>
                <w:sz w:val="16"/>
                <w:szCs w:val="16"/>
              </w:rPr>
              <w:t>enhancer</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AGGATGCAACCTGCTGAGTC</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ACCTGCAACACCCTAAGAGG</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i/>
                <w:sz w:val="16"/>
                <w:szCs w:val="16"/>
              </w:rPr>
            </w:pPr>
            <w:r w:rsidRPr="00083DE8">
              <w:rPr>
                <w:rFonts w:ascii="Arial" w:hAnsi="Arial" w:cs="Arial"/>
                <w:i/>
                <w:sz w:val="16"/>
                <w:szCs w:val="16"/>
              </w:rPr>
              <w:t xml:space="preserve">TP63 </w:t>
            </w:r>
            <w:r w:rsidRPr="00083DE8">
              <w:rPr>
                <w:rFonts w:ascii="Arial" w:hAnsi="Arial" w:cs="Arial"/>
                <w:sz w:val="16"/>
                <w:szCs w:val="16"/>
              </w:rPr>
              <w:t>TSS BRD4 positive site</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GGAAATGGTCCGGAAGGGAG</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CTGAGACCATTCCCAGAGGC</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i/>
                <w:sz w:val="16"/>
                <w:szCs w:val="16"/>
              </w:rPr>
            </w:pPr>
            <w:r w:rsidRPr="00083DE8">
              <w:rPr>
                <w:rFonts w:ascii="Arial" w:hAnsi="Arial" w:cs="Arial"/>
                <w:i/>
                <w:sz w:val="16"/>
                <w:szCs w:val="16"/>
              </w:rPr>
              <w:t>TP63</w:t>
            </w:r>
            <w:r w:rsidRPr="00083DE8">
              <w:rPr>
                <w:rFonts w:ascii="Arial" w:hAnsi="Arial" w:cs="Arial"/>
                <w:sz w:val="16"/>
                <w:szCs w:val="16"/>
              </w:rPr>
              <w:t xml:space="preserve"> TSS RNAPII positive site</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AAGAGAAGAGTCCCGCCTCC</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CACCCCGAGACCCTTACAAT</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contextualSpacing/>
              <w:jc w:val="center"/>
              <w:rPr>
                <w:rFonts w:ascii="Arial" w:hAnsi="Arial" w:cs="Arial"/>
                <w:i/>
                <w:sz w:val="16"/>
                <w:szCs w:val="16"/>
              </w:rPr>
            </w:pPr>
            <w:r w:rsidRPr="00083DE8">
              <w:rPr>
                <w:rFonts w:ascii="Arial" w:hAnsi="Arial" w:cs="Arial"/>
                <w:i/>
                <w:sz w:val="16"/>
                <w:szCs w:val="16"/>
              </w:rPr>
              <w:t xml:space="preserve">TP63 </w:t>
            </w:r>
            <w:r w:rsidRPr="00083DE8">
              <w:rPr>
                <w:rFonts w:ascii="Arial" w:hAnsi="Arial" w:cs="Arial"/>
                <w:sz w:val="16"/>
                <w:szCs w:val="16"/>
              </w:rPr>
              <w:t>enhancer</w:t>
            </w:r>
          </w:p>
        </w:tc>
        <w:tc>
          <w:tcPr>
            <w:tcW w:w="2976"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AGCCTGGCTCTTTAGTTGCC</w:t>
            </w:r>
          </w:p>
        </w:tc>
        <w:tc>
          <w:tcPr>
            <w:tcW w:w="2552"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CTAGCAGGGAGACAGTGCAG</w:t>
            </w:r>
          </w:p>
        </w:tc>
        <w:tc>
          <w:tcPr>
            <w:tcW w:w="1701" w:type="dxa"/>
            <w:vAlign w:val="bottom"/>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This study</w:t>
            </w:r>
          </w:p>
        </w:tc>
      </w:tr>
      <w:tr w:rsidR="00083DE8" w:rsidRPr="00083DE8" w:rsidTr="00271A3E">
        <w:tc>
          <w:tcPr>
            <w:tcW w:w="2694" w:type="dxa"/>
            <w:vAlign w:val="bottom"/>
          </w:tcPr>
          <w:p w:rsidR="0071152E" w:rsidRPr="00083DE8" w:rsidRDefault="0071152E" w:rsidP="00271A3E">
            <w:pPr>
              <w:spacing w:after="200"/>
              <w:contextualSpacing/>
              <w:jc w:val="center"/>
              <w:rPr>
                <w:rFonts w:ascii="Arial" w:hAnsi="Arial" w:cs="Arial"/>
                <w:sz w:val="16"/>
                <w:szCs w:val="16"/>
              </w:rPr>
            </w:pPr>
            <w:r w:rsidRPr="00083DE8">
              <w:rPr>
                <w:rFonts w:ascii="Arial" w:hAnsi="Arial" w:cs="Arial"/>
                <w:sz w:val="16"/>
                <w:szCs w:val="16"/>
              </w:rPr>
              <w:t>G6PC IRE</w:t>
            </w:r>
          </w:p>
        </w:tc>
        <w:tc>
          <w:tcPr>
            <w:tcW w:w="2976"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CATTGGCCCTGCTGAGTACA</w:t>
            </w:r>
          </w:p>
        </w:tc>
        <w:tc>
          <w:tcPr>
            <w:tcW w:w="2552" w:type="dxa"/>
            <w:vAlign w:val="center"/>
          </w:tcPr>
          <w:p w:rsidR="0071152E" w:rsidRPr="00083DE8" w:rsidRDefault="0071152E" w:rsidP="00271A3E">
            <w:pPr>
              <w:contextualSpacing/>
              <w:jc w:val="center"/>
              <w:rPr>
                <w:rFonts w:ascii="Arial" w:hAnsi="Arial" w:cs="Arial"/>
                <w:sz w:val="16"/>
                <w:szCs w:val="16"/>
              </w:rPr>
            </w:pPr>
            <w:r w:rsidRPr="00083DE8">
              <w:rPr>
                <w:rFonts w:ascii="Arial" w:hAnsi="Arial" w:cs="Arial"/>
                <w:sz w:val="16"/>
                <w:szCs w:val="16"/>
              </w:rPr>
              <w:t>AACCCAGCCCTGATCTTTGG</w:t>
            </w:r>
          </w:p>
        </w:tc>
        <w:tc>
          <w:tcPr>
            <w:tcW w:w="1701" w:type="dxa"/>
            <w:vAlign w:val="bottom"/>
          </w:tcPr>
          <w:p w:rsidR="0071152E" w:rsidRPr="00083DE8" w:rsidRDefault="005D11BD" w:rsidP="00271A3E">
            <w:pPr>
              <w:contextualSpacing/>
              <w:jc w:val="center"/>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18g2vrvmsi","properties":{"formattedCitation":"(6)","plainCitation":"(6)"},"citationItems":[{"id":120,"uris":["http://zotero.org/users/local/bDn5D7qt/items/XCF6FZUI"],"uri":["http://zotero.org/users/local/bDn5D7qt/items/XCF6FZUI"],"itemData":{"id":120,"type":"article-journal","title":"FoxO1 Deacetylation Regulates Thyroid Hormone-induced Transcription of Key Hepatic Gluconeogenic Genes","container-title":"Journal of Biological Chemistry","page":"30365-30372","volume":"288","issue":"42","source":"www.jbc.org.ezlib.ncifcrf.gov","abstract":"Hepatic gluconeogenesis is a concerted process that integrates transcriptional regulation with hormonal signals. A major regulator is thyroid hormone (TH), which acts through its nuclear receptor (TR) to induce the expression of the hepatic gluconeogenic genes, phosphoenolpyruvate carboxykinase (PCK1) and glucose-6-phosphatase (G6PC). Forkhead transcription factor FoxO1 also is an important regulator of these genes; however, its functional interactions with TR are not known. Here, we report that TR-mediated transcriptional activation of PCK1 and G6PC in human hepatic cells and mouse liver was FoxO1-dependent and furthermore required FoxO1 deacetylation by the NAD+-dependent deacetylase, SirT1. siRNA knockdown of FoxO1 decreased, whereas overexpression of FoxO1 increased, TH-dependent transcriptional activation of PCK1 and G6PC in cultured hepatic cells. FoxO1 siRNA knockdown also decreased TH-mediated transcription in vivo. Additionally, TH was unable to induce FoxO1 deacetylation or hepatic PCK1 gene expression in TH receptor β-null (TRβ−/−) mice. Moreover, TH stimulated FoxO1 recruitment to the PCK1 and G6PC gene promoters in a SirT1-dependent manner. In summary, our results show that TH-dependent deacetylation of a second metabolically regulated transcription factor represents a novel mechanism for transcriptional integration of nuclear hormone action with cellular energy status.","DOI":"10.1074/jbc.M113.504845","ISSN":"0021-9258, 1083-351X","note":"PMID: 23995837","journalAbbreviation":"J. Biol. Chem.","language":"en","author":[{"family":"Singh","given":"Brijesh Kumar"},{"family":"Sinha","given":"Rohit Anthony"},{"family":"Zhou","given":"Jin"},{"family":"Xie","given":"Sherwin Ying"},{"family":"You","given":"Seo-Hee"},{"family":"Gauthier","given":"Karine"},{"family":"Yen","given":"Paul Michael"}],"issued":{"date-parts":[["2013",10,18]]},"PMID":"23995837"}}],"schema":"https://github.com/citation-style-language/schema/raw/master/csl-citation.json"}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(6)</w:t>
            </w:r>
            <w:r w:rsidRPr="00083DE8">
              <w:rPr>
                <w:rFonts w:ascii="Arial" w:hAnsi="Arial" w:cs="Arial"/>
                <w:sz w:val="16"/>
                <w:szCs w:val="16"/>
              </w:rPr>
              <w:fldChar w:fldCharType="end"/>
            </w:r>
          </w:p>
        </w:tc>
      </w:tr>
    </w:tbl>
    <w:p w:rsidR="005F3A4D" w:rsidRPr="00083DE8" w:rsidRDefault="005F3A4D" w:rsidP="00271A3E">
      <w:pPr>
        <w:spacing w:line="240" w:lineRule="auto"/>
        <w:jc w:val="both"/>
        <w:rPr>
          <w:rFonts w:ascii="Arial" w:hAnsi="Arial" w:cs="Arial"/>
          <w:b/>
          <w:sz w:val="24"/>
          <w:szCs w:val="24"/>
        </w:rPr>
      </w:pPr>
    </w:p>
    <w:p w:rsidR="00D1245A" w:rsidRPr="00083DE8" w:rsidRDefault="00D1245A">
      <w:pPr>
        <w:rPr>
          <w:rFonts w:ascii="Arial" w:hAnsi="Arial" w:cs="Arial"/>
          <w:b/>
          <w:sz w:val="24"/>
          <w:szCs w:val="24"/>
        </w:rPr>
      </w:pPr>
      <w:r w:rsidRPr="00083DE8">
        <w:rPr>
          <w:rFonts w:ascii="Arial" w:hAnsi="Arial" w:cs="Arial"/>
          <w:b/>
          <w:sz w:val="24"/>
          <w:szCs w:val="24"/>
        </w:rPr>
        <w:br w:type="page"/>
      </w:r>
    </w:p>
    <w:p w:rsidR="00187F45" w:rsidRPr="00083DE8" w:rsidRDefault="00F80239" w:rsidP="00271A3E">
      <w:pPr>
        <w:spacing w:line="240" w:lineRule="auto"/>
        <w:jc w:val="both"/>
        <w:rPr>
          <w:rFonts w:ascii="Arial" w:hAnsi="Arial" w:cs="Arial"/>
          <w:b/>
          <w:sz w:val="20"/>
          <w:szCs w:val="20"/>
        </w:rPr>
      </w:pPr>
      <w:r w:rsidRPr="00083DE8">
        <w:rPr>
          <w:rFonts w:ascii="Arial" w:hAnsi="Arial" w:cs="Arial"/>
          <w:b/>
          <w:sz w:val="20"/>
          <w:szCs w:val="20"/>
          <w:u w:val="single"/>
        </w:rPr>
        <w:lastRenderedPageBreak/>
        <w:t>Supporting</w:t>
      </w:r>
      <w:r w:rsidR="00187F45" w:rsidRPr="00083DE8">
        <w:rPr>
          <w:rFonts w:ascii="Arial" w:hAnsi="Arial" w:cs="Arial"/>
          <w:b/>
          <w:sz w:val="20"/>
          <w:szCs w:val="20"/>
          <w:u w:val="single"/>
        </w:rPr>
        <w:t xml:space="preserve"> table </w:t>
      </w:r>
      <w:r w:rsidR="00E02607" w:rsidRPr="00083DE8">
        <w:rPr>
          <w:rFonts w:ascii="Arial" w:hAnsi="Arial" w:cs="Arial"/>
          <w:b/>
          <w:sz w:val="20"/>
          <w:szCs w:val="20"/>
          <w:u w:val="single"/>
        </w:rPr>
        <w:t>S</w:t>
      </w:r>
      <w:r w:rsidR="00187F45" w:rsidRPr="00083DE8">
        <w:rPr>
          <w:rFonts w:ascii="Arial" w:hAnsi="Arial" w:cs="Arial"/>
          <w:b/>
          <w:sz w:val="20"/>
          <w:szCs w:val="20"/>
          <w:u w:val="single"/>
        </w:rPr>
        <w:t>2</w:t>
      </w:r>
      <w:r w:rsidR="005F3A4D" w:rsidRPr="00083DE8">
        <w:rPr>
          <w:rFonts w:ascii="Arial" w:hAnsi="Arial" w:cs="Arial"/>
          <w:b/>
          <w:sz w:val="20"/>
          <w:szCs w:val="20"/>
        </w:rPr>
        <w:t xml:space="preserve"> related to Experimental Procedures</w:t>
      </w:r>
    </w:p>
    <w:p w:rsidR="00187F45" w:rsidRPr="00083DE8" w:rsidRDefault="00645E65" w:rsidP="00271A3E">
      <w:pPr>
        <w:spacing w:line="240" w:lineRule="auto"/>
        <w:jc w:val="both"/>
        <w:rPr>
          <w:rFonts w:ascii="Arial" w:hAnsi="Arial" w:cs="Arial"/>
          <w:sz w:val="20"/>
          <w:szCs w:val="20"/>
        </w:rPr>
      </w:pPr>
      <w:r w:rsidRPr="00083DE8">
        <w:rPr>
          <w:rFonts w:ascii="Arial" w:hAnsi="Arial" w:cs="Arial"/>
          <w:sz w:val="20"/>
          <w:szCs w:val="20"/>
        </w:rPr>
        <w:t xml:space="preserve">Antibodies </w:t>
      </w:r>
      <w:r w:rsidR="00187F45" w:rsidRPr="00083DE8">
        <w:rPr>
          <w:rFonts w:ascii="Arial" w:hAnsi="Arial" w:cs="Arial"/>
          <w:sz w:val="20"/>
          <w:szCs w:val="20"/>
        </w:rPr>
        <w:t>and their concentrations</w:t>
      </w:r>
      <w:r w:rsidRPr="00083DE8">
        <w:rPr>
          <w:rFonts w:ascii="Arial" w:hAnsi="Arial" w:cs="Arial"/>
          <w:sz w:val="20"/>
          <w:szCs w:val="20"/>
        </w:rPr>
        <w:t>:</w:t>
      </w:r>
    </w:p>
    <w:tbl>
      <w:tblPr>
        <w:tblStyle w:val="TableGrid"/>
        <w:tblW w:w="9356" w:type="dxa"/>
        <w:tblInd w:w="108" w:type="dxa"/>
        <w:tblLayout w:type="fixed"/>
        <w:tblLook w:val="04A0" w:firstRow="1" w:lastRow="0" w:firstColumn="1" w:lastColumn="0" w:noHBand="0" w:noVBand="1"/>
      </w:tblPr>
      <w:tblGrid>
        <w:gridCol w:w="1418"/>
        <w:gridCol w:w="1559"/>
        <w:gridCol w:w="1134"/>
        <w:gridCol w:w="1276"/>
        <w:gridCol w:w="1276"/>
        <w:gridCol w:w="1842"/>
        <w:gridCol w:w="851"/>
      </w:tblGrid>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Target protein</w:t>
            </w:r>
          </w:p>
        </w:tc>
        <w:tc>
          <w:tcPr>
            <w:tcW w:w="1559"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Source</w:t>
            </w:r>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Catalog</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Clone</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Western blot</w:t>
            </w:r>
          </w:p>
        </w:tc>
        <w:tc>
          <w:tcPr>
            <w:tcW w:w="1842"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Immunofluorescence</w:t>
            </w:r>
          </w:p>
        </w:tc>
        <w:tc>
          <w:tcPr>
            <w:tcW w:w="851"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b/>
                <w:sz w:val="16"/>
                <w:szCs w:val="16"/>
              </w:rPr>
              <w:t>ChIP</w:t>
            </w: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ZO-1</w:t>
            </w:r>
          </w:p>
        </w:tc>
        <w:tc>
          <w:tcPr>
            <w:tcW w:w="1559"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Cell Signaling</w:t>
            </w:r>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8193</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D7D12</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1:1000</w:t>
            </w: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Vimentin</w:t>
            </w:r>
          </w:p>
        </w:tc>
        <w:tc>
          <w:tcPr>
            <w:tcW w:w="1559" w:type="dxa"/>
            <w:vAlign w:val="bottom"/>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Santacruz</w:t>
            </w:r>
            <w:proofErr w:type="spellEnd"/>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sc-6260</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V9</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1:2000</w:t>
            </w:r>
          </w:p>
        </w:tc>
        <w:tc>
          <w:tcPr>
            <w:tcW w:w="1842"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1:200</w:t>
            </w:r>
          </w:p>
        </w:tc>
        <w:tc>
          <w:tcPr>
            <w:tcW w:w="851" w:type="dxa"/>
            <w:vAlign w:val="bottom"/>
          </w:tcPr>
          <w:p w:rsidR="00D63820" w:rsidRPr="00083DE8" w:rsidRDefault="00D63820" w:rsidP="00271A3E">
            <w:pPr>
              <w:contextualSpacing/>
              <w:jc w:val="both"/>
              <w:rPr>
                <w:rFonts w:ascii="Arial" w:hAnsi="Arial" w:cs="Arial"/>
                <w:sz w:val="24"/>
                <w:szCs w:val="24"/>
              </w:rPr>
            </w:pP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BRD4</w:t>
            </w:r>
          </w:p>
        </w:tc>
        <w:tc>
          <w:tcPr>
            <w:tcW w:w="1559" w:type="dxa"/>
            <w:vAlign w:val="bottom"/>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Abcam</w:t>
            </w:r>
            <w:proofErr w:type="spellEnd"/>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ab128874</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EPR5150(2)</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1:1000</w:t>
            </w: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GRHL3</w:t>
            </w:r>
          </w:p>
        </w:tc>
        <w:tc>
          <w:tcPr>
            <w:tcW w:w="1559" w:type="dxa"/>
            <w:vAlign w:val="bottom"/>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Genetex</w:t>
            </w:r>
            <w:proofErr w:type="spellEnd"/>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GTX116700</w:t>
            </w:r>
          </w:p>
        </w:tc>
        <w:tc>
          <w:tcPr>
            <w:tcW w:w="1276" w:type="dxa"/>
            <w:vAlign w:val="bottom"/>
          </w:tcPr>
          <w:p w:rsidR="00D63820" w:rsidRPr="00083DE8" w:rsidRDefault="00D63820" w:rsidP="00271A3E">
            <w:pPr>
              <w:contextualSpacing/>
              <w:jc w:val="both"/>
              <w:rPr>
                <w:rFonts w:ascii="Arial" w:hAnsi="Arial" w:cs="Arial"/>
                <w:sz w:val="24"/>
                <w:szCs w:val="24"/>
              </w:rPr>
            </w:pP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1:1000</w:t>
            </w: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p>
        </w:tc>
      </w:tr>
      <w:tr w:rsidR="00083DE8" w:rsidRPr="00083DE8" w:rsidTr="00C73AA1">
        <w:tc>
          <w:tcPr>
            <w:tcW w:w="1418" w:type="dxa"/>
            <w:vAlign w:val="center"/>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p63</w:t>
            </w:r>
          </w:p>
        </w:tc>
        <w:tc>
          <w:tcPr>
            <w:tcW w:w="1559" w:type="dxa"/>
            <w:vAlign w:val="center"/>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Santacruz</w:t>
            </w:r>
            <w:proofErr w:type="spellEnd"/>
          </w:p>
        </w:tc>
        <w:tc>
          <w:tcPr>
            <w:tcW w:w="1134" w:type="dxa"/>
            <w:vAlign w:val="center"/>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sc-8431</w:t>
            </w:r>
          </w:p>
        </w:tc>
        <w:tc>
          <w:tcPr>
            <w:tcW w:w="1276" w:type="dxa"/>
            <w:vAlign w:val="center"/>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4A4</w:t>
            </w:r>
          </w:p>
        </w:tc>
        <w:tc>
          <w:tcPr>
            <w:tcW w:w="1276" w:type="dxa"/>
            <w:vAlign w:val="center"/>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1:1000</w:t>
            </w:r>
          </w:p>
        </w:tc>
        <w:tc>
          <w:tcPr>
            <w:tcW w:w="1842" w:type="dxa"/>
            <w:vAlign w:val="center"/>
          </w:tcPr>
          <w:p w:rsidR="00D63820" w:rsidRPr="00083DE8" w:rsidRDefault="00D63820" w:rsidP="00271A3E">
            <w:pPr>
              <w:contextualSpacing/>
              <w:jc w:val="both"/>
              <w:rPr>
                <w:rFonts w:ascii="Arial" w:hAnsi="Arial" w:cs="Arial"/>
                <w:sz w:val="24"/>
                <w:szCs w:val="24"/>
              </w:rPr>
            </w:pPr>
          </w:p>
        </w:tc>
        <w:tc>
          <w:tcPr>
            <w:tcW w:w="851" w:type="dxa"/>
            <w:vAlign w:val="center"/>
          </w:tcPr>
          <w:p w:rsidR="00D63820" w:rsidRPr="00083DE8" w:rsidRDefault="00D63820" w:rsidP="00271A3E">
            <w:pPr>
              <w:contextualSpacing/>
              <w:jc w:val="both"/>
              <w:rPr>
                <w:rFonts w:ascii="Arial" w:hAnsi="Arial" w:cs="Arial"/>
                <w:sz w:val="24"/>
                <w:szCs w:val="24"/>
              </w:rPr>
            </w:pP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BRD4 (N-term)</w:t>
            </w:r>
          </w:p>
        </w:tc>
        <w:tc>
          <w:tcPr>
            <w:tcW w:w="1559" w:type="dxa"/>
            <w:vAlign w:val="bottom"/>
          </w:tcPr>
          <w:p w:rsidR="00D63820" w:rsidRPr="00083DE8" w:rsidRDefault="005D11BD" w:rsidP="00271A3E">
            <w:pPr>
              <w:contextualSpacing/>
              <w:jc w:val="both"/>
              <w:rPr>
                <w:rFonts w:ascii="Arial" w:hAnsi="Arial" w:cs="Arial"/>
                <w:sz w:val="24"/>
                <w:szCs w:val="24"/>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16t5m7alne","properties":{"formattedCitation":"(7)","plainCitation":"(7)"},"citationItems":[{"id":1110,"uris":["http://zotero.org/users/local/zvOAVRAY/items/IVJGXKFS"],"uri":["http://zotero.org/users/local/zvOAVRAY/items/IVJGXKFS"],"itemData":{"id":1110,"type":"article-journal","title":"Brd4 links chromatin targeting to HPV transcriptional silencing","container-title":"Genes &amp; Development","page":"2383-2396","volume":"20","issue":"17","source":"PubMed Central","abstract":"The E2 protein encoded by human papillomaviruses (HPVs) inhibits expression of the viral E6 oncoprotein, which, in turn, regulates p53 target gene transcription. To identify cellular proteins involved in E2-mediated transcriptional repression, we isolated an E2 complex from human cells conditionally expressing HPV-11 E2. Surprisingly, the double bromodomain-containing protein Brd4, which is implicated in cell cycle control and viral genome segregation, was found associated with E2 and conferred on E2 the ability to inhibit AP-1-dependent HPV chromatin transcription in an E2-binding site-specific manner as illustrated by in vitro reconstituted chromatin transcription experiments. Knockdown of Brd4 in human cells alleviates E2-mediated repression of HPV transcription. The E2-interacting domain at the extreme C terminus and the chromatin targeting activity of a bromodomain-containing region are both essential for the corepressor activity of Brd4. Interestingly, E2–Brd4 blocks the recruitment of TFIID and RNA polymerase II to the HPV E6 promoter region without inhibiting acetylation of nucleosomal histones H3 and H4, indicating an acetylation-dependent role of Brd4 in the recruitment of E2 for transcriptional silencing of HPV gene activity. Our finding that Brd4 is a component of the virus-assembled transcriptional silencing complex uncovers a novel function of Brd4 as a cellular cofactor modulating viral gene expression.","DOI":"10.1101/gad.1448206","ISSN":"0890-9369","note":"PMID: 16921027\nPMCID: PMC1560413","journalAbbreviation":"Genes Dev","author":[{"family":"Wu","given":"Shwu-Yuan"},{"family":"Lee","given":"A-Young"},{"family":"Hou","given":"Samuel Y."},{"family":"Kemper","given":"Jongsook Kim"},{"family":"Erdjument-Bromage","given":"Hediye"},{"family":"Tempst","given":"Paul"},{"family":"Chiang","given":"Cheng-Ming"}],"issued":{"date-parts":[["2006",9,1]]},"PMID":"16921027","PMCID":"PMC1560413"}}],"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(7)</w:t>
            </w:r>
            <w:r w:rsidRPr="00083DE8">
              <w:rPr>
                <w:rFonts w:ascii="Arial" w:hAnsi="Arial" w:cs="Arial"/>
                <w:sz w:val="16"/>
                <w:szCs w:val="16"/>
              </w:rPr>
              <w:fldChar w:fldCharType="end"/>
            </w:r>
          </w:p>
        </w:tc>
        <w:tc>
          <w:tcPr>
            <w:tcW w:w="1134" w:type="dxa"/>
            <w:vAlign w:val="bottom"/>
          </w:tcPr>
          <w:p w:rsidR="00D63820" w:rsidRPr="00083DE8" w:rsidRDefault="00D63820" w:rsidP="00271A3E">
            <w:pPr>
              <w:contextualSpacing/>
              <w:jc w:val="both"/>
              <w:rPr>
                <w:rFonts w:ascii="Arial" w:hAnsi="Arial" w:cs="Arial"/>
                <w:sz w:val="24"/>
                <w:szCs w:val="24"/>
              </w:rPr>
            </w:pPr>
          </w:p>
        </w:tc>
        <w:tc>
          <w:tcPr>
            <w:tcW w:w="1276" w:type="dxa"/>
            <w:vAlign w:val="bottom"/>
          </w:tcPr>
          <w:p w:rsidR="00D63820" w:rsidRPr="00083DE8" w:rsidRDefault="00D63820" w:rsidP="00271A3E">
            <w:pPr>
              <w:contextualSpacing/>
              <w:jc w:val="both"/>
              <w:rPr>
                <w:rFonts w:ascii="Arial" w:hAnsi="Arial" w:cs="Arial"/>
                <w:sz w:val="24"/>
                <w:szCs w:val="24"/>
              </w:rPr>
            </w:pPr>
          </w:p>
        </w:tc>
        <w:tc>
          <w:tcPr>
            <w:tcW w:w="1276" w:type="dxa"/>
            <w:vAlign w:val="bottom"/>
          </w:tcPr>
          <w:p w:rsidR="00D63820" w:rsidRPr="00083DE8" w:rsidRDefault="00D63820" w:rsidP="00271A3E">
            <w:pPr>
              <w:contextualSpacing/>
              <w:jc w:val="both"/>
              <w:rPr>
                <w:rFonts w:ascii="Arial" w:hAnsi="Arial" w:cs="Arial"/>
                <w:sz w:val="24"/>
                <w:szCs w:val="24"/>
              </w:rPr>
            </w:pP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4 µL</w:t>
            </w:r>
          </w:p>
        </w:tc>
      </w:tr>
      <w:tr w:rsidR="00083DE8"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RNAPII (total)</w:t>
            </w:r>
          </w:p>
        </w:tc>
        <w:tc>
          <w:tcPr>
            <w:tcW w:w="1559" w:type="dxa"/>
            <w:vAlign w:val="bottom"/>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Santacruz</w:t>
            </w:r>
            <w:proofErr w:type="spellEnd"/>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sc-899</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N-20</w:t>
            </w:r>
          </w:p>
        </w:tc>
        <w:tc>
          <w:tcPr>
            <w:tcW w:w="1276" w:type="dxa"/>
            <w:vAlign w:val="bottom"/>
          </w:tcPr>
          <w:p w:rsidR="00D63820" w:rsidRPr="00083DE8" w:rsidRDefault="00D63820" w:rsidP="00271A3E">
            <w:pPr>
              <w:contextualSpacing/>
              <w:jc w:val="both"/>
              <w:rPr>
                <w:rFonts w:ascii="Arial" w:hAnsi="Arial" w:cs="Arial"/>
                <w:sz w:val="24"/>
                <w:szCs w:val="24"/>
              </w:rPr>
            </w:pP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 µg</w:t>
            </w:r>
          </w:p>
        </w:tc>
      </w:tr>
      <w:tr w:rsidR="00C73AA1" w:rsidRPr="00083DE8" w:rsidTr="00C73AA1">
        <w:tc>
          <w:tcPr>
            <w:tcW w:w="1418"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HSC70</w:t>
            </w:r>
          </w:p>
        </w:tc>
        <w:tc>
          <w:tcPr>
            <w:tcW w:w="1559" w:type="dxa"/>
            <w:vAlign w:val="bottom"/>
          </w:tcPr>
          <w:p w:rsidR="00D63820" w:rsidRPr="00083DE8" w:rsidRDefault="00D63820" w:rsidP="00271A3E">
            <w:pPr>
              <w:contextualSpacing/>
              <w:jc w:val="both"/>
              <w:rPr>
                <w:rFonts w:ascii="Arial" w:hAnsi="Arial" w:cs="Arial"/>
                <w:sz w:val="24"/>
                <w:szCs w:val="24"/>
              </w:rPr>
            </w:pPr>
            <w:proofErr w:type="spellStart"/>
            <w:r w:rsidRPr="00083DE8">
              <w:rPr>
                <w:rFonts w:ascii="Arial" w:hAnsi="Arial" w:cs="Arial"/>
                <w:sz w:val="16"/>
                <w:szCs w:val="16"/>
              </w:rPr>
              <w:t>Santacruz</w:t>
            </w:r>
            <w:proofErr w:type="spellEnd"/>
          </w:p>
        </w:tc>
        <w:tc>
          <w:tcPr>
            <w:tcW w:w="1134"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Sc-7298</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B6</w:t>
            </w:r>
          </w:p>
        </w:tc>
        <w:tc>
          <w:tcPr>
            <w:tcW w:w="1276" w:type="dxa"/>
            <w:vAlign w:val="bottom"/>
          </w:tcPr>
          <w:p w:rsidR="00D63820" w:rsidRPr="00083DE8" w:rsidRDefault="00D63820" w:rsidP="00271A3E">
            <w:pPr>
              <w:contextualSpacing/>
              <w:jc w:val="both"/>
              <w:rPr>
                <w:rFonts w:ascii="Arial" w:hAnsi="Arial" w:cs="Arial"/>
                <w:sz w:val="24"/>
                <w:szCs w:val="24"/>
              </w:rPr>
            </w:pPr>
            <w:r w:rsidRPr="00083DE8">
              <w:rPr>
                <w:rFonts w:ascii="Arial" w:hAnsi="Arial" w:cs="Arial"/>
                <w:sz w:val="16"/>
                <w:szCs w:val="16"/>
              </w:rPr>
              <w:t>1:25000</w:t>
            </w:r>
          </w:p>
        </w:tc>
        <w:tc>
          <w:tcPr>
            <w:tcW w:w="1842" w:type="dxa"/>
            <w:vAlign w:val="bottom"/>
          </w:tcPr>
          <w:p w:rsidR="00D63820" w:rsidRPr="00083DE8" w:rsidRDefault="00D63820" w:rsidP="00271A3E">
            <w:pPr>
              <w:contextualSpacing/>
              <w:jc w:val="both"/>
              <w:rPr>
                <w:rFonts w:ascii="Arial" w:hAnsi="Arial" w:cs="Arial"/>
                <w:sz w:val="24"/>
                <w:szCs w:val="24"/>
              </w:rPr>
            </w:pPr>
          </w:p>
        </w:tc>
        <w:tc>
          <w:tcPr>
            <w:tcW w:w="851" w:type="dxa"/>
            <w:vAlign w:val="bottom"/>
          </w:tcPr>
          <w:p w:rsidR="00D63820" w:rsidRPr="00083DE8" w:rsidRDefault="00D63820" w:rsidP="00271A3E">
            <w:pPr>
              <w:contextualSpacing/>
              <w:jc w:val="both"/>
              <w:rPr>
                <w:rFonts w:ascii="Arial" w:hAnsi="Arial" w:cs="Arial"/>
                <w:sz w:val="24"/>
                <w:szCs w:val="24"/>
              </w:rPr>
            </w:pPr>
          </w:p>
        </w:tc>
      </w:tr>
    </w:tbl>
    <w:p w:rsidR="00187F45" w:rsidRPr="00083DE8" w:rsidRDefault="00187F45" w:rsidP="00271A3E">
      <w:pPr>
        <w:spacing w:line="360" w:lineRule="auto"/>
        <w:jc w:val="both"/>
        <w:rPr>
          <w:rFonts w:ascii="Arial" w:hAnsi="Arial" w:cs="Arial"/>
          <w:b/>
          <w:sz w:val="24"/>
          <w:szCs w:val="24"/>
        </w:rPr>
      </w:pPr>
    </w:p>
    <w:p w:rsidR="005F3A4D" w:rsidRPr="00083DE8" w:rsidRDefault="00E02607" w:rsidP="00271A3E">
      <w:pPr>
        <w:spacing w:line="360" w:lineRule="auto"/>
        <w:jc w:val="both"/>
        <w:rPr>
          <w:rFonts w:ascii="Arial" w:hAnsi="Arial" w:cs="Arial"/>
          <w:b/>
          <w:sz w:val="20"/>
          <w:szCs w:val="20"/>
        </w:rPr>
      </w:pPr>
      <w:r w:rsidRPr="00083DE8">
        <w:rPr>
          <w:rFonts w:ascii="Arial" w:hAnsi="Arial" w:cs="Arial"/>
          <w:b/>
          <w:sz w:val="20"/>
          <w:szCs w:val="20"/>
        </w:rPr>
        <w:t xml:space="preserve"> </w:t>
      </w:r>
      <w:r w:rsidR="00F80239" w:rsidRPr="00083DE8">
        <w:rPr>
          <w:rFonts w:ascii="Arial" w:hAnsi="Arial" w:cs="Arial"/>
          <w:b/>
          <w:sz w:val="20"/>
          <w:szCs w:val="20"/>
          <w:u w:val="single"/>
        </w:rPr>
        <w:t>Supporting</w:t>
      </w:r>
      <w:r w:rsidR="005F3A4D" w:rsidRPr="00083DE8">
        <w:rPr>
          <w:rFonts w:ascii="Arial" w:hAnsi="Arial" w:cs="Arial"/>
          <w:b/>
          <w:sz w:val="20"/>
          <w:szCs w:val="20"/>
          <w:u w:val="single"/>
        </w:rPr>
        <w:t xml:space="preserve"> table </w:t>
      </w:r>
      <w:r w:rsidRPr="00083DE8">
        <w:rPr>
          <w:rFonts w:ascii="Arial" w:hAnsi="Arial" w:cs="Arial"/>
          <w:b/>
          <w:sz w:val="20"/>
          <w:szCs w:val="20"/>
          <w:u w:val="single"/>
        </w:rPr>
        <w:t>S</w:t>
      </w:r>
      <w:r w:rsidR="005F3A4D" w:rsidRPr="00083DE8">
        <w:rPr>
          <w:rFonts w:ascii="Arial" w:hAnsi="Arial" w:cs="Arial"/>
          <w:b/>
          <w:sz w:val="20"/>
          <w:szCs w:val="20"/>
          <w:u w:val="single"/>
        </w:rPr>
        <w:t>3</w:t>
      </w:r>
      <w:r w:rsidR="005F3A4D" w:rsidRPr="00083DE8">
        <w:rPr>
          <w:rFonts w:ascii="Arial" w:hAnsi="Arial" w:cs="Arial"/>
          <w:b/>
          <w:sz w:val="20"/>
          <w:szCs w:val="20"/>
        </w:rPr>
        <w:t xml:space="preserve"> related to Experimental Procedures</w:t>
      </w:r>
    </w:p>
    <w:p w:rsidR="005F3A4D" w:rsidRPr="00083DE8" w:rsidRDefault="005F3A4D" w:rsidP="00271A3E">
      <w:pPr>
        <w:spacing w:line="360" w:lineRule="auto"/>
        <w:jc w:val="both"/>
        <w:rPr>
          <w:rFonts w:ascii="Arial" w:hAnsi="Arial" w:cs="Arial"/>
          <w:sz w:val="20"/>
          <w:szCs w:val="20"/>
        </w:rPr>
      </w:pPr>
      <w:r w:rsidRPr="00083DE8">
        <w:rPr>
          <w:rFonts w:ascii="Arial" w:hAnsi="Arial" w:cs="Arial"/>
          <w:sz w:val="20"/>
          <w:szCs w:val="20"/>
        </w:rPr>
        <w:t xml:space="preserve">Published </w:t>
      </w:r>
      <w:r w:rsidR="00C131A9" w:rsidRPr="00083DE8">
        <w:rPr>
          <w:rFonts w:ascii="Arial" w:hAnsi="Arial" w:cs="Arial"/>
          <w:sz w:val="20"/>
          <w:szCs w:val="20"/>
        </w:rPr>
        <w:t xml:space="preserve">ChIP-seq </w:t>
      </w:r>
      <w:r w:rsidRPr="00083DE8">
        <w:rPr>
          <w:rFonts w:ascii="Arial" w:hAnsi="Arial" w:cs="Arial"/>
          <w:sz w:val="20"/>
          <w:szCs w:val="20"/>
        </w:rPr>
        <w:t>datasets</w:t>
      </w:r>
    </w:p>
    <w:tbl>
      <w:tblPr>
        <w:tblStyle w:val="TableGrid"/>
        <w:tblW w:w="9356" w:type="dxa"/>
        <w:tblInd w:w="108" w:type="dxa"/>
        <w:tblLook w:val="04A0" w:firstRow="1" w:lastRow="0" w:firstColumn="1" w:lastColumn="0" w:noHBand="0" w:noVBand="1"/>
      </w:tblPr>
      <w:tblGrid>
        <w:gridCol w:w="2972"/>
        <w:gridCol w:w="3081"/>
        <w:gridCol w:w="3303"/>
      </w:tblGrid>
      <w:tr w:rsidR="00083DE8" w:rsidRPr="00083DE8" w:rsidTr="00271A3E">
        <w:tc>
          <w:tcPr>
            <w:tcW w:w="2972" w:type="dxa"/>
          </w:tcPr>
          <w:p w:rsidR="005F3A4D" w:rsidRPr="00083DE8" w:rsidRDefault="005F3A4D" w:rsidP="00271A3E">
            <w:pPr>
              <w:contextualSpacing/>
              <w:jc w:val="both"/>
              <w:rPr>
                <w:rFonts w:ascii="Arial" w:hAnsi="Arial" w:cs="Arial"/>
                <w:b/>
                <w:sz w:val="16"/>
                <w:szCs w:val="16"/>
              </w:rPr>
            </w:pPr>
            <w:r w:rsidRPr="00083DE8">
              <w:rPr>
                <w:rFonts w:ascii="Arial" w:hAnsi="Arial" w:cs="Arial"/>
                <w:b/>
                <w:sz w:val="16"/>
                <w:szCs w:val="16"/>
              </w:rPr>
              <w:t>Dataset</w:t>
            </w:r>
          </w:p>
        </w:tc>
        <w:tc>
          <w:tcPr>
            <w:tcW w:w="3081" w:type="dxa"/>
          </w:tcPr>
          <w:p w:rsidR="005F3A4D" w:rsidRPr="00083DE8" w:rsidRDefault="005F3A4D" w:rsidP="00271A3E">
            <w:pPr>
              <w:contextualSpacing/>
              <w:jc w:val="both"/>
              <w:rPr>
                <w:rFonts w:ascii="Arial" w:hAnsi="Arial" w:cs="Arial"/>
                <w:b/>
                <w:sz w:val="16"/>
                <w:szCs w:val="16"/>
              </w:rPr>
            </w:pPr>
            <w:r w:rsidRPr="00083DE8">
              <w:rPr>
                <w:rFonts w:ascii="Arial" w:hAnsi="Arial" w:cs="Arial"/>
                <w:b/>
                <w:sz w:val="16"/>
                <w:szCs w:val="16"/>
              </w:rPr>
              <w:t>Accession Numbers</w:t>
            </w:r>
          </w:p>
        </w:tc>
        <w:tc>
          <w:tcPr>
            <w:tcW w:w="3303" w:type="dxa"/>
          </w:tcPr>
          <w:p w:rsidR="005F3A4D" w:rsidRPr="00083DE8" w:rsidRDefault="00E02607" w:rsidP="00271A3E">
            <w:pPr>
              <w:contextualSpacing/>
              <w:jc w:val="both"/>
              <w:rPr>
                <w:rFonts w:ascii="Arial" w:hAnsi="Arial" w:cs="Arial"/>
                <w:b/>
                <w:sz w:val="16"/>
                <w:szCs w:val="16"/>
              </w:rPr>
            </w:pPr>
            <w:r w:rsidRPr="00083DE8">
              <w:rPr>
                <w:rFonts w:ascii="Arial" w:hAnsi="Arial" w:cs="Arial"/>
                <w:b/>
                <w:sz w:val="16"/>
                <w:szCs w:val="16"/>
              </w:rPr>
              <w:t>Source</w:t>
            </w:r>
          </w:p>
        </w:tc>
      </w:tr>
      <w:tr w:rsidR="00083DE8" w:rsidRPr="00083DE8" w:rsidTr="00271A3E">
        <w:tc>
          <w:tcPr>
            <w:tcW w:w="2972" w:type="dxa"/>
          </w:tcPr>
          <w:p w:rsidR="00D63820" w:rsidRPr="00083DE8" w:rsidRDefault="00D63820" w:rsidP="00D63820">
            <w:pPr>
              <w:spacing w:after="200" w:line="276" w:lineRule="auto"/>
              <w:contextualSpacing/>
              <w:jc w:val="both"/>
              <w:rPr>
                <w:rFonts w:ascii="Arial" w:hAnsi="Arial" w:cs="Arial"/>
                <w:b/>
                <w:sz w:val="16"/>
                <w:szCs w:val="16"/>
              </w:rPr>
            </w:pPr>
            <w:r w:rsidRPr="00083DE8">
              <w:rPr>
                <w:rFonts w:ascii="Arial" w:hAnsi="Arial" w:cs="Arial"/>
                <w:sz w:val="16"/>
                <w:szCs w:val="16"/>
              </w:rPr>
              <w:t xml:space="preserve">MCF10A RNAPII </w:t>
            </w:r>
          </w:p>
        </w:tc>
        <w:tc>
          <w:tcPr>
            <w:tcW w:w="3081" w:type="dxa"/>
          </w:tcPr>
          <w:p w:rsidR="00D63820" w:rsidRPr="00083DE8" w:rsidRDefault="00D63820" w:rsidP="00D63820">
            <w:pPr>
              <w:spacing w:after="200" w:line="276" w:lineRule="auto"/>
              <w:contextualSpacing/>
              <w:jc w:val="both"/>
              <w:rPr>
                <w:rFonts w:ascii="Arial" w:hAnsi="Arial" w:cs="Arial"/>
                <w:b/>
                <w:sz w:val="16"/>
                <w:szCs w:val="16"/>
              </w:rPr>
            </w:pPr>
            <w:r w:rsidRPr="00083DE8">
              <w:rPr>
                <w:rFonts w:ascii="Arial" w:hAnsi="Arial" w:cs="Arial"/>
                <w:sz w:val="16"/>
                <w:szCs w:val="16"/>
              </w:rPr>
              <w:t>GSM935588, GSM935456</w:t>
            </w:r>
          </w:p>
        </w:tc>
        <w:tc>
          <w:tcPr>
            <w:tcW w:w="3303" w:type="dxa"/>
          </w:tcPr>
          <w:p w:rsidR="00D63820" w:rsidRPr="00083DE8" w:rsidRDefault="00D63820" w:rsidP="00D63820">
            <w:pPr>
              <w:spacing w:after="200" w:line="276" w:lineRule="auto"/>
              <w:contextualSpacing/>
              <w:jc w:val="both"/>
              <w:rPr>
                <w:rFonts w:ascii="Arial" w:hAnsi="Arial" w:cs="Arial"/>
                <w:b/>
                <w:sz w:val="16"/>
                <w:szCs w:val="16"/>
              </w:rPr>
            </w:pPr>
            <w:r w:rsidRPr="00083DE8">
              <w:rPr>
                <w:rFonts w:ascii="Arial" w:hAnsi="Arial" w:cs="Arial"/>
                <w:sz w:val="16"/>
                <w:szCs w:val="16"/>
              </w:rPr>
              <w:t>ENCODE</w:t>
            </w:r>
          </w:p>
        </w:tc>
      </w:tr>
      <w:tr w:rsidR="00083DE8" w:rsidRPr="00083DE8" w:rsidTr="00271A3E">
        <w:trPr>
          <w:trHeight w:val="161"/>
        </w:trPr>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MCF10A GRO-</w:t>
            </w:r>
            <w:proofErr w:type="spellStart"/>
            <w:r w:rsidRPr="00083DE8">
              <w:rPr>
                <w:rFonts w:ascii="Arial" w:hAnsi="Arial" w:cs="Arial"/>
                <w:sz w:val="16"/>
                <w:szCs w:val="16"/>
              </w:rPr>
              <w:t>seq</w:t>
            </w:r>
            <w:proofErr w:type="spellEnd"/>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E-MTAB-668</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2f0ntp8g8m","properties":{"formattedCitation":"(8)","plainCitation":"(8)"},"citationItems":[{"id":1113,"uris":["http://zotero.org/users/local/zvOAVRAY/items/6SR6E6R2"],"uri":["http://zotero.org/users/local/zvOAVRAY/items/6SR6E6R2"],"itemData":{"id":1113,"type":"article-journal","title":"HDAC inhibitors induce transcriptional repression of high copy number genes in breast cancer through elongation blockade","container-title":"Oncogene","page":"2828-2835","volume":"32","issue":"23","source":"PubMed Central","abstract":"Treatment with histone deacetylase inhibitors (HDACI) results in potent cytotoxicity of a variety of cancer cell types, and these drugs are used clinically to treat hematological tumors. They are known to repress the transcription of ERBB2 and many other oncogenes, but little is known about this mechanism. Using global run-on sequencing (GRO-seq) to measure nascent transcription, we find that HDACI cause transcriptional repression by blocking RNA polymerase II elongation. Our data show that HDACI preferentially repress the transcription of highly expressed genes as well as high copy number genes in HER2+ breast cancer genomes. In contrast, genes that are activated by HDACI are moderately expressed. We analyzed gene copy number in combination with microarray and GRO-seq analysis of expression level, in normal and breast cancer cells to show that high copy number genes are more likely to be repressed by HDACI than non-amplified genes. The inhibition of transcription of amplified oncogenes, which promote survival and proliferation of cancer cells, might explain the cancer-specific lethality of HDACI, and may represent a general therapeutic strategy for cancer.","DOI":"10.1038/onc.2013.32","ISSN":"0950-9232","note":"PMID: 23435418\nPMCID: PMC3676447","journalAbbreviation":"Oncogene","author":[{"family":"Kim","given":"Yoon Jung"},{"family":"Greer","given":"Celeste B."},{"family":"Cecchini","given":"Katharine R."},{"family":"Harris","given":"Lyndsay N."},{"family":"Tuck","given":"David P."},{"family":"Kim","given":"Tae Hoon"}],"issued":{"date-parts":[["2013",6,6]]},"PMID":"23435418","PMCID":"PMC3676447"}}],"schema":"https://github.com/citation-style-language/schema/raw/master/csl-citation.json"}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(8)</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MCF10A H4K12ac</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GSE65886</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prtdg566i","properties":{"formattedCitation":"(9)","plainCitation":"(9)"},"citationItems":[{"id":1091,"uris":["http://zotero.org/users/local/zvOAVRAY/items/3U3S9XUR"],"uri":["http://zotero.org/users/local/zvOAVRAY/items/3U3S9XUR"],"itemData":{"id":1091,"type":"article-journal","title":"H4K12ac is regulated by estrogen receptor-alpha and is associated with BRD4 function and inducible transcription","container-title":"Oncotarget","page":"7305-7317","volume":"6","issue":"9","source":"www.impactjournals.com","abstract":"//     Sankari Nagarajan 1 , Eva Benito 2 , Andre Fischer 2,3  and Steven A. Johnsen 1     1  Department of General, Visceral and Pediatric Surgery, University Medical Center G&amp;ouml;ttingen, G&amp;ouml;ttingen, Germany    2  Department of Psychiatry and Psychotherapy, University Medical Center G&amp;ouml;ttingen, G&amp;ouml;ttingen, Germany    3  Research Group for Epigenetics in Neurodegenerative Diseases, German Center for Neurodegenerative Diseases (DZNE) G&amp;ouml;ttingen, G&amp;ouml;ttingen, Germany   Correspondence to:   Steven A. Johnsen, email:  //       Keywords : Histone acetylation, bromodomain, estrogen, epigenetics, chromatin    Received : December 04, 2014  Accepted : January 28, 2015  Published : January 31, 2015    Abstract   Hormone-dependent gene expression requires dynamic and coordinated epigenetic changes. Estrogen receptor-positive (ER + ) breast cancer is particularly dependent upon extensive chromatin remodeling and changes in histone modifications for the induction of hormone-responsive gene expression. Our previous studies established an important role of bromodomain-containing protein-4 (BRD4) in promoting estrogen-regulated transcription and proliferation of ER +  breast cancer cells. Here, we investigated the association between genome-wide occupancy of histone H4 acetylation at lysine 12 (H4K12ac) and BRD4 in the context of estrogen-induced transcription. Similar to BRD4, we observed that H4K12ac occupancy increases near the transcription start sites (TSS) of estrogen-induced genes as well as at distal ER&amp;alpha; binding sites in an estrogen-dependent manner. Interestingly, H4K12ac occupancy highly correlates with BRD4 binding and enhancer RNA production on ER&amp;alpha;-positive enhancers. Consistent with an importance in estrogen-induced gene transcription, H4K12ac occupancy globally increased in ER-positive cells relative to ER-negative cells and these levels were further increased by estrogen treatment in an ER&amp;alpha;-dependent manner. Together, these findings reveal a strong correlation between H4K12ac and BRD4 occupancy with estrogen-dependent gene transcription and further suggest that modulators of H4K12ac and BRD4 may serve as new therapeutic targets for hormone-dependent cancers.","ISSN":"1949-2553","author":[{"family":"Nagarajan","given":"Sankari"},{"family":"Benito","given":"Eva"},{"family":"Fischer","given":"Andre"},{"family":"Johnsen","given":"Steven A."}],"issued":{"date-parts":[["2015",2,27]]}}}],"schema":"https://github.com/citation-style-language/schema/raw/master/csl-citation.json"}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(9)</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MCF10A H3K4me1</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SRX115372</w:t>
            </w:r>
          </w:p>
        </w:tc>
        <w:tc>
          <w:tcPr>
            <w:tcW w:w="3303"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POSTECH</w:t>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MCF10A H3K4me3</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SRX115373</w:t>
            </w:r>
          </w:p>
        </w:tc>
        <w:tc>
          <w:tcPr>
            <w:tcW w:w="3303"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POSTECH</w:t>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RNAPII</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GSM365930</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lgaf4t5qc","properties":{"formattedCitation":"(10)","plainCitation":"(10)"},"citationItems":[{"id":172,"uris":["http://zotero.org/users/local/bDn5D7qt/items/5SQCMWHH"],"uri":["http://zotero.org/users/local/bDn5D7qt/items/5SQCMWHH"],"itemData":{"id":172,"type":"article-journal","title":"ChIP-Seq of ERalpha and RNA polymerase II defines genes differentially responding to ligands","container-title":"The EMBO journal","page":"1418-1428","volume":"28","issue":"10","source":"PubMed","abstract":"We used ChIP-Seq to map ERalpha-binding sites and to profile changes in RNA polymerase II (RNAPII) occupancy in MCF-7 cells in response to estradiol (E2), tamoxifen or fulvestrant. We identify 10 205 high confidence ERalpha-binding sites in response to E2 of which 68% contain an estrogen response element (ERE) and only 7% contain a FOXA1 motif. Remarkably, 596 genes change significantly in RNAPII occupancy (59% up and 41% down) already after 1 h of E2 exposure. Although promoter proximal enrichment of RNAPII (PPEP) occurs frequently in MCF-7 cells (17%), it is only observed on a minority of E2-regulated genes (4%). Tamoxifen and fulvestrant partially reduce ERalpha DNA binding and prevent RNAPII loading on the promoter and coding body on E2-upregulated genes. Both ligands act differently on E2-downregulated genes: tamoxifen acts as an agonist thus downregulating these genes, whereas fulvestrant antagonizes E2-induced repression and often increases RNAPII occupancy. Furthermore, our data identify genes preferentially regulated by tamoxifen but not by E2 or fulvestrant. Thus (partial) antagonist loaded ERalpha acts mechanistically different on E2-activated and E2-repressed genes.","DOI":"10.1038/emboj.2009.88","ISSN":"1460-2075","note":"PMID: 19339991\nPMCID: PMC2688537","journalAbbreviation":"EMBO J.","language":"eng","author":[{"family":"Welboren","given":"Willem-Jan"},{"family":"Driel","given":"Marc A.","non-dropping-particle":"van"},{"family":"Janssen-Megens","given":"Eva M."},{"family":"Heeringen","given":"Simon J.","non-dropping-particle":"van"},{"family":"Sweep","given":"Fred Cgj"},{"family":"Span","given":"Paul N."},{"family":"Stunnenberg","given":"Hendrik G."}],"issued":{"date-parts":[["2009",5,20]]},"PMID":"19339991","PMCID":"PMC2688537"}}],"schema":"https://github.com/citation-style-language/schema/raw/master/csl-citation.json"}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(10)</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GRO-</w:t>
            </w:r>
            <w:proofErr w:type="spellStart"/>
            <w:r w:rsidRPr="00083DE8">
              <w:rPr>
                <w:rFonts w:ascii="Arial" w:hAnsi="Arial" w:cs="Arial"/>
                <w:sz w:val="16"/>
                <w:szCs w:val="16"/>
              </w:rPr>
              <w:t>seq</w:t>
            </w:r>
            <w:proofErr w:type="spellEnd"/>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GSM1067414, GSM1067415</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be74qeve0","properties":{"formattedCitation":"(11)","plainCitation":"(11)"},"citationItems":[{"id":174,"uris":["http://zotero.org/users/local/bDn5D7qt/items/D7XU9MS2"],"uri":["http://zotero.org/users/local/bDn5D7qt/items/D7XU9MS2"],"itemData":{"id":174,"type":"article-journal","title":"Enhancer transcripts mark active estrogen receptor binding sites","container-title":"Genome Research","page":"1210-1223","volume":"23","issue":"8","source":"PubMed","abstract":"We have integrated and analyzed a large number of data sets from a variety of genomic assays using a novel computational pipeline to provide a global view of estrogen receptor 1 (ESR1; a.k.a. ERα) enhancers in MCF-7 human breast cancer cells. Using this approach, we have defined a class of primary transcripts (eRNAs) that are transcribed uni- or bidirectionally from estrogen receptor binding sites (ERBSs) with an average transcription unit length of </w:instrText>
            </w:r>
            <w:r w:rsidR="00F44C4C" w:rsidRPr="00083DE8">
              <w:rPr>
                <w:rFonts w:ascii="Cambria Math" w:hAnsi="Cambria Math" w:cs="Cambria Math"/>
                <w:sz w:val="16"/>
                <w:szCs w:val="16"/>
              </w:rPr>
              <w:instrText>∼</w:instrText>
            </w:r>
            <w:r w:rsidR="00F44C4C" w:rsidRPr="00083DE8">
              <w:rPr>
                <w:rFonts w:ascii="Arial" w:hAnsi="Arial" w:cs="Arial"/>
                <w:sz w:val="16"/>
                <w:szCs w:val="16"/>
              </w:rPr>
              <w:instrText xml:space="preserve">3-5 kb. The majority are up-regulated by short treatments with estradiol (i.e., 10, 25, or 40 min) with kinetics that precede or match the induction of the target genes. The production of eRNAs at ERBSs is strongly correlated with the enrichment of a number of genomic features that are associated with enhancers (e.g., H3K4me1, H3K27ac, EP300/CREBBP, RNA polymerase II, open chromatin architecture), as well as enhancer looping to target gene promoters. In the absence of eRNA production, strong enrichment of these features is not observed, even though ESR1 binding is evident. We find that flavopiridol, a CDK9 inhibitor that blocks transcription elongation, inhibits eRNA production but does not affect other molecular indicators of enhancer activity, suggesting that eRNA production occurs after the assembly of active enhancers. Finally, we show that an enhancer transcription \"signature\" based on GRO-seq data can be used for de novo enhancer prediction across cell types. Together, our studies shed new light on the activity of ESR1 at its enhancer sites and provide new insights about enhancer function.","DOI":"10.1101/gr.152306.112","ISSN":"1549-5469","note":"PMID: 23636943\nPMCID: PMC3730096","journalAbbreviation":"Genome Res.","language":"eng","author":[{"family":"Hah","given":"Nasun"},{"family":"Murakami","given":"Shino"},{"family":"Nagari","given":"Anusha"},{"family":"Danko","given":"Charles G."},{"family":"Kraus","given":"W. Lee"}],"issued":{"date-parts":[["2013",8]]},"PMID":"23636943","PMCID":"PMC3730096"}}],"schema":"https://github.com/citation-style-language/schema/raw/master/csl-citation.json"}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(11)</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H4K12ac</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GSE65886</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73Grln5i","properties":{"formattedCitation":"(9)","plainCitation":"(9)"},"citationItems":[{"id":1091,"uris":["http://zotero.org/users/local/zvOAVRAY/items/3U3S9XUR"],"uri":["http://zotero.org/users/local/zvOAVRAY/items/3U3S9XUR"],"itemData":{"id":1091,"type":"article-journal","title":"H4K12ac is regulated by estrogen receptor-alpha and is associated with BRD4 function and inducible transcription","container-title":"Oncotarget","page":"7305-7317","volume":"6","issue":"9","source":"www.impactjournals.com","abstract":"//     Sankari Nagarajan 1 , Eva Benito 2 , Andre Fischer 2,3  and Steven A. Johnsen 1     1  Department of General, Visceral and Pediatric Surgery, University Medical Center G&amp;ouml;ttingen, G&amp;ouml;ttingen, Germany    2  Department of Psychiatry and Psychotherapy, University Medical Center G&amp;ouml;ttingen, G&amp;ouml;ttingen, Germany    3  Research Group for Epigenetics in Neurodegenerative Diseases, German Center for Neurodegenerative Diseases (DZNE) G&amp;ouml;ttingen, G&amp;ouml;ttingen, Germany   Correspondence to:   Steven A. Johnsen, email:  //       Keywords : Histone acetylation, bromodomain, estrogen, epigenetics, chromatin    Received : December 04, 2014  Accepted : January 28, 2015  Published : January 31, 2015    Abstract   Hormone-dependent gene expression requires dynamic and coordinated epigenetic changes. Estrogen receptor-positive (ER + ) breast cancer is particularly dependent upon extensive chromatin remodeling and changes in histone modifications for the induction of hormone-responsive gene expression. Our previous studies established an important role of bromodomain-containing protein-4 (BRD4) in promoting estrogen-regulated transcription and proliferation of ER +  breast cancer cells. Here, we investigated the association between genome-wide occupancy of histone H4 acetylation at lysine 12 (H4K12ac) and BRD4 in the context of estrogen-induced transcription. Similar to BRD4, we observed that H4K12ac occupancy increases near the transcription start sites (TSS) of estrogen-induced genes as well as at distal ER&amp;alpha; binding sites in an estrogen-dependent manner. Interestingly, H4K12ac occupancy highly correlates with BRD4 binding and enhancer RNA production on ER&amp;alpha;-positive enhancers. Consistent with an importance in estrogen-induced gene transcription, H4K12ac occupancy globally increased in ER-positive cells relative to ER-negative cells and these levels were further increased by estrogen treatment in an ER&amp;alpha;-dependent manner. Together, these findings reveal a strong correlation between H4K12ac and BRD4 occupancy with estrogen-dependent gene transcription and further suggest that modulators of H4K12ac and BRD4 may serve as new therapeutic targets for hormone-dependent cancers.","ISSN":"1949-2553","author":[{"family":"Nagarajan","given":"Sankari"},{"family":"Benito","given":"Eva"},{"family":"Fischer","given":"Andre"},{"family":"Johnsen","given":"Steven A."}],"issued":{"date-parts":[["2015",2,27]]}}}],"schema":"https://github.com/citation-style-language/schema/raw/master/csl-citation.json"}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(9)</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spacing w:after="200"/>
              <w:contextualSpacing/>
              <w:jc w:val="both"/>
              <w:rPr>
                <w:rFonts w:ascii="Arial" w:hAnsi="Arial" w:cs="Arial"/>
                <w:sz w:val="16"/>
                <w:szCs w:val="16"/>
              </w:rPr>
            </w:pPr>
            <w:r w:rsidRPr="00083DE8">
              <w:rPr>
                <w:rFonts w:ascii="Arial" w:hAnsi="Arial" w:cs="Arial"/>
                <w:sz w:val="16"/>
                <w:szCs w:val="16"/>
              </w:rPr>
              <w:t>MCF7 H3K4me1</w:t>
            </w:r>
          </w:p>
        </w:tc>
        <w:tc>
          <w:tcPr>
            <w:tcW w:w="3081" w:type="dxa"/>
          </w:tcPr>
          <w:p w:rsidR="00D63820" w:rsidRPr="00083DE8" w:rsidRDefault="00D63820" w:rsidP="00271A3E">
            <w:pPr>
              <w:spacing w:after="200"/>
              <w:contextualSpacing/>
              <w:jc w:val="both"/>
              <w:rPr>
                <w:rFonts w:ascii="Arial" w:hAnsi="Arial" w:cs="Arial"/>
                <w:sz w:val="16"/>
                <w:szCs w:val="16"/>
              </w:rPr>
            </w:pPr>
            <w:r w:rsidRPr="00083DE8">
              <w:rPr>
                <w:rFonts w:ascii="Arial" w:hAnsi="Arial" w:cs="Arial"/>
                <w:sz w:val="16"/>
                <w:szCs w:val="16"/>
              </w:rPr>
              <w:t>GSM986081</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iq9910khk","properties":{"formattedCitation":"(12)","plainCitation":"(12)"},"citationItems":[{"id":176,"uris":["http://zotero.org/users/local/bDn5D7qt/items/CT5WB2WB"],"uri":["http://zotero.org/users/local/bDn5D7qt/items/CT5WB2WB"],"itemData":{"id":176,"type":"article-journal","title":"GATA3 acts upstream of FOXA1 in mediating ESR1 binding by shaping enhancer accessibility","container-title":"Genome Research","page":"12-22","volume":"23","issue":"1","source":"PubMed","abstract":"Estrogen receptor (ESR1) drives growth in the majority of human breast cancers by binding to regulatory elements and inducing transcription events that promote tumor growth. Differences in enhancer occupancy by ESR1 contribute to the diverse expression profiles and clinical outcome observed in breast cancer patients. GATA3 is an ESR1-cooperating transcription factor mutated in breast tumors; however, its genomic properties are not fully defined. In order to investigate the composition of enhancers involved in estrogen-induced transcription and the potential role of GATA3, we performed extensive ChIP-sequencing in unstimulated breast cancer cells and following estrogen treatment. We find that GATA3 is pivotal in mediating enhancer accessibility at regulatory regions involved in ESR1-mediated transcription. GATA3 silencing resulted in a global redistribution of cofactors and active histone marks prior to estrogen stimulation. These global genomic changes altered the ESR1-binding profile that subsequently occurred following estrogen, with events exhibiting both loss and gain in binding affinity, implying a GATA3-mediated redistribution of ESR1 binding. The GATA3-mediated redistributed ESR1 profile correlated with changes in gene expression, suggestive of its functionality. Chromatin loops at the TFF locus involving ESR1-bound enhancers occurred independently of ESR1 when GATA3 was silenced, indicating that GATA3, when present on the chromatin, may serve as a licensing factor for estrogen-ESR1-mediated interactions between cis-regulatory elements. Together, these experiments suggest that GATA3 directly impacts ESR1 enhancer accessibility, and may potentially explain the contribution of mutant-GATA3 in the heterogeneity of ESR1+ breast cancer.","DOI":"10.1101/gr.139469.112","ISSN":"1549-5469","note":"PMID: 23172872\nPMCID: PMC3530671","journalAbbreviation":"Genome Res.","language":"eng","author":[{"family":"Theodorou","given":"Vasiliki"},{"family":"Stark","given":"Rory"},{"family":"Menon","given":"Suraj"},{"family":"Carroll","given":"Jason S."}],"issued":{"date-parts":[["2013",1]]},"PMID":"23172872","PMCID":"PMC3530671"}}],"schema":"https://github.com/citation-style-language/schema/raw/master/csl-citation.json"}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(12)</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H3K4me3</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GSE23701</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183qsbt8i2","properties":{"formattedCitation":"(13)","plainCitation":"(13)"},"citationItems":[{"id":170,"uris":["http://zotero.org/users/local/bDn5D7qt/items/KBPZN7WS"],"uri":["http://zotero.org/users/local/bDn5D7qt/items/KBPZN7WS"],"itemData":{"id":170,"type":"article-journal","title":"Integrative model of genomic factors for determining binding site selection by estrogen receptor-α","container-title":"Molecular Systems Biology","page":"456","volume":"6","source":"PubMed","abstract":"A major question in transcription factor (TF) biology is why a TF binds to only a small fraction of motif eligible binding sites in the genome. Using the estrogen receptor-α as a model system, we sought to explicitly define parameters that determine TF-binding site selection. By examining 12 genetic and epigenetic parameters, we find that an energetically favorable estrogen response element (ERE) motif sequence, co-occupancy by the TF FOXA1, the presence of the H3K4me1 mark and an open chromatin configuration in the pre-ligand state provide specificity for ER binding. These factors can model estrogen-induced ER binding with high accuracy (ROC-AUC=0.95 and 0.88 using different genomic backgrounds). Moreover, when assessed in another estrogen-responsive cell line, this model was highly predictive for ERα binding (ROC-AUC=0.86). Variance in binding site selection between MCF-7 and T47D resides in sites with suboptimal ERE motifs, but modulated by the chromatin configuration. These results suggest a definable interplay between sequence motifs and local chromatin in selecting TF binding.","DOI":"10.1038/msb.2010.109","ISSN":"1744-4292","note":"PMID: 21179027\nPMCID: PMC3018168","journalAbbreviation":"Mol. Syst. Biol.","language":"eng","author":[{"family":"Joseph","given":"Roy"},{"family":"Orlov","given":"Yuriy L."},{"family":"Huss","given":"Mikael"},{"family":"Sun","given":"Wenjie"},{"family":"Kong","given":"Say Li"},{"family":"Ukil","given":"Leena"},{"family":"Pan","given":"You Fu"},{"family":"Li","given":"Guoliang"},{"family":"Lim","given":"Michael"},{"family":"Thomsen","given":"Jane S."},{"family":"Ruan","given":"Yijun"},{"family":"Clarke","given":"Neil D."},{"family":"Prabhakar","given":"Shyam"},{"family":"Cheung","given":"Edwin"},{"family":"Liu","given":"Edison T."}],"issued":{"date-parts":[["2010",12,21]]},"PMID":"21179027","PMCID":"PMC3018168"}}],"schema":"https://github.com/citation-style-language/schema/raw/master/csl-citation.json"}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(13)</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H3K27ac</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GSM986077</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skk915nm7","properties":{"formattedCitation":"(12)","plainCitation":"(12)"},"citationItems":[{"id":176,"uris":["http://zotero.org/users/local/bDn5D7qt/items/CT5WB2WB"],"uri":["http://zotero.org/users/local/bDn5D7qt/items/CT5WB2WB"],"itemData":{"id":176,"type":"article-journal","title":"GATA3 acts upstream of FOXA1 in mediating ESR1 binding by shaping enhancer accessibility","container-title":"Genome Research","page":"12-22","volume":"23","issue":"1","source":"PubMed","abstract":"Estrogen receptor (ESR1) drives growth in the majority of human breast cancers by binding to regulatory elements and inducing transcription events that promote tumor growth. Differences in enhancer occupancy by ESR1 contribute to the diverse expression profiles and clinical outcome observed in breast cancer patients. GATA3 is an ESR1-cooperating transcription factor mutated in breast tumors; however, its genomic properties are not fully defined. In order to investigate the composition of enhancers involved in estrogen-induced transcription and the potential role of GATA3, we performed extensive ChIP-sequencing in unstimulated breast cancer cells and following estrogen treatment. We find that GATA3 is pivotal in mediating enhancer accessibility at regulatory regions involved in ESR1-mediated transcription. GATA3 silencing resulted in a global redistribution of cofactors and active histone marks prior to estrogen stimulation. These global genomic changes altered the ESR1-binding profile that subsequently occurred following estrogen, with events exhibiting both loss and gain in binding affinity, implying a GATA3-mediated redistribution of ESR1 binding. The GATA3-mediated redistributed ESR1 profile correlated with changes in gene expression, suggestive of its functionality. Chromatin loops at the TFF locus involving ESR1-bound enhancers occurred independently of ESR1 when GATA3 was silenced, indicating that GATA3, when present on the chromatin, may serve as a licensing factor for estrogen-ESR1-mediated interactions between cis-regulatory elements. Together, these experiments suggest that GATA3 directly impacts ESR1 enhancer accessibility, and may potentially explain the contribution of mutant-GATA3 in the heterogeneity of ESR1+ breast cancer.","DOI":"10.1101/gr.139469.112","ISSN":"1549-5469","note":"PMID: 23172872\nPMCID: PMC3530671","journalAbbreviation":"Genome Res.","language":"eng","author":[{"family":"Theodorou","given":"Vasiliki"},{"family":"Stark","given":"Rory"},{"family":"Menon","given":"Suraj"},{"family":"Carroll","given":"Jason S."}],"issued":{"date-parts":[["2013",1]]},"PMID":"23172872","PMCID":"PMC3530671"}}],"schema":"https://github.com/citation-style-language/schema/raw/master/csl-citation.json"}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(12)</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MCF7 BRD4</w:t>
            </w:r>
          </w:p>
        </w:tc>
        <w:tc>
          <w:tcPr>
            <w:tcW w:w="3081" w:type="dxa"/>
          </w:tcPr>
          <w:p w:rsidR="00D63820" w:rsidRPr="00083DE8" w:rsidRDefault="00D63820" w:rsidP="00271A3E">
            <w:pPr>
              <w:spacing w:after="200"/>
              <w:contextualSpacing/>
              <w:jc w:val="both"/>
              <w:rPr>
                <w:rFonts w:ascii="Arial" w:hAnsi="Arial" w:cs="Arial"/>
                <w:sz w:val="16"/>
                <w:szCs w:val="16"/>
              </w:rPr>
            </w:pPr>
            <w:r w:rsidRPr="00083DE8">
              <w:rPr>
                <w:rFonts w:ascii="Arial" w:hAnsi="Arial" w:cs="Arial"/>
                <w:sz w:val="16"/>
                <w:szCs w:val="16"/>
              </w:rPr>
              <w:t>GSE55921</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13bffcfmkq","properties":{"formattedCitation":"(1)","plainCitation":"(1)"},"citationItems":[{"id":"OSwCKj7K/aBo3EFqt","uris":["http://zotero.org/users/local/zvOAVRAY/items/IBQTBJTB"],"uri":["http://zotero.org/users/local/zvOAVRAY/items/IBQTBJTB"],"itemData":{"id":"OSwCKj7K/aBo3EFqt","type":"article-journal","title":"Bromodomain Protein BRD4 Is Required for Estrogen Receptor-Dependent Enhancer Activation and Gene Transcription","container-title":"Cell Reports","page":"460-469","volume":"8","issue":"2","source":"ScienceDirect","abstract":"Summary\nThe estrogen receptor α (ERα) controls cell proliferation and tumorigenesis by recruiting various cofactors to estrogen response elements (EREs) to control gene transcription. A deeper understanding of these transcriptional mechanisms may uncover therapeutic targets for ERα-dependent cancers. We show that BRD4 regulates ERα-induced gene expression by affecting elongation-associated phosphorylation of RNA polymerase II (RNAPII) and histone H2B monoubiquitination. Consistently, BRD4 activity is required for proliferation of ER+ breast and endometrial cancer cells and uterine growth in mice. Genome-wide studies revealed an enrichment of BRD4 on transcriptional start sites of active genes and a requirement of BRD4 for H2B monoubiquitination in the transcribed region of estrogen-responsive genes. Importantly, we demonstrate that BRD4 occupancy on distal EREs enriched for H3K27ac is required for recruitment and elongation of RNAPII on EREs and the production of ERα-dependent enhancer RNAs. These results uncover BRD4 as a central regulator of ERα function and potential therapeutic target.","DOI":"10.1016/j.celrep.2014.06.016","ISSN":"2211-1247","journalAbbreviation":"Cell Reports","author":[{"family":"Nagarajan","given":"Sankari"},{"family":"Hossan","given":"Tareq"},{"family":"Alawi","given":"Malik"},{"family":"Najafova","given":"Zeynab"},{"family":"Indenbirken","given":"Daniela"},{"family":"Bedi","given":"Upasana"},{"family":"Taipaleenmäki","given":"Hanna"},{"family":"Ben-Batalla","given":"Isabel"},{"family":"Scheller","given":"Marina"},{"family":"Loges","given":"Sonja"},{"family":"Knapp","given":"Stefan"},{"family":"Hesse","given":"Eric"},{"family":"Chiang","given":"Cheng-Ming"},{"family":"Grundhoff","given":"Adam"},{"family":"Johnsen","given":"Steven A."}],"issued":{"year":2014,"month":7,"day":24},"page-first":"460","container-title-short":"Cell Reports"}}],"schema":"https://github.com/citation-style-language/schema/raw/master/csl-citation.json"}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w:t>
            </w:r>
            <w:r w:rsidRPr="00083DE8">
              <w:rPr>
                <w:rFonts w:ascii="Arial" w:hAnsi="Arial" w:cs="Arial"/>
                <w:sz w:val="16"/>
                <w:szCs w:val="16"/>
              </w:rPr>
              <w:fldChar w:fldCharType="end"/>
            </w:r>
          </w:p>
        </w:tc>
      </w:tr>
      <w:tr w:rsidR="00083DE8" w:rsidRPr="00083DE8" w:rsidTr="00271A3E">
        <w:tc>
          <w:tcPr>
            <w:tcW w:w="2972" w:type="dxa"/>
          </w:tcPr>
          <w:p w:rsidR="00D63820" w:rsidRPr="00083DE8" w:rsidRDefault="00D63820" w:rsidP="00271A3E">
            <w:pPr>
              <w:contextualSpacing/>
              <w:jc w:val="both"/>
              <w:rPr>
                <w:rFonts w:ascii="Arial" w:hAnsi="Arial" w:cs="Arial"/>
                <w:sz w:val="16"/>
                <w:szCs w:val="16"/>
              </w:rPr>
            </w:pPr>
            <w:proofErr w:type="spellStart"/>
            <w:r w:rsidRPr="00083DE8">
              <w:rPr>
                <w:rFonts w:ascii="Arial" w:hAnsi="Arial" w:cs="Arial"/>
                <w:sz w:val="16"/>
                <w:szCs w:val="16"/>
              </w:rPr>
              <w:t>hESC</w:t>
            </w:r>
            <w:proofErr w:type="spellEnd"/>
            <w:r w:rsidRPr="00083DE8">
              <w:rPr>
                <w:rFonts w:ascii="Arial" w:hAnsi="Arial" w:cs="Arial"/>
                <w:sz w:val="16"/>
                <w:szCs w:val="16"/>
              </w:rPr>
              <w:t xml:space="preserve"> FOXO1</w:t>
            </w:r>
          </w:p>
        </w:tc>
        <w:tc>
          <w:tcPr>
            <w:tcW w:w="3081" w:type="dxa"/>
          </w:tcPr>
          <w:p w:rsidR="00D63820" w:rsidRPr="00083DE8" w:rsidRDefault="00D63820" w:rsidP="00271A3E">
            <w:pPr>
              <w:spacing w:after="200"/>
              <w:contextualSpacing/>
              <w:jc w:val="both"/>
              <w:rPr>
                <w:rFonts w:ascii="Arial" w:hAnsi="Arial" w:cs="Arial"/>
                <w:sz w:val="16"/>
                <w:szCs w:val="16"/>
              </w:rPr>
            </w:pPr>
            <w:r w:rsidRPr="00083DE8">
              <w:rPr>
                <w:rFonts w:ascii="Arial" w:hAnsi="Arial" w:cs="Arial"/>
                <w:sz w:val="16"/>
                <w:szCs w:val="16"/>
              </w:rPr>
              <w:t>GSM1703607</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2bp1qj0r2","properties":{"formattedCitation":"(14)","plainCitation":"(14)"},"citationItems":[{"id":74,"uris":["http://zotero.org/users/local/bDn5D7qt/items/2H8FURNV"],"uri":["http://zotero.org/users/local/bDn5D7qt/items/2H8FURNV"],"itemData":{"id":74,"type":"article-journal","title":"FOXO1 is required for binding of PR on IRF4, novel transcriptional regulator of endometrial stromal decidualization","container-title":"Molecular Endocrinology (Baltimore, Md.)","page":"421-433","volume":"29","issue":"3","source":"PubMed","abstract":"The forkhead box O1A (FOXO1) is an early-induced target of the protein kinase A pathway during the decidualization of human endometrial stromal cells (HESCs). In this study we identified the cistrome and transcriptome of FOXO1 and its role as a transcriptional regulator of the progesterone receptor (PR). Direct targets of FOXO1 were identified by integrating RNA sequencing with chromatin immunoprecipitation followed by deep sequencing. Gene ontology analysis demonstrated that FOXO1 regulates a subset of genes in decidualization such as those involved in cancer, p53 signaling, focal adhesions, and Wnt signaling. An overlap of the FOXO1 and PR chromatin immunoprecipitation followed by deep sequencing intervals revealed the co-occupancy of FOXO1 in more than 75% of PR binding intervals. Among these intervals were highly enriched motifs for the interferon regulatory factor member 4 (IRF4). IRF4 was determined to be a genomic target of both FOXO1 and PR and also to be differentially regulated in HESCs treated with small interfering RNA targeting FOXO1 or PR prior to decidualization stimulus. Ablation of FOXO1 was found to abolish binding of PR to the shared binding interval downstream of the IRF4 gene. Finally, small interfering RNA-mediated ablation of IRF4 was shown to compromise morphological transformation of decidualized HESCs and to attenuate the expression of the decidual markers IGFBP1, PRL, and WNT4. These results provide the first evidence that FOXO1 is functionally required for the binding of PR to genomic targets. Most notably, FOXO1 and PR are required for the regulation of IRF4, a novel transcriptional regulator of decidualization in HESCs.","DOI":"10.1210/me.2014-1292","ISSN":"1944-9917","note":"PMID: 25584414\nPMCID: PMC4347287","journalAbbreviation":"Mol. Endocrinol.","language":"eng","author":[{"family":"Vasquez","given":"Yasmin M."},{"family":"Mazur","given":"Erik C."},{"family":"Li","given":"Xilong"},{"family":"Kommagani","given":"Ramakrishna"},{"family":"Jiang","given":"Lichun"},{"family":"Chen","given":"Rui"},{"family":"Lanz","given":"Rainer B."},{"family":"Kovanci","given":"Ertug"},{"family":"Gibbons","given":"William E."},{"family":"DeMayo","given":"Francesco J."}],"issued":{"date-parts":[["2015",3]]},"PMID":"25584414","PMCID":"PMC4347287"},"locator":"1"}],"schema":"https://github.com/citation-style-language/schema/raw/master/csl-citation.json"}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(14)</w:t>
            </w:r>
            <w:r w:rsidRPr="00083DE8">
              <w:rPr>
                <w:rFonts w:ascii="Arial" w:hAnsi="Arial" w:cs="Arial"/>
                <w:sz w:val="16"/>
                <w:szCs w:val="16"/>
              </w:rPr>
              <w:fldChar w:fldCharType="end"/>
            </w:r>
          </w:p>
        </w:tc>
      </w:tr>
      <w:tr w:rsidR="00D63820" w:rsidRPr="00083DE8" w:rsidTr="00271A3E">
        <w:tc>
          <w:tcPr>
            <w:tcW w:w="2972"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SUM159 BRD4</w:t>
            </w:r>
          </w:p>
        </w:tc>
        <w:tc>
          <w:tcPr>
            <w:tcW w:w="3081" w:type="dxa"/>
          </w:tcPr>
          <w:p w:rsidR="00D63820" w:rsidRPr="00083DE8" w:rsidRDefault="00D63820" w:rsidP="00271A3E">
            <w:pPr>
              <w:contextualSpacing/>
              <w:jc w:val="both"/>
              <w:rPr>
                <w:rFonts w:ascii="Arial" w:hAnsi="Arial" w:cs="Arial"/>
                <w:sz w:val="16"/>
                <w:szCs w:val="16"/>
              </w:rPr>
            </w:pPr>
            <w:r w:rsidRPr="00083DE8">
              <w:rPr>
                <w:rFonts w:ascii="Arial" w:hAnsi="Arial" w:cs="Arial"/>
                <w:sz w:val="16"/>
                <w:szCs w:val="16"/>
              </w:rPr>
              <w:t>GSE63581</w:t>
            </w:r>
          </w:p>
        </w:tc>
        <w:tc>
          <w:tcPr>
            <w:tcW w:w="3303" w:type="dxa"/>
          </w:tcPr>
          <w:p w:rsidR="00D63820" w:rsidRPr="00083DE8" w:rsidRDefault="005D11BD" w:rsidP="00271A3E">
            <w:pPr>
              <w:contextualSpacing/>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2pomdr963k","properties":{"formattedCitation":"(15)","plainCitation":"(15)"},"citationItems":[{"id":59,"uris":["http://zotero.org/users/local/bDn5D7qt/items/SJDKM2EW"],"uri":["http://zotero.org/users/local/bDn5D7qt/items/SJDKM2EW"],"itemData":{"id":59,"type":"article-journal","title":"Response and resistance to BET bromodomain inhibitors in triple-negative breast cancer","container-title":"Nature","page":"413-417","volume":"529","issue":"7586","source":"www.nature.com.ezlib.ncifcrf.gov","abstract":"Triple-negative breast cancer (TNBC) is a heterogeneous and clinically aggressive disease for which there is no targeted therapy. BET bromodomain inhibitors, which have shown efficacy in several models of cancer, have not been evaluated in TNBC. These inhibitors displace BET bromodomain proteins such as BRD4 from chromatin by competing with their acetyl-lysine recognition modules, leading to inhibition of oncogenic transcriptional programs. Here we report the preferential sensitivity of TNBCs to BET bromodomain inhibition in vitro and in vivo, establishing a rationale for clinical investigation and further motivation to understand mechanisms of resistance. In paired cell lines selected for acquired resistance to BET inhibition from previously sensitive TNBCs, we failed to identify gatekeeper mutations, new driver events or drug pump activation. BET-resistant TNBC cells remain dependent on wild-type BRD4, which supports transcription and cell proliferation in a bromodomain-independent manner. Proteomic studies of resistant TNBC identify strong association with MED1 and hyper-phosphorylation of BRD4 attributable to decreased activity of PP2A, identified here as a principal BRD4 serine phosphatase. Together, these studies provide a rationale for BET inhibition in TNBC and present mechanism-based combination strategies to anticipate clinical drug resistance.","DOI":"10.1038/nature16508","ISSN":"0028-0836","language":"en","author":[{"family":"Shu","given":"Shaokun"},{"family":"Lin","given":"Charles Y."},{"family":"He","given":"Housheng Hansen"},{"family":"Witwicki","given":"Robert M."},{"family":"Tabassum","given":"Doris P."},{"family":"Roberts","given":"Justin M."},{"family":"Janiszewska","given":"Michalina"},{"family":"Huh","given":"Sung Jin"},{"family":"Liang","given":"Yi"},{"family":"Ryan","given":"Jeremy"},{"family":"Doherty","given":"Ernest"},{"family":"Mohammed","given":"Hisham"},{"family":"Guo","given":"Hao"},{"family":"Stover","given":"Daniel G."},{"family":"Ekram","given":"Muhammad B."},{"family":"Peluffo","given":"Guillermo"},{"family":"Brown","given":"Jonathan"},{"family":"D’Santos","given":"Clive"},{"family":"Krop","given":"Ian E."},{"family":"Dillon","given":"Deborah"},{"family":"McKeown","given":"Michael"},{"family":"Ott","given":"Christopher"},{"family":"Qi","given":"Jun"},{"family":"Ni","given":"Min"},{"family":"Rao","given":"Prakash K."},{"family":"Duarte","given":"Melissa"},{"family":"Wu","given":"Shwu-Yuan"},{"family":"Chiang","given":"Cheng-Ming"},{"family":"Anders","given":"Lars"},{"family":"Young","given":"Richard A."},{"family":"Winer","given":"Eric P."},{"family":"Letai","given":"Antony"},{"family":"Barry","given":"William T."},{"family":"Carroll","given":"Jason S."},{"family":"Long","given":"Henry W."},{"family":"Brown","given":"Myles"},{"family":"Liu","given":"X. Shirley"},{"family":"Meyer","given":"Clifford A."},{"family":"Bradner","given":"James E."},{"family":"Polyak","given":"Kornelia"}],"issued":{"date-parts":[["2016",1,21]]}}}],"schema":"https://github.com/citation-style-language/schema/raw/master/csl-citation.json"}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(15)</w:t>
            </w:r>
            <w:r w:rsidRPr="00083DE8">
              <w:rPr>
                <w:rFonts w:ascii="Arial" w:hAnsi="Arial" w:cs="Arial"/>
                <w:sz w:val="16"/>
                <w:szCs w:val="16"/>
              </w:rPr>
              <w:fldChar w:fldCharType="end"/>
            </w:r>
          </w:p>
        </w:tc>
      </w:tr>
    </w:tbl>
    <w:p w:rsidR="007F520C" w:rsidRPr="00083DE8" w:rsidRDefault="007F520C" w:rsidP="00C131A9">
      <w:pPr>
        <w:spacing w:line="360" w:lineRule="auto"/>
        <w:jc w:val="both"/>
        <w:rPr>
          <w:rFonts w:ascii="Arial" w:hAnsi="Arial" w:cs="Arial"/>
          <w:sz w:val="24"/>
          <w:szCs w:val="24"/>
        </w:rPr>
      </w:pPr>
    </w:p>
    <w:p w:rsidR="00C131A9" w:rsidRPr="00083DE8" w:rsidRDefault="00C131A9" w:rsidP="00C131A9">
      <w:pPr>
        <w:spacing w:line="360" w:lineRule="auto"/>
        <w:jc w:val="both"/>
        <w:rPr>
          <w:rFonts w:ascii="Arial" w:hAnsi="Arial" w:cs="Arial"/>
          <w:sz w:val="20"/>
          <w:szCs w:val="20"/>
        </w:rPr>
      </w:pPr>
      <w:r w:rsidRPr="00083DE8">
        <w:rPr>
          <w:rFonts w:ascii="Arial" w:hAnsi="Arial" w:cs="Arial"/>
          <w:sz w:val="20"/>
          <w:szCs w:val="20"/>
        </w:rPr>
        <w:t>Published microarray and RNA-seq datasets</w:t>
      </w:r>
    </w:p>
    <w:tbl>
      <w:tblPr>
        <w:tblStyle w:val="TableGrid"/>
        <w:tblW w:w="9356" w:type="dxa"/>
        <w:tblInd w:w="108" w:type="dxa"/>
        <w:tblLook w:val="04A0" w:firstRow="1" w:lastRow="0" w:firstColumn="1" w:lastColumn="0" w:noHBand="0" w:noVBand="1"/>
      </w:tblPr>
      <w:tblGrid>
        <w:gridCol w:w="4820"/>
        <w:gridCol w:w="2835"/>
        <w:gridCol w:w="1701"/>
      </w:tblGrid>
      <w:tr w:rsidR="00083DE8" w:rsidRPr="00083DE8" w:rsidTr="00271A3E">
        <w:tc>
          <w:tcPr>
            <w:tcW w:w="4820" w:type="dxa"/>
          </w:tcPr>
          <w:p w:rsidR="00C131A9" w:rsidRPr="00083DE8" w:rsidRDefault="00C131A9" w:rsidP="00271A3E">
            <w:pPr>
              <w:jc w:val="both"/>
              <w:rPr>
                <w:rFonts w:ascii="Arial" w:hAnsi="Arial" w:cs="Arial"/>
                <w:b/>
                <w:sz w:val="16"/>
                <w:szCs w:val="16"/>
              </w:rPr>
            </w:pPr>
            <w:r w:rsidRPr="00083DE8">
              <w:rPr>
                <w:rFonts w:ascii="Arial" w:hAnsi="Arial" w:cs="Arial"/>
                <w:b/>
                <w:sz w:val="16"/>
                <w:szCs w:val="16"/>
              </w:rPr>
              <w:t>Dataset</w:t>
            </w:r>
          </w:p>
        </w:tc>
        <w:tc>
          <w:tcPr>
            <w:tcW w:w="2835" w:type="dxa"/>
          </w:tcPr>
          <w:p w:rsidR="00C131A9" w:rsidRPr="00083DE8" w:rsidRDefault="00C131A9" w:rsidP="00271A3E">
            <w:pPr>
              <w:jc w:val="both"/>
              <w:rPr>
                <w:rFonts w:ascii="Arial" w:hAnsi="Arial" w:cs="Arial"/>
                <w:b/>
                <w:sz w:val="16"/>
                <w:szCs w:val="16"/>
              </w:rPr>
            </w:pPr>
            <w:r w:rsidRPr="00083DE8">
              <w:rPr>
                <w:rFonts w:ascii="Arial" w:hAnsi="Arial" w:cs="Arial"/>
                <w:b/>
                <w:sz w:val="16"/>
                <w:szCs w:val="16"/>
              </w:rPr>
              <w:t>Accession Numbers</w:t>
            </w:r>
          </w:p>
        </w:tc>
        <w:tc>
          <w:tcPr>
            <w:tcW w:w="1701" w:type="dxa"/>
          </w:tcPr>
          <w:p w:rsidR="00C131A9" w:rsidRPr="00083DE8" w:rsidRDefault="00C131A9" w:rsidP="00271A3E">
            <w:pPr>
              <w:jc w:val="both"/>
              <w:rPr>
                <w:rFonts w:ascii="Arial" w:hAnsi="Arial" w:cs="Arial"/>
                <w:b/>
                <w:sz w:val="16"/>
                <w:szCs w:val="16"/>
              </w:rPr>
            </w:pPr>
            <w:r w:rsidRPr="00083DE8">
              <w:rPr>
                <w:rFonts w:ascii="Arial" w:hAnsi="Arial" w:cs="Arial"/>
                <w:b/>
                <w:sz w:val="16"/>
                <w:szCs w:val="16"/>
              </w:rPr>
              <w:t>Source</w:t>
            </w:r>
          </w:p>
        </w:tc>
      </w:tr>
      <w:tr w:rsidR="00083DE8" w:rsidRPr="00083DE8" w:rsidTr="00271A3E">
        <w:tc>
          <w:tcPr>
            <w:tcW w:w="4820" w:type="dxa"/>
          </w:tcPr>
          <w:p w:rsidR="00C131A9" w:rsidRPr="00083DE8" w:rsidRDefault="00C131A9" w:rsidP="00271A3E">
            <w:pPr>
              <w:jc w:val="both"/>
              <w:rPr>
                <w:rFonts w:ascii="Arial" w:hAnsi="Arial" w:cs="Arial"/>
                <w:sz w:val="16"/>
                <w:szCs w:val="16"/>
              </w:rPr>
            </w:pPr>
            <w:r w:rsidRPr="00083DE8">
              <w:rPr>
                <w:rFonts w:ascii="Arial" w:hAnsi="Arial" w:cs="Arial"/>
                <w:sz w:val="16"/>
                <w:szCs w:val="16"/>
              </w:rPr>
              <w:t>P63 overexpression or knockdown regulated genes in MCF10A</w:t>
            </w:r>
          </w:p>
        </w:tc>
        <w:tc>
          <w:tcPr>
            <w:tcW w:w="2835" w:type="dxa"/>
          </w:tcPr>
          <w:p w:rsidR="00C131A9" w:rsidRPr="00083DE8" w:rsidRDefault="00C131A9" w:rsidP="00271A3E">
            <w:pPr>
              <w:jc w:val="both"/>
              <w:rPr>
                <w:rFonts w:ascii="Arial" w:hAnsi="Arial" w:cs="Arial"/>
                <w:sz w:val="16"/>
                <w:szCs w:val="16"/>
              </w:rPr>
            </w:pPr>
            <w:r w:rsidRPr="00083DE8">
              <w:rPr>
                <w:rFonts w:ascii="Arial" w:hAnsi="Arial" w:cs="Arial"/>
                <w:sz w:val="16"/>
                <w:szCs w:val="16"/>
              </w:rPr>
              <w:t>GSE20286</w:t>
            </w:r>
          </w:p>
        </w:tc>
        <w:tc>
          <w:tcPr>
            <w:tcW w:w="1701" w:type="dxa"/>
          </w:tcPr>
          <w:p w:rsidR="00C131A9" w:rsidRPr="00083DE8" w:rsidRDefault="005D11BD" w:rsidP="00271A3E">
            <w:pPr>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1mgdcaen3b","properties":{"formattedCitation":"(16)","plainCitation":"(16)"},"citationItems":[{"id":48,"uris":["http://zotero.org/users/local/bDn5D7qt/items/UKQ5D5IZ"],"uri":["http://zotero.org/users/local/bDn5D7qt/items/UKQ5D5IZ"],"itemData":{"id":48,"type":"article-journal","title":"p63 regulates an adhesion programme and cell survival in epithelial cells","container-title":"Nature Cell Biology","page":"551-561","volume":"8","issue":"6","source":"www.nature.com.ezlib.ncifcrf.gov","abstract":"p63 is critical for epithelial development yet little is known about the transcriptional programmes it regulates. By characterising transcriptional changes and cellular effects following modulation of p63 expression, we have defined a vital role for p63 in cellular adhesion. Knockdown of p63 expression caused downregulation of cell adhesion-associated genes, cell detachment and anoikis in mammary epithelial cells and keratinocytes. Conversely, overexpression of the TAp63 or Np63 isoforms of p63 upregulated cell adhesion molecules, increased cellular adhesion and conferred resistance to anoikis. Apoptosis induced by loss of p63 was rescued by signalling downstream of 4 integrin. Our results implicate p63 as a key regulator of cellular adhesion and survival in basal cells of the mammary gland and other stratified epithelial tissues.","DOI":"10.1038/ncb1420","ISSN":"1465-7392","journalAbbreviation":"Nat Cell Biol","language":"en","author":[{"family":"Carroll","given":"Danielle K."},{"family":"Carroll","given":"Jason S."},{"family":"Leong","given":"Chee-Onn"},{"family":"Cheng","given":"Fang"},{"family":"Brown","given":"Myles"},{"family":"Mills","given":"Alea A."},{"family":"Brugge","given":"Joan S."},{"family":"Ellisen","given":"Leif W."}],"issued":{"date-parts":[["2006",6]]}}}],"schema":"https://github.com/citation-style-language/schema/raw/master/csl-citation.json"}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(16)</w:t>
            </w:r>
            <w:r w:rsidRPr="00083DE8">
              <w:rPr>
                <w:rFonts w:ascii="Arial" w:hAnsi="Arial" w:cs="Arial"/>
                <w:sz w:val="16"/>
                <w:szCs w:val="16"/>
              </w:rPr>
              <w:fldChar w:fldCharType="end"/>
            </w:r>
          </w:p>
        </w:tc>
      </w:tr>
      <w:tr w:rsidR="00083DE8" w:rsidRPr="00083DE8" w:rsidTr="00271A3E">
        <w:tc>
          <w:tcPr>
            <w:tcW w:w="4820" w:type="dxa"/>
          </w:tcPr>
          <w:p w:rsidR="00F90C4E" w:rsidRPr="00083DE8" w:rsidRDefault="00F90C4E" w:rsidP="00271A3E">
            <w:pPr>
              <w:jc w:val="both"/>
              <w:rPr>
                <w:rFonts w:ascii="Arial" w:hAnsi="Arial" w:cs="Arial"/>
                <w:sz w:val="16"/>
                <w:szCs w:val="16"/>
              </w:rPr>
            </w:pPr>
            <w:r w:rsidRPr="00083DE8">
              <w:rPr>
                <w:rFonts w:ascii="Arial" w:hAnsi="Arial" w:cs="Arial"/>
                <w:sz w:val="16"/>
                <w:szCs w:val="16"/>
              </w:rPr>
              <w:t>JQ1 regulated genes in triple-negative breast cancers</w:t>
            </w:r>
          </w:p>
        </w:tc>
        <w:tc>
          <w:tcPr>
            <w:tcW w:w="2835" w:type="dxa"/>
          </w:tcPr>
          <w:p w:rsidR="00F90C4E" w:rsidRPr="00083DE8" w:rsidRDefault="00F90C4E" w:rsidP="00271A3E">
            <w:pPr>
              <w:jc w:val="both"/>
              <w:rPr>
                <w:rFonts w:ascii="Arial" w:hAnsi="Arial" w:cs="Arial"/>
                <w:sz w:val="16"/>
                <w:szCs w:val="16"/>
              </w:rPr>
            </w:pPr>
            <w:r w:rsidRPr="00083DE8">
              <w:rPr>
                <w:rFonts w:ascii="Arial" w:hAnsi="Arial" w:cs="Arial"/>
                <w:sz w:val="16"/>
                <w:szCs w:val="16"/>
              </w:rPr>
              <w:t>GSE63582</w:t>
            </w:r>
          </w:p>
        </w:tc>
        <w:tc>
          <w:tcPr>
            <w:tcW w:w="1701" w:type="dxa"/>
          </w:tcPr>
          <w:p w:rsidR="00F90C4E" w:rsidRPr="00083DE8" w:rsidRDefault="005D11BD" w:rsidP="00271A3E">
            <w:pPr>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bqn4jrhmi","properties":{"formattedCitation":"(15)","plainCitation":"(15)"},"citationItems":[{"id":59,"uris":["http://zotero.org/users/local/bDn5D7qt/items/SJDKM2EW"],"uri":["http://zotero.org/users/local/bDn5D7qt/items/SJDKM2EW"],"itemData":{"id":59,"type":"article-journal","title":"Response and resistance to BET bromodomain inhibitors in triple-negative breast cancer","container-title":"Nature","page":"413-417","volume":"529","issue":"7586","source":"www.nature.com.ezlib.ncifcrf.gov","abstract":"Triple-negative breast cancer (TNBC) is a heterogeneous and clinically aggressive disease for which there is no targeted therapy. BET bromodomain inhibitors, which have shown efficacy in several models of cancer, have not been evaluated in TNBC. These inhibitors displace BET bromodomain proteins such as BRD4 from chromatin by competing with their acetyl-lysine recognition modules, leading to inhibition of oncogenic transcriptional programs. Here we report the preferential sensitivity of TNBCs to BET bromodomain inhibition in vitro and in vivo, establishing a rationale for clinical investigation and further motivation to understand mechanisms of resistance. In paired cell lines selected for acquired resistance to BET inhibition from previously sensitive TNBCs, we failed to identify gatekeeper mutations, new driver events or drug pump activation. BET-resistant TNBC cells remain dependent on wild-type BRD4, which supports transcription and cell proliferation in a bromodomain-independent manner. Proteomic studies of resistant TNBC identify strong association with MED1 and hyper-phosphorylation of BRD4 attributable to decreased activity of PP2A, identified here as a principal BRD4 serine phosphatase. Together, these studies provide a rationale for BET inhibition in TNBC and present mechanism-based combination strategies to anticipate clinical drug resistance.","DOI":"10.1038/nature16508","ISSN":"0028-0836","language":"en","author":[{"family":"Shu","given":"Shaokun"},{"family":"Lin","given":"Charles Y."},{"family":"He","given":"Housheng Hansen"},{"family":"Witwicki","given":"Robert M."},{"family":"Tabassum","given":"Doris P."},{"family":"Roberts","given":"Justin M."},{"family":"Janiszewska","given":"Michalina"},{"family":"Huh","given":"Sung Jin"},{"family":"Liang","given":"Yi"},{"family":"Ryan","given":"Jeremy"},{"family":"Doherty","given":"Ernest"},{"family":"Mohammed","given":"Hisham"},{"family":"Guo","given":"Hao"},{"family":"Stover","given":"Daniel G."},{"family":"Ekram","given":"Muhammad B."},{"family":"Peluffo","given":"Guillermo"},{"family":"Brown","given":"Jonathan"},{"family":"D’Santos","given":"Clive"},{"family":"Krop","given":"Ian E."},{"family":"Dillon","given":"Deborah"},{"family":"McKeown","given":"Michael"},{"family":"Ott","given":"Christopher"},{"family":"Qi","given":"Jun"},{"family":"Ni","given":"Min"},{"family":"Rao","given":"Prakash K."},{"family":"Duarte","given":"Melissa"},{"family":"Wu","given":"Shwu-Yuan"},{"family":"Chiang","given":"Cheng-Ming"},{"family":"Anders","given":"Lars"},{"family":"Young","given":"Richard A."},{"family":"Winer","given":"Eric P."},{"family":"Letai","given":"Antony"},{"family":"Barry","given":"William T."},{"family":"Carroll","given":"Jason S."},{"family":"Long","given":"Henry W."},{"family":"Brown","given":"Myles"},{"family":"Liu","given":"X. Shirley"},{"family":"Meyer","given":"Clifford A."},{"family":"Bradner","given":"James E."},{"family":"Polyak","given":"Kornelia"}],"issued":{"date-parts":[["2016",1,21]]}}}],"schema":"https://github.com/citation-style-language/schema/raw/master/csl-citation.json"}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(15)</w:t>
            </w:r>
            <w:r w:rsidRPr="00083DE8">
              <w:rPr>
                <w:rFonts w:ascii="Arial" w:hAnsi="Arial" w:cs="Arial"/>
                <w:sz w:val="16"/>
                <w:szCs w:val="16"/>
              </w:rPr>
              <w:fldChar w:fldCharType="end"/>
            </w:r>
          </w:p>
        </w:tc>
      </w:tr>
      <w:tr w:rsidR="00C131A9" w:rsidRPr="00083DE8" w:rsidTr="00271A3E">
        <w:tc>
          <w:tcPr>
            <w:tcW w:w="4820" w:type="dxa"/>
          </w:tcPr>
          <w:p w:rsidR="00C131A9" w:rsidRPr="00083DE8" w:rsidRDefault="00C131A9" w:rsidP="00271A3E">
            <w:pPr>
              <w:jc w:val="both"/>
              <w:rPr>
                <w:rFonts w:ascii="Arial" w:hAnsi="Arial" w:cs="Arial"/>
                <w:sz w:val="16"/>
                <w:szCs w:val="16"/>
              </w:rPr>
            </w:pPr>
            <w:r w:rsidRPr="00083DE8">
              <w:rPr>
                <w:rFonts w:ascii="Arial" w:hAnsi="Arial" w:cs="Arial"/>
                <w:sz w:val="16"/>
                <w:szCs w:val="16"/>
              </w:rPr>
              <w:t>Tamoxifen-downregulated genes in MCF10A-ER-SRC</w:t>
            </w:r>
          </w:p>
        </w:tc>
        <w:tc>
          <w:tcPr>
            <w:tcW w:w="2835" w:type="dxa"/>
          </w:tcPr>
          <w:p w:rsidR="00C131A9" w:rsidRPr="00083DE8" w:rsidRDefault="00BC4D51" w:rsidP="00271A3E">
            <w:pPr>
              <w:jc w:val="both"/>
              <w:rPr>
                <w:rFonts w:ascii="Arial" w:hAnsi="Arial" w:cs="Arial"/>
                <w:sz w:val="16"/>
                <w:szCs w:val="16"/>
              </w:rPr>
            </w:pPr>
            <w:r w:rsidRPr="00083DE8">
              <w:rPr>
                <w:rFonts w:ascii="Arial" w:hAnsi="Arial" w:cs="Arial"/>
                <w:sz w:val="16"/>
                <w:szCs w:val="16"/>
              </w:rPr>
              <w:t>GSE17941</w:t>
            </w:r>
          </w:p>
        </w:tc>
        <w:tc>
          <w:tcPr>
            <w:tcW w:w="1701" w:type="dxa"/>
          </w:tcPr>
          <w:p w:rsidR="00C131A9" w:rsidRPr="00083DE8" w:rsidRDefault="005D11BD" w:rsidP="00271A3E">
            <w:pPr>
              <w:jc w:val="both"/>
              <w:rPr>
                <w:rFonts w:ascii="Arial" w:hAnsi="Arial" w:cs="Arial"/>
                <w:sz w:val="16"/>
                <w:szCs w:val="16"/>
              </w:rPr>
            </w:pPr>
            <w:r w:rsidRPr="00083DE8">
              <w:rPr>
                <w:rFonts w:ascii="Arial" w:hAnsi="Arial" w:cs="Arial"/>
                <w:sz w:val="16"/>
                <w:szCs w:val="16"/>
              </w:rPr>
              <w:fldChar w:fldCharType="begin"/>
            </w:r>
            <w:r w:rsidR="00F44C4C" w:rsidRPr="00083DE8">
              <w:rPr>
                <w:rFonts w:ascii="Arial" w:hAnsi="Arial" w:cs="Arial"/>
                <w:sz w:val="16"/>
                <w:szCs w:val="16"/>
              </w:rPr>
              <w:instrText xml:space="preserve"> ADDIN ZOTERO_ITEM CSL_CITATION {"citationID":"22vpc55mkq","properties":{"formattedCitation":"(17)","plainCitation":"(17)"},"citationItems":[{"id":185,"uris":["http://zotero.org/users/local/bDn5D7qt/items/5ZDDXE98"],"uri":["http://zotero.org/users/local/bDn5D7qt/items/5ZDDXE98"],"itemData":{"id":185,"type":"article-journal","title":"A transcriptional signature and common gene networks link cancer with lipid metabolism and diverse human diseases","container-title":"Cancer Cell","page":"348-361","volume":"17","issue":"4","source":"PubMed","abstract":"Transcriptional profiling of two isogenic models of transformation identifies a gene signature linking cancer with inflammatory and metabolic diseases. In accord with this common transcriptional program, many drugs used for treatment of diabetes and cardiovascular diseases inhibit transformation and tumor growth. Unexpectedly, lipid metabolism genes are important for transformation and are upregulated in cancer tissues. As in atherosclerosis, oxidized LDL and its receptor OLR1 activate the inflammatory pathway through NF-kappaB, leading to transformation. OLR1 is important for maintaining the transformed state in developmentally diverse cancer cell lines and for tumor growth, suggesting a molecular connection between cancer and atherosclerosis. We suggest that the interplay between this common transcriptional program and cell-type-specific factors gives rise to phenotypically disparate human diseases.","DOI":"10.1016/j.ccr.2010.01.022","ISSN":"1878-3686","note":"PMID: 20385360\nPMCID: PMC2854678","journalAbbreviation":"Cancer Cell","language":"eng","author":[{"family":"Hirsch","given":"Heather A."},{"family":"Iliopoulos","given":"Dimitrios"},{"family":"Joshi","given":"Amita"},{"family":"Zhang","given":"Yong"},{"family":"Jaeger","given":"Savina A."},{"family":"Bulyk","given":"Martha"},{"family":"Tsichlis","given":"Philip N."},{"family":"Shirley Liu","given":"X."},{"family":"Struhl","given":"Kevin"}],"issued":{"date-parts":[["2010",4,13]]},"PMID":"20385360","PMCID":"PMC2854678"}}],"schema":"https://github.com/citation-style-language/schema/raw/master/csl-citation.json"} </w:instrText>
            </w:r>
            <w:r w:rsidRPr="00083DE8">
              <w:rPr>
                <w:rFonts w:ascii="Arial" w:hAnsi="Arial" w:cs="Arial"/>
                <w:sz w:val="16"/>
                <w:szCs w:val="16"/>
              </w:rPr>
              <w:fldChar w:fldCharType="separate"/>
            </w:r>
            <w:r w:rsidR="00F44C4C" w:rsidRPr="00083DE8">
              <w:rPr>
                <w:rFonts w:ascii="Arial" w:hAnsi="Arial" w:cs="Arial"/>
                <w:sz w:val="16"/>
              </w:rPr>
              <w:t>(17)</w:t>
            </w:r>
            <w:r w:rsidRPr="00083DE8">
              <w:rPr>
                <w:rFonts w:ascii="Arial" w:hAnsi="Arial" w:cs="Arial"/>
                <w:sz w:val="16"/>
                <w:szCs w:val="16"/>
              </w:rPr>
              <w:fldChar w:fldCharType="end"/>
            </w:r>
          </w:p>
        </w:tc>
      </w:tr>
    </w:tbl>
    <w:p w:rsidR="005F3A4D" w:rsidRPr="00083DE8" w:rsidRDefault="005F3A4D" w:rsidP="00271A3E">
      <w:pPr>
        <w:spacing w:line="360" w:lineRule="auto"/>
        <w:jc w:val="both"/>
        <w:rPr>
          <w:rFonts w:ascii="Arial" w:hAnsi="Arial" w:cs="Arial"/>
          <w:b/>
          <w:sz w:val="24"/>
          <w:szCs w:val="24"/>
        </w:rPr>
      </w:pPr>
    </w:p>
    <w:p w:rsidR="00D1245A" w:rsidRPr="00083DE8" w:rsidRDefault="00D1245A">
      <w:pPr>
        <w:rPr>
          <w:rFonts w:ascii="Arial" w:hAnsi="Arial" w:cs="Arial"/>
          <w:b/>
          <w:sz w:val="24"/>
          <w:szCs w:val="24"/>
        </w:rPr>
      </w:pPr>
      <w:r w:rsidRPr="00083DE8">
        <w:rPr>
          <w:rFonts w:ascii="Arial" w:hAnsi="Arial" w:cs="Arial"/>
          <w:b/>
          <w:sz w:val="24"/>
          <w:szCs w:val="24"/>
        </w:rPr>
        <w:br w:type="page"/>
      </w:r>
    </w:p>
    <w:p w:rsidR="00501F87" w:rsidRPr="00083DE8" w:rsidRDefault="005D11BD" w:rsidP="00F44C4C">
      <w:pPr>
        <w:spacing w:line="240" w:lineRule="auto"/>
        <w:jc w:val="both"/>
        <w:rPr>
          <w:rFonts w:ascii="Arial" w:hAnsi="Arial" w:cs="Arial"/>
          <w:b/>
          <w:sz w:val="20"/>
          <w:szCs w:val="20"/>
        </w:rPr>
      </w:pPr>
      <w:r w:rsidRPr="00083DE8">
        <w:rPr>
          <w:rFonts w:ascii="Arial" w:hAnsi="Arial" w:cs="Arial"/>
          <w:b/>
          <w:sz w:val="20"/>
          <w:szCs w:val="20"/>
        </w:rPr>
        <w:lastRenderedPageBreak/>
        <w:t>SUPPORTING EXPERIMENTAL PROCEDURES</w:t>
      </w:r>
    </w:p>
    <w:p w:rsidR="00F65330" w:rsidRPr="00083DE8" w:rsidRDefault="00F65330" w:rsidP="00F44C4C">
      <w:pPr>
        <w:spacing w:line="240" w:lineRule="auto"/>
        <w:jc w:val="both"/>
        <w:rPr>
          <w:rFonts w:ascii="Arial" w:hAnsi="Arial" w:cs="Arial"/>
          <w:b/>
          <w:sz w:val="20"/>
          <w:szCs w:val="20"/>
        </w:rPr>
      </w:pPr>
      <w:r w:rsidRPr="00083DE8">
        <w:rPr>
          <w:rFonts w:ascii="Arial" w:hAnsi="Arial" w:cs="Arial"/>
          <w:b/>
          <w:sz w:val="20"/>
          <w:szCs w:val="20"/>
        </w:rPr>
        <w:t>Isolation of primary mammary epithelial cells from mice</w:t>
      </w:r>
    </w:p>
    <w:p w:rsidR="00F65330" w:rsidRPr="00083DE8" w:rsidRDefault="00F65330" w:rsidP="00F44C4C">
      <w:pPr>
        <w:spacing w:line="240" w:lineRule="auto"/>
        <w:jc w:val="both"/>
        <w:rPr>
          <w:rFonts w:ascii="Arial" w:hAnsi="Arial" w:cs="Arial"/>
          <w:sz w:val="20"/>
          <w:szCs w:val="20"/>
        </w:rPr>
      </w:pPr>
      <w:r w:rsidRPr="00083DE8">
        <w:rPr>
          <w:rFonts w:ascii="Arial" w:hAnsi="Arial" w:cs="Arial"/>
          <w:sz w:val="20"/>
          <w:szCs w:val="20"/>
        </w:rPr>
        <w:t>6 FVB-wild type female mice were sacrificed and their mammary glands were dissected. The fat pads were minced with a surgical blade in L15/10% FCS medium and then transferred to collagenase/trypsin digestion mix containing 3 mg/ml Collagenase A and 1.5 mg/ml Trypsin in serum-free L15 medium. The minced fat pads were incubated for 1 h at 37°C and the cell suspension was centrifuged twice at 250g for 5 min. The pellets were pooled, washed once with L15/10% FCS medium, re-suspended in red blood cell lysis buffer (1.5 M NH</w:t>
      </w:r>
      <w:r w:rsidRPr="00083DE8">
        <w:rPr>
          <w:rFonts w:ascii="Arial" w:hAnsi="Arial" w:cs="Arial"/>
          <w:sz w:val="20"/>
          <w:szCs w:val="20"/>
          <w:vertAlign w:val="subscript"/>
        </w:rPr>
        <w:t>4</w:t>
      </w:r>
      <w:r w:rsidRPr="00083DE8">
        <w:rPr>
          <w:rFonts w:ascii="Arial" w:hAnsi="Arial" w:cs="Arial"/>
          <w:sz w:val="20"/>
          <w:szCs w:val="20"/>
        </w:rPr>
        <w:t xml:space="preserve">Cl, 100 </w:t>
      </w:r>
      <w:proofErr w:type="spellStart"/>
      <w:r w:rsidRPr="00083DE8">
        <w:rPr>
          <w:rFonts w:ascii="Arial" w:hAnsi="Arial" w:cs="Arial"/>
          <w:sz w:val="20"/>
          <w:szCs w:val="20"/>
        </w:rPr>
        <w:t>mM</w:t>
      </w:r>
      <w:proofErr w:type="spellEnd"/>
      <w:r w:rsidRPr="00083DE8">
        <w:rPr>
          <w:rFonts w:ascii="Arial" w:hAnsi="Arial" w:cs="Arial"/>
          <w:sz w:val="20"/>
          <w:szCs w:val="20"/>
        </w:rPr>
        <w:t xml:space="preserve"> NaHCO</w:t>
      </w:r>
      <w:r w:rsidRPr="00083DE8">
        <w:rPr>
          <w:rFonts w:ascii="Arial" w:hAnsi="Arial" w:cs="Arial"/>
          <w:sz w:val="20"/>
          <w:szCs w:val="20"/>
          <w:vertAlign w:val="subscript"/>
        </w:rPr>
        <w:t>3</w:t>
      </w:r>
      <w:r w:rsidRPr="00083DE8">
        <w:rPr>
          <w:rFonts w:ascii="Arial" w:hAnsi="Arial" w:cs="Arial"/>
          <w:sz w:val="20"/>
          <w:szCs w:val="20"/>
        </w:rPr>
        <w:t xml:space="preserve">, 1 </w:t>
      </w:r>
      <w:proofErr w:type="spellStart"/>
      <w:r w:rsidRPr="00083DE8">
        <w:rPr>
          <w:rFonts w:ascii="Arial" w:hAnsi="Arial" w:cs="Arial"/>
          <w:sz w:val="20"/>
          <w:szCs w:val="20"/>
        </w:rPr>
        <w:t>mM</w:t>
      </w:r>
      <w:proofErr w:type="spellEnd"/>
      <w:r w:rsidRPr="00083DE8">
        <w:rPr>
          <w:rFonts w:ascii="Arial" w:hAnsi="Arial" w:cs="Arial"/>
          <w:sz w:val="20"/>
          <w:szCs w:val="20"/>
        </w:rPr>
        <w:t xml:space="preserve"> EDTA—pH 7.2) and incubated for 5 min at room temperature.  After two wash steps with L15/10% FCS medium</w:t>
      </w:r>
      <w:r w:rsidR="00083AD0" w:rsidRPr="00083DE8">
        <w:rPr>
          <w:rFonts w:ascii="Arial" w:hAnsi="Arial" w:cs="Arial"/>
          <w:sz w:val="20"/>
          <w:szCs w:val="20"/>
        </w:rPr>
        <w:t>,</w:t>
      </w:r>
      <w:r w:rsidRPr="00083DE8">
        <w:rPr>
          <w:rFonts w:ascii="Arial" w:hAnsi="Arial" w:cs="Arial"/>
          <w:sz w:val="20"/>
          <w:szCs w:val="20"/>
        </w:rPr>
        <w:t xml:space="preserve"> cells were re-suspended in DMEM/10% FCS medium and incubated for 1 h at 37°C with 5% CO</w:t>
      </w:r>
      <w:r w:rsidRPr="00083DE8">
        <w:rPr>
          <w:rFonts w:ascii="Arial" w:hAnsi="Arial" w:cs="Arial"/>
          <w:sz w:val="20"/>
          <w:szCs w:val="20"/>
          <w:vertAlign w:val="subscript"/>
        </w:rPr>
        <w:t>2</w:t>
      </w:r>
      <w:r w:rsidRPr="00083DE8">
        <w:rPr>
          <w:rFonts w:ascii="Arial" w:hAnsi="Arial" w:cs="Arial"/>
          <w:sz w:val="20"/>
          <w:szCs w:val="20"/>
        </w:rPr>
        <w:t xml:space="preserve"> in a T-80 tissue culture-flask to remove mammary fibroblasts. Non-adherent primary epithelial cells were then collected and finally allowed to grow in 1:1 DMEM/Ham’s F12 mix supplemented with 10% fetal bovine serum, 10 ng/mL epidermal growth factor, 10 ng/ml Cholera toxin, 5 µg/mL pancreatic insulin, 100 units/ml penicillin and 100 </w:t>
      </w:r>
      <w:proofErr w:type="spellStart"/>
      <w:r w:rsidRPr="00083DE8">
        <w:rPr>
          <w:rFonts w:ascii="Arial" w:hAnsi="Arial" w:cs="Arial"/>
          <w:sz w:val="20"/>
          <w:szCs w:val="20"/>
        </w:rPr>
        <w:t>μg</w:t>
      </w:r>
      <w:proofErr w:type="spellEnd"/>
      <w:r w:rsidRPr="00083DE8">
        <w:rPr>
          <w:rFonts w:ascii="Arial" w:hAnsi="Arial" w:cs="Arial"/>
          <w:sz w:val="20"/>
          <w:szCs w:val="20"/>
        </w:rPr>
        <w:t>/ml streptomycin at 37°C under 5% CO</w:t>
      </w:r>
      <w:r w:rsidRPr="00083DE8">
        <w:rPr>
          <w:rFonts w:ascii="Arial" w:hAnsi="Arial" w:cs="Arial"/>
          <w:sz w:val="20"/>
          <w:szCs w:val="20"/>
          <w:vertAlign w:val="subscript"/>
        </w:rPr>
        <w:t>2</w:t>
      </w:r>
      <w:r w:rsidRPr="00083DE8">
        <w:rPr>
          <w:rFonts w:ascii="Arial" w:hAnsi="Arial" w:cs="Arial"/>
          <w:sz w:val="20"/>
          <w:szCs w:val="20"/>
        </w:rPr>
        <w:t>. After successful adherence and propagation for 48 hours, 140</w:t>
      </w:r>
      <w:r w:rsidR="00083AD0" w:rsidRPr="00083DE8">
        <w:rPr>
          <w:rFonts w:ascii="Arial" w:hAnsi="Arial" w:cs="Arial"/>
          <w:sz w:val="20"/>
          <w:szCs w:val="20"/>
        </w:rPr>
        <w:t xml:space="preserve"> </w:t>
      </w:r>
      <w:r w:rsidRPr="00083DE8">
        <w:rPr>
          <w:rFonts w:ascii="Arial" w:hAnsi="Arial" w:cs="Arial"/>
          <w:sz w:val="20"/>
          <w:szCs w:val="20"/>
        </w:rPr>
        <w:t>000 cells were plated in each well of a 6-well plate and treated with 250nM JQ1 for 2 days.</w:t>
      </w:r>
    </w:p>
    <w:p w:rsidR="00A23218" w:rsidRPr="00083DE8" w:rsidRDefault="00A23218" w:rsidP="00F44C4C">
      <w:pPr>
        <w:spacing w:line="240" w:lineRule="auto"/>
        <w:jc w:val="both"/>
        <w:rPr>
          <w:rFonts w:ascii="Arial" w:hAnsi="Arial" w:cs="Arial"/>
          <w:b/>
          <w:sz w:val="20"/>
          <w:szCs w:val="20"/>
        </w:rPr>
      </w:pPr>
      <w:r w:rsidRPr="00083DE8">
        <w:rPr>
          <w:rFonts w:ascii="Arial" w:hAnsi="Arial" w:cs="Arial"/>
          <w:b/>
          <w:sz w:val="20"/>
          <w:szCs w:val="20"/>
        </w:rPr>
        <w:t>RNA analysis and western blot</w:t>
      </w:r>
    </w:p>
    <w:p w:rsidR="00A23218" w:rsidRPr="00083DE8" w:rsidRDefault="00A23218" w:rsidP="00F44C4C">
      <w:pPr>
        <w:spacing w:line="240" w:lineRule="auto"/>
        <w:jc w:val="both"/>
        <w:rPr>
          <w:rFonts w:ascii="Arial" w:hAnsi="Arial" w:cs="Arial"/>
          <w:sz w:val="20"/>
          <w:szCs w:val="20"/>
        </w:rPr>
      </w:pPr>
      <w:r w:rsidRPr="00083DE8">
        <w:rPr>
          <w:rFonts w:ascii="Arial" w:hAnsi="Arial" w:cs="Arial"/>
          <w:sz w:val="20"/>
          <w:szCs w:val="20"/>
        </w:rPr>
        <w:t xml:space="preserve">RNA isolation was carried out using </w:t>
      </w:r>
      <w:proofErr w:type="spellStart"/>
      <w:r w:rsidRPr="00083DE8">
        <w:rPr>
          <w:rFonts w:ascii="Arial" w:hAnsi="Arial" w:cs="Arial"/>
          <w:sz w:val="20"/>
          <w:szCs w:val="20"/>
        </w:rPr>
        <w:t>TRIzol</w:t>
      </w:r>
      <w:proofErr w:type="spellEnd"/>
      <w:r w:rsidRPr="00083DE8">
        <w:rPr>
          <w:rFonts w:ascii="Arial" w:hAnsi="Arial" w:cs="Arial"/>
          <w:sz w:val="20"/>
          <w:szCs w:val="20"/>
        </w:rPr>
        <w:t>® reagent (</w:t>
      </w:r>
      <w:proofErr w:type="spellStart"/>
      <w:r w:rsidRPr="00083DE8">
        <w:rPr>
          <w:rFonts w:ascii="Arial" w:hAnsi="Arial" w:cs="Arial"/>
          <w:sz w:val="20"/>
          <w:szCs w:val="20"/>
        </w:rPr>
        <w:t>Qiagen</w:t>
      </w:r>
      <w:proofErr w:type="spellEnd"/>
      <w:r w:rsidR="00D159D1" w:rsidRPr="00083DE8">
        <w:rPr>
          <w:rFonts w:ascii="Arial" w:hAnsi="Arial" w:cs="Arial"/>
          <w:sz w:val="20"/>
          <w:szCs w:val="20"/>
        </w:rPr>
        <w:t>, Germany</w:t>
      </w:r>
      <w:r w:rsidRPr="00083DE8">
        <w:rPr>
          <w:rFonts w:ascii="Arial" w:hAnsi="Arial" w:cs="Arial"/>
          <w:sz w:val="20"/>
          <w:szCs w:val="20"/>
        </w:rPr>
        <w:t xml:space="preserve">) according to the manufacturer’s instructions. For gene expression analysis, one microgram of total RNA was reverse transcribed using random </w:t>
      </w:r>
      <w:proofErr w:type="spellStart"/>
      <w:r w:rsidRPr="00083DE8">
        <w:rPr>
          <w:rFonts w:ascii="Arial" w:hAnsi="Arial" w:cs="Arial"/>
          <w:sz w:val="20"/>
          <w:szCs w:val="20"/>
        </w:rPr>
        <w:t>nonamers</w:t>
      </w:r>
      <w:proofErr w:type="spellEnd"/>
      <w:r w:rsidRPr="00083DE8">
        <w:rPr>
          <w:rFonts w:ascii="Arial" w:hAnsi="Arial" w:cs="Arial"/>
          <w:sz w:val="20"/>
          <w:szCs w:val="20"/>
        </w:rPr>
        <w:t xml:space="preserve"> (Sigma</w:t>
      </w:r>
      <w:r w:rsidR="00D159D1" w:rsidRPr="00083DE8">
        <w:rPr>
          <w:rFonts w:ascii="Arial" w:hAnsi="Arial" w:cs="Arial"/>
          <w:sz w:val="20"/>
          <w:szCs w:val="20"/>
        </w:rPr>
        <w:t>, United States</w:t>
      </w:r>
      <w:r w:rsidRPr="00083DE8">
        <w:rPr>
          <w:rFonts w:ascii="Arial" w:hAnsi="Arial" w:cs="Arial"/>
          <w:sz w:val="20"/>
          <w:szCs w:val="20"/>
        </w:rPr>
        <w:t>). Quantitative real-time PCR (qPCR) analysis was pe</w:t>
      </w:r>
      <w:r w:rsidR="00DA6659" w:rsidRPr="00083DE8">
        <w:rPr>
          <w:rFonts w:ascii="Arial" w:hAnsi="Arial" w:cs="Arial"/>
          <w:sz w:val="20"/>
          <w:szCs w:val="20"/>
        </w:rPr>
        <w:t>rformed as previously described</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agjchortd","properties":{"formattedCitation":"(18)","plainCitation":"(18)"},"citationItems":[{"id":28,"uris":["http://zotero.org/users/local/PGNXbLbe/items/D3SSI3TR"],"uri":["http://zotero.org/users/local/PGNXbLbe/items/D3SSI3TR"],"itemData":{"id":28,"type":"article-journal","title":"Estrogen-dependent gene transcription in human breast cancer cells relies upon proteasome-dependent monoubiquitination of histone H2B","container-title":"Cancer research","page":"5739-5753","volume":"71","issue":"17","source":"NCBI PubMed","abstract":"The estrogen receptor-α (ERα) determines the phenotype of breast cancers where it serves as a positive prognostic indicator. ERα is a well-established target for breast cancer therapy, but strategies to target its function remain of interest to address therapeutic resistance and further improve treatment. Recent findings indicate that proteasome inhibition can regulate estrogen-induced transcription, but how ERα function might be regulated was uncertain. In this study, we investigated the transcriptome-wide effects of the proteasome inhibitor bortezomib on estrogen-regulated transcription in MCF7 human breast cancer cells and showed that bortezomib caused a specific global decrease in estrogen-induced gene expression. This effect was specific because gene expression induced by the glucocorticoid receptor was unaffected by bortezomib. Surprisingly, we observed no changes in ERα recruitment or assembly of its transcriptional activation complex on ERα target genes. Instead, we found that proteasome inhibition caused a global decrease in histone H2B monoubiquitination (H2Bub1), leading to transcriptional elongation defects on estrogen target genes and to decreased chromatin dynamics overall. In confirming the functional significance of this link, we showed that RNA interference-mediated knockdown of the H2B ubiquitin ligase RNF40 decreased ERα-induced gene transcription. Surprisingly, RNF40 knockdown also supported estrogen-independent cell proliferation and activation of cell survival signaling pathways. Most importantly, we found that H2Bub1 levels decrease during tumor progression. H2Bub1 was abundant in normal mammary epithelium and benign breast tumors but absent in most malignant and metastatic breast cancers. Taken together, our findings show how ERα activity is blunted by bortezomib treatment as a result of reducing the downstream ubiquitin-dependent function of H2Bub1. In supporting a tumor suppressor role for H2Bub1 in breast cancer, our findings offer a rational basis to pursue H2Bub1-based therapies for future management of breast cancer.","DOI":"10.1158/0008-5472.CAN-11-1896","ISSN":"1538-7445","note":"PMID: 21862633","journalAbbreviation":"Cancer Res.","author":[{"family":"Prenzel","given":"Tanja"},{"family":"Begus-Nahrmann","given":"Yvonne"},{"family":"Kramer","given":"Frank"},{"family":"Hennion","given":"Magali"},{"family":"Hsu","given":"Chieh"},{"family":"Gorsler","given":"Theresa"},{"family":"Hintermair","given":"Corinna"},{"family":"Eick","given":"Dirk"},{"family":"Kremmer","given":"Elisabeth"},{"family":"Simons","given":"Mikael"},{"family":"Beissbarth","given":"Tim"},{"family":"Johnsen","given":"Steven A"}],"issued":{"date-parts":[["2011",9,1]]},"PMID":"21862633"}}],"schema":"https://github.com/citation-style-language/schema/raw/master/csl-citation.json"}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(18)</w:t>
      </w:r>
      <w:r w:rsidR="005D11BD" w:rsidRPr="00083DE8">
        <w:rPr>
          <w:rFonts w:ascii="Arial" w:hAnsi="Arial" w:cs="Arial"/>
          <w:sz w:val="20"/>
          <w:szCs w:val="20"/>
        </w:rPr>
        <w:fldChar w:fldCharType="end"/>
      </w:r>
      <w:r w:rsidR="00F71311" w:rsidRPr="00083DE8">
        <w:rPr>
          <w:rFonts w:ascii="Arial" w:hAnsi="Arial" w:cs="Arial"/>
          <w:sz w:val="20"/>
          <w:szCs w:val="20"/>
        </w:rPr>
        <w:t xml:space="preserve"> </w:t>
      </w:r>
      <w:r w:rsidRPr="00083DE8">
        <w:rPr>
          <w:rFonts w:ascii="Arial" w:hAnsi="Arial" w:cs="Arial"/>
          <w:sz w:val="20"/>
          <w:szCs w:val="20"/>
        </w:rPr>
        <w:t xml:space="preserve">using the primers listed in </w:t>
      </w:r>
      <w:r w:rsidR="00F80239" w:rsidRPr="00083DE8">
        <w:rPr>
          <w:rFonts w:ascii="Arial" w:hAnsi="Arial" w:cs="Arial"/>
          <w:sz w:val="20"/>
          <w:szCs w:val="20"/>
        </w:rPr>
        <w:t>Supporting</w:t>
      </w:r>
      <w:r w:rsidR="00DA6659" w:rsidRPr="00083DE8">
        <w:rPr>
          <w:rFonts w:ascii="Arial" w:hAnsi="Arial" w:cs="Arial"/>
          <w:sz w:val="20"/>
          <w:szCs w:val="20"/>
        </w:rPr>
        <w:t xml:space="preserve"> t</w:t>
      </w:r>
      <w:r w:rsidRPr="00083DE8">
        <w:rPr>
          <w:rFonts w:ascii="Arial" w:hAnsi="Arial" w:cs="Arial"/>
          <w:sz w:val="20"/>
          <w:szCs w:val="20"/>
        </w:rPr>
        <w:t xml:space="preserve">able S1. Gene expression was normalized to </w:t>
      </w:r>
      <w:r w:rsidR="00180FE6" w:rsidRPr="00083DE8">
        <w:rPr>
          <w:rFonts w:ascii="Arial" w:hAnsi="Arial" w:cs="Arial"/>
          <w:i/>
          <w:sz w:val="20"/>
          <w:szCs w:val="20"/>
        </w:rPr>
        <w:t>RPLP0</w:t>
      </w:r>
      <w:r w:rsidRPr="00083DE8">
        <w:rPr>
          <w:rFonts w:ascii="Arial" w:hAnsi="Arial" w:cs="Arial"/>
          <w:sz w:val="20"/>
          <w:szCs w:val="20"/>
        </w:rPr>
        <w:t xml:space="preserve"> and expressed as fold induction relative to the </w:t>
      </w:r>
      <w:proofErr w:type="spellStart"/>
      <w:r w:rsidR="00180FE6" w:rsidRPr="00083DE8">
        <w:rPr>
          <w:rFonts w:ascii="Arial" w:hAnsi="Arial" w:cs="Arial"/>
          <w:sz w:val="20"/>
          <w:szCs w:val="20"/>
        </w:rPr>
        <w:t>nontargeting</w:t>
      </w:r>
      <w:proofErr w:type="spellEnd"/>
      <w:r w:rsidR="00180FE6" w:rsidRPr="00083DE8">
        <w:rPr>
          <w:rFonts w:ascii="Arial" w:hAnsi="Arial" w:cs="Arial"/>
          <w:sz w:val="20"/>
          <w:szCs w:val="20"/>
        </w:rPr>
        <w:t xml:space="preserve"> negative control siRNA </w:t>
      </w:r>
      <w:r w:rsidRPr="00083DE8">
        <w:rPr>
          <w:rFonts w:ascii="Arial" w:hAnsi="Arial" w:cs="Arial"/>
          <w:sz w:val="20"/>
          <w:szCs w:val="20"/>
        </w:rPr>
        <w:t xml:space="preserve">transfected </w:t>
      </w:r>
      <w:r w:rsidR="003F74F5" w:rsidRPr="00083DE8">
        <w:rPr>
          <w:rFonts w:ascii="Arial" w:hAnsi="Arial" w:cs="Arial"/>
          <w:sz w:val="20"/>
          <w:szCs w:val="20"/>
        </w:rPr>
        <w:t>or DMSO-</w:t>
      </w:r>
      <w:r w:rsidRPr="00083DE8">
        <w:rPr>
          <w:rFonts w:ascii="Arial" w:hAnsi="Arial" w:cs="Arial"/>
          <w:sz w:val="20"/>
          <w:szCs w:val="20"/>
        </w:rPr>
        <w:t xml:space="preserve">treated condition. </w:t>
      </w:r>
      <w:r w:rsidR="0041636E" w:rsidRPr="00083DE8">
        <w:rPr>
          <w:rFonts w:ascii="Arial" w:hAnsi="Arial" w:cs="Arial"/>
          <w:sz w:val="20"/>
          <w:szCs w:val="20"/>
        </w:rPr>
        <w:t xml:space="preserve">ANOVA single factor </w:t>
      </w:r>
      <w:r w:rsidR="00C731CB" w:rsidRPr="00083DE8">
        <w:rPr>
          <w:rFonts w:ascii="Arial" w:hAnsi="Arial" w:cs="Arial"/>
          <w:sz w:val="20"/>
          <w:szCs w:val="20"/>
        </w:rPr>
        <w:t xml:space="preserve">was </w:t>
      </w:r>
      <w:r w:rsidR="0041636E" w:rsidRPr="00083DE8">
        <w:rPr>
          <w:rFonts w:ascii="Arial" w:hAnsi="Arial" w:cs="Arial"/>
          <w:sz w:val="20"/>
          <w:szCs w:val="20"/>
        </w:rPr>
        <w:t xml:space="preserve">used to calculate p-values. </w:t>
      </w:r>
      <w:r w:rsidRPr="00083DE8">
        <w:rPr>
          <w:rFonts w:ascii="Arial" w:hAnsi="Arial" w:cs="Arial"/>
          <w:sz w:val="20"/>
          <w:szCs w:val="20"/>
        </w:rPr>
        <w:t>Protein lysates were prepared as described previously</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2fknprj04h","properties":{"formattedCitation":"(19)","plainCitation":"(19)"},"citationItems":[{"id":657,"uris":["http://zotero.org/users/local/PGNXbLbe/items/9HK5EN5P"],"uri":["http://zotero.org/users/local/PGNXbLbe/items/9HK5EN5P"],"itemData":{"id":657,"type":"article-journal","title":"SUPT6H controls estrogen receptor activity and cellular differentiation by multiple epigenomic mechanisms","container-title":"Oncogene","source":"www.nature.com","abstract":"The estrogen receptor alpha (ERα) is the central transcriptional regulator of ductal mammary epithelial lineage specification and is an important prognostic marker in human breast cancer. Although antiestrogen therapies are initially highly effective at treating ERα-positive tumors, a large number of tumors progress to a refractory, more poorly differentiated phenotype accompanied by reduced survival. A better understanding of the molecular mechanisms involved in the progression from estrogen-dependent to hormone-resistant breast cancer may uncover new targets for treatment and the discovery of new predictive markers. Recent studies have uncovered an important role for transcriptional elongation and chromatin modifications in controlling ERα activity and estrogen responsiveness. The human Suppressor of Ty Homologue-6 (SUPT6H) is a histone chaperone that links transcriptional elongation to changes in chromatin structure. We show that SUPT6H is required for estrogen-regulated transcription and the maintenance of chromatin structure in breast cancer cells, possibly in part through interaction with RNF40 and regulation of histone H2B monoubiquitination (H2Bub1). Moreover, we demonstrate that SUPT6H protein levels decrease with malignancy in breast cancer. Consistently, SUPT6H, similar to H2Bub1, is required for cellular differentiation and suppression of the repressive histone mark H3K27me3 on lineage-specific genes. Together, these data identify SUPT6H as a new epigenetic regulator of ERα activity and cellular differentiation.","URL":"http://www.nature.com/onc/journal/vaop/ncurrent/full/onc2013558a.html","DOI":"10.1038/onc.2013.558","ISSN":"1476-5594","journalAbbreviation":"Oncogene","language":"en","author":[{"family":"Bedi","given":"U."},{"family":"Scheel","given":"A. H."},{"family":"Hennion","given":"M."},{"family":"Begus-Nahrmann","given":"Y."},{"family":"Rüschoff","given":"J."},{"family":"Johnsen","given":"S. A."}],"issued":{"date-parts":[["2014",1,20]]},"accessed":{"date-parts":[["2014",2,5]]}}}],"schema":"https://github.com/citation-style-language/schema/raw/master/csl-citation.json"}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(19)</w:t>
      </w:r>
      <w:r w:rsidR="005D11BD" w:rsidRPr="00083DE8">
        <w:rPr>
          <w:rFonts w:ascii="Arial" w:hAnsi="Arial" w:cs="Arial"/>
          <w:sz w:val="20"/>
          <w:szCs w:val="20"/>
        </w:rPr>
        <w:fldChar w:fldCharType="end"/>
      </w:r>
      <w:r w:rsidR="00C731CB" w:rsidRPr="00083DE8">
        <w:rPr>
          <w:rFonts w:ascii="Arial" w:hAnsi="Arial" w:cs="Arial"/>
          <w:sz w:val="20"/>
          <w:szCs w:val="20"/>
        </w:rPr>
        <w:t>.</w:t>
      </w:r>
      <w:r w:rsidR="00665244" w:rsidRPr="00083DE8">
        <w:rPr>
          <w:rFonts w:ascii="Arial" w:hAnsi="Arial" w:cs="Arial"/>
          <w:sz w:val="20"/>
          <w:szCs w:val="20"/>
        </w:rPr>
        <w:t xml:space="preserve"> Protein estimation was done using Pierce™ BCA Protein Assay Kit (Thermo scientific</w:t>
      </w:r>
      <w:r w:rsidRPr="00083DE8">
        <w:rPr>
          <w:rFonts w:ascii="Arial" w:hAnsi="Arial" w:cs="Arial"/>
          <w:sz w:val="20"/>
          <w:szCs w:val="20"/>
        </w:rPr>
        <w:t xml:space="preserve"> </w:t>
      </w:r>
      <w:r w:rsidR="00665244" w:rsidRPr="00083DE8">
        <w:rPr>
          <w:rFonts w:ascii="Arial" w:hAnsi="Arial" w:cs="Arial"/>
          <w:sz w:val="20"/>
          <w:szCs w:val="20"/>
        </w:rPr>
        <w:t>– Cat. No. 23225</w:t>
      </w:r>
      <w:r w:rsidR="00D159D1" w:rsidRPr="00083DE8">
        <w:rPr>
          <w:rFonts w:ascii="Arial" w:hAnsi="Arial" w:cs="Arial"/>
          <w:sz w:val="20"/>
          <w:szCs w:val="20"/>
        </w:rPr>
        <w:t>, United States</w:t>
      </w:r>
      <w:r w:rsidR="00665244" w:rsidRPr="00083DE8">
        <w:rPr>
          <w:rFonts w:ascii="Arial" w:hAnsi="Arial" w:cs="Arial"/>
          <w:sz w:val="20"/>
          <w:szCs w:val="20"/>
        </w:rPr>
        <w:t>) and 15 µg of protein was loaded in the gel. P</w:t>
      </w:r>
      <w:r w:rsidRPr="00083DE8">
        <w:rPr>
          <w:rFonts w:ascii="Arial" w:hAnsi="Arial" w:cs="Arial"/>
          <w:sz w:val="20"/>
          <w:szCs w:val="20"/>
        </w:rPr>
        <w:t xml:space="preserve">roteins </w:t>
      </w:r>
      <w:r w:rsidR="00665244" w:rsidRPr="00083DE8">
        <w:rPr>
          <w:rFonts w:ascii="Arial" w:hAnsi="Arial" w:cs="Arial"/>
          <w:sz w:val="20"/>
          <w:szCs w:val="20"/>
        </w:rPr>
        <w:t xml:space="preserve">of interest </w:t>
      </w:r>
      <w:r w:rsidRPr="00083DE8">
        <w:rPr>
          <w:rFonts w:ascii="Arial" w:hAnsi="Arial" w:cs="Arial"/>
          <w:sz w:val="20"/>
          <w:szCs w:val="20"/>
        </w:rPr>
        <w:t xml:space="preserve">were detected using antibodies listed in </w:t>
      </w:r>
      <w:r w:rsidR="00F80239" w:rsidRPr="00083DE8">
        <w:rPr>
          <w:rFonts w:ascii="Arial" w:hAnsi="Arial" w:cs="Arial"/>
          <w:sz w:val="20"/>
          <w:szCs w:val="20"/>
        </w:rPr>
        <w:t>Supporting</w:t>
      </w:r>
      <w:r w:rsidR="00E02607" w:rsidRPr="00083DE8">
        <w:rPr>
          <w:rFonts w:ascii="Arial" w:hAnsi="Arial" w:cs="Arial"/>
          <w:sz w:val="20"/>
          <w:szCs w:val="20"/>
        </w:rPr>
        <w:t xml:space="preserve"> t</w:t>
      </w:r>
      <w:r w:rsidRPr="00083DE8">
        <w:rPr>
          <w:rFonts w:ascii="Arial" w:hAnsi="Arial" w:cs="Arial"/>
          <w:sz w:val="20"/>
          <w:szCs w:val="20"/>
        </w:rPr>
        <w:t xml:space="preserve">able </w:t>
      </w:r>
      <w:r w:rsidR="00E02607" w:rsidRPr="00083DE8">
        <w:rPr>
          <w:rFonts w:ascii="Arial" w:hAnsi="Arial" w:cs="Arial"/>
          <w:sz w:val="20"/>
          <w:szCs w:val="20"/>
        </w:rPr>
        <w:t>S</w:t>
      </w:r>
      <w:r w:rsidRPr="00083DE8">
        <w:rPr>
          <w:rFonts w:ascii="Arial" w:hAnsi="Arial" w:cs="Arial"/>
          <w:sz w:val="20"/>
          <w:szCs w:val="20"/>
        </w:rPr>
        <w:t>2.</w:t>
      </w:r>
    </w:p>
    <w:p w:rsidR="00C22ED9" w:rsidRPr="00083DE8" w:rsidRDefault="00C22ED9" w:rsidP="00F44C4C">
      <w:pPr>
        <w:spacing w:line="240" w:lineRule="auto"/>
        <w:jc w:val="both"/>
        <w:rPr>
          <w:rFonts w:ascii="Arial" w:hAnsi="Arial" w:cs="Arial"/>
          <w:sz w:val="20"/>
          <w:szCs w:val="20"/>
        </w:rPr>
      </w:pPr>
      <w:r w:rsidRPr="00083DE8">
        <w:rPr>
          <w:rFonts w:ascii="Arial" w:hAnsi="Arial" w:cs="Arial"/>
          <w:sz w:val="20"/>
          <w:szCs w:val="20"/>
        </w:rPr>
        <w:t xml:space="preserve">For primary epithelial cells, RNA extraction was performed using </w:t>
      </w:r>
      <w:proofErr w:type="spellStart"/>
      <w:r w:rsidRPr="00083DE8">
        <w:rPr>
          <w:rFonts w:ascii="Arial" w:hAnsi="Arial" w:cs="Arial"/>
          <w:sz w:val="20"/>
          <w:szCs w:val="20"/>
        </w:rPr>
        <w:t>Innuprep</w:t>
      </w:r>
      <w:proofErr w:type="spellEnd"/>
      <w:r w:rsidRPr="00083DE8">
        <w:rPr>
          <w:rFonts w:ascii="Arial" w:hAnsi="Arial" w:cs="Arial"/>
          <w:sz w:val="20"/>
          <w:szCs w:val="20"/>
        </w:rPr>
        <w:t xml:space="preserve"> kit for RNA extraction (Analytic Jena</w:t>
      </w:r>
      <w:r w:rsidR="00D159D1" w:rsidRPr="00083DE8">
        <w:rPr>
          <w:rFonts w:ascii="Arial" w:hAnsi="Arial" w:cs="Arial"/>
          <w:sz w:val="20"/>
          <w:szCs w:val="20"/>
        </w:rPr>
        <w:t>, Germany</w:t>
      </w:r>
      <w:r w:rsidRPr="00083DE8">
        <w:rPr>
          <w:rFonts w:ascii="Arial" w:hAnsi="Arial" w:cs="Arial"/>
          <w:sz w:val="20"/>
          <w:szCs w:val="20"/>
        </w:rPr>
        <w:t xml:space="preserve">) and then cDNA was synthesized (First Strand cDNA Synthesis Kit, </w:t>
      </w:r>
      <w:proofErr w:type="spellStart"/>
      <w:r w:rsidRPr="00083DE8">
        <w:rPr>
          <w:rFonts w:ascii="Arial" w:hAnsi="Arial" w:cs="Arial"/>
          <w:sz w:val="20"/>
          <w:szCs w:val="20"/>
        </w:rPr>
        <w:t>Thermo</w:t>
      </w:r>
      <w:proofErr w:type="spellEnd"/>
      <w:r w:rsidRPr="00083DE8">
        <w:rPr>
          <w:rFonts w:ascii="Arial" w:hAnsi="Arial" w:cs="Arial"/>
          <w:sz w:val="20"/>
          <w:szCs w:val="20"/>
        </w:rPr>
        <w:t xml:space="preserve"> scientific</w:t>
      </w:r>
      <w:r w:rsidR="00D159D1" w:rsidRPr="00083DE8">
        <w:rPr>
          <w:rFonts w:ascii="Arial" w:hAnsi="Arial" w:cs="Arial"/>
          <w:sz w:val="20"/>
          <w:szCs w:val="20"/>
        </w:rPr>
        <w:t>, United States</w:t>
      </w:r>
      <w:r w:rsidRPr="00083DE8">
        <w:rPr>
          <w:rFonts w:ascii="Arial" w:hAnsi="Arial" w:cs="Arial"/>
          <w:sz w:val="20"/>
          <w:szCs w:val="20"/>
        </w:rPr>
        <w:t>).</w:t>
      </w:r>
    </w:p>
    <w:p w:rsidR="00C87E0B" w:rsidRPr="00083DE8" w:rsidRDefault="00C87E0B" w:rsidP="00F44C4C">
      <w:pPr>
        <w:spacing w:line="240" w:lineRule="auto"/>
        <w:jc w:val="both"/>
        <w:rPr>
          <w:rFonts w:ascii="Arial" w:hAnsi="Arial" w:cs="Arial"/>
          <w:b/>
          <w:sz w:val="20"/>
          <w:szCs w:val="20"/>
        </w:rPr>
      </w:pPr>
      <w:r w:rsidRPr="00083DE8">
        <w:rPr>
          <w:rFonts w:ascii="Arial" w:hAnsi="Arial" w:cs="Arial"/>
          <w:b/>
          <w:sz w:val="20"/>
          <w:szCs w:val="20"/>
        </w:rPr>
        <w:t>Chromatin Immunoprecipitation (ChIP), ChIP-Sequencing and Data Analysis</w:t>
      </w:r>
    </w:p>
    <w:p w:rsidR="00C87E0B" w:rsidRPr="00083DE8" w:rsidRDefault="00333094" w:rsidP="00F44C4C">
      <w:pPr>
        <w:spacing w:line="240" w:lineRule="auto"/>
        <w:jc w:val="both"/>
        <w:rPr>
          <w:rFonts w:ascii="Arial" w:hAnsi="Arial" w:cs="Arial"/>
          <w:sz w:val="20"/>
          <w:szCs w:val="20"/>
          <w:lang w:val="en-IN"/>
        </w:rPr>
      </w:pPr>
      <w:r w:rsidRPr="00083DE8">
        <w:rPr>
          <w:rFonts w:ascii="Arial" w:hAnsi="Arial" w:cs="Arial"/>
          <w:sz w:val="20"/>
          <w:szCs w:val="20"/>
        </w:rPr>
        <w:t>ChIP experiments</w:t>
      </w:r>
      <w:r w:rsidR="00C87E0B" w:rsidRPr="00083DE8">
        <w:rPr>
          <w:rFonts w:ascii="Arial" w:hAnsi="Arial" w:cs="Arial"/>
          <w:sz w:val="20"/>
          <w:szCs w:val="20"/>
        </w:rPr>
        <w:t xml:space="preserve"> in MCF10A cells w</w:t>
      </w:r>
      <w:r w:rsidRPr="00083DE8">
        <w:rPr>
          <w:rFonts w:ascii="Arial" w:hAnsi="Arial" w:cs="Arial"/>
          <w:sz w:val="20"/>
          <w:szCs w:val="20"/>
        </w:rPr>
        <w:t>ere</w:t>
      </w:r>
      <w:r w:rsidR="00C87E0B" w:rsidRPr="00083DE8">
        <w:rPr>
          <w:rFonts w:ascii="Arial" w:hAnsi="Arial" w:cs="Arial"/>
          <w:sz w:val="20"/>
          <w:szCs w:val="20"/>
        </w:rPr>
        <w:t xml:space="preserve"> performed as described previously</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ljquok5cj","properties":{"formattedCitation":"(35)","plainCitation":"(35)"},"citationItems":[{"id":639,"uris":["http://zotero.org/users/1641207/items/WGZF3E7B"],"uri":["http://zotero.org/users/1641207/items/WGZF3E7B"],"itemData":{"id":639,"type":"article-journal","title":"SUPT6H controls estrogen receptor activity and cellular differentiation by multiple epigenomic mechanisms","container-title":"Oncogene","source":"NCBI PubMed","abstract":"The estrogen receptor alpha (ERα) is the central transcriptional regulator of ductal mammary epithelial lineage specification and is an important prognostic marker in human breast cancer. Although antiestrogen therapies are initially highly effective at treating ERα-positive tumors, a large number of tumors progress to a refractory, more poorly differentiated phenotype accompanied by reduced survival. A better understanding of the molecular mechanisms involved in the progression from estrogen-dependent to hormone-resistant breast cancer may uncover new targets for treatment and the discovery of new predictive markers. Recent studies have uncovered an important role for transcriptional elongation and chromatin modifications in controlling ERα activity and estrogen responsiveness. The human Suppressor of Ty Homologue-6 (SUPT6H) is a histone chaperone that links transcriptional elongation to changes in chromatin structure. We show that SUPT6H is required for estrogen-regulated transcription and the maintenance of chromatin structure in breast cancer cells, possibly in part through interaction with RNF40 and regulation of histone H2B monoubiquitination (H2Bub1). Moreover, we demonstrate that SUPT6H protein levels decrease with malignancy in breast cancer. Consistently, SUPT6H, similar to H2Bub1, is required for cellular differentiation and suppression of the repressive histone mark H3K27me3 on lineage-specific genes. Together, these data identify SUPT6H as a new epigenetic regulator of ERα activity and cellular differentiation.Oncogene advance online publication, 20 January 2014; doi:10.1038/onc.2013.558.","DOI":"10.1038/onc.2013.558","ISSN":"1476-5594","note":"PMID: 24441044","journalAbbreviation":"Oncogene","language":"ENG","author":[{"family":"Bedi","given":"U."},{"family":"Scheel","given":"A. H."},{"family":"Hennion","given":"M."},{"family":"Begus-Nahrmann","given":"Y."},{"family":"Rüschoff","given":"J."},{"family":"Johnsen","given":"S. A."}],"issued":{"date-parts":[["2014",1,20]]},"PMID":"24441044"}}],"schema":"https://github.com/citation-style-language/schema/raw/master/csl-citation.json"}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(35)</w:t>
      </w:r>
      <w:r w:rsidR="005D11BD" w:rsidRPr="00083DE8">
        <w:rPr>
          <w:rFonts w:ascii="Arial" w:hAnsi="Arial" w:cs="Arial"/>
          <w:sz w:val="20"/>
          <w:szCs w:val="20"/>
        </w:rPr>
        <w:fldChar w:fldCharType="end"/>
      </w:r>
      <w:r w:rsidR="00C731CB" w:rsidRPr="00083DE8">
        <w:rPr>
          <w:rFonts w:ascii="Arial" w:hAnsi="Arial" w:cs="Arial"/>
          <w:sz w:val="20"/>
          <w:szCs w:val="20"/>
        </w:rPr>
        <w:t>.</w:t>
      </w:r>
      <w:r w:rsidR="00C87E0B" w:rsidRPr="00083DE8">
        <w:rPr>
          <w:rFonts w:ascii="Arial" w:hAnsi="Arial" w:cs="Arial"/>
          <w:sz w:val="20"/>
          <w:szCs w:val="20"/>
        </w:rPr>
        <w:t xml:space="preserve"> </w:t>
      </w:r>
      <w:r w:rsidR="005F79A9" w:rsidRPr="00083DE8">
        <w:rPr>
          <w:rFonts w:ascii="Arial" w:hAnsi="Arial" w:cs="Arial"/>
          <w:sz w:val="20"/>
          <w:szCs w:val="20"/>
        </w:rPr>
        <w:t xml:space="preserve">BRD4 and RNAPII </w:t>
      </w:r>
      <w:proofErr w:type="spellStart"/>
      <w:r w:rsidR="005F79A9" w:rsidRPr="00083DE8">
        <w:rPr>
          <w:rFonts w:ascii="Arial" w:hAnsi="Arial" w:cs="Arial"/>
          <w:sz w:val="20"/>
          <w:szCs w:val="20"/>
        </w:rPr>
        <w:t>ChIPs</w:t>
      </w:r>
      <w:proofErr w:type="spellEnd"/>
      <w:r w:rsidR="005F79A9" w:rsidRPr="00083DE8">
        <w:rPr>
          <w:rFonts w:ascii="Arial" w:hAnsi="Arial" w:cs="Arial"/>
          <w:sz w:val="20"/>
          <w:szCs w:val="20"/>
        </w:rPr>
        <w:t xml:space="preserve"> were performed with 20 minutes crosslinking with 1% formaldehyde</w:t>
      </w:r>
      <w:r w:rsidR="000B1A38" w:rsidRPr="00083DE8">
        <w:rPr>
          <w:rFonts w:ascii="Arial" w:hAnsi="Arial" w:cs="Arial"/>
          <w:sz w:val="20"/>
          <w:szCs w:val="20"/>
        </w:rPr>
        <w:t xml:space="preserve"> and sonicate</w:t>
      </w:r>
      <w:r w:rsidR="00B2242F" w:rsidRPr="00083DE8">
        <w:rPr>
          <w:rFonts w:ascii="Arial" w:hAnsi="Arial" w:cs="Arial"/>
          <w:sz w:val="20"/>
          <w:szCs w:val="20"/>
        </w:rPr>
        <w:t>d</w:t>
      </w:r>
      <w:r w:rsidR="000B1A38" w:rsidRPr="00083DE8">
        <w:rPr>
          <w:rFonts w:ascii="Arial" w:hAnsi="Arial" w:cs="Arial"/>
          <w:sz w:val="20"/>
          <w:szCs w:val="20"/>
        </w:rPr>
        <w:t xml:space="preserve"> with the buffer containing </w:t>
      </w:r>
      <w:r w:rsidR="006B41C2" w:rsidRPr="00083DE8">
        <w:rPr>
          <w:rFonts w:ascii="Arial" w:hAnsi="Arial" w:cs="Arial"/>
          <w:sz w:val="20"/>
          <w:szCs w:val="20"/>
        </w:rPr>
        <w:t xml:space="preserve">150 </w:t>
      </w:r>
      <w:proofErr w:type="spellStart"/>
      <w:r w:rsidR="006B41C2" w:rsidRPr="00083DE8">
        <w:rPr>
          <w:rFonts w:ascii="Arial" w:hAnsi="Arial" w:cs="Arial"/>
          <w:sz w:val="20"/>
          <w:szCs w:val="20"/>
        </w:rPr>
        <w:t>mM</w:t>
      </w:r>
      <w:proofErr w:type="spellEnd"/>
      <w:r w:rsidR="006B41C2" w:rsidRPr="00083DE8">
        <w:rPr>
          <w:rFonts w:ascii="Arial" w:hAnsi="Arial" w:cs="Arial"/>
          <w:sz w:val="20"/>
          <w:szCs w:val="20"/>
        </w:rPr>
        <w:t xml:space="preserve"> </w:t>
      </w:r>
      <w:proofErr w:type="spellStart"/>
      <w:r w:rsidR="006B41C2" w:rsidRPr="00083DE8">
        <w:rPr>
          <w:rFonts w:ascii="Arial" w:hAnsi="Arial" w:cs="Arial"/>
          <w:sz w:val="20"/>
          <w:szCs w:val="20"/>
        </w:rPr>
        <w:t>NaCl</w:t>
      </w:r>
      <w:proofErr w:type="spellEnd"/>
      <w:r w:rsidR="006B41C2" w:rsidRPr="00083DE8">
        <w:rPr>
          <w:rFonts w:ascii="Arial" w:hAnsi="Arial" w:cs="Arial"/>
          <w:sz w:val="20"/>
          <w:szCs w:val="20"/>
        </w:rPr>
        <w:t xml:space="preserve">, 20 </w:t>
      </w:r>
      <w:proofErr w:type="spellStart"/>
      <w:r w:rsidR="006B41C2" w:rsidRPr="00083DE8">
        <w:rPr>
          <w:rFonts w:ascii="Arial" w:hAnsi="Arial" w:cs="Arial"/>
          <w:sz w:val="20"/>
          <w:szCs w:val="20"/>
        </w:rPr>
        <w:t>mM</w:t>
      </w:r>
      <w:proofErr w:type="spellEnd"/>
      <w:r w:rsidR="006B41C2" w:rsidRPr="00083DE8">
        <w:rPr>
          <w:rFonts w:ascii="Arial" w:hAnsi="Arial" w:cs="Arial"/>
          <w:sz w:val="20"/>
          <w:szCs w:val="20"/>
        </w:rPr>
        <w:t xml:space="preserve"> EDTA (pH 8.0), 0.5 % sodium deoxycholate, 50 </w:t>
      </w:r>
      <w:proofErr w:type="spellStart"/>
      <w:r w:rsidR="006B41C2" w:rsidRPr="00083DE8">
        <w:rPr>
          <w:rFonts w:ascii="Arial" w:hAnsi="Arial" w:cs="Arial"/>
          <w:sz w:val="20"/>
          <w:szCs w:val="20"/>
        </w:rPr>
        <w:t>mM</w:t>
      </w:r>
      <w:proofErr w:type="spellEnd"/>
      <w:r w:rsidR="006B41C2" w:rsidRPr="00083DE8">
        <w:rPr>
          <w:rFonts w:ascii="Arial" w:hAnsi="Arial" w:cs="Arial"/>
          <w:sz w:val="20"/>
          <w:szCs w:val="20"/>
        </w:rPr>
        <w:t xml:space="preserve"> </w:t>
      </w:r>
      <w:proofErr w:type="spellStart"/>
      <w:r w:rsidR="006B41C2" w:rsidRPr="00083DE8">
        <w:rPr>
          <w:rFonts w:ascii="Arial" w:hAnsi="Arial" w:cs="Arial"/>
          <w:sz w:val="20"/>
          <w:szCs w:val="20"/>
        </w:rPr>
        <w:t>Tris-HCl</w:t>
      </w:r>
      <w:proofErr w:type="spellEnd"/>
      <w:r w:rsidR="006B41C2" w:rsidRPr="00083DE8">
        <w:rPr>
          <w:rFonts w:ascii="Arial" w:hAnsi="Arial" w:cs="Arial"/>
          <w:sz w:val="20"/>
          <w:szCs w:val="20"/>
        </w:rPr>
        <w:t xml:space="preserve"> (pH 8.0), 1% (v/v) NP-40, 20 </w:t>
      </w:r>
      <w:proofErr w:type="spellStart"/>
      <w:r w:rsidR="006B41C2" w:rsidRPr="00083DE8">
        <w:rPr>
          <w:rFonts w:ascii="Arial" w:hAnsi="Arial" w:cs="Arial"/>
          <w:sz w:val="20"/>
          <w:szCs w:val="20"/>
        </w:rPr>
        <w:t>mM</w:t>
      </w:r>
      <w:proofErr w:type="spellEnd"/>
      <w:r w:rsidR="006B41C2" w:rsidRPr="00083DE8">
        <w:rPr>
          <w:rFonts w:ascii="Arial" w:hAnsi="Arial" w:cs="Arial"/>
          <w:sz w:val="20"/>
          <w:szCs w:val="20"/>
        </w:rPr>
        <w:t xml:space="preserve"> Sodium Fluoride</w:t>
      </w:r>
      <w:r w:rsidR="000B1A38" w:rsidRPr="00083DE8">
        <w:rPr>
          <w:rFonts w:ascii="Arial" w:hAnsi="Arial" w:cs="Arial"/>
          <w:sz w:val="20"/>
          <w:szCs w:val="20"/>
        </w:rPr>
        <w:t>, 0.1% SDS</w:t>
      </w:r>
      <w:r w:rsidR="006B41C2" w:rsidRPr="00083DE8">
        <w:rPr>
          <w:rFonts w:ascii="Arial" w:hAnsi="Arial" w:cs="Arial"/>
          <w:sz w:val="20"/>
          <w:szCs w:val="20"/>
        </w:rPr>
        <w:t xml:space="preserve"> and protease inhibitors</w:t>
      </w:r>
      <w:r w:rsidR="005F79A9" w:rsidRPr="00083DE8">
        <w:rPr>
          <w:rFonts w:ascii="Arial" w:hAnsi="Arial" w:cs="Arial"/>
          <w:sz w:val="20"/>
          <w:szCs w:val="20"/>
        </w:rPr>
        <w:t xml:space="preserve">. </w:t>
      </w:r>
      <w:r w:rsidR="00C87E0B" w:rsidRPr="00083DE8">
        <w:rPr>
          <w:rFonts w:ascii="Arial" w:hAnsi="Arial" w:cs="Arial"/>
          <w:sz w:val="20"/>
          <w:szCs w:val="20"/>
          <w:lang w:val="en-IN"/>
        </w:rPr>
        <w:t xml:space="preserve">For sequencing, the DNA was isolated using phenol chloroform extraction. For this purpose, 50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of 10 </w:t>
      </w:r>
      <w:proofErr w:type="spellStart"/>
      <w:r w:rsidR="00C87E0B" w:rsidRPr="00083DE8">
        <w:rPr>
          <w:rFonts w:ascii="Arial" w:hAnsi="Arial" w:cs="Arial"/>
          <w:sz w:val="20"/>
          <w:szCs w:val="20"/>
          <w:lang w:val="en-IN"/>
        </w:rPr>
        <w:t>mM</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Tris</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HCl</w:t>
      </w:r>
      <w:proofErr w:type="spellEnd"/>
      <w:r w:rsidR="00C87E0B" w:rsidRPr="00083DE8">
        <w:rPr>
          <w:rFonts w:ascii="Arial" w:hAnsi="Arial" w:cs="Arial"/>
          <w:sz w:val="20"/>
          <w:szCs w:val="20"/>
          <w:lang w:val="en-IN"/>
        </w:rPr>
        <w:t xml:space="preserve"> pH 8.0 containing 10 </w:t>
      </w:r>
      <w:proofErr w:type="spellStart"/>
      <w:r w:rsidR="00C87E0B" w:rsidRPr="00083DE8">
        <w:rPr>
          <w:rFonts w:ascii="Arial" w:hAnsi="Arial" w:cs="Arial"/>
          <w:sz w:val="20"/>
          <w:szCs w:val="20"/>
          <w:lang w:val="en-IN"/>
        </w:rPr>
        <w:t>μg</w:t>
      </w:r>
      <w:proofErr w:type="spellEnd"/>
      <w:r w:rsidR="00C87E0B" w:rsidRPr="00083DE8">
        <w:rPr>
          <w:rFonts w:ascii="Arial" w:hAnsi="Arial" w:cs="Arial"/>
          <w:sz w:val="20"/>
          <w:szCs w:val="20"/>
          <w:lang w:val="en-IN"/>
        </w:rPr>
        <w:t xml:space="preserve"> of </w:t>
      </w:r>
      <w:proofErr w:type="spellStart"/>
      <w:r w:rsidR="00C87E0B" w:rsidRPr="00083DE8">
        <w:rPr>
          <w:rFonts w:ascii="Arial" w:hAnsi="Arial" w:cs="Arial"/>
          <w:sz w:val="20"/>
          <w:szCs w:val="20"/>
          <w:lang w:val="en-IN"/>
        </w:rPr>
        <w:t>RNAse</w:t>
      </w:r>
      <w:proofErr w:type="spellEnd"/>
      <w:r w:rsidR="00C87E0B" w:rsidRPr="00083DE8">
        <w:rPr>
          <w:rFonts w:ascii="Arial" w:hAnsi="Arial" w:cs="Arial"/>
          <w:sz w:val="20"/>
          <w:szCs w:val="20"/>
          <w:lang w:val="en-IN"/>
        </w:rPr>
        <w:t xml:space="preserve"> A was added to the already washed chromatin-bound beads as well as the input samples and incubated for 30 min at 37°C. Then, 50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of  buffer </w:t>
      </w:r>
      <w:r w:rsidR="000E2732" w:rsidRPr="00083DE8">
        <w:rPr>
          <w:rFonts w:ascii="Arial" w:hAnsi="Arial" w:cs="Arial"/>
          <w:sz w:val="20"/>
          <w:szCs w:val="20"/>
          <w:lang w:val="en-IN"/>
        </w:rPr>
        <w:t xml:space="preserve">containing </w:t>
      </w:r>
      <w:r w:rsidR="000E2732" w:rsidRPr="00083DE8">
        <w:rPr>
          <w:rFonts w:ascii="Arial" w:hAnsi="Arial" w:cs="Arial"/>
          <w:sz w:val="20"/>
          <w:szCs w:val="20"/>
        </w:rPr>
        <w:t xml:space="preserve">100 </w:t>
      </w:r>
      <w:proofErr w:type="spellStart"/>
      <w:r w:rsidR="000E2732" w:rsidRPr="00083DE8">
        <w:rPr>
          <w:rFonts w:ascii="Arial" w:hAnsi="Arial" w:cs="Arial"/>
          <w:sz w:val="20"/>
          <w:szCs w:val="20"/>
        </w:rPr>
        <w:t>mM</w:t>
      </w:r>
      <w:proofErr w:type="spellEnd"/>
      <w:r w:rsidR="000E2732" w:rsidRPr="00083DE8">
        <w:rPr>
          <w:rFonts w:ascii="Arial" w:hAnsi="Arial" w:cs="Arial"/>
          <w:sz w:val="20"/>
          <w:szCs w:val="20"/>
        </w:rPr>
        <w:t xml:space="preserve"> </w:t>
      </w:r>
      <w:proofErr w:type="spellStart"/>
      <w:r w:rsidR="000E2732" w:rsidRPr="00083DE8">
        <w:rPr>
          <w:rFonts w:ascii="Arial" w:hAnsi="Arial" w:cs="Arial"/>
          <w:sz w:val="20"/>
          <w:szCs w:val="20"/>
        </w:rPr>
        <w:t>Tris-HCl</w:t>
      </w:r>
      <w:proofErr w:type="spellEnd"/>
      <w:r w:rsidR="000E2732" w:rsidRPr="00083DE8">
        <w:rPr>
          <w:rFonts w:ascii="Arial" w:hAnsi="Arial" w:cs="Arial"/>
          <w:sz w:val="20"/>
          <w:szCs w:val="20"/>
        </w:rPr>
        <w:t xml:space="preserve"> (pH 8.0), 20 </w:t>
      </w:r>
      <w:proofErr w:type="spellStart"/>
      <w:r w:rsidR="000E2732" w:rsidRPr="00083DE8">
        <w:rPr>
          <w:rFonts w:ascii="Arial" w:hAnsi="Arial" w:cs="Arial"/>
          <w:sz w:val="20"/>
          <w:szCs w:val="20"/>
        </w:rPr>
        <w:t>mM</w:t>
      </w:r>
      <w:proofErr w:type="spellEnd"/>
      <w:r w:rsidR="000E2732" w:rsidRPr="00083DE8">
        <w:rPr>
          <w:rFonts w:ascii="Arial" w:hAnsi="Arial" w:cs="Arial"/>
          <w:sz w:val="20"/>
          <w:szCs w:val="20"/>
        </w:rPr>
        <w:t xml:space="preserve"> EDTA (pH 8.0), 2% SDS</w:t>
      </w:r>
      <w:r w:rsidR="000E2732" w:rsidRPr="00083DE8">
        <w:rPr>
          <w:rFonts w:ascii="Arial" w:hAnsi="Arial" w:cs="Arial"/>
          <w:sz w:val="20"/>
          <w:szCs w:val="20"/>
          <w:lang w:val="en-IN"/>
        </w:rPr>
        <w:t xml:space="preserve"> </w:t>
      </w:r>
      <w:r w:rsidR="00C87E0B" w:rsidRPr="00083DE8">
        <w:rPr>
          <w:rFonts w:ascii="Arial" w:hAnsi="Arial" w:cs="Arial"/>
          <w:sz w:val="20"/>
          <w:szCs w:val="20"/>
          <w:lang w:val="en-IN"/>
        </w:rPr>
        <w:t xml:space="preserve">and 20 </w:t>
      </w:r>
      <w:proofErr w:type="spellStart"/>
      <w:r w:rsidR="00C87E0B" w:rsidRPr="00083DE8">
        <w:rPr>
          <w:rFonts w:ascii="Arial" w:hAnsi="Arial" w:cs="Arial"/>
          <w:sz w:val="20"/>
          <w:szCs w:val="20"/>
          <w:lang w:val="en-IN"/>
        </w:rPr>
        <w:t>μg</w:t>
      </w:r>
      <w:proofErr w:type="spellEnd"/>
      <w:r w:rsidR="00C87E0B" w:rsidRPr="00083DE8">
        <w:rPr>
          <w:rFonts w:ascii="Arial" w:hAnsi="Arial" w:cs="Arial"/>
          <w:sz w:val="20"/>
          <w:szCs w:val="20"/>
          <w:lang w:val="en-IN"/>
        </w:rPr>
        <w:t xml:space="preserve"> of Proteinase K were added and the samples were incubated overnight at 65°C with a subsequent centrifugation step at 2,000g for 2 min at RT. The supernatant was collected, and the beads were rinsed again with 100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of 10 </w:t>
      </w:r>
      <w:proofErr w:type="spellStart"/>
      <w:r w:rsidR="00C87E0B" w:rsidRPr="00083DE8">
        <w:rPr>
          <w:rFonts w:ascii="Arial" w:hAnsi="Arial" w:cs="Arial"/>
          <w:sz w:val="20"/>
          <w:szCs w:val="20"/>
          <w:lang w:val="en-IN"/>
        </w:rPr>
        <w:t>mM</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Tris</w:t>
      </w:r>
      <w:proofErr w:type="spellEnd"/>
      <w:r w:rsidR="00C87E0B" w:rsidRPr="00083DE8">
        <w:rPr>
          <w:rFonts w:ascii="Arial" w:hAnsi="Arial" w:cs="Arial"/>
          <w:sz w:val="20"/>
          <w:szCs w:val="20"/>
          <w:lang w:val="en-IN"/>
        </w:rPr>
        <w:t xml:space="preserve"> pH 8.0. The samples were centrifuged and the supernatant was added to the first one. For extraction, 10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of 8 M </w:t>
      </w:r>
      <w:proofErr w:type="spellStart"/>
      <w:r w:rsidR="00C87E0B" w:rsidRPr="00083DE8">
        <w:rPr>
          <w:rFonts w:ascii="Arial" w:hAnsi="Arial" w:cs="Arial"/>
          <w:sz w:val="20"/>
          <w:szCs w:val="20"/>
          <w:lang w:val="en-IN"/>
        </w:rPr>
        <w:t>LiCl</w:t>
      </w:r>
      <w:proofErr w:type="spellEnd"/>
      <w:r w:rsidR="00C87E0B" w:rsidRPr="00083DE8">
        <w:rPr>
          <w:rFonts w:ascii="Arial" w:hAnsi="Arial" w:cs="Arial"/>
          <w:sz w:val="20"/>
          <w:szCs w:val="20"/>
          <w:lang w:val="en-IN"/>
        </w:rPr>
        <w:t xml:space="preserve">, 4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co-precipitant (linear polyac</w:t>
      </w:r>
      <w:r w:rsidR="000B1A38" w:rsidRPr="00083DE8">
        <w:rPr>
          <w:rFonts w:ascii="Arial" w:hAnsi="Arial" w:cs="Arial"/>
          <w:sz w:val="20"/>
          <w:szCs w:val="20"/>
          <w:lang w:val="en-IN"/>
        </w:rPr>
        <w:t>r</w:t>
      </w:r>
      <w:r w:rsidR="00C87E0B" w:rsidRPr="00083DE8">
        <w:rPr>
          <w:rFonts w:ascii="Arial" w:hAnsi="Arial" w:cs="Arial"/>
          <w:sz w:val="20"/>
          <w:szCs w:val="20"/>
          <w:lang w:val="en-IN"/>
        </w:rPr>
        <w:t xml:space="preserve">ylamide) and 200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phenol/chloroform/</w:t>
      </w:r>
      <w:proofErr w:type="spellStart"/>
      <w:r w:rsidR="00C87E0B" w:rsidRPr="00083DE8">
        <w:rPr>
          <w:rFonts w:ascii="Arial" w:hAnsi="Arial" w:cs="Arial"/>
          <w:sz w:val="20"/>
          <w:szCs w:val="20"/>
          <w:lang w:val="en-IN"/>
        </w:rPr>
        <w:t>isoamyl</w:t>
      </w:r>
      <w:proofErr w:type="spellEnd"/>
      <w:r w:rsidR="00C87E0B" w:rsidRPr="00083DE8">
        <w:rPr>
          <w:rFonts w:ascii="Arial" w:hAnsi="Arial" w:cs="Arial"/>
          <w:sz w:val="20"/>
          <w:szCs w:val="20"/>
          <w:lang w:val="en-IN"/>
        </w:rPr>
        <w:t xml:space="preserve"> alcohol (25:24:1) were added, samples were vortexed for 30 sec and centrifuged for 2 min at full speed. The aqueous phase was collected and the phenol phase was back extracted with 200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10 </w:t>
      </w:r>
      <w:proofErr w:type="spellStart"/>
      <w:r w:rsidR="00C87E0B" w:rsidRPr="00083DE8">
        <w:rPr>
          <w:rFonts w:ascii="Arial" w:hAnsi="Arial" w:cs="Arial"/>
          <w:sz w:val="20"/>
          <w:szCs w:val="20"/>
          <w:lang w:val="en-IN"/>
        </w:rPr>
        <w:t>mM</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Tris</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HCl</w:t>
      </w:r>
      <w:proofErr w:type="spellEnd"/>
      <w:r w:rsidR="00C87E0B" w:rsidRPr="00083DE8">
        <w:rPr>
          <w:rFonts w:ascii="Arial" w:hAnsi="Arial" w:cs="Arial"/>
          <w:sz w:val="20"/>
          <w:szCs w:val="20"/>
          <w:lang w:val="en-IN"/>
        </w:rPr>
        <w:t xml:space="preserve"> pH 8.0 and 400 </w:t>
      </w:r>
      <w:proofErr w:type="spellStart"/>
      <w:r w:rsidR="00C87E0B" w:rsidRPr="00083DE8">
        <w:rPr>
          <w:rFonts w:ascii="Arial" w:hAnsi="Arial" w:cs="Arial"/>
          <w:sz w:val="20"/>
          <w:szCs w:val="20"/>
          <w:lang w:val="en-IN"/>
        </w:rPr>
        <w:t>mM</w:t>
      </w:r>
      <w:proofErr w:type="spellEnd"/>
      <w:r w:rsidR="00C87E0B" w:rsidRPr="00083DE8">
        <w:rPr>
          <w:rFonts w:ascii="Arial" w:hAnsi="Arial" w:cs="Arial"/>
          <w:sz w:val="20"/>
          <w:szCs w:val="20"/>
          <w:lang w:val="en-IN"/>
        </w:rPr>
        <w:t xml:space="preserve"> </w:t>
      </w:r>
      <w:proofErr w:type="spellStart"/>
      <w:r w:rsidR="00C87E0B" w:rsidRPr="00083DE8">
        <w:rPr>
          <w:rFonts w:ascii="Arial" w:hAnsi="Arial" w:cs="Arial"/>
          <w:sz w:val="20"/>
          <w:szCs w:val="20"/>
          <w:lang w:val="en-IN"/>
        </w:rPr>
        <w:t>LiCl</w:t>
      </w:r>
      <w:proofErr w:type="spellEnd"/>
      <w:r w:rsidR="00C87E0B" w:rsidRPr="00083DE8">
        <w:rPr>
          <w:rFonts w:ascii="Arial" w:hAnsi="Arial" w:cs="Arial"/>
          <w:sz w:val="20"/>
          <w:szCs w:val="20"/>
          <w:lang w:val="en-IN"/>
        </w:rPr>
        <w:t xml:space="preserve">. After </w:t>
      </w:r>
      <w:proofErr w:type="spellStart"/>
      <w:r w:rsidR="00C87E0B" w:rsidRPr="00083DE8">
        <w:rPr>
          <w:rFonts w:ascii="Arial" w:hAnsi="Arial" w:cs="Arial"/>
          <w:sz w:val="20"/>
          <w:szCs w:val="20"/>
          <w:lang w:val="en-IN"/>
        </w:rPr>
        <w:t>vortexing</w:t>
      </w:r>
      <w:proofErr w:type="spellEnd"/>
      <w:r w:rsidR="00C87E0B" w:rsidRPr="00083DE8">
        <w:rPr>
          <w:rFonts w:ascii="Arial" w:hAnsi="Arial" w:cs="Arial"/>
          <w:sz w:val="20"/>
          <w:szCs w:val="20"/>
          <w:lang w:val="en-IN"/>
        </w:rPr>
        <w:t xml:space="preserve"> and centrifugation, the second aqueous phase was pooled with the first one and </w:t>
      </w:r>
      <w:r w:rsidR="00C87E0B" w:rsidRPr="00083DE8">
        <w:rPr>
          <w:rFonts w:ascii="Arial" w:hAnsi="Arial" w:cs="Arial"/>
          <w:sz w:val="20"/>
          <w:szCs w:val="20"/>
        </w:rPr>
        <w:t xml:space="preserve">precipitation was performed by addition of 100% </w:t>
      </w:r>
      <w:proofErr w:type="spellStart"/>
      <w:r w:rsidR="00C87E0B" w:rsidRPr="00083DE8">
        <w:rPr>
          <w:rFonts w:ascii="Arial" w:hAnsi="Arial" w:cs="Arial"/>
          <w:sz w:val="20"/>
          <w:szCs w:val="20"/>
        </w:rPr>
        <w:t>EtOH</w:t>
      </w:r>
      <w:proofErr w:type="spellEnd"/>
      <w:r w:rsidR="00C87E0B" w:rsidRPr="00083DE8">
        <w:rPr>
          <w:rFonts w:ascii="Arial" w:hAnsi="Arial" w:cs="Arial"/>
          <w:sz w:val="20"/>
          <w:szCs w:val="20"/>
        </w:rPr>
        <w:t xml:space="preserve"> and incubation for 2 h at -80°C. After that, samples were centrifuged at maximal speed for 30 min (4°C)</w:t>
      </w:r>
      <w:proofErr w:type="gramStart"/>
      <w:r w:rsidR="00C87E0B" w:rsidRPr="00083DE8">
        <w:rPr>
          <w:rFonts w:ascii="Arial" w:hAnsi="Arial" w:cs="Arial"/>
          <w:sz w:val="20"/>
          <w:szCs w:val="20"/>
        </w:rPr>
        <w:t>,</w:t>
      </w:r>
      <w:proofErr w:type="gramEnd"/>
      <w:r w:rsidR="00C87E0B" w:rsidRPr="00083DE8">
        <w:rPr>
          <w:rFonts w:ascii="Arial" w:hAnsi="Arial" w:cs="Arial"/>
          <w:sz w:val="20"/>
          <w:szCs w:val="20"/>
        </w:rPr>
        <w:t xml:space="preserve"> pellets were washed with 70% ethanol, dried on vacuum concentrator and re-dissolved in 40 </w:t>
      </w:r>
      <w:proofErr w:type="spellStart"/>
      <w:r w:rsidR="00C87E0B" w:rsidRPr="00083DE8">
        <w:rPr>
          <w:rFonts w:ascii="Arial" w:hAnsi="Arial" w:cs="Arial"/>
          <w:sz w:val="20"/>
          <w:szCs w:val="20"/>
        </w:rPr>
        <w:t>μl</w:t>
      </w:r>
      <w:proofErr w:type="spellEnd"/>
      <w:r w:rsidR="00C87E0B" w:rsidRPr="00083DE8">
        <w:rPr>
          <w:rFonts w:ascii="Arial" w:hAnsi="Arial" w:cs="Arial"/>
          <w:sz w:val="20"/>
          <w:szCs w:val="20"/>
        </w:rPr>
        <w:t xml:space="preserve"> of water. </w:t>
      </w:r>
      <w:r w:rsidR="00C87E0B" w:rsidRPr="00083DE8">
        <w:rPr>
          <w:rFonts w:ascii="Arial" w:hAnsi="Arial" w:cs="Arial"/>
          <w:sz w:val="20"/>
          <w:szCs w:val="20"/>
          <w:lang w:val="en-IN"/>
        </w:rPr>
        <w:t xml:space="preserve">5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of the DNA was used for </w:t>
      </w:r>
      <w:proofErr w:type="spellStart"/>
      <w:r w:rsidR="00C87E0B" w:rsidRPr="00083DE8">
        <w:rPr>
          <w:rFonts w:ascii="Arial" w:hAnsi="Arial" w:cs="Arial"/>
          <w:sz w:val="20"/>
          <w:szCs w:val="20"/>
          <w:lang w:val="en-IN"/>
        </w:rPr>
        <w:t>qRT</w:t>
      </w:r>
      <w:proofErr w:type="spellEnd"/>
      <w:r w:rsidR="00C87E0B" w:rsidRPr="00083DE8">
        <w:rPr>
          <w:rFonts w:ascii="Arial" w:hAnsi="Arial" w:cs="Arial"/>
          <w:sz w:val="20"/>
          <w:szCs w:val="20"/>
          <w:lang w:val="en-IN"/>
        </w:rPr>
        <w:t xml:space="preserve">-PCR to confirm the efficient chromatin immunoprecipitation and 35 </w:t>
      </w:r>
      <w:proofErr w:type="spellStart"/>
      <w:r w:rsidR="00C87E0B" w:rsidRPr="00083DE8">
        <w:rPr>
          <w:rFonts w:ascii="Arial" w:hAnsi="Arial" w:cs="Arial"/>
          <w:sz w:val="20"/>
          <w:szCs w:val="20"/>
          <w:lang w:val="en-IN"/>
        </w:rPr>
        <w:t>μl</w:t>
      </w:r>
      <w:proofErr w:type="spellEnd"/>
      <w:r w:rsidR="00C87E0B" w:rsidRPr="00083DE8">
        <w:rPr>
          <w:rFonts w:ascii="Arial" w:hAnsi="Arial" w:cs="Arial"/>
          <w:sz w:val="20"/>
          <w:szCs w:val="20"/>
          <w:lang w:val="en-IN"/>
        </w:rPr>
        <w:t xml:space="preserve"> for ChIP-seq. DNA concentration was measured using a Qubit dsDNA HS assay on a Qubit® 2.0 </w:t>
      </w:r>
      <w:proofErr w:type="spellStart"/>
      <w:r w:rsidR="00C87E0B" w:rsidRPr="00083DE8">
        <w:rPr>
          <w:rFonts w:ascii="Arial" w:hAnsi="Arial" w:cs="Arial"/>
          <w:sz w:val="20"/>
          <w:szCs w:val="20"/>
          <w:lang w:val="en-IN"/>
        </w:rPr>
        <w:t>Fluorometer</w:t>
      </w:r>
      <w:proofErr w:type="spellEnd"/>
      <w:r w:rsidR="00C87E0B" w:rsidRPr="00083DE8">
        <w:rPr>
          <w:rFonts w:ascii="Arial" w:hAnsi="Arial" w:cs="Arial"/>
          <w:sz w:val="20"/>
          <w:szCs w:val="20"/>
          <w:lang w:val="en-IN"/>
        </w:rPr>
        <w:t>.</w:t>
      </w:r>
    </w:p>
    <w:p w:rsidR="00C87E0B" w:rsidRPr="00083DE8" w:rsidRDefault="00C87E0B" w:rsidP="00F44C4C">
      <w:pPr>
        <w:spacing w:line="240" w:lineRule="auto"/>
        <w:jc w:val="both"/>
        <w:rPr>
          <w:rFonts w:ascii="Arial" w:hAnsi="Arial" w:cs="Arial"/>
          <w:sz w:val="20"/>
          <w:szCs w:val="20"/>
          <w:lang w:val="en-IN"/>
        </w:rPr>
      </w:pPr>
      <w:r w:rsidRPr="00083DE8">
        <w:rPr>
          <w:rFonts w:ascii="Arial" w:hAnsi="Arial" w:cs="Arial"/>
          <w:sz w:val="20"/>
          <w:szCs w:val="20"/>
          <w:lang w:val="en-IN"/>
        </w:rPr>
        <w:lastRenderedPageBreak/>
        <w:t xml:space="preserve">The efficiency of sonication was determined by performing a shearing check. Briefly, 10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sheared chromatin was used for phenol chloroform extraction. After resuspension of the DNA in 15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10 </w:t>
      </w:r>
      <w:proofErr w:type="spellStart"/>
      <w:r w:rsidRPr="00083DE8">
        <w:rPr>
          <w:rFonts w:ascii="Arial" w:hAnsi="Arial" w:cs="Arial"/>
          <w:sz w:val="20"/>
          <w:szCs w:val="20"/>
          <w:lang w:val="en-IN"/>
        </w:rPr>
        <w:t>mM</w:t>
      </w:r>
      <w:proofErr w:type="spellEnd"/>
      <w:r w:rsidRPr="00083DE8">
        <w:rPr>
          <w:rFonts w:ascii="Arial" w:hAnsi="Arial" w:cs="Arial"/>
          <w:sz w:val="20"/>
          <w:szCs w:val="20"/>
          <w:lang w:val="en-IN"/>
        </w:rPr>
        <w:t xml:space="preserve"> </w:t>
      </w:r>
      <w:proofErr w:type="spellStart"/>
      <w:r w:rsidRPr="00083DE8">
        <w:rPr>
          <w:rFonts w:ascii="Arial" w:hAnsi="Arial" w:cs="Arial"/>
          <w:sz w:val="20"/>
          <w:szCs w:val="20"/>
          <w:lang w:val="en-IN"/>
        </w:rPr>
        <w:t>Tris</w:t>
      </w:r>
      <w:proofErr w:type="spellEnd"/>
      <w:r w:rsidRPr="00083DE8">
        <w:rPr>
          <w:rFonts w:ascii="Arial" w:hAnsi="Arial" w:cs="Arial"/>
          <w:sz w:val="20"/>
          <w:szCs w:val="20"/>
          <w:lang w:val="en-IN"/>
        </w:rPr>
        <w:t xml:space="preserve"> </w:t>
      </w:r>
      <w:proofErr w:type="spellStart"/>
      <w:r w:rsidRPr="00083DE8">
        <w:rPr>
          <w:rFonts w:ascii="Arial" w:hAnsi="Arial" w:cs="Arial"/>
          <w:sz w:val="20"/>
          <w:szCs w:val="20"/>
          <w:lang w:val="en-IN"/>
        </w:rPr>
        <w:t>HCl</w:t>
      </w:r>
      <w:proofErr w:type="spellEnd"/>
      <w:r w:rsidRPr="00083DE8">
        <w:rPr>
          <w:rFonts w:ascii="Arial" w:hAnsi="Arial" w:cs="Arial"/>
          <w:sz w:val="20"/>
          <w:szCs w:val="20"/>
          <w:lang w:val="en-IN"/>
        </w:rPr>
        <w:t xml:space="preserve"> pH 8.0, 100 </w:t>
      </w:r>
      <w:proofErr w:type="spellStart"/>
      <w:r w:rsidRPr="00083DE8">
        <w:rPr>
          <w:rFonts w:ascii="Arial" w:hAnsi="Arial" w:cs="Arial"/>
          <w:sz w:val="20"/>
          <w:szCs w:val="20"/>
          <w:lang w:val="en-IN"/>
        </w:rPr>
        <w:t>μg</w:t>
      </w:r>
      <w:proofErr w:type="spellEnd"/>
      <w:r w:rsidRPr="00083DE8">
        <w:rPr>
          <w:rFonts w:ascii="Arial" w:hAnsi="Arial" w:cs="Arial"/>
          <w:sz w:val="20"/>
          <w:szCs w:val="20"/>
          <w:lang w:val="en-IN"/>
        </w:rPr>
        <w:t xml:space="preserve">/ml </w:t>
      </w:r>
      <w:proofErr w:type="spellStart"/>
      <w:r w:rsidRPr="00083DE8">
        <w:rPr>
          <w:rFonts w:ascii="Arial" w:hAnsi="Arial" w:cs="Arial"/>
          <w:sz w:val="20"/>
          <w:szCs w:val="20"/>
          <w:lang w:val="en-IN"/>
        </w:rPr>
        <w:t>RNAse</w:t>
      </w:r>
      <w:proofErr w:type="spellEnd"/>
      <w:r w:rsidRPr="00083DE8">
        <w:rPr>
          <w:rFonts w:ascii="Arial" w:hAnsi="Arial" w:cs="Arial"/>
          <w:sz w:val="20"/>
          <w:szCs w:val="20"/>
          <w:lang w:val="en-IN"/>
        </w:rPr>
        <w:t xml:space="preserve"> A was added and the mixture was incubated for 1 h at 37°C (700 rpm). The DNA was then run on a 1.5% agarose gel and analyzed on the gel documentation. Efficient shearing consisted of a smear from about 150 to 1 kb with a maximum around 200-400 </w:t>
      </w:r>
      <w:proofErr w:type="spellStart"/>
      <w:r w:rsidRPr="00083DE8">
        <w:rPr>
          <w:rFonts w:ascii="Arial" w:hAnsi="Arial" w:cs="Arial"/>
          <w:sz w:val="20"/>
          <w:szCs w:val="20"/>
          <w:lang w:val="en-IN"/>
        </w:rPr>
        <w:t>bp.</w:t>
      </w:r>
      <w:proofErr w:type="spellEnd"/>
      <w:r w:rsidRPr="00083DE8">
        <w:rPr>
          <w:rFonts w:ascii="Arial" w:hAnsi="Arial" w:cs="Arial"/>
          <w:sz w:val="20"/>
          <w:szCs w:val="20"/>
          <w:lang w:val="en-IN"/>
        </w:rPr>
        <w:t xml:space="preserve"> ChIP-seq library preparation was performed using </w:t>
      </w:r>
      <w:proofErr w:type="spellStart"/>
      <w:r w:rsidRPr="00083DE8">
        <w:rPr>
          <w:rFonts w:ascii="Arial" w:hAnsi="Arial" w:cs="Arial"/>
          <w:sz w:val="20"/>
          <w:szCs w:val="20"/>
          <w:lang w:val="en-IN"/>
        </w:rPr>
        <w:t>NEBNext</w:t>
      </w:r>
      <w:proofErr w:type="spellEnd"/>
      <w:r w:rsidRPr="00083DE8">
        <w:rPr>
          <w:rFonts w:ascii="Arial" w:hAnsi="Arial" w:cs="Arial"/>
          <w:sz w:val="20"/>
          <w:szCs w:val="20"/>
          <w:lang w:val="en-IN"/>
        </w:rPr>
        <w:t xml:space="preserve"> Ultra DNA library prep kit for Illumina (E7370</w:t>
      </w:r>
      <w:r w:rsidR="00D159D1" w:rsidRPr="00083DE8">
        <w:rPr>
          <w:rFonts w:ascii="Arial" w:hAnsi="Arial" w:cs="Arial"/>
          <w:sz w:val="20"/>
          <w:szCs w:val="20"/>
          <w:lang w:val="en-IN"/>
        </w:rPr>
        <w:t>, NEB, United States</w:t>
      </w:r>
      <w:r w:rsidRPr="00083DE8">
        <w:rPr>
          <w:rFonts w:ascii="Arial" w:hAnsi="Arial" w:cs="Arial"/>
          <w:sz w:val="20"/>
          <w:szCs w:val="20"/>
          <w:lang w:val="en-IN"/>
        </w:rPr>
        <w:t xml:space="preserve">) as per manual’s instructions. 5 - 50 ng of fragmented DNA from ChIP was </w:t>
      </w:r>
      <w:proofErr w:type="spellStart"/>
      <w:r w:rsidRPr="00083DE8">
        <w:rPr>
          <w:rFonts w:ascii="Arial" w:hAnsi="Arial" w:cs="Arial"/>
          <w:sz w:val="20"/>
          <w:szCs w:val="20"/>
          <w:lang w:val="en-IN"/>
        </w:rPr>
        <w:t>resonicated</w:t>
      </w:r>
      <w:proofErr w:type="spellEnd"/>
      <w:r w:rsidRPr="00083DE8">
        <w:rPr>
          <w:rFonts w:ascii="Arial" w:hAnsi="Arial" w:cs="Arial"/>
          <w:sz w:val="20"/>
          <w:szCs w:val="20"/>
          <w:lang w:val="en-IN"/>
        </w:rPr>
        <w:t xml:space="preserve"> for 15 min in </w:t>
      </w:r>
      <w:proofErr w:type="spellStart"/>
      <w:r w:rsidRPr="00083DE8">
        <w:rPr>
          <w:rFonts w:ascii="Arial" w:hAnsi="Arial" w:cs="Arial"/>
          <w:sz w:val="20"/>
          <w:szCs w:val="20"/>
          <w:lang w:val="en-IN"/>
        </w:rPr>
        <w:t>Bioruptor</w:t>
      </w:r>
      <w:proofErr w:type="spellEnd"/>
      <w:r w:rsidRPr="00083DE8">
        <w:rPr>
          <w:rFonts w:ascii="Arial" w:hAnsi="Arial" w:cs="Arial"/>
          <w:sz w:val="20"/>
          <w:szCs w:val="20"/>
          <w:lang w:val="en-IN"/>
        </w:rPr>
        <w:t xml:space="preserve"> to ensure small fragments suitable for sequencing. End preparation was performed by adding end prep enzyme mix and end repair reaction buffer (10X) to a final reaction volume of 65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Samples were placed on a thermocycler with cycles of 20°C for 30 min and 65°C for 30 min followed by adaptor ligation with blunt/TA ligase master mix, </w:t>
      </w:r>
      <w:proofErr w:type="spellStart"/>
      <w:r w:rsidRPr="00083DE8">
        <w:rPr>
          <w:rFonts w:ascii="Arial" w:hAnsi="Arial" w:cs="Arial"/>
          <w:sz w:val="20"/>
          <w:szCs w:val="20"/>
          <w:lang w:val="en-IN"/>
        </w:rPr>
        <w:t>NEBNext</w:t>
      </w:r>
      <w:proofErr w:type="spellEnd"/>
      <w:r w:rsidRPr="00083DE8">
        <w:rPr>
          <w:rFonts w:ascii="Arial" w:hAnsi="Arial" w:cs="Arial"/>
          <w:sz w:val="20"/>
          <w:szCs w:val="20"/>
          <w:lang w:val="en-IN"/>
        </w:rPr>
        <w:t xml:space="preserve"> adaptor and</w:t>
      </w:r>
      <w:r w:rsidR="008D73C0" w:rsidRPr="00083DE8">
        <w:rPr>
          <w:rFonts w:ascii="Arial" w:hAnsi="Arial" w:cs="Arial"/>
          <w:sz w:val="20"/>
          <w:szCs w:val="20"/>
          <w:lang w:val="en-IN"/>
        </w:rPr>
        <w:t xml:space="preserve"> </w:t>
      </w:r>
      <w:r w:rsidRPr="00083DE8">
        <w:rPr>
          <w:rFonts w:ascii="Arial" w:hAnsi="Arial" w:cs="Arial"/>
          <w:sz w:val="20"/>
          <w:szCs w:val="20"/>
          <w:lang w:val="en-IN"/>
        </w:rPr>
        <w:t xml:space="preserve">ligation enhancer to a final volume of 83.5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Samples were incubated at 20°C for 15 min, then 3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User enzyme was added and placed at 37°C for 15 min. Adaptor – ligated DNA was cleaned up using 0.9x </w:t>
      </w:r>
      <w:proofErr w:type="spellStart"/>
      <w:r w:rsidRPr="00083DE8">
        <w:rPr>
          <w:rFonts w:ascii="Arial" w:hAnsi="Arial" w:cs="Arial"/>
          <w:sz w:val="20"/>
          <w:szCs w:val="20"/>
          <w:lang w:val="en-IN"/>
        </w:rPr>
        <w:t>AMPure</w:t>
      </w:r>
      <w:proofErr w:type="spellEnd"/>
      <w:r w:rsidRPr="00083DE8">
        <w:rPr>
          <w:rFonts w:ascii="Arial" w:hAnsi="Arial" w:cs="Arial"/>
          <w:sz w:val="20"/>
          <w:szCs w:val="20"/>
          <w:lang w:val="en-IN"/>
        </w:rPr>
        <w:t xml:space="preserve"> XP beads on magnetic stand and finally DNA was resuspended in 28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10 </w:t>
      </w:r>
      <w:proofErr w:type="spellStart"/>
      <w:r w:rsidRPr="00083DE8">
        <w:rPr>
          <w:rFonts w:ascii="Arial" w:hAnsi="Arial" w:cs="Arial"/>
          <w:sz w:val="20"/>
          <w:szCs w:val="20"/>
          <w:lang w:val="en-IN"/>
        </w:rPr>
        <w:t>mM</w:t>
      </w:r>
      <w:proofErr w:type="spellEnd"/>
      <w:r w:rsidRPr="00083DE8">
        <w:rPr>
          <w:rFonts w:ascii="Arial" w:hAnsi="Arial" w:cs="Arial"/>
          <w:sz w:val="20"/>
          <w:szCs w:val="20"/>
          <w:lang w:val="en-IN"/>
        </w:rPr>
        <w:t xml:space="preserve"> </w:t>
      </w:r>
      <w:proofErr w:type="spellStart"/>
      <w:r w:rsidRPr="00083DE8">
        <w:rPr>
          <w:rFonts w:ascii="Arial" w:hAnsi="Arial" w:cs="Arial"/>
          <w:sz w:val="20"/>
          <w:szCs w:val="20"/>
          <w:lang w:val="en-IN"/>
        </w:rPr>
        <w:t>Tris</w:t>
      </w:r>
      <w:proofErr w:type="spellEnd"/>
      <w:r w:rsidRPr="00083DE8">
        <w:rPr>
          <w:rFonts w:ascii="Arial" w:hAnsi="Arial" w:cs="Arial"/>
          <w:sz w:val="20"/>
          <w:szCs w:val="20"/>
          <w:lang w:val="en-IN"/>
        </w:rPr>
        <w:t xml:space="preserve"> pH 8.0. From this, 23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DNA was used for PCR amplification followed by clean</w:t>
      </w:r>
      <w:r w:rsidR="00143CDD" w:rsidRPr="00083DE8">
        <w:rPr>
          <w:rFonts w:ascii="Arial" w:hAnsi="Arial" w:cs="Arial"/>
          <w:sz w:val="20"/>
          <w:szCs w:val="20"/>
          <w:lang w:val="en-IN"/>
        </w:rPr>
        <w:t>ing</w:t>
      </w:r>
      <w:r w:rsidRPr="00083DE8">
        <w:rPr>
          <w:rFonts w:ascii="Arial" w:hAnsi="Arial" w:cs="Arial"/>
          <w:sz w:val="20"/>
          <w:szCs w:val="20"/>
          <w:lang w:val="en-IN"/>
        </w:rPr>
        <w:t xml:space="preserve"> up of PCR amplified product using </w:t>
      </w:r>
      <w:proofErr w:type="spellStart"/>
      <w:r w:rsidR="00D159D1" w:rsidRPr="00083DE8">
        <w:rPr>
          <w:rFonts w:ascii="Arial" w:hAnsi="Arial" w:cs="Arial"/>
          <w:sz w:val="20"/>
          <w:szCs w:val="20"/>
          <w:lang w:val="en-IN"/>
        </w:rPr>
        <w:t>Agencourt</w:t>
      </w:r>
      <w:proofErr w:type="spellEnd"/>
      <w:r w:rsidR="00D159D1" w:rsidRPr="00083DE8">
        <w:rPr>
          <w:rFonts w:ascii="Arial" w:hAnsi="Arial" w:cs="Arial"/>
          <w:sz w:val="20"/>
          <w:szCs w:val="20"/>
          <w:lang w:val="en-IN"/>
        </w:rPr>
        <w:t xml:space="preserve"> </w:t>
      </w:r>
      <w:proofErr w:type="spellStart"/>
      <w:r w:rsidRPr="00083DE8">
        <w:rPr>
          <w:rFonts w:ascii="Arial" w:hAnsi="Arial" w:cs="Arial"/>
          <w:sz w:val="20"/>
          <w:szCs w:val="20"/>
          <w:lang w:val="en-IN"/>
        </w:rPr>
        <w:t>AMPure</w:t>
      </w:r>
      <w:proofErr w:type="spellEnd"/>
      <w:r w:rsidRPr="00083DE8">
        <w:rPr>
          <w:rFonts w:ascii="Arial" w:hAnsi="Arial" w:cs="Arial"/>
          <w:sz w:val="20"/>
          <w:szCs w:val="20"/>
          <w:lang w:val="en-IN"/>
        </w:rPr>
        <w:t xml:space="preserve"> XP beads</w:t>
      </w:r>
      <w:r w:rsidR="00D159D1" w:rsidRPr="00083DE8">
        <w:rPr>
          <w:rFonts w:ascii="Arial" w:hAnsi="Arial" w:cs="Arial"/>
          <w:sz w:val="20"/>
          <w:szCs w:val="20"/>
          <w:lang w:val="en-IN"/>
        </w:rPr>
        <w:t xml:space="preserve"> (Beckman Coulter, United States)</w:t>
      </w:r>
      <w:r w:rsidRPr="00083DE8">
        <w:rPr>
          <w:rFonts w:ascii="Arial" w:hAnsi="Arial" w:cs="Arial"/>
          <w:sz w:val="20"/>
          <w:szCs w:val="20"/>
          <w:lang w:val="en-IN"/>
        </w:rPr>
        <w:t xml:space="preserve">. The DNA was resuspended in 33 </w:t>
      </w:r>
      <w:proofErr w:type="spellStart"/>
      <w:r w:rsidRPr="00083DE8">
        <w:rPr>
          <w:rFonts w:ascii="Arial" w:hAnsi="Arial" w:cs="Arial"/>
          <w:sz w:val="20"/>
          <w:szCs w:val="20"/>
          <w:lang w:val="en-IN"/>
        </w:rPr>
        <w:t>μl</w:t>
      </w:r>
      <w:proofErr w:type="spellEnd"/>
      <w:r w:rsidRPr="00083DE8">
        <w:rPr>
          <w:rFonts w:ascii="Arial" w:hAnsi="Arial" w:cs="Arial"/>
          <w:sz w:val="20"/>
          <w:szCs w:val="20"/>
          <w:lang w:val="en-IN"/>
        </w:rPr>
        <w:t xml:space="preserve"> of 10 </w:t>
      </w:r>
      <w:proofErr w:type="spellStart"/>
      <w:r w:rsidRPr="00083DE8">
        <w:rPr>
          <w:rFonts w:ascii="Arial" w:hAnsi="Arial" w:cs="Arial"/>
          <w:sz w:val="20"/>
          <w:szCs w:val="20"/>
          <w:lang w:val="en-IN"/>
        </w:rPr>
        <w:t>mM</w:t>
      </w:r>
      <w:proofErr w:type="spellEnd"/>
      <w:r w:rsidRPr="00083DE8">
        <w:rPr>
          <w:rFonts w:ascii="Arial" w:hAnsi="Arial" w:cs="Arial"/>
          <w:sz w:val="20"/>
          <w:szCs w:val="20"/>
          <w:lang w:val="en-IN"/>
        </w:rPr>
        <w:t xml:space="preserve"> </w:t>
      </w:r>
      <w:proofErr w:type="spellStart"/>
      <w:r w:rsidRPr="00083DE8">
        <w:rPr>
          <w:rFonts w:ascii="Arial" w:hAnsi="Arial" w:cs="Arial"/>
          <w:sz w:val="20"/>
          <w:szCs w:val="20"/>
          <w:lang w:val="en-IN"/>
        </w:rPr>
        <w:t>Tris</w:t>
      </w:r>
      <w:proofErr w:type="spellEnd"/>
      <w:r w:rsidRPr="00083DE8">
        <w:rPr>
          <w:rFonts w:ascii="Arial" w:hAnsi="Arial" w:cs="Arial"/>
          <w:sz w:val="20"/>
          <w:szCs w:val="20"/>
          <w:lang w:val="en-IN"/>
        </w:rPr>
        <w:t xml:space="preserve"> pH 8.0 and </w:t>
      </w:r>
      <w:proofErr w:type="spellStart"/>
      <w:r w:rsidRPr="00083DE8">
        <w:rPr>
          <w:rFonts w:ascii="Arial" w:hAnsi="Arial" w:cs="Arial"/>
          <w:sz w:val="20"/>
          <w:szCs w:val="20"/>
          <w:lang w:val="en-IN"/>
        </w:rPr>
        <w:t>analyzed</w:t>
      </w:r>
      <w:proofErr w:type="spellEnd"/>
      <w:r w:rsidRPr="00083DE8">
        <w:rPr>
          <w:rFonts w:ascii="Arial" w:hAnsi="Arial" w:cs="Arial"/>
          <w:sz w:val="20"/>
          <w:szCs w:val="20"/>
          <w:lang w:val="en-IN"/>
        </w:rPr>
        <w:t xml:space="preserve"> on </w:t>
      </w:r>
      <w:proofErr w:type="spellStart"/>
      <w:r w:rsidRPr="00083DE8">
        <w:rPr>
          <w:rFonts w:ascii="Arial" w:hAnsi="Arial" w:cs="Arial"/>
          <w:sz w:val="20"/>
          <w:szCs w:val="20"/>
          <w:lang w:val="en-IN"/>
        </w:rPr>
        <w:t>Bioanalyzer</w:t>
      </w:r>
      <w:proofErr w:type="spellEnd"/>
      <w:r w:rsidRPr="00083DE8">
        <w:rPr>
          <w:rFonts w:ascii="Arial" w:hAnsi="Arial" w:cs="Arial"/>
          <w:sz w:val="20"/>
          <w:szCs w:val="20"/>
          <w:lang w:val="en-IN"/>
        </w:rPr>
        <w:t xml:space="preserve">. Quantitation of cDNA libraries was done on an Invitrogen Qubit 2.0 </w:t>
      </w:r>
      <w:proofErr w:type="spellStart"/>
      <w:r w:rsidRPr="00083DE8">
        <w:rPr>
          <w:rFonts w:ascii="Arial" w:hAnsi="Arial" w:cs="Arial"/>
          <w:sz w:val="20"/>
          <w:szCs w:val="20"/>
          <w:lang w:val="en-IN"/>
        </w:rPr>
        <w:t>Fluorometer</w:t>
      </w:r>
      <w:proofErr w:type="spellEnd"/>
      <w:r w:rsidRPr="00083DE8">
        <w:rPr>
          <w:rFonts w:ascii="Arial" w:hAnsi="Arial" w:cs="Arial"/>
          <w:sz w:val="20"/>
          <w:szCs w:val="20"/>
          <w:lang w:val="en-IN"/>
        </w:rPr>
        <w:t xml:space="preserve"> </w:t>
      </w:r>
      <w:r w:rsidR="00D159D1" w:rsidRPr="00083DE8">
        <w:rPr>
          <w:rFonts w:ascii="Arial" w:hAnsi="Arial" w:cs="Arial"/>
          <w:sz w:val="20"/>
          <w:szCs w:val="20"/>
          <w:lang w:val="en-IN"/>
        </w:rPr>
        <w:t>(</w:t>
      </w:r>
      <w:proofErr w:type="spellStart"/>
      <w:r w:rsidR="00D159D1" w:rsidRPr="00083DE8">
        <w:rPr>
          <w:rFonts w:ascii="Arial" w:hAnsi="Arial" w:cs="Arial"/>
          <w:sz w:val="20"/>
          <w:szCs w:val="20"/>
          <w:lang w:val="en-IN"/>
        </w:rPr>
        <w:t>Thermo</w:t>
      </w:r>
      <w:proofErr w:type="spellEnd"/>
      <w:r w:rsidR="00D159D1" w:rsidRPr="00083DE8">
        <w:rPr>
          <w:rFonts w:ascii="Arial" w:hAnsi="Arial" w:cs="Arial"/>
          <w:sz w:val="20"/>
          <w:szCs w:val="20"/>
          <w:lang w:val="en-IN"/>
        </w:rPr>
        <w:t xml:space="preserve"> fisher Scientific, United States) </w:t>
      </w:r>
      <w:r w:rsidRPr="00083DE8">
        <w:rPr>
          <w:rFonts w:ascii="Arial" w:hAnsi="Arial" w:cs="Arial"/>
          <w:sz w:val="20"/>
          <w:szCs w:val="20"/>
          <w:lang w:val="en-IN"/>
        </w:rPr>
        <w:t xml:space="preserve">and the size range of cDNA libraries was performed on an Agilent </w:t>
      </w:r>
      <w:proofErr w:type="spellStart"/>
      <w:r w:rsidRPr="00083DE8">
        <w:rPr>
          <w:rFonts w:ascii="Arial" w:hAnsi="Arial" w:cs="Arial"/>
          <w:sz w:val="20"/>
          <w:szCs w:val="20"/>
          <w:lang w:val="en-IN"/>
        </w:rPr>
        <w:t>Bioanalyzer</w:t>
      </w:r>
      <w:proofErr w:type="spellEnd"/>
      <w:r w:rsidRPr="00083DE8">
        <w:rPr>
          <w:rFonts w:ascii="Arial" w:hAnsi="Arial" w:cs="Arial"/>
          <w:sz w:val="20"/>
          <w:szCs w:val="20"/>
          <w:lang w:val="en-IN"/>
        </w:rPr>
        <w:t xml:space="preserve"> 2100 (High Sensitivity DNA Assay</w:t>
      </w:r>
      <w:r w:rsidR="00D159D1" w:rsidRPr="00083DE8">
        <w:rPr>
          <w:rFonts w:ascii="Arial" w:hAnsi="Arial" w:cs="Arial"/>
          <w:sz w:val="20"/>
          <w:szCs w:val="20"/>
          <w:lang w:val="en-IN"/>
        </w:rPr>
        <w:t>, United States</w:t>
      </w:r>
      <w:r w:rsidRPr="00083DE8">
        <w:rPr>
          <w:rFonts w:ascii="Arial" w:hAnsi="Arial" w:cs="Arial"/>
          <w:sz w:val="20"/>
          <w:szCs w:val="20"/>
          <w:lang w:val="en-IN"/>
        </w:rPr>
        <w:t xml:space="preserve">). </w:t>
      </w:r>
      <w:proofErr w:type="gramStart"/>
      <w:r w:rsidRPr="00083DE8">
        <w:rPr>
          <w:rFonts w:ascii="Arial" w:hAnsi="Arial" w:cs="Arial"/>
          <w:sz w:val="20"/>
          <w:szCs w:val="20"/>
          <w:lang w:val="en-IN"/>
        </w:rPr>
        <w:t>cDNA</w:t>
      </w:r>
      <w:proofErr w:type="gramEnd"/>
      <w:r w:rsidRPr="00083DE8">
        <w:rPr>
          <w:rFonts w:ascii="Arial" w:hAnsi="Arial" w:cs="Arial"/>
          <w:sz w:val="20"/>
          <w:szCs w:val="20"/>
          <w:lang w:val="en-IN"/>
        </w:rPr>
        <w:t xml:space="preserve"> libraries were amplified and sequenced by using the </w:t>
      </w:r>
      <w:proofErr w:type="spellStart"/>
      <w:r w:rsidRPr="00083DE8">
        <w:rPr>
          <w:rFonts w:ascii="Arial" w:hAnsi="Arial" w:cs="Arial"/>
          <w:sz w:val="20"/>
          <w:szCs w:val="20"/>
          <w:lang w:val="en-IN"/>
        </w:rPr>
        <w:t>cBot</w:t>
      </w:r>
      <w:proofErr w:type="spellEnd"/>
      <w:r w:rsidRPr="00083DE8">
        <w:rPr>
          <w:rFonts w:ascii="Arial" w:hAnsi="Arial" w:cs="Arial"/>
          <w:sz w:val="20"/>
          <w:szCs w:val="20"/>
          <w:lang w:val="en-IN"/>
        </w:rPr>
        <w:t xml:space="preserve"> and HiSeq2500 from Illumina (20-25 million reads per sample). </w:t>
      </w:r>
    </w:p>
    <w:p w:rsidR="00345BF9" w:rsidRPr="00083DE8" w:rsidRDefault="00517552" w:rsidP="00F44C4C">
      <w:pPr>
        <w:spacing w:line="240" w:lineRule="auto"/>
        <w:jc w:val="both"/>
        <w:rPr>
          <w:rFonts w:ascii="Arial" w:hAnsi="Arial" w:cs="Arial"/>
          <w:sz w:val="20"/>
          <w:szCs w:val="20"/>
        </w:rPr>
      </w:pPr>
      <w:r w:rsidRPr="00083DE8">
        <w:rPr>
          <w:rFonts w:ascii="Arial" w:hAnsi="Arial" w:cs="Arial"/>
          <w:sz w:val="20"/>
          <w:szCs w:val="20"/>
          <w:lang w:val="en-IN"/>
        </w:rPr>
        <w:t>Sequence reads were aligned to the human reference assembly (UCSC version hg19) using Bowtie</w:t>
      </w:r>
      <w:r w:rsidR="00C731CB" w:rsidRPr="00083DE8">
        <w:rPr>
          <w:rFonts w:ascii="Arial" w:hAnsi="Arial" w:cs="Arial"/>
          <w:sz w:val="20"/>
          <w:szCs w:val="20"/>
          <w:lang w:val="en-IN"/>
        </w:rPr>
        <w:t xml:space="preserve"> </w:t>
      </w:r>
      <w:r w:rsidR="005D11BD" w:rsidRPr="00083DE8">
        <w:rPr>
          <w:rFonts w:ascii="Arial" w:hAnsi="Arial" w:cs="Arial"/>
          <w:sz w:val="20"/>
          <w:szCs w:val="20"/>
          <w:lang w:val="en-IN"/>
        </w:rPr>
        <w:fldChar w:fldCharType="begin"/>
      </w:r>
      <w:r w:rsidR="00F44C4C" w:rsidRPr="00083DE8">
        <w:rPr>
          <w:rFonts w:ascii="Arial" w:hAnsi="Arial" w:cs="Arial"/>
          <w:sz w:val="20"/>
          <w:szCs w:val="20"/>
          <w:lang w:val="en-IN"/>
        </w:rPr>
        <w:instrText xml:space="preserve"> ADDIN ZOTERO_ITEM CSL_CITATION {"citationID":"2bu2ls2tnt","properties":{"formattedCitation":"(36)","plainCitation":"(36)"},"citationItems":[{"id":1168,"uris":["http://zotero.org/users/local/zvOAVRAY/items/UPV6PFEF"],"uri":["http://zotero.org/users/local/zvOAVRAY/items/UPV6PFEF"],"itemData":{"id":1168,"type":"article-journal","title":"Aligning short sequencing reads with Bowtie","container-title":"Current protocols in bioinformatics / editoral board, Andreas D. Baxevanis ... [et al.]","page":"Unit-11.7","volume":"CHAPTER","source":"PubMed Central","abstract":"This unit shows how to use the Bowtie package to align short sequencing reads, such as those output by second-generation sequencing instruments. It also includes protocols for building a genome index and calling consensus sequences from Bowtie alignments using SAMtools.","DOI":"10.1002/0471250953.bi1107s32","ISSN":"1934-3396","note":"PMID: 21154709\nPMCID: PMC3010897","journalAbbreviation":"Curr Protoc Bioinformatics","author":[{"family":"Langmead","given":"Ben"}],"issued":{"date-parts":[["2010",12]]},"PMID":"21154709","PMCID":"PMC3010897"}}],"schema":"https://github.com/citation-style-language/schema/raw/master/csl-citation.json"} </w:instrText>
      </w:r>
      <w:r w:rsidR="005D11BD" w:rsidRPr="00083DE8">
        <w:rPr>
          <w:rFonts w:ascii="Arial" w:hAnsi="Arial" w:cs="Arial"/>
          <w:sz w:val="20"/>
          <w:szCs w:val="20"/>
          <w:lang w:val="en-IN"/>
        </w:rPr>
        <w:fldChar w:fldCharType="separate"/>
      </w:r>
      <w:r w:rsidR="00F44C4C" w:rsidRPr="00083DE8">
        <w:rPr>
          <w:rFonts w:ascii="Arial" w:hAnsi="Arial" w:cs="Arial"/>
          <w:sz w:val="20"/>
          <w:szCs w:val="20"/>
        </w:rPr>
        <w:t>(36)</w:t>
      </w:r>
      <w:r w:rsidR="005D11BD" w:rsidRPr="00083DE8">
        <w:rPr>
          <w:rFonts w:ascii="Arial" w:hAnsi="Arial" w:cs="Arial"/>
          <w:sz w:val="20"/>
          <w:szCs w:val="20"/>
          <w:lang w:val="en-IN"/>
        </w:rPr>
        <w:fldChar w:fldCharType="end"/>
      </w:r>
      <w:r w:rsidR="00C731CB" w:rsidRPr="00083DE8">
        <w:rPr>
          <w:rFonts w:ascii="Arial" w:hAnsi="Arial" w:cs="Arial"/>
          <w:sz w:val="20"/>
          <w:szCs w:val="20"/>
          <w:lang w:val="en-IN"/>
        </w:rPr>
        <w:t>.</w:t>
      </w:r>
      <w:r w:rsidRPr="00083DE8">
        <w:rPr>
          <w:rFonts w:ascii="Arial" w:hAnsi="Arial" w:cs="Arial"/>
          <w:sz w:val="20"/>
          <w:szCs w:val="20"/>
          <w:lang w:val="en-IN"/>
        </w:rPr>
        <w:t xml:space="preserve"> Peak</w:t>
      </w:r>
      <w:r w:rsidR="005A150E" w:rsidRPr="00083DE8">
        <w:rPr>
          <w:rFonts w:ascii="Arial" w:hAnsi="Arial" w:cs="Arial"/>
          <w:sz w:val="20"/>
          <w:szCs w:val="20"/>
          <w:lang w:val="en-IN"/>
        </w:rPr>
        <w:t xml:space="preserve"> </w:t>
      </w:r>
      <w:r w:rsidRPr="00083DE8">
        <w:rPr>
          <w:rFonts w:ascii="Arial" w:hAnsi="Arial" w:cs="Arial"/>
          <w:sz w:val="20"/>
          <w:szCs w:val="20"/>
          <w:lang w:val="en-IN"/>
        </w:rPr>
        <w:t>calling was performed with Model Based Analysis of ChIP-seq</w:t>
      </w:r>
      <w:r w:rsidR="005A150E" w:rsidRPr="00083DE8">
        <w:rPr>
          <w:rFonts w:ascii="Arial" w:hAnsi="Arial" w:cs="Arial"/>
          <w:sz w:val="20"/>
          <w:szCs w:val="20"/>
          <w:lang w:val="en-IN"/>
        </w:rPr>
        <w:t xml:space="preserve"> (MACS2) version 2.1.0.20140616.0, which is the updated version of MACS</w:t>
      </w:r>
      <w:r w:rsidR="00C731CB" w:rsidRPr="00083DE8">
        <w:rPr>
          <w:rFonts w:ascii="Arial" w:hAnsi="Arial" w:cs="Arial"/>
          <w:sz w:val="20"/>
          <w:szCs w:val="20"/>
          <w:lang w:val="en-IN"/>
        </w:rPr>
        <w:t xml:space="preserve"> </w:t>
      </w:r>
      <w:r w:rsidR="005D11BD" w:rsidRPr="00083DE8">
        <w:rPr>
          <w:rFonts w:ascii="Arial" w:hAnsi="Arial" w:cs="Arial"/>
          <w:sz w:val="20"/>
          <w:szCs w:val="20"/>
          <w:lang w:val="en-IN"/>
        </w:rPr>
        <w:fldChar w:fldCharType="begin"/>
      </w:r>
      <w:r w:rsidR="00F44C4C" w:rsidRPr="00083DE8">
        <w:rPr>
          <w:rFonts w:ascii="Arial" w:hAnsi="Arial" w:cs="Arial"/>
          <w:sz w:val="20"/>
          <w:szCs w:val="20"/>
          <w:lang w:val="en-IN"/>
        </w:rPr>
        <w:instrText xml:space="preserve"> ADDIN ZOTERO_ITEM CSL_CITATION {"citationID":"222j3c3l4e","properties":{"formattedCitation":"(37)","plainCitation":"(37)"},"citationItems":[{"id":114,"uris":["http://zotero.org/users/local/zvOAVRAY/items/PBUWANZR"],"uri":["http://zotero.org/users/local/zvOAVRAY/items/PBUWANZR"],"itemData":{"id":114,"type":"article-journal","title":"Model-based analysis of ChIP-Seq (MACS)","container-title":"Genome Biology","page":"R137","volume":"9","issue":"9","source":"NCBI PubMed","abstract":"We present Model-based Analysis of ChIP-Seq data, MACS, which analyzes data generated by short read sequencers such as Solexa's Genome Analyzer. MACS empirically models the shift size of ChIP-Seq tags, and uses it to improve the spatial resolution of predicted binding sites. MACS also uses a dynamic Poisson distribution to effectively capture local biases in the genome, allowing for more robust predictions. MACS compares favorably to existing ChIP-Seq peak-finding algorithms, and is freely available.","DOI":"10.1186/gb-2008-9-9-r137","ISSN":"1465-6914","note":"PMID: 18798982 \nPMCID: PMC2592715","journalAbbreviation":"Genome Biol.","language":"eng","author":[{"family":"Zhang","given":"Yong"},{"family":"Liu","given":"Tao"},{"family":"Meyer","given":"Clifford A."},{"family":"Eeckhoute","given":"Jérôme"},{"family":"Johnson","given":"David S."},{"family":"Bernstein","given":"Bradley E."},{"family":"Nusbaum","given":"Chad"},{"family":"Myers","given":"Richard M."},{"family":"Brown","given":"Myles"},{"family":"Li","given":"Wei"},{"family":"Liu","given":"X. Shirley"}],"issued":{"date-parts":[["2008"]]},"PMID":"18798982","PMCID":"PMC2592715"}}],"schema":"https://github.com/citation-style-language/schema/raw/master/csl-citation.json"} </w:instrText>
      </w:r>
      <w:r w:rsidR="005D11BD" w:rsidRPr="00083DE8">
        <w:rPr>
          <w:rFonts w:ascii="Arial" w:hAnsi="Arial" w:cs="Arial"/>
          <w:sz w:val="20"/>
          <w:szCs w:val="20"/>
          <w:lang w:val="en-IN"/>
        </w:rPr>
        <w:fldChar w:fldCharType="separate"/>
      </w:r>
      <w:r w:rsidR="00F44C4C" w:rsidRPr="00083DE8">
        <w:rPr>
          <w:rFonts w:ascii="Arial" w:hAnsi="Arial" w:cs="Arial"/>
          <w:sz w:val="20"/>
          <w:szCs w:val="20"/>
        </w:rPr>
        <w:t>(37)</w:t>
      </w:r>
      <w:r w:rsidR="005D11BD" w:rsidRPr="00083DE8">
        <w:rPr>
          <w:rFonts w:ascii="Arial" w:hAnsi="Arial" w:cs="Arial"/>
          <w:sz w:val="20"/>
          <w:szCs w:val="20"/>
          <w:lang w:val="en-IN"/>
        </w:rPr>
        <w:fldChar w:fldCharType="end"/>
      </w:r>
      <w:r w:rsidR="00C731CB" w:rsidRPr="00083DE8">
        <w:rPr>
          <w:rFonts w:ascii="Arial" w:hAnsi="Arial" w:cs="Arial"/>
          <w:sz w:val="20"/>
          <w:szCs w:val="20"/>
          <w:lang w:val="en-IN"/>
        </w:rPr>
        <w:t>.</w:t>
      </w:r>
      <w:r w:rsidR="00C87E0B" w:rsidRPr="00083DE8">
        <w:rPr>
          <w:rFonts w:ascii="Arial" w:hAnsi="Arial" w:cs="Arial"/>
          <w:sz w:val="20"/>
          <w:szCs w:val="20"/>
          <w:lang w:val="en-IN"/>
        </w:rPr>
        <w:t xml:space="preserve"> </w:t>
      </w:r>
      <w:r w:rsidRPr="00083DE8">
        <w:rPr>
          <w:rFonts w:ascii="Arial" w:hAnsi="Arial" w:cs="Arial"/>
          <w:sz w:val="20"/>
          <w:szCs w:val="20"/>
          <w:lang w:val="en-IN"/>
        </w:rPr>
        <w:t>Results were visual</w:t>
      </w:r>
      <w:r w:rsidR="00C731CB" w:rsidRPr="00083DE8">
        <w:rPr>
          <w:rFonts w:ascii="Arial" w:hAnsi="Arial" w:cs="Arial"/>
          <w:sz w:val="20"/>
          <w:szCs w:val="20"/>
          <w:lang w:val="en-IN"/>
        </w:rPr>
        <w:t xml:space="preserve">ized </w:t>
      </w:r>
      <w:r w:rsidRPr="00083DE8">
        <w:rPr>
          <w:rFonts w:ascii="Arial" w:hAnsi="Arial" w:cs="Arial"/>
          <w:sz w:val="20"/>
          <w:szCs w:val="20"/>
          <w:lang w:val="en-IN"/>
        </w:rPr>
        <w:t xml:space="preserve">using the Integrative Genomics Viewer </w:t>
      </w:r>
      <w:r w:rsidR="00BF7AB1" w:rsidRPr="00083DE8">
        <w:rPr>
          <w:rFonts w:ascii="Arial" w:hAnsi="Arial" w:cs="Arial"/>
          <w:sz w:val="20"/>
          <w:szCs w:val="20"/>
          <w:lang w:val="en-IN"/>
        </w:rPr>
        <w:t>IGV 2.3.57</w:t>
      </w:r>
      <w:r w:rsidR="00C731CB" w:rsidRPr="00083DE8">
        <w:rPr>
          <w:rFonts w:ascii="Arial" w:hAnsi="Arial" w:cs="Arial"/>
          <w:sz w:val="20"/>
          <w:szCs w:val="20"/>
          <w:lang w:val="en-IN"/>
        </w:rPr>
        <w:t xml:space="preserve"> </w:t>
      </w:r>
      <w:r w:rsidR="005D11BD" w:rsidRPr="00083DE8">
        <w:rPr>
          <w:rFonts w:ascii="Arial" w:hAnsi="Arial" w:cs="Arial"/>
          <w:sz w:val="20"/>
          <w:szCs w:val="20"/>
          <w:lang w:val="en-IN"/>
        </w:rPr>
        <w:fldChar w:fldCharType="begin"/>
      </w:r>
      <w:r w:rsidR="00F44C4C" w:rsidRPr="00083DE8">
        <w:rPr>
          <w:rFonts w:ascii="Arial" w:hAnsi="Arial" w:cs="Arial"/>
          <w:sz w:val="20"/>
          <w:szCs w:val="20"/>
          <w:lang w:val="en-IN"/>
        </w:rPr>
        <w:instrText xml:space="preserve"> ADDIN ZOTERO_ITEM CSL_CITATION {"citationID":"iek9lo01k","properties":{"formattedCitation":"(38)","plainCitation":"(38)"},"citationItems":[{"id":592,"uris":["http://zotero.org/users/local/zvOAVRAY/items/56BPAZRJ"],"uri":["http://zotero.org/users/local/zvOAVRAY/items/56BPAZRJ"],"itemData":{"id":592,"type":"article-journal","title":"Integrative Genomics Viewer (IGV): high-performance genomics data visualization and exploration","container-title":"Briefings in Bioinformatics","page":"178-192","volume":"14","issue":"2","source":"NCBI PubMed","abstract":"Data visualization is an essential component of genomic data analysis. However, the size and diversity of the data sets produced by today's sequencing and array-based profiling methods present major challenges to visualization tools. The Integrative Genomics Viewer (IGV) is a high-performance viewer that efficiently handles large heterogeneous data sets, while providing a smooth and intuitive user experience at all levels of genome resolution. A key characteristic of IGV is its focus on the integrative nature of genomic studies, with support for both array-based and next-generation sequencing data, and the integration of clinical and phenotypic data. Although IGV is often used to view genomic data from public sources, its primary emphasis is to support researchers who wish to visualize and explore their own data sets or those from colleagues. To that end, IGV supports flexible loading of local and remote data sets, and is optimized to provide high-performance data visualization and exploration on standard desktop systems. IGV is freely available for download from http://www.broadinstitute.org/igv, under a GNU LGPL open-source license.","DOI":"10.1093/bib/bbs017","ISSN":"1477-4054","note":"PMID: 22517427 \nPMCID: PMC3603213","shortTitle":"Integrative Genomics Viewer (IGV)","journalAbbreviation":"Brief. Bioinformatics","language":"eng","author":[{"family":"Thorvaldsdóttir","given":"Helga"},{"family":"Robinson","given":"James T."},{"family":"Mesirov","given":"Jill P."}],"issued":{"date-parts":[["2013",3]]},"PMID":"22517427","PMCID":"PMC3603213"}}],"schema":"https://github.com/citation-style-language/schema/raw/master/csl-citation.json"} </w:instrText>
      </w:r>
      <w:r w:rsidR="005D11BD" w:rsidRPr="00083DE8">
        <w:rPr>
          <w:rFonts w:ascii="Arial" w:hAnsi="Arial" w:cs="Arial"/>
          <w:sz w:val="20"/>
          <w:szCs w:val="20"/>
          <w:lang w:val="en-IN"/>
        </w:rPr>
        <w:fldChar w:fldCharType="separate"/>
      </w:r>
      <w:r w:rsidR="00F44C4C" w:rsidRPr="00083DE8">
        <w:rPr>
          <w:rFonts w:ascii="Arial" w:hAnsi="Arial" w:cs="Arial"/>
          <w:sz w:val="20"/>
          <w:szCs w:val="20"/>
        </w:rPr>
        <w:t>(38)</w:t>
      </w:r>
      <w:r w:rsidR="005D11BD" w:rsidRPr="00083DE8">
        <w:rPr>
          <w:rFonts w:ascii="Arial" w:hAnsi="Arial" w:cs="Arial"/>
          <w:sz w:val="20"/>
          <w:szCs w:val="20"/>
          <w:lang w:val="en-IN"/>
        </w:rPr>
        <w:fldChar w:fldCharType="end"/>
      </w:r>
      <w:r w:rsidR="00C731CB" w:rsidRPr="00083DE8">
        <w:rPr>
          <w:rFonts w:ascii="Arial" w:hAnsi="Arial" w:cs="Arial"/>
          <w:sz w:val="20"/>
          <w:szCs w:val="20"/>
          <w:lang w:val="en-IN"/>
        </w:rPr>
        <w:t>.</w:t>
      </w:r>
      <w:r w:rsidR="00C87E0B" w:rsidRPr="00083DE8">
        <w:rPr>
          <w:rFonts w:ascii="Arial" w:hAnsi="Arial" w:cs="Arial"/>
          <w:sz w:val="20"/>
          <w:szCs w:val="20"/>
          <w:lang w:val="en-IN"/>
        </w:rPr>
        <w:t xml:space="preserve"> </w:t>
      </w:r>
      <w:r w:rsidR="0093232D" w:rsidRPr="00083DE8">
        <w:rPr>
          <w:rFonts w:ascii="Arial" w:hAnsi="Arial" w:cs="Arial"/>
          <w:sz w:val="20"/>
          <w:szCs w:val="20"/>
          <w:lang w:val="en-IN"/>
        </w:rPr>
        <w:t xml:space="preserve">Distal BRD4-bound regions were obtained from MACS-defined BRD4 peaks which are 5 kb upstream and downstream away from gene bodies. </w:t>
      </w:r>
      <w:proofErr w:type="spellStart"/>
      <w:r w:rsidR="00BF7AB1" w:rsidRPr="00083DE8">
        <w:rPr>
          <w:rFonts w:ascii="Arial" w:hAnsi="Arial" w:cs="Arial"/>
          <w:sz w:val="20"/>
          <w:szCs w:val="20"/>
          <w:lang w:val="en-IN"/>
        </w:rPr>
        <w:t>Heatmaps</w:t>
      </w:r>
      <w:proofErr w:type="spellEnd"/>
      <w:r w:rsidR="00BF7AB1" w:rsidRPr="00083DE8">
        <w:rPr>
          <w:rFonts w:ascii="Arial" w:hAnsi="Arial" w:cs="Arial"/>
          <w:sz w:val="20"/>
          <w:szCs w:val="20"/>
          <w:lang w:val="en-IN"/>
        </w:rPr>
        <w:t xml:space="preserve"> were </w:t>
      </w:r>
      <w:r w:rsidRPr="00083DE8">
        <w:rPr>
          <w:rFonts w:ascii="Arial" w:hAnsi="Arial" w:cs="Arial"/>
          <w:sz w:val="20"/>
          <w:szCs w:val="20"/>
          <w:lang w:val="en-IN"/>
        </w:rPr>
        <w:t>made</w:t>
      </w:r>
      <w:r w:rsidR="00BF7AB1" w:rsidRPr="00083DE8">
        <w:rPr>
          <w:rFonts w:ascii="Arial" w:hAnsi="Arial" w:cs="Arial"/>
          <w:sz w:val="20"/>
          <w:szCs w:val="20"/>
          <w:lang w:val="en-IN"/>
        </w:rPr>
        <w:t xml:space="preserve"> using </w:t>
      </w:r>
      <w:proofErr w:type="spellStart"/>
      <w:r w:rsidR="00BF7AB1" w:rsidRPr="00083DE8">
        <w:rPr>
          <w:rFonts w:ascii="Arial" w:hAnsi="Arial" w:cs="Arial"/>
          <w:sz w:val="20"/>
          <w:szCs w:val="20"/>
          <w:lang w:val="en-IN"/>
        </w:rPr>
        <w:t>deepT</w:t>
      </w:r>
      <w:r w:rsidR="005F79A9" w:rsidRPr="00083DE8">
        <w:rPr>
          <w:rFonts w:ascii="Arial" w:hAnsi="Arial" w:cs="Arial"/>
          <w:sz w:val="20"/>
          <w:szCs w:val="20"/>
          <w:lang w:val="en-IN"/>
        </w:rPr>
        <w:t>ools</w:t>
      </w:r>
      <w:proofErr w:type="spellEnd"/>
      <w:r w:rsidR="00BF7AB1" w:rsidRPr="00083DE8">
        <w:rPr>
          <w:rFonts w:ascii="Arial" w:hAnsi="Arial" w:cs="Arial"/>
          <w:sz w:val="20"/>
          <w:szCs w:val="20"/>
          <w:lang w:val="en-IN"/>
        </w:rPr>
        <w:t xml:space="preserve">- </w:t>
      </w:r>
      <w:proofErr w:type="spellStart"/>
      <w:r w:rsidR="00BF7AB1" w:rsidRPr="00083DE8">
        <w:rPr>
          <w:rFonts w:ascii="Arial" w:hAnsi="Arial" w:cs="Arial"/>
          <w:sz w:val="20"/>
          <w:szCs w:val="20"/>
          <w:lang w:val="en-IN"/>
        </w:rPr>
        <w:t>computeMatrix</w:t>
      </w:r>
      <w:proofErr w:type="spellEnd"/>
      <w:r w:rsidR="00BF7AB1" w:rsidRPr="00083DE8">
        <w:rPr>
          <w:rFonts w:ascii="Arial" w:hAnsi="Arial" w:cs="Arial"/>
          <w:sz w:val="20"/>
          <w:szCs w:val="20"/>
          <w:lang w:val="en-IN"/>
        </w:rPr>
        <w:t xml:space="preserve"> and </w:t>
      </w:r>
      <w:proofErr w:type="spellStart"/>
      <w:r w:rsidR="00BF7AB1" w:rsidRPr="00083DE8">
        <w:rPr>
          <w:rFonts w:ascii="Arial" w:hAnsi="Arial" w:cs="Arial"/>
          <w:sz w:val="20"/>
          <w:szCs w:val="20"/>
          <w:lang w:val="en-IN"/>
        </w:rPr>
        <w:t>heatmapper</w:t>
      </w:r>
      <w:proofErr w:type="spellEnd"/>
      <w:r w:rsidR="00BF7AB1" w:rsidRPr="00083DE8">
        <w:rPr>
          <w:rFonts w:ascii="Arial" w:hAnsi="Arial" w:cs="Arial"/>
          <w:sz w:val="20"/>
          <w:szCs w:val="20"/>
          <w:lang w:val="en-IN"/>
        </w:rPr>
        <w:t xml:space="preserve"> options for the ChIP-seq signal</w:t>
      </w:r>
      <w:r w:rsidRPr="00083DE8">
        <w:rPr>
          <w:rFonts w:ascii="Arial" w:hAnsi="Arial" w:cs="Arial"/>
          <w:sz w:val="20"/>
          <w:szCs w:val="20"/>
          <w:lang w:val="en-IN"/>
        </w:rPr>
        <w:t xml:space="preserve"> (in RPKM)</w:t>
      </w:r>
      <w:r w:rsidR="00BF7AB1" w:rsidRPr="00083DE8">
        <w:rPr>
          <w:rFonts w:ascii="Arial" w:hAnsi="Arial" w:cs="Arial"/>
          <w:sz w:val="20"/>
          <w:szCs w:val="20"/>
          <w:lang w:val="en-IN"/>
        </w:rPr>
        <w:t xml:space="preserve"> using </w:t>
      </w:r>
      <w:proofErr w:type="spellStart"/>
      <w:r w:rsidR="00BF7AB1" w:rsidRPr="00083DE8">
        <w:rPr>
          <w:rFonts w:ascii="Arial" w:hAnsi="Arial" w:cs="Arial"/>
          <w:sz w:val="20"/>
          <w:szCs w:val="20"/>
          <w:lang w:val="en-IN"/>
        </w:rPr>
        <w:t>bamCoverage</w:t>
      </w:r>
      <w:proofErr w:type="spellEnd"/>
      <w:r w:rsidR="00C731CB" w:rsidRPr="00083DE8">
        <w:rPr>
          <w:rFonts w:ascii="Arial" w:hAnsi="Arial" w:cs="Arial"/>
          <w:sz w:val="20"/>
          <w:szCs w:val="20"/>
          <w:lang w:val="en-IN"/>
        </w:rPr>
        <w:t xml:space="preserve"> </w:t>
      </w:r>
      <w:r w:rsidR="005D11BD" w:rsidRPr="00083DE8">
        <w:rPr>
          <w:rFonts w:ascii="Arial" w:hAnsi="Arial" w:cs="Arial"/>
          <w:sz w:val="20"/>
          <w:szCs w:val="20"/>
          <w:lang w:val="en-IN"/>
        </w:rPr>
        <w:fldChar w:fldCharType="begin"/>
      </w:r>
      <w:r w:rsidR="00F44C4C" w:rsidRPr="00083DE8">
        <w:rPr>
          <w:rFonts w:ascii="Arial" w:hAnsi="Arial" w:cs="Arial"/>
          <w:sz w:val="20"/>
          <w:szCs w:val="20"/>
          <w:lang w:val="en-IN"/>
        </w:rPr>
        <w:instrText xml:space="preserve"> ADDIN ZOTERO_ITEM CSL_CITATION {"citationID":"1ju4hur4nb","properties":{"formattedCitation":"(39)","plainCitation":"(39)"},"citationItems":[{"id":84,"uris":["http://zotero.org/users/local/zvOAVRAY/items/Q7TPFUPE"],"uri":["http://zotero.org/users/local/zvOAVRAY/items/Q7TPFUPE"],"itemData":{"id":84,"type":"article-journal","title":"deepTools: a flexible platform for exploring deep-sequencing data","container-title":"Nucleic Acids Research","page":"gku365","source":"nar.oxfordjournals.org","abstract":"We present a Galaxy based web server for processing and visualizing deeply sequenced data. The web server's core functionality consists of a suite of newly developed tools, called deepTools, that enable users with little bioinformatic background to explore the results of their sequencing experiments in a standardized setting. Users can upload pre-processed files with continuous data in standard formats and generate heatmaps and summary plots in a straight-forward, yet highly customizable manner. In addition, we offer several tools for the analysis of files containing aligned reads and enable efficient and reproducible generation of normalized coverage files. As a modular and open-source platform, deepTools can easily be expanded and customized to future demands and developments. The deepTools webserver is freely available at http://deeptools.ie-freiburg.mpg.de and is accompanied by extensive documentation and tutorials aimed at conveying the principles of deep-sequencing data analysis. The web server can be used without registration. deepTools can be installed locally either stand-alone or as part of Galaxy.","DOI":"10.1093/nar/gku365","ISSN":"0305-1048, 1362-4962","note":"PMID: 24799436","shortTitle":"deepTools","journalAbbreviation":"Nucl. Acids Res.","language":"en","author":[{"family":"Ramírez","given":"Fidel"},{"family":"Dündar","given":"Friederike"},{"family":"Diehl","given":"Sarah"},{"family":"Grüning","given":"Björn A."},{"family":"Manke","given":"Thomas"}],"issued":{"date-parts":[["2014",5,5]]},"PMID":"24799436"}}],"schema":"https://github.com/citation-style-language/schema/raw/master/csl-citation.json"} </w:instrText>
      </w:r>
      <w:r w:rsidR="005D11BD" w:rsidRPr="00083DE8">
        <w:rPr>
          <w:rFonts w:ascii="Arial" w:hAnsi="Arial" w:cs="Arial"/>
          <w:sz w:val="20"/>
          <w:szCs w:val="20"/>
          <w:lang w:val="en-IN"/>
        </w:rPr>
        <w:fldChar w:fldCharType="separate"/>
      </w:r>
      <w:r w:rsidR="00F44C4C" w:rsidRPr="00083DE8">
        <w:rPr>
          <w:rFonts w:ascii="Arial" w:hAnsi="Arial" w:cs="Arial"/>
          <w:sz w:val="20"/>
          <w:szCs w:val="20"/>
        </w:rPr>
        <w:t>(39)</w:t>
      </w:r>
      <w:r w:rsidR="005D11BD" w:rsidRPr="00083DE8">
        <w:rPr>
          <w:rFonts w:ascii="Arial" w:hAnsi="Arial" w:cs="Arial"/>
          <w:sz w:val="20"/>
          <w:szCs w:val="20"/>
          <w:lang w:val="en-IN"/>
        </w:rPr>
        <w:fldChar w:fldCharType="end"/>
      </w:r>
      <w:r w:rsidR="00C731CB" w:rsidRPr="00083DE8">
        <w:rPr>
          <w:rFonts w:ascii="Arial" w:hAnsi="Arial" w:cs="Arial"/>
          <w:sz w:val="20"/>
          <w:szCs w:val="20"/>
          <w:lang w:val="en-IN"/>
        </w:rPr>
        <w:t>.</w:t>
      </w:r>
      <w:r w:rsidR="00BF7AB1" w:rsidRPr="00083DE8">
        <w:rPr>
          <w:rFonts w:ascii="Arial" w:hAnsi="Arial" w:cs="Arial"/>
          <w:sz w:val="20"/>
          <w:szCs w:val="20"/>
          <w:lang w:val="en-IN"/>
        </w:rPr>
        <w:t xml:space="preserve"> Correlation plot was made using </w:t>
      </w:r>
      <w:proofErr w:type="spellStart"/>
      <w:r w:rsidR="00BF7AB1" w:rsidRPr="00083DE8">
        <w:rPr>
          <w:rFonts w:ascii="Arial" w:hAnsi="Arial" w:cs="Arial"/>
          <w:sz w:val="20"/>
          <w:szCs w:val="20"/>
          <w:lang w:val="en-IN"/>
        </w:rPr>
        <w:t>bamCorrelate</w:t>
      </w:r>
      <w:proofErr w:type="spellEnd"/>
      <w:r w:rsidR="00BF7AB1" w:rsidRPr="00083DE8">
        <w:rPr>
          <w:rFonts w:ascii="Arial" w:hAnsi="Arial" w:cs="Arial"/>
          <w:sz w:val="20"/>
          <w:szCs w:val="20"/>
          <w:lang w:val="en-IN"/>
        </w:rPr>
        <w:t xml:space="preserve"> in </w:t>
      </w:r>
      <w:proofErr w:type="spellStart"/>
      <w:r w:rsidR="00BF7AB1" w:rsidRPr="00083DE8">
        <w:rPr>
          <w:rFonts w:ascii="Arial" w:hAnsi="Arial" w:cs="Arial"/>
          <w:sz w:val="20"/>
          <w:szCs w:val="20"/>
          <w:lang w:val="en-IN"/>
        </w:rPr>
        <w:t>deepT</w:t>
      </w:r>
      <w:r w:rsidRPr="00083DE8">
        <w:rPr>
          <w:rFonts w:ascii="Arial" w:hAnsi="Arial" w:cs="Arial"/>
          <w:sz w:val="20"/>
          <w:szCs w:val="20"/>
          <w:lang w:val="en-IN"/>
        </w:rPr>
        <w:t>ools</w:t>
      </w:r>
      <w:proofErr w:type="spellEnd"/>
      <w:r w:rsidR="00BF7AB1" w:rsidRPr="00083DE8">
        <w:rPr>
          <w:rFonts w:ascii="Arial" w:hAnsi="Arial" w:cs="Arial"/>
          <w:sz w:val="20"/>
          <w:szCs w:val="20"/>
          <w:lang w:val="en-IN"/>
        </w:rPr>
        <w:t xml:space="preserve">. </w:t>
      </w:r>
      <w:r w:rsidR="005F79A9" w:rsidRPr="00083DE8">
        <w:rPr>
          <w:rFonts w:ascii="Arial" w:hAnsi="Arial" w:cs="Arial"/>
          <w:sz w:val="20"/>
          <w:szCs w:val="20"/>
          <w:lang w:val="en-IN"/>
        </w:rPr>
        <w:t xml:space="preserve"> GREAT</w:t>
      </w:r>
      <w:r w:rsidR="00BF7AB1" w:rsidRPr="00083DE8">
        <w:rPr>
          <w:rFonts w:ascii="Arial" w:hAnsi="Arial" w:cs="Arial"/>
          <w:sz w:val="20"/>
          <w:szCs w:val="20"/>
          <w:lang w:val="en-IN"/>
        </w:rPr>
        <w:t xml:space="preserve"> analysis was performed to calculate the pathways enriched for the genes associated with BRD4 occupancy and genomic di</w:t>
      </w:r>
      <w:r w:rsidR="00143CDD" w:rsidRPr="00083DE8">
        <w:rPr>
          <w:rFonts w:ascii="Arial" w:hAnsi="Arial" w:cs="Arial"/>
          <w:sz w:val="20"/>
          <w:szCs w:val="20"/>
          <w:lang w:val="en-IN"/>
        </w:rPr>
        <w:t>stribution of the binding sites</w:t>
      </w:r>
      <w:r w:rsidR="00C731CB" w:rsidRPr="00083DE8">
        <w:rPr>
          <w:rFonts w:ascii="Arial" w:hAnsi="Arial" w:cs="Arial"/>
          <w:sz w:val="20"/>
          <w:szCs w:val="20"/>
          <w:lang w:val="en-IN"/>
        </w:rPr>
        <w:t xml:space="preserve"> </w:t>
      </w:r>
      <w:r w:rsidR="005D11BD" w:rsidRPr="00083DE8">
        <w:rPr>
          <w:rFonts w:ascii="Arial" w:hAnsi="Arial" w:cs="Arial"/>
          <w:sz w:val="20"/>
          <w:szCs w:val="20"/>
          <w:lang w:val="en-IN"/>
        </w:rPr>
        <w:fldChar w:fldCharType="begin"/>
      </w:r>
      <w:r w:rsidR="00F44C4C" w:rsidRPr="00083DE8">
        <w:rPr>
          <w:rFonts w:ascii="Arial" w:hAnsi="Arial" w:cs="Arial"/>
          <w:sz w:val="20"/>
          <w:szCs w:val="20"/>
          <w:lang w:val="en-IN"/>
        </w:rPr>
        <w:instrText xml:space="preserve"> ADDIN ZOTERO_ITEM CSL_CITATION {"citationID":"2o5rvasldl","properties":{"formattedCitation":"(40)","plainCitation":"(40)"},"citationItems":[{"id":47,"uris":["http://zotero.org/users/local/zvOAVRAY/items/MSHFRVZA"],"uri":["http://zotero.org/users/local/zvOAVRAY/items/MSHFRVZA"],"itemData":{"id":47,"type":"article-journal","title":"GREAT improves functional interpretation of cis-regulatory regions","container-title":"Nature Biotechnology","page":"495-501","volume":"28","issue":"5","source":"NCBI PubMed","abstract":"We developed the Genomic Regions Enrichment of Annotations Tool (GREAT) to analyze the functional significance of cis-regulatory regions identified by localized measurements of DNA binding events across an entire genome. Whereas previous methods took into account only binding proximal to genes, GREAT is able to properly incorporate distal binding sites and control for false positives using a binomial test over the input genomic regions. GREAT incorporates annotations from 20 ontologies and is available as a web application. Applying GREAT to data sets from chromatin immunoprecipitation coupled with massively parallel sequencing (ChIP-seq) of multiple transcription-associated factors, including SRF, NRSF, GABP, Stat3 and p300 in different developmental contexts, we recover many functions of these factors that are missed by existing gene-based tools, and we generate testable hypotheses. The utility of GREAT is not limited to ChIP-seq, as it could also be applied to open chromatin, localized epigenomic markers and similar functional data sets, as well as comparative genomics sets.","DOI":"10.1038/nbt.1630","ISSN":"1546-1696","note":"PMID: 20436461","journalAbbreviation":"Nat. Biotechnol.","language":"eng","author":[{"family":"McLean","given":"Cory Y."},{"family":"Bristor","given":"Dave"},{"family":"Hiller","given":"Michael"},{"family":"Clarke","given":"Shoa L."},{"family":"Schaar","given":"Bruce T."},{"family":"Lowe","given":"Craig B."},{"family":"Wenger","given":"Aaron M."},{"family":"Bejerano","given":"Gill"}],"issued":{"date-parts":[["2010",5]]},"PMID":"20436461"}}],"schema":"https://github.com/citation-style-language/schema/raw/master/csl-citation.json"} </w:instrText>
      </w:r>
      <w:r w:rsidR="005D11BD" w:rsidRPr="00083DE8">
        <w:rPr>
          <w:rFonts w:ascii="Arial" w:hAnsi="Arial" w:cs="Arial"/>
          <w:sz w:val="20"/>
          <w:szCs w:val="20"/>
          <w:lang w:val="en-IN"/>
        </w:rPr>
        <w:fldChar w:fldCharType="separate"/>
      </w:r>
      <w:r w:rsidR="00F44C4C" w:rsidRPr="00083DE8">
        <w:rPr>
          <w:rFonts w:ascii="Arial" w:hAnsi="Arial" w:cs="Arial"/>
          <w:sz w:val="20"/>
          <w:szCs w:val="20"/>
        </w:rPr>
        <w:t>(40)</w:t>
      </w:r>
      <w:r w:rsidR="005D11BD" w:rsidRPr="00083DE8">
        <w:rPr>
          <w:rFonts w:ascii="Arial" w:hAnsi="Arial" w:cs="Arial"/>
          <w:sz w:val="20"/>
          <w:szCs w:val="20"/>
          <w:lang w:val="en-IN"/>
        </w:rPr>
        <w:fldChar w:fldCharType="end"/>
      </w:r>
      <w:r w:rsidR="00C731CB" w:rsidRPr="00083DE8">
        <w:rPr>
          <w:rFonts w:ascii="Arial" w:hAnsi="Arial" w:cs="Arial"/>
          <w:sz w:val="20"/>
          <w:szCs w:val="20"/>
          <w:lang w:val="en-IN"/>
        </w:rPr>
        <w:t>.</w:t>
      </w:r>
      <w:r w:rsidR="00BF7AB1" w:rsidRPr="00083DE8">
        <w:rPr>
          <w:rFonts w:ascii="Arial" w:hAnsi="Arial" w:cs="Arial"/>
          <w:sz w:val="20"/>
          <w:szCs w:val="20"/>
          <w:lang w:val="en-IN"/>
        </w:rPr>
        <w:t xml:space="preserve"> Pathways are retrieved from </w:t>
      </w:r>
      <w:r w:rsidR="00BF7AB1" w:rsidRPr="00083DE8">
        <w:rPr>
          <w:rFonts w:ascii="Arial" w:hAnsi="Arial" w:cs="Arial"/>
          <w:sz w:val="20"/>
          <w:szCs w:val="20"/>
        </w:rPr>
        <w:t>Molecular Signature database</w:t>
      </w:r>
      <w:r w:rsidR="000F46B8" w:rsidRPr="00083DE8">
        <w:rPr>
          <w:rFonts w:ascii="Arial" w:hAnsi="Arial" w:cs="Arial"/>
          <w:sz w:val="20"/>
          <w:szCs w:val="20"/>
        </w:rPr>
        <w:t xml:space="preserve"> (</w:t>
      </w:r>
      <w:proofErr w:type="spellStart"/>
      <w:r w:rsidR="000F46B8" w:rsidRPr="00083DE8">
        <w:rPr>
          <w:rFonts w:ascii="Arial" w:hAnsi="Arial" w:cs="Arial"/>
          <w:sz w:val="20"/>
          <w:szCs w:val="20"/>
        </w:rPr>
        <w:t>M</w:t>
      </w:r>
      <w:r w:rsidR="00BF7AB1" w:rsidRPr="00083DE8">
        <w:rPr>
          <w:rFonts w:ascii="Arial" w:hAnsi="Arial" w:cs="Arial"/>
          <w:sz w:val="20"/>
          <w:szCs w:val="20"/>
        </w:rPr>
        <w:t>Sigdb</w:t>
      </w:r>
      <w:proofErr w:type="spellEnd"/>
      <w:r w:rsidR="00BF7AB1" w:rsidRPr="00083DE8">
        <w:rPr>
          <w:rFonts w:ascii="Arial" w:hAnsi="Arial" w:cs="Arial"/>
          <w:sz w:val="20"/>
          <w:szCs w:val="20"/>
        </w:rPr>
        <w:t>)</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eOQXfwYw","properties":{"formattedCitation":"(23)","plainCitation":"(23)"},"citationItems":[{"id":108,"uris":["http://zotero.org/users/local/zvOAVRAY/items/FCSRI74I"],"uri":["http://zotero.org/users/local/zvOAVRAY/items/FCSRI74I"],"itemData":{"id":108,"type":"article-journal","title":"Molecular signatures database (MSigDB) 3.0","container-title":"Bioinformatics","page":"1739-1740","volume":"27","issue":"12","source":"bioinformatics.oxfordjournals.org","abstract":"Motivation: Well-annotated gene sets representing the universe of the biological processes are critical for meaningful and insightful interpretation of large-scale genomic data. The Molecular Signatures Database (MSigDB) is one of the most widely used repositories of such sets.\nResults: We report the availability of a new version of the database, MSigDB 3.0, with over 6700 gene sets, a complete revision of the collection of canonical pathways and experimental signatures from publications, enhanced annotations and upgrades to the web site.\nAvailability and Implementation: MSigDB is freely available for non-commercial use at http://www.broadinstitute.org/msigdb.\nContact: gsea@broadinstitute.org","DOI":"10.1093/bioinformatics/btr260","ISSN":"1367-4803, 1460-2059","note":"PMID: 21546393","journalAbbreviation":"Bioinformatics","language":"en","author":[{"family":"Liberzon","given":"Arthur"},{"family":"Subramanian","given":"Aravind"},{"family":"Pinchback","given":"Reid"},{"family":"Thorvaldsdóttir","given":"Helga"},{"family":"Tamayo","given":"Pablo"},{"family":"Mesirov","given":"Jill P."}],"issued":{"date-parts":[["2011",6,15]]},"PMID":"21546393"}}],"schema":"https://github.com/citation-style-language/schema/raw/master/csl-citation.json"}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(23)</w:t>
      </w:r>
      <w:r w:rsidR="005D11BD" w:rsidRPr="00083DE8">
        <w:rPr>
          <w:rFonts w:ascii="Arial" w:hAnsi="Arial" w:cs="Arial"/>
          <w:sz w:val="20"/>
          <w:szCs w:val="20"/>
        </w:rPr>
        <w:fldChar w:fldCharType="end"/>
      </w:r>
      <w:r w:rsidR="00C731CB" w:rsidRPr="00083DE8">
        <w:rPr>
          <w:rFonts w:ascii="Arial" w:hAnsi="Arial" w:cs="Arial"/>
          <w:sz w:val="20"/>
          <w:szCs w:val="20"/>
        </w:rPr>
        <w:t>.</w:t>
      </w:r>
      <w:r w:rsidR="00BF7AB1" w:rsidRPr="00083DE8">
        <w:rPr>
          <w:rFonts w:ascii="Arial" w:hAnsi="Arial" w:cs="Arial"/>
          <w:sz w:val="20"/>
          <w:szCs w:val="20"/>
        </w:rPr>
        <w:t xml:space="preserve"> </w:t>
      </w:r>
      <w:r w:rsidR="00CA757A" w:rsidRPr="00083DE8">
        <w:rPr>
          <w:rFonts w:ascii="Arial" w:hAnsi="Arial" w:cs="Arial"/>
          <w:sz w:val="20"/>
          <w:szCs w:val="20"/>
        </w:rPr>
        <w:t xml:space="preserve">Pathway datasets </w:t>
      </w:r>
      <w:r w:rsidR="008315E0" w:rsidRPr="00083DE8">
        <w:rPr>
          <w:rFonts w:ascii="Arial" w:hAnsi="Arial" w:cs="Arial"/>
          <w:sz w:val="20"/>
          <w:szCs w:val="20"/>
        </w:rPr>
        <w:t xml:space="preserve">in figure 4A </w:t>
      </w:r>
      <w:r w:rsidR="00CA757A" w:rsidRPr="00083DE8">
        <w:rPr>
          <w:rFonts w:ascii="Arial" w:hAnsi="Arial" w:cs="Arial"/>
          <w:sz w:val="20"/>
          <w:szCs w:val="20"/>
        </w:rPr>
        <w:t xml:space="preserve">are referred as follows: </w:t>
      </w:r>
      <w:r w:rsidR="000F46B8" w:rsidRPr="00083DE8">
        <w:rPr>
          <w:rFonts w:ascii="Arial" w:hAnsi="Arial" w:cs="Arial"/>
          <w:sz w:val="20"/>
          <w:szCs w:val="20"/>
        </w:rPr>
        <w:t xml:space="preserve">GINESTIER_BREAST_CANCER_ZNF217_AMPLIFIED_DN,  </w:t>
      </w:r>
      <w:r w:rsidR="0093232D" w:rsidRPr="00083DE8">
        <w:rPr>
          <w:rFonts w:ascii="Arial" w:hAnsi="Arial" w:cs="Arial"/>
          <w:sz w:val="20"/>
          <w:szCs w:val="20"/>
        </w:rPr>
        <w:t>GINESTIER_BREAST_CANCER_20Q13_AMPLIFICATION_DN</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fg33299i0","properties":{"formattedCitation":"(41)","plainCitation":"(41)"},"citationItems":[{"id":1131,"uris":["http://zotero.org/users/local/zvOAVRAY/items/PEDHJI53"],"uri":["http://zotero.org/users/local/zvOAVRAY/items/PEDHJI53"],"itemData":{"id":1131,"type":"article-journal","title":"Prognosis and gene expression profiling of 20q13-amplified breast cancers","container-title":"Clinical Cancer Research: An Official Journal of the American Association for Cancer Research","page":"4533-4544","volume":"12","issue":"15","source":"PubMed","abstract":"PURPOSE: Amplification of chromosomal region 20q13 occurs in breast cancer but remains poorly characterized.\nEXPERIMENTAL DESIGN: To establish the frequency of 20q13 amplification and select the amplified cases to be studied, we used fluorescence in situ hybridization of bacterial artificial chromosome probes for three 20q13 loci (MYBL2, STK6, ZNF217) on sections of tissue microarrays containing 466 primary carcinoma samples. We used Affymetryx whole-genome DNA microarrays to establish the gene expression profiles of 20q13-amplified tumors and quantitative reverse transcription-PCR to validate the results.\nRESULTS: We found 36 (8%) 20q13-amplified samples. They were distributed in two types: type 1 tumors showed ZNF217 amplification only, whereas type 2 tumors showed amplification at two or three loci. Examination of the histoclinical features of th</w:instrText>
      </w:r>
      <w:r w:rsidR="00F44C4C" w:rsidRPr="00083DE8">
        <w:rPr>
          <w:rFonts w:ascii="Arial" w:hAnsi="Arial" w:cs="Arial"/>
          <w:sz w:val="20"/>
          <w:szCs w:val="20"/>
          <w:lang w:val="de-DE"/>
        </w:rPr>
        <w:instrText xml:space="preserve">e amplified tumors showed two strikingly opposite data. First, type 1 tumors were more frequently lymph node-negative tumors but were paradoxically associated with a poor prognosis. Second, type 2 tumors were more frequently lymph node-positive tumors but were paradoxically associated with a good prognosis. Type 1 and type 2 showed different gene expression profiles. No 20q13 gene could be associated with type 1 amplification, whereas several 20q13 genes were overexpressed in type 2 tumors.\nCONCLUSIONS: Our results suggest that amplified tumors of types 1 and 2 are two distinct entities resulting from two different mechanisms and associated to different prognosis.","DOI":"10.1158/1078-0432.CCR-05-2339","ISSN":"1078-0432","note":"PMID: 16899599","journalAbbreviation":"Clin. Cancer Res.","language":"eng","author":[{"family":"Ginestier","given":"Christophe"},{"family":"Cervera","given":"Nathalie"},{"family":"Finetti","given":"Pascal"},{"family":"Esteyries","given":"Séverine"},{"family":"Esterni","given":"Benjamin"},{"family":"Adélaïde","given":"José"},{"family":"Xerri","given":"Luc"},{"family":"Viens","given":"Patrice"},{"family":"Jacquemier","given":"Jocelyne"},{"family":"Charafe-Jauffret","given":"Emmanuelle"},{"family":"Chaffanet","given":"Max"},{"family":"Birnbaum","given":"Daniel"},{"family":"Bertucci","given":"François"}],"issued":{"date-parts":[["2006",8,1]]},"PMID":"16899599"}}],"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lang w:val="de-DE"/>
        </w:rPr>
        <w:t>(41)</w:t>
      </w:r>
      <w:r w:rsidR="005D11BD" w:rsidRPr="00083DE8">
        <w:rPr>
          <w:rFonts w:ascii="Arial" w:hAnsi="Arial" w:cs="Arial"/>
          <w:sz w:val="20"/>
          <w:szCs w:val="20"/>
        </w:rPr>
        <w:fldChar w:fldCharType="end"/>
      </w:r>
      <w:r w:rsidR="00C731CB" w:rsidRPr="00083DE8">
        <w:rPr>
          <w:rFonts w:ascii="Arial" w:hAnsi="Arial" w:cs="Arial"/>
          <w:sz w:val="20"/>
          <w:szCs w:val="20"/>
          <w:lang w:val="de-DE"/>
        </w:rPr>
        <w:t>,</w:t>
      </w:r>
      <w:r w:rsidR="0093232D" w:rsidRPr="00083DE8">
        <w:rPr>
          <w:rFonts w:ascii="Arial" w:hAnsi="Arial" w:cs="Arial"/>
          <w:sz w:val="20"/>
          <w:szCs w:val="20"/>
          <w:lang w:val="de-DE"/>
        </w:rPr>
        <w:t xml:space="preserve"> </w:t>
      </w:r>
      <w:r w:rsidR="000F46B8" w:rsidRPr="00083DE8">
        <w:rPr>
          <w:rFonts w:ascii="Arial" w:hAnsi="Arial" w:cs="Arial"/>
          <w:sz w:val="20"/>
          <w:szCs w:val="20"/>
          <w:lang w:val="de-DE"/>
        </w:rPr>
        <w:t>RICKMAN_METASTASIS_DN</w:t>
      </w:r>
      <w:r w:rsidR="00C731CB" w:rsidRPr="00083DE8">
        <w:rPr>
          <w:rFonts w:ascii="Arial" w:hAnsi="Arial" w:cs="Arial"/>
          <w:sz w:val="20"/>
          <w:szCs w:val="20"/>
          <w:lang w:val="de-DE"/>
        </w:rPr>
        <w:t xml:space="preserve"> </w:t>
      </w:r>
      <w:r w:rsidR="005D11BD" w:rsidRPr="00083DE8">
        <w:rPr>
          <w:rFonts w:ascii="Arial" w:hAnsi="Arial" w:cs="Arial"/>
          <w:sz w:val="20"/>
          <w:szCs w:val="20"/>
        </w:rPr>
        <w:fldChar w:fldCharType="begin"/>
      </w:r>
      <w:r w:rsidR="00F44C4C" w:rsidRPr="00083DE8">
        <w:rPr>
          <w:rFonts w:ascii="Arial" w:hAnsi="Arial" w:cs="Arial"/>
          <w:sz w:val="20"/>
          <w:szCs w:val="20"/>
          <w:lang w:val="de-DE"/>
        </w:rPr>
        <w:instrText xml:space="preserve"> ADDIN ZOTERO_ITEM CSL_CITATION {"citationID":"17bjmmd9ti","properties":{"formattedCitation":"(42)","plainCitation":"(42)"},"citationItems":[{"id":1133,"uris":["http://zotero.org/users/local/zvOAVRAY/items/XCS6EG9U"],"uri":["http://zotero.org/users/local/zvOAVRAY/items/XCS6EG9U"],"itemData":{"id":1133,"type":"article-journal","title":"Prediction of future metastasis and molecular characterization of head and neck squamous-cell carcinoma based on transcriptome and genome analysis by microarrays","container-title":"Oncogene","page":"6607-6622","volume":"27","issue":"51","source":"PubMed","abstract":"Propensity for subsequent distant metastasis in head and neck squamous-cell carcinoma (HNSCC) was analysed using 186 primary tumours from patients initially treated by surgery that developed (M) or did not develop (NM) metastases as the first recurrent event. Transcriptome (Affymetrix HGU133_Plus2, QRT-PCR) and array-comparative genomic hybridization data were collected. Non-supervised hierarchical clustering based on Affymetrix data distinguished tumours differing in pathological differentiation, and identified associated functional changes. Propensity for metastasis was not associated with these subgroups. Using QRT-PCR data we identified a four-gene model (PSMD10, HSD17B12, FLOT2 and KRT17) that predicts M/NM status with 77% success in a separate 79-sample validation group of HNSCC samples. This prediction is independent of clinical criteria (age, lymph node status, stage, differentiation and localization). The most significantly altered transcripts in M versus NM were significantly associated to metastasis-related functions, including adhesion, mobility and cell survival. Several genomic modifications were significantly associated with M/NM status (most notably gains at 4q11-22 and Xq12-28; losses at 11q14-24 and 17q11 losses) and partly linked to transcription modifications. This work yields a basis for the development of prognostic molecular signatures, markers and therapeutic targets for HNSCC metastasis.","DOI":"10.1038/onc.2008.251","ISSN":"1476-5594","note":"PMID: 18679425","journalAbbreviation":"Oncogene","language":"eng","author":[{"family":"Rickman","given":"D. S."},{"family":"Millon","given":"R."},{"family":"Reynies","given":"A.","non-dropping-particle":"De"},{"family":"Thomas","given":"E."},{"family":"Wasylyk","given":"C."},{"family":"Muller","given":"D."},{"family":"Abecassis","given":"J."},{"family":"Wasylyk","given":"B."}],"issued":{"date-parts":[["2008",11,20]]},"PMID":"18679425"}}],"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lang w:val="de-DE"/>
        </w:rPr>
        <w:t>(42)</w:t>
      </w:r>
      <w:r w:rsidR="005D11BD" w:rsidRPr="00083DE8">
        <w:rPr>
          <w:rFonts w:ascii="Arial" w:hAnsi="Arial" w:cs="Arial"/>
          <w:sz w:val="20"/>
          <w:szCs w:val="20"/>
        </w:rPr>
        <w:fldChar w:fldCharType="end"/>
      </w:r>
      <w:r w:rsidR="00C731CB" w:rsidRPr="00083DE8">
        <w:rPr>
          <w:rFonts w:ascii="Arial" w:hAnsi="Arial" w:cs="Arial"/>
          <w:sz w:val="20"/>
          <w:szCs w:val="20"/>
          <w:lang w:val="de-DE"/>
        </w:rPr>
        <w:t>,</w:t>
      </w:r>
      <w:r w:rsidR="000F46B8" w:rsidRPr="00083DE8">
        <w:rPr>
          <w:rFonts w:ascii="Arial" w:hAnsi="Arial" w:cs="Arial"/>
          <w:sz w:val="20"/>
          <w:szCs w:val="20"/>
          <w:lang w:val="de-DE"/>
        </w:rPr>
        <w:t xml:space="preserve"> MILI_PSEUDOPODIA_HAPTOTAXIS_DN</w:t>
      </w:r>
      <w:r w:rsidR="0093232D" w:rsidRPr="00083DE8">
        <w:rPr>
          <w:rFonts w:ascii="Arial" w:hAnsi="Arial" w:cs="Arial"/>
          <w:sz w:val="20"/>
          <w:szCs w:val="20"/>
          <w:lang w:val="de-DE"/>
        </w:rPr>
        <w:t>, MILI_PSEUDOPODIA_CHEMOTAXIS_DN</w:t>
      </w:r>
      <w:r w:rsidR="00C731CB" w:rsidRPr="00083DE8">
        <w:rPr>
          <w:rFonts w:ascii="Arial" w:hAnsi="Arial" w:cs="Arial"/>
          <w:sz w:val="20"/>
          <w:szCs w:val="20"/>
          <w:lang w:val="de-DE"/>
        </w:rPr>
        <w:t xml:space="preserve"> </w:t>
      </w:r>
      <w:r w:rsidR="005D11BD" w:rsidRPr="00083DE8">
        <w:rPr>
          <w:rFonts w:ascii="Arial" w:hAnsi="Arial" w:cs="Arial"/>
          <w:sz w:val="20"/>
          <w:szCs w:val="20"/>
        </w:rPr>
        <w:fldChar w:fldCharType="begin"/>
      </w:r>
      <w:r w:rsidR="00F44C4C" w:rsidRPr="00083DE8">
        <w:rPr>
          <w:rFonts w:ascii="Arial" w:hAnsi="Arial" w:cs="Arial"/>
          <w:sz w:val="20"/>
          <w:szCs w:val="20"/>
          <w:lang w:val="de-DE"/>
        </w:rPr>
        <w:instrText xml:space="preserve"> ADDIN ZOTERO_ITEM CSL_CITATION {"citationID":"12np8fci8t","properties":{"formattedCitation":"(43)","plainCitation":"(43)"},"citationItems":[{"id":1139,"uris":["http://zotero.org/users/local/zvOAVRAY/items/JXAQQWMP"],"uri":["http://zotero.org/users/local/zvOAVRAY/items/JXAQQWMP"],"itemData":{"id":1139,"type":"article-journal","title":"Genome-wide screen reveals APC-associated RNAs enriched in cell protrusions","container-title":"Nature","page":"115-119","volume":"453","issue":"7191","source":"PubMed","abstract":"RNA localization is important for the establishment and maintenance of polarity in multiple cell types. Localized RNAs are usually transported along microtubules or actin filaments and become anchored at their destination to some underlying subcellular structure. Retention commonly involves actin or actin-associated proteins, although cytokeratin filaments and dynein anchor certain RNAs. RNA localization is important for diverse processes ranging from cell fate determinatio</w:instrText>
      </w:r>
      <w:r w:rsidR="00F44C4C" w:rsidRPr="00083DE8">
        <w:rPr>
          <w:rFonts w:ascii="Arial" w:hAnsi="Arial" w:cs="Arial"/>
          <w:sz w:val="20"/>
          <w:szCs w:val="20"/>
        </w:rPr>
        <w:instrText xml:space="preserve">n to synaptic plasticity; however, so far there have been few comprehensive studies of localized RNAs in mammalian cells. Here we have addressed this issue, focusing on migrating fibroblasts that polarize to form a leading edge and a tail in a process that involves asymmetric distribution of RNAs. We used a fractionation scheme combined with microarrays to identify, on a genome-wide scale, RNAs that localize in protruding pseudopodia of mouse fibroblasts in response to migratory stimuli. We find that a diverse group of RNAs accumulates in such pseudopodial protrusions. Through their 3' untranslated regions these transcripts are anchored in granules concentrated at the plus ends of detyrosinated microtubules. RNAs in the granules associate with the adenomatous polyposis coli (APC) tumour suppressor and the fragile X mental retardation protein (FMRP). APC is required for the accumulation of transcripts in protrusions. Our results suggest a new type of RNA anchoring mechanism as well as a new, unanticipated function for APC in localizing RNAs.","DOI":"10.1038/nature06888","ISSN":"1476-4687","note":"PMID: 18451862\nPMCID: PMC2782773","journalAbbreviation":"Nature","language":"eng","author":[{"family":"Mili","given":"Stavroula"},{"family":"Moissoglu","given":"Konstadinos"},{"family":"Macara","given":"Ian G."}],"issued":{"date-parts":[["2008",5,1]]},"PMID":"18451862","PMCID":"PMC2782773"}}],"schema":"https://github.com/citation-style-language/schema/raw/master/csl-citation.json"}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(43)</w:t>
      </w:r>
      <w:r w:rsidR="005D11BD" w:rsidRPr="00083DE8">
        <w:rPr>
          <w:rFonts w:ascii="Arial" w:hAnsi="Arial" w:cs="Arial"/>
          <w:sz w:val="20"/>
          <w:szCs w:val="20"/>
        </w:rPr>
        <w:fldChar w:fldCharType="end"/>
      </w:r>
      <w:r w:rsidR="00C731CB" w:rsidRPr="00083DE8">
        <w:rPr>
          <w:rFonts w:ascii="Arial" w:hAnsi="Arial" w:cs="Arial"/>
          <w:sz w:val="20"/>
          <w:szCs w:val="20"/>
        </w:rPr>
        <w:t>,</w:t>
      </w:r>
      <w:r w:rsidR="000F46B8" w:rsidRPr="00083DE8">
        <w:rPr>
          <w:rFonts w:ascii="Arial" w:hAnsi="Arial" w:cs="Arial"/>
          <w:sz w:val="20"/>
          <w:szCs w:val="20"/>
        </w:rPr>
        <w:t xml:space="preserve"> NIKOLSKY_BREAST_CANCER_11Q12_Q14_AMPLICON, NIKOLSKY_BREAST_CANCER_17Q21_Q25_AMPLICON</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nf2g3ko1u","properties":{"formattedCitation":"(44)","plainCitation":"(44)"},"citationItems":[{"id":1135,"uris":["http://zotero.org/users/local/zvOAVRAY/items/G4UEBAPX"],"uri":["http://zotero.org/users/local/zvOAVRAY/items/G4UEBAPX"],"itemData":{"id":1135,"type":"article-journal","title":"Genome-wide functional synergy between amplified and mutated genes in human breast cancer","container-title":"Cancer Research","page":"9532-9540","volume":"68","issue":"22","source":"PubMed","abstract":"A single cancer cell contains large numbers of genetic alterations that in combination create the malignant phenotype. However, whether amplified and mutated genes form functional and physical interaction networks that could explain the selection for cells with combined alterations is unknown. To investigate this issue, we characterized copy number alterations in 191 breast tumors using dense single nucleotide polymorphism arrays and identified 1,747 genes with copy number gain organized into 30 amplicons. Amplicons were distributed unequally throughout the genome. Each amplicon had distinct enrichment pattern in pathways, networks, and molecular functions, but genes within individual amplicons did not form coherent functional units. Genes in amplicons included all major tumorigenic pathways and were highly enriched in breast cancer-causative genes. In contrast, 1,188 genes with somatic mutations in breast cancer were distributed randomly over the genome, did not represent a functionally cohesive gene set, and were relatively less enriched in breast cancer marker genes. Mutated and gained genes did not show statistically significant overlap but were highly synergistic in populating key tumorigenic pathways including transforming growth factor beta, WNT, fibroblast growth factor, and PIP3 signaling. In general, mutated genes were more frequently upstream of gained genes in transcription regulation signaling than vice versa, suggesting that mutated genes are mainly regulators, whereas gained genes are mostly regulated. ESR1 was the major transcription factor regulating amplified but not mutated genes. Our results support the hypothesis that multiple genetic events, including copy number gains and somatic mutations, are necessary for establishing the malignant cell phenotype.","DOI":"10.1158/0008-5472.CAN-08-3082","ISSN":"1538-7445","note":"PMID: 19010930","journalAbbreviation":"Cancer Res.","language":"eng","author":[{"family":"Nikolsky","given":"Yuri"},{"family":"Sviridov","given":"Evgeny"},{"family":"Yao","given":"Jun"},{"family":"Dosymbekov","given":"Damir"},{"family":"Ustyansky","given":"Vadim"},{"family":"Kaznacheev","given":"Valery"},{"family":"Dezso","given":"Zoltan"},{"family":"Mulvey","given":"Laura"},{"family":"Macconaill","given":"Laura E."},{"family":"Winckler","given":"Wendy"},{"family":"Serebryiskaya","given":"Tatiana"},{"family":"Nikolskaya","given":"Tatiana"},{"family":"Polyak","given":"Kornelia"}],"issued":{"date-parts":[["2008",11,15]]},"PMID":"19010930"}}],"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(44)</w:t>
      </w:r>
      <w:r w:rsidR="005D11BD" w:rsidRPr="00083DE8">
        <w:rPr>
          <w:rFonts w:ascii="Arial" w:hAnsi="Arial" w:cs="Arial"/>
          <w:sz w:val="20"/>
          <w:szCs w:val="20"/>
        </w:rPr>
        <w:fldChar w:fldCharType="end"/>
      </w:r>
      <w:r w:rsidR="00C731CB" w:rsidRPr="00083DE8">
        <w:rPr>
          <w:rFonts w:ascii="Arial" w:hAnsi="Arial" w:cs="Arial"/>
          <w:sz w:val="20"/>
          <w:szCs w:val="20"/>
        </w:rPr>
        <w:t>,</w:t>
      </w:r>
      <w:r w:rsidR="000F46B8" w:rsidRPr="00083DE8">
        <w:rPr>
          <w:rFonts w:ascii="Arial" w:hAnsi="Arial" w:cs="Arial"/>
          <w:sz w:val="20"/>
          <w:szCs w:val="20"/>
        </w:rPr>
        <w:t xml:space="preserve"> </w:t>
      </w:r>
      <w:r w:rsidR="00345BF9" w:rsidRPr="00083DE8">
        <w:rPr>
          <w:rFonts w:ascii="Arial" w:hAnsi="Arial" w:cs="Arial"/>
          <w:sz w:val="20"/>
          <w:szCs w:val="20"/>
        </w:rPr>
        <w:t>PEREZ_TP63_TARGETS</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pfmurpmts","properties":{"formattedCitation":"(45)","plainCitation":"(45)"},"citationItems":[{"id":229,"uris":["http://zotero.org/users/local/bDn5D7qt/items/3SJPA4F7"],"uri":["http://zotero.org/users/local/bDn5D7qt/items/3SJPA4F7"],"itemData":{"id":229,"type":"article-journal","title":"p63 consensus DNA-binding site: identification, analysis and application into a p63MH algorithm","container-title":"Oncogene","page":"7363-7370","volume":"26","issue":"52","source":"PubMed","abstract":"p53 and p63 belong to a family of sequence-specific transcription factors regulating key cellular processes. Differential composition of the p53 and p63 DNA-binding sites may contribute to distinct functions of these protein homologues. We used SELEX (systematic evolution of ligands by exponential enrichment) methodology to identify nucleic acid ligands for p63. We found that p63 bound preferentially to DNA fragments conforming to the 20 bp sequence 5'-RRRC(A/G)(A/T)GYYYRRRC(A/T)(C/T)GYYY-3'. Relative to the p53 consensus, the p63 consensus DNA-binding site (DBS) was more degenerate, particularly at positions 10 and 11, and was enriched for A/G at position 5 and C/T at position 16 of the consensus. The differences in DNA-binding site preferences between p63 and p53 influenced their ability to activate transcription from select response elements (REs) in cells. A computer algorithm, p63MH, was developed to find candidate p63-binding motifs on input sequences. We identified genes responsive to p63 regulation that contain functional p63 REs. Our results suggest that the sequence composition of REs could be one contributing factor to target gene discrimination between p63 and p53.","DOI":"10.1038/sj.onc.1210561","ISSN":"1476-5594","note":"PMID: 17563751","shortTitle":"p63 consensus DNA-binding site","journalAbbreviation":"Oncogene","language":"eng","author":[{"family":"Perez","given":"C. A."},{"family":"Ott","given":"J."},{"family":"Mays","given":"D. J."},{"family":"Pietenpol","given":"J. A."}],"issued":{"date-parts":[["2007",11,15]]},"PMID":"17563751"}}],"schema":"https://github.com/citation-style-language/schema/raw/master/csl-citation.json"}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(45)</w:t>
      </w:r>
      <w:r w:rsidR="005D11BD" w:rsidRPr="00083DE8">
        <w:rPr>
          <w:rFonts w:ascii="Arial" w:hAnsi="Arial" w:cs="Arial"/>
          <w:sz w:val="20"/>
          <w:szCs w:val="20"/>
        </w:rPr>
        <w:fldChar w:fldCharType="end"/>
      </w:r>
      <w:r w:rsidR="00C731CB" w:rsidRPr="00083DE8">
        <w:rPr>
          <w:rFonts w:ascii="Arial" w:hAnsi="Arial" w:cs="Arial"/>
          <w:sz w:val="20"/>
          <w:szCs w:val="20"/>
        </w:rPr>
        <w:t>,</w:t>
      </w:r>
      <w:r w:rsidR="00345BF9" w:rsidRPr="00083DE8">
        <w:rPr>
          <w:rFonts w:ascii="Arial" w:hAnsi="Arial" w:cs="Arial"/>
          <w:sz w:val="20"/>
          <w:szCs w:val="20"/>
        </w:rPr>
        <w:t xml:space="preserve"> </w:t>
      </w:r>
    </w:p>
    <w:p w:rsidR="00D436EE" w:rsidRPr="00083DE8" w:rsidRDefault="000F46B8" w:rsidP="00F44C4C">
      <w:pPr>
        <w:spacing w:line="240" w:lineRule="auto"/>
        <w:jc w:val="both"/>
        <w:rPr>
          <w:rFonts w:ascii="Arial" w:hAnsi="Arial" w:cs="Arial"/>
          <w:sz w:val="20"/>
          <w:szCs w:val="20"/>
        </w:rPr>
      </w:pPr>
      <w:r w:rsidRPr="00083DE8">
        <w:rPr>
          <w:rFonts w:ascii="Arial" w:hAnsi="Arial" w:cs="Arial"/>
          <w:sz w:val="20"/>
          <w:szCs w:val="20"/>
        </w:rPr>
        <w:t>AMIT_EGF_RESPONSE_480_HELA</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111d4pht5j","properties":{"formattedCitation":"(46)","plainCitation":"(46)"},"citationItems":[{"id":1137,"uris":["http://zotero.org/users/local/zvOAVRAY/items/F6NWKXAS"],"uri":["http://zotero.org/users/local/zvOAVRAY/items/F6NWKXAS"],"itemData":{"id":1137,"type":"article-journal","title":"A module of negative feedback regulators defines growth factor signaling","container-title":"Nature Genetics","page":"503-512","volume":"39","issue":"4","source":"PubMed","abstract":"Signaling pathways invoke interplays between forward signaling and feedback to drive robust cellular response. In this study, we address the dynamics of growth factor signaling through profiling of protein phosphorylation and gene expression, demonstrating the presence of a kinetically defined cluster of delayed early genes that function to attenuate the early events of growth factor signaling. Using epidermal growth factor receptor signaling as the major model system and concentrating on regulation of transcription and mRNA stability, we demonstrate that a number of genes within the delayed early gene cluster function as feedback regulators of immediate early genes. Consistent with their role in negative regulation of cell signaling, genes within this cluster are downregulated in diverse tumor types, in correlation with clinical outcome. More generally, our study proposes a mechanistic description of the cellular response to growth factors by defining architectural motifs that underlie the function of signaling networks.","DOI":"10.1038/ng1987","ISSN":"1061-4036","note":"PMID: 17322878","journalAbbreviation":"Nat. Genet.","language":"eng","author":[{"family":"Amit","given":"Ido"},{"family":"Citri","given":"Ami"},{"family":"Shay","given":"Tal"},{"family":"Lu","given":"Yiling"},{"family":"Katz","given":"Menachem"},{"family":"Zhang","given":"Fan"},{"family":"Tarcic","given":"Gabi"},{"family":"Siwak","given":"Doris"},{"family":"Lahad","given":"John"},{"family":"Jacob-Hirsch","given":"Jasmine"},{"family":"Amariglio","given":"Ninette"},{"family":"Vaisman","given":"Nora"},{"family":"Segal","given":"Eran"},{"family":"Rechavi","given":"Gideon"},{"family":"Alon","given":"Uri"},{"family":"Mills","given":"Gordon B."},{"family":"Domany","given":"Eytan"},{"family":"Yarden","given":"Yosef"}],"issued":{"date-parts":[["2007",4]]},"PMID":"17322878"}}],"schema":"https://github.com/citation-style-language/schema/raw/master/csl-citation.json"}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(46)</w:t>
      </w:r>
      <w:r w:rsidR="005D11BD" w:rsidRPr="00083DE8">
        <w:rPr>
          <w:rFonts w:ascii="Arial" w:hAnsi="Arial" w:cs="Arial"/>
          <w:sz w:val="20"/>
          <w:szCs w:val="20"/>
        </w:rPr>
        <w:fldChar w:fldCharType="end"/>
      </w:r>
      <w:r w:rsidR="00C731CB" w:rsidRPr="00083DE8">
        <w:rPr>
          <w:rFonts w:ascii="Arial" w:hAnsi="Arial" w:cs="Arial"/>
          <w:sz w:val="20"/>
          <w:szCs w:val="20"/>
        </w:rPr>
        <w:t>,</w:t>
      </w:r>
      <w:r w:rsidRPr="00083DE8">
        <w:rPr>
          <w:rFonts w:ascii="Arial" w:hAnsi="Arial" w:cs="Arial"/>
          <w:sz w:val="20"/>
          <w:szCs w:val="20"/>
        </w:rPr>
        <w:t xml:space="preserve"> CHARAFE_BREAST_CANCER_LUMINAL_VS_MESENCHYMAL_</w:t>
      </w:r>
      <w:r w:rsidR="0093232D" w:rsidRPr="00083DE8">
        <w:rPr>
          <w:rFonts w:ascii="Arial" w:hAnsi="Arial" w:cs="Arial"/>
          <w:sz w:val="20"/>
          <w:szCs w:val="20"/>
        </w:rPr>
        <w:t>UP, CHARAFE_BREAST_CANCER_LUMINAL_VS_BASAL_UP</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l6l9guuhk","properties":{"formattedCitation":"(32)","plainCitation":"(32)"},"citationItems":[{"id":1126,"uris":["http://zotero.org/users/local/zvOAVRAY/items/5QT9K56W"],"uri":["http://zotero.org/users/local/zvOAVRAY/items/5QT9K56W"],"itemData":{"id":1126,"type":"article-journal","title":"Gene expression profiling of breast cell lines identifies potential new basal markers","container-title":"Oncogene","page":"2273-2284","volume":"25","issue":"15","source":"PubMed","abstract":"A better molecular characterization of breast cell lines (BCL) may help discover new markers to apply to tumour samples. We performed gene and protein expression profiling of 31 BCL using whole-genome DNA microarrays and immunohistochemistry (IHC) on 'cell microarrays' (CMA), respectively. Global hierarchical clustering discriminated two groups of BCL: group I corresponded to luminal cell lines, group II to basal and mesenchymal cell lines. Correlations with centroids calculated from a published 'intrinsic 500-gene set' assigned 15 cell lines as luminal, eight as basal and four as mesenchymal. A set of 1.233 genes was differentially expressed between basal and luminal samples. Mesenchymal and basal subtypes were rather similar and discriminated by only 227 genes. The expression of 10 proteins (CAV1, CD44, EGFR, MET, ETS1, GATA3, luminal cytokeratin CK19, basal cytokeratin CK5/6, CD10, and ERM protein moesin) encoded by luminal vs basal discriminator genes confirmed the subtype classification and the validity of the identified markers. Our BCL basal/luminal signature correctly re-classified the published series of tumour samples that originally served to identify the molecular subtypes, suggesting that the identified markers should be useful for tumour classification and might represent promising targets for disease management.","DOI":"10.1038/sj.onc.1209254","ISSN":"0950-9232","note":"PMID: 16288205","journalAbbreviation":"Oncogene","language":"eng","author":[{"family":"Charafe-Jauffret","given":"E."},{"family":"Ginestier","given":"C."},{"family":"Monville","given":"F."},{"family":"Finetti","given":"P."},{"family":"Adélaïde","given":"J."},{"family":"Cervera","given":"N."},{"family":"Fekairi","given":"S."},{"family":"Xerri","given":"L."},{"family":"Jacquemier","given":"J."},{"family":"Birnbaum","given":"D."},{"family":"Bertucci","given":"F."}],"issued":{"date-parts":[["2006",4,6]]},"PMID":"16288205"}}],"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(32)</w:t>
      </w:r>
      <w:r w:rsidR="005D11BD" w:rsidRPr="00083DE8">
        <w:rPr>
          <w:rFonts w:ascii="Arial" w:hAnsi="Arial" w:cs="Arial"/>
          <w:sz w:val="20"/>
          <w:szCs w:val="20"/>
        </w:rPr>
        <w:fldChar w:fldCharType="end"/>
      </w:r>
      <w:r w:rsidR="00C731CB" w:rsidRPr="00083DE8">
        <w:rPr>
          <w:rFonts w:ascii="Arial" w:hAnsi="Arial" w:cs="Arial"/>
          <w:sz w:val="20"/>
          <w:szCs w:val="20"/>
        </w:rPr>
        <w:t>,</w:t>
      </w:r>
      <w:r w:rsidR="00143CDD" w:rsidRPr="00083DE8">
        <w:rPr>
          <w:rFonts w:ascii="Arial" w:hAnsi="Arial" w:cs="Arial"/>
          <w:sz w:val="20"/>
          <w:szCs w:val="20"/>
        </w:rPr>
        <w:t xml:space="preserve"> </w:t>
      </w:r>
      <w:r w:rsidR="00345BF9" w:rsidRPr="00083DE8">
        <w:rPr>
          <w:rFonts w:ascii="Arial" w:hAnsi="Arial" w:cs="Arial"/>
          <w:sz w:val="20"/>
          <w:szCs w:val="20"/>
        </w:rPr>
        <w:t>PEREZ_TP53_AND_TP63_TARGETS</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a2jjpc19t","properties":{"formattedCitation":"(45)","plainCitation":"(45)"},"citationItems":[{"id":229,"uris":["http://zotero.org/users/local/bDn5D7qt/items/3SJPA4F7"],"uri":["http://zotero.org/users/local/bDn5D7qt/items/3SJPA4F7"],"itemData":{"id":229,"type":"article-journal","title":"p63 consensus DNA-binding site: identification, analysis and application into a p63MH algorithm","container-title":"Oncogene","page":"7363-7370","volume":"26","issue":"52","source":"PubMed","abstract":"p53 and p63 belong to a family of sequence-specific transcription factors regulating key cellular processes. Differential composition of the p53 and p63 DNA-binding sites may contribute to distinct functions of these protein homologues. We used SELEX (systematic evolution of ligands by exponential enrichment) methodology to identify nucleic acid ligands for p63. We found that p63 bound preferentially to DNA fragments conforming to the 20 bp sequence 5'-RRRC(A/G)(A/T)GYYYRRRC(A/T)(C/T)GYYY-3'. Relative to the p53 consensus, the p63 consensus DNA-binding site (DBS) was more degenerate, particularly at positions 10 and 11, and was enriched for A/G at position 5 and C/T at position 16 of the consensus. The differences in DNA-binding site preferences between p63 and p53 influenced their ability to activate transcription from select response elements (REs) in cells. A computer algorithm, p63MH, was developed to find candidate p63-binding motifs on input sequences. We identified genes responsive to p63 regulation that contain functional p63 REs. Our results suggest that the sequence composition of REs could be one contributing factor to target gene discrimination between p63 and p53.","DOI":"10.1038/sj.onc.1210561","ISSN":"1476-5594","note":"PMID: 17563751","shortTitle":"p63 consensus DNA-binding site","journalAbbreviation":"Oncogene","language":"eng","author":[{"family":"Perez","given":"C. A."},{"family":"Ott","given":"J."},{"family":"Mays","given":"D. J."},{"family":"Pietenpol","given":"J. A."}],"issued":{"date-parts":[["2007",11,15]]},"PMID":"17563751"}}],"schema":"https://github.com/citation-style-language/schema/raw/master/csl-citation.json"}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(45)</w:t>
      </w:r>
      <w:r w:rsidR="005D11BD" w:rsidRPr="00083DE8">
        <w:rPr>
          <w:rFonts w:ascii="Arial" w:hAnsi="Arial" w:cs="Arial"/>
          <w:sz w:val="20"/>
          <w:szCs w:val="20"/>
        </w:rPr>
        <w:fldChar w:fldCharType="end"/>
      </w:r>
      <w:r w:rsidR="00C731CB" w:rsidRPr="00083DE8">
        <w:rPr>
          <w:rFonts w:ascii="Arial" w:hAnsi="Arial" w:cs="Arial"/>
          <w:sz w:val="20"/>
          <w:szCs w:val="20"/>
        </w:rPr>
        <w:t>,</w:t>
      </w:r>
      <w:r w:rsidR="00345BF9" w:rsidRPr="00083DE8">
        <w:rPr>
          <w:rFonts w:ascii="Arial" w:hAnsi="Arial" w:cs="Arial"/>
          <w:sz w:val="20"/>
          <w:szCs w:val="20"/>
        </w:rPr>
        <w:t xml:space="preserve"> </w:t>
      </w:r>
      <w:r w:rsidR="0093232D" w:rsidRPr="00083DE8">
        <w:rPr>
          <w:rFonts w:ascii="Arial" w:hAnsi="Arial" w:cs="Arial"/>
          <w:sz w:val="20"/>
          <w:szCs w:val="20"/>
        </w:rPr>
        <w:t>DOUGLAS_BMI1_TARGETS_UP</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4t7g5am8b","properties":{"formattedCitation":"(47)","plainCitation":"(47)"},"citationItems":[{"id":1141,"uris":["http://zotero.org/users/local/zvOAVRAY/items/Q8R34IKW"],"uri":["http://zotero.org/users/local/zvOAVRAY/items/Q8R34IKW"],"itemData":{"id":1141,"type":"article-journal","title":"BMI-1 promotes ewing sarcoma tumorigenicity independent of CDKN2A repression","container-title":"Cancer Research","page":"6507-6515","volume":"68","issue":"16","source":"PubMed","abstract":"Deregulation of the polycomb group gene BMI-1 is implicated in the pathogenesis of many human cancers. In this study, we have investigated if the Ewing sarcoma family of tumors (ESFT) expresses BMI-1 and whether it functions as an oncogene in this highly aggressive group of bone and soft tissue tumors. Our data show that BMI-1 is highly expressed by ESFT cells and that, although it does not significantly affect proliferation or survival, BMI-1 actively promotes anchorage-independent growth in vitro and tumorigenicity in vivo. Moreover, we find that BMI-1 promotes the tumorigenicity of both p16 wild-type and p16-null cell lines, demonstrating that the mechanism of BMI-1 oncogenic function in ESFT is, at least in part, independent of CDKN2A repression. Expression profiling studies of ESFT cells following BMI-1 knockdown reveal that BMI-1 regulates the expression of hundreds of downstream target genes including, in particular, genes involved in both differentiation and development as well as cell-cell and cell-matrix adhesion. Gain and loss of function assays confirm that BMI-1 represses the expression of the adhesion-associated basement membrane protein nidogen 1. In addition, although BMI-1 promotes ESFT adhesion, nidogen 1 inhibits cellular adhesion in vitro. Together, these data support a pivotal role for BMI-1 ESFT pathogenesis and suggest that its oncogenic function in these tumors is in part mediated through modulation of adhesion pathways.","DOI":"10.1158/0008-5472.CAN-07-6152","ISSN":"1538-7445","note":"PMID: 18701473\nPMCID: PMC2570201","journalAbbreviation":"Cancer Res.","language":"eng","author":[{"family":"Douglas","given":"Dorothea"},{"family":"Hsu","given":"Jessie Hao-Ru"},{"family":"Hung","given":"Long"},{"family":"Cooper","given":"Aaron"},{"family":"Abdueva","given":"Diana"},{"family":"Doorninck","given":"John","non-dropping-particle":"van"},{"family":"Peng","given":"Grace"},{"family":"Shimada","given":"Hiro"},{"family":"Triche","given":"Timothy J."},{"family":"Lawlor","given":"Elizabeth R."}],"issued":{"date-parts":[["2008",8,15]]},"PMID":"18701473","PMCID":"PMC2570201"}}],"schema":"https://github.com/citation-style-language/schema/raw/master/csl-citation.json"}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(47)</w:t>
      </w:r>
      <w:r w:rsidR="005D11BD" w:rsidRPr="00083DE8">
        <w:rPr>
          <w:rFonts w:ascii="Arial" w:hAnsi="Arial" w:cs="Arial"/>
          <w:sz w:val="20"/>
          <w:szCs w:val="20"/>
        </w:rPr>
        <w:fldChar w:fldCharType="end"/>
      </w:r>
      <w:r w:rsidR="00C731CB" w:rsidRPr="00083DE8">
        <w:rPr>
          <w:rFonts w:ascii="Arial" w:hAnsi="Arial" w:cs="Arial"/>
          <w:sz w:val="20"/>
          <w:szCs w:val="20"/>
        </w:rPr>
        <w:t>,</w:t>
      </w:r>
      <w:r w:rsidR="0093232D" w:rsidRPr="00083DE8">
        <w:rPr>
          <w:rFonts w:ascii="Arial" w:hAnsi="Arial" w:cs="Arial"/>
          <w:sz w:val="20"/>
          <w:szCs w:val="20"/>
        </w:rPr>
        <w:t xml:space="preserve"> HELLER_HDAC_TARGETS_UP</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16ndn71i6l","properties":{"formattedCitation":"(48)","plainCitation":"(48)"},"citationItems":[{"id":1143,"uris":["http://zotero.org/users/local/zvOAVRAY/items/F7N82IF5"],"uri":["http://zotero.org/users/local/zvOAVRAY/items/F7N82IF5"],"itemData":{"id":1143,"type":"article-journal","title":"Genome-wide transcriptional response to 5-aza-2'-deoxycytidine and trichostatin a in multiple myeloma cells","container-title":"Cancer Research","page":"44-54","volume":"68","issue":"1","source":"PubMed","abstract":"To identify epigenetically silenced cancer-related genes and to determine molecular effects of 5-aza-2'-deoxycytidine (Aza-dC) and/or trichostatin A (TSA) in multiple myeloma (MM), we analyzed global changes in gene expression profiles of three MM cell lines by microarray analysis. We identified up-regulation of several genes whose epigenetic silencing in MM is well known. However, much more importantly, we identified a large number of epigenetically inactivated cancer-related genes that are involved in various physiologic processes and whose epigenetic regulation in MM was unknown thus far. In addition, drug treatment of MM cell lines resulted in down-regulation of several MM proliferation-associated factors (i.e., MAF, CCND1/2, MYC, FGFR3, MMSET). Ten Aza-dC and/or TSA up-regulated genes (CPEB1, CD9, GJA1, BCL7c, GADD45G, AKAP12, TFPI2, CCNA1, SPARC, and BNIP3) were selected for methylation analysis in six MM cell lines, 24 samples from patients with monoclonal gammopathy of undetermined significance (MGUS), and 111 samples from patients with MM. Methylation frequencies of these genes ranged between 0% and 17% in MGUS samples and between 5% and 50% in MM samples. Interestingly, methylation of SPARC and BNIP3 was statistically significantly associated with a poor overall survival of MM patients (P = 0.003 and P = 0.017, respectively). Moreover, SPARC methylation was associated with loss of SPARC protein expression by immunostaining in a subset of MM patients. In conclusion, we identified new targets for aberrant methylation in monoclonal gammopathies, and our results suggest that DNA methyltransferase and histone deacetylase inhibition might play an important role in the future treatment of patients with MM.","DOI":"10.1158/0008-5472.CAN-07-2531","ISSN":"1538-7445","note":"PMID: 18172295","journalAbbreviation":"Cancer Res.","language":"eng","author":[{"family":"Heller","given":"Gerwin"},{"family":"Schmidt","given":"Wolfgang M."},{"family":"Ziegler","given":"Barbara"},{"family":"Holzer","given":"Sonja"},{"family":"Müllauer","given":"Leonhard"},{"family":"Bilban","given":"Martin"},{"family":"Zielinski","given":"Christoph C."},{"family":"Drach","given":"Johannes"},{"family":"Zöchbauer-Müller","given":"Sabine"}],"issued":{"date-parts":[["2008",1,1]]},"PMID":"18172295"}}],"schema":"https://github.com/citation-style-language/schema/raw/master/csl-citation.json"}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(48)</w:t>
      </w:r>
      <w:r w:rsidR="005D11BD" w:rsidRPr="00083DE8">
        <w:rPr>
          <w:rFonts w:ascii="Arial" w:hAnsi="Arial" w:cs="Arial"/>
          <w:sz w:val="20"/>
          <w:szCs w:val="20"/>
        </w:rPr>
        <w:fldChar w:fldCharType="end"/>
      </w:r>
      <w:r w:rsidR="00C731CB" w:rsidRPr="00083DE8">
        <w:rPr>
          <w:rFonts w:ascii="Arial" w:hAnsi="Arial" w:cs="Arial"/>
          <w:sz w:val="20"/>
          <w:szCs w:val="20"/>
        </w:rPr>
        <w:t>,</w:t>
      </w:r>
      <w:r w:rsidR="0093232D" w:rsidRPr="00083DE8">
        <w:rPr>
          <w:rFonts w:ascii="Arial" w:hAnsi="Arial" w:cs="Arial"/>
          <w:sz w:val="20"/>
          <w:szCs w:val="20"/>
        </w:rPr>
        <w:t xml:space="preserve"> ONDER_CDH1_TARGETS_1_UP</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sh5bhqmku","properties":{"formattedCitation":"(49)","plainCitation":"(49)"},"citationItems":[{"id":1147,"uris":["http://zotero.org/users/local/zvOAVRAY/items/4PARGC23"],"uri":["http://zotero.org/users/local/zvOAVRAY/items/4PARGC23"],"itemData":{"id":1147,"type":"article-journal","title":"Loss of E-cadherin promotes metastasis via multiple downstream transcriptional pathways","container-title":"Cancer Research","page":"3645-3654","volume":"68","issue":"10","source":"PubMed","abstract":"Loss of the epithelial adhesion molecule E-cadherin is thought to enable metastasis by disrupting intercellular contacts-an early step in metastatic dissemination. To further investigate the molecular basis of this notion, we use two methods to inhibit E-cadherin function that distinguish between E-cadherin's cell-cell adhesion and intracellular signaling functions. Whereas the disruption of cell-cell contacts alone does not enable metastasis, the loss of E-cadherin protein does, through induction of an epithelial-to-mesenchymal transition, invasiveness, and anoikis resistance. We find the E-cadherin binding partner beta-catenin to be necessary, but not sufficient, for induction of these phenotypes. In addition, gene expression analysis shows that E-cadherin loss results in the induction of multiple transcription factors, at least one of which, Twist, is necessary for E-cadherin loss-induced metastasis. These findings indicate that E-cadherin loss in tumors contributes to metastatic dissemination by inducing wide-ranging transcriptional and functional changes.","DOI":"10.1158/0008-5472.CAN-07-2938","ISSN":"1538-7445","note":"PMID: 18483246","journalAbbreviation":"Cancer Res.","language":"eng","author":[{"family":"Onder","given":"Tamer T."},{"family":"Gupta","given":"Piyush B."},{"family":"Mani","given":"Sendurai A."},{"family":"Yang","given":"Jing"},{"family":"Lander","given":"Eric S."},{"family":"Weinberg","given":"Robert A."}],"issued":{"date-parts":[["2008",5,15]]},"PMID":"18483246"}}],"schema":"https://github.com/citation-style-language/schema/raw/master/csl-citation.json"}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(49)</w:t>
      </w:r>
      <w:r w:rsidR="005D11BD" w:rsidRPr="00083DE8">
        <w:rPr>
          <w:rFonts w:ascii="Arial" w:hAnsi="Arial" w:cs="Arial"/>
          <w:sz w:val="20"/>
          <w:szCs w:val="20"/>
        </w:rPr>
        <w:fldChar w:fldCharType="end"/>
      </w:r>
      <w:r w:rsidR="00C731CB" w:rsidRPr="00083DE8">
        <w:rPr>
          <w:rFonts w:ascii="Arial" w:hAnsi="Arial" w:cs="Arial"/>
          <w:sz w:val="20"/>
          <w:szCs w:val="20"/>
        </w:rPr>
        <w:t>.</w:t>
      </w:r>
      <w:r w:rsidR="00143CDD" w:rsidRPr="00083DE8">
        <w:rPr>
          <w:rFonts w:ascii="Arial" w:hAnsi="Arial" w:cs="Arial"/>
          <w:sz w:val="20"/>
          <w:szCs w:val="20"/>
        </w:rPr>
        <w:t xml:space="preserve"> </w:t>
      </w:r>
      <w:r w:rsidR="00D436EE" w:rsidRPr="00083DE8">
        <w:rPr>
          <w:rFonts w:ascii="Arial" w:hAnsi="Arial" w:cs="Arial"/>
          <w:sz w:val="20"/>
          <w:szCs w:val="20"/>
        </w:rPr>
        <w:t xml:space="preserve">The significant pathways were selected according to FDR value ≤ 0.05. Binomial Fold Enrichment was denoted as Enrichment. </w:t>
      </w:r>
    </w:p>
    <w:p w:rsidR="00187F45" w:rsidRPr="00083DE8" w:rsidRDefault="00187F45" w:rsidP="00F44C4C">
      <w:pPr>
        <w:spacing w:line="240" w:lineRule="auto"/>
        <w:jc w:val="both"/>
        <w:rPr>
          <w:rFonts w:ascii="Arial" w:eastAsia="Times New Roman" w:hAnsi="Arial" w:cs="Arial"/>
          <w:b/>
          <w:sz w:val="20"/>
          <w:szCs w:val="20"/>
        </w:rPr>
      </w:pPr>
      <w:r w:rsidRPr="00083DE8">
        <w:rPr>
          <w:rFonts w:ascii="Arial" w:eastAsia="Times New Roman" w:hAnsi="Arial" w:cs="Arial"/>
          <w:b/>
          <w:sz w:val="20"/>
          <w:szCs w:val="20"/>
        </w:rPr>
        <w:t>Immuno</w:t>
      </w:r>
      <w:r w:rsidR="00D436EE" w:rsidRPr="00083DE8">
        <w:rPr>
          <w:rFonts w:ascii="Arial" w:eastAsia="Times New Roman" w:hAnsi="Arial" w:cs="Arial"/>
          <w:b/>
          <w:sz w:val="20"/>
          <w:szCs w:val="20"/>
        </w:rPr>
        <w:t>fluorescen</w:t>
      </w:r>
      <w:r w:rsidR="000F46B8" w:rsidRPr="00083DE8">
        <w:rPr>
          <w:rFonts w:ascii="Arial" w:eastAsia="Times New Roman" w:hAnsi="Arial" w:cs="Arial"/>
          <w:b/>
          <w:sz w:val="20"/>
          <w:szCs w:val="20"/>
        </w:rPr>
        <w:t>ce</w:t>
      </w:r>
      <w:r w:rsidRPr="00083DE8">
        <w:rPr>
          <w:rFonts w:ascii="Arial" w:eastAsia="Times New Roman" w:hAnsi="Arial" w:cs="Arial"/>
          <w:b/>
          <w:sz w:val="20"/>
          <w:szCs w:val="20"/>
        </w:rPr>
        <w:t xml:space="preserve"> staining</w:t>
      </w:r>
    </w:p>
    <w:p w:rsidR="00187F45" w:rsidRPr="00083DE8" w:rsidRDefault="00EB3D43" w:rsidP="00F44C4C">
      <w:pPr>
        <w:spacing w:line="240" w:lineRule="auto"/>
        <w:jc w:val="both"/>
        <w:rPr>
          <w:rFonts w:ascii="Arial" w:eastAsia="Times New Roman" w:hAnsi="Arial" w:cs="Arial"/>
          <w:sz w:val="20"/>
          <w:szCs w:val="20"/>
        </w:rPr>
      </w:pPr>
      <w:r w:rsidRPr="00083DE8">
        <w:rPr>
          <w:rFonts w:ascii="Arial" w:hAnsi="Arial" w:cs="Arial"/>
          <w:sz w:val="20"/>
          <w:szCs w:val="20"/>
        </w:rPr>
        <w:t>Immunofluorescence for Vimentin was performed as</w:t>
      </w:r>
      <w:r w:rsidR="00143CDD" w:rsidRPr="00083DE8">
        <w:rPr>
          <w:rFonts w:ascii="Arial" w:hAnsi="Arial" w:cs="Arial"/>
          <w:sz w:val="20"/>
          <w:szCs w:val="20"/>
        </w:rPr>
        <w:t xml:space="preserve"> described previously</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t5ko0mcr9","properties":{"formattedCitation":"(50)","plainCitation":"(50)"},"citationItems":[{"id":136,"uris":["http://zotero.org/users/local/PGNXbLbe/items/HWD7U68W"],"uri":["http://zotero.org/users/local/PGNXbLbe/items/HWD7U68W"],"itemData":{"id":136,"type":"article-journal","title":"The H2B ubiquitin ligase RNF40 cooperates with SUPT16H to induce dynamic changes in chromatin structure during DNA double-strand break repair","container-title":"Cell cycle (Georgetown, Tex.)","page":"3495-3504","volume":"10","issue":"20","source":"NCBI PubMed","abstract":"Many anticancer therapies function largely by inducing DNA double-strand breaks (DSBs) or altering the ability of cancer cells to repair them. Proper and timely DNA repair requires dynamic changes in chromatin assembly and disassembly characterized by histone H3 lysine 56 acetylation (H3K56ac) and phosphorylation of the variant histone H2AX (γH2AX). Similarly, histone H2B monoubiquitination (H2Bub1) functions in DNA repair, but its role in controlling dynamic changes in chromatin structure following DSBs and the histone chaperone complexes involved remain unknown. Therefore, we investigated the role of the H2B ubiquitin ligase RNF40 in the DSB response. We show that RNF40 depletion results in sustained H2AX phosphorylation and a decrease in rapid cell cycle checkpoint activation. Furthermore, RNF40 knockdown resulted in decreased H3K56ac and decreased recruitment of the facilitates chromatin transcription (FACT) complex to chromatin following DSB. Knockdown of the FACT component suppressor of Ty homolog-16 (SUPT16H) phenocopied the effects of RNF40 knockdown on both γH2AX and H3K56ac following DSB induction. Consistently, both RNF40 and SUPT16H were required for proper DNA end resection and timely DNA repair, suggesting that H2Bub1 and FACT cooperate to increase chromatin dynamics, which facilitates proper checkpoint activation and timely DNA repair. These results provide important mechanistic insights into the tumor suppressor function of H2Bub1 and provide a rational basis for pursuing H2Bub1-based therapies in conjunction with traditional chemo- and radiotherapy.","DOI":"10.4161/cc.10.20.17769","ISSN":"1551-4005","note":"PMID: 22031019","journalAbbreviation":"Cell Cycle","author":[{"family":"Kari","given":"Vijayalakshmi"},{"family":"Shchebet","given":"Andrei"},{"family":"Neumann","given":"Heinz"},{"family":"Johnsen","given":"Steven A"}],"issued":{"date-parts":[["2011",10,15]]},"PMID":"22031019"}}],"schema":"https://github.com/citation-style-language/schema/raw/master/csl-citation.json"}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(50)</w:t>
      </w:r>
      <w:r w:rsidR="005D11BD" w:rsidRPr="00083DE8">
        <w:rPr>
          <w:rFonts w:ascii="Arial" w:hAnsi="Arial" w:cs="Arial"/>
          <w:sz w:val="20"/>
          <w:szCs w:val="20"/>
        </w:rPr>
        <w:fldChar w:fldCharType="end"/>
      </w:r>
      <w:r w:rsidRPr="00083DE8">
        <w:rPr>
          <w:rFonts w:ascii="Arial" w:hAnsi="Arial" w:cs="Arial"/>
          <w:sz w:val="20"/>
          <w:szCs w:val="20"/>
        </w:rPr>
        <w:t xml:space="preserve"> using the antibodies listed in </w:t>
      </w:r>
      <w:r w:rsidR="00F80239" w:rsidRPr="00083DE8">
        <w:rPr>
          <w:rFonts w:ascii="Arial" w:hAnsi="Arial" w:cs="Arial"/>
          <w:sz w:val="20"/>
          <w:szCs w:val="20"/>
        </w:rPr>
        <w:t>Supporting</w:t>
      </w:r>
      <w:r w:rsidR="00143CDD" w:rsidRPr="00083DE8">
        <w:rPr>
          <w:rFonts w:ascii="Arial" w:hAnsi="Arial" w:cs="Arial"/>
          <w:sz w:val="20"/>
          <w:szCs w:val="20"/>
        </w:rPr>
        <w:t xml:space="preserve"> t</w:t>
      </w:r>
      <w:r w:rsidRPr="00083DE8">
        <w:rPr>
          <w:rFonts w:ascii="Arial" w:hAnsi="Arial" w:cs="Arial"/>
          <w:sz w:val="20"/>
          <w:szCs w:val="20"/>
        </w:rPr>
        <w:t>able S2.</w:t>
      </w:r>
      <w:r w:rsidR="00D436EE" w:rsidRPr="00083DE8">
        <w:rPr>
          <w:rFonts w:ascii="Arial" w:eastAsia="Times New Roman" w:hAnsi="Arial" w:cs="Arial"/>
          <w:sz w:val="20"/>
          <w:szCs w:val="20"/>
        </w:rPr>
        <w:t xml:space="preserve"> </w:t>
      </w:r>
      <w:r w:rsidR="00716F68" w:rsidRPr="00083DE8">
        <w:rPr>
          <w:rFonts w:ascii="Arial" w:eastAsia="Times New Roman" w:hAnsi="Arial" w:cs="Arial"/>
          <w:sz w:val="20"/>
          <w:szCs w:val="20"/>
        </w:rPr>
        <w:t>Nunc™ Lab-</w:t>
      </w:r>
      <w:proofErr w:type="spellStart"/>
      <w:r w:rsidR="00716F68" w:rsidRPr="00083DE8">
        <w:rPr>
          <w:rFonts w:ascii="Arial" w:eastAsia="Times New Roman" w:hAnsi="Arial" w:cs="Arial"/>
          <w:sz w:val="20"/>
          <w:szCs w:val="20"/>
        </w:rPr>
        <w:t>Tek</w:t>
      </w:r>
      <w:proofErr w:type="spellEnd"/>
      <w:r w:rsidR="00716F68" w:rsidRPr="00083DE8">
        <w:rPr>
          <w:rFonts w:ascii="Arial" w:eastAsia="Times New Roman" w:hAnsi="Arial" w:cs="Arial"/>
          <w:sz w:val="20"/>
          <w:szCs w:val="20"/>
        </w:rPr>
        <w:t xml:space="preserve">™ </w:t>
      </w:r>
      <w:r w:rsidR="00D436EE" w:rsidRPr="00083DE8">
        <w:rPr>
          <w:rFonts w:ascii="Arial" w:eastAsia="Times New Roman" w:hAnsi="Arial" w:cs="Arial"/>
          <w:sz w:val="20"/>
          <w:szCs w:val="20"/>
        </w:rPr>
        <w:t>Chamber Slide</w:t>
      </w:r>
      <w:r w:rsidR="000F46B8" w:rsidRPr="00083DE8">
        <w:rPr>
          <w:rFonts w:ascii="Arial" w:eastAsia="Times New Roman" w:hAnsi="Arial" w:cs="Arial"/>
          <w:sz w:val="20"/>
          <w:szCs w:val="20"/>
        </w:rPr>
        <w:t xml:space="preserve"> system </w:t>
      </w:r>
      <w:r w:rsidR="00716F68" w:rsidRPr="00083DE8">
        <w:rPr>
          <w:rFonts w:ascii="Arial" w:eastAsia="Times New Roman" w:hAnsi="Arial" w:cs="Arial"/>
          <w:sz w:val="20"/>
          <w:szCs w:val="20"/>
        </w:rPr>
        <w:t xml:space="preserve">(Thermo Scientific, cat. 177402) </w:t>
      </w:r>
      <w:r w:rsidR="000F46B8" w:rsidRPr="00083DE8">
        <w:rPr>
          <w:rFonts w:ascii="Arial" w:eastAsia="Times New Roman" w:hAnsi="Arial" w:cs="Arial"/>
          <w:sz w:val="20"/>
          <w:szCs w:val="20"/>
        </w:rPr>
        <w:t>was used and they were coated with 100 µg/mL poly L-lysine</w:t>
      </w:r>
      <w:r w:rsidR="00665244" w:rsidRPr="00083DE8">
        <w:rPr>
          <w:rFonts w:ascii="Arial" w:eastAsia="Times New Roman" w:hAnsi="Arial" w:cs="Arial"/>
          <w:sz w:val="20"/>
          <w:szCs w:val="20"/>
        </w:rPr>
        <w:t xml:space="preserve"> </w:t>
      </w:r>
      <w:proofErr w:type="spellStart"/>
      <w:r w:rsidR="00665244" w:rsidRPr="00083DE8">
        <w:rPr>
          <w:rFonts w:ascii="Arial" w:eastAsia="Times New Roman" w:hAnsi="Arial" w:cs="Arial"/>
          <w:sz w:val="20"/>
          <w:szCs w:val="20"/>
        </w:rPr>
        <w:t>hydrobromide</w:t>
      </w:r>
      <w:proofErr w:type="spellEnd"/>
      <w:r w:rsidR="000F46B8" w:rsidRPr="00083DE8">
        <w:rPr>
          <w:rFonts w:ascii="Arial" w:eastAsia="Times New Roman" w:hAnsi="Arial" w:cs="Arial"/>
          <w:sz w:val="20"/>
          <w:szCs w:val="20"/>
        </w:rPr>
        <w:t xml:space="preserve"> (Sigma</w:t>
      </w:r>
      <w:r w:rsidR="00665244" w:rsidRPr="00083DE8">
        <w:rPr>
          <w:rFonts w:ascii="Arial" w:eastAsia="Times New Roman" w:hAnsi="Arial" w:cs="Arial"/>
          <w:sz w:val="20"/>
          <w:szCs w:val="20"/>
        </w:rPr>
        <w:t>, P2636</w:t>
      </w:r>
      <w:r w:rsidR="000F46B8" w:rsidRPr="00083DE8">
        <w:rPr>
          <w:rFonts w:ascii="Arial" w:eastAsia="Times New Roman" w:hAnsi="Arial" w:cs="Arial"/>
          <w:sz w:val="20"/>
          <w:szCs w:val="20"/>
        </w:rPr>
        <w:t>) for 90 min at 37°C. After coating, the ch</w:t>
      </w:r>
      <w:r w:rsidR="00D159D1" w:rsidRPr="00083DE8">
        <w:rPr>
          <w:rFonts w:ascii="Arial" w:eastAsia="Times New Roman" w:hAnsi="Arial" w:cs="Arial"/>
          <w:sz w:val="20"/>
          <w:szCs w:val="20"/>
        </w:rPr>
        <w:t xml:space="preserve">amber slides were air-dried. 20 </w:t>
      </w:r>
      <w:r w:rsidR="000F46B8" w:rsidRPr="00083DE8">
        <w:rPr>
          <w:rFonts w:ascii="Arial" w:eastAsia="Times New Roman" w:hAnsi="Arial" w:cs="Arial"/>
          <w:sz w:val="20"/>
          <w:szCs w:val="20"/>
        </w:rPr>
        <w:t xml:space="preserve">000 </w:t>
      </w:r>
      <w:r w:rsidR="00D436EE" w:rsidRPr="00083DE8">
        <w:rPr>
          <w:rFonts w:ascii="Arial" w:eastAsia="Times New Roman" w:hAnsi="Arial" w:cs="Arial"/>
          <w:sz w:val="20"/>
          <w:szCs w:val="20"/>
        </w:rPr>
        <w:t>c</w:t>
      </w:r>
      <w:r w:rsidR="00187F45" w:rsidRPr="00083DE8">
        <w:rPr>
          <w:rFonts w:ascii="Arial" w:eastAsia="Times New Roman" w:hAnsi="Arial" w:cs="Arial"/>
          <w:sz w:val="20"/>
          <w:szCs w:val="20"/>
        </w:rPr>
        <w:t>ells</w:t>
      </w:r>
      <w:r w:rsidR="000F46B8" w:rsidRPr="00083DE8">
        <w:rPr>
          <w:rFonts w:ascii="Arial" w:eastAsia="Times New Roman" w:hAnsi="Arial" w:cs="Arial"/>
          <w:sz w:val="20"/>
          <w:szCs w:val="20"/>
        </w:rPr>
        <w:t xml:space="preserve"> which were pre-transfected or treated with appropriate treatments for 1-2 days were seeded. After the cells were grown to 60% confluency, they</w:t>
      </w:r>
      <w:r w:rsidR="00187F45" w:rsidRPr="00083DE8">
        <w:rPr>
          <w:rFonts w:ascii="Arial" w:eastAsia="Times New Roman" w:hAnsi="Arial" w:cs="Arial"/>
          <w:sz w:val="20"/>
          <w:szCs w:val="20"/>
        </w:rPr>
        <w:t xml:space="preserve"> were fixed in PBS containing </w:t>
      </w:r>
      <w:proofErr w:type="gramStart"/>
      <w:r w:rsidR="00187F45" w:rsidRPr="00083DE8">
        <w:rPr>
          <w:rFonts w:ascii="Arial" w:eastAsia="Times New Roman" w:hAnsi="Arial" w:cs="Arial"/>
          <w:sz w:val="20"/>
          <w:szCs w:val="20"/>
        </w:rPr>
        <w:t>4% paraformaldehyde</w:t>
      </w:r>
      <w:proofErr w:type="gramEnd"/>
      <w:r w:rsidR="00187F45" w:rsidRPr="00083DE8">
        <w:rPr>
          <w:rFonts w:ascii="Arial" w:eastAsia="Times New Roman" w:hAnsi="Arial" w:cs="Arial"/>
          <w:sz w:val="20"/>
          <w:szCs w:val="20"/>
        </w:rPr>
        <w:t xml:space="preserve"> and </w:t>
      </w:r>
      <w:r w:rsidR="00D436EE" w:rsidRPr="00083DE8">
        <w:rPr>
          <w:rFonts w:ascii="Arial" w:eastAsia="Times New Roman" w:hAnsi="Arial" w:cs="Arial"/>
          <w:sz w:val="20"/>
          <w:szCs w:val="20"/>
        </w:rPr>
        <w:t>treated with</w:t>
      </w:r>
      <w:r w:rsidR="00187F45" w:rsidRPr="00083DE8">
        <w:rPr>
          <w:rFonts w:ascii="Arial" w:eastAsia="Times New Roman" w:hAnsi="Arial" w:cs="Arial"/>
          <w:sz w:val="20"/>
          <w:szCs w:val="20"/>
        </w:rPr>
        <w:t xml:space="preserve"> 0.1% Triton X-100</w:t>
      </w:r>
      <w:r w:rsidR="00D436EE" w:rsidRPr="00083DE8">
        <w:rPr>
          <w:rFonts w:ascii="Arial" w:eastAsia="Times New Roman" w:hAnsi="Arial" w:cs="Arial"/>
          <w:sz w:val="20"/>
          <w:szCs w:val="20"/>
        </w:rPr>
        <w:t xml:space="preserve"> to </w:t>
      </w:r>
      <w:proofErr w:type="spellStart"/>
      <w:r w:rsidR="00D436EE" w:rsidRPr="00083DE8">
        <w:rPr>
          <w:rFonts w:ascii="Arial" w:eastAsia="Times New Roman" w:hAnsi="Arial" w:cs="Arial"/>
          <w:sz w:val="20"/>
          <w:szCs w:val="20"/>
        </w:rPr>
        <w:t>permeabilize</w:t>
      </w:r>
      <w:proofErr w:type="spellEnd"/>
      <w:r w:rsidR="00D436EE" w:rsidRPr="00083DE8">
        <w:rPr>
          <w:rFonts w:ascii="Arial" w:eastAsia="Times New Roman" w:hAnsi="Arial" w:cs="Arial"/>
          <w:sz w:val="20"/>
          <w:szCs w:val="20"/>
        </w:rPr>
        <w:t xml:space="preserve"> the cells</w:t>
      </w:r>
      <w:r w:rsidR="00187F45" w:rsidRPr="00083DE8">
        <w:rPr>
          <w:rFonts w:ascii="Arial" w:eastAsia="Times New Roman" w:hAnsi="Arial" w:cs="Arial"/>
          <w:sz w:val="20"/>
          <w:szCs w:val="20"/>
        </w:rPr>
        <w:t xml:space="preserve">. </w:t>
      </w:r>
      <w:r w:rsidR="00D436EE" w:rsidRPr="00083DE8">
        <w:rPr>
          <w:rFonts w:ascii="Arial" w:eastAsia="Times New Roman" w:hAnsi="Arial" w:cs="Arial"/>
          <w:sz w:val="20"/>
          <w:szCs w:val="20"/>
        </w:rPr>
        <w:t>B</w:t>
      </w:r>
      <w:r w:rsidR="00187F45" w:rsidRPr="00083DE8">
        <w:rPr>
          <w:rFonts w:ascii="Arial" w:eastAsia="Times New Roman" w:hAnsi="Arial" w:cs="Arial"/>
          <w:sz w:val="20"/>
          <w:szCs w:val="20"/>
        </w:rPr>
        <w:t xml:space="preserve">locking </w:t>
      </w:r>
      <w:r w:rsidR="00D436EE" w:rsidRPr="00083DE8">
        <w:rPr>
          <w:rFonts w:ascii="Arial" w:eastAsia="Times New Roman" w:hAnsi="Arial" w:cs="Arial"/>
          <w:sz w:val="20"/>
          <w:szCs w:val="20"/>
        </w:rPr>
        <w:t xml:space="preserve">was done using </w:t>
      </w:r>
      <w:r w:rsidR="00187F45" w:rsidRPr="00083DE8">
        <w:rPr>
          <w:rFonts w:ascii="Arial" w:eastAsia="Times New Roman" w:hAnsi="Arial" w:cs="Arial"/>
          <w:sz w:val="20"/>
          <w:szCs w:val="20"/>
        </w:rPr>
        <w:t xml:space="preserve">PBS containing </w:t>
      </w:r>
      <w:r w:rsidR="00D436EE" w:rsidRPr="00083DE8">
        <w:rPr>
          <w:rFonts w:ascii="Arial" w:eastAsia="Times New Roman" w:hAnsi="Arial" w:cs="Arial"/>
          <w:sz w:val="20"/>
          <w:szCs w:val="20"/>
        </w:rPr>
        <w:t>3% bovine serum a</w:t>
      </w:r>
      <w:r w:rsidR="00187F45" w:rsidRPr="00083DE8">
        <w:rPr>
          <w:rFonts w:ascii="Arial" w:eastAsia="Times New Roman" w:hAnsi="Arial" w:cs="Arial"/>
          <w:sz w:val="20"/>
          <w:szCs w:val="20"/>
        </w:rPr>
        <w:t>lbumin</w:t>
      </w:r>
      <w:r w:rsidR="00D436EE" w:rsidRPr="00083DE8">
        <w:rPr>
          <w:rFonts w:ascii="Arial" w:eastAsia="Times New Roman" w:hAnsi="Arial" w:cs="Arial"/>
          <w:sz w:val="20"/>
          <w:szCs w:val="20"/>
        </w:rPr>
        <w:t xml:space="preserve"> and </w:t>
      </w:r>
      <w:r w:rsidR="00187F45" w:rsidRPr="00083DE8">
        <w:rPr>
          <w:rFonts w:ascii="Arial" w:eastAsia="Times New Roman" w:hAnsi="Arial" w:cs="Arial"/>
          <w:sz w:val="20"/>
          <w:szCs w:val="20"/>
        </w:rPr>
        <w:t xml:space="preserve">cells were incubated in the same </w:t>
      </w:r>
      <w:r w:rsidR="00D436EE" w:rsidRPr="00083DE8">
        <w:rPr>
          <w:rFonts w:ascii="Arial" w:eastAsia="Times New Roman" w:hAnsi="Arial" w:cs="Arial"/>
          <w:sz w:val="20"/>
          <w:szCs w:val="20"/>
        </w:rPr>
        <w:t xml:space="preserve">blocking </w:t>
      </w:r>
      <w:r w:rsidR="00187F45" w:rsidRPr="00083DE8">
        <w:rPr>
          <w:rFonts w:ascii="Arial" w:eastAsia="Times New Roman" w:hAnsi="Arial" w:cs="Arial"/>
          <w:sz w:val="20"/>
          <w:szCs w:val="20"/>
        </w:rPr>
        <w:t xml:space="preserve">buffer with the primary antibodies </w:t>
      </w:r>
      <w:r w:rsidR="00D436EE" w:rsidRPr="00083DE8">
        <w:rPr>
          <w:rFonts w:ascii="Arial" w:eastAsia="Times New Roman" w:hAnsi="Arial" w:cs="Arial"/>
          <w:sz w:val="20"/>
          <w:szCs w:val="20"/>
        </w:rPr>
        <w:t xml:space="preserve">as mentioned in table S2 for overnight at 4°C. Then the cells were </w:t>
      </w:r>
      <w:r w:rsidR="00187F45" w:rsidRPr="00083DE8">
        <w:rPr>
          <w:rFonts w:ascii="Arial" w:eastAsia="Times New Roman" w:hAnsi="Arial" w:cs="Arial"/>
          <w:sz w:val="20"/>
          <w:szCs w:val="20"/>
        </w:rPr>
        <w:t>incubat</w:t>
      </w:r>
      <w:r w:rsidR="00D436EE" w:rsidRPr="00083DE8">
        <w:rPr>
          <w:rFonts w:ascii="Arial" w:eastAsia="Times New Roman" w:hAnsi="Arial" w:cs="Arial"/>
          <w:sz w:val="20"/>
          <w:szCs w:val="20"/>
        </w:rPr>
        <w:t>ed</w:t>
      </w:r>
      <w:r w:rsidR="00187F45" w:rsidRPr="00083DE8">
        <w:rPr>
          <w:rFonts w:ascii="Arial" w:eastAsia="Times New Roman" w:hAnsi="Arial" w:cs="Arial"/>
          <w:sz w:val="20"/>
          <w:szCs w:val="20"/>
        </w:rPr>
        <w:t xml:space="preserve"> with Alexa-594 (A11012) conjugated secondary antibodies (Invitrogen)</w:t>
      </w:r>
      <w:r w:rsidR="00D436EE" w:rsidRPr="00083DE8">
        <w:rPr>
          <w:rFonts w:ascii="Arial" w:eastAsia="Times New Roman" w:hAnsi="Arial" w:cs="Arial"/>
          <w:sz w:val="20"/>
          <w:szCs w:val="20"/>
        </w:rPr>
        <w:t xml:space="preserve"> for 1 h </w:t>
      </w:r>
      <w:r w:rsidR="00083AD0" w:rsidRPr="00083DE8">
        <w:rPr>
          <w:rFonts w:ascii="Arial" w:eastAsia="Times New Roman" w:hAnsi="Arial" w:cs="Arial"/>
          <w:sz w:val="20"/>
          <w:szCs w:val="20"/>
        </w:rPr>
        <w:t>at</w:t>
      </w:r>
      <w:r w:rsidR="00D436EE" w:rsidRPr="00083DE8">
        <w:rPr>
          <w:rFonts w:ascii="Arial" w:eastAsia="Times New Roman" w:hAnsi="Arial" w:cs="Arial"/>
          <w:sz w:val="20"/>
          <w:szCs w:val="20"/>
        </w:rPr>
        <w:t xml:space="preserve"> room temperature </w:t>
      </w:r>
      <w:r w:rsidR="003B3EEA" w:rsidRPr="00083DE8">
        <w:rPr>
          <w:rFonts w:ascii="Arial" w:eastAsia="Times New Roman" w:hAnsi="Arial" w:cs="Arial"/>
          <w:sz w:val="20"/>
          <w:szCs w:val="20"/>
        </w:rPr>
        <w:t>in the</w:t>
      </w:r>
      <w:r w:rsidR="00D436EE" w:rsidRPr="00083DE8">
        <w:rPr>
          <w:rFonts w:ascii="Arial" w:eastAsia="Times New Roman" w:hAnsi="Arial" w:cs="Arial"/>
          <w:sz w:val="20"/>
          <w:szCs w:val="20"/>
        </w:rPr>
        <w:t xml:space="preserve"> dark</w:t>
      </w:r>
      <w:r w:rsidR="00187F45" w:rsidRPr="00083DE8">
        <w:rPr>
          <w:rFonts w:ascii="Arial" w:eastAsia="Times New Roman" w:hAnsi="Arial" w:cs="Arial"/>
          <w:sz w:val="20"/>
          <w:szCs w:val="20"/>
        </w:rPr>
        <w:t xml:space="preserve">. </w:t>
      </w:r>
      <w:r w:rsidR="00D436EE" w:rsidRPr="00083DE8">
        <w:rPr>
          <w:rFonts w:ascii="Arial" w:eastAsia="Times New Roman" w:hAnsi="Arial" w:cs="Arial"/>
          <w:sz w:val="20"/>
          <w:szCs w:val="20"/>
        </w:rPr>
        <w:t xml:space="preserve">After washing, DAPI </w:t>
      </w:r>
      <w:r w:rsidR="00F0184F" w:rsidRPr="00083DE8">
        <w:rPr>
          <w:rFonts w:ascii="Arial" w:eastAsia="Times New Roman" w:hAnsi="Arial" w:cs="Arial"/>
          <w:sz w:val="20"/>
          <w:szCs w:val="20"/>
        </w:rPr>
        <w:t xml:space="preserve">(Sigma, D9542) </w:t>
      </w:r>
      <w:r w:rsidR="00D436EE" w:rsidRPr="00083DE8">
        <w:rPr>
          <w:rFonts w:ascii="Arial" w:eastAsia="Times New Roman" w:hAnsi="Arial" w:cs="Arial"/>
          <w:sz w:val="20"/>
          <w:szCs w:val="20"/>
        </w:rPr>
        <w:t xml:space="preserve">was </w:t>
      </w:r>
      <w:r w:rsidR="00F0184F" w:rsidRPr="00083DE8">
        <w:rPr>
          <w:rFonts w:ascii="Arial" w:eastAsia="Times New Roman" w:hAnsi="Arial" w:cs="Arial"/>
          <w:sz w:val="20"/>
          <w:szCs w:val="20"/>
        </w:rPr>
        <w:t>added</w:t>
      </w:r>
      <w:r w:rsidR="00D159D1" w:rsidRPr="00083DE8">
        <w:rPr>
          <w:rFonts w:ascii="Arial" w:eastAsia="Times New Roman" w:hAnsi="Arial" w:cs="Arial"/>
          <w:sz w:val="20"/>
          <w:szCs w:val="20"/>
        </w:rPr>
        <w:t xml:space="preserve"> in the concentration of 1:15 </w:t>
      </w:r>
      <w:r w:rsidR="00D436EE" w:rsidRPr="00083DE8">
        <w:rPr>
          <w:rFonts w:ascii="Arial" w:eastAsia="Times New Roman" w:hAnsi="Arial" w:cs="Arial"/>
          <w:sz w:val="20"/>
          <w:szCs w:val="20"/>
        </w:rPr>
        <w:t>000 diluted in PBS</w:t>
      </w:r>
      <w:r w:rsidR="00F0184F" w:rsidRPr="00083DE8">
        <w:rPr>
          <w:rFonts w:ascii="Arial" w:eastAsia="Times New Roman" w:hAnsi="Arial" w:cs="Arial"/>
          <w:sz w:val="20"/>
          <w:szCs w:val="20"/>
        </w:rPr>
        <w:t xml:space="preserve"> to the cells for 5 min</w:t>
      </w:r>
      <w:r w:rsidR="00D436EE" w:rsidRPr="00083DE8">
        <w:rPr>
          <w:rFonts w:ascii="Arial" w:eastAsia="Times New Roman" w:hAnsi="Arial" w:cs="Arial"/>
          <w:sz w:val="20"/>
          <w:szCs w:val="20"/>
        </w:rPr>
        <w:t xml:space="preserve">.  </w:t>
      </w:r>
      <w:r w:rsidR="00187F45" w:rsidRPr="00083DE8">
        <w:rPr>
          <w:rFonts w:ascii="Arial" w:eastAsia="Times New Roman" w:hAnsi="Arial" w:cs="Arial"/>
          <w:sz w:val="20"/>
          <w:szCs w:val="20"/>
        </w:rPr>
        <w:t>Images were captured using a LSM 510 META confocal microscope (Zeiss) and analyzed using the LSM Image Browser (Zeiss).</w:t>
      </w:r>
      <w:r w:rsidR="00081E99" w:rsidRPr="00083DE8">
        <w:rPr>
          <w:rFonts w:ascii="Arial" w:eastAsia="Times New Roman" w:hAnsi="Arial" w:cs="Arial"/>
          <w:sz w:val="20"/>
          <w:szCs w:val="20"/>
        </w:rPr>
        <w:t xml:space="preserve"> </w:t>
      </w:r>
    </w:p>
    <w:p w:rsidR="00EB3D43" w:rsidRPr="00083DE8" w:rsidRDefault="00EB3D43" w:rsidP="00F44C4C">
      <w:pPr>
        <w:spacing w:line="240" w:lineRule="auto"/>
        <w:jc w:val="both"/>
        <w:rPr>
          <w:rFonts w:ascii="Arial" w:hAnsi="Arial" w:cs="Arial"/>
          <w:b/>
          <w:sz w:val="20"/>
          <w:szCs w:val="20"/>
        </w:rPr>
      </w:pPr>
      <w:r w:rsidRPr="00083DE8">
        <w:rPr>
          <w:rFonts w:ascii="Arial" w:hAnsi="Arial" w:cs="Arial"/>
          <w:b/>
          <w:sz w:val="20"/>
          <w:szCs w:val="20"/>
        </w:rPr>
        <w:lastRenderedPageBreak/>
        <w:t>Migration and Mammosphere assays</w:t>
      </w:r>
    </w:p>
    <w:p w:rsidR="00EB3D43" w:rsidRPr="00083DE8" w:rsidRDefault="00EB3D43" w:rsidP="00F44C4C">
      <w:pPr>
        <w:spacing w:line="240" w:lineRule="auto"/>
        <w:jc w:val="both"/>
        <w:rPr>
          <w:rFonts w:ascii="Arial" w:hAnsi="Arial" w:cs="Arial"/>
          <w:sz w:val="20"/>
          <w:szCs w:val="20"/>
        </w:rPr>
      </w:pPr>
      <w:r w:rsidRPr="00083DE8">
        <w:rPr>
          <w:rFonts w:ascii="Arial" w:hAnsi="Arial" w:cs="Arial"/>
          <w:sz w:val="20"/>
          <w:szCs w:val="20"/>
        </w:rPr>
        <w:t>Migration potential of cells was assessed using trans-well migration assay previously described using 20</w:t>
      </w:r>
      <w:r w:rsidR="00083AD0" w:rsidRPr="00083DE8">
        <w:rPr>
          <w:rFonts w:ascii="Arial" w:hAnsi="Arial" w:cs="Arial"/>
          <w:sz w:val="20"/>
          <w:szCs w:val="20"/>
        </w:rPr>
        <w:t xml:space="preserve"> </w:t>
      </w:r>
      <w:r w:rsidRPr="00083DE8">
        <w:rPr>
          <w:rFonts w:ascii="Arial" w:hAnsi="Arial" w:cs="Arial"/>
          <w:sz w:val="20"/>
          <w:szCs w:val="20"/>
        </w:rPr>
        <w:t>000</w:t>
      </w:r>
      <w:r w:rsidR="00D159D1" w:rsidRPr="00083DE8">
        <w:rPr>
          <w:rFonts w:ascii="Arial" w:hAnsi="Arial" w:cs="Arial"/>
          <w:sz w:val="20"/>
          <w:szCs w:val="20"/>
        </w:rPr>
        <w:t>-30</w:t>
      </w:r>
      <w:r w:rsidR="00083AD0" w:rsidRPr="00083DE8">
        <w:rPr>
          <w:rFonts w:ascii="Arial" w:hAnsi="Arial" w:cs="Arial"/>
          <w:sz w:val="20"/>
          <w:szCs w:val="20"/>
        </w:rPr>
        <w:t xml:space="preserve"> </w:t>
      </w:r>
      <w:r w:rsidRPr="00083DE8">
        <w:rPr>
          <w:rFonts w:ascii="Arial" w:hAnsi="Arial" w:cs="Arial"/>
          <w:sz w:val="20"/>
          <w:szCs w:val="20"/>
        </w:rPr>
        <w:t>000 cells which were pre-transfected or treated with appropriate treatments for 1-2 days per well</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1gfgds423h","properties":{"formattedCitation":"(18)","plainCitation":"(18)"},"citationItems":[{"id":28,"uris":["http://zotero.org/users/local/PGNXbLbe/items/D3SSI3TR"],"uri":["http://zotero.org/users/local/PGNXbLbe/items/D3SSI3TR"],"itemData":{"id":28,"type":"article-journal","title":"Estrogen-dependent gene transcription in human breast cancer cells relies upon proteasome-dependent monoubiquitination of histone H2B","container-title":"Cancer research","page":"5739-5753","volume":"71","issue":"17","source":"NCBI PubMed","abstract":"The estrogen receptor-α (ERα) determines the phenotype of breast cancers where it serves as a positive prognostic indicator. ERα is a well-established target for breast cancer therapy, but strategies to target its function remain of interest to address therapeutic resistance and further improve treatment. Recent findings indicate that proteasome inhibition can regulate estrogen-induced transcription, but how ERα function might be regulated was uncertain. In this study, we investigated the transcriptome-wide effects of the proteasome inhibitor bortezomib on estrogen-regulated transcription in MCF7 human breast cancer cells and showed that bortezomib caused a specific global decrease in estrogen-induced gene expression. This effect was specific because gene expression induced by the glucocorticoid receptor was unaffected by bortezomib. Surprisingly, we observed no changes in ERα recruitment or assembly of its transcriptional activation complex on ERα target genes. Instead, we found that proteasome inhibition caused a global decrease in histone H2B monoubiquitination (H2Bub1), leading to transcriptional elongation defects on estrogen target genes and to decreased chromatin dynamics overall. In confirming the functional significance of this link, we showed that RNA interference-mediated knockdown of the H2B ubiquitin ligase RNF40 decreased ERα-induced gene transcription. Surprisingly, RNF40 knockdown also supported estrogen-independent cell proliferation and activation of cell survival signaling pathways. Most importantly, we found that H2Bub1 levels decrease during tumor progression. H2Bub1 was abundant in normal mammary epithelium and benign breast tumors but absent in most malignant and metastatic breast cancers. Taken together, our findings show how ERα activity is blunted by bortezomib treatment as a result of reducing the downstream ubiquitin-dependent function of H2Bub1. In supporting a tumor suppressor role for H2Bub1 in breast cancer, our findings offer a rational basis to pursue H2Bub1-based therapies for future management of breast cancer.","DOI":"10.1158/0008-5472.CAN-11-1896","ISSN":"1538-7445","note":"PMID: 21862633","journalAbbreviation":"Cancer Res.","author":[{"family":"Prenzel","given":"Tanja"},{"family":"Begus-Nahrmann","given":"Yvonne"},{"family":"Kramer","given":"Frank"},{"family":"Hennion","given":"Magali"},{"family":"Hsu","given":"Chieh"},{"family":"Gorsler","given":"Theresa"},{"family":"Hintermair","given":"Corinna"},{"family":"Eick","given":"Dirk"},{"family":"Kremmer","given":"Elisabeth"},{"family":"Simons","given":"Mikael"},{"family":"Beissbarth","given":"Tim"},{"family":"Johnsen","given":"Steven A"}],"issued":{"date-parts":[["2011",9,1]]},"PMID":"21862633"}}],"schema":"https://github.com/citation-style-language/schema/raw/master/csl-citation.json"}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(18)</w:t>
      </w:r>
      <w:r w:rsidR="005D11BD" w:rsidRPr="00083DE8">
        <w:rPr>
          <w:rFonts w:ascii="Arial" w:hAnsi="Arial" w:cs="Arial"/>
          <w:sz w:val="20"/>
          <w:szCs w:val="20"/>
        </w:rPr>
        <w:fldChar w:fldCharType="end"/>
      </w:r>
      <w:r w:rsidR="00C731CB" w:rsidRPr="00083DE8">
        <w:rPr>
          <w:rFonts w:ascii="Arial" w:hAnsi="Arial" w:cs="Arial"/>
          <w:sz w:val="20"/>
          <w:szCs w:val="20"/>
        </w:rPr>
        <w:t>.</w:t>
      </w:r>
      <w:r w:rsidRPr="00083DE8">
        <w:rPr>
          <w:rFonts w:ascii="Arial" w:hAnsi="Arial" w:cs="Arial"/>
          <w:sz w:val="20"/>
          <w:szCs w:val="20"/>
        </w:rPr>
        <w:t xml:space="preserve"> Cells were fixed with methanol and 1% crystal violet dissolved in </w:t>
      </w:r>
      <w:r w:rsidR="003B3EEA" w:rsidRPr="00083DE8">
        <w:rPr>
          <w:rFonts w:ascii="Arial" w:hAnsi="Arial" w:cs="Arial"/>
          <w:sz w:val="20"/>
          <w:szCs w:val="20"/>
        </w:rPr>
        <w:t>20% ethanol</w:t>
      </w:r>
      <w:r w:rsidRPr="00083DE8">
        <w:rPr>
          <w:rFonts w:ascii="Arial" w:hAnsi="Arial" w:cs="Arial"/>
          <w:sz w:val="20"/>
          <w:szCs w:val="20"/>
        </w:rPr>
        <w:t xml:space="preserve"> was used for staining the migrated cells. </w:t>
      </w:r>
      <w:r w:rsidRPr="00083DE8">
        <w:rPr>
          <w:rFonts w:ascii="Arial" w:hAnsi="Arial" w:cs="Arial"/>
          <w:i/>
          <w:sz w:val="20"/>
          <w:szCs w:val="20"/>
        </w:rPr>
        <w:t>In vitro</w:t>
      </w:r>
      <w:r w:rsidRPr="00083DE8">
        <w:rPr>
          <w:rFonts w:ascii="Arial" w:hAnsi="Arial" w:cs="Arial"/>
          <w:sz w:val="20"/>
          <w:szCs w:val="20"/>
        </w:rPr>
        <w:t xml:space="preserve"> proliferative capacity was determined using mammosphere assay as </w:t>
      </w:r>
      <w:r w:rsidR="00143CDD" w:rsidRPr="00083DE8">
        <w:rPr>
          <w:rFonts w:ascii="Arial" w:hAnsi="Arial" w:cs="Arial"/>
          <w:sz w:val="20"/>
          <w:szCs w:val="20"/>
        </w:rPr>
        <w:t>described before</w:t>
      </w:r>
      <w:r w:rsidR="00C731CB" w:rsidRPr="00083DE8">
        <w:rPr>
          <w:rFonts w:ascii="Arial" w:hAnsi="Arial" w:cs="Arial"/>
          <w:sz w:val="20"/>
          <w:szCs w:val="20"/>
        </w:rPr>
        <w:t xml:space="preserve"> </w:t>
      </w:r>
      <w:r w:rsidR="005D11BD" w:rsidRPr="00083DE8">
        <w:rPr>
          <w:rFonts w:ascii="Arial" w:hAnsi="Arial" w:cs="Arial"/>
          <w:sz w:val="20"/>
          <w:szCs w:val="20"/>
        </w:rPr>
        <w:fldChar w:fldCharType="begin"/>
      </w:r>
      <w:r w:rsidR="00F44C4C" w:rsidRPr="00083DE8">
        <w:rPr>
          <w:rFonts w:ascii="Arial" w:hAnsi="Arial" w:cs="Arial"/>
          <w:sz w:val="20"/>
          <w:szCs w:val="20"/>
        </w:rPr>
        <w:instrText xml:space="preserve"> ADDIN ZOTERO_ITEM CSL_CITATION {"citationID":"sl1par466","properties":{"formattedCitation":"(51)","plainCitation":"(51)"},"citationItems":[{"id":646,"uris":["http://zotero.org/users/local/PGNXbLbe/items/VM6C495I"],"uri":["http://zotero.org/users/local/PGNXbLbe/items/VM6C495I"],"itemData":{"id":646,"type":"article-journal","title":"Mammosphere culture of metastatic breast cancer cells enriches for tumorigenic breast cancer cells","container-title":"Breast Cancer Research","page":"R52","volume":"10","issue":"3","source":"breast-cancer-research.com","abstract":"The identification of potential breast cancer stem cells is of importance as the characteristics of stem cells suggest that they are resistant to conventional forms of therapy. Several techniques have been proposed to isolate or enrich for tumorigenic breast cancer stem cells, including (a) culture of cells in non-adherent non-differentiating conditions to form mammospheres and (b) sorting of the cells by their surface phenotype (expression of CD24 and CD44).\nPMID: 18541018","DOI":"10.1186/bcr2106","ISSN":"1465-5411","note":"PMID: 18541018","language":"en","author":[{"family":"Grimshaw","given":"Matthew J."},{"family":"Cooper","given":"Lucienne"},{"family":"Papazisis","given":"Konstantinos"},{"family":"Coleman","given":"Julia A."},{"family":"Bohnenkamp","given":"Hermann R."},{"family":"Chiapero-Stanke","given":"Laura"},{"family":"Taylor-Papadimitriou","given":"Joyce"},{"family":"Burchell","given":"Joy M."}],"issued":{"date-parts":[["2008",6,9]]},"accessed":{"date-parts":[["2013",11,26]]},"PMID":"18541018"}}],"schema":"https://github.com/citation-style-language/schema/raw/master/csl-citation.json"} </w:instrText>
      </w:r>
      <w:r w:rsidR="005D11BD" w:rsidRPr="00083DE8">
        <w:rPr>
          <w:rFonts w:ascii="Arial" w:hAnsi="Arial" w:cs="Arial"/>
          <w:sz w:val="20"/>
          <w:szCs w:val="20"/>
        </w:rPr>
        <w:fldChar w:fldCharType="separate"/>
      </w:r>
      <w:r w:rsidR="00F44C4C" w:rsidRPr="00083DE8">
        <w:rPr>
          <w:rFonts w:ascii="Arial" w:hAnsi="Arial" w:cs="Arial"/>
          <w:sz w:val="20"/>
          <w:szCs w:val="20"/>
        </w:rPr>
        <w:t>(51)</w:t>
      </w:r>
      <w:r w:rsidR="005D11BD" w:rsidRPr="00083DE8">
        <w:rPr>
          <w:rFonts w:ascii="Arial" w:hAnsi="Arial" w:cs="Arial"/>
          <w:sz w:val="20"/>
          <w:szCs w:val="20"/>
        </w:rPr>
        <w:fldChar w:fldCharType="end"/>
      </w:r>
      <w:r w:rsidRPr="00083DE8">
        <w:rPr>
          <w:rFonts w:ascii="Arial" w:hAnsi="Arial" w:cs="Arial"/>
          <w:sz w:val="20"/>
          <w:szCs w:val="20"/>
        </w:rPr>
        <w:t xml:space="preserve"> using 1000 cells/ml using Corning® 96 well clear flat bottom ultra-low-attachment microplates.</w:t>
      </w:r>
    </w:p>
    <w:p w:rsidR="0093232D" w:rsidRPr="00083DE8" w:rsidRDefault="005D11BD" w:rsidP="005E2269">
      <w:pPr>
        <w:rPr>
          <w:rFonts w:ascii="Arial" w:eastAsia="Times New Roman" w:hAnsi="Arial" w:cs="Arial"/>
          <w:b/>
          <w:sz w:val="20"/>
          <w:szCs w:val="20"/>
        </w:rPr>
      </w:pPr>
      <w:r w:rsidRPr="00083DE8">
        <w:rPr>
          <w:rFonts w:ascii="Arial" w:eastAsia="Times New Roman" w:hAnsi="Arial" w:cs="Arial"/>
          <w:b/>
          <w:sz w:val="20"/>
          <w:szCs w:val="20"/>
        </w:rPr>
        <w:t>SUPPORTING REFERENCES</w:t>
      </w:r>
    </w:p>
    <w:p w:rsidR="00F44C4C" w:rsidRPr="00083DE8" w:rsidRDefault="005D11BD" w:rsidP="00062BCF">
      <w:pPr>
        <w:pStyle w:val="Bibliography"/>
        <w:ind w:left="0" w:firstLine="0"/>
        <w:rPr>
          <w:rFonts w:ascii="Arial" w:hAnsi="Arial" w:cs="Arial"/>
          <w:sz w:val="20"/>
          <w:szCs w:val="20"/>
        </w:rPr>
      </w:pPr>
      <w:r w:rsidRPr="00083DE8">
        <w:rPr>
          <w:rFonts w:ascii="Arial" w:eastAsia="Times New Roman" w:hAnsi="Arial" w:cs="Arial"/>
          <w:b/>
          <w:sz w:val="20"/>
          <w:szCs w:val="20"/>
        </w:rPr>
        <w:fldChar w:fldCharType="begin"/>
      </w:r>
      <w:r w:rsidR="00F44C4C" w:rsidRPr="00083DE8">
        <w:rPr>
          <w:rFonts w:ascii="Arial" w:eastAsia="Times New Roman" w:hAnsi="Arial" w:cs="Arial"/>
          <w:b/>
          <w:sz w:val="20"/>
          <w:szCs w:val="20"/>
        </w:rPr>
        <w:instrText xml:space="preserve"> ADDIN ZOTERO_BIBL {"custom":[]} CSL_BIBLIOGRAPHY </w:instrText>
      </w:r>
      <w:r w:rsidRPr="00083DE8">
        <w:rPr>
          <w:rFonts w:ascii="Arial" w:eastAsia="Times New Roman" w:hAnsi="Arial" w:cs="Arial"/>
          <w:b/>
          <w:sz w:val="20"/>
          <w:szCs w:val="20"/>
        </w:rPr>
        <w:fldChar w:fldCharType="separate"/>
      </w:r>
      <w:r w:rsidR="00F44C4C" w:rsidRPr="00083DE8">
        <w:rPr>
          <w:rFonts w:ascii="Arial" w:hAnsi="Arial" w:cs="Arial"/>
          <w:sz w:val="20"/>
          <w:szCs w:val="20"/>
        </w:rPr>
        <w:t xml:space="preserve">1. Nagarajan,S., Hossan,T., Alawi,M., Najafova,Z., Indenbirken,D., Bedi,U., Taipaleenmäki,H., Ben-Batalla,I., Scheller,M., Loges,S., </w:t>
      </w:r>
      <w:r w:rsidR="00F44C4C" w:rsidRPr="00083DE8">
        <w:rPr>
          <w:rFonts w:ascii="Arial" w:hAnsi="Arial" w:cs="Arial"/>
          <w:i/>
          <w:iCs/>
          <w:sz w:val="20"/>
          <w:szCs w:val="20"/>
        </w:rPr>
        <w:t>et al.</w:t>
      </w:r>
      <w:r w:rsidR="00F44C4C" w:rsidRPr="00083DE8">
        <w:rPr>
          <w:rFonts w:ascii="Arial" w:hAnsi="Arial" w:cs="Arial"/>
          <w:sz w:val="20"/>
          <w:szCs w:val="20"/>
        </w:rPr>
        <w:t xml:space="preserve"> (2014) Bromodomain Protein BRD4 Is Required for Estrogen Receptor-Dependent Enhancer Activation and Gene Transcription. </w:t>
      </w:r>
      <w:r w:rsidR="00F44C4C" w:rsidRPr="00083DE8">
        <w:rPr>
          <w:rFonts w:ascii="Arial" w:hAnsi="Arial" w:cs="Arial"/>
          <w:i/>
          <w:iCs/>
          <w:sz w:val="20"/>
          <w:szCs w:val="20"/>
        </w:rPr>
        <w:t>Cell Reports</w:t>
      </w:r>
      <w:r w:rsidR="00F44C4C" w:rsidRPr="00083DE8">
        <w:rPr>
          <w:rFonts w:ascii="Arial" w:hAnsi="Arial" w:cs="Arial"/>
          <w:sz w:val="20"/>
          <w:szCs w:val="20"/>
        </w:rPr>
        <w:t xml:space="preserve">, </w:t>
      </w:r>
      <w:r w:rsidR="00F44C4C" w:rsidRPr="00083DE8">
        <w:rPr>
          <w:rFonts w:ascii="Arial" w:hAnsi="Arial" w:cs="Arial"/>
          <w:b/>
          <w:bCs/>
          <w:sz w:val="20"/>
          <w:szCs w:val="20"/>
        </w:rPr>
        <w:t>8</w:t>
      </w:r>
      <w:r w:rsidR="00F44C4C" w:rsidRPr="00083DE8">
        <w:rPr>
          <w:rFonts w:ascii="Arial" w:hAnsi="Arial" w:cs="Arial"/>
          <w:sz w:val="20"/>
          <w:szCs w:val="20"/>
        </w:rPr>
        <w:t>, 460–469.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 Scheel,A.H.J., Beyer,U., Agami,R. and Dobbelstein,M. (2009) Immunofluorescence-based screening identifies germ cell associated microRNA 302 as an antagonist to p63 expression. </w:t>
      </w:r>
      <w:r w:rsidRPr="00083DE8">
        <w:rPr>
          <w:rFonts w:ascii="Arial" w:hAnsi="Arial" w:cs="Arial"/>
          <w:i/>
          <w:iCs/>
          <w:sz w:val="20"/>
          <w:szCs w:val="20"/>
        </w:rPr>
        <w:t>Cell Cycle</w:t>
      </w:r>
      <w:r w:rsidRPr="00083DE8">
        <w:rPr>
          <w:rFonts w:ascii="Arial" w:hAnsi="Arial" w:cs="Arial"/>
          <w:sz w:val="20"/>
          <w:szCs w:val="20"/>
        </w:rPr>
        <w:t xml:space="preserve">, </w:t>
      </w:r>
      <w:r w:rsidRPr="00083DE8">
        <w:rPr>
          <w:rFonts w:ascii="Arial" w:hAnsi="Arial" w:cs="Arial"/>
          <w:b/>
          <w:bCs/>
          <w:sz w:val="20"/>
          <w:szCs w:val="20"/>
        </w:rPr>
        <w:t>8</w:t>
      </w:r>
      <w:r w:rsidRPr="00083DE8">
        <w:rPr>
          <w:rFonts w:ascii="Arial" w:hAnsi="Arial" w:cs="Arial"/>
          <w:sz w:val="20"/>
          <w:szCs w:val="20"/>
        </w:rPr>
        <w:t>, 1426–1432.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3. Beyer,U. (2011) Novel proapoptotic p63 isoforms are driven by an endogenous retrovirus in the male germ line of humans and great apes, likely increasing genome stability.</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4. Krönung,S.K. (2015) Role of endogenous retrovirus promoter activity in tumor suppression.</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5. Beyer,U., Moll-Rocek,J., Moll,U.M. and Dobbelstein,M. (2011) Endogenous retrovirus drives hitherto unknown proapoptotic p63 isoforms in the male germ line of humans and great apes. </w:t>
      </w:r>
      <w:r w:rsidRPr="00083DE8">
        <w:rPr>
          <w:rFonts w:ascii="Arial" w:hAnsi="Arial" w:cs="Arial"/>
          <w:i/>
          <w:iCs/>
          <w:sz w:val="20"/>
          <w:szCs w:val="20"/>
        </w:rPr>
        <w:t>Proc. Natl. Acad. Sci. U.S.A.</w:t>
      </w:r>
      <w:r w:rsidRPr="00083DE8">
        <w:rPr>
          <w:rFonts w:ascii="Arial" w:hAnsi="Arial" w:cs="Arial"/>
          <w:sz w:val="20"/>
          <w:szCs w:val="20"/>
        </w:rPr>
        <w:t xml:space="preserve">, </w:t>
      </w:r>
      <w:r w:rsidRPr="00083DE8">
        <w:rPr>
          <w:rFonts w:ascii="Arial" w:hAnsi="Arial" w:cs="Arial"/>
          <w:b/>
          <w:bCs/>
          <w:sz w:val="20"/>
          <w:szCs w:val="20"/>
        </w:rPr>
        <w:t>108</w:t>
      </w:r>
      <w:r w:rsidRPr="00083DE8">
        <w:rPr>
          <w:rFonts w:ascii="Arial" w:hAnsi="Arial" w:cs="Arial"/>
          <w:sz w:val="20"/>
          <w:szCs w:val="20"/>
        </w:rPr>
        <w:t>, 3624–3629.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6. Singh,B.K., Sinha,R.A., Zhou,J., Xie,S.Y., You,S.-H., Gauthier,K. and Yen,P.M. (2013) FoxO1 Deacetylation Regulates Thyroid Hormone-induced Transcription of Key Hepatic Gluconeogenic Genes. </w:t>
      </w:r>
      <w:r w:rsidRPr="00083DE8">
        <w:rPr>
          <w:rFonts w:ascii="Arial" w:hAnsi="Arial" w:cs="Arial"/>
          <w:i/>
          <w:iCs/>
          <w:sz w:val="20"/>
          <w:szCs w:val="20"/>
        </w:rPr>
        <w:t>J. Biol. Chem.</w:t>
      </w:r>
      <w:r w:rsidRPr="00083DE8">
        <w:rPr>
          <w:rFonts w:ascii="Arial" w:hAnsi="Arial" w:cs="Arial"/>
          <w:sz w:val="20"/>
          <w:szCs w:val="20"/>
        </w:rPr>
        <w:t xml:space="preserve">, </w:t>
      </w:r>
      <w:r w:rsidRPr="00083DE8">
        <w:rPr>
          <w:rFonts w:ascii="Arial" w:hAnsi="Arial" w:cs="Arial"/>
          <w:b/>
          <w:bCs/>
          <w:sz w:val="20"/>
          <w:szCs w:val="20"/>
        </w:rPr>
        <w:t>288</w:t>
      </w:r>
      <w:r w:rsidRPr="00083DE8">
        <w:rPr>
          <w:rFonts w:ascii="Arial" w:hAnsi="Arial" w:cs="Arial"/>
          <w:sz w:val="20"/>
          <w:szCs w:val="20"/>
        </w:rPr>
        <w:t>, 30365–30372.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7. Wu,S.-Y., Lee,A.-Y., Hou,S.Y., Kemper,J.K., Erdjument-Bromage,H., Tempst,P. and Chiang,C.-M. (2006) Brd4 links chromatin targeting to HPV transcriptional silencing. </w:t>
      </w:r>
      <w:r w:rsidRPr="00083DE8">
        <w:rPr>
          <w:rFonts w:ascii="Arial" w:hAnsi="Arial" w:cs="Arial"/>
          <w:i/>
          <w:iCs/>
          <w:sz w:val="20"/>
          <w:szCs w:val="20"/>
        </w:rPr>
        <w:t>Genes Dev</w:t>
      </w:r>
      <w:r w:rsidRPr="00083DE8">
        <w:rPr>
          <w:rFonts w:ascii="Arial" w:hAnsi="Arial" w:cs="Arial"/>
          <w:sz w:val="20"/>
          <w:szCs w:val="20"/>
        </w:rPr>
        <w:t xml:space="preserve">, </w:t>
      </w:r>
      <w:r w:rsidRPr="00083DE8">
        <w:rPr>
          <w:rFonts w:ascii="Arial" w:hAnsi="Arial" w:cs="Arial"/>
          <w:b/>
          <w:bCs/>
          <w:sz w:val="20"/>
          <w:szCs w:val="20"/>
        </w:rPr>
        <w:t>20</w:t>
      </w:r>
      <w:r w:rsidRPr="00083DE8">
        <w:rPr>
          <w:rFonts w:ascii="Arial" w:hAnsi="Arial" w:cs="Arial"/>
          <w:sz w:val="20"/>
          <w:szCs w:val="20"/>
        </w:rPr>
        <w:t>, 2383–2396.</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8. Kim,Y.J., Greer,C.B., Cecchini,K.R., Harris,L.N., Tuck,D.P. and Kim,T.H. (2013) HDAC inhibitors induce transcriptional repression of high copy number genes in breast cancer through elongation blockade.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32</w:t>
      </w:r>
      <w:r w:rsidRPr="00083DE8">
        <w:rPr>
          <w:rFonts w:ascii="Arial" w:hAnsi="Arial" w:cs="Arial"/>
          <w:sz w:val="20"/>
          <w:szCs w:val="20"/>
        </w:rPr>
        <w:t>, 2828–2835.</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9. Nagarajan,S., Benito,E., Fischer,A. and Johnsen,S.A. (2015) H4K12ac is regulated by estrogen receptor-alpha and is associated with BRD4 function and inducible transcription. </w:t>
      </w:r>
      <w:r w:rsidRPr="00083DE8">
        <w:rPr>
          <w:rFonts w:ascii="Arial" w:hAnsi="Arial" w:cs="Arial"/>
          <w:i/>
          <w:iCs/>
          <w:sz w:val="20"/>
          <w:szCs w:val="20"/>
        </w:rPr>
        <w:t>Oncotarget</w:t>
      </w:r>
      <w:r w:rsidRPr="00083DE8">
        <w:rPr>
          <w:rFonts w:ascii="Arial" w:hAnsi="Arial" w:cs="Arial"/>
          <w:sz w:val="20"/>
          <w:szCs w:val="20"/>
        </w:rPr>
        <w:t xml:space="preserve">, </w:t>
      </w:r>
      <w:r w:rsidRPr="00083DE8">
        <w:rPr>
          <w:rFonts w:ascii="Arial" w:hAnsi="Arial" w:cs="Arial"/>
          <w:b/>
          <w:bCs/>
          <w:sz w:val="20"/>
          <w:szCs w:val="20"/>
        </w:rPr>
        <w:t>6</w:t>
      </w:r>
      <w:r w:rsidRPr="00083DE8">
        <w:rPr>
          <w:rFonts w:ascii="Arial" w:hAnsi="Arial" w:cs="Arial"/>
          <w:sz w:val="20"/>
          <w:szCs w:val="20"/>
        </w:rPr>
        <w:t>, 7305–7317.</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10. Welboren,W.-J., van Driel,M.A., Janssen-Megens,E.M., van Heeringen,S.J., Sweep,F.C., Span,P.N. and Stunnenberg,H.G. (2009) ChIP-Seq of ERalpha and RNA polymerase II defines genes differentially responding to ligands. </w:t>
      </w:r>
      <w:r w:rsidRPr="00083DE8">
        <w:rPr>
          <w:rFonts w:ascii="Arial" w:hAnsi="Arial" w:cs="Arial"/>
          <w:i/>
          <w:iCs/>
          <w:sz w:val="20"/>
          <w:szCs w:val="20"/>
        </w:rPr>
        <w:t>EMBO J.</w:t>
      </w:r>
      <w:r w:rsidRPr="00083DE8">
        <w:rPr>
          <w:rFonts w:ascii="Arial" w:hAnsi="Arial" w:cs="Arial"/>
          <w:sz w:val="20"/>
          <w:szCs w:val="20"/>
        </w:rPr>
        <w:t xml:space="preserve">, </w:t>
      </w:r>
      <w:r w:rsidRPr="00083DE8">
        <w:rPr>
          <w:rFonts w:ascii="Arial" w:hAnsi="Arial" w:cs="Arial"/>
          <w:b/>
          <w:bCs/>
          <w:sz w:val="20"/>
          <w:szCs w:val="20"/>
        </w:rPr>
        <w:t>28</w:t>
      </w:r>
      <w:r w:rsidRPr="00083DE8">
        <w:rPr>
          <w:rFonts w:ascii="Arial" w:hAnsi="Arial" w:cs="Arial"/>
          <w:sz w:val="20"/>
          <w:szCs w:val="20"/>
        </w:rPr>
        <w:t>, 1418–1428.</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11. Hah,N., Murakami,S., Nagari,A., Danko,C.G. and Kraus,W.L. (2013) Enhancer transcripts mark active estrogen receptor binding sites. </w:t>
      </w:r>
      <w:r w:rsidRPr="00083DE8">
        <w:rPr>
          <w:rFonts w:ascii="Arial" w:hAnsi="Arial" w:cs="Arial"/>
          <w:i/>
          <w:iCs/>
          <w:sz w:val="20"/>
          <w:szCs w:val="20"/>
        </w:rPr>
        <w:t>Genome Res.</w:t>
      </w:r>
      <w:r w:rsidRPr="00083DE8">
        <w:rPr>
          <w:rFonts w:ascii="Arial" w:hAnsi="Arial" w:cs="Arial"/>
          <w:sz w:val="20"/>
          <w:szCs w:val="20"/>
        </w:rPr>
        <w:t xml:space="preserve">, </w:t>
      </w:r>
      <w:r w:rsidRPr="00083DE8">
        <w:rPr>
          <w:rFonts w:ascii="Arial" w:hAnsi="Arial" w:cs="Arial"/>
          <w:b/>
          <w:bCs/>
          <w:sz w:val="20"/>
          <w:szCs w:val="20"/>
        </w:rPr>
        <w:t>23</w:t>
      </w:r>
      <w:r w:rsidRPr="00083DE8">
        <w:rPr>
          <w:rFonts w:ascii="Arial" w:hAnsi="Arial" w:cs="Arial"/>
          <w:sz w:val="20"/>
          <w:szCs w:val="20"/>
        </w:rPr>
        <w:t>, 1210–1223.</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12. Theodorou,V., Stark,R., Menon,S. and Carroll,J.S. (2013) GATA3 acts upstream of FOXA1 in mediating ESR1 binding by shaping enhancer accessibility. </w:t>
      </w:r>
      <w:r w:rsidRPr="00083DE8">
        <w:rPr>
          <w:rFonts w:ascii="Arial" w:hAnsi="Arial" w:cs="Arial"/>
          <w:i/>
          <w:iCs/>
          <w:sz w:val="20"/>
          <w:szCs w:val="20"/>
        </w:rPr>
        <w:t>Genome Res.</w:t>
      </w:r>
      <w:r w:rsidRPr="00083DE8">
        <w:rPr>
          <w:rFonts w:ascii="Arial" w:hAnsi="Arial" w:cs="Arial"/>
          <w:sz w:val="20"/>
          <w:szCs w:val="20"/>
        </w:rPr>
        <w:t xml:space="preserve">, </w:t>
      </w:r>
      <w:r w:rsidRPr="00083DE8">
        <w:rPr>
          <w:rFonts w:ascii="Arial" w:hAnsi="Arial" w:cs="Arial"/>
          <w:b/>
          <w:bCs/>
          <w:sz w:val="20"/>
          <w:szCs w:val="20"/>
        </w:rPr>
        <w:t>23</w:t>
      </w:r>
      <w:r w:rsidRPr="00083DE8">
        <w:rPr>
          <w:rFonts w:ascii="Arial" w:hAnsi="Arial" w:cs="Arial"/>
          <w:sz w:val="20"/>
          <w:szCs w:val="20"/>
        </w:rPr>
        <w:t>, 12–22.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13. Joseph,R., Orlov,Y.L., Huss,M., Sun,W., Kong,S.L., Ukil,L., Pan,Y.F., Li,G., Lim,M., Thomsen,J.S., </w:t>
      </w:r>
      <w:r w:rsidRPr="00083DE8">
        <w:rPr>
          <w:rFonts w:ascii="Arial" w:hAnsi="Arial" w:cs="Arial"/>
          <w:i/>
          <w:iCs/>
          <w:sz w:val="20"/>
          <w:szCs w:val="20"/>
        </w:rPr>
        <w:t>et al.</w:t>
      </w:r>
      <w:r w:rsidRPr="00083DE8">
        <w:rPr>
          <w:rFonts w:ascii="Arial" w:hAnsi="Arial" w:cs="Arial"/>
          <w:sz w:val="20"/>
          <w:szCs w:val="20"/>
        </w:rPr>
        <w:t xml:space="preserve"> (2010) Integrative model of genomic factors for determining binding site selection by estrogen receptor-α. </w:t>
      </w:r>
      <w:r w:rsidRPr="00083DE8">
        <w:rPr>
          <w:rFonts w:ascii="Arial" w:hAnsi="Arial" w:cs="Arial"/>
          <w:i/>
          <w:iCs/>
          <w:sz w:val="20"/>
          <w:szCs w:val="20"/>
        </w:rPr>
        <w:t>Mol. Syst. Biol.</w:t>
      </w:r>
      <w:r w:rsidRPr="00083DE8">
        <w:rPr>
          <w:rFonts w:ascii="Arial" w:hAnsi="Arial" w:cs="Arial"/>
          <w:sz w:val="20"/>
          <w:szCs w:val="20"/>
        </w:rPr>
        <w:t xml:space="preserve">, </w:t>
      </w:r>
      <w:r w:rsidRPr="00083DE8">
        <w:rPr>
          <w:rFonts w:ascii="Arial" w:hAnsi="Arial" w:cs="Arial"/>
          <w:b/>
          <w:bCs/>
          <w:sz w:val="20"/>
          <w:szCs w:val="20"/>
        </w:rPr>
        <w:t>6</w:t>
      </w:r>
      <w:r w:rsidRPr="00083DE8">
        <w:rPr>
          <w:rFonts w:ascii="Arial" w:hAnsi="Arial" w:cs="Arial"/>
          <w:sz w:val="20"/>
          <w:szCs w:val="20"/>
        </w:rPr>
        <w:t>, 456.</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14. Vasquez,Y.M., Mazur,E.C., Li,X., Kommagani,R., Jiang,L., Chen,R., Lanz,R.B., Kovanci,E., Gibbons,W.E. and DeMayo,F.J. (2015) FOXO1 is required for binding of PR on IRF4, novel transcriptional regulator of endometrial stromal decidualization. </w:t>
      </w:r>
      <w:r w:rsidRPr="00083DE8">
        <w:rPr>
          <w:rFonts w:ascii="Arial" w:hAnsi="Arial" w:cs="Arial"/>
          <w:i/>
          <w:iCs/>
          <w:sz w:val="20"/>
          <w:szCs w:val="20"/>
        </w:rPr>
        <w:t>Mol. Endocrinol.</w:t>
      </w:r>
      <w:r w:rsidRPr="00083DE8">
        <w:rPr>
          <w:rFonts w:ascii="Arial" w:hAnsi="Arial" w:cs="Arial"/>
          <w:sz w:val="20"/>
          <w:szCs w:val="20"/>
        </w:rPr>
        <w:t xml:space="preserve">, </w:t>
      </w:r>
      <w:r w:rsidRPr="00083DE8">
        <w:rPr>
          <w:rFonts w:ascii="Arial" w:hAnsi="Arial" w:cs="Arial"/>
          <w:b/>
          <w:bCs/>
          <w:sz w:val="20"/>
          <w:szCs w:val="20"/>
        </w:rPr>
        <w:t>29</w:t>
      </w:r>
      <w:r w:rsidRPr="00083DE8">
        <w:rPr>
          <w:rFonts w:ascii="Arial" w:hAnsi="Arial" w:cs="Arial"/>
          <w:sz w:val="20"/>
          <w:szCs w:val="20"/>
        </w:rPr>
        <w:t>, 421–433.</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lastRenderedPageBreak/>
        <w:t xml:space="preserve">15. Shu,S., Lin,C.Y., He,H.H., Witwicki,R.M., Tabassum,D.P., Roberts,J.M., Janiszewska,M., Huh,S.J., Liang,Y., Ryan,J., </w:t>
      </w:r>
      <w:r w:rsidRPr="00083DE8">
        <w:rPr>
          <w:rFonts w:ascii="Arial" w:hAnsi="Arial" w:cs="Arial"/>
          <w:i/>
          <w:iCs/>
          <w:sz w:val="20"/>
          <w:szCs w:val="20"/>
        </w:rPr>
        <w:t>et al.</w:t>
      </w:r>
      <w:r w:rsidRPr="00083DE8">
        <w:rPr>
          <w:rFonts w:ascii="Arial" w:hAnsi="Arial" w:cs="Arial"/>
          <w:sz w:val="20"/>
          <w:szCs w:val="20"/>
        </w:rPr>
        <w:t xml:space="preserve"> (2016) Response and resistance to BET bromodomain inhibitors in triple-negative breast cancer. </w:t>
      </w:r>
      <w:r w:rsidRPr="00083DE8">
        <w:rPr>
          <w:rFonts w:ascii="Arial" w:hAnsi="Arial" w:cs="Arial"/>
          <w:i/>
          <w:iCs/>
          <w:sz w:val="20"/>
          <w:szCs w:val="20"/>
        </w:rPr>
        <w:t>Nature</w:t>
      </w:r>
      <w:r w:rsidRPr="00083DE8">
        <w:rPr>
          <w:rFonts w:ascii="Arial" w:hAnsi="Arial" w:cs="Arial"/>
          <w:sz w:val="20"/>
          <w:szCs w:val="20"/>
        </w:rPr>
        <w:t xml:space="preserve">, </w:t>
      </w:r>
      <w:r w:rsidRPr="00083DE8">
        <w:rPr>
          <w:rFonts w:ascii="Arial" w:hAnsi="Arial" w:cs="Arial"/>
          <w:b/>
          <w:bCs/>
          <w:sz w:val="20"/>
          <w:szCs w:val="20"/>
        </w:rPr>
        <w:t>529</w:t>
      </w:r>
      <w:r w:rsidRPr="00083DE8">
        <w:rPr>
          <w:rFonts w:ascii="Arial" w:hAnsi="Arial" w:cs="Arial"/>
          <w:sz w:val="20"/>
          <w:szCs w:val="20"/>
        </w:rPr>
        <w:t>, 413–417.</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16. Carroll,D.K., Carroll,J.S., Leong,C.-O., Cheng,F., Brown,M., Mills,A.A., Brugge,J.S. and Ellisen,L.W. (2006) p63 regulates an adhesion programme and cell survival in epithelial cells. </w:t>
      </w:r>
      <w:r w:rsidRPr="00083DE8">
        <w:rPr>
          <w:rFonts w:ascii="Arial" w:hAnsi="Arial" w:cs="Arial"/>
          <w:i/>
          <w:iCs/>
          <w:sz w:val="20"/>
          <w:szCs w:val="20"/>
        </w:rPr>
        <w:t>Nat Cell Biol</w:t>
      </w:r>
      <w:r w:rsidRPr="00083DE8">
        <w:rPr>
          <w:rFonts w:ascii="Arial" w:hAnsi="Arial" w:cs="Arial"/>
          <w:sz w:val="20"/>
          <w:szCs w:val="20"/>
        </w:rPr>
        <w:t xml:space="preserve">, </w:t>
      </w:r>
      <w:r w:rsidRPr="00083DE8">
        <w:rPr>
          <w:rFonts w:ascii="Arial" w:hAnsi="Arial" w:cs="Arial"/>
          <w:b/>
          <w:bCs/>
          <w:sz w:val="20"/>
          <w:szCs w:val="20"/>
        </w:rPr>
        <w:t>8</w:t>
      </w:r>
      <w:r w:rsidRPr="00083DE8">
        <w:rPr>
          <w:rFonts w:ascii="Arial" w:hAnsi="Arial" w:cs="Arial"/>
          <w:sz w:val="20"/>
          <w:szCs w:val="20"/>
        </w:rPr>
        <w:t>, 551–561.</w:t>
      </w:r>
    </w:p>
    <w:p w:rsidR="00F44C4C" w:rsidRPr="00083DE8" w:rsidRDefault="00F44C4C" w:rsidP="00062BCF">
      <w:pPr>
        <w:pStyle w:val="Bibliography"/>
        <w:ind w:left="0" w:firstLine="0"/>
        <w:rPr>
          <w:rFonts w:ascii="Arial" w:hAnsi="Arial" w:cs="Arial"/>
          <w:sz w:val="20"/>
          <w:szCs w:val="20"/>
          <w:lang w:val="de-DE"/>
        </w:rPr>
      </w:pPr>
      <w:r w:rsidRPr="00083DE8">
        <w:rPr>
          <w:rFonts w:ascii="Arial" w:hAnsi="Arial" w:cs="Arial"/>
          <w:sz w:val="20"/>
          <w:szCs w:val="20"/>
        </w:rPr>
        <w:t xml:space="preserve">17. Hirsch,H.A., Iliopoulos,D., Joshi,A., Zhang,Y., Jaeger,S.A., Bulyk,M., Tsichlis,P.N., Shirley Liu,X. and Struhl,K. (2010) A transcriptional signature and common gene networks link cancer with lipid metabolism and diverse human diseases. </w:t>
      </w:r>
      <w:r w:rsidRPr="00083DE8">
        <w:rPr>
          <w:rFonts w:ascii="Arial" w:hAnsi="Arial" w:cs="Arial"/>
          <w:i/>
          <w:iCs/>
          <w:sz w:val="20"/>
          <w:szCs w:val="20"/>
          <w:lang w:val="de-DE"/>
        </w:rPr>
        <w:t>Cancer Cell</w:t>
      </w:r>
      <w:r w:rsidRPr="00083DE8">
        <w:rPr>
          <w:rFonts w:ascii="Arial" w:hAnsi="Arial" w:cs="Arial"/>
          <w:sz w:val="20"/>
          <w:szCs w:val="20"/>
          <w:lang w:val="de-DE"/>
        </w:rPr>
        <w:t xml:space="preserve">, </w:t>
      </w:r>
      <w:r w:rsidRPr="00083DE8">
        <w:rPr>
          <w:rFonts w:ascii="Arial" w:hAnsi="Arial" w:cs="Arial"/>
          <w:b/>
          <w:bCs/>
          <w:sz w:val="20"/>
          <w:szCs w:val="20"/>
          <w:lang w:val="de-DE"/>
        </w:rPr>
        <w:t>17</w:t>
      </w:r>
      <w:r w:rsidRPr="00083DE8">
        <w:rPr>
          <w:rFonts w:ascii="Arial" w:hAnsi="Arial" w:cs="Arial"/>
          <w:sz w:val="20"/>
          <w:szCs w:val="20"/>
          <w:lang w:val="de-DE"/>
        </w:rPr>
        <w:t>, 348–361.</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lang w:val="de-DE"/>
        </w:rPr>
        <w:t xml:space="preserve">18. Prenzel,T., Begus-Nahrmann,Y., Kramer,F., Hennion,M., Hsu,C., Gorsler,T., Hintermair,C., Eick,D., Kremmer,E., Simons,M., </w:t>
      </w:r>
      <w:r w:rsidRPr="00083DE8">
        <w:rPr>
          <w:rFonts w:ascii="Arial" w:hAnsi="Arial" w:cs="Arial"/>
          <w:i/>
          <w:iCs/>
          <w:sz w:val="20"/>
          <w:szCs w:val="20"/>
          <w:lang w:val="de-DE"/>
        </w:rPr>
        <w:t>et al.</w:t>
      </w:r>
      <w:r w:rsidRPr="00083DE8">
        <w:rPr>
          <w:rFonts w:ascii="Arial" w:hAnsi="Arial" w:cs="Arial"/>
          <w:sz w:val="20"/>
          <w:szCs w:val="20"/>
          <w:lang w:val="de-DE"/>
        </w:rPr>
        <w:t xml:space="preserve"> </w:t>
      </w:r>
      <w:r w:rsidRPr="00083DE8">
        <w:rPr>
          <w:rFonts w:ascii="Arial" w:hAnsi="Arial" w:cs="Arial"/>
          <w:sz w:val="20"/>
          <w:szCs w:val="20"/>
        </w:rPr>
        <w:t xml:space="preserve">(2011) Estrogen-dependent gene transcription in human breast cancer cells relies upon proteasome-dependent monoubiquitination of histone H2B.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71</w:t>
      </w:r>
      <w:r w:rsidRPr="00083DE8">
        <w:rPr>
          <w:rFonts w:ascii="Arial" w:hAnsi="Arial" w:cs="Arial"/>
          <w:sz w:val="20"/>
          <w:szCs w:val="20"/>
        </w:rPr>
        <w:t>, 5739–5753.</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19. Bedi,U., Scheel,A.H., Hennion,M., Begus-Nahrmann,Y., Rüschoff,J. and Johnsen,S.A. (2014) SUPT6H controls estrogen receptor activity and cellular differentiation by multiple epigenomic mechanisms. </w:t>
      </w:r>
      <w:r w:rsidRPr="00083DE8">
        <w:rPr>
          <w:rFonts w:ascii="Arial" w:hAnsi="Arial" w:cs="Arial"/>
          <w:i/>
          <w:iCs/>
          <w:sz w:val="20"/>
          <w:szCs w:val="20"/>
        </w:rPr>
        <w:t>Oncogene</w:t>
      </w:r>
      <w:r w:rsidRPr="00083DE8">
        <w:rPr>
          <w:rFonts w:ascii="Arial" w:hAnsi="Arial" w:cs="Arial"/>
          <w:sz w:val="20"/>
          <w:szCs w:val="20"/>
        </w:rPr>
        <w:t>, 10.1038/onc.2013.558.</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20. Langmead,B. and Salzberg,S.L. (2012) Fast gapped-read alignment with Bowtie 2. </w:t>
      </w:r>
      <w:r w:rsidRPr="00083DE8">
        <w:rPr>
          <w:rFonts w:ascii="Arial" w:hAnsi="Arial" w:cs="Arial"/>
          <w:i/>
          <w:iCs/>
          <w:sz w:val="20"/>
          <w:szCs w:val="20"/>
        </w:rPr>
        <w:t>Nat. Methods</w:t>
      </w:r>
      <w:r w:rsidRPr="00083DE8">
        <w:rPr>
          <w:rFonts w:ascii="Arial" w:hAnsi="Arial" w:cs="Arial"/>
          <w:sz w:val="20"/>
          <w:szCs w:val="20"/>
        </w:rPr>
        <w:t xml:space="preserve">, </w:t>
      </w:r>
      <w:r w:rsidRPr="00083DE8">
        <w:rPr>
          <w:rFonts w:ascii="Arial" w:hAnsi="Arial" w:cs="Arial"/>
          <w:b/>
          <w:bCs/>
          <w:sz w:val="20"/>
          <w:szCs w:val="20"/>
        </w:rPr>
        <w:t>9</w:t>
      </w:r>
      <w:r w:rsidRPr="00083DE8">
        <w:rPr>
          <w:rFonts w:ascii="Arial" w:hAnsi="Arial" w:cs="Arial"/>
          <w:sz w:val="20"/>
          <w:szCs w:val="20"/>
        </w:rPr>
        <w:t>, 357–359.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21. Anders,S. and Huber,W. (2010) Differential expression analysis for sequence count data. </w:t>
      </w:r>
      <w:r w:rsidRPr="00083DE8">
        <w:rPr>
          <w:rFonts w:ascii="Arial" w:hAnsi="Arial" w:cs="Arial"/>
          <w:i/>
          <w:iCs/>
          <w:sz w:val="20"/>
          <w:szCs w:val="20"/>
        </w:rPr>
        <w:t>Genome Biology</w:t>
      </w:r>
      <w:r w:rsidRPr="00083DE8">
        <w:rPr>
          <w:rFonts w:ascii="Arial" w:hAnsi="Arial" w:cs="Arial"/>
          <w:sz w:val="20"/>
          <w:szCs w:val="20"/>
        </w:rPr>
        <w:t xml:space="preserve">, </w:t>
      </w:r>
      <w:r w:rsidRPr="00083DE8">
        <w:rPr>
          <w:rFonts w:ascii="Arial" w:hAnsi="Arial" w:cs="Arial"/>
          <w:b/>
          <w:bCs/>
          <w:sz w:val="20"/>
          <w:szCs w:val="20"/>
        </w:rPr>
        <w:t>11</w:t>
      </w:r>
      <w:r w:rsidRPr="00083DE8">
        <w:rPr>
          <w:rFonts w:ascii="Arial" w:hAnsi="Arial" w:cs="Arial"/>
          <w:sz w:val="20"/>
          <w:szCs w:val="20"/>
        </w:rPr>
        <w:t>, R106.</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22. Subramanian,A., Tamayo,P., Mootha,V.K., Mukherjee,S., Ebert,B.L., Gillette,M.A., Paulovich,A., Pomeroy,S.L., Golub,T.R., Lander,E.S., </w:t>
      </w:r>
      <w:r w:rsidRPr="00083DE8">
        <w:rPr>
          <w:rFonts w:ascii="Arial" w:hAnsi="Arial" w:cs="Arial"/>
          <w:i/>
          <w:iCs/>
          <w:sz w:val="20"/>
          <w:szCs w:val="20"/>
        </w:rPr>
        <w:t>et al.</w:t>
      </w:r>
      <w:r w:rsidRPr="00083DE8">
        <w:rPr>
          <w:rFonts w:ascii="Arial" w:hAnsi="Arial" w:cs="Arial"/>
          <w:sz w:val="20"/>
          <w:szCs w:val="20"/>
        </w:rPr>
        <w:t xml:space="preserve"> (2005) Gene set enrichment analysis: a knowledge-based approach for interpreting genome-wide expression profiles. </w:t>
      </w:r>
      <w:r w:rsidRPr="00083DE8">
        <w:rPr>
          <w:rFonts w:ascii="Arial" w:hAnsi="Arial" w:cs="Arial"/>
          <w:i/>
          <w:iCs/>
          <w:sz w:val="20"/>
          <w:szCs w:val="20"/>
        </w:rPr>
        <w:t>Proc. Natl. Acad. Sci. U.S.A.</w:t>
      </w:r>
      <w:r w:rsidRPr="00083DE8">
        <w:rPr>
          <w:rFonts w:ascii="Arial" w:hAnsi="Arial" w:cs="Arial"/>
          <w:sz w:val="20"/>
          <w:szCs w:val="20"/>
        </w:rPr>
        <w:t xml:space="preserve">, </w:t>
      </w:r>
      <w:r w:rsidRPr="00083DE8">
        <w:rPr>
          <w:rFonts w:ascii="Arial" w:hAnsi="Arial" w:cs="Arial"/>
          <w:b/>
          <w:bCs/>
          <w:sz w:val="20"/>
          <w:szCs w:val="20"/>
        </w:rPr>
        <w:t>102</w:t>
      </w:r>
      <w:r w:rsidRPr="00083DE8">
        <w:rPr>
          <w:rFonts w:ascii="Arial" w:hAnsi="Arial" w:cs="Arial"/>
          <w:sz w:val="20"/>
          <w:szCs w:val="20"/>
        </w:rPr>
        <w:t>, 15545–15550.</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23. Liberzon,A., Subramanian,A., Pinchback,R., Thorvaldsdóttir,H., Tamayo,P. and Mesirov,J.P. (2011) Molecular signatures database (MSigDB) 3.0. </w:t>
      </w:r>
      <w:r w:rsidRPr="00083DE8">
        <w:rPr>
          <w:rFonts w:ascii="Arial" w:hAnsi="Arial" w:cs="Arial"/>
          <w:i/>
          <w:iCs/>
          <w:sz w:val="20"/>
          <w:szCs w:val="20"/>
        </w:rPr>
        <w:t>Bioinformatics</w:t>
      </w:r>
      <w:r w:rsidRPr="00083DE8">
        <w:rPr>
          <w:rFonts w:ascii="Arial" w:hAnsi="Arial" w:cs="Arial"/>
          <w:sz w:val="20"/>
          <w:szCs w:val="20"/>
        </w:rPr>
        <w:t xml:space="preserve">, </w:t>
      </w:r>
      <w:r w:rsidRPr="00083DE8">
        <w:rPr>
          <w:rFonts w:ascii="Arial" w:hAnsi="Arial" w:cs="Arial"/>
          <w:b/>
          <w:bCs/>
          <w:sz w:val="20"/>
          <w:szCs w:val="20"/>
        </w:rPr>
        <w:t>27</w:t>
      </w:r>
      <w:r w:rsidRPr="00083DE8">
        <w:rPr>
          <w:rFonts w:ascii="Arial" w:hAnsi="Arial" w:cs="Arial"/>
          <w:sz w:val="20"/>
          <w:szCs w:val="20"/>
        </w:rPr>
        <w:t>, 1739–1740.</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24. Bosco,A., Ehteshami,S., Stern,D.A. and Martinez,F.D. (2010) Decreased activation of inflammatory networks during acute asthma exacerbations is associated with chronic airflow obstruction. </w:t>
      </w:r>
      <w:r w:rsidRPr="00083DE8">
        <w:rPr>
          <w:rFonts w:ascii="Arial" w:hAnsi="Arial" w:cs="Arial"/>
          <w:i/>
          <w:iCs/>
          <w:sz w:val="20"/>
          <w:szCs w:val="20"/>
        </w:rPr>
        <w:t>Mucosal Immunol</w:t>
      </w:r>
      <w:r w:rsidRPr="00083DE8">
        <w:rPr>
          <w:rFonts w:ascii="Arial" w:hAnsi="Arial" w:cs="Arial"/>
          <w:sz w:val="20"/>
          <w:szCs w:val="20"/>
        </w:rPr>
        <w:t xml:space="preserve">, </w:t>
      </w:r>
      <w:r w:rsidRPr="00083DE8">
        <w:rPr>
          <w:rFonts w:ascii="Arial" w:hAnsi="Arial" w:cs="Arial"/>
          <w:b/>
          <w:bCs/>
          <w:sz w:val="20"/>
          <w:szCs w:val="20"/>
        </w:rPr>
        <w:t>3</w:t>
      </w:r>
      <w:r w:rsidRPr="00083DE8">
        <w:rPr>
          <w:rFonts w:ascii="Arial" w:hAnsi="Arial" w:cs="Arial"/>
          <w:sz w:val="20"/>
          <w:szCs w:val="20"/>
        </w:rPr>
        <w:t>, 399–409.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25. Manalo,D.J., Rowan,A., Lavoie,T., Natarajan,L., Kelly,B.D., Ye,S.Q., Garcia,J.G.N. and Semenza,G.L. (2005) Transcriptional regulation of vascular endothelial cell responses to hypoxia by HIF-1. </w:t>
      </w:r>
      <w:r w:rsidRPr="00083DE8">
        <w:rPr>
          <w:rFonts w:ascii="Arial" w:hAnsi="Arial" w:cs="Arial"/>
          <w:i/>
          <w:iCs/>
          <w:sz w:val="20"/>
          <w:szCs w:val="20"/>
        </w:rPr>
        <w:t>Blood</w:t>
      </w:r>
      <w:r w:rsidRPr="00083DE8">
        <w:rPr>
          <w:rFonts w:ascii="Arial" w:hAnsi="Arial" w:cs="Arial"/>
          <w:sz w:val="20"/>
          <w:szCs w:val="20"/>
        </w:rPr>
        <w:t xml:space="preserve">, </w:t>
      </w:r>
      <w:r w:rsidRPr="00083DE8">
        <w:rPr>
          <w:rFonts w:ascii="Arial" w:hAnsi="Arial" w:cs="Arial"/>
          <w:b/>
          <w:bCs/>
          <w:sz w:val="20"/>
          <w:szCs w:val="20"/>
        </w:rPr>
        <w:t>105</w:t>
      </w:r>
      <w:r w:rsidRPr="00083DE8">
        <w:rPr>
          <w:rFonts w:ascii="Arial" w:hAnsi="Arial" w:cs="Arial"/>
          <w:sz w:val="20"/>
          <w:szCs w:val="20"/>
        </w:rPr>
        <w:t>, 659–669.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26. Wong,D.J., Liu,H., Ridky,T.W., Cassarino,D., Segal,E. and Chang,H.Y. (2008) Module map of stem cell genes guides creation of epithelial cancer stem cells. </w:t>
      </w:r>
      <w:r w:rsidRPr="00083DE8">
        <w:rPr>
          <w:rFonts w:ascii="Arial" w:hAnsi="Arial" w:cs="Arial"/>
          <w:i/>
          <w:iCs/>
          <w:sz w:val="20"/>
          <w:szCs w:val="20"/>
        </w:rPr>
        <w:t>Cell Stem Cell</w:t>
      </w:r>
      <w:r w:rsidRPr="00083DE8">
        <w:rPr>
          <w:rFonts w:ascii="Arial" w:hAnsi="Arial" w:cs="Arial"/>
          <w:sz w:val="20"/>
          <w:szCs w:val="20"/>
        </w:rPr>
        <w:t xml:space="preserve">, </w:t>
      </w:r>
      <w:r w:rsidRPr="00083DE8">
        <w:rPr>
          <w:rFonts w:ascii="Arial" w:hAnsi="Arial" w:cs="Arial"/>
          <w:b/>
          <w:bCs/>
          <w:sz w:val="20"/>
          <w:szCs w:val="20"/>
        </w:rPr>
        <w:t>2</w:t>
      </w:r>
      <w:r w:rsidRPr="00083DE8">
        <w:rPr>
          <w:rFonts w:ascii="Arial" w:hAnsi="Arial" w:cs="Arial"/>
          <w:sz w:val="20"/>
          <w:szCs w:val="20"/>
        </w:rPr>
        <w:t>, 333–344.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27. Cromer,A., Carles,A., Millon,R., Ganguli,G., Chalmel,F., Lemaire,F., Young,J., Dembélé,D., Thibault,C., Muller,D., </w:t>
      </w:r>
      <w:r w:rsidRPr="00083DE8">
        <w:rPr>
          <w:rFonts w:ascii="Arial" w:hAnsi="Arial" w:cs="Arial"/>
          <w:i/>
          <w:iCs/>
          <w:sz w:val="20"/>
          <w:szCs w:val="20"/>
        </w:rPr>
        <w:t>et al.</w:t>
      </w:r>
      <w:r w:rsidRPr="00083DE8">
        <w:rPr>
          <w:rFonts w:ascii="Arial" w:hAnsi="Arial" w:cs="Arial"/>
          <w:sz w:val="20"/>
          <w:szCs w:val="20"/>
        </w:rPr>
        <w:t xml:space="preserve"> (2004) Identification of genes associated with tumorigenesis and metastatic potential of hypopharyngeal cancer by microarray analysis.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23</w:t>
      </w:r>
      <w:r w:rsidRPr="00083DE8">
        <w:rPr>
          <w:rFonts w:ascii="Arial" w:hAnsi="Arial" w:cs="Arial"/>
          <w:sz w:val="20"/>
          <w:szCs w:val="20"/>
        </w:rPr>
        <w:t>, 2484–2498.</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28. Sotiriou,C., Wirapati,P., Loi,S., Harris,A., Fox,S., Smeds,J., Nordgren,H., Farmer,P., Praz,V., Haibe-Kains,B., </w:t>
      </w:r>
      <w:r w:rsidRPr="00083DE8">
        <w:rPr>
          <w:rFonts w:ascii="Arial" w:hAnsi="Arial" w:cs="Arial"/>
          <w:i/>
          <w:iCs/>
          <w:sz w:val="20"/>
          <w:szCs w:val="20"/>
        </w:rPr>
        <w:t>et al.</w:t>
      </w:r>
      <w:r w:rsidRPr="00083DE8">
        <w:rPr>
          <w:rFonts w:ascii="Arial" w:hAnsi="Arial" w:cs="Arial"/>
          <w:sz w:val="20"/>
          <w:szCs w:val="20"/>
        </w:rPr>
        <w:t xml:space="preserve"> (2006) Gene expression profiling in breast cancer: understanding the molecular basis of histologic grade to improve prognosis. </w:t>
      </w:r>
      <w:r w:rsidRPr="00083DE8">
        <w:rPr>
          <w:rFonts w:ascii="Arial" w:hAnsi="Arial" w:cs="Arial"/>
          <w:i/>
          <w:iCs/>
          <w:sz w:val="20"/>
          <w:szCs w:val="20"/>
        </w:rPr>
        <w:t>J. Natl. Cancer Inst.</w:t>
      </w:r>
      <w:r w:rsidRPr="00083DE8">
        <w:rPr>
          <w:rFonts w:ascii="Arial" w:hAnsi="Arial" w:cs="Arial"/>
          <w:sz w:val="20"/>
          <w:szCs w:val="20"/>
        </w:rPr>
        <w:t xml:space="preserve">, </w:t>
      </w:r>
      <w:r w:rsidRPr="00083DE8">
        <w:rPr>
          <w:rFonts w:ascii="Arial" w:hAnsi="Arial" w:cs="Arial"/>
          <w:b/>
          <w:bCs/>
          <w:sz w:val="20"/>
          <w:szCs w:val="20"/>
        </w:rPr>
        <w:t>98</w:t>
      </w:r>
      <w:r w:rsidRPr="00083DE8">
        <w:rPr>
          <w:rFonts w:ascii="Arial" w:hAnsi="Arial" w:cs="Arial"/>
          <w:sz w:val="20"/>
          <w:szCs w:val="20"/>
        </w:rPr>
        <w:t>, 262–272.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29. Lin,H.-J.L., Zuo,T., Lin,C.-H., Kuo,C.T., Liyanarachchi,S., Sun,S., Shen,R., Deatherage,D.E., Potter,D., Asamoto,L., </w:t>
      </w:r>
      <w:r w:rsidRPr="00083DE8">
        <w:rPr>
          <w:rFonts w:ascii="Arial" w:hAnsi="Arial" w:cs="Arial"/>
          <w:i/>
          <w:iCs/>
          <w:sz w:val="20"/>
          <w:szCs w:val="20"/>
        </w:rPr>
        <w:t>et al.</w:t>
      </w:r>
      <w:r w:rsidRPr="00083DE8">
        <w:rPr>
          <w:rFonts w:ascii="Arial" w:hAnsi="Arial" w:cs="Arial"/>
          <w:sz w:val="20"/>
          <w:szCs w:val="20"/>
        </w:rPr>
        <w:t xml:space="preserve"> (2008) Breast cancer-associated fibroblasts confer AKT1-mediated epigenetic silencing of Cystatin M in epithelial cells.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68</w:t>
      </w:r>
      <w:r w:rsidRPr="00083DE8">
        <w:rPr>
          <w:rFonts w:ascii="Arial" w:hAnsi="Arial" w:cs="Arial"/>
          <w:sz w:val="20"/>
          <w:szCs w:val="20"/>
        </w:rPr>
        <w:t>, 10257–10266.</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lastRenderedPageBreak/>
        <w:t xml:space="preserve">30. Jaeger,J., Koczan,D., Thiesen,H.-J., Ibrahim,S.M., Gross,G., Spang,R. and Kunz,M. (2007) Gene expression signatures for tumor progression, tumor subtype, and tumor thickness in laser-microdissected melanoma tissues. </w:t>
      </w:r>
      <w:r w:rsidRPr="00083DE8">
        <w:rPr>
          <w:rFonts w:ascii="Arial" w:hAnsi="Arial" w:cs="Arial"/>
          <w:i/>
          <w:iCs/>
          <w:sz w:val="20"/>
          <w:szCs w:val="20"/>
        </w:rPr>
        <w:t>Clin. Cancer Res.</w:t>
      </w:r>
      <w:r w:rsidRPr="00083DE8">
        <w:rPr>
          <w:rFonts w:ascii="Arial" w:hAnsi="Arial" w:cs="Arial"/>
          <w:sz w:val="20"/>
          <w:szCs w:val="20"/>
        </w:rPr>
        <w:t xml:space="preserve">, </w:t>
      </w:r>
      <w:r w:rsidRPr="00083DE8">
        <w:rPr>
          <w:rFonts w:ascii="Arial" w:hAnsi="Arial" w:cs="Arial"/>
          <w:b/>
          <w:bCs/>
          <w:sz w:val="20"/>
          <w:szCs w:val="20"/>
        </w:rPr>
        <w:t>13</w:t>
      </w:r>
      <w:r w:rsidRPr="00083DE8">
        <w:rPr>
          <w:rFonts w:ascii="Arial" w:hAnsi="Arial" w:cs="Arial"/>
          <w:sz w:val="20"/>
          <w:szCs w:val="20"/>
        </w:rPr>
        <w:t>, 806–815.</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31. O’Donnell,R.K., Kupferman,M., Wei,S.J., Singhal,S., Weber,R., O’Malley,B., Cheng,Y., Putt,M., Feldman,M., Ziober,B., </w:t>
      </w:r>
      <w:r w:rsidRPr="00083DE8">
        <w:rPr>
          <w:rFonts w:ascii="Arial" w:hAnsi="Arial" w:cs="Arial"/>
          <w:i/>
          <w:iCs/>
          <w:sz w:val="20"/>
          <w:szCs w:val="20"/>
        </w:rPr>
        <w:t>et al.</w:t>
      </w:r>
      <w:r w:rsidRPr="00083DE8">
        <w:rPr>
          <w:rFonts w:ascii="Arial" w:hAnsi="Arial" w:cs="Arial"/>
          <w:sz w:val="20"/>
          <w:szCs w:val="20"/>
        </w:rPr>
        <w:t xml:space="preserve"> (2005) Gene expression signature predicts lymphatic metastasis in squamous cell carcinoma of the oral cavity.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24</w:t>
      </w:r>
      <w:r w:rsidRPr="00083DE8">
        <w:rPr>
          <w:rFonts w:ascii="Arial" w:hAnsi="Arial" w:cs="Arial"/>
          <w:sz w:val="20"/>
          <w:szCs w:val="20"/>
        </w:rPr>
        <w:t>, 1244–1251.</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32. Charafe-Jauffret,E., Ginestier,C., Monville,F., Finetti,P., Adélaïde,J., Cervera,N., Fekairi,S., Xerri,L., Jacquemier,J., Birnbaum,D., </w:t>
      </w:r>
      <w:r w:rsidRPr="00083DE8">
        <w:rPr>
          <w:rFonts w:ascii="Arial" w:hAnsi="Arial" w:cs="Arial"/>
          <w:i/>
          <w:iCs/>
          <w:sz w:val="20"/>
          <w:szCs w:val="20"/>
        </w:rPr>
        <w:t>et al.</w:t>
      </w:r>
      <w:r w:rsidRPr="00083DE8">
        <w:rPr>
          <w:rFonts w:ascii="Arial" w:hAnsi="Arial" w:cs="Arial"/>
          <w:sz w:val="20"/>
          <w:szCs w:val="20"/>
        </w:rPr>
        <w:t xml:space="preserve"> (2006) Gene expression profiling of breast cell lines identifies potential new basal markers.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25</w:t>
      </w:r>
      <w:r w:rsidRPr="00083DE8">
        <w:rPr>
          <w:rFonts w:ascii="Arial" w:hAnsi="Arial" w:cs="Arial"/>
          <w:sz w:val="20"/>
          <w:szCs w:val="20"/>
        </w:rPr>
        <w:t>, 2273–2284.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33. Huang,D.W., Sherman,B.T. and Lempicki,R.A. (2008) Systematic and integrative analysis of large gene lists using DAVID bioinformatics resources. </w:t>
      </w:r>
      <w:r w:rsidRPr="00083DE8">
        <w:rPr>
          <w:rFonts w:ascii="Arial" w:hAnsi="Arial" w:cs="Arial"/>
          <w:i/>
          <w:iCs/>
          <w:sz w:val="20"/>
          <w:szCs w:val="20"/>
        </w:rPr>
        <w:t>Nat. Protocols</w:t>
      </w:r>
      <w:r w:rsidRPr="00083DE8">
        <w:rPr>
          <w:rFonts w:ascii="Arial" w:hAnsi="Arial" w:cs="Arial"/>
          <w:sz w:val="20"/>
          <w:szCs w:val="20"/>
        </w:rPr>
        <w:t xml:space="preserve">, </w:t>
      </w:r>
      <w:r w:rsidRPr="00083DE8">
        <w:rPr>
          <w:rFonts w:ascii="Arial" w:hAnsi="Arial" w:cs="Arial"/>
          <w:b/>
          <w:bCs/>
          <w:sz w:val="20"/>
          <w:szCs w:val="20"/>
        </w:rPr>
        <w:t>4</w:t>
      </w:r>
      <w:r w:rsidRPr="00083DE8">
        <w:rPr>
          <w:rFonts w:ascii="Arial" w:hAnsi="Arial" w:cs="Arial"/>
          <w:sz w:val="20"/>
          <w:szCs w:val="20"/>
        </w:rPr>
        <w:t>, 44–57.</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34. Gautier,L., Cope,L., Bolstad,B.M. and Irizarry,R.A. (2004) affy—analysis of Affymetrix GeneChip data at the probe level. </w:t>
      </w:r>
      <w:r w:rsidRPr="00083DE8">
        <w:rPr>
          <w:rFonts w:ascii="Arial" w:hAnsi="Arial" w:cs="Arial"/>
          <w:i/>
          <w:iCs/>
          <w:sz w:val="20"/>
          <w:szCs w:val="20"/>
        </w:rPr>
        <w:t>Bioinformatics</w:t>
      </w:r>
      <w:r w:rsidRPr="00083DE8">
        <w:rPr>
          <w:rFonts w:ascii="Arial" w:hAnsi="Arial" w:cs="Arial"/>
          <w:sz w:val="20"/>
          <w:szCs w:val="20"/>
        </w:rPr>
        <w:t xml:space="preserve">, </w:t>
      </w:r>
      <w:r w:rsidRPr="00083DE8">
        <w:rPr>
          <w:rFonts w:ascii="Arial" w:hAnsi="Arial" w:cs="Arial"/>
          <w:b/>
          <w:bCs/>
          <w:sz w:val="20"/>
          <w:szCs w:val="20"/>
        </w:rPr>
        <w:t>20</w:t>
      </w:r>
      <w:r w:rsidRPr="00083DE8">
        <w:rPr>
          <w:rFonts w:ascii="Arial" w:hAnsi="Arial" w:cs="Arial"/>
          <w:sz w:val="20"/>
          <w:szCs w:val="20"/>
        </w:rPr>
        <w:t>, 307–315.</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35. Bedi,U., Scheel,A.H., Hennion,M., Begus-Nahrmann,Y., Rüschoff,J. and Johnsen,S.A. (2014) SUPT6H controls estrogen receptor activity and cellular differentiation by multiple epigenomic mechanisms. </w:t>
      </w:r>
      <w:r w:rsidRPr="00083DE8">
        <w:rPr>
          <w:rFonts w:ascii="Arial" w:hAnsi="Arial" w:cs="Arial"/>
          <w:i/>
          <w:iCs/>
          <w:sz w:val="20"/>
          <w:szCs w:val="20"/>
        </w:rPr>
        <w:t>Oncogene</w:t>
      </w:r>
      <w:r w:rsidRPr="00083DE8">
        <w:rPr>
          <w:rFonts w:ascii="Arial" w:hAnsi="Arial" w:cs="Arial"/>
          <w:sz w:val="20"/>
          <w:szCs w:val="20"/>
        </w:rPr>
        <w:t>, 10.1038/onc.2013.558.</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36. Langmead,B. (2010) Aligning short sequencing reads with Bowtie. </w:t>
      </w:r>
      <w:r w:rsidRPr="00083DE8">
        <w:rPr>
          <w:rFonts w:ascii="Arial" w:hAnsi="Arial" w:cs="Arial"/>
          <w:i/>
          <w:iCs/>
          <w:sz w:val="20"/>
          <w:szCs w:val="20"/>
        </w:rPr>
        <w:t>Curr Protoc Bioinformatics</w:t>
      </w:r>
      <w:r w:rsidRPr="00083DE8">
        <w:rPr>
          <w:rFonts w:ascii="Arial" w:hAnsi="Arial" w:cs="Arial"/>
          <w:sz w:val="20"/>
          <w:szCs w:val="20"/>
        </w:rPr>
        <w:t xml:space="preserve">, </w:t>
      </w:r>
      <w:r w:rsidRPr="00083DE8">
        <w:rPr>
          <w:rFonts w:ascii="Arial" w:hAnsi="Arial" w:cs="Arial"/>
          <w:b/>
          <w:bCs/>
          <w:sz w:val="20"/>
          <w:szCs w:val="20"/>
        </w:rPr>
        <w:t>CHAPTER</w:t>
      </w:r>
      <w:r w:rsidRPr="00083DE8">
        <w:rPr>
          <w:rFonts w:ascii="Arial" w:hAnsi="Arial" w:cs="Arial"/>
          <w:sz w:val="20"/>
          <w:szCs w:val="20"/>
        </w:rPr>
        <w:t>, Unit-11.7.</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37. Zhang,Y., Liu,T., Meyer,C.A., Eeckhoute,J., Johnson,D.S., Bernstein,B.E., Nusbaum,C., Myers,R.M., Brown,M., Li,W., </w:t>
      </w:r>
      <w:r w:rsidRPr="00083DE8">
        <w:rPr>
          <w:rFonts w:ascii="Arial" w:hAnsi="Arial" w:cs="Arial"/>
          <w:i/>
          <w:iCs/>
          <w:sz w:val="20"/>
          <w:szCs w:val="20"/>
        </w:rPr>
        <w:t>et al.</w:t>
      </w:r>
      <w:r w:rsidRPr="00083DE8">
        <w:rPr>
          <w:rFonts w:ascii="Arial" w:hAnsi="Arial" w:cs="Arial"/>
          <w:sz w:val="20"/>
          <w:szCs w:val="20"/>
        </w:rPr>
        <w:t xml:space="preserve"> (2008) Model-based analysis of ChIP-Seq (MACS). </w:t>
      </w:r>
      <w:r w:rsidRPr="00083DE8">
        <w:rPr>
          <w:rFonts w:ascii="Arial" w:hAnsi="Arial" w:cs="Arial"/>
          <w:i/>
          <w:iCs/>
          <w:sz w:val="20"/>
          <w:szCs w:val="20"/>
        </w:rPr>
        <w:t>Genome Biol.</w:t>
      </w:r>
      <w:r w:rsidRPr="00083DE8">
        <w:rPr>
          <w:rFonts w:ascii="Arial" w:hAnsi="Arial" w:cs="Arial"/>
          <w:sz w:val="20"/>
          <w:szCs w:val="20"/>
        </w:rPr>
        <w:t xml:space="preserve">, </w:t>
      </w:r>
      <w:r w:rsidRPr="00083DE8">
        <w:rPr>
          <w:rFonts w:ascii="Arial" w:hAnsi="Arial" w:cs="Arial"/>
          <w:b/>
          <w:bCs/>
          <w:sz w:val="20"/>
          <w:szCs w:val="20"/>
        </w:rPr>
        <w:t>9</w:t>
      </w:r>
      <w:r w:rsidRPr="00083DE8">
        <w:rPr>
          <w:rFonts w:ascii="Arial" w:hAnsi="Arial" w:cs="Arial"/>
          <w:sz w:val="20"/>
          <w:szCs w:val="20"/>
        </w:rPr>
        <w:t>, R137.</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38. Thorvaldsdóttir,H., Robinson,J.T. and Mesirov,J.P. (2013) Integrative Genomics Viewer (IGV): high-performance genomics data visualization and exploration. </w:t>
      </w:r>
      <w:r w:rsidRPr="00083DE8">
        <w:rPr>
          <w:rFonts w:ascii="Arial" w:hAnsi="Arial" w:cs="Arial"/>
          <w:i/>
          <w:iCs/>
          <w:sz w:val="20"/>
          <w:szCs w:val="20"/>
        </w:rPr>
        <w:t>Brief. Bioinformatics</w:t>
      </w:r>
      <w:r w:rsidRPr="00083DE8">
        <w:rPr>
          <w:rFonts w:ascii="Arial" w:hAnsi="Arial" w:cs="Arial"/>
          <w:sz w:val="20"/>
          <w:szCs w:val="20"/>
        </w:rPr>
        <w:t xml:space="preserve">, </w:t>
      </w:r>
      <w:r w:rsidRPr="00083DE8">
        <w:rPr>
          <w:rFonts w:ascii="Arial" w:hAnsi="Arial" w:cs="Arial"/>
          <w:b/>
          <w:bCs/>
          <w:sz w:val="20"/>
          <w:szCs w:val="20"/>
        </w:rPr>
        <w:t>14</w:t>
      </w:r>
      <w:r w:rsidRPr="00083DE8">
        <w:rPr>
          <w:rFonts w:ascii="Arial" w:hAnsi="Arial" w:cs="Arial"/>
          <w:sz w:val="20"/>
          <w:szCs w:val="20"/>
        </w:rPr>
        <w:t>, 178–192.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39. Ramírez,F., Dündar,F., Diehl,S., Grüning,B.A. and Manke,T. (2014) deepTools: a flexible platform for exploring deep-sequencing data. </w:t>
      </w:r>
      <w:r w:rsidRPr="00083DE8">
        <w:rPr>
          <w:rFonts w:ascii="Arial" w:hAnsi="Arial" w:cs="Arial"/>
          <w:i/>
          <w:iCs/>
          <w:sz w:val="20"/>
          <w:szCs w:val="20"/>
        </w:rPr>
        <w:t>Nucl. Acids Res.</w:t>
      </w:r>
      <w:r w:rsidRPr="00083DE8">
        <w:rPr>
          <w:rFonts w:ascii="Arial" w:hAnsi="Arial" w:cs="Arial"/>
          <w:sz w:val="20"/>
          <w:szCs w:val="20"/>
        </w:rPr>
        <w:t>, 10.1093/nar/gku365.</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40. McLean,C.Y., Bristor,D., Hiller,M., Clarke,S.L., Schaar,B.T., Lowe,C.B., Wenger,A.M. and Bejerano,G. (2010) GREAT improves functional interpretation of cis-regulatory regions. </w:t>
      </w:r>
      <w:r w:rsidRPr="00083DE8">
        <w:rPr>
          <w:rFonts w:ascii="Arial" w:hAnsi="Arial" w:cs="Arial"/>
          <w:i/>
          <w:iCs/>
          <w:sz w:val="20"/>
          <w:szCs w:val="20"/>
        </w:rPr>
        <w:t>Nat. Biotechnol.</w:t>
      </w:r>
      <w:r w:rsidRPr="00083DE8">
        <w:rPr>
          <w:rFonts w:ascii="Arial" w:hAnsi="Arial" w:cs="Arial"/>
          <w:sz w:val="20"/>
          <w:szCs w:val="20"/>
        </w:rPr>
        <w:t xml:space="preserve">, </w:t>
      </w:r>
      <w:r w:rsidRPr="00083DE8">
        <w:rPr>
          <w:rFonts w:ascii="Arial" w:hAnsi="Arial" w:cs="Arial"/>
          <w:b/>
          <w:bCs/>
          <w:sz w:val="20"/>
          <w:szCs w:val="20"/>
        </w:rPr>
        <w:t>28</w:t>
      </w:r>
      <w:r w:rsidRPr="00083DE8">
        <w:rPr>
          <w:rFonts w:ascii="Arial" w:hAnsi="Arial" w:cs="Arial"/>
          <w:sz w:val="20"/>
          <w:szCs w:val="20"/>
        </w:rPr>
        <w:t>, 495–501.</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41. Ginestier,C., Cervera,N., Finetti,P., Esteyries,S., Esterni,B., Adélaïde,J., Xerri,L., Viens,P., Jacquemier,J., Charafe-Jauffret,E., </w:t>
      </w:r>
      <w:r w:rsidRPr="00083DE8">
        <w:rPr>
          <w:rFonts w:ascii="Arial" w:hAnsi="Arial" w:cs="Arial"/>
          <w:i/>
          <w:iCs/>
          <w:sz w:val="20"/>
          <w:szCs w:val="20"/>
        </w:rPr>
        <w:t>et al.</w:t>
      </w:r>
      <w:r w:rsidRPr="00083DE8">
        <w:rPr>
          <w:rFonts w:ascii="Arial" w:hAnsi="Arial" w:cs="Arial"/>
          <w:sz w:val="20"/>
          <w:szCs w:val="20"/>
        </w:rPr>
        <w:t xml:space="preserve"> (2006) Prognosis and gene expression profiling of 20q13-amplified breast cancers. </w:t>
      </w:r>
      <w:r w:rsidRPr="00083DE8">
        <w:rPr>
          <w:rFonts w:ascii="Arial" w:hAnsi="Arial" w:cs="Arial"/>
          <w:i/>
          <w:iCs/>
          <w:sz w:val="20"/>
          <w:szCs w:val="20"/>
        </w:rPr>
        <w:t>Clin. Cancer Res.</w:t>
      </w:r>
      <w:r w:rsidRPr="00083DE8">
        <w:rPr>
          <w:rFonts w:ascii="Arial" w:hAnsi="Arial" w:cs="Arial"/>
          <w:sz w:val="20"/>
          <w:szCs w:val="20"/>
        </w:rPr>
        <w:t xml:space="preserve">, </w:t>
      </w:r>
      <w:r w:rsidRPr="00083DE8">
        <w:rPr>
          <w:rFonts w:ascii="Arial" w:hAnsi="Arial" w:cs="Arial"/>
          <w:b/>
          <w:bCs/>
          <w:sz w:val="20"/>
          <w:szCs w:val="20"/>
        </w:rPr>
        <w:t>12</w:t>
      </w:r>
      <w:r w:rsidRPr="00083DE8">
        <w:rPr>
          <w:rFonts w:ascii="Arial" w:hAnsi="Arial" w:cs="Arial"/>
          <w:sz w:val="20"/>
          <w:szCs w:val="20"/>
        </w:rPr>
        <w:t>, 4533–4544.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42. Rickman,D.S., Millon,R., De Reynies,A., Thomas,E., Wasylyk,C., Muller,D., Abecassis,J. and Wasylyk,B. (2008) Prediction of future metastasis and molecular characterization of head and neck squamous-cell carcinoma based on transcriptome and genome analysis by microarrays.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27</w:t>
      </w:r>
      <w:r w:rsidRPr="00083DE8">
        <w:rPr>
          <w:rFonts w:ascii="Arial" w:hAnsi="Arial" w:cs="Arial"/>
          <w:sz w:val="20"/>
          <w:szCs w:val="20"/>
        </w:rPr>
        <w:t>, 6607–6622.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43. Mili,S., Moissoglu,K. and Macara,I.G. (2008) Genome-wide screen reveals APC-associated RNAs enriched in cell protrusions. </w:t>
      </w:r>
      <w:r w:rsidRPr="00083DE8">
        <w:rPr>
          <w:rFonts w:ascii="Arial" w:hAnsi="Arial" w:cs="Arial"/>
          <w:i/>
          <w:iCs/>
          <w:sz w:val="20"/>
          <w:szCs w:val="20"/>
        </w:rPr>
        <w:t>Nature</w:t>
      </w:r>
      <w:r w:rsidRPr="00083DE8">
        <w:rPr>
          <w:rFonts w:ascii="Arial" w:hAnsi="Arial" w:cs="Arial"/>
          <w:sz w:val="20"/>
          <w:szCs w:val="20"/>
        </w:rPr>
        <w:t xml:space="preserve">, </w:t>
      </w:r>
      <w:r w:rsidRPr="00083DE8">
        <w:rPr>
          <w:rFonts w:ascii="Arial" w:hAnsi="Arial" w:cs="Arial"/>
          <w:b/>
          <w:bCs/>
          <w:sz w:val="20"/>
          <w:szCs w:val="20"/>
        </w:rPr>
        <w:t>453</w:t>
      </w:r>
      <w:r w:rsidRPr="00083DE8">
        <w:rPr>
          <w:rFonts w:ascii="Arial" w:hAnsi="Arial" w:cs="Arial"/>
          <w:sz w:val="20"/>
          <w:szCs w:val="20"/>
        </w:rPr>
        <w:t>, 115–119.</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44. Nikolsky,Y., Sviridov,E., Yao,J., Dosymbekov,D., Ustyansky,V., Kaznacheev,V., Dezso,Z., Mulvey,L., Macconaill,L.E., Winckler,W., </w:t>
      </w:r>
      <w:r w:rsidRPr="00083DE8">
        <w:rPr>
          <w:rFonts w:ascii="Arial" w:hAnsi="Arial" w:cs="Arial"/>
          <w:i/>
          <w:iCs/>
          <w:sz w:val="20"/>
          <w:szCs w:val="20"/>
        </w:rPr>
        <w:t>et al.</w:t>
      </w:r>
      <w:r w:rsidRPr="00083DE8">
        <w:rPr>
          <w:rFonts w:ascii="Arial" w:hAnsi="Arial" w:cs="Arial"/>
          <w:sz w:val="20"/>
          <w:szCs w:val="20"/>
        </w:rPr>
        <w:t xml:space="preserve"> (2008) Genome-wide functional synergy between amplified and mutated genes in human breast cancer.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68</w:t>
      </w:r>
      <w:r w:rsidRPr="00083DE8">
        <w:rPr>
          <w:rFonts w:ascii="Arial" w:hAnsi="Arial" w:cs="Arial"/>
          <w:sz w:val="20"/>
          <w:szCs w:val="20"/>
        </w:rPr>
        <w:t>, 9532–9540.</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45. Perez,C.A., Ott,J., Mays,D.J. and Pietenpol,J.A. (2007) p63 consensus DNA-binding site: identification, analysis and application into a p63MH algorithm. </w:t>
      </w:r>
      <w:r w:rsidRPr="00083DE8">
        <w:rPr>
          <w:rFonts w:ascii="Arial" w:hAnsi="Arial" w:cs="Arial"/>
          <w:i/>
          <w:iCs/>
          <w:sz w:val="20"/>
          <w:szCs w:val="20"/>
        </w:rPr>
        <w:t>Oncogene</w:t>
      </w:r>
      <w:r w:rsidRPr="00083DE8">
        <w:rPr>
          <w:rFonts w:ascii="Arial" w:hAnsi="Arial" w:cs="Arial"/>
          <w:sz w:val="20"/>
          <w:szCs w:val="20"/>
        </w:rPr>
        <w:t xml:space="preserve">, </w:t>
      </w:r>
      <w:r w:rsidRPr="00083DE8">
        <w:rPr>
          <w:rFonts w:ascii="Arial" w:hAnsi="Arial" w:cs="Arial"/>
          <w:b/>
          <w:bCs/>
          <w:sz w:val="20"/>
          <w:szCs w:val="20"/>
        </w:rPr>
        <w:t>26</w:t>
      </w:r>
      <w:r w:rsidRPr="00083DE8">
        <w:rPr>
          <w:rFonts w:ascii="Arial" w:hAnsi="Arial" w:cs="Arial"/>
          <w:sz w:val="20"/>
          <w:szCs w:val="20"/>
        </w:rPr>
        <w:t>, 7363–7370.</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lastRenderedPageBreak/>
        <w:t xml:space="preserve">46. Amit,I., Citri,A., Shay,T., Lu,Y., Katz,M., Zhang,F., Tarcic,G., Siwak,D., Lahad,J., Jacob-Hirsch,J., </w:t>
      </w:r>
      <w:r w:rsidRPr="00083DE8">
        <w:rPr>
          <w:rFonts w:ascii="Arial" w:hAnsi="Arial" w:cs="Arial"/>
          <w:i/>
          <w:iCs/>
          <w:sz w:val="20"/>
          <w:szCs w:val="20"/>
        </w:rPr>
        <w:t>et al.</w:t>
      </w:r>
      <w:r w:rsidRPr="00083DE8">
        <w:rPr>
          <w:rFonts w:ascii="Arial" w:hAnsi="Arial" w:cs="Arial"/>
          <w:sz w:val="20"/>
          <w:szCs w:val="20"/>
        </w:rPr>
        <w:t xml:space="preserve"> (2007) A module of negative feedback regulators defines growth factor signaling. </w:t>
      </w:r>
      <w:r w:rsidRPr="00083DE8">
        <w:rPr>
          <w:rFonts w:ascii="Arial" w:hAnsi="Arial" w:cs="Arial"/>
          <w:i/>
          <w:iCs/>
          <w:sz w:val="20"/>
          <w:szCs w:val="20"/>
        </w:rPr>
        <w:t>Nat. Genet.</w:t>
      </w:r>
      <w:r w:rsidRPr="00083DE8">
        <w:rPr>
          <w:rFonts w:ascii="Arial" w:hAnsi="Arial" w:cs="Arial"/>
          <w:sz w:val="20"/>
          <w:szCs w:val="20"/>
        </w:rPr>
        <w:t xml:space="preserve">, </w:t>
      </w:r>
      <w:r w:rsidRPr="00083DE8">
        <w:rPr>
          <w:rFonts w:ascii="Arial" w:hAnsi="Arial" w:cs="Arial"/>
          <w:b/>
          <w:bCs/>
          <w:sz w:val="20"/>
          <w:szCs w:val="20"/>
        </w:rPr>
        <w:t>39</w:t>
      </w:r>
      <w:r w:rsidRPr="00083DE8">
        <w:rPr>
          <w:rFonts w:ascii="Arial" w:hAnsi="Arial" w:cs="Arial"/>
          <w:sz w:val="20"/>
          <w:szCs w:val="20"/>
        </w:rPr>
        <w:t>, 503–512.</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47. Douglas,D., Hsu,J.H.-R., Hung,L., Cooper,A., Abdueva,D., van Doorninck,J., Peng,G., Shimada,H., Triche,T.J. and Lawlor,E.R. (2008) BMI-1 promotes ewing sarcoma tumorigenicity independent of CDKN2A repression.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68</w:t>
      </w:r>
      <w:r w:rsidRPr="00083DE8">
        <w:rPr>
          <w:rFonts w:ascii="Arial" w:hAnsi="Arial" w:cs="Arial"/>
          <w:sz w:val="20"/>
          <w:szCs w:val="20"/>
        </w:rPr>
        <w:t>, 6507–6515.</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48. Heller,G., Schmidt,W.M., Ziegler,B., Holzer,S., Müllauer,L., Bilban,M., Zielinski,C.C., Drach,J. and Zöchbauer-Müller,S. (2008) Genome-wide transcriptional response to 5-aza-2’-deoxycytidine and trichostatin a in multiple myeloma cells.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68</w:t>
      </w:r>
      <w:r w:rsidRPr="00083DE8">
        <w:rPr>
          <w:rFonts w:ascii="Arial" w:hAnsi="Arial" w:cs="Arial"/>
          <w:sz w:val="20"/>
          <w:szCs w:val="20"/>
        </w:rPr>
        <w:t>, 44–54.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49. Onder,T.T., Gupta,P.B., Mani,S.A., Yang,J., Lander,E.S. and Weinberg,R.A. (2008) Loss of E-cadherin promotes metastasis via multiple downstream transcriptional pathways. </w:t>
      </w:r>
      <w:r w:rsidRPr="00083DE8">
        <w:rPr>
          <w:rFonts w:ascii="Arial" w:hAnsi="Arial" w:cs="Arial"/>
          <w:i/>
          <w:iCs/>
          <w:sz w:val="20"/>
          <w:szCs w:val="20"/>
        </w:rPr>
        <w:t>Cancer Res.</w:t>
      </w:r>
      <w:r w:rsidRPr="00083DE8">
        <w:rPr>
          <w:rFonts w:ascii="Arial" w:hAnsi="Arial" w:cs="Arial"/>
          <w:sz w:val="20"/>
          <w:szCs w:val="20"/>
        </w:rPr>
        <w:t xml:space="preserve">, </w:t>
      </w:r>
      <w:r w:rsidRPr="00083DE8">
        <w:rPr>
          <w:rFonts w:ascii="Arial" w:hAnsi="Arial" w:cs="Arial"/>
          <w:b/>
          <w:bCs/>
          <w:sz w:val="20"/>
          <w:szCs w:val="20"/>
        </w:rPr>
        <w:t>68</w:t>
      </w:r>
      <w:r w:rsidRPr="00083DE8">
        <w:rPr>
          <w:rFonts w:ascii="Arial" w:hAnsi="Arial" w:cs="Arial"/>
          <w:sz w:val="20"/>
          <w:szCs w:val="20"/>
        </w:rPr>
        <w:t>, 3645–3654.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50. Kari,V., Shchebet,A., Neumann,H. and Johnsen,S.A. (2011) The H2B ubiquitin ligase RNF40 cooperates with SUPT16H to induce dynamic changes in chromatin structure during DNA double-strand break repair. </w:t>
      </w:r>
      <w:r w:rsidRPr="00083DE8">
        <w:rPr>
          <w:rFonts w:ascii="Arial" w:hAnsi="Arial" w:cs="Arial"/>
          <w:i/>
          <w:iCs/>
          <w:sz w:val="20"/>
          <w:szCs w:val="20"/>
        </w:rPr>
        <w:t>Cell Cycle</w:t>
      </w:r>
      <w:r w:rsidRPr="00083DE8">
        <w:rPr>
          <w:rFonts w:ascii="Arial" w:hAnsi="Arial" w:cs="Arial"/>
          <w:sz w:val="20"/>
          <w:szCs w:val="20"/>
        </w:rPr>
        <w:t xml:space="preserve">, </w:t>
      </w:r>
      <w:r w:rsidRPr="00083DE8">
        <w:rPr>
          <w:rFonts w:ascii="Arial" w:hAnsi="Arial" w:cs="Arial"/>
          <w:b/>
          <w:bCs/>
          <w:sz w:val="20"/>
          <w:szCs w:val="20"/>
        </w:rPr>
        <w:t>10</w:t>
      </w:r>
      <w:r w:rsidRPr="00083DE8">
        <w:rPr>
          <w:rFonts w:ascii="Arial" w:hAnsi="Arial" w:cs="Arial"/>
          <w:sz w:val="20"/>
          <w:szCs w:val="20"/>
        </w:rPr>
        <w:t>, 3495–3504.</w:t>
      </w:r>
    </w:p>
    <w:p w:rsidR="00F44C4C" w:rsidRPr="00083DE8" w:rsidRDefault="00F44C4C" w:rsidP="00062BCF">
      <w:pPr>
        <w:pStyle w:val="Bibliography"/>
        <w:ind w:left="0" w:firstLine="0"/>
        <w:rPr>
          <w:rFonts w:ascii="Arial" w:hAnsi="Arial" w:cs="Arial"/>
          <w:sz w:val="20"/>
          <w:szCs w:val="20"/>
        </w:rPr>
      </w:pPr>
      <w:r w:rsidRPr="00083DE8">
        <w:rPr>
          <w:rFonts w:ascii="Arial" w:hAnsi="Arial" w:cs="Arial"/>
          <w:sz w:val="20"/>
          <w:szCs w:val="20"/>
        </w:rPr>
        <w:t xml:space="preserve">51. Grimshaw,M.J., Cooper,L., Papazisis,K., Coleman,J.A., Bohnenkamp,H.R., Chiapero-Stanke,L., Taylor-Papadimitriou,J. and Burchell,J.M. (2008) Mammosphere culture of metastatic breast cancer cells enriches for tumorigenic breast cancer cells. </w:t>
      </w:r>
      <w:r w:rsidRPr="00083DE8">
        <w:rPr>
          <w:rFonts w:ascii="Arial" w:hAnsi="Arial" w:cs="Arial"/>
          <w:i/>
          <w:iCs/>
          <w:sz w:val="20"/>
          <w:szCs w:val="20"/>
        </w:rPr>
        <w:t>Breast Cancer Research</w:t>
      </w:r>
      <w:r w:rsidRPr="00083DE8">
        <w:rPr>
          <w:rFonts w:ascii="Arial" w:hAnsi="Arial" w:cs="Arial"/>
          <w:sz w:val="20"/>
          <w:szCs w:val="20"/>
        </w:rPr>
        <w:t xml:space="preserve">, </w:t>
      </w:r>
      <w:r w:rsidRPr="00083DE8">
        <w:rPr>
          <w:rFonts w:ascii="Arial" w:hAnsi="Arial" w:cs="Arial"/>
          <w:b/>
          <w:bCs/>
          <w:sz w:val="20"/>
          <w:szCs w:val="20"/>
        </w:rPr>
        <w:t>10</w:t>
      </w:r>
      <w:r w:rsidRPr="00083DE8">
        <w:rPr>
          <w:rFonts w:ascii="Arial" w:hAnsi="Arial" w:cs="Arial"/>
          <w:sz w:val="20"/>
          <w:szCs w:val="20"/>
        </w:rPr>
        <w:t>, R52.</w:t>
      </w:r>
    </w:p>
    <w:p w:rsidR="00187F45" w:rsidRPr="00083DE8" w:rsidRDefault="005D11BD" w:rsidP="00F44C4C">
      <w:pPr>
        <w:spacing w:line="240" w:lineRule="auto"/>
        <w:jc w:val="both"/>
        <w:rPr>
          <w:rFonts w:ascii="Arial" w:eastAsia="Times New Roman" w:hAnsi="Arial" w:cs="Arial"/>
          <w:b/>
          <w:sz w:val="20"/>
          <w:szCs w:val="20"/>
        </w:rPr>
      </w:pPr>
      <w:r w:rsidRPr="00083DE8">
        <w:rPr>
          <w:rFonts w:ascii="Arial" w:eastAsia="Times New Roman" w:hAnsi="Arial" w:cs="Arial"/>
          <w:b/>
          <w:sz w:val="20"/>
          <w:szCs w:val="20"/>
        </w:rPr>
        <w:fldChar w:fldCharType="end"/>
      </w:r>
      <w:r w:rsidRPr="00083DE8">
        <w:rPr>
          <w:rFonts w:ascii="Arial" w:eastAsia="Times New Roman" w:hAnsi="Arial" w:cs="Arial"/>
          <w:b/>
          <w:sz w:val="20"/>
          <w:szCs w:val="20"/>
        </w:rPr>
        <w:t>SUPPORTING FIGURES LEGENDS</w:t>
      </w:r>
    </w:p>
    <w:p w:rsidR="00C87E0B" w:rsidRPr="00083DE8" w:rsidRDefault="00C87E0B" w:rsidP="00F44C4C">
      <w:pPr>
        <w:spacing w:line="240" w:lineRule="auto"/>
        <w:jc w:val="both"/>
        <w:rPr>
          <w:rFonts w:ascii="Arial" w:hAnsi="Arial" w:cs="Arial"/>
          <w:sz w:val="20"/>
          <w:szCs w:val="20"/>
          <w:lang w:val="en-IN"/>
        </w:rPr>
      </w:pPr>
      <w:r w:rsidRPr="00083DE8">
        <w:rPr>
          <w:rFonts w:ascii="Arial" w:hAnsi="Arial" w:cs="Arial"/>
          <w:b/>
          <w:sz w:val="20"/>
          <w:szCs w:val="20"/>
        </w:rPr>
        <w:t>Fig</w:t>
      </w:r>
      <w:r w:rsidR="005D5C00" w:rsidRPr="00083DE8">
        <w:rPr>
          <w:rFonts w:ascii="Arial" w:hAnsi="Arial" w:cs="Arial"/>
          <w:b/>
          <w:sz w:val="20"/>
          <w:szCs w:val="20"/>
        </w:rPr>
        <w:t>ure</w:t>
      </w:r>
      <w:r w:rsidRPr="00083DE8">
        <w:rPr>
          <w:rFonts w:ascii="Arial" w:hAnsi="Arial" w:cs="Arial"/>
          <w:b/>
          <w:sz w:val="20"/>
          <w:szCs w:val="20"/>
        </w:rPr>
        <w:t xml:space="preserve"> </w:t>
      </w:r>
      <w:r w:rsidR="005D5C00" w:rsidRPr="00083DE8">
        <w:rPr>
          <w:rFonts w:ascii="Arial" w:hAnsi="Arial" w:cs="Arial"/>
          <w:b/>
          <w:sz w:val="20"/>
          <w:szCs w:val="20"/>
        </w:rPr>
        <w:t>S</w:t>
      </w:r>
      <w:r w:rsidRPr="00083DE8">
        <w:rPr>
          <w:rFonts w:ascii="Arial" w:hAnsi="Arial" w:cs="Arial"/>
          <w:b/>
          <w:sz w:val="20"/>
          <w:szCs w:val="20"/>
        </w:rPr>
        <w:t xml:space="preserve">1. </w:t>
      </w:r>
      <w:r w:rsidR="000E2732" w:rsidRPr="00083DE8">
        <w:rPr>
          <w:rFonts w:ascii="Arial" w:hAnsi="Arial" w:cs="Arial"/>
          <w:sz w:val="20"/>
          <w:szCs w:val="20"/>
          <w:lang w:val="en-IN"/>
        </w:rPr>
        <w:t xml:space="preserve">(A) </w:t>
      </w:r>
      <w:r w:rsidRPr="00083DE8">
        <w:rPr>
          <w:rFonts w:ascii="Arial" w:hAnsi="Arial" w:cs="Arial"/>
          <w:sz w:val="20"/>
          <w:szCs w:val="20"/>
          <w:lang w:val="en-IN"/>
        </w:rPr>
        <w:t xml:space="preserve">Graphical representation of </w:t>
      </w:r>
      <w:r w:rsidR="000E2732" w:rsidRPr="00083DE8">
        <w:rPr>
          <w:rFonts w:ascii="Arial" w:hAnsi="Arial" w:cs="Arial"/>
          <w:sz w:val="20"/>
          <w:szCs w:val="20"/>
          <w:lang w:val="en-IN"/>
        </w:rPr>
        <w:t xml:space="preserve">EMT and stem cell-related </w:t>
      </w:r>
      <w:r w:rsidRPr="00083DE8">
        <w:rPr>
          <w:rFonts w:ascii="Arial" w:hAnsi="Arial" w:cs="Arial"/>
          <w:sz w:val="20"/>
          <w:szCs w:val="20"/>
          <w:lang w:val="en-IN"/>
        </w:rPr>
        <w:t xml:space="preserve">pathway regulation by </w:t>
      </w:r>
      <w:r w:rsidR="000E2732" w:rsidRPr="00083DE8">
        <w:rPr>
          <w:rFonts w:ascii="Arial" w:hAnsi="Arial" w:cs="Arial"/>
          <w:sz w:val="20"/>
          <w:szCs w:val="20"/>
          <w:lang w:val="en-IN"/>
        </w:rPr>
        <w:t>si</w:t>
      </w:r>
      <w:r w:rsidRPr="00083DE8">
        <w:rPr>
          <w:rFonts w:ascii="Arial" w:hAnsi="Arial" w:cs="Arial"/>
          <w:sz w:val="20"/>
          <w:szCs w:val="20"/>
          <w:lang w:val="en-IN"/>
        </w:rPr>
        <w:t xml:space="preserve">BRD4 </w:t>
      </w:r>
      <w:r w:rsidR="000E2732" w:rsidRPr="00083DE8">
        <w:rPr>
          <w:rFonts w:ascii="Arial" w:hAnsi="Arial" w:cs="Arial"/>
          <w:sz w:val="20"/>
          <w:szCs w:val="20"/>
          <w:lang w:val="en-IN"/>
        </w:rPr>
        <w:t xml:space="preserve">and JQ1 </w:t>
      </w:r>
      <w:r w:rsidRPr="00083DE8">
        <w:rPr>
          <w:rFonts w:ascii="Arial" w:hAnsi="Arial" w:cs="Arial"/>
          <w:sz w:val="20"/>
          <w:szCs w:val="20"/>
          <w:lang w:val="en-IN"/>
        </w:rPr>
        <w:t>from GSEA analys</w:t>
      </w:r>
      <w:r w:rsidR="005D5C00" w:rsidRPr="00083DE8">
        <w:rPr>
          <w:rFonts w:ascii="Arial" w:hAnsi="Arial" w:cs="Arial"/>
          <w:sz w:val="20"/>
          <w:szCs w:val="20"/>
          <w:lang w:val="en-IN"/>
        </w:rPr>
        <w:t>e</w:t>
      </w:r>
      <w:r w:rsidRPr="00083DE8">
        <w:rPr>
          <w:rFonts w:ascii="Arial" w:hAnsi="Arial" w:cs="Arial"/>
          <w:sz w:val="20"/>
          <w:szCs w:val="20"/>
          <w:lang w:val="en-IN"/>
        </w:rPr>
        <w:t>s.</w:t>
      </w:r>
      <w:r w:rsidR="000E2732" w:rsidRPr="00083DE8">
        <w:rPr>
          <w:rFonts w:ascii="Arial" w:hAnsi="Arial" w:cs="Arial"/>
          <w:sz w:val="20"/>
          <w:szCs w:val="20"/>
          <w:lang w:val="en-IN"/>
        </w:rPr>
        <w:t xml:space="preserve"> (</w:t>
      </w:r>
      <w:r w:rsidR="00F7114F" w:rsidRPr="00083DE8">
        <w:rPr>
          <w:rFonts w:ascii="Arial" w:hAnsi="Arial" w:cs="Arial"/>
          <w:sz w:val="20"/>
          <w:szCs w:val="20"/>
          <w:lang w:val="en-IN"/>
        </w:rPr>
        <w:t>B, C</w:t>
      </w:r>
      <w:r w:rsidR="000E2732" w:rsidRPr="00083DE8">
        <w:rPr>
          <w:rFonts w:ascii="Arial" w:hAnsi="Arial" w:cs="Arial"/>
          <w:sz w:val="20"/>
          <w:szCs w:val="20"/>
          <w:lang w:val="en-IN"/>
        </w:rPr>
        <w:t xml:space="preserve">) Top 50 pathways regulated by siBRD4 </w:t>
      </w:r>
      <w:r w:rsidR="00F7114F" w:rsidRPr="00083DE8">
        <w:rPr>
          <w:rFonts w:ascii="Arial" w:hAnsi="Arial" w:cs="Arial"/>
          <w:sz w:val="20"/>
          <w:szCs w:val="20"/>
          <w:lang w:val="en-IN"/>
        </w:rPr>
        <w:t>(B</w:t>
      </w:r>
      <w:r w:rsidR="000E2732" w:rsidRPr="00083DE8">
        <w:rPr>
          <w:rFonts w:ascii="Arial" w:hAnsi="Arial" w:cs="Arial"/>
          <w:sz w:val="20"/>
          <w:szCs w:val="20"/>
          <w:lang w:val="en-IN"/>
        </w:rPr>
        <w:t>) and JQ1 (</w:t>
      </w:r>
      <w:r w:rsidR="00F7114F" w:rsidRPr="00083DE8">
        <w:rPr>
          <w:rFonts w:ascii="Arial" w:hAnsi="Arial" w:cs="Arial"/>
          <w:sz w:val="20"/>
          <w:szCs w:val="20"/>
          <w:lang w:val="en-IN"/>
        </w:rPr>
        <w:t>C</w:t>
      </w:r>
      <w:r w:rsidR="000E2732" w:rsidRPr="00083DE8">
        <w:rPr>
          <w:rFonts w:ascii="Arial" w:hAnsi="Arial" w:cs="Arial"/>
          <w:sz w:val="20"/>
          <w:szCs w:val="20"/>
          <w:lang w:val="en-IN"/>
        </w:rPr>
        <w:t xml:space="preserve">) from GSEA </w:t>
      </w:r>
      <w:r w:rsidR="005D5C00" w:rsidRPr="00083DE8">
        <w:rPr>
          <w:rFonts w:ascii="Arial" w:hAnsi="Arial" w:cs="Arial"/>
          <w:sz w:val="20"/>
          <w:szCs w:val="20"/>
          <w:lang w:val="en-IN"/>
        </w:rPr>
        <w:t>analyses which are</w:t>
      </w:r>
      <w:r w:rsidR="000E2732" w:rsidRPr="00083DE8">
        <w:rPr>
          <w:rFonts w:ascii="Arial" w:hAnsi="Arial" w:cs="Arial"/>
          <w:sz w:val="20"/>
          <w:szCs w:val="20"/>
          <w:lang w:val="en-IN"/>
        </w:rPr>
        <w:t xml:space="preserve"> significant with FDR q-value ≤ 0.05. ES – Enrichment score. NES – Normalized Enrichment score. </w:t>
      </w:r>
      <w:proofErr w:type="gramStart"/>
      <w:r w:rsidR="000E2732" w:rsidRPr="00083DE8">
        <w:rPr>
          <w:rFonts w:ascii="Arial" w:hAnsi="Arial" w:cs="Arial"/>
          <w:sz w:val="20"/>
          <w:szCs w:val="20"/>
          <w:lang w:val="en-IN"/>
        </w:rPr>
        <w:t>NOM p-</w:t>
      </w:r>
      <w:proofErr w:type="spellStart"/>
      <w:r w:rsidR="000E2732" w:rsidRPr="00083DE8">
        <w:rPr>
          <w:rFonts w:ascii="Arial" w:hAnsi="Arial" w:cs="Arial"/>
          <w:sz w:val="20"/>
          <w:szCs w:val="20"/>
          <w:lang w:val="en-IN"/>
        </w:rPr>
        <w:t>val</w:t>
      </w:r>
      <w:proofErr w:type="spellEnd"/>
      <w:r w:rsidR="000E2732" w:rsidRPr="00083DE8">
        <w:rPr>
          <w:rFonts w:ascii="Arial" w:hAnsi="Arial" w:cs="Arial"/>
          <w:sz w:val="20"/>
          <w:szCs w:val="20"/>
          <w:lang w:val="en-IN"/>
        </w:rPr>
        <w:t xml:space="preserve"> – Nominal p-value.</w:t>
      </w:r>
      <w:proofErr w:type="gramEnd"/>
      <w:r w:rsidR="000E2732" w:rsidRPr="00083DE8">
        <w:rPr>
          <w:rFonts w:ascii="Arial" w:hAnsi="Arial" w:cs="Arial"/>
          <w:sz w:val="20"/>
          <w:szCs w:val="20"/>
          <w:lang w:val="en-IN"/>
        </w:rPr>
        <w:t xml:space="preserve"> Highlighted pathways represent EMT and stem cell-related pathways. </w:t>
      </w:r>
      <w:r w:rsidR="00F7114F" w:rsidRPr="00083DE8">
        <w:rPr>
          <w:rFonts w:ascii="Arial" w:hAnsi="Arial" w:cs="Arial"/>
          <w:sz w:val="20"/>
          <w:szCs w:val="20"/>
          <w:lang w:val="en-IN"/>
        </w:rPr>
        <w:t xml:space="preserve">(D) Gene ontology (DAVID) analyses showing the significant pathways with FDR q-value ≤ 0.05. Enrichment scores are mentioned for each cluster denoting the overlapping pathways. Highlighted pathways represent epithelial and Extracellular matrix-related pathways. </w:t>
      </w:r>
      <w:r w:rsidR="00B77A2C" w:rsidRPr="00083DE8">
        <w:rPr>
          <w:rFonts w:ascii="Arial" w:hAnsi="Arial" w:cs="Arial"/>
          <w:sz w:val="20"/>
          <w:szCs w:val="20"/>
          <w:lang w:val="en-IN"/>
        </w:rPr>
        <w:t xml:space="preserve">(E, F) Epithelial genes regulated by BRD4 siRNA (E) and JQ1 and OTX015 (F) in MCF12A cells were confirmed by qPCR and denoted as "Rel. mRNA levels" compared to RPLP0 expression levels. Data are represented as mean ± standard deviation. n=3. </w:t>
      </w:r>
      <w:proofErr w:type="gramStart"/>
      <w:r w:rsidR="00B77A2C" w:rsidRPr="00083DE8">
        <w:rPr>
          <w:rFonts w:ascii="Arial" w:hAnsi="Arial" w:cs="Arial"/>
          <w:sz w:val="20"/>
          <w:szCs w:val="20"/>
          <w:lang w:val="en-IN"/>
        </w:rPr>
        <w:t>***p ≤ 0.001, **p ≤ 0.01, *p ≤ 0.05.</w:t>
      </w:r>
      <w:proofErr w:type="gramEnd"/>
      <w:r w:rsidR="00B77A2C" w:rsidRPr="00083DE8">
        <w:rPr>
          <w:rFonts w:ascii="Arial" w:hAnsi="Arial" w:cs="Arial"/>
          <w:sz w:val="20"/>
          <w:szCs w:val="20"/>
          <w:lang w:val="en-IN"/>
        </w:rPr>
        <w:t xml:space="preserve"> (G and H) Knockdown of BRD4 (siBRD4) (G) or JQ1/OTX015 treatment (H) in MCF12A cells results in decrease in epithelial marker, ZO-1 and increase in mesenchymal marker, Vimentin verified by Western Blot analyses of whole cell protein lysates. BRD4 knockdown efficiency is verified by BRD4 antibody and all the transcript variants of BRD4 are shown along with the molecular weight in </w:t>
      </w:r>
      <w:proofErr w:type="spellStart"/>
      <w:r w:rsidR="00B77A2C" w:rsidRPr="00083DE8">
        <w:rPr>
          <w:rFonts w:ascii="Arial" w:hAnsi="Arial" w:cs="Arial"/>
          <w:sz w:val="20"/>
          <w:szCs w:val="20"/>
          <w:lang w:val="en-IN"/>
        </w:rPr>
        <w:t>kilodaltons</w:t>
      </w:r>
      <w:proofErr w:type="spellEnd"/>
      <w:r w:rsidR="00B77A2C" w:rsidRPr="00083DE8">
        <w:rPr>
          <w:rFonts w:ascii="Arial" w:hAnsi="Arial" w:cs="Arial"/>
          <w:sz w:val="20"/>
          <w:szCs w:val="20"/>
          <w:lang w:val="en-IN"/>
        </w:rPr>
        <w:t xml:space="preserve"> (</w:t>
      </w:r>
      <w:proofErr w:type="spellStart"/>
      <w:r w:rsidR="00B77A2C" w:rsidRPr="00083DE8">
        <w:rPr>
          <w:rFonts w:ascii="Arial" w:hAnsi="Arial" w:cs="Arial"/>
          <w:sz w:val="20"/>
          <w:szCs w:val="20"/>
          <w:lang w:val="en-IN"/>
        </w:rPr>
        <w:t>kDa</w:t>
      </w:r>
      <w:proofErr w:type="spellEnd"/>
      <w:r w:rsidR="00B77A2C" w:rsidRPr="00083DE8">
        <w:rPr>
          <w:rFonts w:ascii="Arial" w:hAnsi="Arial" w:cs="Arial"/>
          <w:sz w:val="20"/>
          <w:szCs w:val="20"/>
          <w:lang w:val="en-IN"/>
        </w:rPr>
        <w:t xml:space="preserve">). HSC70 is used as a loading control. </w:t>
      </w:r>
      <w:proofErr w:type="spellStart"/>
      <w:proofErr w:type="gramStart"/>
      <w:r w:rsidR="00B77A2C" w:rsidRPr="00083DE8">
        <w:rPr>
          <w:rFonts w:ascii="Arial" w:hAnsi="Arial" w:cs="Arial"/>
          <w:sz w:val="20"/>
          <w:szCs w:val="20"/>
          <w:lang w:val="en-IN"/>
        </w:rPr>
        <w:t>siCont</w:t>
      </w:r>
      <w:proofErr w:type="spellEnd"/>
      <w:proofErr w:type="gramEnd"/>
      <w:r w:rsidR="00B77A2C" w:rsidRPr="00083DE8">
        <w:rPr>
          <w:rFonts w:ascii="Arial" w:hAnsi="Arial" w:cs="Arial"/>
          <w:sz w:val="20"/>
          <w:szCs w:val="20"/>
          <w:lang w:val="en-IN"/>
        </w:rPr>
        <w:t xml:space="preserve"> represents negative control siRNA treated sample. DMSO refers to the vehicle treated sample. (I and J) Trans-well migration assay in MCF12A cells with crystal violet staining indicates increase in migration upon BRD4 knockdown (siBRD4) (I) or JQ1/OTX015 treatment (J). (K and L) Pictures showing mammospheres showed increase with the knockdown (K) or JQ1/OTX015 treatment (L) in MCF10A cells. </w:t>
      </w:r>
    </w:p>
    <w:p w:rsidR="00B77A2C" w:rsidRPr="00083DE8" w:rsidRDefault="00B77A2C" w:rsidP="00F44C4C">
      <w:pPr>
        <w:spacing w:line="240" w:lineRule="auto"/>
        <w:jc w:val="both"/>
        <w:rPr>
          <w:rFonts w:ascii="Arial" w:hAnsi="Arial" w:cs="Arial"/>
          <w:sz w:val="20"/>
          <w:szCs w:val="20"/>
          <w:lang w:val="en-IN"/>
        </w:rPr>
      </w:pPr>
      <w:r w:rsidRPr="00083DE8">
        <w:rPr>
          <w:rFonts w:ascii="Arial" w:hAnsi="Arial" w:cs="Arial"/>
          <w:b/>
          <w:sz w:val="20"/>
          <w:szCs w:val="20"/>
        </w:rPr>
        <w:t xml:space="preserve">Figure S2. </w:t>
      </w:r>
      <w:r w:rsidRPr="00083DE8">
        <w:rPr>
          <w:rFonts w:ascii="Arial" w:hAnsi="Arial" w:cs="Arial"/>
          <w:sz w:val="20"/>
          <w:szCs w:val="20"/>
          <w:lang w:val="en-IN"/>
        </w:rPr>
        <w:t>(A</w:t>
      </w:r>
      <w:r w:rsidR="00F669E3" w:rsidRPr="00083DE8">
        <w:rPr>
          <w:rFonts w:ascii="Arial" w:hAnsi="Arial" w:cs="Arial"/>
          <w:sz w:val="20"/>
          <w:szCs w:val="20"/>
          <w:lang w:val="en-IN"/>
        </w:rPr>
        <w:t>, C</w:t>
      </w:r>
      <w:r w:rsidRPr="00083DE8">
        <w:rPr>
          <w:rFonts w:ascii="Arial" w:hAnsi="Arial" w:cs="Arial"/>
          <w:sz w:val="20"/>
          <w:szCs w:val="20"/>
          <w:lang w:val="en-IN"/>
        </w:rPr>
        <w:t xml:space="preserve">) </w:t>
      </w:r>
      <w:r w:rsidRPr="00083DE8">
        <w:rPr>
          <w:rFonts w:ascii="Arial" w:hAnsi="Arial" w:cs="Arial"/>
          <w:i/>
          <w:sz w:val="20"/>
          <w:szCs w:val="20"/>
        </w:rPr>
        <w:t>GRHL3</w:t>
      </w:r>
      <w:r w:rsidRPr="00083DE8">
        <w:rPr>
          <w:rFonts w:ascii="Arial" w:hAnsi="Arial" w:cs="Arial"/>
          <w:sz w:val="20"/>
          <w:szCs w:val="20"/>
        </w:rPr>
        <w:t xml:space="preserve"> expression regulated by BRD4 siRNA (A) or JQ1/OTX015 treatment (C) in MCF12A was confirmed by qPCR and denoted as "Rel. mRNA levels" compared to </w:t>
      </w:r>
      <w:r w:rsidRPr="00083DE8">
        <w:rPr>
          <w:rFonts w:ascii="Arial" w:hAnsi="Arial" w:cs="Arial"/>
          <w:i/>
          <w:sz w:val="20"/>
          <w:szCs w:val="20"/>
        </w:rPr>
        <w:t>RPLP0</w:t>
      </w:r>
      <w:r w:rsidRPr="00083DE8">
        <w:rPr>
          <w:rFonts w:ascii="Arial" w:hAnsi="Arial" w:cs="Arial"/>
          <w:sz w:val="20"/>
          <w:szCs w:val="20"/>
        </w:rPr>
        <w:t xml:space="preserve"> expression levels. </w:t>
      </w:r>
      <w:proofErr w:type="spellStart"/>
      <w:proofErr w:type="gramStart"/>
      <w:r w:rsidRPr="00083DE8">
        <w:rPr>
          <w:rFonts w:ascii="Arial" w:hAnsi="Arial" w:cs="Arial"/>
          <w:sz w:val="20"/>
          <w:szCs w:val="20"/>
        </w:rPr>
        <w:t>siCont</w:t>
      </w:r>
      <w:proofErr w:type="spellEnd"/>
      <w:proofErr w:type="gramEnd"/>
      <w:r w:rsidRPr="00083DE8">
        <w:rPr>
          <w:rFonts w:ascii="Arial" w:hAnsi="Arial" w:cs="Arial"/>
          <w:sz w:val="20"/>
          <w:szCs w:val="20"/>
        </w:rPr>
        <w:t xml:space="preserve"> represents negative control siRNA treated sample. Data are represented as mean ± standard deviation. n=3. </w:t>
      </w:r>
      <w:proofErr w:type="gramStart"/>
      <w:r w:rsidRPr="00083DE8">
        <w:rPr>
          <w:rFonts w:ascii="Arial" w:eastAsia="Times New Roman" w:hAnsi="Arial" w:cs="Arial"/>
          <w:sz w:val="20"/>
          <w:szCs w:val="20"/>
        </w:rPr>
        <w:t>*</w:t>
      </w:r>
      <w:r w:rsidR="00F669E3" w:rsidRPr="00083DE8">
        <w:rPr>
          <w:rFonts w:ascii="Arial" w:eastAsia="Times New Roman" w:hAnsi="Arial" w:cs="Arial"/>
          <w:sz w:val="20"/>
          <w:szCs w:val="20"/>
        </w:rPr>
        <w:t>*</w:t>
      </w:r>
      <w:r w:rsidRPr="00083DE8">
        <w:rPr>
          <w:rFonts w:ascii="Arial" w:eastAsia="Times New Roman" w:hAnsi="Arial" w:cs="Arial"/>
          <w:sz w:val="20"/>
          <w:szCs w:val="20"/>
        </w:rPr>
        <w:t xml:space="preserve">p </w:t>
      </w:r>
      <w:r w:rsidRPr="00083DE8">
        <w:rPr>
          <w:rFonts w:ascii="Arial" w:hAnsi="Arial" w:cs="Arial"/>
          <w:sz w:val="20"/>
          <w:szCs w:val="20"/>
        </w:rPr>
        <w:t xml:space="preserve">≤ </w:t>
      </w:r>
      <w:r w:rsidR="00F669E3" w:rsidRPr="00083DE8">
        <w:rPr>
          <w:rFonts w:ascii="Arial" w:eastAsia="Times New Roman" w:hAnsi="Arial" w:cs="Arial"/>
          <w:sz w:val="20"/>
          <w:szCs w:val="20"/>
        </w:rPr>
        <w:t>0.01</w:t>
      </w:r>
      <w:r w:rsidRPr="00083DE8">
        <w:rPr>
          <w:rFonts w:ascii="Arial" w:eastAsia="Times New Roman" w:hAnsi="Arial" w:cs="Arial"/>
          <w:sz w:val="20"/>
          <w:szCs w:val="20"/>
        </w:rPr>
        <w:t>.</w:t>
      </w:r>
      <w:proofErr w:type="gramEnd"/>
      <w:r w:rsidRPr="00083DE8">
        <w:rPr>
          <w:rFonts w:ascii="Arial" w:eastAsia="Times New Roman" w:hAnsi="Arial" w:cs="Arial"/>
          <w:sz w:val="20"/>
          <w:szCs w:val="20"/>
        </w:rPr>
        <w:t xml:space="preserve"> (B and D) </w:t>
      </w:r>
      <w:r w:rsidRPr="00083DE8">
        <w:rPr>
          <w:rFonts w:ascii="Arial" w:hAnsi="Arial" w:cs="Arial"/>
          <w:sz w:val="20"/>
          <w:szCs w:val="20"/>
        </w:rPr>
        <w:t>Western Blot analyses of whole cell protein lysates showing downregulation of GRHL3 after</w:t>
      </w:r>
      <w:r w:rsidRPr="00083DE8">
        <w:rPr>
          <w:rFonts w:ascii="Arial" w:eastAsia="Times New Roman" w:hAnsi="Arial" w:cs="Arial"/>
          <w:sz w:val="20"/>
          <w:szCs w:val="20"/>
        </w:rPr>
        <w:t xml:space="preserve"> </w:t>
      </w:r>
      <w:r w:rsidRPr="00083DE8">
        <w:rPr>
          <w:rFonts w:ascii="Arial" w:hAnsi="Arial" w:cs="Arial"/>
          <w:sz w:val="20"/>
          <w:szCs w:val="20"/>
        </w:rPr>
        <w:t>BRD4 siRNA (B) or JQ1/OTX015 treatment (D)</w:t>
      </w:r>
      <w:r w:rsidR="00F669E3" w:rsidRPr="00083DE8">
        <w:rPr>
          <w:rFonts w:ascii="Arial" w:hAnsi="Arial" w:cs="Arial"/>
          <w:sz w:val="20"/>
          <w:szCs w:val="20"/>
        </w:rPr>
        <w:t xml:space="preserve"> in MCF12</w:t>
      </w:r>
      <w:r w:rsidRPr="00083DE8">
        <w:rPr>
          <w:rFonts w:ascii="Arial" w:hAnsi="Arial" w:cs="Arial"/>
          <w:sz w:val="20"/>
          <w:szCs w:val="20"/>
        </w:rPr>
        <w:t xml:space="preserve">A cells. HSC70 is used as a loading control. </w:t>
      </w:r>
      <w:r w:rsidRPr="00083DE8">
        <w:rPr>
          <w:rFonts w:ascii="Arial" w:hAnsi="Arial" w:cs="Arial"/>
          <w:sz w:val="20"/>
          <w:szCs w:val="20"/>
          <w:lang w:val="en-IN"/>
        </w:rPr>
        <w:t>(E, F)</w:t>
      </w:r>
      <w:r w:rsidR="00F669E3" w:rsidRPr="00083DE8">
        <w:rPr>
          <w:rFonts w:ascii="Arial" w:hAnsi="Arial" w:cs="Arial"/>
          <w:i/>
          <w:sz w:val="20"/>
          <w:szCs w:val="20"/>
        </w:rPr>
        <w:t xml:space="preserve"> </w:t>
      </w:r>
      <w:r w:rsidR="00F669E3" w:rsidRPr="00083DE8">
        <w:rPr>
          <w:rFonts w:ascii="Arial" w:hAnsi="Arial" w:cs="Arial"/>
          <w:sz w:val="20"/>
          <w:szCs w:val="20"/>
        </w:rPr>
        <w:t>Vimentin</w:t>
      </w:r>
      <w:r w:rsidR="00F669E3" w:rsidRPr="00083DE8">
        <w:rPr>
          <w:rFonts w:ascii="Arial" w:hAnsi="Arial" w:cs="Arial"/>
          <w:i/>
          <w:sz w:val="20"/>
          <w:szCs w:val="20"/>
        </w:rPr>
        <w:t xml:space="preserve"> </w:t>
      </w:r>
      <w:r w:rsidR="00F669E3" w:rsidRPr="00083DE8">
        <w:rPr>
          <w:rFonts w:ascii="Arial" w:hAnsi="Arial" w:cs="Arial"/>
          <w:sz w:val="20"/>
          <w:szCs w:val="20"/>
        </w:rPr>
        <w:t>(</w:t>
      </w:r>
      <w:r w:rsidR="00F669E3" w:rsidRPr="00083DE8">
        <w:rPr>
          <w:rFonts w:ascii="Arial" w:hAnsi="Arial" w:cs="Arial"/>
          <w:i/>
          <w:sz w:val="20"/>
          <w:szCs w:val="20"/>
        </w:rPr>
        <w:t>VIM</w:t>
      </w:r>
      <w:r w:rsidR="00F669E3" w:rsidRPr="00083DE8">
        <w:rPr>
          <w:rFonts w:ascii="Arial" w:hAnsi="Arial" w:cs="Arial"/>
          <w:sz w:val="20"/>
          <w:szCs w:val="20"/>
        </w:rPr>
        <w:t>) and ZO-1 (</w:t>
      </w:r>
      <w:r w:rsidR="00F669E3" w:rsidRPr="00083DE8">
        <w:rPr>
          <w:rFonts w:ascii="Arial" w:hAnsi="Arial" w:cs="Arial"/>
          <w:i/>
          <w:sz w:val="20"/>
          <w:szCs w:val="20"/>
        </w:rPr>
        <w:t>TJP1</w:t>
      </w:r>
      <w:r w:rsidR="00F669E3" w:rsidRPr="00083DE8">
        <w:rPr>
          <w:rFonts w:ascii="Arial" w:hAnsi="Arial" w:cs="Arial"/>
          <w:sz w:val="20"/>
          <w:szCs w:val="20"/>
        </w:rPr>
        <w:t xml:space="preserve">) expression regulated by BRD4 siRNA (E) or JQ1/OTX015 treatment (F) in MCF12A was confirmed by qPCR and denoted as "Rel. mRNA levels" compared to </w:t>
      </w:r>
      <w:r w:rsidR="00F669E3" w:rsidRPr="00083DE8">
        <w:rPr>
          <w:rFonts w:ascii="Arial" w:hAnsi="Arial" w:cs="Arial"/>
          <w:i/>
          <w:sz w:val="20"/>
          <w:szCs w:val="20"/>
        </w:rPr>
        <w:t>RPLP0</w:t>
      </w:r>
      <w:r w:rsidR="00F669E3" w:rsidRPr="00083DE8">
        <w:rPr>
          <w:rFonts w:ascii="Arial" w:hAnsi="Arial" w:cs="Arial"/>
          <w:sz w:val="20"/>
          <w:szCs w:val="20"/>
        </w:rPr>
        <w:t xml:space="preserve"> expression levels. </w:t>
      </w:r>
      <w:proofErr w:type="spellStart"/>
      <w:proofErr w:type="gramStart"/>
      <w:r w:rsidR="00F669E3" w:rsidRPr="00083DE8">
        <w:rPr>
          <w:rFonts w:ascii="Arial" w:hAnsi="Arial" w:cs="Arial"/>
          <w:sz w:val="20"/>
          <w:szCs w:val="20"/>
        </w:rPr>
        <w:t>siCont</w:t>
      </w:r>
      <w:proofErr w:type="spellEnd"/>
      <w:proofErr w:type="gramEnd"/>
      <w:r w:rsidR="00F669E3" w:rsidRPr="00083DE8">
        <w:rPr>
          <w:rFonts w:ascii="Arial" w:hAnsi="Arial" w:cs="Arial"/>
          <w:sz w:val="20"/>
          <w:szCs w:val="20"/>
        </w:rPr>
        <w:t xml:space="preserve"> represents negative control siRNA treated sample. Data are represented as mean ± standard deviation. n=3. </w:t>
      </w:r>
      <w:proofErr w:type="gramStart"/>
      <w:r w:rsidR="00F669E3" w:rsidRPr="00083DE8">
        <w:rPr>
          <w:rFonts w:ascii="Arial" w:eastAsia="Times New Roman" w:hAnsi="Arial" w:cs="Arial"/>
          <w:sz w:val="20"/>
          <w:szCs w:val="20"/>
        </w:rPr>
        <w:t xml:space="preserve">**p </w:t>
      </w:r>
      <w:r w:rsidR="00F669E3" w:rsidRPr="00083DE8">
        <w:rPr>
          <w:rFonts w:ascii="Arial" w:hAnsi="Arial" w:cs="Arial"/>
          <w:sz w:val="20"/>
          <w:szCs w:val="20"/>
        </w:rPr>
        <w:t xml:space="preserve">≤ </w:t>
      </w:r>
      <w:r w:rsidR="00F669E3" w:rsidRPr="00083DE8">
        <w:rPr>
          <w:rFonts w:ascii="Arial" w:eastAsia="Times New Roman" w:hAnsi="Arial" w:cs="Arial"/>
          <w:sz w:val="20"/>
          <w:szCs w:val="20"/>
        </w:rPr>
        <w:t>0.01.</w:t>
      </w:r>
      <w:proofErr w:type="gramEnd"/>
      <w:r w:rsidR="00F669E3" w:rsidRPr="00083DE8">
        <w:rPr>
          <w:rFonts w:ascii="Arial" w:eastAsia="Times New Roman" w:hAnsi="Arial" w:cs="Arial"/>
          <w:sz w:val="20"/>
          <w:szCs w:val="20"/>
        </w:rPr>
        <w:t xml:space="preserve"> </w:t>
      </w:r>
      <w:r w:rsidR="00F669E3" w:rsidRPr="00083DE8">
        <w:rPr>
          <w:rFonts w:ascii="Arial" w:hAnsi="Arial" w:cs="Arial"/>
          <w:sz w:val="20"/>
          <w:szCs w:val="20"/>
          <w:lang w:val="en-IN"/>
        </w:rPr>
        <w:t xml:space="preserve">(G) Knockdown of GRHL3 (siGRHL3) in MCF12A cells results in decrease in epithelial marker, ZO-1 and increase in mesenchymal marker, Vimentin verified by Western Blot analyses of whole cell protein lysates. GRHL3 knockdown efficiency is verified by GRHL3 antibody. HSC70 is used as a loading control. </w:t>
      </w:r>
      <w:proofErr w:type="spellStart"/>
      <w:proofErr w:type="gramStart"/>
      <w:r w:rsidR="00F669E3" w:rsidRPr="00083DE8">
        <w:rPr>
          <w:rFonts w:ascii="Arial" w:hAnsi="Arial" w:cs="Arial"/>
          <w:sz w:val="20"/>
          <w:szCs w:val="20"/>
          <w:lang w:val="en-IN"/>
        </w:rPr>
        <w:t>siCont</w:t>
      </w:r>
      <w:proofErr w:type="spellEnd"/>
      <w:proofErr w:type="gramEnd"/>
      <w:r w:rsidR="00F669E3" w:rsidRPr="00083DE8">
        <w:rPr>
          <w:rFonts w:ascii="Arial" w:hAnsi="Arial" w:cs="Arial"/>
          <w:sz w:val="20"/>
          <w:szCs w:val="20"/>
          <w:lang w:val="en-IN"/>
        </w:rPr>
        <w:t xml:space="preserve"> represents negative control siRNA treated sample. (H) Trans-well migration assay in MCF12A cells with crystal violet staining indicates increase in migration upon GRHL3 </w:t>
      </w:r>
      <w:r w:rsidR="00F669E3" w:rsidRPr="00083DE8">
        <w:rPr>
          <w:rFonts w:ascii="Arial" w:hAnsi="Arial" w:cs="Arial"/>
          <w:sz w:val="20"/>
          <w:szCs w:val="20"/>
          <w:lang w:val="en-IN"/>
        </w:rPr>
        <w:lastRenderedPageBreak/>
        <w:t xml:space="preserve">knockdown (siGRHL3). </w:t>
      </w:r>
      <w:proofErr w:type="gramStart"/>
      <w:r w:rsidR="00F669E3" w:rsidRPr="00083DE8">
        <w:rPr>
          <w:rFonts w:ascii="Arial" w:hAnsi="Arial" w:cs="Arial"/>
          <w:sz w:val="20"/>
          <w:szCs w:val="20"/>
          <w:lang w:val="en-IN"/>
        </w:rPr>
        <w:t xml:space="preserve">(I) Pictures showing </w:t>
      </w:r>
      <w:r w:rsidR="00B41475" w:rsidRPr="00083DE8">
        <w:rPr>
          <w:rFonts w:ascii="Arial" w:hAnsi="Arial" w:cs="Arial"/>
          <w:sz w:val="20"/>
          <w:szCs w:val="20"/>
          <w:lang w:val="en-IN"/>
        </w:rPr>
        <w:t>increase in mammosphere formation</w:t>
      </w:r>
      <w:r w:rsidR="00F669E3" w:rsidRPr="00083DE8">
        <w:rPr>
          <w:rFonts w:ascii="Arial" w:hAnsi="Arial" w:cs="Arial"/>
          <w:sz w:val="20"/>
          <w:szCs w:val="20"/>
          <w:lang w:val="en-IN"/>
        </w:rPr>
        <w:t xml:space="preserve"> with the knockdown of GRHL3 (siGRHL3) in MCF10A cells.</w:t>
      </w:r>
      <w:proofErr w:type="gramEnd"/>
      <w:r w:rsidR="00F669E3" w:rsidRPr="00083DE8">
        <w:rPr>
          <w:rFonts w:ascii="Arial" w:hAnsi="Arial" w:cs="Arial"/>
          <w:sz w:val="20"/>
          <w:szCs w:val="20"/>
          <w:lang w:val="en-IN"/>
        </w:rPr>
        <w:t xml:space="preserve"> (J) </w:t>
      </w:r>
      <w:r w:rsidRPr="00083DE8">
        <w:rPr>
          <w:rFonts w:ascii="Arial" w:hAnsi="Arial" w:cs="Arial"/>
          <w:sz w:val="20"/>
          <w:szCs w:val="20"/>
          <w:lang w:val="en-IN"/>
        </w:rPr>
        <w:t xml:space="preserve">Epithelial genes regulated by </w:t>
      </w:r>
      <w:r w:rsidR="00F669E3" w:rsidRPr="00083DE8">
        <w:rPr>
          <w:rFonts w:ascii="Arial" w:hAnsi="Arial" w:cs="Arial"/>
          <w:sz w:val="20"/>
          <w:szCs w:val="20"/>
          <w:lang w:val="en-IN"/>
        </w:rPr>
        <w:t xml:space="preserve">GRHL3 </w:t>
      </w:r>
      <w:r w:rsidRPr="00083DE8">
        <w:rPr>
          <w:rFonts w:ascii="Arial" w:hAnsi="Arial" w:cs="Arial"/>
          <w:sz w:val="20"/>
          <w:szCs w:val="20"/>
          <w:lang w:val="en-IN"/>
        </w:rPr>
        <w:t xml:space="preserve">siRNA in MCF12A cells were confirmed by qPCR and denoted as "Rel.  </w:t>
      </w:r>
      <w:proofErr w:type="gramStart"/>
      <w:r w:rsidRPr="00083DE8">
        <w:rPr>
          <w:rFonts w:ascii="Arial" w:hAnsi="Arial" w:cs="Arial"/>
          <w:sz w:val="20"/>
          <w:szCs w:val="20"/>
          <w:lang w:val="en-IN"/>
        </w:rPr>
        <w:t>mRNA</w:t>
      </w:r>
      <w:proofErr w:type="gramEnd"/>
      <w:r w:rsidRPr="00083DE8">
        <w:rPr>
          <w:rFonts w:ascii="Arial" w:hAnsi="Arial" w:cs="Arial"/>
          <w:sz w:val="20"/>
          <w:szCs w:val="20"/>
          <w:lang w:val="en-IN"/>
        </w:rPr>
        <w:t xml:space="preserve"> levels" compared to </w:t>
      </w:r>
      <w:r w:rsidRPr="00083DE8">
        <w:rPr>
          <w:rFonts w:ascii="Arial" w:hAnsi="Arial" w:cs="Arial"/>
          <w:i/>
          <w:sz w:val="20"/>
          <w:szCs w:val="20"/>
          <w:lang w:val="en-IN"/>
        </w:rPr>
        <w:t>RPLP0</w:t>
      </w:r>
      <w:r w:rsidRPr="00083DE8">
        <w:rPr>
          <w:rFonts w:ascii="Arial" w:hAnsi="Arial" w:cs="Arial"/>
          <w:sz w:val="20"/>
          <w:szCs w:val="20"/>
          <w:lang w:val="en-IN"/>
        </w:rPr>
        <w:t xml:space="preserve"> expression levels. Data are represented as mean ± standard deviation. n=3. </w:t>
      </w:r>
      <w:proofErr w:type="gramStart"/>
      <w:r w:rsidRPr="00083DE8">
        <w:rPr>
          <w:rFonts w:ascii="Arial" w:hAnsi="Arial" w:cs="Arial"/>
          <w:sz w:val="20"/>
          <w:szCs w:val="20"/>
          <w:lang w:val="en-IN"/>
        </w:rPr>
        <w:t>***p ≤ 0.001, **p ≤ 0.01, *p ≤ 0.05.</w:t>
      </w:r>
      <w:proofErr w:type="gramEnd"/>
      <w:r w:rsidRPr="00083DE8">
        <w:rPr>
          <w:rFonts w:ascii="Arial" w:hAnsi="Arial" w:cs="Arial"/>
          <w:sz w:val="20"/>
          <w:szCs w:val="20"/>
          <w:lang w:val="en-IN"/>
        </w:rPr>
        <w:t xml:space="preserve">  </w:t>
      </w:r>
    </w:p>
    <w:p w:rsidR="002D4A15" w:rsidRPr="00083DE8" w:rsidRDefault="00F669E3" w:rsidP="00F44C4C">
      <w:pPr>
        <w:spacing w:line="240" w:lineRule="auto"/>
        <w:jc w:val="both"/>
        <w:rPr>
          <w:rFonts w:ascii="Arial" w:hAnsi="Arial" w:cs="Arial"/>
          <w:sz w:val="20"/>
          <w:szCs w:val="20"/>
        </w:rPr>
      </w:pPr>
      <w:r w:rsidRPr="00083DE8">
        <w:rPr>
          <w:rFonts w:ascii="Arial" w:hAnsi="Arial" w:cs="Arial"/>
          <w:b/>
          <w:sz w:val="20"/>
          <w:szCs w:val="20"/>
        </w:rPr>
        <w:t xml:space="preserve">Figure S3. </w:t>
      </w:r>
      <w:r w:rsidRPr="00083DE8">
        <w:rPr>
          <w:rFonts w:ascii="Arial" w:hAnsi="Arial" w:cs="Arial"/>
          <w:sz w:val="20"/>
          <w:szCs w:val="20"/>
        </w:rPr>
        <w:t xml:space="preserve">Total </w:t>
      </w:r>
      <w:r w:rsidRPr="00083DE8">
        <w:rPr>
          <w:rFonts w:ascii="Arial" w:hAnsi="Arial" w:cs="Arial"/>
          <w:i/>
          <w:sz w:val="20"/>
          <w:szCs w:val="20"/>
        </w:rPr>
        <w:t>TP63</w:t>
      </w:r>
      <w:r w:rsidRPr="00083DE8">
        <w:rPr>
          <w:rFonts w:ascii="Arial" w:hAnsi="Arial" w:cs="Arial"/>
          <w:sz w:val="20"/>
          <w:szCs w:val="20"/>
        </w:rPr>
        <w:t xml:space="preserve"> expression regulated by BRD4 siRNA (A, C) or JQ1/OTX015 treatment (C, D) in MCF10A (A, B) and MCF12A (C, D) cells was confirmed by qPCR and denoted as "Rel. mRNA levels" compared to </w:t>
      </w:r>
      <w:r w:rsidRPr="00083DE8">
        <w:rPr>
          <w:rFonts w:ascii="Arial" w:hAnsi="Arial" w:cs="Arial"/>
          <w:i/>
          <w:sz w:val="20"/>
          <w:szCs w:val="20"/>
        </w:rPr>
        <w:t>RPLP0</w:t>
      </w:r>
      <w:r w:rsidRPr="00083DE8">
        <w:rPr>
          <w:rFonts w:ascii="Arial" w:hAnsi="Arial" w:cs="Arial"/>
          <w:sz w:val="20"/>
          <w:szCs w:val="20"/>
        </w:rPr>
        <w:t xml:space="preserve"> expression levels. </w:t>
      </w:r>
      <w:proofErr w:type="spellStart"/>
      <w:proofErr w:type="gramStart"/>
      <w:r w:rsidRPr="00083DE8">
        <w:rPr>
          <w:rFonts w:ascii="Arial" w:hAnsi="Arial" w:cs="Arial"/>
          <w:sz w:val="20"/>
          <w:szCs w:val="20"/>
        </w:rPr>
        <w:t>siCont</w:t>
      </w:r>
      <w:proofErr w:type="spellEnd"/>
      <w:proofErr w:type="gramEnd"/>
      <w:r w:rsidRPr="00083DE8">
        <w:rPr>
          <w:rFonts w:ascii="Arial" w:hAnsi="Arial" w:cs="Arial"/>
          <w:sz w:val="20"/>
          <w:szCs w:val="20"/>
        </w:rPr>
        <w:t xml:space="preserve"> represents negative control siRNA treated sample. Data are represented as mean ± standard deviation. n=3</w:t>
      </w:r>
      <w:r w:rsidRPr="00083DE8">
        <w:rPr>
          <w:rFonts w:ascii="Arial" w:hAnsi="Arial" w:cs="Arial"/>
          <w:sz w:val="20"/>
          <w:szCs w:val="20"/>
          <w:lang w:val="en-IN"/>
        </w:rPr>
        <w:t xml:space="preserve">. </w:t>
      </w:r>
      <w:proofErr w:type="gramStart"/>
      <w:r w:rsidRPr="00083DE8">
        <w:rPr>
          <w:rFonts w:ascii="Arial" w:hAnsi="Arial" w:cs="Arial"/>
          <w:sz w:val="20"/>
          <w:szCs w:val="20"/>
          <w:lang w:val="en-IN"/>
        </w:rPr>
        <w:t>***p ≤ 0.001, **p ≤ 0.01, *p ≤ 0.05.</w:t>
      </w:r>
      <w:proofErr w:type="gramEnd"/>
      <w:r w:rsidRPr="00083DE8">
        <w:rPr>
          <w:rFonts w:ascii="Arial" w:hAnsi="Arial" w:cs="Arial"/>
          <w:sz w:val="20"/>
          <w:szCs w:val="20"/>
          <w:lang w:val="en-IN"/>
        </w:rPr>
        <w:t xml:space="preserve"> </w:t>
      </w:r>
      <w:r w:rsidR="00C01707" w:rsidRPr="00083DE8">
        <w:rPr>
          <w:rFonts w:ascii="Arial" w:hAnsi="Arial" w:cs="Arial"/>
          <w:sz w:val="20"/>
          <w:szCs w:val="20"/>
          <w:lang w:val="en-IN"/>
        </w:rPr>
        <w:t xml:space="preserve">(E) </w:t>
      </w:r>
      <w:r w:rsidR="00C01707" w:rsidRPr="00083DE8">
        <w:rPr>
          <w:rFonts w:ascii="Arial" w:hAnsi="Arial" w:cs="Arial"/>
          <w:sz w:val="20"/>
          <w:szCs w:val="20"/>
        </w:rPr>
        <w:t>Western Blot analyses of protein lysates from MDA-MB-231 cells showing downregulation of total p63 after</w:t>
      </w:r>
      <w:r w:rsidR="00C01707" w:rsidRPr="00083DE8">
        <w:rPr>
          <w:rFonts w:ascii="Arial" w:eastAsia="Times New Roman" w:hAnsi="Arial" w:cs="Arial"/>
          <w:sz w:val="20"/>
          <w:szCs w:val="20"/>
        </w:rPr>
        <w:t xml:space="preserve"> </w:t>
      </w:r>
      <w:r w:rsidR="00C01707" w:rsidRPr="00083DE8">
        <w:rPr>
          <w:rFonts w:ascii="Arial" w:hAnsi="Arial" w:cs="Arial"/>
          <w:sz w:val="20"/>
          <w:szCs w:val="20"/>
        </w:rPr>
        <w:t>JQ1 treatment.</w:t>
      </w:r>
      <w:r w:rsidR="00C01707" w:rsidRPr="00083DE8" w:rsidDel="00C01707">
        <w:rPr>
          <w:rFonts w:ascii="Arial" w:hAnsi="Arial" w:cs="Arial"/>
          <w:sz w:val="20"/>
          <w:szCs w:val="20"/>
        </w:rPr>
        <w:t xml:space="preserve"> </w:t>
      </w:r>
    </w:p>
    <w:p w:rsidR="00C77083" w:rsidRPr="00083DE8" w:rsidRDefault="005D5C00" w:rsidP="00F44C4C">
      <w:pPr>
        <w:spacing w:line="240" w:lineRule="auto"/>
        <w:jc w:val="both"/>
        <w:rPr>
          <w:rFonts w:ascii="Arial" w:hAnsi="Arial" w:cs="Arial"/>
          <w:sz w:val="20"/>
          <w:szCs w:val="20"/>
        </w:rPr>
      </w:pPr>
      <w:r w:rsidRPr="00083DE8">
        <w:rPr>
          <w:rFonts w:ascii="Arial" w:hAnsi="Arial" w:cs="Arial"/>
          <w:b/>
          <w:sz w:val="20"/>
          <w:szCs w:val="20"/>
        </w:rPr>
        <w:t>Figure S</w:t>
      </w:r>
      <w:r w:rsidR="00F669E3" w:rsidRPr="00083DE8">
        <w:rPr>
          <w:rFonts w:ascii="Arial" w:hAnsi="Arial" w:cs="Arial"/>
          <w:b/>
          <w:sz w:val="20"/>
          <w:szCs w:val="20"/>
        </w:rPr>
        <w:t>4</w:t>
      </w:r>
      <w:r w:rsidRPr="00083DE8">
        <w:rPr>
          <w:rFonts w:ascii="Arial" w:hAnsi="Arial" w:cs="Arial"/>
          <w:b/>
          <w:sz w:val="20"/>
          <w:szCs w:val="20"/>
        </w:rPr>
        <w:t xml:space="preserve">. </w:t>
      </w:r>
      <w:r w:rsidR="00F669E3" w:rsidRPr="00083DE8">
        <w:rPr>
          <w:rFonts w:ascii="Arial" w:hAnsi="Arial" w:cs="Arial"/>
          <w:sz w:val="20"/>
          <w:szCs w:val="20"/>
        </w:rPr>
        <w:t xml:space="preserve">(A) </w:t>
      </w:r>
      <w:r w:rsidRPr="00083DE8">
        <w:rPr>
          <w:rFonts w:ascii="Arial" w:hAnsi="Arial" w:cs="Arial"/>
          <w:sz w:val="20"/>
          <w:szCs w:val="20"/>
          <w:lang w:val="en-IN"/>
        </w:rPr>
        <w:t xml:space="preserve">Top 50 pathways enriched with BRD4 occupancy from GREAT analysis which are significant with FDR q-value ≤ 0.05. Highlighted pathways represent EMT, breast cancer and stem cell-related pathways. </w:t>
      </w:r>
      <w:r w:rsidR="00F669E3" w:rsidRPr="00083DE8">
        <w:rPr>
          <w:rFonts w:ascii="Arial" w:hAnsi="Arial" w:cs="Arial"/>
          <w:sz w:val="20"/>
          <w:szCs w:val="20"/>
          <w:lang w:val="en-IN"/>
        </w:rPr>
        <w:t xml:space="preserve">(B) Distribution of genome-wide occupancy of BRD4 in MCF10A cells at promoters, downstream regions, 5’ and 3’ UTRs, exons, introns and distal intergenic regions. </w:t>
      </w:r>
      <w:r w:rsidR="00C77083" w:rsidRPr="00083DE8">
        <w:rPr>
          <w:rFonts w:ascii="Arial" w:hAnsi="Arial" w:cs="Arial"/>
          <w:sz w:val="20"/>
          <w:szCs w:val="20"/>
          <w:lang w:val="en-IN"/>
        </w:rPr>
        <w:t xml:space="preserve">(C) Box plots validating the gene expression classes </w:t>
      </w:r>
      <w:r w:rsidR="00C77083" w:rsidRPr="00083DE8">
        <w:rPr>
          <w:rFonts w:ascii="Arial" w:hAnsi="Arial" w:cs="Arial"/>
          <w:sz w:val="20"/>
          <w:szCs w:val="20"/>
        </w:rPr>
        <w:t>“</w:t>
      </w:r>
      <w:proofErr w:type="spellStart"/>
      <w:r w:rsidR="00C77083" w:rsidRPr="00083DE8">
        <w:rPr>
          <w:rFonts w:ascii="Arial" w:hAnsi="Arial" w:cs="Arial"/>
          <w:sz w:val="20"/>
          <w:szCs w:val="20"/>
        </w:rPr>
        <w:t>Very_High</w:t>
      </w:r>
      <w:proofErr w:type="spellEnd"/>
      <w:r w:rsidR="00C77083" w:rsidRPr="00083DE8">
        <w:rPr>
          <w:rFonts w:ascii="Arial" w:hAnsi="Arial" w:cs="Arial"/>
          <w:sz w:val="20"/>
          <w:szCs w:val="20"/>
        </w:rPr>
        <w:t>”, “High”, “Medium”, “Low” and “No” and their regulation with JQ1. High and Very Highly expressed genes show the better downregulation with JQ1.  The plot shows the log2 average normalized reads of gene expression a</w:t>
      </w:r>
      <w:r w:rsidR="00B41475" w:rsidRPr="00083DE8">
        <w:rPr>
          <w:rFonts w:ascii="Arial" w:hAnsi="Arial" w:cs="Arial"/>
          <w:sz w:val="20"/>
          <w:szCs w:val="20"/>
        </w:rPr>
        <w:t xml:space="preserve">round </w:t>
      </w:r>
      <w:r w:rsidR="00C77083" w:rsidRPr="00083DE8">
        <w:rPr>
          <w:rFonts w:ascii="Arial" w:hAnsi="Arial" w:cs="Arial"/>
          <w:sz w:val="20"/>
          <w:szCs w:val="20"/>
        </w:rPr>
        <w:t xml:space="preserve">TSS ± 3 </w:t>
      </w:r>
      <w:proofErr w:type="spellStart"/>
      <w:r w:rsidR="00C77083" w:rsidRPr="00083DE8">
        <w:rPr>
          <w:rFonts w:ascii="Arial" w:hAnsi="Arial" w:cs="Arial"/>
          <w:sz w:val="20"/>
          <w:szCs w:val="20"/>
        </w:rPr>
        <w:t>kilobases</w:t>
      </w:r>
      <w:proofErr w:type="spellEnd"/>
      <w:r w:rsidR="00C77083" w:rsidRPr="00083DE8">
        <w:rPr>
          <w:rFonts w:ascii="Arial" w:hAnsi="Arial" w:cs="Arial"/>
          <w:sz w:val="20"/>
          <w:szCs w:val="20"/>
        </w:rPr>
        <w:t xml:space="preserve">. </w:t>
      </w:r>
      <w:proofErr w:type="gramStart"/>
      <w:r w:rsidR="00C77083" w:rsidRPr="00083DE8">
        <w:rPr>
          <w:rFonts w:ascii="Arial" w:hAnsi="Arial" w:cs="Arial"/>
          <w:sz w:val="20"/>
          <w:szCs w:val="20"/>
          <w:lang w:val="en-IN"/>
        </w:rPr>
        <w:t>***p ≤ 0.001, **p ≤ 0.01, *p ≤ 0.05.</w:t>
      </w:r>
      <w:proofErr w:type="gramEnd"/>
      <w:r w:rsidR="00C77083" w:rsidRPr="00083DE8">
        <w:rPr>
          <w:rFonts w:ascii="Arial" w:hAnsi="Arial" w:cs="Arial"/>
          <w:sz w:val="20"/>
          <w:szCs w:val="20"/>
          <w:lang w:val="en-IN"/>
        </w:rPr>
        <w:t xml:space="preserve">  </w:t>
      </w:r>
      <w:proofErr w:type="spellStart"/>
      <w:proofErr w:type="gramStart"/>
      <w:r w:rsidR="00C77083" w:rsidRPr="00083DE8">
        <w:rPr>
          <w:rFonts w:ascii="Arial" w:hAnsi="Arial" w:cs="Arial"/>
          <w:sz w:val="20"/>
          <w:szCs w:val="20"/>
          <w:lang w:val="en-IN"/>
        </w:rPr>
        <w:t>n.s</w:t>
      </w:r>
      <w:proofErr w:type="spellEnd"/>
      <w:r w:rsidR="00C77083" w:rsidRPr="00083DE8">
        <w:rPr>
          <w:rFonts w:ascii="Arial" w:hAnsi="Arial" w:cs="Arial"/>
          <w:sz w:val="20"/>
          <w:szCs w:val="20"/>
          <w:lang w:val="en-IN"/>
        </w:rPr>
        <w:t>-</w:t>
      </w:r>
      <w:proofErr w:type="gramEnd"/>
      <w:r w:rsidR="00C77083" w:rsidRPr="00083DE8">
        <w:rPr>
          <w:rFonts w:ascii="Arial" w:hAnsi="Arial" w:cs="Arial"/>
          <w:sz w:val="20"/>
          <w:szCs w:val="20"/>
          <w:lang w:val="en-IN"/>
        </w:rPr>
        <w:t xml:space="preserve"> not significant. P-values were calculated using Wilcoxon rank-sum test. (D) Box plots validating the classes “Up”, “Down” and “</w:t>
      </w:r>
      <w:proofErr w:type="gramStart"/>
      <w:r w:rsidR="00C77083" w:rsidRPr="00083DE8">
        <w:rPr>
          <w:rFonts w:ascii="Arial" w:hAnsi="Arial" w:cs="Arial"/>
          <w:sz w:val="20"/>
          <w:szCs w:val="20"/>
          <w:lang w:val="en-IN"/>
        </w:rPr>
        <w:t>Non</w:t>
      </w:r>
      <w:proofErr w:type="gramEnd"/>
      <w:r w:rsidR="00C77083" w:rsidRPr="00083DE8">
        <w:rPr>
          <w:rFonts w:ascii="Arial" w:hAnsi="Arial" w:cs="Arial"/>
          <w:sz w:val="20"/>
          <w:szCs w:val="20"/>
          <w:lang w:val="en-IN"/>
        </w:rPr>
        <w:t xml:space="preserve">” categorized by regulation with JQ1 and correlating with gene expression. JQ1 downregulated genes (Down) are more expressed than upregulated genes (Up). </w:t>
      </w:r>
      <w:r w:rsidR="00C77083" w:rsidRPr="00083DE8">
        <w:rPr>
          <w:rFonts w:ascii="Arial" w:hAnsi="Arial" w:cs="Arial"/>
          <w:sz w:val="20"/>
          <w:szCs w:val="20"/>
        </w:rPr>
        <w:t xml:space="preserve">The plot shows the log2 average normalized reads of gene expression among TSS ± 3 </w:t>
      </w:r>
      <w:proofErr w:type="spellStart"/>
      <w:r w:rsidR="00C77083" w:rsidRPr="00083DE8">
        <w:rPr>
          <w:rFonts w:ascii="Arial" w:hAnsi="Arial" w:cs="Arial"/>
          <w:sz w:val="20"/>
          <w:szCs w:val="20"/>
        </w:rPr>
        <w:t>kilobases</w:t>
      </w:r>
      <w:proofErr w:type="spellEnd"/>
      <w:r w:rsidR="00C77083" w:rsidRPr="00083DE8">
        <w:rPr>
          <w:rFonts w:ascii="Arial" w:hAnsi="Arial" w:cs="Arial"/>
          <w:sz w:val="20"/>
          <w:szCs w:val="20"/>
        </w:rPr>
        <w:t xml:space="preserve">. </w:t>
      </w:r>
      <w:proofErr w:type="gramStart"/>
      <w:r w:rsidR="00C77083" w:rsidRPr="00083DE8">
        <w:rPr>
          <w:rFonts w:ascii="Arial" w:hAnsi="Arial" w:cs="Arial"/>
          <w:sz w:val="20"/>
          <w:szCs w:val="20"/>
          <w:lang w:val="en-IN"/>
        </w:rPr>
        <w:t>***p ≤ 0.001, **p ≤ 0.01, *p ≤ 0.05.</w:t>
      </w:r>
      <w:proofErr w:type="gramEnd"/>
      <w:r w:rsidR="00C77083" w:rsidRPr="00083DE8">
        <w:rPr>
          <w:rFonts w:ascii="Arial" w:hAnsi="Arial" w:cs="Arial"/>
          <w:sz w:val="20"/>
          <w:szCs w:val="20"/>
          <w:lang w:val="en-IN"/>
        </w:rPr>
        <w:t xml:space="preserve">  </w:t>
      </w:r>
      <w:proofErr w:type="spellStart"/>
      <w:proofErr w:type="gramStart"/>
      <w:r w:rsidR="00C77083" w:rsidRPr="00083DE8">
        <w:rPr>
          <w:rFonts w:ascii="Arial" w:hAnsi="Arial" w:cs="Arial"/>
          <w:sz w:val="20"/>
          <w:szCs w:val="20"/>
          <w:lang w:val="en-IN"/>
        </w:rPr>
        <w:t>n.s</w:t>
      </w:r>
      <w:proofErr w:type="spellEnd"/>
      <w:r w:rsidR="00C77083" w:rsidRPr="00083DE8">
        <w:rPr>
          <w:rFonts w:ascii="Arial" w:hAnsi="Arial" w:cs="Arial"/>
          <w:sz w:val="20"/>
          <w:szCs w:val="20"/>
          <w:lang w:val="en-IN"/>
        </w:rPr>
        <w:t>-</w:t>
      </w:r>
      <w:proofErr w:type="gramEnd"/>
      <w:r w:rsidR="00C77083" w:rsidRPr="00083DE8">
        <w:rPr>
          <w:rFonts w:ascii="Arial" w:hAnsi="Arial" w:cs="Arial"/>
          <w:sz w:val="20"/>
          <w:szCs w:val="20"/>
          <w:lang w:val="en-IN"/>
        </w:rPr>
        <w:t xml:space="preserve"> not significant. P-values were calculated using Wilcoxon rank-sum test. (E) </w:t>
      </w:r>
      <w:r w:rsidR="00E90A65" w:rsidRPr="00083DE8">
        <w:rPr>
          <w:rFonts w:ascii="Arial" w:hAnsi="Arial" w:cs="Arial"/>
          <w:sz w:val="20"/>
          <w:szCs w:val="20"/>
          <w:lang w:val="en-IN"/>
        </w:rPr>
        <w:t>Average plots and h</w:t>
      </w:r>
      <w:r w:rsidR="00C77083" w:rsidRPr="00083DE8">
        <w:rPr>
          <w:rFonts w:ascii="Arial" w:hAnsi="Arial" w:cs="Arial"/>
          <w:sz w:val="20"/>
          <w:szCs w:val="20"/>
        </w:rPr>
        <w:t xml:space="preserve">eatmap analyses depicting the occupancy of BRD4, H4K12ac, H3K27ac, H3K4me1, RNAPII and enhancer RNA transcription shown by global run on sequencing (GRO-seq) located on BRD4 binding sites </w:t>
      </w:r>
      <w:r w:rsidR="00E90A65" w:rsidRPr="00083DE8">
        <w:rPr>
          <w:rFonts w:ascii="Arial" w:hAnsi="Arial" w:cs="Arial"/>
          <w:sz w:val="20"/>
          <w:szCs w:val="20"/>
        </w:rPr>
        <w:t xml:space="preserve">which do not have H3K4me3 signals and </w:t>
      </w:r>
      <w:r w:rsidR="00C77083" w:rsidRPr="00083DE8">
        <w:rPr>
          <w:rFonts w:ascii="Arial" w:hAnsi="Arial" w:cs="Arial"/>
          <w:sz w:val="20"/>
          <w:szCs w:val="20"/>
        </w:rPr>
        <w:t>aligned according to its maximum signal of BRD4 occupancy. Scale is shown as normalized RPKM values.</w:t>
      </w:r>
      <w:r w:rsidR="00E90A65" w:rsidRPr="00083DE8">
        <w:rPr>
          <w:rFonts w:ascii="Arial" w:hAnsi="Arial" w:cs="Arial"/>
          <w:sz w:val="20"/>
          <w:szCs w:val="20"/>
        </w:rPr>
        <w:t xml:space="preserve"> </w:t>
      </w:r>
      <w:proofErr w:type="gramStart"/>
      <w:r w:rsidR="00E90A65" w:rsidRPr="00083DE8">
        <w:rPr>
          <w:rFonts w:ascii="Arial" w:hAnsi="Arial" w:cs="Arial"/>
          <w:sz w:val="20"/>
          <w:szCs w:val="20"/>
        </w:rPr>
        <w:t xml:space="preserve">Regions ± 5 </w:t>
      </w:r>
      <w:proofErr w:type="spellStart"/>
      <w:r w:rsidR="00E90A65" w:rsidRPr="00083DE8">
        <w:rPr>
          <w:rFonts w:ascii="Arial" w:hAnsi="Arial" w:cs="Arial"/>
          <w:sz w:val="20"/>
          <w:szCs w:val="20"/>
        </w:rPr>
        <w:t>kilobases</w:t>
      </w:r>
      <w:proofErr w:type="spellEnd"/>
      <w:r w:rsidR="00E90A65" w:rsidRPr="00083DE8">
        <w:rPr>
          <w:rFonts w:ascii="Arial" w:hAnsi="Arial" w:cs="Arial"/>
          <w:sz w:val="20"/>
          <w:szCs w:val="20"/>
        </w:rPr>
        <w:t xml:space="preserve"> is</w:t>
      </w:r>
      <w:proofErr w:type="gramEnd"/>
      <w:r w:rsidR="00E90A65" w:rsidRPr="00083DE8">
        <w:rPr>
          <w:rFonts w:ascii="Arial" w:hAnsi="Arial" w:cs="Arial"/>
          <w:sz w:val="20"/>
          <w:szCs w:val="20"/>
        </w:rPr>
        <w:t xml:space="preserve"> shown. (F</w:t>
      </w:r>
      <w:r w:rsidR="00C77083" w:rsidRPr="00083DE8">
        <w:rPr>
          <w:rFonts w:ascii="Arial" w:hAnsi="Arial" w:cs="Arial"/>
          <w:sz w:val="20"/>
          <w:szCs w:val="20"/>
        </w:rPr>
        <w:t xml:space="preserve">) Correlation plots for the occupancy of BRD4, H4K12ac, H3K27ac, RNAPII and enhancer RNA transcription shown by global run on sequencing (GRO-seq) located on </w:t>
      </w:r>
      <w:r w:rsidR="00E90A65" w:rsidRPr="00083DE8">
        <w:rPr>
          <w:rFonts w:ascii="Arial" w:hAnsi="Arial" w:cs="Arial"/>
          <w:sz w:val="20"/>
          <w:szCs w:val="20"/>
        </w:rPr>
        <w:t>BRD4 binding sites which do not have H3K4me3 signals</w:t>
      </w:r>
      <w:r w:rsidR="00C77083" w:rsidRPr="00083DE8">
        <w:rPr>
          <w:rFonts w:ascii="Arial" w:hAnsi="Arial" w:cs="Arial"/>
          <w:sz w:val="20"/>
          <w:szCs w:val="20"/>
        </w:rPr>
        <w:t xml:space="preserve">. Spearman correlation coefficient values are shown. </w:t>
      </w:r>
      <w:proofErr w:type="gramStart"/>
      <w:r w:rsidR="00E90A65" w:rsidRPr="00083DE8">
        <w:rPr>
          <w:rFonts w:ascii="Arial" w:hAnsi="Arial" w:cs="Arial"/>
          <w:sz w:val="20"/>
          <w:szCs w:val="20"/>
        </w:rPr>
        <w:t xml:space="preserve">Regions ± 5 </w:t>
      </w:r>
      <w:proofErr w:type="spellStart"/>
      <w:r w:rsidR="00E90A65" w:rsidRPr="00083DE8">
        <w:rPr>
          <w:rFonts w:ascii="Arial" w:hAnsi="Arial" w:cs="Arial"/>
          <w:sz w:val="20"/>
          <w:szCs w:val="20"/>
        </w:rPr>
        <w:t>kilobases</w:t>
      </w:r>
      <w:proofErr w:type="spellEnd"/>
      <w:r w:rsidR="00E90A65" w:rsidRPr="00083DE8">
        <w:rPr>
          <w:rFonts w:ascii="Arial" w:hAnsi="Arial" w:cs="Arial"/>
          <w:sz w:val="20"/>
          <w:szCs w:val="20"/>
        </w:rPr>
        <w:t xml:space="preserve"> is</w:t>
      </w:r>
      <w:proofErr w:type="gramEnd"/>
      <w:r w:rsidR="00E90A65" w:rsidRPr="00083DE8">
        <w:rPr>
          <w:rFonts w:ascii="Arial" w:hAnsi="Arial" w:cs="Arial"/>
          <w:sz w:val="20"/>
          <w:szCs w:val="20"/>
        </w:rPr>
        <w:t xml:space="preserve"> used for calculating the correlation coefficient values. (G and H) Occupancy profiles of BRD4, H4K12ac, H3K27ac, RNAPII and enhancer RNA transcription shown by global run on sequencing (GRO-seq) emphasized on distal regions of </w:t>
      </w:r>
      <w:r w:rsidR="00E90A65" w:rsidRPr="00083DE8">
        <w:rPr>
          <w:rFonts w:ascii="Arial" w:hAnsi="Arial" w:cs="Arial"/>
          <w:i/>
          <w:sz w:val="20"/>
          <w:szCs w:val="20"/>
        </w:rPr>
        <w:t>ELF3</w:t>
      </w:r>
      <w:r w:rsidR="00E90A65" w:rsidRPr="00083DE8">
        <w:rPr>
          <w:rFonts w:ascii="Arial" w:hAnsi="Arial" w:cs="Arial"/>
          <w:sz w:val="20"/>
          <w:szCs w:val="20"/>
        </w:rPr>
        <w:t xml:space="preserve"> (G) and </w:t>
      </w:r>
      <w:r w:rsidR="00E90A65" w:rsidRPr="00083DE8">
        <w:rPr>
          <w:rFonts w:ascii="Arial" w:hAnsi="Arial" w:cs="Arial"/>
          <w:i/>
          <w:sz w:val="20"/>
          <w:szCs w:val="20"/>
        </w:rPr>
        <w:t xml:space="preserve">IL1RN </w:t>
      </w:r>
      <w:r w:rsidR="00E90A65" w:rsidRPr="00083DE8">
        <w:rPr>
          <w:rFonts w:ascii="Arial" w:hAnsi="Arial" w:cs="Arial"/>
          <w:sz w:val="20"/>
          <w:szCs w:val="20"/>
        </w:rPr>
        <w:t xml:space="preserve">(H). The direction of transcription is shown by black arrow mark. Scale bar is denoted in </w:t>
      </w:r>
      <w:proofErr w:type="spellStart"/>
      <w:r w:rsidR="00E90A65" w:rsidRPr="00083DE8">
        <w:rPr>
          <w:rFonts w:ascii="Arial" w:hAnsi="Arial" w:cs="Arial"/>
          <w:sz w:val="20"/>
          <w:szCs w:val="20"/>
        </w:rPr>
        <w:t>kilobases</w:t>
      </w:r>
      <w:proofErr w:type="spellEnd"/>
      <w:r w:rsidR="00E90A65" w:rsidRPr="00083DE8">
        <w:rPr>
          <w:rFonts w:ascii="Arial" w:hAnsi="Arial" w:cs="Arial"/>
          <w:sz w:val="20"/>
          <w:szCs w:val="20"/>
        </w:rPr>
        <w:t xml:space="preserve">. (I) Venn diagram showing the overlap between genes which are proximal to potential enhancers represented with BRD4 binding sites with H3K27ac and H3K4me1 and not H3K4me3, genes downregulated with BRD4 siRNA </w:t>
      </w:r>
      <w:r w:rsidR="00B41475" w:rsidRPr="00083DE8">
        <w:rPr>
          <w:rFonts w:ascii="Arial" w:hAnsi="Arial" w:cs="Arial"/>
          <w:sz w:val="20"/>
          <w:szCs w:val="20"/>
        </w:rPr>
        <w:t xml:space="preserve">(fold change </w:t>
      </w:r>
      <w:r w:rsidR="00E90A65" w:rsidRPr="00083DE8">
        <w:rPr>
          <w:rFonts w:ascii="Arial" w:hAnsi="Arial" w:cs="Arial"/>
          <w:sz w:val="20"/>
          <w:szCs w:val="20"/>
        </w:rPr>
        <w:t xml:space="preserve">≤ 0.7 </w:t>
      </w:r>
      <w:r w:rsidR="00B41475" w:rsidRPr="00083DE8">
        <w:rPr>
          <w:rFonts w:ascii="Arial" w:hAnsi="Arial" w:cs="Arial"/>
          <w:sz w:val="20"/>
          <w:szCs w:val="20"/>
        </w:rPr>
        <w:t>vs the control)</w:t>
      </w:r>
      <w:r w:rsidR="00E90A65" w:rsidRPr="00083DE8">
        <w:rPr>
          <w:rFonts w:ascii="Arial" w:hAnsi="Arial" w:cs="Arial"/>
          <w:sz w:val="20"/>
          <w:szCs w:val="20"/>
        </w:rPr>
        <w:t xml:space="preserve"> and EMT-related genes retrieved from GSEA MSigDB datasets (J) </w:t>
      </w:r>
      <w:r w:rsidR="00E90A65" w:rsidRPr="00083DE8">
        <w:rPr>
          <w:rFonts w:ascii="Arial" w:hAnsi="Arial" w:cs="Arial"/>
          <w:bCs/>
          <w:sz w:val="20"/>
          <w:szCs w:val="20"/>
        </w:rPr>
        <w:t xml:space="preserve">GREAT analysis on </w:t>
      </w:r>
      <w:r w:rsidR="00E90A65" w:rsidRPr="00083DE8">
        <w:rPr>
          <w:rFonts w:ascii="Arial" w:hAnsi="Arial" w:cs="Arial"/>
          <w:sz w:val="20"/>
          <w:szCs w:val="20"/>
        </w:rPr>
        <w:t xml:space="preserve">potential enhancers represented with BRD4 binding sites with H3K27ac and H3K4me1 and not H3K4me3 </w:t>
      </w:r>
      <w:r w:rsidR="00E90A65" w:rsidRPr="00083DE8">
        <w:rPr>
          <w:rFonts w:ascii="Arial" w:hAnsi="Arial" w:cs="Arial"/>
          <w:bCs/>
          <w:sz w:val="20"/>
          <w:szCs w:val="20"/>
        </w:rPr>
        <w:t xml:space="preserve">shows the p63/p73-related gene signatures, </w:t>
      </w:r>
      <w:proofErr w:type="spellStart"/>
      <w:r w:rsidR="00E90A65" w:rsidRPr="00083DE8">
        <w:rPr>
          <w:rFonts w:ascii="Arial" w:hAnsi="Arial" w:cs="Arial"/>
          <w:bCs/>
          <w:sz w:val="20"/>
          <w:szCs w:val="20"/>
        </w:rPr>
        <w:t>Integrins</w:t>
      </w:r>
      <w:proofErr w:type="spellEnd"/>
      <w:r w:rsidR="00E90A65" w:rsidRPr="00083DE8">
        <w:rPr>
          <w:rFonts w:ascii="Arial" w:hAnsi="Arial" w:cs="Arial"/>
          <w:bCs/>
          <w:sz w:val="20"/>
          <w:szCs w:val="20"/>
        </w:rPr>
        <w:t xml:space="preserve">, PI3K/FOXO and </w:t>
      </w:r>
      <w:proofErr w:type="spellStart"/>
      <w:r w:rsidR="00E90A65" w:rsidRPr="00083DE8">
        <w:rPr>
          <w:rFonts w:ascii="Arial" w:hAnsi="Arial" w:cs="Arial"/>
          <w:bCs/>
          <w:sz w:val="20"/>
          <w:szCs w:val="20"/>
        </w:rPr>
        <w:t>integrins</w:t>
      </w:r>
      <w:proofErr w:type="spellEnd"/>
      <w:r w:rsidR="00E90A65" w:rsidRPr="00083DE8">
        <w:rPr>
          <w:rFonts w:ascii="Arial" w:hAnsi="Arial" w:cs="Arial"/>
          <w:bCs/>
          <w:sz w:val="20"/>
          <w:szCs w:val="20"/>
        </w:rPr>
        <w:t xml:space="preserve">-related pathways (highlighted in red). </w:t>
      </w:r>
      <w:proofErr w:type="gramStart"/>
      <w:r w:rsidR="00E90A65" w:rsidRPr="00083DE8">
        <w:rPr>
          <w:rFonts w:ascii="Arial" w:hAnsi="Arial" w:cs="Arial"/>
          <w:bCs/>
          <w:sz w:val="20"/>
          <w:szCs w:val="20"/>
        </w:rPr>
        <w:t>p-value</w:t>
      </w:r>
      <w:proofErr w:type="gramEnd"/>
      <w:r w:rsidR="00E90A65" w:rsidRPr="00083DE8">
        <w:rPr>
          <w:rFonts w:ascii="Arial" w:hAnsi="Arial" w:cs="Arial"/>
          <w:bCs/>
          <w:sz w:val="20"/>
          <w:szCs w:val="20"/>
        </w:rPr>
        <w:t xml:space="preserve"> and FDR </w:t>
      </w:r>
      <w:r w:rsidR="00E90A65" w:rsidRPr="00083DE8">
        <w:rPr>
          <w:rFonts w:ascii="Arial" w:hAnsi="Arial" w:cs="Arial"/>
          <w:sz w:val="20"/>
          <w:szCs w:val="20"/>
        </w:rPr>
        <w:t xml:space="preserve">≤ </w:t>
      </w:r>
      <w:r w:rsidR="00E90A65" w:rsidRPr="00083DE8">
        <w:rPr>
          <w:rFonts w:ascii="Arial" w:eastAsia="Times New Roman" w:hAnsi="Arial" w:cs="Arial"/>
          <w:sz w:val="20"/>
          <w:szCs w:val="20"/>
        </w:rPr>
        <w:t xml:space="preserve">0.05. </w:t>
      </w:r>
    </w:p>
    <w:p w:rsidR="005D5C00" w:rsidRPr="00083DE8" w:rsidRDefault="00D52679" w:rsidP="00F44C4C">
      <w:pPr>
        <w:spacing w:line="240" w:lineRule="auto"/>
        <w:jc w:val="both"/>
        <w:rPr>
          <w:rFonts w:ascii="Arial" w:hAnsi="Arial" w:cs="Arial"/>
          <w:sz w:val="20"/>
          <w:szCs w:val="20"/>
        </w:rPr>
      </w:pPr>
      <w:r w:rsidRPr="00083DE8">
        <w:rPr>
          <w:rFonts w:ascii="Arial" w:hAnsi="Arial" w:cs="Arial"/>
          <w:b/>
          <w:sz w:val="20"/>
          <w:szCs w:val="20"/>
        </w:rPr>
        <w:t>Figure S5.</w:t>
      </w:r>
      <w:r w:rsidRPr="00083DE8">
        <w:rPr>
          <w:rFonts w:ascii="Arial" w:hAnsi="Arial" w:cs="Arial"/>
          <w:sz w:val="20"/>
          <w:szCs w:val="20"/>
        </w:rPr>
        <w:t xml:space="preserve"> </w:t>
      </w:r>
      <w:proofErr w:type="gramStart"/>
      <w:r w:rsidRPr="00083DE8">
        <w:rPr>
          <w:rFonts w:ascii="Arial" w:hAnsi="Arial" w:cs="Arial"/>
          <w:sz w:val="20"/>
          <w:szCs w:val="20"/>
        </w:rPr>
        <w:t>Principal Component Analysis (PCA) plot (A) and Heatmap (B) showing the variations between MCF10A and MCF7 distal BRD4 binding sites.</w:t>
      </w:r>
      <w:proofErr w:type="gramEnd"/>
      <w:r w:rsidRPr="00083DE8">
        <w:rPr>
          <w:rFonts w:ascii="Arial" w:hAnsi="Arial" w:cs="Arial"/>
          <w:sz w:val="20"/>
          <w:szCs w:val="20"/>
        </w:rPr>
        <w:t xml:space="preserve"> The replicates are shown. (C) Plot showing the significant differentially bound regions (in red) among MCF10A and MCF7 for distal BRD4 occupancy. MCF10A-specific regions are shown with log2 fold change ≥ 1 and MCF7-specific regions are shown with log2 fold change ≤ 1. </w:t>
      </w:r>
      <w:proofErr w:type="gramStart"/>
      <w:r w:rsidRPr="00083DE8">
        <w:rPr>
          <w:rFonts w:ascii="Arial" w:hAnsi="Arial" w:cs="Arial"/>
          <w:sz w:val="20"/>
          <w:szCs w:val="20"/>
        </w:rPr>
        <w:t>FDR ≤ 0.05.</w:t>
      </w:r>
      <w:proofErr w:type="gramEnd"/>
      <w:r w:rsidRPr="00083DE8">
        <w:rPr>
          <w:rFonts w:ascii="Arial" w:hAnsi="Arial" w:cs="Arial"/>
          <w:sz w:val="20"/>
          <w:szCs w:val="20"/>
        </w:rPr>
        <w:t xml:space="preserve"> (D) Boxplot showing the BRD4 occupancy in MCF10A and MCF7 on distal sites </w:t>
      </w:r>
      <w:proofErr w:type="spellStart"/>
      <w:r w:rsidRPr="00083DE8">
        <w:rPr>
          <w:rFonts w:ascii="Arial" w:hAnsi="Arial" w:cs="Arial"/>
          <w:sz w:val="20"/>
          <w:szCs w:val="20"/>
        </w:rPr>
        <w:t>upto</w:t>
      </w:r>
      <w:proofErr w:type="spellEnd"/>
      <w:r w:rsidRPr="00083DE8">
        <w:rPr>
          <w:rFonts w:ascii="Arial" w:hAnsi="Arial" w:cs="Arial"/>
          <w:sz w:val="20"/>
          <w:szCs w:val="20"/>
        </w:rPr>
        <w:t xml:space="preserve"> 5 kb upstream or downstream of the genes. The plot shows the log2 values normalized reads of BRD4 occupancy in RPKM values. (E) Heatmap showing the difference in BRD4 occupancy between MCF10A and MCF7 distal BRD4 binding sites. The regions are aligned according to the highest signal in MCF7. Clustering was done based on k-means. The replicates are shown. (F) p-values calculated with Wilcoxon rank-sum test shown for figure S4D. </w:t>
      </w:r>
      <w:r w:rsidR="00023B2F" w:rsidRPr="00083DE8">
        <w:rPr>
          <w:rFonts w:ascii="Arial" w:eastAsia="Times New Roman" w:hAnsi="Arial" w:cs="Arial"/>
          <w:sz w:val="20"/>
          <w:szCs w:val="20"/>
        </w:rPr>
        <w:t xml:space="preserve">(G) Average profiles of MCF7 ER, MCF7 BRD4 and MCF10A BRD4 occupancy on MCF10A-specific and MCF7-specific BRD4 binding sites. Standard error is indicated in the shaded portion of the line. </w:t>
      </w:r>
      <w:r w:rsidR="00D87D6C" w:rsidRPr="00083DE8">
        <w:rPr>
          <w:rFonts w:ascii="Arial" w:hAnsi="Arial" w:cs="Arial"/>
          <w:sz w:val="20"/>
          <w:szCs w:val="20"/>
        </w:rPr>
        <w:t>(</w:t>
      </w:r>
      <w:r w:rsidR="00023B2F" w:rsidRPr="00083DE8">
        <w:rPr>
          <w:rFonts w:ascii="Arial" w:hAnsi="Arial" w:cs="Arial"/>
          <w:sz w:val="20"/>
          <w:szCs w:val="20"/>
        </w:rPr>
        <w:t>H</w:t>
      </w:r>
      <w:r w:rsidR="00D87D6C" w:rsidRPr="00083DE8">
        <w:rPr>
          <w:rFonts w:ascii="Arial" w:hAnsi="Arial" w:cs="Arial"/>
          <w:sz w:val="20"/>
          <w:szCs w:val="20"/>
        </w:rPr>
        <w:t xml:space="preserve">) </w:t>
      </w:r>
      <w:r w:rsidR="00D87D6C" w:rsidRPr="00083DE8">
        <w:rPr>
          <w:rFonts w:ascii="Arial" w:hAnsi="Arial" w:cs="Arial"/>
          <w:bCs/>
          <w:sz w:val="20"/>
          <w:szCs w:val="20"/>
        </w:rPr>
        <w:t xml:space="preserve">GREAT analysis on </w:t>
      </w:r>
      <w:r w:rsidR="00D87D6C" w:rsidRPr="00083DE8">
        <w:rPr>
          <w:rFonts w:ascii="Arial" w:hAnsi="Arial" w:cs="Arial"/>
          <w:sz w:val="20"/>
          <w:szCs w:val="20"/>
        </w:rPr>
        <w:t xml:space="preserve">MCF10A-specific distal BRD4 binding sites </w:t>
      </w:r>
      <w:r w:rsidR="00D87D6C" w:rsidRPr="00083DE8">
        <w:rPr>
          <w:rFonts w:ascii="Arial" w:hAnsi="Arial" w:cs="Arial"/>
          <w:bCs/>
          <w:sz w:val="20"/>
          <w:szCs w:val="20"/>
        </w:rPr>
        <w:t xml:space="preserve">shows the EGF- breast cancer and metastasis- related pathways. </w:t>
      </w:r>
      <w:proofErr w:type="gramStart"/>
      <w:r w:rsidR="00D87D6C" w:rsidRPr="00083DE8">
        <w:rPr>
          <w:rFonts w:ascii="Arial" w:hAnsi="Arial" w:cs="Arial"/>
          <w:bCs/>
          <w:sz w:val="20"/>
          <w:szCs w:val="20"/>
        </w:rPr>
        <w:t>p-value</w:t>
      </w:r>
      <w:proofErr w:type="gramEnd"/>
      <w:r w:rsidR="00D87D6C" w:rsidRPr="00083DE8">
        <w:rPr>
          <w:rFonts w:ascii="Arial" w:hAnsi="Arial" w:cs="Arial"/>
          <w:bCs/>
          <w:sz w:val="20"/>
          <w:szCs w:val="20"/>
        </w:rPr>
        <w:t xml:space="preserve"> and FDR </w:t>
      </w:r>
      <w:r w:rsidR="00D87D6C" w:rsidRPr="00083DE8">
        <w:rPr>
          <w:rFonts w:ascii="Arial" w:hAnsi="Arial" w:cs="Arial"/>
          <w:sz w:val="20"/>
          <w:szCs w:val="20"/>
        </w:rPr>
        <w:t xml:space="preserve">≤ </w:t>
      </w:r>
      <w:r w:rsidR="00D87D6C" w:rsidRPr="00083DE8">
        <w:rPr>
          <w:rFonts w:ascii="Arial" w:eastAsia="Times New Roman" w:hAnsi="Arial" w:cs="Arial"/>
          <w:sz w:val="20"/>
          <w:szCs w:val="20"/>
        </w:rPr>
        <w:t>0.05. (</w:t>
      </w:r>
      <w:r w:rsidR="00023B2F" w:rsidRPr="00083DE8">
        <w:rPr>
          <w:rFonts w:ascii="Arial" w:eastAsia="Times New Roman" w:hAnsi="Arial" w:cs="Arial"/>
          <w:sz w:val="20"/>
          <w:szCs w:val="20"/>
        </w:rPr>
        <w:t>I</w:t>
      </w:r>
      <w:r w:rsidR="00D87D6C" w:rsidRPr="00083DE8">
        <w:rPr>
          <w:rFonts w:ascii="Arial" w:eastAsia="Times New Roman" w:hAnsi="Arial" w:cs="Arial"/>
          <w:sz w:val="20"/>
          <w:szCs w:val="20"/>
        </w:rPr>
        <w:t xml:space="preserve">) Scatter plot showing the motifs associated with MCF7-specific distal nucleosome-free regions (RNAPII </w:t>
      </w:r>
      <w:proofErr w:type="spellStart"/>
      <w:r w:rsidR="00D87D6C" w:rsidRPr="00083DE8">
        <w:rPr>
          <w:rFonts w:ascii="Arial" w:eastAsia="Times New Roman" w:hAnsi="Arial" w:cs="Arial"/>
          <w:sz w:val="20"/>
          <w:szCs w:val="20"/>
        </w:rPr>
        <w:t>narrowpeaks</w:t>
      </w:r>
      <w:proofErr w:type="spellEnd"/>
      <w:r w:rsidR="00D87D6C" w:rsidRPr="00083DE8">
        <w:rPr>
          <w:rFonts w:ascii="Arial" w:eastAsia="Times New Roman" w:hAnsi="Arial" w:cs="Arial"/>
          <w:sz w:val="20"/>
          <w:szCs w:val="20"/>
        </w:rPr>
        <w:t>) bound adjacent with BRD4. ER</w:t>
      </w:r>
      <w:r w:rsidR="002235B1" w:rsidRPr="00083DE8">
        <w:rPr>
          <w:rFonts w:ascii="Arial" w:eastAsia="Times New Roman" w:hAnsi="Arial" w:cs="Arial"/>
          <w:sz w:val="20"/>
          <w:szCs w:val="20"/>
        </w:rPr>
        <w:t>, forkhead</w:t>
      </w:r>
      <w:r w:rsidR="00D87D6C" w:rsidRPr="00083DE8">
        <w:rPr>
          <w:rFonts w:ascii="Arial" w:eastAsia="Times New Roman" w:hAnsi="Arial" w:cs="Arial"/>
          <w:sz w:val="20"/>
          <w:szCs w:val="20"/>
        </w:rPr>
        <w:t xml:space="preserve"> and other nuclear receptor motifs are enriched. Plots are made according to Z-score in X-axis and Fisher score in y-axis. (</w:t>
      </w:r>
      <w:r w:rsidR="00023B2F" w:rsidRPr="00083DE8">
        <w:rPr>
          <w:rFonts w:ascii="Arial" w:eastAsia="Times New Roman" w:hAnsi="Arial" w:cs="Arial"/>
          <w:sz w:val="20"/>
          <w:szCs w:val="20"/>
        </w:rPr>
        <w:t>J</w:t>
      </w:r>
      <w:r w:rsidR="00D87D6C" w:rsidRPr="00083DE8">
        <w:rPr>
          <w:rFonts w:ascii="Arial" w:eastAsia="Times New Roman" w:hAnsi="Arial" w:cs="Arial"/>
          <w:sz w:val="20"/>
          <w:szCs w:val="20"/>
        </w:rPr>
        <w:t xml:space="preserve">) Scatter plot showing the motifs associated with MCF10A-specific distal nucleosome-free regions (RNAPII </w:t>
      </w:r>
      <w:proofErr w:type="spellStart"/>
      <w:r w:rsidR="00D87D6C" w:rsidRPr="00083DE8">
        <w:rPr>
          <w:rFonts w:ascii="Arial" w:eastAsia="Times New Roman" w:hAnsi="Arial" w:cs="Arial"/>
          <w:sz w:val="20"/>
          <w:szCs w:val="20"/>
        </w:rPr>
        <w:t>narrowpeaks</w:t>
      </w:r>
      <w:proofErr w:type="spellEnd"/>
      <w:r w:rsidR="00D87D6C" w:rsidRPr="00083DE8">
        <w:rPr>
          <w:rFonts w:ascii="Arial" w:eastAsia="Times New Roman" w:hAnsi="Arial" w:cs="Arial"/>
          <w:sz w:val="20"/>
          <w:szCs w:val="20"/>
        </w:rPr>
        <w:t xml:space="preserve">) bound adjacent with BRD4. </w:t>
      </w:r>
      <w:r w:rsidR="00837A52" w:rsidRPr="00083DE8">
        <w:rPr>
          <w:rFonts w:ascii="Arial" w:eastAsia="Times New Roman" w:hAnsi="Arial" w:cs="Arial"/>
          <w:sz w:val="20"/>
          <w:szCs w:val="20"/>
        </w:rPr>
        <w:t>Various Forkhead</w:t>
      </w:r>
      <w:r w:rsidR="00D87D6C" w:rsidRPr="00083DE8">
        <w:rPr>
          <w:rFonts w:ascii="Arial" w:eastAsia="Times New Roman" w:hAnsi="Arial" w:cs="Arial"/>
          <w:sz w:val="20"/>
          <w:szCs w:val="20"/>
        </w:rPr>
        <w:t xml:space="preserve"> </w:t>
      </w:r>
      <w:r w:rsidR="00D87D6C" w:rsidRPr="00083DE8">
        <w:rPr>
          <w:rFonts w:ascii="Arial" w:eastAsia="Times New Roman" w:hAnsi="Arial" w:cs="Arial"/>
          <w:sz w:val="20"/>
          <w:szCs w:val="20"/>
        </w:rPr>
        <w:lastRenderedPageBreak/>
        <w:t>motifs are enriched. Plots are made according to Z-score in X-axis and Fisher score in y-axis.</w:t>
      </w:r>
      <w:r w:rsidR="00837A52" w:rsidRPr="00083DE8">
        <w:rPr>
          <w:rFonts w:ascii="Arial" w:eastAsia="Times New Roman" w:hAnsi="Arial" w:cs="Arial"/>
          <w:sz w:val="20"/>
          <w:szCs w:val="20"/>
        </w:rPr>
        <w:t xml:space="preserve"> </w:t>
      </w:r>
      <w:proofErr w:type="gramStart"/>
      <w:r w:rsidR="00837A52" w:rsidRPr="00083DE8">
        <w:rPr>
          <w:rFonts w:ascii="Arial" w:eastAsia="Times New Roman" w:hAnsi="Arial" w:cs="Arial"/>
          <w:sz w:val="20"/>
          <w:szCs w:val="20"/>
        </w:rPr>
        <w:t>(</w:t>
      </w:r>
      <w:r w:rsidR="002235B1" w:rsidRPr="00083DE8">
        <w:rPr>
          <w:rFonts w:ascii="Arial" w:eastAsia="Times New Roman" w:hAnsi="Arial" w:cs="Arial"/>
          <w:sz w:val="20"/>
          <w:szCs w:val="20"/>
        </w:rPr>
        <w:t xml:space="preserve"> K</w:t>
      </w:r>
      <w:proofErr w:type="gramEnd"/>
      <w:r w:rsidR="002235B1" w:rsidRPr="00083DE8">
        <w:rPr>
          <w:rFonts w:ascii="Arial" w:eastAsia="Times New Roman" w:hAnsi="Arial" w:cs="Arial"/>
          <w:sz w:val="20"/>
          <w:szCs w:val="20"/>
        </w:rPr>
        <w:t>, L</w:t>
      </w:r>
      <w:r w:rsidR="008942C2" w:rsidRPr="00083DE8">
        <w:rPr>
          <w:rFonts w:ascii="Arial" w:eastAsia="Times New Roman" w:hAnsi="Arial" w:cs="Arial"/>
          <w:sz w:val="20"/>
          <w:szCs w:val="20"/>
        </w:rPr>
        <w:t>, M</w:t>
      </w:r>
      <w:r w:rsidR="00837A52" w:rsidRPr="00083DE8">
        <w:rPr>
          <w:rFonts w:ascii="Arial" w:eastAsia="Times New Roman" w:hAnsi="Arial" w:cs="Arial"/>
          <w:sz w:val="20"/>
          <w:szCs w:val="20"/>
        </w:rPr>
        <w:t xml:space="preserve">) </w:t>
      </w:r>
      <w:r w:rsidR="00837A52" w:rsidRPr="00083DE8">
        <w:rPr>
          <w:rFonts w:ascii="Arial" w:hAnsi="Arial" w:cs="Arial"/>
          <w:bCs/>
          <w:sz w:val="20"/>
          <w:szCs w:val="20"/>
        </w:rPr>
        <w:t xml:space="preserve">GREAT analysis on </w:t>
      </w:r>
      <w:r w:rsidR="00837A52" w:rsidRPr="00083DE8">
        <w:rPr>
          <w:rFonts w:ascii="Arial" w:hAnsi="Arial" w:cs="Arial"/>
          <w:sz w:val="20"/>
          <w:szCs w:val="20"/>
        </w:rPr>
        <w:t xml:space="preserve">MCF10A-specific distal nucleosome free regions adjacent to BRD4 binding sites </w:t>
      </w:r>
      <w:r w:rsidR="00837A52" w:rsidRPr="00083DE8">
        <w:rPr>
          <w:rFonts w:ascii="Arial" w:hAnsi="Arial" w:cs="Arial"/>
          <w:bCs/>
          <w:sz w:val="20"/>
          <w:szCs w:val="20"/>
        </w:rPr>
        <w:t xml:space="preserve">shows the EGF/PI3K/FOXO-, </w:t>
      </w:r>
      <w:proofErr w:type="spellStart"/>
      <w:r w:rsidR="00837A52" w:rsidRPr="00083DE8">
        <w:rPr>
          <w:rFonts w:ascii="Arial" w:hAnsi="Arial" w:cs="Arial"/>
          <w:bCs/>
          <w:sz w:val="20"/>
          <w:szCs w:val="20"/>
        </w:rPr>
        <w:t>integrins</w:t>
      </w:r>
      <w:proofErr w:type="spellEnd"/>
      <w:r w:rsidR="00837A52" w:rsidRPr="00083DE8">
        <w:rPr>
          <w:rFonts w:ascii="Arial" w:hAnsi="Arial" w:cs="Arial"/>
          <w:bCs/>
          <w:sz w:val="20"/>
          <w:szCs w:val="20"/>
        </w:rPr>
        <w:t xml:space="preserve"> and metastasis- related pathways. </w:t>
      </w:r>
      <w:proofErr w:type="gramStart"/>
      <w:r w:rsidR="00837A52" w:rsidRPr="00083DE8">
        <w:rPr>
          <w:rFonts w:ascii="Arial" w:hAnsi="Arial" w:cs="Arial"/>
          <w:bCs/>
          <w:sz w:val="20"/>
          <w:szCs w:val="20"/>
        </w:rPr>
        <w:t>p-value</w:t>
      </w:r>
      <w:proofErr w:type="gramEnd"/>
      <w:r w:rsidR="00837A52" w:rsidRPr="00083DE8">
        <w:rPr>
          <w:rFonts w:ascii="Arial" w:hAnsi="Arial" w:cs="Arial"/>
          <w:bCs/>
          <w:sz w:val="20"/>
          <w:szCs w:val="20"/>
        </w:rPr>
        <w:t xml:space="preserve"> and FDR </w:t>
      </w:r>
      <w:r w:rsidR="00837A52" w:rsidRPr="00083DE8">
        <w:rPr>
          <w:rFonts w:ascii="Arial" w:hAnsi="Arial" w:cs="Arial"/>
          <w:sz w:val="20"/>
          <w:szCs w:val="20"/>
        </w:rPr>
        <w:t xml:space="preserve">≤ </w:t>
      </w:r>
      <w:r w:rsidR="00837A52" w:rsidRPr="00083DE8">
        <w:rPr>
          <w:rFonts w:ascii="Arial" w:eastAsia="Times New Roman" w:hAnsi="Arial" w:cs="Arial"/>
          <w:sz w:val="20"/>
          <w:szCs w:val="20"/>
        </w:rPr>
        <w:t>0.05.</w:t>
      </w:r>
    </w:p>
    <w:p w:rsidR="00837A52" w:rsidRPr="00083DE8" w:rsidRDefault="00837A52" w:rsidP="00F44C4C">
      <w:pPr>
        <w:spacing w:line="240" w:lineRule="auto"/>
        <w:jc w:val="both"/>
        <w:rPr>
          <w:rFonts w:ascii="Arial" w:eastAsia="Times New Roman" w:hAnsi="Arial" w:cs="Arial"/>
          <w:sz w:val="20"/>
          <w:szCs w:val="20"/>
        </w:rPr>
      </w:pPr>
      <w:r w:rsidRPr="00083DE8">
        <w:rPr>
          <w:rFonts w:ascii="Arial" w:hAnsi="Arial" w:cs="Arial"/>
          <w:b/>
          <w:sz w:val="20"/>
          <w:szCs w:val="20"/>
        </w:rPr>
        <w:t>Figure S6.</w:t>
      </w:r>
      <w:r w:rsidRPr="00083DE8">
        <w:rPr>
          <w:rFonts w:ascii="Arial" w:hAnsi="Arial" w:cs="Arial"/>
          <w:sz w:val="20"/>
          <w:szCs w:val="20"/>
        </w:rPr>
        <w:t xml:space="preserve"> (A, B) </w:t>
      </w:r>
      <w:r w:rsidRPr="00083DE8">
        <w:rPr>
          <w:rFonts w:ascii="Arial" w:hAnsi="Arial" w:cs="Arial"/>
          <w:sz w:val="20"/>
          <w:szCs w:val="20"/>
          <w:lang w:val="en-IN"/>
        </w:rPr>
        <w:t>Average plots and h</w:t>
      </w:r>
      <w:r w:rsidRPr="00083DE8">
        <w:rPr>
          <w:rFonts w:ascii="Arial" w:hAnsi="Arial" w:cs="Arial"/>
          <w:sz w:val="20"/>
          <w:szCs w:val="20"/>
        </w:rPr>
        <w:t>eatmap analyses depicting the occupancy of BRD4 and RNAPII with vehicle (</w:t>
      </w:r>
      <w:proofErr w:type="spellStart"/>
      <w:r w:rsidRPr="00083DE8">
        <w:rPr>
          <w:rFonts w:ascii="Arial" w:hAnsi="Arial" w:cs="Arial"/>
          <w:sz w:val="20"/>
          <w:szCs w:val="20"/>
        </w:rPr>
        <w:t>Veh</w:t>
      </w:r>
      <w:proofErr w:type="spellEnd"/>
      <w:r w:rsidRPr="00083DE8">
        <w:rPr>
          <w:rFonts w:ascii="Arial" w:hAnsi="Arial" w:cs="Arial"/>
          <w:sz w:val="20"/>
          <w:szCs w:val="20"/>
        </w:rPr>
        <w:t xml:space="preserve">) and Tamoxifen (Tam)-treated conditions located on all TSS (A) and TSS associated with JQ1 non-regulated genes (B) aligned according to its maximum signal of BRD4 occupancy. Scale is shown as normalized RPKM values. </w:t>
      </w:r>
      <w:proofErr w:type="gramStart"/>
      <w:r w:rsidRPr="00083DE8">
        <w:rPr>
          <w:rFonts w:ascii="Arial" w:hAnsi="Arial" w:cs="Arial"/>
          <w:sz w:val="20"/>
          <w:szCs w:val="20"/>
        </w:rPr>
        <w:t xml:space="preserve">TSS ± 5 </w:t>
      </w:r>
      <w:proofErr w:type="spellStart"/>
      <w:r w:rsidRPr="00083DE8">
        <w:rPr>
          <w:rFonts w:ascii="Arial" w:hAnsi="Arial" w:cs="Arial"/>
          <w:sz w:val="20"/>
          <w:szCs w:val="20"/>
        </w:rPr>
        <w:t>kilobases</w:t>
      </w:r>
      <w:proofErr w:type="spellEnd"/>
      <w:r w:rsidRPr="00083DE8">
        <w:rPr>
          <w:rFonts w:ascii="Arial" w:hAnsi="Arial" w:cs="Arial"/>
          <w:sz w:val="20"/>
          <w:szCs w:val="20"/>
        </w:rPr>
        <w:t xml:space="preserve"> is</w:t>
      </w:r>
      <w:proofErr w:type="gramEnd"/>
      <w:r w:rsidRPr="00083DE8">
        <w:rPr>
          <w:rFonts w:ascii="Arial" w:hAnsi="Arial" w:cs="Arial"/>
          <w:sz w:val="20"/>
          <w:szCs w:val="20"/>
        </w:rPr>
        <w:t xml:space="preserve"> shown. (C) Heatmap showing the variations between distal RNAPII occupancy under vehicle- and Tamoxifen-treated conditions binding sites. The replicates are shown. (D) Plot showing the significant differentially bound regions (in red) among distal RNAPII occupancy under vehicle- and Tamoxifen-treated conditions. RNAPII bound regions enriched with Vehicle </w:t>
      </w:r>
      <w:proofErr w:type="gramStart"/>
      <w:r w:rsidRPr="00083DE8">
        <w:rPr>
          <w:rFonts w:ascii="Arial" w:hAnsi="Arial" w:cs="Arial"/>
          <w:sz w:val="20"/>
          <w:szCs w:val="20"/>
        </w:rPr>
        <w:t>treatment comparing to Tamoxifen are</w:t>
      </w:r>
      <w:proofErr w:type="gramEnd"/>
      <w:r w:rsidRPr="00083DE8">
        <w:rPr>
          <w:rFonts w:ascii="Arial" w:hAnsi="Arial" w:cs="Arial"/>
          <w:sz w:val="20"/>
          <w:szCs w:val="20"/>
        </w:rPr>
        <w:t xml:space="preserve"> shown with log2 fold change ≥ 1 and RNAPII depleted with Vehicle treatment and enriched with Tamoxifen are shown with log2 fold change ≤ 1. </w:t>
      </w:r>
      <w:proofErr w:type="gramStart"/>
      <w:r w:rsidRPr="00083DE8">
        <w:rPr>
          <w:rFonts w:ascii="Arial" w:hAnsi="Arial" w:cs="Arial"/>
          <w:sz w:val="20"/>
          <w:szCs w:val="20"/>
        </w:rPr>
        <w:t>FDR ≤ 0.05.</w:t>
      </w:r>
      <w:proofErr w:type="gramEnd"/>
      <w:r w:rsidRPr="00083DE8">
        <w:rPr>
          <w:rFonts w:ascii="Arial" w:hAnsi="Arial" w:cs="Arial"/>
          <w:sz w:val="20"/>
          <w:szCs w:val="20"/>
        </w:rPr>
        <w:t xml:space="preserve"> (E) Principal Component Analysis (PCA) showing the variations between distal RNAPII occupancy under vehicle- and Tamoxifen-treated conditions. The replicates are shown. </w:t>
      </w:r>
      <w:r w:rsidR="001B1D0C" w:rsidRPr="00083DE8">
        <w:rPr>
          <w:rFonts w:ascii="Arial" w:hAnsi="Arial" w:cs="Arial"/>
          <w:sz w:val="20"/>
          <w:szCs w:val="20"/>
        </w:rPr>
        <w:t>(F</w:t>
      </w:r>
      <w:r w:rsidRPr="00083DE8">
        <w:rPr>
          <w:rFonts w:ascii="Arial" w:hAnsi="Arial" w:cs="Arial"/>
          <w:sz w:val="20"/>
          <w:szCs w:val="20"/>
        </w:rPr>
        <w:t xml:space="preserve">) Heatmap showing the difference in </w:t>
      </w:r>
      <w:r w:rsidR="001B1D0C" w:rsidRPr="00083DE8">
        <w:rPr>
          <w:rFonts w:ascii="Arial" w:hAnsi="Arial" w:cs="Arial"/>
          <w:sz w:val="20"/>
          <w:szCs w:val="20"/>
        </w:rPr>
        <w:t xml:space="preserve">distal RNAPII occupancy under vehicle- and Tamoxifen-treated conditions. The replicates are shown. </w:t>
      </w:r>
      <w:r w:rsidRPr="00083DE8">
        <w:rPr>
          <w:rFonts w:ascii="Arial" w:hAnsi="Arial" w:cs="Arial"/>
          <w:sz w:val="20"/>
          <w:szCs w:val="20"/>
        </w:rPr>
        <w:t xml:space="preserve">The regions are aligned according to the highest signal in MCF7. Clustering was done based on k-means (G) </w:t>
      </w:r>
      <w:r w:rsidRPr="00083DE8">
        <w:rPr>
          <w:rFonts w:ascii="Arial" w:hAnsi="Arial" w:cs="Arial"/>
          <w:bCs/>
          <w:sz w:val="20"/>
          <w:szCs w:val="20"/>
        </w:rPr>
        <w:t xml:space="preserve">GREAT analysis on </w:t>
      </w:r>
      <w:r w:rsidR="001B1D0C" w:rsidRPr="00083DE8">
        <w:rPr>
          <w:rFonts w:ascii="Arial" w:hAnsi="Arial" w:cs="Arial"/>
          <w:sz w:val="20"/>
          <w:szCs w:val="20"/>
        </w:rPr>
        <w:t>distal RNAPII-bound sites enriched with vehicle comparing to Tamoxifen-treated conditions</w:t>
      </w:r>
      <w:r w:rsidRPr="00083DE8">
        <w:rPr>
          <w:rFonts w:ascii="Arial" w:hAnsi="Arial" w:cs="Arial"/>
          <w:sz w:val="20"/>
          <w:szCs w:val="20"/>
        </w:rPr>
        <w:t xml:space="preserve"> </w:t>
      </w:r>
      <w:r w:rsidRPr="00083DE8">
        <w:rPr>
          <w:rFonts w:ascii="Arial" w:hAnsi="Arial" w:cs="Arial"/>
          <w:bCs/>
          <w:sz w:val="20"/>
          <w:szCs w:val="20"/>
        </w:rPr>
        <w:t>shows the EGF-</w:t>
      </w:r>
      <w:r w:rsidR="001B1D0C" w:rsidRPr="00083DE8">
        <w:rPr>
          <w:rFonts w:ascii="Arial" w:hAnsi="Arial" w:cs="Arial"/>
          <w:bCs/>
          <w:sz w:val="20"/>
          <w:szCs w:val="20"/>
        </w:rPr>
        <w:t>, EMT-,</w:t>
      </w:r>
      <w:r w:rsidRPr="00083DE8">
        <w:rPr>
          <w:rFonts w:ascii="Arial" w:hAnsi="Arial" w:cs="Arial"/>
          <w:bCs/>
          <w:sz w:val="20"/>
          <w:szCs w:val="20"/>
        </w:rPr>
        <w:t xml:space="preserve"> breast cancer and metastasis- related pathways. </w:t>
      </w:r>
      <w:proofErr w:type="gramStart"/>
      <w:r w:rsidRPr="00083DE8">
        <w:rPr>
          <w:rFonts w:ascii="Arial" w:hAnsi="Arial" w:cs="Arial"/>
          <w:bCs/>
          <w:sz w:val="20"/>
          <w:szCs w:val="20"/>
        </w:rPr>
        <w:t>p-value</w:t>
      </w:r>
      <w:proofErr w:type="gramEnd"/>
      <w:r w:rsidRPr="00083DE8">
        <w:rPr>
          <w:rFonts w:ascii="Arial" w:hAnsi="Arial" w:cs="Arial"/>
          <w:bCs/>
          <w:sz w:val="20"/>
          <w:szCs w:val="20"/>
        </w:rPr>
        <w:t xml:space="preserve"> and FDR </w:t>
      </w:r>
      <w:r w:rsidRPr="00083DE8">
        <w:rPr>
          <w:rFonts w:ascii="Arial" w:hAnsi="Arial" w:cs="Arial"/>
          <w:sz w:val="20"/>
          <w:szCs w:val="20"/>
        </w:rPr>
        <w:t xml:space="preserve">≤ </w:t>
      </w:r>
      <w:r w:rsidRPr="00083DE8">
        <w:rPr>
          <w:rFonts w:ascii="Arial" w:eastAsia="Times New Roman" w:hAnsi="Arial" w:cs="Arial"/>
          <w:sz w:val="20"/>
          <w:szCs w:val="20"/>
        </w:rPr>
        <w:t xml:space="preserve">0.05. </w:t>
      </w:r>
      <w:r w:rsidR="001B1D0C" w:rsidRPr="00083DE8">
        <w:rPr>
          <w:rFonts w:ascii="Arial" w:hAnsi="Arial" w:cs="Arial"/>
          <w:sz w:val="20"/>
          <w:szCs w:val="20"/>
        </w:rPr>
        <w:t xml:space="preserve">(H) </w:t>
      </w:r>
      <w:r w:rsidR="001B1D0C" w:rsidRPr="00083DE8">
        <w:rPr>
          <w:rFonts w:ascii="Arial" w:hAnsi="Arial" w:cs="Arial"/>
          <w:bCs/>
          <w:sz w:val="20"/>
          <w:szCs w:val="20"/>
        </w:rPr>
        <w:t xml:space="preserve">GREAT analysis on </w:t>
      </w:r>
      <w:r w:rsidR="001B1D0C" w:rsidRPr="00083DE8">
        <w:rPr>
          <w:rFonts w:ascii="Arial" w:hAnsi="Arial" w:cs="Arial"/>
          <w:sz w:val="20"/>
          <w:szCs w:val="20"/>
        </w:rPr>
        <w:t xml:space="preserve">distal RNAPII-bound sites enriched with vehicle comparing to Tamoxifen-treated conditions </w:t>
      </w:r>
      <w:r w:rsidR="001B1D0C" w:rsidRPr="00083DE8">
        <w:rPr>
          <w:rFonts w:ascii="Arial" w:hAnsi="Arial" w:cs="Arial"/>
          <w:bCs/>
          <w:sz w:val="20"/>
          <w:szCs w:val="20"/>
        </w:rPr>
        <w:t xml:space="preserve">shows the oncogenic signatures associated with RAS/RAF pathways which could be activate by EGF signaling. </w:t>
      </w:r>
      <w:proofErr w:type="gramStart"/>
      <w:r w:rsidR="001B1D0C" w:rsidRPr="00083DE8">
        <w:rPr>
          <w:rFonts w:ascii="Arial" w:hAnsi="Arial" w:cs="Arial"/>
          <w:bCs/>
          <w:sz w:val="20"/>
          <w:szCs w:val="20"/>
        </w:rPr>
        <w:t>p-value</w:t>
      </w:r>
      <w:proofErr w:type="gramEnd"/>
      <w:r w:rsidR="001B1D0C" w:rsidRPr="00083DE8">
        <w:rPr>
          <w:rFonts w:ascii="Arial" w:hAnsi="Arial" w:cs="Arial"/>
          <w:bCs/>
          <w:sz w:val="20"/>
          <w:szCs w:val="20"/>
        </w:rPr>
        <w:t xml:space="preserve"> and FDR </w:t>
      </w:r>
      <w:r w:rsidR="001B1D0C" w:rsidRPr="00083DE8">
        <w:rPr>
          <w:rFonts w:ascii="Arial" w:hAnsi="Arial" w:cs="Arial"/>
          <w:sz w:val="20"/>
          <w:szCs w:val="20"/>
        </w:rPr>
        <w:t xml:space="preserve">≤ </w:t>
      </w:r>
      <w:r w:rsidR="001B1D0C" w:rsidRPr="00083DE8">
        <w:rPr>
          <w:rFonts w:ascii="Arial" w:eastAsia="Times New Roman" w:hAnsi="Arial" w:cs="Arial"/>
          <w:sz w:val="20"/>
          <w:szCs w:val="20"/>
        </w:rPr>
        <w:t xml:space="preserve">0.05. </w:t>
      </w:r>
    </w:p>
    <w:p w:rsidR="001B1D0C" w:rsidRPr="00083DE8" w:rsidRDefault="001B1D0C" w:rsidP="00F44C4C">
      <w:pPr>
        <w:spacing w:line="240" w:lineRule="auto"/>
        <w:jc w:val="both"/>
        <w:rPr>
          <w:rFonts w:ascii="Arial" w:hAnsi="Arial" w:cs="Arial"/>
          <w:sz w:val="20"/>
          <w:szCs w:val="20"/>
        </w:rPr>
      </w:pPr>
      <w:r w:rsidRPr="00083DE8">
        <w:rPr>
          <w:rFonts w:ascii="Arial" w:eastAsia="Times New Roman" w:hAnsi="Arial" w:cs="Arial"/>
          <w:b/>
          <w:sz w:val="20"/>
          <w:szCs w:val="20"/>
        </w:rPr>
        <w:t>Figure S7</w:t>
      </w:r>
      <w:r w:rsidRPr="00083DE8">
        <w:rPr>
          <w:rFonts w:ascii="Arial" w:eastAsia="Times New Roman" w:hAnsi="Arial" w:cs="Arial"/>
          <w:sz w:val="20"/>
          <w:szCs w:val="20"/>
        </w:rPr>
        <w:t xml:space="preserve">. (A) </w:t>
      </w:r>
      <w:r w:rsidRPr="00083DE8">
        <w:rPr>
          <w:rFonts w:ascii="Arial" w:hAnsi="Arial" w:cs="Arial"/>
          <w:sz w:val="20"/>
          <w:szCs w:val="20"/>
          <w:lang w:val="en-IN"/>
        </w:rPr>
        <w:t xml:space="preserve">FOXO-target genes regulated by Insulin and JQ1 treatment in HepG2 cells were confirmed by qPCR and denoted as "Rel. mRNA levels" compared to RPLP0 expression levels. Data are represented as mean ± standard deviation. n=3. </w:t>
      </w:r>
      <w:proofErr w:type="gramStart"/>
      <w:r w:rsidRPr="00083DE8">
        <w:rPr>
          <w:rFonts w:ascii="Arial" w:hAnsi="Arial" w:cs="Arial"/>
          <w:sz w:val="20"/>
          <w:szCs w:val="20"/>
          <w:lang w:val="en-IN"/>
        </w:rPr>
        <w:t>***p ≤ 0.001.</w:t>
      </w:r>
      <w:proofErr w:type="gramEnd"/>
      <w:r w:rsidRPr="00083DE8">
        <w:rPr>
          <w:rFonts w:ascii="Arial" w:hAnsi="Arial" w:cs="Arial"/>
          <w:sz w:val="20"/>
          <w:szCs w:val="20"/>
          <w:lang w:val="en-IN"/>
        </w:rPr>
        <w:t xml:space="preserve"> All the cells were grown in serum-free media (DMEM-F12) for 72 hours and treated with Insulin and 250 </w:t>
      </w:r>
      <w:proofErr w:type="spellStart"/>
      <w:r w:rsidRPr="00083DE8">
        <w:rPr>
          <w:rFonts w:ascii="Arial" w:hAnsi="Arial" w:cs="Arial"/>
          <w:sz w:val="20"/>
          <w:szCs w:val="20"/>
          <w:lang w:val="en-IN"/>
        </w:rPr>
        <w:t>nM</w:t>
      </w:r>
      <w:proofErr w:type="spellEnd"/>
      <w:r w:rsidRPr="00083DE8">
        <w:rPr>
          <w:rFonts w:ascii="Arial" w:hAnsi="Arial" w:cs="Arial"/>
          <w:sz w:val="20"/>
          <w:szCs w:val="20"/>
          <w:lang w:val="en-IN"/>
        </w:rPr>
        <w:t xml:space="preserve"> JQ1 for 12 hours before harvesting. (B) </w:t>
      </w:r>
      <w:r w:rsidRPr="00083DE8">
        <w:rPr>
          <w:rFonts w:ascii="Arial" w:hAnsi="Arial" w:cs="Arial"/>
          <w:sz w:val="20"/>
          <w:szCs w:val="20"/>
        </w:rPr>
        <w:t xml:space="preserve">ChIP analyses of BRD4 occupancy on </w:t>
      </w:r>
      <w:r w:rsidRPr="00083DE8">
        <w:rPr>
          <w:rFonts w:ascii="Arial" w:hAnsi="Arial" w:cs="Arial"/>
          <w:i/>
          <w:sz w:val="20"/>
          <w:szCs w:val="20"/>
        </w:rPr>
        <w:t xml:space="preserve">G6PC </w:t>
      </w:r>
      <w:r w:rsidRPr="00083DE8">
        <w:rPr>
          <w:rFonts w:ascii="Arial" w:hAnsi="Arial" w:cs="Arial"/>
          <w:sz w:val="20"/>
          <w:szCs w:val="20"/>
        </w:rPr>
        <w:t xml:space="preserve">Insulin Response Element (IRE) after Insulin or JQ1 treatment. </w:t>
      </w:r>
      <w:proofErr w:type="spellStart"/>
      <w:r w:rsidRPr="00083DE8">
        <w:rPr>
          <w:rFonts w:ascii="Arial" w:hAnsi="Arial" w:cs="Arial"/>
          <w:sz w:val="20"/>
          <w:szCs w:val="20"/>
        </w:rPr>
        <w:t>Immunoprecipitated</w:t>
      </w:r>
      <w:proofErr w:type="spellEnd"/>
      <w:r w:rsidRPr="00083DE8">
        <w:rPr>
          <w:rFonts w:ascii="Arial" w:hAnsi="Arial" w:cs="Arial"/>
          <w:sz w:val="20"/>
          <w:szCs w:val="20"/>
        </w:rPr>
        <w:t xml:space="preserve"> DNA is related to the input and denoted in percentage. Black dotted line denotes the background DNA bound by negative control IgG antibody. DMSO refers to the vehicle-treated sample. Data are represented as mean ± standard deviation. n=3. </w:t>
      </w:r>
      <w:r w:rsidRPr="00083DE8">
        <w:rPr>
          <w:rFonts w:ascii="Arial" w:hAnsi="Arial" w:cs="Arial"/>
          <w:sz w:val="20"/>
          <w:szCs w:val="20"/>
          <w:lang w:val="en-IN"/>
        </w:rPr>
        <w:t xml:space="preserve">All the cells were grown in serum-free media (DMEM-F12) for 72 hours and treated with Insulin and 250 </w:t>
      </w:r>
      <w:proofErr w:type="spellStart"/>
      <w:r w:rsidRPr="00083DE8">
        <w:rPr>
          <w:rFonts w:ascii="Arial" w:hAnsi="Arial" w:cs="Arial"/>
          <w:sz w:val="20"/>
          <w:szCs w:val="20"/>
          <w:lang w:val="en-IN"/>
        </w:rPr>
        <w:t>nM</w:t>
      </w:r>
      <w:proofErr w:type="spellEnd"/>
      <w:r w:rsidRPr="00083DE8">
        <w:rPr>
          <w:rFonts w:ascii="Arial" w:hAnsi="Arial" w:cs="Arial"/>
          <w:sz w:val="20"/>
          <w:szCs w:val="20"/>
          <w:lang w:val="en-IN"/>
        </w:rPr>
        <w:t xml:space="preserve"> JQ1 for 12 hours before harvesting.</w:t>
      </w:r>
    </w:p>
    <w:p w:rsidR="00C87E0B" w:rsidRPr="00083DE8" w:rsidRDefault="00C87E0B" w:rsidP="00F44C4C">
      <w:pPr>
        <w:spacing w:line="240" w:lineRule="auto"/>
        <w:jc w:val="both"/>
        <w:rPr>
          <w:rFonts w:ascii="Arial" w:hAnsi="Arial" w:cs="Arial"/>
          <w:sz w:val="20"/>
          <w:szCs w:val="20"/>
        </w:rPr>
      </w:pPr>
    </w:p>
    <w:sectPr w:rsidR="00C87E0B" w:rsidRPr="00083DE8" w:rsidSect="000C57B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embedRegular r:id="rId1" w:fontKey="{04443F46-978B-4066-955E-646647C4C896}"/>
    <w:embedBold r:id="rId2" w:fontKey="{3DD3AC1B-DFE7-4E4E-810B-B7BEB99F47E2}"/>
    <w:embedItalic r:id="rId3" w:fontKey="{7B2EA10E-09E1-46C2-92A9-EAA431C99F55}"/>
  </w:font>
  <w:font w:name="Cambria Math">
    <w:panose1 w:val="02040503050406030204"/>
    <w:charset w:val="00"/>
    <w:family w:val="roman"/>
    <w:pitch w:val="variable"/>
    <w:sig w:usb0="E00002FF" w:usb1="420024FF" w:usb2="00000000" w:usb3="00000000" w:csb0="0000019F" w:csb1="00000000"/>
    <w:embedRegular r:id="rId4" w:subsetted="1" w:fontKey="{A658633D-4362-4A39-8792-A9F3B32FBFBA}"/>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TrueTypeFonts/>
  <w:embedSystemFonts/>
  <w:saveSubsetFonts/>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E0B"/>
    <w:rsid w:val="0000082B"/>
    <w:rsid w:val="00000EF5"/>
    <w:rsid w:val="00001B71"/>
    <w:rsid w:val="00012B27"/>
    <w:rsid w:val="00015921"/>
    <w:rsid w:val="00023000"/>
    <w:rsid w:val="00023B2F"/>
    <w:rsid w:val="00025E80"/>
    <w:rsid w:val="0002666B"/>
    <w:rsid w:val="00030142"/>
    <w:rsid w:val="00030143"/>
    <w:rsid w:val="000306C2"/>
    <w:rsid w:val="00030CB2"/>
    <w:rsid w:val="000330CA"/>
    <w:rsid w:val="00034DF2"/>
    <w:rsid w:val="00036037"/>
    <w:rsid w:val="000363B4"/>
    <w:rsid w:val="000365FB"/>
    <w:rsid w:val="000422C6"/>
    <w:rsid w:val="000431AE"/>
    <w:rsid w:val="000447F1"/>
    <w:rsid w:val="000511AF"/>
    <w:rsid w:val="0005311F"/>
    <w:rsid w:val="00062BCF"/>
    <w:rsid w:val="00065DCA"/>
    <w:rsid w:val="000724D0"/>
    <w:rsid w:val="00072779"/>
    <w:rsid w:val="00073CC0"/>
    <w:rsid w:val="00077383"/>
    <w:rsid w:val="00081E99"/>
    <w:rsid w:val="00083544"/>
    <w:rsid w:val="00083AD0"/>
    <w:rsid w:val="00083DE8"/>
    <w:rsid w:val="00086BCD"/>
    <w:rsid w:val="00090F15"/>
    <w:rsid w:val="00094AAE"/>
    <w:rsid w:val="000955FE"/>
    <w:rsid w:val="00095B57"/>
    <w:rsid w:val="00097BCC"/>
    <w:rsid w:val="000A093A"/>
    <w:rsid w:val="000A2425"/>
    <w:rsid w:val="000A2555"/>
    <w:rsid w:val="000A50B3"/>
    <w:rsid w:val="000A6F61"/>
    <w:rsid w:val="000B1A38"/>
    <w:rsid w:val="000B2386"/>
    <w:rsid w:val="000B3C21"/>
    <w:rsid w:val="000B4408"/>
    <w:rsid w:val="000B6DCC"/>
    <w:rsid w:val="000C126B"/>
    <w:rsid w:val="000C1652"/>
    <w:rsid w:val="000C486C"/>
    <w:rsid w:val="000C57BF"/>
    <w:rsid w:val="000D7C0E"/>
    <w:rsid w:val="000E1373"/>
    <w:rsid w:val="000E2732"/>
    <w:rsid w:val="000E7D11"/>
    <w:rsid w:val="000F0032"/>
    <w:rsid w:val="000F41AE"/>
    <w:rsid w:val="000F46B8"/>
    <w:rsid w:val="000F536E"/>
    <w:rsid w:val="00104177"/>
    <w:rsid w:val="00105A3B"/>
    <w:rsid w:val="001066D2"/>
    <w:rsid w:val="001108BB"/>
    <w:rsid w:val="00110ED5"/>
    <w:rsid w:val="0011353C"/>
    <w:rsid w:val="001152F8"/>
    <w:rsid w:val="001170AF"/>
    <w:rsid w:val="00120685"/>
    <w:rsid w:val="001225DC"/>
    <w:rsid w:val="001253B3"/>
    <w:rsid w:val="0013596C"/>
    <w:rsid w:val="00136744"/>
    <w:rsid w:val="00136B97"/>
    <w:rsid w:val="00141A95"/>
    <w:rsid w:val="001423A1"/>
    <w:rsid w:val="001433F0"/>
    <w:rsid w:val="00143CDD"/>
    <w:rsid w:val="00144198"/>
    <w:rsid w:val="001450CD"/>
    <w:rsid w:val="00151E8D"/>
    <w:rsid w:val="001527F7"/>
    <w:rsid w:val="00153949"/>
    <w:rsid w:val="0016258F"/>
    <w:rsid w:val="00166253"/>
    <w:rsid w:val="00170E35"/>
    <w:rsid w:val="0017225F"/>
    <w:rsid w:val="00175082"/>
    <w:rsid w:val="00180FE6"/>
    <w:rsid w:val="0018251D"/>
    <w:rsid w:val="0018383A"/>
    <w:rsid w:val="00185FC3"/>
    <w:rsid w:val="00187F45"/>
    <w:rsid w:val="00193DA2"/>
    <w:rsid w:val="0019457E"/>
    <w:rsid w:val="00195406"/>
    <w:rsid w:val="00195582"/>
    <w:rsid w:val="001973A0"/>
    <w:rsid w:val="00197B17"/>
    <w:rsid w:val="001A0D54"/>
    <w:rsid w:val="001A480F"/>
    <w:rsid w:val="001A6A1F"/>
    <w:rsid w:val="001B1D0C"/>
    <w:rsid w:val="001B23A9"/>
    <w:rsid w:val="001B2B23"/>
    <w:rsid w:val="001B3410"/>
    <w:rsid w:val="001B78F3"/>
    <w:rsid w:val="001C3AE9"/>
    <w:rsid w:val="001C621E"/>
    <w:rsid w:val="001D064E"/>
    <w:rsid w:val="001D46B7"/>
    <w:rsid w:val="001D58F1"/>
    <w:rsid w:val="001E34ED"/>
    <w:rsid w:val="001E70C9"/>
    <w:rsid w:val="001F09C5"/>
    <w:rsid w:val="001F0B3C"/>
    <w:rsid w:val="001F1317"/>
    <w:rsid w:val="001F6044"/>
    <w:rsid w:val="00200C4F"/>
    <w:rsid w:val="0020397A"/>
    <w:rsid w:val="00204C50"/>
    <w:rsid w:val="00207F8C"/>
    <w:rsid w:val="0021542C"/>
    <w:rsid w:val="00216FBE"/>
    <w:rsid w:val="00220CA8"/>
    <w:rsid w:val="00221821"/>
    <w:rsid w:val="00221A9B"/>
    <w:rsid w:val="002235B1"/>
    <w:rsid w:val="00224D7A"/>
    <w:rsid w:val="002270FE"/>
    <w:rsid w:val="00230F36"/>
    <w:rsid w:val="00231BF6"/>
    <w:rsid w:val="00232C91"/>
    <w:rsid w:val="00236927"/>
    <w:rsid w:val="0023697B"/>
    <w:rsid w:val="0023726D"/>
    <w:rsid w:val="00241D7A"/>
    <w:rsid w:val="00245C25"/>
    <w:rsid w:val="00245E85"/>
    <w:rsid w:val="0024750F"/>
    <w:rsid w:val="00250842"/>
    <w:rsid w:val="00254D27"/>
    <w:rsid w:val="00257D97"/>
    <w:rsid w:val="00261E82"/>
    <w:rsid w:val="002631A1"/>
    <w:rsid w:val="00264A30"/>
    <w:rsid w:val="00264CC8"/>
    <w:rsid w:val="00265308"/>
    <w:rsid w:val="00265315"/>
    <w:rsid w:val="0027085C"/>
    <w:rsid w:val="00271A3E"/>
    <w:rsid w:val="00281743"/>
    <w:rsid w:val="0028506F"/>
    <w:rsid w:val="00291D49"/>
    <w:rsid w:val="00291F41"/>
    <w:rsid w:val="00297E8B"/>
    <w:rsid w:val="002A06FC"/>
    <w:rsid w:val="002A255E"/>
    <w:rsid w:val="002A7FB0"/>
    <w:rsid w:val="002B0616"/>
    <w:rsid w:val="002B3D2F"/>
    <w:rsid w:val="002B4398"/>
    <w:rsid w:val="002B5F8D"/>
    <w:rsid w:val="002C7425"/>
    <w:rsid w:val="002D2188"/>
    <w:rsid w:val="002D2976"/>
    <w:rsid w:val="002D2980"/>
    <w:rsid w:val="002D4A15"/>
    <w:rsid w:val="002E047B"/>
    <w:rsid w:val="002E23E2"/>
    <w:rsid w:val="002F05F3"/>
    <w:rsid w:val="00302527"/>
    <w:rsid w:val="0030510A"/>
    <w:rsid w:val="00307F80"/>
    <w:rsid w:val="003100AC"/>
    <w:rsid w:val="00311BDE"/>
    <w:rsid w:val="00313855"/>
    <w:rsid w:val="003200CB"/>
    <w:rsid w:val="00322FBA"/>
    <w:rsid w:val="0032355F"/>
    <w:rsid w:val="00323585"/>
    <w:rsid w:val="00326508"/>
    <w:rsid w:val="003265F6"/>
    <w:rsid w:val="00333094"/>
    <w:rsid w:val="0033339A"/>
    <w:rsid w:val="00342505"/>
    <w:rsid w:val="00342CF3"/>
    <w:rsid w:val="00343C79"/>
    <w:rsid w:val="00345BF9"/>
    <w:rsid w:val="0034709C"/>
    <w:rsid w:val="003535A1"/>
    <w:rsid w:val="00354151"/>
    <w:rsid w:val="003545FD"/>
    <w:rsid w:val="003547A1"/>
    <w:rsid w:val="00356B96"/>
    <w:rsid w:val="003571B1"/>
    <w:rsid w:val="00360C19"/>
    <w:rsid w:val="00363B91"/>
    <w:rsid w:val="00364C58"/>
    <w:rsid w:val="003654F4"/>
    <w:rsid w:val="00365AA9"/>
    <w:rsid w:val="0037299F"/>
    <w:rsid w:val="00373DED"/>
    <w:rsid w:val="00375687"/>
    <w:rsid w:val="003824D8"/>
    <w:rsid w:val="00385E33"/>
    <w:rsid w:val="003918FA"/>
    <w:rsid w:val="00392331"/>
    <w:rsid w:val="00393802"/>
    <w:rsid w:val="0039503C"/>
    <w:rsid w:val="003A0487"/>
    <w:rsid w:val="003A7AEB"/>
    <w:rsid w:val="003B037E"/>
    <w:rsid w:val="003B20F3"/>
    <w:rsid w:val="003B25B5"/>
    <w:rsid w:val="003B3625"/>
    <w:rsid w:val="003B3DFB"/>
    <w:rsid w:val="003B3EEA"/>
    <w:rsid w:val="003B47A3"/>
    <w:rsid w:val="003B4F7D"/>
    <w:rsid w:val="003B61EF"/>
    <w:rsid w:val="003B6A0D"/>
    <w:rsid w:val="003C1B2D"/>
    <w:rsid w:val="003C3EA6"/>
    <w:rsid w:val="003C6D6F"/>
    <w:rsid w:val="003D0ABB"/>
    <w:rsid w:val="003D0F0D"/>
    <w:rsid w:val="003D2E14"/>
    <w:rsid w:val="003D2E94"/>
    <w:rsid w:val="003D44E1"/>
    <w:rsid w:val="003D567D"/>
    <w:rsid w:val="003D56C8"/>
    <w:rsid w:val="003D77ED"/>
    <w:rsid w:val="003D78C5"/>
    <w:rsid w:val="003E0EAF"/>
    <w:rsid w:val="003E17C8"/>
    <w:rsid w:val="003E7894"/>
    <w:rsid w:val="003F3DCE"/>
    <w:rsid w:val="003F43BB"/>
    <w:rsid w:val="003F5065"/>
    <w:rsid w:val="003F74F5"/>
    <w:rsid w:val="004013FC"/>
    <w:rsid w:val="00401597"/>
    <w:rsid w:val="004018B1"/>
    <w:rsid w:val="00407D3F"/>
    <w:rsid w:val="0041211F"/>
    <w:rsid w:val="00412F53"/>
    <w:rsid w:val="00413BD0"/>
    <w:rsid w:val="00414AA7"/>
    <w:rsid w:val="0041636E"/>
    <w:rsid w:val="00416424"/>
    <w:rsid w:val="0041766B"/>
    <w:rsid w:val="00421334"/>
    <w:rsid w:val="00423FC1"/>
    <w:rsid w:val="00424DD1"/>
    <w:rsid w:val="004272A5"/>
    <w:rsid w:val="00430A5C"/>
    <w:rsid w:val="00432209"/>
    <w:rsid w:val="004330CB"/>
    <w:rsid w:val="00435D7A"/>
    <w:rsid w:val="00437C0A"/>
    <w:rsid w:val="00442B31"/>
    <w:rsid w:val="0044376B"/>
    <w:rsid w:val="00444205"/>
    <w:rsid w:val="004503ED"/>
    <w:rsid w:val="00451C59"/>
    <w:rsid w:val="004546BF"/>
    <w:rsid w:val="00456666"/>
    <w:rsid w:val="00457BEC"/>
    <w:rsid w:val="00462997"/>
    <w:rsid w:val="00463DEF"/>
    <w:rsid w:val="00464510"/>
    <w:rsid w:val="00466EED"/>
    <w:rsid w:val="00467C18"/>
    <w:rsid w:val="00467E03"/>
    <w:rsid w:val="00477439"/>
    <w:rsid w:val="00481EA2"/>
    <w:rsid w:val="00484240"/>
    <w:rsid w:val="00491093"/>
    <w:rsid w:val="004934A5"/>
    <w:rsid w:val="00493E67"/>
    <w:rsid w:val="004A04B9"/>
    <w:rsid w:val="004A5795"/>
    <w:rsid w:val="004A5C27"/>
    <w:rsid w:val="004B22FB"/>
    <w:rsid w:val="004B356C"/>
    <w:rsid w:val="004B35EA"/>
    <w:rsid w:val="004B3B95"/>
    <w:rsid w:val="004B4334"/>
    <w:rsid w:val="004B4E6B"/>
    <w:rsid w:val="004B771C"/>
    <w:rsid w:val="004B78DB"/>
    <w:rsid w:val="004C064A"/>
    <w:rsid w:val="004C45BC"/>
    <w:rsid w:val="004C52D1"/>
    <w:rsid w:val="004C65FB"/>
    <w:rsid w:val="004D595F"/>
    <w:rsid w:val="004D597A"/>
    <w:rsid w:val="004E35CE"/>
    <w:rsid w:val="004E3868"/>
    <w:rsid w:val="004E3DA7"/>
    <w:rsid w:val="004E4533"/>
    <w:rsid w:val="004E531C"/>
    <w:rsid w:val="004E7154"/>
    <w:rsid w:val="004F12B8"/>
    <w:rsid w:val="004F1E25"/>
    <w:rsid w:val="004F7CC3"/>
    <w:rsid w:val="00500811"/>
    <w:rsid w:val="0050144F"/>
    <w:rsid w:val="00501F87"/>
    <w:rsid w:val="005020CF"/>
    <w:rsid w:val="005026BF"/>
    <w:rsid w:val="0050490F"/>
    <w:rsid w:val="005066E1"/>
    <w:rsid w:val="00515D9C"/>
    <w:rsid w:val="00517552"/>
    <w:rsid w:val="00520B58"/>
    <w:rsid w:val="005212F9"/>
    <w:rsid w:val="00521A35"/>
    <w:rsid w:val="00522F30"/>
    <w:rsid w:val="00523FEA"/>
    <w:rsid w:val="005274CA"/>
    <w:rsid w:val="00530088"/>
    <w:rsid w:val="00534D6F"/>
    <w:rsid w:val="00535197"/>
    <w:rsid w:val="00541180"/>
    <w:rsid w:val="00541BF9"/>
    <w:rsid w:val="00542C13"/>
    <w:rsid w:val="0054384F"/>
    <w:rsid w:val="005451C3"/>
    <w:rsid w:val="005460DE"/>
    <w:rsid w:val="00554FF7"/>
    <w:rsid w:val="005566B5"/>
    <w:rsid w:val="00557338"/>
    <w:rsid w:val="00557B94"/>
    <w:rsid w:val="00557E68"/>
    <w:rsid w:val="005602F7"/>
    <w:rsid w:val="00560537"/>
    <w:rsid w:val="005605E3"/>
    <w:rsid w:val="00562A78"/>
    <w:rsid w:val="00563F11"/>
    <w:rsid w:val="00571C68"/>
    <w:rsid w:val="00572E3B"/>
    <w:rsid w:val="00573957"/>
    <w:rsid w:val="00573ED9"/>
    <w:rsid w:val="00575149"/>
    <w:rsid w:val="00576AFF"/>
    <w:rsid w:val="0058551F"/>
    <w:rsid w:val="00594EC1"/>
    <w:rsid w:val="00595385"/>
    <w:rsid w:val="00595FFA"/>
    <w:rsid w:val="005A0BD1"/>
    <w:rsid w:val="005A150E"/>
    <w:rsid w:val="005A5694"/>
    <w:rsid w:val="005B0A2E"/>
    <w:rsid w:val="005B1134"/>
    <w:rsid w:val="005B3D78"/>
    <w:rsid w:val="005B4A37"/>
    <w:rsid w:val="005B770A"/>
    <w:rsid w:val="005C0B45"/>
    <w:rsid w:val="005C5EA5"/>
    <w:rsid w:val="005C61D3"/>
    <w:rsid w:val="005D09C5"/>
    <w:rsid w:val="005D11BD"/>
    <w:rsid w:val="005D1563"/>
    <w:rsid w:val="005D18FB"/>
    <w:rsid w:val="005D2158"/>
    <w:rsid w:val="005D35C0"/>
    <w:rsid w:val="005D4B2E"/>
    <w:rsid w:val="005D5C00"/>
    <w:rsid w:val="005E2269"/>
    <w:rsid w:val="005E4CD4"/>
    <w:rsid w:val="005F2FDD"/>
    <w:rsid w:val="005F3486"/>
    <w:rsid w:val="005F3A4D"/>
    <w:rsid w:val="005F79A9"/>
    <w:rsid w:val="005F79DB"/>
    <w:rsid w:val="005F7B19"/>
    <w:rsid w:val="00602564"/>
    <w:rsid w:val="00604ADE"/>
    <w:rsid w:val="006102E0"/>
    <w:rsid w:val="0061229D"/>
    <w:rsid w:val="00614595"/>
    <w:rsid w:val="006157D2"/>
    <w:rsid w:val="006158AD"/>
    <w:rsid w:val="006178A4"/>
    <w:rsid w:val="006214FD"/>
    <w:rsid w:val="00621518"/>
    <w:rsid w:val="0062722D"/>
    <w:rsid w:val="00631B39"/>
    <w:rsid w:val="006320CE"/>
    <w:rsid w:val="0063513E"/>
    <w:rsid w:val="00635689"/>
    <w:rsid w:val="006368A1"/>
    <w:rsid w:val="00645E65"/>
    <w:rsid w:val="006463A3"/>
    <w:rsid w:val="00647A76"/>
    <w:rsid w:val="00651694"/>
    <w:rsid w:val="00652154"/>
    <w:rsid w:val="00654D1C"/>
    <w:rsid w:val="0065636D"/>
    <w:rsid w:val="006602BF"/>
    <w:rsid w:val="00661CF4"/>
    <w:rsid w:val="006633DF"/>
    <w:rsid w:val="0066438C"/>
    <w:rsid w:val="006645F3"/>
    <w:rsid w:val="00664733"/>
    <w:rsid w:val="00664F55"/>
    <w:rsid w:val="00665244"/>
    <w:rsid w:val="00665EC6"/>
    <w:rsid w:val="00672A84"/>
    <w:rsid w:val="0068124C"/>
    <w:rsid w:val="00685787"/>
    <w:rsid w:val="00690B46"/>
    <w:rsid w:val="006941D0"/>
    <w:rsid w:val="00695525"/>
    <w:rsid w:val="00696511"/>
    <w:rsid w:val="00696AFE"/>
    <w:rsid w:val="0069709A"/>
    <w:rsid w:val="006A0853"/>
    <w:rsid w:val="006A1155"/>
    <w:rsid w:val="006A1701"/>
    <w:rsid w:val="006A5690"/>
    <w:rsid w:val="006A65EC"/>
    <w:rsid w:val="006B1328"/>
    <w:rsid w:val="006B1358"/>
    <w:rsid w:val="006B41C2"/>
    <w:rsid w:val="006B5FB7"/>
    <w:rsid w:val="006C0871"/>
    <w:rsid w:val="006C23C9"/>
    <w:rsid w:val="006C7E44"/>
    <w:rsid w:val="006D3FA7"/>
    <w:rsid w:val="006E0856"/>
    <w:rsid w:val="006E1807"/>
    <w:rsid w:val="006E3D28"/>
    <w:rsid w:val="006E4C8E"/>
    <w:rsid w:val="006F13C6"/>
    <w:rsid w:val="006F1677"/>
    <w:rsid w:val="006F660D"/>
    <w:rsid w:val="006F6755"/>
    <w:rsid w:val="006F755C"/>
    <w:rsid w:val="00705C0F"/>
    <w:rsid w:val="007100AE"/>
    <w:rsid w:val="0071064A"/>
    <w:rsid w:val="0071152E"/>
    <w:rsid w:val="00712ABB"/>
    <w:rsid w:val="00716F68"/>
    <w:rsid w:val="00720176"/>
    <w:rsid w:val="007205A2"/>
    <w:rsid w:val="00722FA2"/>
    <w:rsid w:val="007243B2"/>
    <w:rsid w:val="00725A93"/>
    <w:rsid w:val="007268F6"/>
    <w:rsid w:val="00726E5F"/>
    <w:rsid w:val="00731D0A"/>
    <w:rsid w:val="00740946"/>
    <w:rsid w:val="007412BC"/>
    <w:rsid w:val="007415A2"/>
    <w:rsid w:val="007469CA"/>
    <w:rsid w:val="00747BB1"/>
    <w:rsid w:val="00750831"/>
    <w:rsid w:val="00757308"/>
    <w:rsid w:val="007610C1"/>
    <w:rsid w:val="00761134"/>
    <w:rsid w:val="00761E08"/>
    <w:rsid w:val="00765A51"/>
    <w:rsid w:val="0076699C"/>
    <w:rsid w:val="00771029"/>
    <w:rsid w:val="007714D9"/>
    <w:rsid w:val="00771C65"/>
    <w:rsid w:val="007721FF"/>
    <w:rsid w:val="007730A4"/>
    <w:rsid w:val="00776485"/>
    <w:rsid w:val="0078077C"/>
    <w:rsid w:val="0078138F"/>
    <w:rsid w:val="00790C87"/>
    <w:rsid w:val="00791996"/>
    <w:rsid w:val="00793E04"/>
    <w:rsid w:val="00794585"/>
    <w:rsid w:val="00796309"/>
    <w:rsid w:val="00797423"/>
    <w:rsid w:val="007A07B0"/>
    <w:rsid w:val="007A2102"/>
    <w:rsid w:val="007A53A8"/>
    <w:rsid w:val="007B01A2"/>
    <w:rsid w:val="007B0C83"/>
    <w:rsid w:val="007B1297"/>
    <w:rsid w:val="007B1632"/>
    <w:rsid w:val="007B2706"/>
    <w:rsid w:val="007B485B"/>
    <w:rsid w:val="007B6DED"/>
    <w:rsid w:val="007C0D23"/>
    <w:rsid w:val="007C3B16"/>
    <w:rsid w:val="007C43D3"/>
    <w:rsid w:val="007D0F90"/>
    <w:rsid w:val="007D1AA7"/>
    <w:rsid w:val="007D286B"/>
    <w:rsid w:val="007D6E64"/>
    <w:rsid w:val="007E2593"/>
    <w:rsid w:val="007E4DBA"/>
    <w:rsid w:val="007E762E"/>
    <w:rsid w:val="007F34D9"/>
    <w:rsid w:val="007F3728"/>
    <w:rsid w:val="007F517E"/>
    <w:rsid w:val="007F520C"/>
    <w:rsid w:val="007F5457"/>
    <w:rsid w:val="00801524"/>
    <w:rsid w:val="00811B6F"/>
    <w:rsid w:val="008142CA"/>
    <w:rsid w:val="00816CDE"/>
    <w:rsid w:val="00822F7A"/>
    <w:rsid w:val="008236CE"/>
    <w:rsid w:val="008237EF"/>
    <w:rsid w:val="00824ADE"/>
    <w:rsid w:val="00824EE9"/>
    <w:rsid w:val="00825E1C"/>
    <w:rsid w:val="00830D3C"/>
    <w:rsid w:val="008315E0"/>
    <w:rsid w:val="008324DC"/>
    <w:rsid w:val="0083336B"/>
    <w:rsid w:val="00837A52"/>
    <w:rsid w:val="008418EC"/>
    <w:rsid w:val="00841CC9"/>
    <w:rsid w:val="00845C60"/>
    <w:rsid w:val="00845E9E"/>
    <w:rsid w:val="00846691"/>
    <w:rsid w:val="0084674D"/>
    <w:rsid w:val="00847993"/>
    <w:rsid w:val="008508D8"/>
    <w:rsid w:val="0085253F"/>
    <w:rsid w:val="008525C7"/>
    <w:rsid w:val="00853949"/>
    <w:rsid w:val="00854108"/>
    <w:rsid w:val="00857E22"/>
    <w:rsid w:val="0086297E"/>
    <w:rsid w:val="008667A8"/>
    <w:rsid w:val="00867545"/>
    <w:rsid w:val="0087039E"/>
    <w:rsid w:val="008705F2"/>
    <w:rsid w:val="00871766"/>
    <w:rsid w:val="00871E2A"/>
    <w:rsid w:val="0087608A"/>
    <w:rsid w:val="00876DA8"/>
    <w:rsid w:val="00876FA0"/>
    <w:rsid w:val="00880782"/>
    <w:rsid w:val="0088307A"/>
    <w:rsid w:val="00884E1D"/>
    <w:rsid w:val="008916F1"/>
    <w:rsid w:val="00892605"/>
    <w:rsid w:val="0089271D"/>
    <w:rsid w:val="00893E3E"/>
    <w:rsid w:val="008942C2"/>
    <w:rsid w:val="00895211"/>
    <w:rsid w:val="008A2C42"/>
    <w:rsid w:val="008A79EC"/>
    <w:rsid w:val="008A7D6B"/>
    <w:rsid w:val="008A7E6E"/>
    <w:rsid w:val="008B2F8A"/>
    <w:rsid w:val="008B3F3E"/>
    <w:rsid w:val="008B52A5"/>
    <w:rsid w:val="008B646B"/>
    <w:rsid w:val="008B6AFB"/>
    <w:rsid w:val="008C0943"/>
    <w:rsid w:val="008C0F7A"/>
    <w:rsid w:val="008C4E18"/>
    <w:rsid w:val="008D0B2F"/>
    <w:rsid w:val="008D10C4"/>
    <w:rsid w:val="008D73C0"/>
    <w:rsid w:val="008E3F45"/>
    <w:rsid w:val="008E6893"/>
    <w:rsid w:val="008E7B66"/>
    <w:rsid w:val="008E7D2F"/>
    <w:rsid w:val="008F08F3"/>
    <w:rsid w:val="008F2471"/>
    <w:rsid w:val="008F2D39"/>
    <w:rsid w:val="008F4AA6"/>
    <w:rsid w:val="008F6211"/>
    <w:rsid w:val="008F6567"/>
    <w:rsid w:val="009016D4"/>
    <w:rsid w:val="0090275F"/>
    <w:rsid w:val="00902999"/>
    <w:rsid w:val="00902BDE"/>
    <w:rsid w:val="009070BC"/>
    <w:rsid w:val="00907E59"/>
    <w:rsid w:val="00907F09"/>
    <w:rsid w:val="00911F83"/>
    <w:rsid w:val="00914270"/>
    <w:rsid w:val="009153A4"/>
    <w:rsid w:val="00915525"/>
    <w:rsid w:val="00917D0D"/>
    <w:rsid w:val="009213EC"/>
    <w:rsid w:val="00921716"/>
    <w:rsid w:val="0092347A"/>
    <w:rsid w:val="00927879"/>
    <w:rsid w:val="00931B80"/>
    <w:rsid w:val="00932122"/>
    <w:rsid w:val="0093232D"/>
    <w:rsid w:val="00934521"/>
    <w:rsid w:val="009346A8"/>
    <w:rsid w:val="009356AE"/>
    <w:rsid w:val="00937B7C"/>
    <w:rsid w:val="00942A25"/>
    <w:rsid w:val="0094479F"/>
    <w:rsid w:val="009521DE"/>
    <w:rsid w:val="0095258E"/>
    <w:rsid w:val="009622BB"/>
    <w:rsid w:val="00967626"/>
    <w:rsid w:val="009710A7"/>
    <w:rsid w:val="00976863"/>
    <w:rsid w:val="00982266"/>
    <w:rsid w:val="00984FE5"/>
    <w:rsid w:val="0098739C"/>
    <w:rsid w:val="00990DA0"/>
    <w:rsid w:val="00996A39"/>
    <w:rsid w:val="00997C73"/>
    <w:rsid w:val="009A0F71"/>
    <w:rsid w:val="009A37AF"/>
    <w:rsid w:val="009A3F9A"/>
    <w:rsid w:val="009A40B6"/>
    <w:rsid w:val="009C1D33"/>
    <w:rsid w:val="009C45EF"/>
    <w:rsid w:val="009C5D20"/>
    <w:rsid w:val="009C7C17"/>
    <w:rsid w:val="009D03D3"/>
    <w:rsid w:val="009D07C8"/>
    <w:rsid w:val="009D11AC"/>
    <w:rsid w:val="009E2857"/>
    <w:rsid w:val="009E42AA"/>
    <w:rsid w:val="009E4458"/>
    <w:rsid w:val="009E44A3"/>
    <w:rsid w:val="009E794C"/>
    <w:rsid w:val="009F09BE"/>
    <w:rsid w:val="009F2B4C"/>
    <w:rsid w:val="009F3EE4"/>
    <w:rsid w:val="009F4841"/>
    <w:rsid w:val="009F54BD"/>
    <w:rsid w:val="009F5F3B"/>
    <w:rsid w:val="009F7009"/>
    <w:rsid w:val="009F7EDC"/>
    <w:rsid w:val="00A01C5A"/>
    <w:rsid w:val="00A023B1"/>
    <w:rsid w:val="00A02FF6"/>
    <w:rsid w:val="00A10E3C"/>
    <w:rsid w:val="00A13A0F"/>
    <w:rsid w:val="00A14BBB"/>
    <w:rsid w:val="00A1696D"/>
    <w:rsid w:val="00A2198F"/>
    <w:rsid w:val="00A23218"/>
    <w:rsid w:val="00A25731"/>
    <w:rsid w:val="00A264B3"/>
    <w:rsid w:val="00A312B7"/>
    <w:rsid w:val="00A33460"/>
    <w:rsid w:val="00A41295"/>
    <w:rsid w:val="00A44686"/>
    <w:rsid w:val="00A512D2"/>
    <w:rsid w:val="00A54715"/>
    <w:rsid w:val="00A6275A"/>
    <w:rsid w:val="00A62A9F"/>
    <w:rsid w:val="00A635D1"/>
    <w:rsid w:val="00A64538"/>
    <w:rsid w:val="00A66BA7"/>
    <w:rsid w:val="00A700BD"/>
    <w:rsid w:val="00A707DB"/>
    <w:rsid w:val="00A708B9"/>
    <w:rsid w:val="00A75E66"/>
    <w:rsid w:val="00A8101B"/>
    <w:rsid w:val="00A8136B"/>
    <w:rsid w:val="00A82D14"/>
    <w:rsid w:val="00A879CB"/>
    <w:rsid w:val="00A92A08"/>
    <w:rsid w:val="00A932FC"/>
    <w:rsid w:val="00A95467"/>
    <w:rsid w:val="00AA60B7"/>
    <w:rsid w:val="00AA6FB2"/>
    <w:rsid w:val="00AB0598"/>
    <w:rsid w:val="00AB2DA7"/>
    <w:rsid w:val="00AB5305"/>
    <w:rsid w:val="00AB6113"/>
    <w:rsid w:val="00AC036E"/>
    <w:rsid w:val="00AC04E4"/>
    <w:rsid w:val="00AC0EB4"/>
    <w:rsid w:val="00AC1603"/>
    <w:rsid w:val="00AC20EA"/>
    <w:rsid w:val="00AC32F9"/>
    <w:rsid w:val="00AC4DA1"/>
    <w:rsid w:val="00AC7914"/>
    <w:rsid w:val="00AD23DB"/>
    <w:rsid w:val="00AD5CFF"/>
    <w:rsid w:val="00AD7133"/>
    <w:rsid w:val="00AE1A35"/>
    <w:rsid w:val="00AE1D76"/>
    <w:rsid w:val="00AE26B4"/>
    <w:rsid w:val="00AE3D7A"/>
    <w:rsid w:val="00AF54D6"/>
    <w:rsid w:val="00AF58D0"/>
    <w:rsid w:val="00AF7F04"/>
    <w:rsid w:val="00B03E60"/>
    <w:rsid w:val="00B03F6F"/>
    <w:rsid w:val="00B0507E"/>
    <w:rsid w:val="00B147EB"/>
    <w:rsid w:val="00B17297"/>
    <w:rsid w:val="00B172DD"/>
    <w:rsid w:val="00B21FC9"/>
    <w:rsid w:val="00B2242F"/>
    <w:rsid w:val="00B23051"/>
    <w:rsid w:val="00B24AC4"/>
    <w:rsid w:val="00B25CB0"/>
    <w:rsid w:val="00B32118"/>
    <w:rsid w:val="00B41475"/>
    <w:rsid w:val="00B4149E"/>
    <w:rsid w:val="00B453F5"/>
    <w:rsid w:val="00B477AA"/>
    <w:rsid w:val="00B538F4"/>
    <w:rsid w:val="00B55E8E"/>
    <w:rsid w:val="00B5727B"/>
    <w:rsid w:val="00B61C99"/>
    <w:rsid w:val="00B66AD4"/>
    <w:rsid w:val="00B67049"/>
    <w:rsid w:val="00B7097B"/>
    <w:rsid w:val="00B7558C"/>
    <w:rsid w:val="00B77A2C"/>
    <w:rsid w:val="00B8124B"/>
    <w:rsid w:val="00B81ED9"/>
    <w:rsid w:val="00B84392"/>
    <w:rsid w:val="00B8485D"/>
    <w:rsid w:val="00B86C6F"/>
    <w:rsid w:val="00B871CD"/>
    <w:rsid w:val="00B94A1B"/>
    <w:rsid w:val="00BA328A"/>
    <w:rsid w:val="00BA5214"/>
    <w:rsid w:val="00BA7DD0"/>
    <w:rsid w:val="00BB0D09"/>
    <w:rsid w:val="00BB112C"/>
    <w:rsid w:val="00BB2EEC"/>
    <w:rsid w:val="00BB4614"/>
    <w:rsid w:val="00BB5C4B"/>
    <w:rsid w:val="00BB60CF"/>
    <w:rsid w:val="00BC1250"/>
    <w:rsid w:val="00BC2929"/>
    <w:rsid w:val="00BC3617"/>
    <w:rsid w:val="00BC4D51"/>
    <w:rsid w:val="00BD1F43"/>
    <w:rsid w:val="00BD2DFE"/>
    <w:rsid w:val="00BD3550"/>
    <w:rsid w:val="00BD4411"/>
    <w:rsid w:val="00BD46AF"/>
    <w:rsid w:val="00BD5EB4"/>
    <w:rsid w:val="00BE023F"/>
    <w:rsid w:val="00BE5D1B"/>
    <w:rsid w:val="00BF340B"/>
    <w:rsid w:val="00BF602E"/>
    <w:rsid w:val="00BF7AB1"/>
    <w:rsid w:val="00BF7ED4"/>
    <w:rsid w:val="00C01707"/>
    <w:rsid w:val="00C03645"/>
    <w:rsid w:val="00C048A1"/>
    <w:rsid w:val="00C05259"/>
    <w:rsid w:val="00C131A9"/>
    <w:rsid w:val="00C17C41"/>
    <w:rsid w:val="00C22ED9"/>
    <w:rsid w:val="00C25916"/>
    <w:rsid w:val="00C27D56"/>
    <w:rsid w:val="00C30B83"/>
    <w:rsid w:val="00C31BDB"/>
    <w:rsid w:val="00C34A32"/>
    <w:rsid w:val="00C357D9"/>
    <w:rsid w:val="00C40778"/>
    <w:rsid w:val="00C414F5"/>
    <w:rsid w:val="00C419D3"/>
    <w:rsid w:val="00C4418E"/>
    <w:rsid w:val="00C4505E"/>
    <w:rsid w:val="00C45A33"/>
    <w:rsid w:val="00C55418"/>
    <w:rsid w:val="00C556B2"/>
    <w:rsid w:val="00C57459"/>
    <w:rsid w:val="00C61F41"/>
    <w:rsid w:val="00C62C61"/>
    <w:rsid w:val="00C6385D"/>
    <w:rsid w:val="00C65BA9"/>
    <w:rsid w:val="00C660B1"/>
    <w:rsid w:val="00C705AC"/>
    <w:rsid w:val="00C7082C"/>
    <w:rsid w:val="00C71A4B"/>
    <w:rsid w:val="00C731CB"/>
    <w:rsid w:val="00C73AA1"/>
    <w:rsid w:val="00C74AEF"/>
    <w:rsid w:val="00C7570B"/>
    <w:rsid w:val="00C76463"/>
    <w:rsid w:val="00C77083"/>
    <w:rsid w:val="00C86C78"/>
    <w:rsid w:val="00C87E0B"/>
    <w:rsid w:val="00C90D16"/>
    <w:rsid w:val="00C9326E"/>
    <w:rsid w:val="00C958D2"/>
    <w:rsid w:val="00C9672B"/>
    <w:rsid w:val="00C967B1"/>
    <w:rsid w:val="00CA0EA9"/>
    <w:rsid w:val="00CA285F"/>
    <w:rsid w:val="00CA306B"/>
    <w:rsid w:val="00CA56FE"/>
    <w:rsid w:val="00CA757A"/>
    <w:rsid w:val="00CB1853"/>
    <w:rsid w:val="00CB2CC5"/>
    <w:rsid w:val="00CC100C"/>
    <w:rsid w:val="00CC10C5"/>
    <w:rsid w:val="00CC48BA"/>
    <w:rsid w:val="00CC5E38"/>
    <w:rsid w:val="00CD2255"/>
    <w:rsid w:val="00CD22A8"/>
    <w:rsid w:val="00CD33B1"/>
    <w:rsid w:val="00CD68A1"/>
    <w:rsid w:val="00CD7248"/>
    <w:rsid w:val="00CE4614"/>
    <w:rsid w:val="00CE68AB"/>
    <w:rsid w:val="00CF51B0"/>
    <w:rsid w:val="00CF51B9"/>
    <w:rsid w:val="00D028E2"/>
    <w:rsid w:val="00D04C04"/>
    <w:rsid w:val="00D05B2F"/>
    <w:rsid w:val="00D10531"/>
    <w:rsid w:val="00D11837"/>
    <w:rsid w:val="00D11C28"/>
    <w:rsid w:val="00D11D2B"/>
    <w:rsid w:val="00D1245A"/>
    <w:rsid w:val="00D129AB"/>
    <w:rsid w:val="00D159D1"/>
    <w:rsid w:val="00D212B9"/>
    <w:rsid w:val="00D221A4"/>
    <w:rsid w:val="00D23458"/>
    <w:rsid w:val="00D23B79"/>
    <w:rsid w:val="00D25E4E"/>
    <w:rsid w:val="00D3157C"/>
    <w:rsid w:val="00D31F59"/>
    <w:rsid w:val="00D3278A"/>
    <w:rsid w:val="00D37E96"/>
    <w:rsid w:val="00D436EE"/>
    <w:rsid w:val="00D46C9F"/>
    <w:rsid w:val="00D46FFA"/>
    <w:rsid w:val="00D52679"/>
    <w:rsid w:val="00D552BF"/>
    <w:rsid w:val="00D630BF"/>
    <w:rsid w:val="00D63820"/>
    <w:rsid w:val="00D6628E"/>
    <w:rsid w:val="00D66928"/>
    <w:rsid w:val="00D66A25"/>
    <w:rsid w:val="00D66BB4"/>
    <w:rsid w:val="00D70C18"/>
    <w:rsid w:val="00D73609"/>
    <w:rsid w:val="00D76039"/>
    <w:rsid w:val="00D77D9A"/>
    <w:rsid w:val="00D81CF0"/>
    <w:rsid w:val="00D82BD0"/>
    <w:rsid w:val="00D8342F"/>
    <w:rsid w:val="00D870D2"/>
    <w:rsid w:val="00D87D6C"/>
    <w:rsid w:val="00D9127E"/>
    <w:rsid w:val="00D94FFC"/>
    <w:rsid w:val="00DA5716"/>
    <w:rsid w:val="00DA6659"/>
    <w:rsid w:val="00DB0567"/>
    <w:rsid w:val="00DB1C90"/>
    <w:rsid w:val="00DB24E0"/>
    <w:rsid w:val="00DB498F"/>
    <w:rsid w:val="00DB5628"/>
    <w:rsid w:val="00DB6CDB"/>
    <w:rsid w:val="00DC222F"/>
    <w:rsid w:val="00DC53DA"/>
    <w:rsid w:val="00DC7493"/>
    <w:rsid w:val="00DD1AC6"/>
    <w:rsid w:val="00DD67FF"/>
    <w:rsid w:val="00DD79FA"/>
    <w:rsid w:val="00DE1A23"/>
    <w:rsid w:val="00DE2459"/>
    <w:rsid w:val="00DE5716"/>
    <w:rsid w:val="00DE61EC"/>
    <w:rsid w:val="00DF1942"/>
    <w:rsid w:val="00DF1B8B"/>
    <w:rsid w:val="00DF33EC"/>
    <w:rsid w:val="00DF4409"/>
    <w:rsid w:val="00DF7E9B"/>
    <w:rsid w:val="00E02607"/>
    <w:rsid w:val="00E07E3B"/>
    <w:rsid w:val="00E1010D"/>
    <w:rsid w:val="00E1276C"/>
    <w:rsid w:val="00E150EC"/>
    <w:rsid w:val="00E1675C"/>
    <w:rsid w:val="00E17724"/>
    <w:rsid w:val="00E20A21"/>
    <w:rsid w:val="00E24AAC"/>
    <w:rsid w:val="00E318CA"/>
    <w:rsid w:val="00E31E53"/>
    <w:rsid w:val="00E351BE"/>
    <w:rsid w:val="00E43B6A"/>
    <w:rsid w:val="00E45868"/>
    <w:rsid w:val="00E458F9"/>
    <w:rsid w:val="00E4592A"/>
    <w:rsid w:val="00E46746"/>
    <w:rsid w:val="00E50D74"/>
    <w:rsid w:val="00E51890"/>
    <w:rsid w:val="00E51972"/>
    <w:rsid w:val="00E5233A"/>
    <w:rsid w:val="00E53249"/>
    <w:rsid w:val="00E607C8"/>
    <w:rsid w:val="00E62841"/>
    <w:rsid w:val="00E64B6D"/>
    <w:rsid w:val="00E67417"/>
    <w:rsid w:val="00E701D3"/>
    <w:rsid w:val="00E71E81"/>
    <w:rsid w:val="00E730AF"/>
    <w:rsid w:val="00E73557"/>
    <w:rsid w:val="00E752AA"/>
    <w:rsid w:val="00E75EC2"/>
    <w:rsid w:val="00E8335A"/>
    <w:rsid w:val="00E86D68"/>
    <w:rsid w:val="00E87F62"/>
    <w:rsid w:val="00E90A65"/>
    <w:rsid w:val="00E91ADD"/>
    <w:rsid w:val="00E92327"/>
    <w:rsid w:val="00E93636"/>
    <w:rsid w:val="00E94549"/>
    <w:rsid w:val="00E9455A"/>
    <w:rsid w:val="00E9672F"/>
    <w:rsid w:val="00EA1C22"/>
    <w:rsid w:val="00EA2EB8"/>
    <w:rsid w:val="00EA36F7"/>
    <w:rsid w:val="00EA5699"/>
    <w:rsid w:val="00EA75EB"/>
    <w:rsid w:val="00EB1892"/>
    <w:rsid w:val="00EB3D43"/>
    <w:rsid w:val="00EC0BAF"/>
    <w:rsid w:val="00EC2F12"/>
    <w:rsid w:val="00EC3A43"/>
    <w:rsid w:val="00EC57FA"/>
    <w:rsid w:val="00ED27D3"/>
    <w:rsid w:val="00ED288E"/>
    <w:rsid w:val="00ED7C61"/>
    <w:rsid w:val="00EE23FB"/>
    <w:rsid w:val="00EE3996"/>
    <w:rsid w:val="00EE48C3"/>
    <w:rsid w:val="00EE4CD3"/>
    <w:rsid w:val="00EE6110"/>
    <w:rsid w:val="00EF0935"/>
    <w:rsid w:val="00EF2485"/>
    <w:rsid w:val="00EF3E66"/>
    <w:rsid w:val="00EF6BE4"/>
    <w:rsid w:val="00EF7BB7"/>
    <w:rsid w:val="00F0184F"/>
    <w:rsid w:val="00F05984"/>
    <w:rsid w:val="00F06E61"/>
    <w:rsid w:val="00F1276D"/>
    <w:rsid w:val="00F13722"/>
    <w:rsid w:val="00F15104"/>
    <w:rsid w:val="00F22B9F"/>
    <w:rsid w:val="00F26206"/>
    <w:rsid w:val="00F36FA2"/>
    <w:rsid w:val="00F40365"/>
    <w:rsid w:val="00F42E42"/>
    <w:rsid w:val="00F449AC"/>
    <w:rsid w:val="00F44C4C"/>
    <w:rsid w:val="00F459EE"/>
    <w:rsid w:val="00F46AE7"/>
    <w:rsid w:val="00F51D13"/>
    <w:rsid w:val="00F52DBC"/>
    <w:rsid w:val="00F5407E"/>
    <w:rsid w:val="00F558C6"/>
    <w:rsid w:val="00F561B3"/>
    <w:rsid w:val="00F65330"/>
    <w:rsid w:val="00F669E3"/>
    <w:rsid w:val="00F7114F"/>
    <w:rsid w:val="00F71311"/>
    <w:rsid w:val="00F72B20"/>
    <w:rsid w:val="00F7417D"/>
    <w:rsid w:val="00F7479B"/>
    <w:rsid w:val="00F76E2B"/>
    <w:rsid w:val="00F80239"/>
    <w:rsid w:val="00F8399A"/>
    <w:rsid w:val="00F90C4E"/>
    <w:rsid w:val="00F92B55"/>
    <w:rsid w:val="00F93B5B"/>
    <w:rsid w:val="00F94A6B"/>
    <w:rsid w:val="00F94A9D"/>
    <w:rsid w:val="00F9718D"/>
    <w:rsid w:val="00FA23A1"/>
    <w:rsid w:val="00FA341C"/>
    <w:rsid w:val="00FA6171"/>
    <w:rsid w:val="00FA7DE9"/>
    <w:rsid w:val="00FB0CC3"/>
    <w:rsid w:val="00FC0BB2"/>
    <w:rsid w:val="00FC2BA0"/>
    <w:rsid w:val="00FD2216"/>
    <w:rsid w:val="00FD34F5"/>
    <w:rsid w:val="00FD3779"/>
    <w:rsid w:val="00FD46F4"/>
    <w:rsid w:val="00FD522F"/>
    <w:rsid w:val="00FE1200"/>
    <w:rsid w:val="00FE3F4C"/>
    <w:rsid w:val="00FF0A9A"/>
    <w:rsid w:val="00FF198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A23218"/>
    <w:rPr>
      <w:sz w:val="16"/>
      <w:szCs w:val="16"/>
    </w:rPr>
  </w:style>
  <w:style w:type="paragraph" w:styleId="CommentText">
    <w:name w:val="annotation text"/>
    <w:basedOn w:val="Normal"/>
    <w:link w:val="CommentTextChar"/>
    <w:uiPriority w:val="99"/>
    <w:semiHidden/>
    <w:unhideWhenUsed/>
    <w:rsid w:val="00A23218"/>
    <w:pPr>
      <w:spacing w:line="240" w:lineRule="auto"/>
    </w:pPr>
    <w:rPr>
      <w:sz w:val="20"/>
      <w:szCs w:val="20"/>
      <w:lang w:val="de-DE" w:eastAsia="de-DE"/>
    </w:rPr>
  </w:style>
  <w:style w:type="character" w:customStyle="1" w:styleId="CommentTextChar">
    <w:name w:val="Comment Text Char"/>
    <w:basedOn w:val="DefaultParagraphFont"/>
    <w:link w:val="CommentText"/>
    <w:uiPriority w:val="99"/>
    <w:semiHidden/>
    <w:rsid w:val="00A23218"/>
    <w:rPr>
      <w:sz w:val="20"/>
      <w:szCs w:val="20"/>
      <w:lang w:val="de-DE" w:eastAsia="de-DE"/>
    </w:rPr>
  </w:style>
  <w:style w:type="paragraph" w:styleId="BalloonText">
    <w:name w:val="Balloon Text"/>
    <w:basedOn w:val="Normal"/>
    <w:link w:val="BalloonTextChar"/>
    <w:uiPriority w:val="99"/>
    <w:semiHidden/>
    <w:unhideWhenUsed/>
    <w:rsid w:val="00A232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3218"/>
    <w:rPr>
      <w:rFonts w:ascii="Tahoma" w:hAnsi="Tahoma" w:cs="Tahoma"/>
      <w:sz w:val="16"/>
      <w:szCs w:val="16"/>
    </w:rPr>
  </w:style>
  <w:style w:type="table" w:styleId="TableGrid">
    <w:name w:val="Table Grid"/>
    <w:basedOn w:val="TableNormal"/>
    <w:uiPriority w:val="59"/>
    <w:rsid w:val="00180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8138F"/>
    <w:pPr>
      <w:spacing w:before="100" w:beforeAutospacing="1" w:after="100" w:afterAutospacing="1" w:line="240" w:lineRule="auto"/>
    </w:pPr>
    <w:rPr>
      <w:rFonts w:ascii="Times New Roman" w:eastAsia="Times New Roman" w:hAnsi="Times New Roman" w:cs="Times New Roman"/>
      <w:sz w:val="24"/>
      <w:szCs w:val="24"/>
    </w:rPr>
  </w:style>
  <w:style w:type="paragraph" w:styleId="Bibliography">
    <w:name w:val="Bibliography"/>
    <w:basedOn w:val="Normal"/>
    <w:next w:val="Normal"/>
    <w:uiPriority w:val="37"/>
    <w:unhideWhenUsed/>
    <w:rsid w:val="0093232D"/>
    <w:pPr>
      <w:spacing w:after="240" w:line="240" w:lineRule="auto"/>
      <w:ind w:left="720" w:hanging="720"/>
    </w:pPr>
  </w:style>
  <w:style w:type="character" w:styleId="Hyperlink">
    <w:name w:val="Hyperlink"/>
    <w:basedOn w:val="DefaultParagraphFont"/>
    <w:uiPriority w:val="99"/>
    <w:semiHidden/>
    <w:unhideWhenUsed/>
    <w:rsid w:val="00937B7C"/>
    <w:rPr>
      <w:color w:val="0000FF"/>
      <w:u w:val="single"/>
    </w:rPr>
  </w:style>
  <w:style w:type="paragraph" w:styleId="CommentSubject">
    <w:name w:val="annotation subject"/>
    <w:basedOn w:val="CommentText"/>
    <w:next w:val="CommentText"/>
    <w:link w:val="CommentSubjectChar"/>
    <w:uiPriority w:val="99"/>
    <w:semiHidden/>
    <w:unhideWhenUsed/>
    <w:rsid w:val="00083AD0"/>
    <w:rPr>
      <w:b/>
      <w:bCs/>
      <w:lang w:val="en-US" w:eastAsia="en-US"/>
    </w:rPr>
  </w:style>
  <w:style w:type="character" w:customStyle="1" w:styleId="CommentSubjectChar">
    <w:name w:val="Comment Subject Char"/>
    <w:basedOn w:val="CommentTextChar"/>
    <w:link w:val="CommentSubject"/>
    <w:uiPriority w:val="99"/>
    <w:semiHidden/>
    <w:rsid w:val="00083AD0"/>
    <w:rPr>
      <w:b/>
      <w:bCs/>
      <w:sz w:val="20"/>
      <w:szCs w:val="20"/>
      <w:lang w:val="de-DE" w:eastAsia="de-DE"/>
    </w:rPr>
  </w:style>
  <w:style w:type="paragraph" w:styleId="Revision">
    <w:name w:val="Revision"/>
    <w:hidden/>
    <w:uiPriority w:val="99"/>
    <w:semiHidden/>
    <w:rsid w:val="00083AD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A23218"/>
    <w:rPr>
      <w:sz w:val="16"/>
      <w:szCs w:val="16"/>
    </w:rPr>
  </w:style>
  <w:style w:type="paragraph" w:styleId="CommentText">
    <w:name w:val="annotation text"/>
    <w:basedOn w:val="Normal"/>
    <w:link w:val="CommentTextChar"/>
    <w:uiPriority w:val="99"/>
    <w:semiHidden/>
    <w:unhideWhenUsed/>
    <w:rsid w:val="00A23218"/>
    <w:pPr>
      <w:spacing w:line="240" w:lineRule="auto"/>
    </w:pPr>
    <w:rPr>
      <w:sz w:val="20"/>
      <w:szCs w:val="20"/>
      <w:lang w:val="de-DE" w:eastAsia="de-DE"/>
    </w:rPr>
  </w:style>
  <w:style w:type="character" w:customStyle="1" w:styleId="CommentTextChar">
    <w:name w:val="Comment Text Char"/>
    <w:basedOn w:val="DefaultParagraphFont"/>
    <w:link w:val="CommentText"/>
    <w:uiPriority w:val="99"/>
    <w:semiHidden/>
    <w:rsid w:val="00A23218"/>
    <w:rPr>
      <w:sz w:val="20"/>
      <w:szCs w:val="20"/>
      <w:lang w:val="de-DE" w:eastAsia="de-DE"/>
    </w:rPr>
  </w:style>
  <w:style w:type="paragraph" w:styleId="BalloonText">
    <w:name w:val="Balloon Text"/>
    <w:basedOn w:val="Normal"/>
    <w:link w:val="BalloonTextChar"/>
    <w:uiPriority w:val="99"/>
    <w:semiHidden/>
    <w:unhideWhenUsed/>
    <w:rsid w:val="00A232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3218"/>
    <w:rPr>
      <w:rFonts w:ascii="Tahoma" w:hAnsi="Tahoma" w:cs="Tahoma"/>
      <w:sz w:val="16"/>
      <w:szCs w:val="16"/>
    </w:rPr>
  </w:style>
  <w:style w:type="table" w:styleId="TableGrid">
    <w:name w:val="Table Grid"/>
    <w:basedOn w:val="TableNormal"/>
    <w:uiPriority w:val="59"/>
    <w:rsid w:val="00180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8138F"/>
    <w:pPr>
      <w:spacing w:before="100" w:beforeAutospacing="1" w:after="100" w:afterAutospacing="1" w:line="240" w:lineRule="auto"/>
    </w:pPr>
    <w:rPr>
      <w:rFonts w:ascii="Times New Roman" w:eastAsia="Times New Roman" w:hAnsi="Times New Roman" w:cs="Times New Roman"/>
      <w:sz w:val="24"/>
      <w:szCs w:val="24"/>
    </w:rPr>
  </w:style>
  <w:style w:type="paragraph" w:styleId="Bibliography">
    <w:name w:val="Bibliography"/>
    <w:basedOn w:val="Normal"/>
    <w:next w:val="Normal"/>
    <w:uiPriority w:val="37"/>
    <w:unhideWhenUsed/>
    <w:rsid w:val="0093232D"/>
    <w:pPr>
      <w:spacing w:after="240" w:line="240" w:lineRule="auto"/>
      <w:ind w:left="720" w:hanging="720"/>
    </w:pPr>
  </w:style>
  <w:style w:type="character" w:styleId="Hyperlink">
    <w:name w:val="Hyperlink"/>
    <w:basedOn w:val="DefaultParagraphFont"/>
    <w:uiPriority w:val="99"/>
    <w:semiHidden/>
    <w:unhideWhenUsed/>
    <w:rsid w:val="00937B7C"/>
    <w:rPr>
      <w:color w:val="0000FF"/>
      <w:u w:val="single"/>
    </w:rPr>
  </w:style>
  <w:style w:type="paragraph" w:styleId="CommentSubject">
    <w:name w:val="annotation subject"/>
    <w:basedOn w:val="CommentText"/>
    <w:next w:val="CommentText"/>
    <w:link w:val="CommentSubjectChar"/>
    <w:uiPriority w:val="99"/>
    <w:semiHidden/>
    <w:unhideWhenUsed/>
    <w:rsid w:val="00083AD0"/>
    <w:rPr>
      <w:b/>
      <w:bCs/>
      <w:lang w:val="en-US" w:eastAsia="en-US"/>
    </w:rPr>
  </w:style>
  <w:style w:type="character" w:customStyle="1" w:styleId="CommentSubjectChar">
    <w:name w:val="Comment Subject Char"/>
    <w:basedOn w:val="CommentTextChar"/>
    <w:link w:val="CommentSubject"/>
    <w:uiPriority w:val="99"/>
    <w:semiHidden/>
    <w:rsid w:val="00083AD0"/>
    <w:rPr>
      <w:b/>
      <w:bCs/>
      <w:sz w:val="20"/>
      <w:szCs w:val="20"/>
      <w:lang w:val="de-DE" w:eastAsia="de-DE"/>
    </w:rPr>
  </w:style>
  <w:style w:type="paragraph" w:styleId="Revision">
    <w:name w:val="Revision"/>
    <w:hidden/>
    <w:uiPriority w:val="99"/>
    <w:semiHidden/>
    <w:rsid w:val="00083AD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3534644">
      <w:bodyDiv w:val="1"/>
      <w:marLeft w:val="0"/>
      <w:marRight w:val="0"/>
      <w:marTop w:val="0"/>
      <w:marBottom w:val="0"/>
      <w:divBdr>
        <w:top w:val="none" w:sz="0" w:space="0" w:color="auto"/>
        <w:left w:val="none" w:sz="0" w:space="0" w:color="auto"/>
        <w:bottom w:val="none" w:sz="0" w:space="0" w:color="auto"/>
        <w:right w:val="none" w:sz="0" w:space="0" w:color="auto"/>
      </w:divBdr>
    </w:div>
    <w:div w:id="938219334">
      <w:bodyDiv w:val="1"/>
      <w:marLeft w:val="0"/>
      <w:marRight w:val="0"/>
      <w:marTop w:val="0"/>
      <w:marBottom w:val="0"/>
      <w:divBdr>
        <w:top w:val="none" w:sz="0" w:space="0" w:color="auto"/>
        <w:left w:val="none" w:sz="0" w:space="0" w:color="auto"/>
        <w:bottom w:val="none" w:sz="0" w:space="0" w:color="auto"/>
        <w:right w:val="none" w:sz="0" w:space="0" w:color="auto"/>
      </w:divBdr>
    </w:div>
    <w:div w:id="1001853613">
      <w:bodyDiv w:val="1"/>
      <w:marLeft w:val="0"/>
      <w:marRight w:val="0"/>
      <w:marTop w:val="0"/>
      <w:marBottom w:val="0"/>
      <w:divBdr>
        <w:top w:val="none" w:sz="0" w:space="0" w:color="auto"/>
        <w:left w:val="none" w:sz="0" w:space="0" w:color="auto"/>
        <w:bottom w:val="none" w:sz="0" w:space="0" w:color="auto"/>
        <w:right w:val="none" w:sz="0" w:space="0" w:color="auto"/>
      </w:divBdr>
    </w:div>
    <w:div w:id="1141388716">
      <w:bodyDiv w:val="1"/>
      <w:marLeft w:val="0"/>
      <w:marRight w:val="0"/>
      <w:marTop w:val="0"/>
      <w:marBottom w:val="0"/>
      <w:divBdr>
        <w:top w:val="none" w:sz="0" w:space="0" w:color="auto"/>
        <w:left w:val="none" w:sz="0" w:space="0" w:color="auto"/>
        <w:bottom w:val="none" w:sz="0" w:space="0" w:color="auto"/>
        <w:right w:val="none" w:sz="0" w:space="0" w:color="auto"/>
      </w:divBdr>
      <w:divsChild>
        <w:div w:id="535778869">
          <w:marLeft w:val="0"/>
          <w:marRight w:val="0"/>
          <w:marTop w:val="0"/>
          <w:marBottom w:val="0"/>
          <w:divBdr>
            <w:top w:val="none" w:sz="0" w:space="0" w:color="auto"/>
            <w:left w:val="none" w:sz="0" w:space="0" w:color="auto"/>
            <w:bottom w:val="none" w:sz="0" w:space="0" w:color="auto"/>
            <w:right w:val="none" w:sz="0" w:space="0" w:color="auto"/>
          </w:divBdr>
          <w:divsChild>
            <w:div w:id="367606105">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 w:id="1261794233">
      <w:bodyDiv w:val="1"/>
      <w:marLeft w:val="0"/>
      <w:marRight w:val="0"/>
      <w:marTop w:val="0"/>
      <w:marBottom w:val="0"/>
      <w:divBdr>
        <w:top w:val="none" w:sz="0" w:space="0" w:color="auto"/>
        <w:left w:val="none" w:sz="0" w:space="0" w:color="auto"/>
        <w:bottom w:val="none" w:sz="0" w:space="0" w:color="auto"/>
        <w:right w:val="none" w:sz="0" w:space="0" w:color="auto"/>
      </w:divBdr>
      <w:divsChild>
        <w:div w:id="1072393067">
          <w:marLeft w:val="0"/>
          <w:marRight w:val="0"/>
          <w:marTop w:val="0"/>
          <w:marBottom w:val="0"/>
          <w:divBdr>
            <w:top w:val="none" w:sz="0" w:space="0" w:color="auto"/>
            <w:left w:val="none" w:sz="0" w:space="0" w:color="auto"/>
            <w:bottom w:val="none" w:sz="0" w:space="0" w:color="auto"/>
            <w:right w:val="none" w:sz="0" w:space="0" w:color="auto"/>
          </w:divBdr>
        </w:div>
        <w:div w:id="3214551">
          <w:marLeft w:val="0"/>
          <w:marRight w:val="0"/>
          <w:marTop w:val="0"/>
          <w:marBottom w:val="0"/>
          <w:divBdr>
            <w:top w:val="none" w:sz="0" w:space="0" w:color="auto"/>
            <w:left w:val="none" w:sz="0" w:space="0" w:color="auto"/>
            <w:bottom w:val="none" w:sz="0" w:space="0" w:color="auto"/>
            <w:right w:val="none" w:sz="0" w:space="0" w:color="auto"/>
          </w:divBdr>
        </w:div>
        <w:div w:id="414474891">
          <w:marLeft w:val="0"/>
          <w:marRight w:val="0"/>
          <w:marTop w:val="0"/>
          <w:marBottom w:val="0"/>
          <w:divBdr>
            <w:top w:val="none" w:sz="0" w:space="0" w:color="auto"/>
            <w:left w:val="none" w:sz="0" w:space="0" w:color="auto"/>
            <w:bottom w:val="none" w:sz="0" w:space="0" w:color="auto"/>
            <w:right w:val="none" w:sz="0" w:space="0" w:color="auto"/>
          </w:divBdr>
        </w:div>
        <w:div w:id="366567005">
          <w:marLeft w:val="0"/>
          <w:marRight w:val="0"/>
          <w:marTop w:val="0"/>
          <w:marBottom w:val="0"/>
          <w:divBdr>
            <w:top w:val="none" w:sz="0" w:space="0" w:color="auto"/>
            <w:left w:val="none" w:sz="0" w:space="0" w:color="auto"/>
            <w:bottom w:val="none" w:sz="0" w:space="0" w:color="auto"/>
            <w:right w:val="none" w:sz="0" w:space="0" w:color="auto"/>
          </w:divBdr>
        </w:div>
        <w:div w:id="1102412294">
          <w:marLeft w:val="0"/>
          <w:marRight w:val="0"/>
          <w:marTop w:val="0"/>
          <w:marBottom w:val="0"/>
          <w:divBdr>
            <w:top w:val="none" w:sz="0" w:space="0" w:color="auto"/>
            <w:left w:val="none" w:sz="0" w:space="0" w:color="auto"/>
            <w:bottom w:val="none" w:sz="0" w:space="0" w:color="auto"/>
            <w:right w:val="none" w:sz="0" w:space="0" w:color="auto"/>
          </w:divBdr>
        </w:div>
        <w:div w:id="1878662521">
          <w:marLeft w:val="0"/>
          <w:marRight w:val="0"/>
          <w:marTop w:val="0"/>
          <w:marBottom w:val="0"/>
          <w:divBdr>
            <w:top w:val="none" w:sz="0" w:space="0" w:color="auto"/>
            <w:left w:val="none" w:sz="0" w:space="0" w:color="auto"/>
            <w:bottom w:val="none" w:sz="0" w:space="0" w:color="auto"/>
            <w:right w:val="none" w:sz="0" w:space="0" w:color="auto"/>
          </w:divBdr>
        </w:div>
        <w:div w:id="831533200">
          <w:marLeft w:val="0"/>
          <w:marRight w:val="0"/>
          <w:marTop w:val="0"/>
          <w:marBottom w:val="0"/>
          <w:divBdr>
            <w:top w:val="none" w:sz="0" w:space="0" w:color="auto"/>
            <w:left w:val="none" w:sz="0" w:space="0" w:color="auto"/>
            <w:bottom w:val="none" w:sz="0" w:space="0" w:color="auto"/>
            <w:right w:val="none" w:sz="0" w:space="0" w:color="auto"/>
          </w:divBdr>
        </w:div>
        <w:div w:id="605887651">
          <w:marLeft w:val="0"/>
          <w:marRight w:val="0"/>
          <w:marTop w:val="0"/>
          <w:marBottom w:val="0"/>
          <w:divBdr>
            <w:top w:val="none" w:sz="0" w:space="0" w:color="auto"/>
            <w:left w:val="none" w:sz="0" w:space="0" w:color="auto"/>
            <w:bottom w:val="none" w:sz="0" w:space="0" w:color="auto"/>
            <w:right w:val="none" w:sz="0" w:space="0" w:color="auto"/>
          </w:divBdr>
        </w:div>
        <w:div w:id="622931748">
          <w:marLeft w:val="0"/>
          <w:marRight w:val="0"/>
          <w:marTop w:val="0"/>
          <w:marBottom w:val="0"/>
          <w:divBdr>
            <w:top w:val="none" w:sz="0" w:space="0" w:color="auto"/>
            <w:left w:val="none" w:sz="0" w:space="0" w:color="auto"/>
            <w:bottom w:val="none" w:sz="0" w:space="0" w:color="auto"/>
            <w:right w:val="none" w:sz="0" w:space="0" w:color="auto"/>
          </w:divBdr>
        </w:div>
        <w:div w:id="408159760">
          <w:marLeft w:val="0"/>
          <w:marRight w:val="0"/>
          <w:marTop w:val="0"/>
          <w:marBottom w:val="0"/>
          <w:divBdr>
            <w:top w:val="none" w:sz="0" w:space="0" w:color="auto"/>
            <w:left w:val="none" w:sz="0" w:space="0" w:color="auto"/>
            <w:bottom w:val="none" w:sz="0" w:space="0" w:color="auto"/>
            <w:right w:val="none" w:sz="0" w:space="0" w:color="auto"/>
          </w:divBdr>
        </w:div>
        <w:div w:id="323553616">
          <w:marLeft w:val="0"/>
          <w:marRight w:val="0"/>
          <w:marTop w:val="0"/>
          <w:marBottom w:val="0"/>
          <w:divBdr>
            <w:top w:val="none" w:sz="0" w:space="0" w:color="auto"/>
            <w:left w:val="none" w:sz="0" w:space="0" w:color="auto"/>
            <w:bottom w:val="none" w:sz="0" w:space="0" w:color="auto"/>
            <w:right w:val="none" w:sz="0" w:space="0" w:color="auto"/>
          </w:divBdr>
        </w:div>
        <w:div w:id="993681960">
          <w:marLeft w:val="0"/>
          <w:marRight w:val="0"/>
          <w:marTop w:val="0"/>
          <w:marBottom w:val="0"/>
          <w:divBdr>
            <w:top w:val="none" w:sz="0" w:space="0" w:color="auto"/>
            <w:left w:val="none" w:sz="0" w:space="0" w:color="auto"/>
            <w:bottom w:val="none" w:sz="0" w:space="0" w:color="auto"/>
            <w:right w:val="none" w:sz="0" w:space="0" w:color="auto"/>
          </w:divBdr>
        </w:div>
      </w:divsChild>
    </w:div>
    <w:div w:id="1265072275">
      <w:bodyDiv w:val="1"/>
      <w:marLeft w:val="0"/>
      <w:marRight w:val="0"/>
      <w:marTop w:val="0"/>
      <w:marBottom w:val="0"/>
      <w:divBdr>
        <w:top w:val="none" w:sz="0" w:space="0" w:color="auto"/>
        <w:left w:val="none" w:sz="0" w:space="0" w:color="auto"/>
        <w:bottom w:val="none" w:sz="0" w:space="0" w:color="auto"/>
        <w:right w:val="none" w:sz="0" w:space="0" w:color="auto"/>
      </w:divBdr>
    </w:div>
    <w:div w:id="1807044073">
      <w:bodyDiv w:val="1"/>
      <w:marLeft w:val="0"/>
      <w:marRight w:val="0"/>
      <w:marTop w:val="0"/>
      <w:marBottom w:val="0"/>
      <w:divBdr>
        <w:top w:val="none" w:sz="0" w:space="0" w:color="auto"/>
        <w:left w:val="none" w:sz="0" w:space="0" w:color="auto"/>
        <w:bottom w:val="none" w:sz="0" w:space="0" w:color="auto"/>
        <w:right w:val="none" w:sz="0" w:space="0" w:color="auto"/>
      </w:divBdr>
    </w:div>
    <w:div w:id="1899247193">
      <w:bodyDiv w:val="1"/>
      <w:marLeft w:val="0"/>
      <w:marRight w:val="0"/>
      <w:marTop w:val="0"/>
      <w:marBottom w:val="0"/>
      <w:divBdr>
        <w:top w:val="none" w:sz="0" w:space="0" w:color="auto"/>
        <w:left w:val="none" w:sz="0" w:space="0" w:color="auto"/>
        <w:bottom w:val="none" w:sz="0" w:space="0" w:color="auto"/>
        <w:right w:val="none" w:sz="0" w:space="0" w:color="auto"/>
      </w:divBdr>
    </w:div>
    <w:div w:id="1967468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22648</Words>
  <Characters>129096</Characters>
  <Application>Microsoft Office Word</Application>
  <DocSecurity>0</DocSecurity>
  <Lines>1075</Lines>
  <Paragraphs>302</Paragraphs>
  <ScaleCrop>false</ScaleCrop>
  <HeadingPairs>
    <vt:vector size="2" baseType="variant">
      <vt:variant>
        <vt:lpstr>Title</vt:lpstr>
      </vt:variant>
      <vt:variant>
        <vt:i4>1</vt:i4>
      </vt:variant>
    </vt:vector>
  </HeadingPairs>
  <TitlesOfParts>
    <vt:vector size="1" baseType="lpstr">
      <vt:lpstr/>
    </vt:vector>
  </TitlesOfParts>
  <Company>Universitätsmedizin Göttingen</Company>
  <LinksUpToDate>false</LinksUpToDate>
  <CharactersWithSpaces>151442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Upasana</dc:creator>
  <cp:lastModifiedBy>Steven Johnsen</cp:lastModifiedBy>
  <cp:revision>2</cp:revision>
  <dcterms:created xsi:type="dcterms:W3CDTF">2016-12-05T07:40:00Z</dcterms:created>
  <dcterms:modified xsi:type="dcterms:W3CDTF">2016-12-05T07:40:00Z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zotero-version="4.0.29.11"&gt;&lt;session id="2WPDeICw"/&gt;&lt;style id="http://www.zotero.org/styles/nucleic-acids-research" hasBibliography="1" bibliographyStyleHasBeenSet="1"/&gt;&lt;prefs&gt;&lt;pref name="fieldType" value="Field"/&gt;&lt;pref name="storeRe</vt:lpwstr>
  </property>
  <property fmtid="{D5CDD505-2E9C-101B-9397-08002B2CF9AE}" pid="3" name="ZOTERO_PREF_2">
    <vt:lpwstr>ferences" value="true"/&gt;&lt;pref name="automaticJournalAbbreviations" value=""/&gt;&lt;pref name="noteType" value=""/&gt;&lt;/prefs&gt;&lt;/data&gt;</vt:lpwstr>
  </property>
</Properties>
</file>