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085C4" w14:textId="2D7BE8E2" w:rsidR="009410CD" w:rsidRPr="009410CD" w:rsidRDefault="00453AAF" w:rsidP="000516C6">
      <w:pPr>
        <w:keepNext/>
        <w:keepLines/>
        <w:spacing w:before="200" w:after="0" w:line="360" w:lineRule="auto"/>
        <w:outlineLvl w:val="1"/>
        <w:rPr>
          <w:rFonts w:ascii="Cambria" w:eastAsia="Times New Roman" w:hAnsi="Cambria" w:cs="Times New Roman"/>
          <w:b/>
          <w:bCs/>
          <w:sz w:val="26"/>
          <w:szCs w:val="26"/>
          <w:lang w:val="en-GB" w:eastAsia="de-DE"/>
        </w:rPr>
      </w:pPr>
      <w:proofErr w:type="spellStart"/>
      <w:r>
        <w:rPr>
          <w:rFonts w:ascii="Cambria" w:eastAsia="Times New Roman" w:hAnsi="Cambria" w:cs="Times New Roman"/>
          <w:b/>
          <w:bCs/>
          <w:sz w:val="26"/>
          <w:szCs w:val="26"/>
          <w:lang w:val="en-GB" w:eastAsia="de-DE"/>
        </w:rPr>
        <w:t>Mehtod</w:t>
      </w:r>
      <w:proofErr w:type="spellEnd"/>
      <w:r>
        <w:rPr>
          <w:rFonts w:ascii="Cambria" w:eastAsia="Times New Roman" w:hAnsi="Cambria" w:cs="Times New Roman"/>
          <w:b/>
          <w:bCs/>
          <w:sz w:val="26"/>
          <w:szCs w:val="26"/>
          <w:lang w:val="en-GB" w:eastAsia="de-DE"/>
        </w:rPr>
        <w:t xml:space="preserve"> S1: </w:t>
      </w:r>
      <w:r w:rsidR="009410CD" w:rsidRPr="009410CD">
        <w:rPr>
          <w:rFonts w:ascii="Cambria" w:eastAsia="Times New Roman" w:hAnsi="Cambria" w:cs="Times New Roman"/>
          <w:b/>
          <w:bCs/>
          <w:sz w:val="26"/>
          <w:szCs w:val="26"/>
          <w:lang w:val="en-GB" w:eastAsia="de-DE"/>
        </w:rPr>
        <w:t>Identification of morphotypes via Sanger sequencing</w:t>
      </w:r>
    </w:p>
    <w:p w14:paraId="4E488638" w14:textId="051D28F8" w:rsidR="00DB5232" w:rsidRDefault="009410CD" w:rsidP="000516C6">
      <w:pPr>
        <w:spacing w:line="360" w:lineRule="auto"/>
        <w:rPr>
          <w:rFonts w:ascii="Palatino Linotype" w:eastAsia="Calibri" w:hAnsi="Palatino Linotype" w:cs="Times New Roman"/>
          <w:sz w:val="24"/>
          <w:szCs w:val="20"/>
          <w:lang w:val="en-GB" w:eastAsia="de-DE"/>
        </w:rPr>
      </w:pPr>
      <w:r w:rsidRPr="009410CD">
        <w:rPr>
          <w:rFonts w:ascii="Palatino Linotype" w:eastAsia="Calibri" w:hAnsi="Palatino Linotype" w:cs="Times New Roman"/>
          <w:sz w:val="24"/>
          <w:szCs w:val="20"/>
          <w:lang w:val="en-GB" w:eastAsia="de-DE"/>
        </w:rPr>
        <w:t xml:space="preserve">Three × ten root tips per morphotype were collected in 2.0-mL </w:t>
      </w:r>
      <w:proofErr w:type="spellStart"/>
      <w:r w:rsidRPr="009410CD">
        <w:rPr>
          <w:rFonts w:ascii="Palatino Linotype" w:eastAsia="Calibri" w:hAnsi="Palatino Linotype" w:cs="Times New Roman"/>
          <w:sz w:val="24"/>
          <w:szCs w:val="20"/>
          <w:lang w:val="en-GB" w:eastAsia="de-DE"/>
        </w:rPr>
        <w:t>microcentrifuge</w:t>
      </w:r>
      <w:proofErr w:type="spellEnd"/>
      <w:r w:rsidRPr="009410CD">
        <w:rPr>
          <w:rFonts w:ascii="Palatino Linotype" w:eastAsia="Calibri" w:hAnsi="Palatino Linotype" w:cs="Times New Roman"/>
          <w:sz w:val="24"/>
          <w:szCs w:val="20"/>
          <w:lang w:val="en-GB" w:eastAsia="de-DE"/>
        </w:rPr>
        <w:t xml:space="preserve"> tubes and DNA was extracted with the </w:t>
      </w:r>
      <w:proofErr w:type="spellStart"/>
      <w:r w:rsidRPr="009410CD">
        <w:rPr>
          <w:rFonts w:ascii="Palatino Linotype" w:eastAsia="Calibri" w:hAnsi="Palatino Linotype" w:cs="Times New Roman"/>
          <w:sz w:val="24"/>
          <w:szCs w:val="20"/>
          <w:lang w:val="en-GB" w:eastAsia="de-DE"/>
        </w:rPr>
        <w:t>MoBio-htp</w:t>
      </w:r>
      <w:proofErr w:type="spellEnd"/>
      <w:r w:rsidRPr="009410CD">
        <w:rPr>
          <w:rFonts w:ascii="Palatino Linotype" w:eastAsia="Calibri" w:hAnsi="Palatino Linotype" w:cs="Times New Roman"/>
          <w:sz w:val="24"/>
          <w:szCs w:val="20"/>
          <w:lang w:val="en-GB" w:eastAsia="de-DE"/>
        </w:rPr>
        <w:t xml:space="preserve"> 96 Well Soil DNA Isolation Kit (</w:t>
      </w:r>
      <w:proofErr w:type="spellStart"/>
      <w:r w:rsidRPr="009410CD">
        <w:rPr>
          <w:rFonts w:ascii="Palatino Linotype" w:eastAsia="Calibri" w:hAnsi="Palatino Linotype" w:cs="Times New Roman"/>
          <w:sz w:val="24"/>
          <w:szCs w:val="20"/>
          <w:lang w:val="en-GB" w:eastAsia="de-DE"/>
        </w:rPr>
        <w:t>MoBio</w:t>
      </w:r>
      <w:proofErr w:type="spellEnd"/>
      <w:r w:rsidRPr="009410CD">
        <w:rPr>
          <w:rFonts w:ascii="Palatino Linotype" w:eastAsia="Calibri" w:hAnsi="Palatino Linotype" w:cs="Times New Roman"/>
          <w:sz w:val="24"/>
          <w:szCs w:val="20"/>
          <w:lang w:val="en-GB" w:eastAsia="de-DE"/>
        </w:rPr>
        <w:t xml:space="preserve">, Carlsbad, CA, USA), in accordance with the manufacturer’s manual. DNA yield was measured with a </w:t>
      </w:r>
      <w:proofErr w:type="spellStart"/>
      <w:r w:rsidRPr="009410CD">
        <w:rPr>
          <w:rFonts w:ascii="Palatino Linotype" w:eastAsia="Calibri" w:hAnsi="Palatino Linotype" w:cs="Times New Roman"/>
          <w:sz w:val="24"/>
          <w:szCs w:val="20"/>
          <w:lang w:val="en-GB" w:eastAsia="de-DE"/>
        </w:rPr>
        <w:t>NanoDrop</w:t>
      </w:r>
      <w:proofErr w:type="spellEnd"/>
      <w:r w:rsidRPr="009410CD">
        <w:rPr>
          <w:rFonts w:ascii="Palatino Linotype" w:eastAsia="Calibri" w:hAnsi="Palatino Linotype" w:cs="Times New Roman"/>
          <w:sz w:val="24"/>
          <w:szCs w:val="20"/>
          <w:lang w:val="en-GB" w:eastAsia="de-DE"/>
        </w:rPr>
        <w:t xml:space="preserve"> 1000 (</w:t>
      </w:r>
      <w:proofErr w:type="spellStart"/>
      <w:r w:rsidRPr="009410CD">
        <w:rPr>
          <w:rFonts w:ascii="Palatino Linotype" w:eastAsia="Calibri" w:hAnsi="Palatino Linotype" w:cs="Times New Roman"/>
          <w:sz w:val="24"/>
          <w:szCs w:val="20"/>
          <w:lang w:val="en-GB" w:eastAsia="de-DE"/>
        </w:rPr>
        <w:t>Peqlab</w:t>
      </w:r>
      <w:proofErr w:type="spellEnd"/>
      <w:r w:rsidRPr="009410CD">
        <w:rPr>
          <w:rFonts w:ascii="Palatino Linotype" w:eastAsia="Calibri" w:hAnsi="Palatino Linotype" w:cs="Times New Roman"/>
          <w:sz w:val="24"/>
          <w:szCs w:val="20"/>
          <w:lang w:val="en-GB" w:eastAsia="de-DE"/>
        </w:rPr>
        <w:t>, Erlangen, Germany). The phylogenetically informative region ITS was amplified via PCR and the primer pair ITS1F [</w:t>
      </w:r>
      <w:proofErr w:type="spellStart"/>
      <w:r w:rsidRPr="009410CD">
        <w:rPr>
          <w:rFonts w:ascii="Palatino Linotype" w:eastAsia="Calibri" w:hAnsi="Palatino Linotype" w:cs="Times New Roman"/>
          <w:noProof/>
          <w:sz w:val="24"/>
          <w:szCs w:val="20"/>
          <w:lang w:val="en-GB" w:eastAsia="de-DE"/>
        </w:rPr>
        <w:t>Gardes</w:t>
      </w:r>
      <w:proofErr w:type="spellEnd"/>
      <w:r w:rsidRPr="009410CD">
        <w:rPr>
          <w:rFonts w:ascii="Palatino Linotype" w:eastAsia="Calibri" w:hAnsi="Palatino Linotype" w:cs="Times New Roman"/>
          <w:noProof/>
          <w:sz w:val="24"/>
          <w:szCs w:val="20"/>
          <w:lang w:val="en-GB" w:eastAsia="de-DE"/>
        </w:rPr>
        <w:t xml:space="preserve"> and Bruns (1993)</w:t>
      </w:r>
      <w:r w:rsidRPr="009410CD">
        <w:rPr>
          <w:rFonts w:ascii="Palatino Linotype" w:eastAsia="Calibri" w:hAnsi="Palatino Linotype" w:cs="Times New Roman"/>
          <w:sz w:val="24"/>
          <w:szCs w:val="20"/>
          <w:lang w:val="en-GB" w:eastAsia="de-DE"/>
        </w:rPr>
        <w:t>; 5’-CTTGGTCATTTAGAGGAAGTAA-3’] and ITS4 [</w:t>
      </w:r>
      <w:r w:rsidRPr="009410CD">
        <w:rPr>
          <w:rFonts w:ascii="Palatino Linotype" w:eastAsia="Calibri" w:hAnsi="Palatino Linotype" w:cs="Times New Roman"/>
          <w:noProof/>
          <w:sz w:val="24"/>
          <w:szCs w:val="20"/>
          <w:lang w:val="en-GB" w:eastAsia="de-DE"/>
        </w:rPr>
        <w:t>White et al. (1990)</w:t>
      </w:r>
      <w:r w:rsidRPr="009410CD">
        <w:rPr>
          <w:rFonts w:ascii="Palatino Linotype" w:eastAsia="Calibri" w:hAnsi="Palatino Linotype" w:cs="Times New Roman"/>
          <w:sz w:val="24"/>
          <w:szCs w:val="20"/>
          <w:lang w:val="en-GB" w:eastAsia="de-DE"/>
        </w:rPr>
        <w:t xml:space="preserve">; 5’-TCCTCCGCTTATTGATATGC-3’] using the </w:t>
      </w:r>
      <w:proofErr w:type="spellStart"/>
      <w:r w:rsidRPr="009410CD">
        <w:rPr>
          <w:rFonts w:ascii="Palatino Linotype" w:eastAsia="Calibri" w:hAnsi="Palatino Linotype" w:cs="Times New Roman"/>
          <w:sz w:val="24"/>
          <w:szCs w:val="20"/>
          <w:lang w:val="en-GB" w:eastAsia="de-DE"/>
        </w:rPr>
        <w:t>Qiagen</w:t>
      </w:r>
      <w:proofErr w:type="spellEnd"/>
      <w:r w:rsidRPr="009410CD">
        <w:rPr>
          <w:rFonts w:ascii="Palatino Linotype" w:eastAsia="Calibri" w:hAnsi="Palatino Linotype" w:cs="Times New Roman"/>
          <w:sz w:val="24"/>
          <w:szCs w:val="20"/>
          <w:lang w:val="en-GB" w:eastAsia="de-DE"/>
        </w:rPr>
        <w:t xml:space="preserve"> </w:t>
      </w:r>
      <w:proofErr w:type="spellStart"/>
      <w:r w:rsidRPr="009410CD">
        <w:rPr>
          <w:rFonts w:ascii="Palatino Linotype" w:eastAsia="Calibri" w:hAnsi="Palatino Linotype" w:cs="Times New Roman"/>
          <w:sz w:val="24"/>
          <w:szCs w:val="20"/>
          <w:lang w:val="en-GB" w:eastAsia="de-DE"/>
        </w:rPr>
        <w:t>Taq</w:t>
      </w:r>
      <w:proofErr w:type="spellEnd"/>
      <w:r w:rsidRPr="009410CD">
        <w:rPr>
          <w:rFonts w:ascii="Palatino Linotype" w:eastAsia="Calibri" w:hAnsi="Palatino Linotype" w:cs="Times New Roman"/>
          <w:sz w:val="24"/>
          <w:szCs w:val="20"/>
          <w:lang w:val="en-GB" w:eastAsia="de-DE"/>
        </w:rPr>
        <w:t xml:space="preserve"> PCR Master Mix Kit (</w:t>
      </w:r>
      <w:proofErr w:type="spellStart"/>
      <w:r w:rsidRPr="009410CD">
        <w:rPr>
          <w:rFonts w:ascii="Palatino Linotype" w:eastAsia="Calibri" w:hAnsi="Palatino Linotype" w:cs="Times New Roman"/>
          <w:sz w:val="24"/>
          <w:szCs w:val="20"/>
          <w:lang w:val="en-GB" w:eastAsia="de-DE"/>
        </w:rPr>
        <w:t>Qiagen</w:t>
      </w:r>
      <w:proofErr w:type="spellEnd"/>
      <w:r w:rsidRPr="009410CD">
        <w:rPr>
          <w:rFonts w:ascii="Palatino Linotype" w:eastAsia="Calibri" w:hAnsi="Palatino Linotype" w:cs="Times New Roman"/>
          <w:sz w:val="24"/>
          <w:szCs w:val="20"/>
          <w:lang w:val="en-GB" w:eastAsia="de-DE"/>
        </w:rPr>
        <w:t xml:space="preserve">, Hilden, Germany). PCR mixtures contained 25 µL of </w:t>
      </w:r>
      <w:proofErr w:type="spellStart"/>
      <w:r w:rsidRPr="009410CD">
        <w:rPr>
          <w:rFonts w:ascii="Palatino Linotype" w:eastAsia="Calibri" w:hAnsi="Palatino Linotype" w:cs="Times New Roman"/>
          <w:sz w:val="24"/>
          <w:szCs w:val="20"/>
          <w:lang w:val="en-GB" w:eastAsia="de-DE"/>
        </w:rPr>
        <w:t>Qiagen</w:t>
      </w:r>
      <w:proofErr w:type="spellEnd"/>
      <w:r w:rsidRPr="009410CD">
        <w:rPr>
          <w:rFonts w:ascii="Palatino Linotype" w:eastAsia="Calibri" w:hAnsi="Palatino Linotype" w:cs="Times New Roman"/>
          <w:sz w:val="24"/>
          <w:szCs w:val="20"/>
          <w:lang w:val="en-GB" w:eastAsia="de-DE"/>
        </w:rPr>
        <w:t xml:space="preserve"> </w:t>
      </w:r>
      <w:proofErr w:type="spellStart"/>
      <w:r w:rsidRPr="009410CD">
        <w:rPr>
          <w:rFonts w:ascii="Palatino Linotype" w:eastAsia="Calibri" w:hAnsi="Palatino Linotype" w:cs="Times New Roman"/>
          <w:sz w:val="24"/>
          <w:szCs w:val="20"/>
          <w:lang w:val="en-GB" w:eastAsia="de-DE"/>
        </w:rPr>
        <w:t>Taq</w:t>
      </w:r>
      <w:proofErr w:type="spellEnd"/>
      <w:r w:rsidRPr="009410CD">
        <w:rPr>
          <w:rFonts w:ascii="Palatino Linotype" w:eastAsia="Calibri" w:hAnsi="Palatino Linotype" w:cs="Times New Roman"/>
          <w:sz w:val="24"/>
          <w:szCs w:val="20"/>
          <w:lang w:val="en-GB" w:eastAsia="de-DE"/>
        </w:rPr>
        <w:t xml:space="preserve"> PCR Master Mix, 1 µL of both primers (10 µ</w:t>
      </w:r>
      <w:r w:rsidRPr="009410CD">
        <w:rPr>
          <w:rFonts w:ascii="Palatino Linotype" w:eastAsia="Calibri" w:hAnsi="Palatino Linotype" w:cs="Times New Roman"/>
          <w:i/>
          <w:sz w:val="24"/>
          <w:szCs w:val="20"/>
          <w:lang w:val="en-GB" w:eastAsia="de-DE"/>
        </w:rPr>
        <w:t>M</w:t>
      </w:r>
      <w:r w:rsidRPr="009410CD">
        <w:rPr>
          <w:rFonts w:ascii="Palatino Linotype" w:eastAsia="Calibri" w:hAnsi="Palatino Linotype" w:cs="Times New Roman"/>
          <w:sz w:val="24"/>
          <w:szCs w:val="20"/>
          <w:lang w:val="en-GB" w:eastAsia="de-DE"/>
        </w:rPr>
        <w:t xml:space="preserve">), 20–30 ng of DNA template and water to 50 µL. Following initial denaturation at 94 °C for 4 min, samples were amplified by 35 cycles of 94 °C for 45 s, 55 °C for 45 s and 72 °C for 75 s, and then a final extension at 72 °C for 5 min. PCR success was tested via gel electrophoresis (1% agarose gel, 120 V, 30 min). PCR products were cleaned up with ethanol/EDTA/sodium acetate precipitation and subjected to chain termination PCR using the </w:t>
      </w:r>
      <w:proofErr w:type="spellStart"/>
      <w:r w:rsidRPr="009410CD">
        <w:rPr>
          <w:rFonts w:ascii="Palatino Linotype" w:eastAsia="Calibri" w:hAnsi="Palatino Linotype" w:cs="Times New Roman"/>
          <w:sz w:val="24"/>
          <w:szCs w:val="20"/>
          <w:lang w:val="en-GB" w:eastAsia="de-DE"/>
        </w:rPr>
        <w:t>BigDye</w:t>
      </w:r>
      <w:proofErr w:type="spellEnd"/>
      <w:r w:rsidRPr="009410CD">
        <w:rPr>
          <w:rFonts w:ascii="Palatino Linotype" w:eastAsia="Calibri" w:hAnsi="Palatino Linotype" w:cs="Times New Roman"/>
          <w:sz w:val="24"/>
          <w:szCs w:val="20"/>
          <w:lang w:val="en-GB" w:eastAsia="de-DE"/>
        </w:rPr>
        <w:t xml:space="preserve"> Terminator v3.1 Cycle Sequencing Kit (Applied Life Technologies, Carlsbad, CA, USA). For each primer, a separate PCR mixture was prepared containing 2 µL of amplified DNA template, 1 µL of 5x BDT reaction buffer, 1 µL of primer (10 µ</w:t>
      </w:r>
      <w:r w:rsidRPr="009410CD">
        <w:rPr>
          <w:rFonts w:ascii="Palatino Linotype" w:eastAsia="Calibri" w:hAnsi="Palatino Linotype" w:cs="Times New Roman"/>
          <w:i/>
          <w:sz w:val="24"/>
          <w:szCs w:val="20"/>
          <w:lang w:val="en-GB" w:eastAsia="de-DE"/>
        </w:rPr>
        <w:t>M</w:t>
      </w:r>
      <w:r w:rsidRPr="009410CD">
        <w:rPr>
          <w:rFonts w:ascii="Palatino Linotype" w:eastAsia="Calibri" w:hAnsi="Palatino Linotype" w:cs="Times New Roman"/>
          <w:sz w:val="24"/>
          <w:szCs w:val="20"/>
          <w:lang w:val="en-GB" w:eastAsia="de-DE"/>
        </w:rPr>
        <w:t xml:space="preserve">) and 1 µL of terminator mix (dNTPs and labelled </w:t>
      </w:r>
      <w:proofErr w:type="spellStart"/>
      <w:r w:rsidRPr="009410CD">
        <w:rPr>
          <w:rFonts w:ascii="Palatino Linotype" w:eastAsia="Calibri" w:hAnsi="Palatino Linotype" w:cs="Times New Roman"/>
          <w:sz w:val="24"/>
          <w:szCs w:val="20"/>
          <w:lang w:val="en-GB" w:eastAsia="de-DE"/>
        </w:rPr>
        <w:t>ddNTPs</w:t>
      </w:r>
      <w:proofErr w:type="spellEnd"/>
      <w:r w:rsidRPr="009410CD">
        <w:rPr>
          <w:rFonts w:ascii="Palatino Linotype" w:eastAsia="Calibri" w:hAnsi="Palatino Linotype" w:cs="Times New Roman"/>
          <w:sz w:val="24"/>
          <w:szCs w:val="20"/>
          <w:lang w:val="en-GB" w:eastAsia="de-DE"/>
        </w:rPr>
        <w:t xml:space="preserve">). After initial denaturation at 96 °C for 1 min, samples were amplified by 50 cycles of 96 °C for 10 s, 50 °C for 10 s and 60 °C for 4 min. Chain termination fragments were cleaned up with ethanol precipitation and analysed on an ABI 3730 48-capillary sequencer. Sequences were checked and assembled with the software </w:t>
      </w:r>
      <w:proofErr w:type="spellStart"/>
      <w:r w:rsidRPr="009410CD">
        <w:rPr>
          <w:rFonts w:ascii="Palatino Linotype" w:eastAsia="Calibri" w:hAnsi="Palatino Linotype" w:cs="Times New Roman"/>
          <w:sz w:val="24"/>
          <w:szCs w:val="20"/>
          <w:lang w:val="en-GB" w:eastAsia="de-DE"/>
        </w:rPr>
        <w:t>codoncode</w:t>
      </w:r>
      <w:proofErr w:type="spellEnd"/>
      <w:r w:rsidRPr="009410CD">
        <w:rPr>
          <w:rFonts w:ascii="Palatino Linotype" w:eastAsia="Calibri" w:hAnsi="Palatino Linotype" w:cs="Times New Roman"/>
          <w:sz w:val="24"/>
          <w:szCs w:val="20"/>
          <w:lang w:val="en-GB" w:eastAsia="de-DE"/>
        </w:rPr>
        <w:t xml:space="preserve"> aligner (</w:t>
      </w:r>
      <w:proofErr w:type="spellStart"/>
      <w:r w:rsidRPr="009410CD">
        <w:rPr>
          <w:rFonts w:ascii="Palatino Linotype" w:eastAsia="Calibri" w:hAnsi="Palatino Linotype" w:cs="Times New Roman"/>
          <w:sz w:val="24"/>
          <w:szCs w:val="20"/>
          <w:lang w:val="en-GB" w:eastAsia="de-DE"/>
        </w:rPr>
        <w:t>CodonCode</w:t>
      </w:r>
      <w:proofErr w:type="spellEnd"/>
      <w:r w:rsidRPr="009410CD">
        <w:rPr>
          <w:rFonts w:ascii="Palatino Linotype" w:eastAsia="Calibri" w:hAnsi="Palatino Linotype" w:cs="Times New Roman"/>
          <w:sz w:val="24"/>
          <w:szCs w:val="20"/>
          <w:lang w:val="en-GB" w:eastAsia="de-DE"/>
        </w:rPr>
        <w:t xml:space="preserve"> Corporation, Centerville, MA, USA) and contigs were blasted against the UNITE database </w:t>
      </w:r>
      <w:r w:rsidRPr="009410CD">
        <w:rPr>
          <w:rFonts w:ascii="Palatino Linotype" w:eastAsia="Calibri" w:hAnsi="Palatino Linotype" w:cs="Times New Roman"/>
          <w:noProof/>
          <w:sz w:val="24"/>
          <w:szCs w:val="20"/>
          <w:lang w:val="en-GB" w:eastAsia="de-DE"/>
        </w:rPr>
        <w:t xml:space="preserve">(Kõljalg </w:t>
      </w:r>
      <w:r w:rsidRPr="00453AAF">
        <w:rPr>
          <w:rFonts w:ascii="Palatino Linotype" w:eastAsia="Calibri" w:hAnsi="Palatino Linotype" w:cs="Times New Roman"/>
          <w:noProof/>
          <w:sz w:val="24"/>
          <w:szCs w:val="20"/>
          <w:lang w:val="en-GB" w:eastAsia="de-DE"/>
        </w:rPr>
        <w:t>et al. 2013)</w:t>
      </w:r>
      <w:r w:rsidRPr="00453AAF">
        <w:rPr>
          <w:rFonts w:ascii="Palatino Linotype" w:eastAsia="Calibri" w:hAnsi="Palatino Linotype" w:cs="Times New Roman"/>
          <w:sz w:val="24"/>
          <w:szCs w:val="20"/>
          <w:lang w:val="en-GB" w:eastAsia="de-DE"/>
        </w:rPr>
        <w:t>.</w:t>
      </w:r>
    </w:p>
    <w:p w14:paraId="4AB97228" w14:textId="475D4DFC" w:rsidR="000516C6" w:rsidRDefault="000516C6">
      <w:pPr>
        <w:rPr>
          <w:rFonts w:ascii="Palatino Linotype" w:eastAsia="Calibri" w:hAnsi="Palatino Linotype" w:cs="Times New Roman"/>
          <w:sz w:val="24"/>
          <w:szCs w:val="20"/>
          <w:lang w:val="en-GB" w:eastAsia="de-DE"/>
        </w:rPr>
      </w:pPr>
      <w:r>
        <w:rPr>
          <w:rFonts w:ascii="Palatino Linotype" w:eastAsia="Calibri" w:hAnsi="Palatino Linotype" w:cs="Times New Roman"/>
          <w:sz w:val="24"/>
          <w:szCs w:val="20"/>
          <w:lang w:val="en-GB" w:eastAsia="de-DE"/>
        </w:rPr>
        <w:br w:type="page"/>
      </w:r>
    </w:p>
    <w:p w14:paraId="28A07BA2" w14:textId="0ACD5DE9" w:rsidR="00453AAF" w:rsidRPr="00453AAF" w:rsidRDefault="00453AAF" w:rsidP="000516C6">
      <w:pPr>
        <w:spacing w:after="0" w:line="276" w:lineRule="auto"/>
        <w:rPr>
          <w:rFonts w:ascii="Palatino Linotype" w:hAnsi="Palatino Linotype"/>
          <w:sz w:val="24"/>
          <w:szCs w:val="24"/>
          <w:lang w:val="en-GB"/>
        </w:rPr>
      </w:pPr>
      <w:r w:rsidRPr="00453AAF">
        <w:rPr>
          <w:rFonts w:ascii="Palatino Linotype" w:eastAsia="Calibri" w:hAnsi="Palatino Linotype" w:cs="Times New Roman"/>
          <w:b/>
          <w:sz w:val="24"/>
          <w:szCs w:val="20"/>
          <w:lang w:val="en-GB" w:eastAsia="de-DE"/>
        </w:rPr>
        <w:lastRenderedPageBreak/>
        <w:t>Table S2</w:t>
      </w:r>
      <w:r w:rsidRPr="00453AAF">
        <w:rPr>
          <w:rFonts w:ascii="Palatino Linotype" w:hAnsi="Palatino Linotype"/>
          <w:sz w:val="24"/>
          <w:szCs w:val="24"/>
          <w:lang w:val="en-GB"/>
        </w:rPr>
        <w:t xml:space="preserve"> Matrix with Spearman correlation coefficients (ρ) of physiological data. Significant correlations (p &lt; 0.05) are in bold.</w:t>
      </w:r>
    </w:p>
    <w:tbl>
      <w:tblPr>
        <w:tblW w:w="8170" w:type="dxa"/>
        <w:tblCellMar>
          <w:left w:w="70" w:type="dxa"/>
          <w:right w:w="70" w:type="dxa"/>
        </w:tblCellMar>
        <w:tblLook w:val="04A0" w:firstRow="1" w:lastRow="0" w:firstColumn="1" w:lastColumn="0" w:noHBand="0" w:noVBand="1"/>
      </w:tblPr>
      <w:tblGrid>
        <w:gridCol w:w="2127"/>
        <w:gridCol w:w="1122"/>
        <w:gridCol w:w="937"/>
        <w:gridCol w:w="937"/>
        <w:gridCol w:w="760"/>
        <w:gridCol w:w="632"/>
        <w:gridCol w:w="863"/>
        <w:gridCol w:w="863"/>
      </w:tblGrid>
      <w:tr w:rsidR="00453AAF" w:rsidRPr="005A2BFB" w14:paraId="774478ED" w14:textId="77777777" w:rsidTr="00C50104">
        <w:trPr>
          <w:trHeight w:val="300"/>
        </w:trPr>
        <w:tc>
          <w:tcPr>
            <w:tcW w:w="2127" w:type="dxa"/>
            <w:tcBorders>
              <w:top w:val="single" w:sz="4" w:space="0" w:color="auto"/>
              <w:left w:val="nil"/>
              <w:bottom w:val="single" w:sz="4" w:space="0" w:color="auto"/>
              <w:right w:val="nil"/>
            </w:tcBorders>
            <w:shd w:val="clear" w:color="auto" w:fill="auto"/>
            <w:noWrap/>
            <w:vAlign w:val="bottom"/>
            <w:hideMark/>
          </w:tcPr>
          <w:p w14:paraId="2FB3C26E" w14:textId="77777777" w:rsidR="00453AAF" w:rsidRPr="00C50104" w:rsidRDefault="00453AAF" w:rsidP="00D46894">
            <w:pPr>
              <w:spacing w:after="0" w:line="240" w:lineRule="auto"/>
              <w:rPr>
                <w:rFonts w:ascii="Palatino Linotype" w:eastAsia="Times New Roman" w:hAnsi="Palatino Linotype" w:cs="Times New Roman"/>
                <w:sz w:val="24"/>
                <w:szCs w:val="24"/>
                <w:lang w:val="en-GB" w:eastAsia="de-DE"/>
              </w:rPr>
            </w:pPr>
          </w:p>
        </w:tc>
        <w:tc>
          <w:tcPr>
            <w:tcW w:w="1122" w:type="dxa"/>
            <w:tcBorders>
              <w:top w:val="single" w:sz="4" w:space="0" w:color="auto"/>
              <w:left w:val="nil"/>
              <w:bottom w:val="single" w:sz="4" w:space="0" w:color="auto"/>
              <w:right w:val="nil"/>
            </w:tcBorders>
            <w:shd w:val="clear" w:color="auto" w:fill="auto"/>
            <w:noWrap/>
            <w:vAlign w:val="bottom"/>
            <w:hideMark/>
          </w:tcPr>
          <w:p w14:paraId="1E36C1DE" w14:textId="77777777" w:rsidR="00453AAF" w:rsidRPr="00C50104" w:rsidRDefault="00453AAF" w:rsidP="00D46894">
            <w:pPr>
              <w:spacing w:after="0" w:line="240" w:lineRule="auto"/>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 xml:space="preserve">Growth </w:t>
            </w:r>
            <w:proofErr w:type="spellStart"/>
            <w:r w:rsidRPr="00C50104">
              <w:rPr>
                <w:rFonts w:ascii="Palatino Linotype" w:eastAsia="Times New Roman" w:hAnsi="Palatino Linotype" w:cs="Calibri"/>
                <w:color w:val="000000"/>
                <w:lang w:eastAsia="de-DE"/>
              </w:rPr>
              <w:t>increment</w:t>
            </w:r>
            <w:proofErr w:type="spellEnd"/>
          </w:p>
        </w:tc>
        <w:tc>
          <w:tcPr>
            <w:tcW w:w="937" w:type="dxa"/>
            <w:tcBorders>
              <w:top w:val="single" w:sz="4" w:space="0" w:color="auto"/>
              <w:left w:val="nil"/>
              <w:bottom w:val="single" w:sz="4" w:space="0" w:color="auto"/>
              <w:right w:val="nil"/>
            </w:tcBorders>
            <w:shd w:val="clear" w:color="auto" w:fill="auto"/>
            <w:noWrap/>
            <w:vAlign w:val="bottom"/>
            <w:hideMark/>
          </w:tcPr>
          <w:p w14:paraId="35B81533"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Shoot</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biomass</w:t>
            </w:r>
            <w:proofErr w:type="spellEnd"/>
          </w:p>
        </w:tc>
        <w:tc>
          <w:tcPr>
            <w:tcW w:w="937" w:type="dxa"/>
            <w:tcBorders>
              <w:top w:val="single" w:sz="4" w:space="0" w:color="auto"/>
              <w:left w:val="nil"/>
              <w:bottom w:val="single" w:sz="4" w:space="0" w:color="auto"/>
              <w:right w:val="nil"/>
            </w:tcBorders>
            <w:shd w:val="clear" w:color="auto" w:fill="auto"/>
            <w:noWrap/>
            <w:vAlign w:val="bottom"/>
            <w:hideMark/>
          </w:tcPr>
          <w:p w14:paraId="72121E2A"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Leaf</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biomass</w:t>
            </w:r>
            <w:proofErr w:type="spellEnd"/>
          </w:p>
        </w:tc>
        <w:tc>
          <w:tcPr>
            <w:tcW w:w="689" w:type="dxa"/>
            <w:tcBorders>
              <w:top w:val="single" w:sz="4" w:space="0" w:color="auto"/>
              <w:left w:val="nil"/>
              <w:bottom w:val="single" w:sz="4" w:space="0" w:color="auto"/>
              <w:right w:val="nil"/>
            </w:tcBorders>
            <w:shd w:val="clear" w:color="auto" w:fill="auto"/>
            <w:noWrap/>
            <w:vAlign w:val="bottom"/>
            <w:hideMark/>
          </w:tcPr>
          <w:p w14:paraId="3C1C2CE4"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Shoot</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height</w:t>
            </w:r>
            <w:proofErr w:type="spellEnd"/>
          </w:p>
        </w:tc>
        <w:tc>
          <w:tcPr>
            <w:tcW w:w="632" w:type="dxa"/>
            <w:tcBorders>
              <w:top w:val="single" w:sz="4" w:space="0" w:color="auto"/>
              <w:left w:val="nil"/>
              <w:bottom w:val="single" w:sz="4" w:space="0" w:color="auto"/>
              <w:right w:val="nil"/>
            </w:tcBorders>
            <w:shd w:val="clear" w:color="auto" w:fill="auto"/>
            <w:noWrap/>
            <w:vAlign w:val="bottom"/>
            <w:hideMark/>
          </w:tcPr>
          <w:p w14:paraId="1FF2F594"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Leaf</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area</w:t>
            </w:r>
            <w:proofErr w:type="spellEnd"/>
          </w:p>
        </w:tc>
        <w:tc>
          <w:tcPr>
            <w:tcW w:w="863" w:type="dxa"/>
            <w:tcBorders>
              <w:top w:val="single" w:sz="4" w:space="0" w:color="auto"/>
              <w:left w:val="nil"/>
              <w:bottom w:val="single" w:sz="4" w:space="0" w:color="auto"/>
              <w:right w:val="nil"/>
            </w:tcBorders>
            <w:shd w:val="clear" w:color="auto" w:fill="auto"/>
            <w:noWrap/>
            <w:vAlign w:val="bottom"/>
            <w:hideMark/>
          </w:tcPr>
          <w:p w14:paraId="46C404EF"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Shoor</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water</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content</w:t>
            </w:r>
            <w:proofErr w:type="spellEnd"/>
          </w:p>
        </w:tc>
        <w:tc>
          <w:tcPr>
            <w:tcW w:w="863" w:type="dxa"/>
            <w:tcBorders>
              <w:top w:val="single" w:sz="4" w:space="0" w:color="auto"/>
              <w:left w:val="nil"/>
              <w:bottom w:val="single" w:sz="4" w:space="0" w:color="auto"/>
              <w:right w:val="nil"/>
            </w:tcBorders>
            <w:shd w:val="clear" w:color="auto" w:fill="auto"/>
            <w:noWrap/>
            <w:vAlign w:val="bottom"/>
            <w:hideMark/>
          </w:tcPr>
          <w:p w14:paraId="68FE1A51"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Leaf</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water</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content</w:t>
            </w:r>
            <w:proofErr w:type="spellEnd"/>
          </w:p>
        </w:tc>
      </w:tr>
      <w:tr w:rsidR="00453AAF" w:rsidRPr="005A2BFB" w14:paraId="36A008E4" w14:textId="77777777" w:rsidTr="00C50104">
        <w:trPr>
          <w:trHeight w:val="300"/>
        </w:trPr>
        <w:tc>
          <w:tcPr>
            <w:tcW w:w="2127" w:type="dxa"/>
            <w:tcBorders>
              <w:top w:val="single" w:sz="4" w:space="0" w:color="auto"/>
              <w:left w:val="nil"/>
              <w:bottom w:val="nil"/>
              <w:right w:val="nil"/>
            </w:tcBorders>
            <w:shd w:val="clear" w:color="auto" w:fill="auto"/>
            <w:noWrap/>
            <w:vAlign w:val="bottom"/>
            <w:hideMark/>
          </w:tcPr>
          <w:p w14:paraId="18E024B2" w14:textId="77777777" w:rsidR="00453AAF" w:rsidRPr="00C50104" w:rsidRDefault="00453AAF" w:rsidP="00D46894">
            <w:pPr>
              <w:spacing w:after="0" w:line="240" w:lineRule="auto"/>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 xml:space="preserve">Growth </w:t>
            </w:r>
            <w:proofErr w:type="spellStart"/>
            <w:r w:rsidRPr="00C50104">
              <w:rPr>
                <w:rFonts w:ascii="Palatino Linotype" w:eastAsia="Times New Roman" w:hAnsi="Palatino Linotype" w:cs="Calibri"/>
                <w:color w:val="000000"/>
                <w:lang w:eastAsia="de-DE"/>
              </w:rPr>
              <w:t>increment</w:t>
            </w:r>
            <w:proofErr w:type="spellEnd"/>
          </w:p>
        </w:tc>
        <w:tc>
          <w:tcPr>
            <w:tcW w:w="1122" w:type="dxa"/>
            <w:tcBorders>
              <w:top w:val="single" w:sz="4" w:space="0" w:color="auto"/>
              <w:left w:val="nil"/>
              <w:bottom w:val="nil"/>
              <w:right w:val="nil"/>
            </w:tcBorders>
            <w:shd w:val="clear" w:color="auto" w:fill="auto"/>
            <w:noWrap/>
            <w:vAlign w:val="bottom"/>
            <w:hideMark/>
          </w:tcPr>
          <w:p w14:paraId="69EC793C"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1</w:t>
            </w:r>
          </w:p>
        </w:tc>
        <w:tc>
          <w:tcPr>
            <w:tcW w:w="937" w:type="dxa"/>
            <w:tcBorders>
              <w:top w:val="single" w:sz="4" w:space="0" w:color="auto"/>
              <w:left w:val="nil"/>
              <w:bottom w:val="nil"/>
              <w:right w:val="nil"/>
            </w:tcBorders>
            <w:shd w:val="clear" w:color="auto" w:fill="auto"/>
            <w:noWrap/>
            <w:vAlign w:val="bottom"/>
            <w:hideMark/>
          </w:tcPr>
          <w:p w14:paraId="2FF3D1F5"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0.84</w:t>
            </w:r>
          </w:p>
        </w:tc>
        <w:tc>
          <w:tcPr>
            <w:tcW w:w="937" w:type="dxa"/>
            <w:tcBorders>
              <w:top w:val="single" w:sz="4" w:space="0" w:color="auto"/>
              <w:left w:val="nil"/>
              <w:bottom w:val="nil"/>
              <w:right w:val="nil"/>
            </w:tcBorders>
            <w:shd w:val="clear" w:color="auto" w:fill="auto"/>
            <w:noWrap/>
            <w:vAlign w:val="bottom"/>
            <w:hideMark/>
          </w:tcPr>
          <w:p w14:paraId="37CA71B5"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0.76</w:t>
            </w:r>
          </w:p>
        </w:tc>
        <w:tc>
          <w:tcPr>
            <w:tcW w:w="689" w:type="dxa"/>
            <w:tcBorders>
              <w:top w:val="single" w:sz="4" w:space="0" w:color="auto"/>
              <w:left w:val="nil"/>
              <w:bottom w:val="nil"/>
              <w:right w:val="nil"/>
            </w:tcBorders>
            <w:shd w:val="clear" w:color="auto" w:fill="auto"/>
            <w:noWrap/>
            <w:vAlign w:val="bottom"/>
            <w:hideMark/>
          </w:tcPr>
          <w:p w14:paraId="6C78EE17"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0.68</w:t>
            </w:r>
          </w:p>
        </w:tc>
        <w:tc>
          <w:tcPr>
            <w:tcW w:w="632" w:type="dxa"/>
            <w:tcBorders>
              <w:top w:val="single" w:sz="4" w:space="0" w:color="auto"/>
              <w:left w:val="nil"/>
              <w:bottom w:val="nil"/>
              <w:right w:val="nil"/>
            </w:tcBorders>
            <w:shd w:val="clear" w:color="auto" w:fill="auto"/>
            <w:noWrap/>
            <w:vAlign w:val="bottom"/>
            <w:hideMark/>
          </w:tcPr>
          <w:p w14:paraId="7652D12D"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0.82</w:t>
            </w:r>
          </w:p>
        </w:tc>
        <w:tc>
          <w:tcPr>
            <w:tcW w:w="863" w:type="dxa"/>
            <w:tcBorders>
              <w:top w:val="single" w:sz="4" w:space="0" w:color="auto"/>
              <w:left w:val="nil"/>
              <w:bottom w:val="nil"/>
              <w:right w:val="nil"/>
            </w:tcBorders>
            <w:shd w:val="clear" w:color="auto" w:fill="auto"/>
            <w:noWrap/>
            <w:vAlign w:val="bottom"/>
            <w:hideMark/>
          </w:tcPr>
          <w:p w14:paraId="622FB00B"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-0.17</w:t>
            </w:r>
          </w:p>
        </w:tc>
        <w:tc>
          <w:tcPr>
            <w:tcW w:w="863" w:type="dxa"/>
            <w:tcBorders>
              <w:top w:val="single" w:sz="4" w:space="0" w:color="auto"/>
              <w:left w:val="nil"/>
              <w:bottom w:val="nil"/>
              <w:right w:val="nil"/>
            </w:tcBorders>
            <w:shd w:val="clear" w:color="auto" w:fill="auto"/>
            <w:noWrap/>
            <w:vAlign w:val="bottom"/>
            <w:hideMark/>
          </w:tcPr>
          <w:p w14:paraId="5A818A35"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-0.35</w:t>
            </w:r>
          </w:p>
        </w:tc>
      </w:tr>
      <w:tr w:rsidR="00453AAF" w:rsidRPr="005A2BFB" w14:paraId="68F2F0AD" w14:textId="77777777" w:rsidTr="00C50104">
        <w:trPr>
          <w:trHeight w:val="300"/>
        </w:trPr>
        <w:tc>
          <w:tcPr>
            <w:tcW w:w="2127" w:type="dxa"/>
            <w:tcBorders>
              <w:top w:val="nil"/>
              <w:left w:val="nil"/>
              <w:bottom w:val="nil"/>
              <w:right w:val="nil"/>
            </w:tcBorders>
            <w:shd w:val="clear" w:color="auto" w:fill="auto"/>
            <w:noWrap/>
            <w:vAlign w:val="bottom"/>
            <w:hideMark/>
          </w:tcPr>
          <w:p w14:paraId="3481F369"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Shoot</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biomass</w:t>
            </w:r>
            <w:proofErr w:type="spellEnd"/>
          </w:p>
        </w:tc>
        <w:tc>
          <w:tcPr>
            <w:tcW w:w="1122" w:type="dxa"/>
            <w:tcBorders>
              <w:top w:val="nil"/>
              <w:left w:val="nil"/>
              <w:bottom w:val="nil"/>
              <w:right w:val="nil"/>
            </w:tcBorders>
            <w:shd w:val="clear" w:color="auto" w:fill="auto"/>
            <w:noWrap/>
            <w:vAlign w:val="bottom"/>
            <w:hideMark/>
          </w:tcPr>
          <w:p w14:paraId="7863E227"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0.84</w:t>
            </w:r>
          </w:p>
        </w:tc>
        <w:tc>
          <w:tcPr>
            <w:tcW w:w="937" w:type="dxa"/>
            <w:tcBorders>
              <w:top w:val="nil"/>
              <w:left w:val="nil"/>
              <w:bottom w:val="nil"/>
              <w:right w:val="nil"/>
            </w:tcBorders>
            <w:shd w:val="clear" w:color="auto" w:fill="auto"/>
            <w:noWrap/>
            <w:vAlign w:val="bottom"/>
            <w:hideMark/>
          </w:tcPr>
          <w:p w14:paraId="2AE7D84C"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1</w:t>
            </w:r>
          </w:p>
        </w:tc>
        <w:tc>
          <w:tcPr>
            <w:tcW w:w="937" w:type="dxa"/>
            <w:tcBorders>
              <w:top w:val="nil"/>
              <w:left w:val="nil"/>
              <w:bottom w:val="nil"/>
              <w:right w:val="nil"/>
            </w:tcBorders>
            <w:shd w:val="clear" w:color="auto" w:fill="auto"/>
            <w:noWrap/>
            <w:vAlign w:val="bottom"/>
            <w:hideMark/>
          </w:tcPr>
          <w:p w14:paraId="1B61A544"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0.85</w:t>
            </w:r>
          </w:p>
        </w:tc>
        <w:tc>
          <w:tcPr>
            <w:tcW w:w="689" w:type="dxa"/>
            <w:tcBorders>
              <w:top w:val="nil"/>
              <w:left w:val="nil"/>
              <w:bottom w:val="nil"/>
              <w:right w:val="nil"/>
            </w:tcBorders>
            <w:shd w:val="clear" w:color="auto" w:fill="auto"/>
            <w:noWrap/>
            <w:vAlign w:val="bottom"/>
            <w:hideMark/>
          </w:tcPr>
          <w:p w14:paraId="0C0DEA63"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0.86</w:t>
            </w:r>
          </w:p>
        </w:tc>
        <w:tc>
          <w:tcPr>
            <w:tcW w:w="632" w:type="dxa"/>
            <w:tcBorders>
              <w:top w:val="nil"/>
              <w:left w:val="nil"/>
              <w:bottom w:val="nil"/>
              <w:right w:val="nil"/>
            </w:tcBorders>
            <w:shd w:val="clear" w:color="auto" w:fill="auto"/>
            <w:noWrap/>
            <w:vAlign w:val="bottom"/>
            <w:hideMark/>
          </w:tcPr>
          <w:p w14:paraId="0CE592C9"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0.86</w:t>
            </w:r>
          </w:p>
        </w:tc>
        <w:tc>
          <w:tcPr>
            <w:tcW w:w="863" w:type="dxa"/>
            <w:tcBorders>
              <w:top w:val="nil"/>
              <w:left w:val="nil"/>
              <w:bottom w:val="nil"/>
              <w:right w:val="nil"/>
            </w:tcBorders>
            <w:shd w:val="clear" w:color="auto" w:fill="auto"/>
            <w:noWrap/>
            <w:vAlign w:val="bottom"/>
            <w:hideMark/>
          </w:tcPr>
          <w:p w14:paraId="5E3CF30C"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-0.34</w:t>
            </w:r>
          </w:p>
        </w:tc>
        <w:tc>
          <w:tcPr>
            <w:tcW w:w="863" w:type="dxa"/>
            <w:tcBorders>
              <w:top w:val="nil"/>
              <w:left w:val="nil"/>
              <w:bottom w:val="nil"/>
              <w:right w:val="nil"/>
            </w:tcBorders>
            <w:shd w:val="clear" w:color="auto" w:fill="auto"/>
            <w:noWrap/>
            <w:vAlign w:val="bottom"/>
            <w:hideMark/>
          </w:tcPr>
          <w:p w14:paraId="6344FEE1"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-0.52</w:t>
            </w:r>
          </w:p>
        </w:tc>
      </w:tr>
      <w:tr w:rsidR="00453AAF" w:rsidRPr="005A2BFB" w14:paraId="6FAE0B34" w14:textId="77777777" w:rsidTr="00C50104">
        <w:trPr>
          <w:trHeight w:val="300"/>
        </w:trPr>
        <w:tc>
          <w:tcPr>
            <w:tcW w:w="2127" w:type="dxa"/>
            <w:tcBorders>
              <w:top w:val="nil"/>
              <w:left w:val="nil"/>
              <w:bottom w:val="nil"/>
              <w:right w:val="nil"/>
            </w:tcBorders>
            <w:shd w:val="clear" w:color="auto" w:fill="auto"/>
            <w:noWrap/>
            <w:vAlign w:val="bottom"/>
            <w:hideMark/>
          </w:tcPr>
          <w:p w14:paraId="4B080F1D"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Leaf</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biomass</w:t>
            </w:r>
            <w:proofErr w:type="spellEnd"/>
          </w:p>
        </w:tc>
        <w:tc>
          <w:tcPr>
            <w:tcW w:w="1122" w:type="dxa"/>
            <w:tcBorders>
              <w:top w:val="nil"/>
              <w:left w:val="nil"/>
              <w:bottom w:val="nil"/>
              <w:right w:val="nil"/>
            </w:tcBorders>
            <w:shd w:val="clear" w:color="auto" w:fill="auto"/>
            <w:noWrap/>
            <w:vAlign w:val="bottom"/>
            <w:hideMark/>
          </w:tcPr>
          <w:p w14:paraId="0F38A574"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0.76</w:t>
            </w:r>
          </w:p>
        </w:tc>
        <w:tc>
          <w:tcPr>
            <w:tcW w:w="937" w:type="dxa"/>
            <w:tcBorders>
              <w:top w:val="nil"/>
              <w:left w:val="nil"/>
              <w:bottom w:val="nil"/>
              <w:right w:val="nil"/>
            </w:tcBorders>
            <w:shd w:val="clear" w:color="auto" w:fill="auto"/>
            <w:noWrap/>
            <w:vAlign w:val="bottom"/>
            <w:hideMark/>
          </w:tcPr>
          <w:p w14:paraId="0B30056C"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0.85</w:t>
            </w:r>
          </w:p>
        </w:tc>
        <w:tc>
          <w:tcPr>
            <w:tcW w:w="937" w:type="dxa"/>
            <w:tcBorders>
              <w:top w:val="nil"/>
              <w:left w:val="nil"/>
              <w:bottom w:val="nil"/>
              <w:right w:val="nil"/>
            </w:tcBorders>
            <w:shd w:val="clear" w:color="auto" w:fill="auto"/>
            <w:noWrap/>
            <w:vAlign w:val="bottom"/>
            <w:hideMark/>
          </w:tcPr>
          <w:p w14:paraId="4C4CAF24"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1</w:t>
            </w:r>
          </w:p>
        </w:tc>
        <w:tc>
          <w:tcPr>
            <w:tcW w:w="689" w:type="dxa"/>
            <w:tcBorders>
              <w:top w:val="nil"/>
              <w:left w:val="nil"/>
              <w:bottom w:val="nil"/>
              <w:right w:val="nil"/>
            </w:tcBorders>
            <w:shd w:val="clear" w:color="auto" w:fill="auto"/>
            <w:noWrap/>
            <w:vAlign w:val="bottom"/>
            <w:hideMark/>
          </w:tcPr>
          <w:p w14:paraId="34E7C6AE"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0.61</w:t>
            </w:r>
          </w:p>
        </w:tc>
        <w:tc>
          <w:tcPr>
            <w:tcW w:w="632" w:type="dxa"/>
            <w:tcBorders>
              <w:top w:val="nil"/>
              <w:left w:val="nil"/>
              <w:bottom w:val="nil"/>
              <w:right w:val="nil"/>
            </w:tcBorders>
            <w:shd w:val="clear" w:color="auto" w:fill="auto"/>
            <w:noWrap/>
            <w:vAlign w:val="bottom"/>
            <w:hideMark/>
          </w:tcPr>
          <w:p w14:paraId="3ABDC971"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0.96</w:t>
            </w:r>
          </w:p>
        </w:tc>
        <w:tc>
          <w:tcPr>
            <w:tcW w:w="863" w:type="dxa"/>
            <w:tcBorders>
              <w:top w:val="nil"/>
              <w:left w:val="nil"/>
              <w:bottom w:val="nil"/>
              <w:right w:val="nil"/>
            </w:tcBorders>
            <w:shd w:val="clear" w:color="auto" w:fill="auto"/>
            <w:noWrap/>
            <w:vAlign w:val="bottom"/>
            <w:hideMark/>
          </w:tcPr>
          <w:p w14:paraId="1DE5D1CA"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-0.54</w:t>
            </w:r>
          </w:p>
        </w:tc>
        <w:tc>
          <w:tcPr>
            <w:tcW w:w="863" w:type="dxa"/>
            <w:tcBorders>
              <w:top w:val="nil"/>
              <w:left w:val="nil"/>
              <w:bottom w:val="nil"/>
              <w:right w:val="nil"/>
            </w:tcBorders>
            <w:shd w:val="clear" w:color="auto" w:fill="auto"/>
            <w:noWrap/>
            <w:vAlign w:val="bottom"/>
            <w:hideMark/>
          </w:tcPr>
          <w:p w14:paraId="14ADEEC7"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-0.74</w:t>
            </w:r>
          </w:p>
        </w:tc>
      </w:tr>
      <w:tr w:rsidR="00453AAF" w:rsidRPr="005A2BFB" w14:paraId="24D9D341" w14:textId="77777777" w:rsidTr="00C50104">
        <w:trPr>
          <w:trHeight w:val="300"/>
        </w:trPr>
        <w:tc>
          <w:tcPr>
            <w:tcW w:w="2127" w:type="dxa"/>
            <w:tcBorders>
              <w:top w:val="nil"/>
              <w:left w:val="nil"/>
              <w:bottom w:val="nil"/>
              <w:right w:val="nil"/>
            </w:tcBorders>
            <w:shd w:val="clear" w:color="auto" w:fill="auto"/>
            <w:noWrap/>
            <w:vAlign w:val="bottom"/>
            <w:hideMark/>
          </w:tcPr>
          <w:p w14:paraId="02F0AB9A"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Shoot</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height</w:t>
            </w:r>
            <w:proofErr w:type="spellEnd"/>
          </w:p>
        </w:tc>
        <w:tc>
          <w:tcPr>
            <w:tcW w:w="1122" w:type="dxa"/>
            <w:tcBorders>
              <w:top w:val="nil"/>
              <w:left w:val="nil"/>
              <w:bottom w:val="nil"/>
              <w:right w:val="nil"/>
            </w:tcBorders>
            <w:shd w:val="clear" w:color="auto" w:fill="auto"/>
            <w:noWrap/>
            <w:vAlign w:val="bottom"/>
            <w:hideMark/>
          </w:tcPr>
          <w:p w14:paraId="65F3E106"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0.68</w:t>
            </w:r>
          </w:p>
        </w:tc>
        <w:tc>
          <w:tcPr>
            <w:tcW w:w="937" w:type="dxa"/>
            <w:tcBorders>
              <w:top w:val="nil"/>
              <w:left w:val="nil"/>
              <w:bottom w:val="nil"/>
              <w:right w:val="nil"/>
            </w:tcBorders>
            <w:shd w:val="clear" w:color="auto" w:fill="auto"/>
            <w:noWrap/>
            <w:vAlign w:val="bottom"/>
            <w:hideMark/>
          </w:tcPr>
          <w:p w14:paraId="580C9838"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0.86</w:t>
            </w:r>
          </w:p>
        </w:tc>
        <w:tc>
          <w:tcPr>
            <w:tcW w:w="937" w:type="dxa"/>
            <w:tcBorders>
              <w:top w:val="nil"/>
              <w:left w:val="nil"/>
              <w:bottom w:val="nil"/>
              <w:right w:val="nil"/>
            </w:tcBorders>
            <w:shd w:val="clear" w:color="auto" w:fill="auto"/>
            <w:noWrap/>
            <w:vAlign w:val="bottom"/>
            <w:hideMark/>
          </w:tcPr>
          <w:p w14:paraId="7638828B"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0.61</w:t>
            </w:r>
          </w:p>
        </w:tc>
        <w:tc>
          <w:tcPr>
            <w:tcW w:w="689" w:type="dxa"/>
            <w:tcBorders>
              <w:top w:val="nil"/>
              <w:left w:val="nil"/>
              <w:bottom w:val="nil"/>
              <w:right w:val="nil"/>
            </w:tcBorders>
            <w:shd w:val="clear" w:color="auto" w:fill="auto"/>
            <w:noWrap/>
            <w:vAlign w:val="bottom"/>
            <w:hideMark/>
          </w:tcPr>
          <w:p w14:paraId="70F50568"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1</w:t>
            </w:r>
          </w:p>
        </w:tc>
        <w:tc>
          <w:tcPr>
            <w:tcW w:w="632" w:type="dxa"/>
            <w:tcBorders>
              <w:top w:val="nil"/>
              <w:left w:val="nil"/>
              <w:bottom w:val="nil"/>
              <w:right w:val="nil"/>
            </w:tcBorders>
            <w:shd w:val="clear" w:color="auto" w:fill="auto"/>
            <w:noWrap/>
            <w:vAlign w:val="bottom"/>
            <w:hideMark/>
          </w:tcPr>
          <w:p w14:paraId="02DD4AD1"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0.64</w:t>
            </w:r>
          </w:p>
        </w:tc>
        <w:tc>
          <w:tcPr>
            <w:tcW w:w="863" w:type="dxa"/>
            <w:tcBorders>
              <w:top w:val="nil"/>
              <w:left w:val="nil"/>
              <w:bottom w:val="nil"/>
              <w:right w:val="nil"/>
            </w:tcBorders>
            <w:shd w:val="clear" w:color="auto" w:fill="auto"/>
            <w:noWrap/>
            <w:vAlign w:val="bottom"/>
            <w:hideMark/>
          </w:tcPr>
          <w:p w14:paraId="7E8BD3EB"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-0.06</w:t>
            </w:r>
          </w:p>
        </w:tc>
        <w:tc>
          <w:tcPr>
            <w:tcW w:w="863" w:type="dxa"/>
            <w:tcBorders>
              <w:top w:val="nil"/>
              <w:left w:val="nil"/>
              <w:bottom w:val="nil"/>
              <w:right w:val="nil"/>
            </w:tcBorders>
            <w:shd w:val="clear" w:color="auto" w:fill="auto"/>
            <w:noWrap/>
            <w:vAlign w:val="bottom"/>
            <w:hideMark/>
          </w:tcPr>
          <w:p w14:paraId="554DCDB7"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-0.25</w:t>
            </w:r>
          </w:p>
        </w:tc>
      </w:tr>
      <w:tr w:rsidR="00453AAF" w:rsidRPr="005A2BFB" w14:paraId="361D7649" w14:textId="77777777" w:rsidTr="00C50104">
        <w:trPr>
          <w:trHeight w:val="300"/>
        </w:trPr>
        <w:tc>
          <w:tcPr>
            <w:tcW w:w="2127" w:type="dxa"/>
            <w:tcBorders>
              <w:top w:val="nil"/>
              <w:left w:val="nil"/>
              <w:bottom w:val="nil"/>
              <w:right w:val="nil"/>
            </w:tcBorders>
            <w:shd w:val="clear" w:color="auto" w:fill="auto"/>
            <w:noWrap/>
            <w:vAlign w:val="bottom"/>
            <w:hideMark/>
          </w:tcPr>
          <w:p w14:paraId="538A1C0F"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Leaf</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area</w:t>
            </w:r>
            <w:proofErr w:type="spellEnd"/>
          </w:p>
        </w:tc>
        <w:tc>
          <w:tcPr>
            <w:tcW w:w="1122" w:type="dxa"/>
            <w:tcBorders>
              <w:top w:val="nil"/>
              <w:left w:val="nil"/>
              <w:bottom w:val="nil"/>
              <w:right w:val="nil"/>
            </w:tcBorders>
            <w:shd w:val="clear" w:color="auto" w:fill="auto"/>
            <w:noWrap/>
            <w:vAlign w:val="bottom"/>
            <w:hideMark/>
          </w:tcPr>
          <w:p w14:paraId="7463552C"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0.82</w:t>
            </w:r>
          </w:p>
        </w:tc>
        <w:tc>
          <w:tcPr>
            <w:tcW w:w="937" w:type="dxa"/>
            <w:tcBorders>
              <w:top w:val="nil"/>
              <w:left w:val="nil"/>
              <w:bottom w:val="nil"/>
              <w:right w:val="nil"/>
            </w:tcBorders>
            <w:shd w:val="clear" w:color="auto" w:fill="auto"/>
            <w:noWrap/>
            <w:vAlign w:val="bottom"/>
            <w:hideMark/>
          </w:tcPr>
          <w:p w14:paraId="21C75E24"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0.86</w:t>
            </w:r>
          </w:p>
        </w:tc>
        <w:tc>
          <w:tcPr>
            <w:tcW w:w="937" w:type="dxa"/>
            <w:tcBorders>
              <w:top w:val="nil"/>
              <w:left w:val="nil"/>
              <w:bottom w:val="nil"/>
              <w:right w:val="nil"/>
            </w:tcBorders>
            <w:shd w:val="clear" w:color="auto" w:fill="auto"/>
            <w:noWrap/>
            <w:vAlign w:val="bottom"/>
            <w:hideMark/>
          </w:tcPr>
          <w:p w14:paraId="787346F1"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0.96</w:t>
            </w:r>
          </w:p>
        </w:tc>
        <w:tc>
          <w:tcPr>
            <w:tcW w:w="689" w:type="dxa"/>
            <w:tcBorders>
              <w:top w:val="nil"/>
              <w:left w:val="nil"/>
              <w:bottom w:val="nil"/>
              <w:right w:val="nil"/>
            </w:tcBorders>
            <w:shd w:val="clear" w:color="auto" w:fill="auto"/>
            <w:noWrap/>
            <w:vAlign w:val="bottom"/>
            <w:hideMark/>
          </w:tcPr>
          <w:p w14:paraId="797590C5"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0.64</w:t>
            </w:r>
          </w:p>
        </w:tc>
        <w:tc>
          <w:tcPr>
            <w:tcW w:w="632" w:type="dxa"/>
            <w:tcBorders>
              <w:top w:val="nil"/>
              <w:left w:val="nil"/>
              <w:bottom w:val="nil"/>
              <w:right w:val="nil"/>
            </w:tcBorders>
            <w:shd w:val="clear" w:color="auto" w:fill="auto"/>
            <w:noWrap/>
            <w:vAlign w:val="bottom"/>
            <w:hideMark/>
          </w:tcPr>
          <w:p w14:paraId="2E3FD446"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1</w:t>
            </w:r>
          </w:p>
        </w:tc>
        <w:tc>
          <w:tcPr>
            <w:tcW w:w="863" w:type="dxa"/>
            <w:tcBorders>
              <w:top w:val="nil"/>
              <w:left w:val="nil"/>
              <w:bottom w:val="nil"/>
              <w:right w:val="nil"/>
            </w:tcBorders>
            <w:shd w:val="clear" w:color="auto" w:fill="auto"/>
            <w:noWrap/>
            <w:vAlign w:val="bottom"/>
            <w:hideMark/>
          </w:tcPr>
          <w:p w14:paraId="61BF3AE6"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-0.39</w:t>
            </w:r>
          </w:p>
        </w:tc>
        <w:tc>
          <w:tcPr>
            <w:tcW w:w="863" w:type="dxa"/>
            <w:tcBorders>
              <w:top w:val="nil"/>
              <w:left w:val="nil"/>
              <w:bottom w:val="nil"/>
              <w:right w:val="nil"/>
            </w:tcBorders>
            <w:shd w:val="clear" w:color="auto" w:fill="auto"/>
            <w:noWrap/>
            <w:vAlign w:val="bottom"/>
            <w:hideMark/>
          </w:tcPr>
          <w:p w14:paraId="00436F9C"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-0.61</w:t>
            </w:r>
          </w:p>
        </w:tc>
      </w:tr>
      <w:tr w:rsidR="00453AAF" w:rsidRPr="005A2BFB" w14:paraId="680B4B7F" w14:textId="77777777" w:rsidTr="00C50104">
        <w:trPr>
          <w:trHeight w:val="300"/>
        </w:trPr>
        <w:tc>
          <w:tcPr>
            <w:tcW w:w="2127" w:type="dxa"/>
            <w:tcBorders>
              <w:top w:val="nil"/>
              <w:left w:val="nil"/>
              <w:right w:val="nil"/>
            </w:tcBorders>
            <w:shd w:val="clear" w:color="auto" w:fill="auto"/>
            <w:noWrap/>
            <w:vAlign w:val="bottom"/>
            <w:hideMark/>
          </w:tcPr>
          <w:p w14:paraId="234F945B" w14:textId="74A2B8B5" w:rsidR="00453AAF" w:rsidRPr="00C50104" w:rsidRDefault="00094D0C" w:rsidP="00D46894">
            <w:pPr>
              <w:spacing w:after="0" w:line="240" w:lineRule="auto"/>
              <w:rPr>
                <w:rFonts w:ascii="Palatino Linotype" w:eastAsia="Times New Roman" w:hAnsi="Palatino Linotype" w:cs="Calibri"/>
                <w:color w:val="000000"/>
                <w:lang w:eastAsia="de-DE"/>
              </w:rPr>
            </w:pPr>
            <w:proofErr w:type="spellStart"/>
            <w:r>
              <w:rPr>
                <w:rFonts w:ascii="Palatino Linotype" w:eastAsia="Times New Roman" w:hAnsi="Palatino Linotype" w:cs="Calibri"/>
                <w:color w:val="000000"/>
                <w:lang w:eastAsia="de-DE"/>
              </w:rPr>
              <w:t>Shoot</w:t>
            </w:r>
            <w:proofErr w:type="spellEnd"/>
            <w:r w:rsidR="00453AAF" w:rsidRPr="00C50104">
              <w:rPr>
                <w:rFonts w:ascii="Palatino Linotype" w:eastAsia="Times New Roman" w:hAnsi="Palatino Linotype" w:cs="Calibri"/>
                <w:color w:val="000000"/>
                <w:lang w:eastAsia="de-DE"/>
              </w:rPr>
              <w:t xml:space="preserve"> </w:t>
            </w:r>
            <w:proofErr w:type="spellStart"/>
            <w:r w:rsidR="00453AAF" w:rsidRPr="00C50104">
              <w:rPr>
                <w:rFonts w:ascii="Palatino Linotype" w:eastAsia="Times New Roman" w:hAnsi="Palatino Linotype" w:cs="Calibri"/>
                <w:color w:val="000000"/>
                <w:lang w:eastAsia="de-DE"/>
              </w:rPr>
              <w:t>water</w:t>
            </w:r>
            <w:proofErr w:type="spellEnd"/>
            <w:r w:rsidR="00453AAF" w:rsidRPr="00C50104">
              <w:rPr>
                <w:rFonts w:ascii="Palatino Linotype" w:eastAsia="Times New Roman" w:hAnsi="Palatino Linotype" w:cs="Calibri"/>
                <w:color w:val="000000"/>
                <w:lang w:eastAsia="de-DE"/>
              </w:rPr>
              <w:t xml:space="preserve"> </w:t>
            </w:r>
            <w:proofErr w:type="spellStart"/>
            <w:r w:rsidR="00453AAF" w:rsidRPr="00C50104">
              <w:rPr>
                <w:rFonts w:ascii="Palatino Linotype" w:eastAsia="Times New Roman" w:hAnsi="Palatino Linotype" w:cs="Calibri"/>
                <w:color w:val="000000"/>
                <w:lang w:eastAsia="de-DE"/>
              </w:rPr>
              <w:t>content</w:t>
            </w:r>
            <w:proofErr w:type="spellEnd"/>
          </w:p>
        </w:tc>
        <w:tc>
          <w:tcPr>
            <w:tcW w:w="1122" w:type="dxa"/>
            <w:tcBorders>
              <w:top w:val="nil"/>
              <w:left w:val="nil"/>
              <w:right w:val="nil"/>
            </w:tcBorders>
            <w:shd w:val="clear" w:color="auto" w:fill="auto"/>
            <w:noWrap/>
            <w:vAlign w:val="bottom"/>
            <w:hideMark/>
          </w:tcPr>
          <w:p w14:paraId="3EFB3403"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-0.17</w:t>
            </w:r>
          </w:p>
        </w:tc>
        <w:tc>
          <w:tcPr>
            <w:tcW w:w="937" w:type="dxa"/>
            <w:tcBorders>
              <w:top w:val="nil"/>
              <w:left w:val="nil"/>
              <w:right w:val="nil"/>
            </w:tcBorders>
            <w:shd w:val="clear" w:color="auto" w:fill="auto"/>
            <w:noWrap/>
            <w:vAlign w:val="bottom"/>
            <w:hideMark/>
          </w:tcPr>
          <w:p w14:paraId="46071F78"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-0.34</w:t>
            </w:r>
          </w:p>
        </w:tc>
        <w:tc>
          <w:tcPr>
            <w:tcW w:w="937" w:type="dxa"/>
            <w:tcBorders>
              <w:top w:val="nil"/>
              <w:left w:val="nil"/>
              <w:right w:val="nil"/>
            </w:tcBorders>
            <w:shd w:val="clear" w:color="auto" w:fill="auto"/>
            <w:noWrap/>
            <w:vAlign w:val="bottom"/>
            <w:hideMark/>
          </w:tcPr>
          <w:p w14:paraId="1A4F2A45"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-0.54</w:t>
            </w:r>
          </w:p>
        </w:tc>
        <w:tc>
          <w:tcPr>
            <w:tcW w:w="689" w:type="dxa"/>
            <w:tcBorders>
              <w:top w:val="nil"/>
              <w:left w:val="nil"/>
              <w:right w:val="nil"/>
            </w:tcBorders>
            <w:shd w:val="clear" w:color="auto" w:fill="auto"/>
            <w:noWrap/>
            <w:vAlign w:val="bottom"/>
            <w:hideMark/>
          </w:tcPr>
          <w:p w14:paraId="6A154D37"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-0.06</w:t>
            </w:r>
          </w:p>
        </w:tc>
        <w:tc>
          <w:tcPr>
            <w:tcW w:w="632" w:type="dxa"/>
            <w:tcBorders>
              <w:top w:val="nil"/>
              <w:left w:val="nil"/>
              <w:right w:val="nil"/>
            </w:tcBorders>
            <w:shd w:val="clear" w:color="auto" w:fill="auto"/>
            <w:noWrap/>
            <w:vAlign w:val="bottom"/>
            <w:hideMark/>
          </w:tcPr>
          <w:p w14:paraId="4E402101"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-0.39</w:t>
            </w:r>
          </w:p>
        </w:tc>
        <w:tc>
          <w:tcPr>
            <w:tcW w:w="863" w:type="dxa"/>
            <w:tcBorders>
              <w:top w:val="nil"/>
              <w:left w:val="nil"/>
              <w:right w:val="nil"/>
            </w:tcBorders>
            <w:shd w:val="clear" w:color="auto" w:fill="auto"/>
            <w:noWrap/>
            <w:vAlign w:val="bottom"/>
            <w:hideMark/>
          </w:tcPr>
          <w:p w14:paraId="0D3EFE08"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1</w:t>
            </w:r>
          </w:p>
        </w:tc>
        <w:tc>
          <w:tcPr>
            <w:tcW w:w="863" w:type="dxa"/>
            <w:tcBorders>
              <w:top w:val="nil"/>
              <w:left w:val="nil"/>
              <w:right w:val="nil"/>
            </w:tcBorders>
            <w:shd w:val="clear" w:color="auto" w:fill="auto"/>
            <w:noWrap/>
            <w:vAlign w:val="bottom"/>
            <w:hideMark/>
          </w:tcPr>
          <w:p w14:paraId="44A42424"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0.71</w:t>
            </w:r>
          </w:p>
        </w:tc>
      </w:tr>
      <w:tr w:rsidR="00453AAF" w:rsidRPr="005A2BFB" w14:paraId="6A3A465B" w14:textId="77777777" w:rsidTr="00C50104">
        <w:trPr>
          <w:trHeight w:val="300"/>
        </w:trPr>
        <w:tc>
          <w:tcPr>
            <w:tcW w:w="2127" w:type="dxa"/>
            <w:tcBorders>
              <w:top w:val="nil"/>
              <w:left w:val="nil"/>
              <w:bottom w:val="single" w:sz="4" w:space="0" w:color="auto"/>
              <w:right w:val="nil"/>
            </w:tcBorders>
            <w:shd w:val="clear" w:color="auto" w:fill="auto"/>
            <w:noWrap/>
            <w:vAlign w:val="bottom"/>
            <w:hideMark/>
          </w:tcPr>
          <w:p w14:paraId="145C3FD9" w14:textId="77777777" w:rsidR="00453AAF" w:rsidRPr="00C50104" w:rsidRDefault="00453AAF" w:rsidP="00D46894">
            <w:pPr>
              <w:spacing w:after="0" w:line="240" w:lineRule="auto"/>
              <w:rPr>
                <w:rFonts w:ascii="Palatino Linotype" w:eastAsia="Times New Roman" w:hAnsi="Palatino Linotype" w:cs="Calibri"/>
                <w:color w:val="000000"/>
                <w:lang w:eastAsia="de-DE"/>
              </w:rPr>
            </w:pPr>
            <w:proofErr w:type="spellStart"/>
            <w:r w:rsidRPr="00C50104">
              <w:rPr>
                <w:rFonts w:ascii="Palatino Linotype" w:eastAsia="Times New Roman" w:hAnsi="Palatino Linotype" w:cs="Calibri"/>
                <w:color w:val="000000"/>
                <w:lang w:eastAsia="de-DE"/>
              </w:rPr>
              <w:t>Leaf</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water</w:t>
            </w:r>
            <w:proofErr w:type="spellEnd"/>
            <w:r w:rsidRPr="00C50104">
              <w:rPr>
                <w:rFonts w:ascii="Palatino Linotype" w:eastAsia="Times New Roman" w:hAnsi="Palatino Linotype" w:cs="Calibri"/>
                <w:color w:val="000000"/>
                <w:lang w:eastAsia="de-DE"/>
              </w:rPr>
              <w:t xml:space="preserve"> </w:t>
            </w:r>
            <w:proofErr w:type="spellStart"/>
            <w:r w:rsidRPr="00C50104">
              <w:rPr>
                <w:rFonts w:ascii="Palatino Linotype" w:eastAsia="Times New Roman" w:hAnsi="Palatino Linotype" w:cs="Calibri"/>
                <w:color w:val="000000"/>
                <w:lang w:eastAsia="de-DE"/>
              </w:rPr>
              <w:t>content</w:t>
            </w:r>
            <w:proofErr w:type="spellEnd"/>
          </w:p>
        </w:tc>
        <w:tc>
          <w:tcPr>
            <w:tcW w:w="1122" w:type="dxa"/>
            <w:tcBorders>
              <w:top w:val="nil"/>
              <w:left w:val="nil"/>
              <w:bottom w:val="single" w:sz="4" w:space="0" w:color="auto"/>
              <w:right w:val="nil"/>
            </w:tcBorders>
            <w:shd w:val="clear" w:color="auto" w:fill="auto"/>
            <w:noWrap/>
            <w:vAlign w:val="bottom"/>
            <w:hideMark/>
          </w:tcPr>
          <w:p w14:paraId="320A3336"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-0.35</w:t>
            </w:r>
          </w:p>
        </w:tc>
        <w:tc>
          <w:tcPr>
            <w:tcW w:w="937" w:type="dxa"/>
            <w:tcBorders>
              <w:top w:val="nil"/>
              <w:left w:val="nil"/>
              <w:bottom w:val="single" w:sz="4" w:space="0" w:color="auto"/>
              <w:right w:val="nil"/>
            </w:tcBorders>
            <w:shd w:val="clear" w:color="auto" w:fill="auto"/>
            <w:noWrap/>
            <w:vAlign w:val="bottom"/>
            <w:hideMark/>
          </w:tcPr>
          <w:p w14:paraId="4C5B6E1E"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-0.52</w:t>
            </w:r>
          </w:p>
        </w:tc>
        <w:tc>
          <w:tcPr>
            <w:tcW w:w="937" w:type="dxa"/>
            <w:tcBorders>
              <w:top w:val="nil"/>
              <w:left w:val="nil"/>
              <w:bottom w:val="single" w:sz="4" w:space="0" w:color="auto"/>
              <w:right w:val="nil"/>
            </w:tcBorders>
            <w:shd w:val="clear" w:color="auto" w:fill="auto"/>
            <w:noWrap/>
            <w:vAlign w:val="bottom"/>
            <w:hideMark/>
          </w:tcPr>
          <w:p w14:paraId="6A9C4405"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-0.74</w:t>
            </w:r>
          </w:p>
        </w:tc>
        <w:tc>
          <w:tcPr>
            <w:tcW w:w="689" w:type="dxa"/>
            <w:tcBorders>
              <w:top w:val="nil"/>
              <w:left w:val="nil"/>
              <w:bottom w:val="single" w:sz="4" w:space="0" w:color="auto"/>
              <w:right w:val="nil"/>
            </w:tcBorders>
            <w:shd w:val="clear" w:color="auto" w:fill="auto"/>
            <w:noWrap/>
            <w:vAlign w:val="bottom"/>
            <w:hideMark/>
          </w:tcPr>
          <w:p w14:paraId="07EA6CD4"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-0.25</w:t>
            </w:r>
          </w:p>
        </w:tc>
        <w:tc>
          <w:tcPr>
            <w:tcW w:w="632" w:type="dxa"/>
            <w:tcBorders>
              <w:top w:val="nil"/>
              <w:left w:val="nil"/>
              <w:bottom w:val="single" w:sz="4" w:space="0" w:color="auto"/>
              <w:right w:val="nil"/>
            </w:tcBorders>
            <w:shd w:val="clear" w:color="auto" w:fill="auto"/>
            <w:noWrap/>
            <w:vAlign w:val="bottom"/>
            <w:hideMark/>
          </w:tcPr>
          <w:p w14:paraId="475DC1E7"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-0.61</w:t>
            </w:r>
          </w:p>
        </w:tc>
        <w:tc>
          <w:tcPr>
            <w:tcW w:w="863" w:type="dxa"/>
            <w:tcBorders>
              <w:top w:val="nil"/>
              <w:left w:val="nil"/>
              <w:bottom w:val="single" w:sz="4" w:space="0" w:color="auto"/>
              <w:right w:val="nil"/>
            </w:tcBorders>
            <w:shd w:val="clear" w:color="auto" w:fill="auto"/>
            <w:noWrap/>
            <w:vAlign w:val="bottom"/>
            <w:hideMark/>
          </w:tcPr>
          <w:p w14:paraId="72E4A04B" w14:textId="77777777" w:rsidR="00453AAF" w:rsidRPr="00C50104" w:rsidRDefault="00453AAF" w:rsidP="00D46894">
            <w:pPr>
              <w:spacing w:after="0" w:line="240" w:lineRule="auto"/>
              <w:jc w:val="right"/>
              <w:rPr>
                <w:rFonts w:ascii="Palatino Linotype" w:eastAsia="Times New Roman" w:hAnsi="Palatino Linotype" w:cs="Calibri"/>
                <w:b/>
                <w:bCs/>
                <w:color w:val="000000"/>
                <w:lang w:eastAsia="de-DE"/>
              </w:rPr>
            </w:pPr>
            <w:r w:rsidRPr="00C50104">
              <w:rPr>
                <w:rFonts w:ascii="Palatino Linotype" w:eastAsia="Times New Roman" w:hAnsi="Palatino Linotype" w:cs="Calibri"/>
                <w:b/>
                <w:bCs/>
                <w:color w:val="000000"/>
                <w:lang w:eastAsia="de-DE"/>
              </w:rPr>
              <w:t>0.71</w:t>
            </w:r>
          </w:p>
        </w:tc>
        <w:tc>
          <w:tcPr>
            <w:tcW w:w="863" w:type="dxa"/>
            <w:tcBorders>
              <w:top w:val="nil"/>
              <w:left w:val="nil"/>
              <w:bottom w:val="single" w:sz="4" w:space="0" w:color="auto"/>
              <w:right w:val="nil"/>
            </w:tcBorders>
            <w:shd w:val="clear" w:color="auto" w:fill="auto"/>
            <w:noWrap/>
            <w:vAlign w:val="bottom"/>
            <w:hideMark/>
          </w:tcPr>
          <w:p w14:paraId="47E6543B" w14:textId="77777777" w:rsidR="00453AAF" w:rsidRPr="00C50104" w:rsidRDefault="00453AAF" w:rsidP="00D46894">
            <w:pPr>
              <w:spacing w:after="0" w:line="240" w:lineRule="auto"/>
              <w:jc w:val="right"/>
              <w:rPr>
                <w:rFonts w:ascii="Palatino Linotype" w:eastAsia="Times New Roman" w:hAnsi="Palatino Linotype" w:cs="Calibri"/>
                <w:color w:val="000000"/>
                <w:lang w:eastAsia="de-DE"/>
              </w:rPr>
            </w:pPr>
            <w:r w:rsidRPr="00C50104">
              <w:rPr>
                <w:rFonts w:ascii="Palatino Linotype" w:eastAsia="Times New Roman" w:hAnsi="Palatino Linotype" w:cs="Calibri"/>
                <w:color w:val="000000"/>
                <w:lang w:eastAsia="de-DE"/>
              </w:rPr>
              <w:t>1</w:t>
            </w:r>
          </w:p>
        </w:tc>
      </w:tr>
    </w:tbl>
    <w:p w14:paraId="75C0E4D2" w14:textId="5BE529AD" w:rsidR="005D4120" w:rsidRDefault="005D4120" w:rsidP="00172ABC">
      <w:pPr>
        <w:spacing w:line="480" w:lineRule="auto"/>
        <w:rPr>
          <w:rFonts w:ascii="Palatino Linotype" w:eastAsia="Calibri" w:hAnsi="Palatino Linotype" w:cs="Times New Roman"/>
          <w:sz w:val="24"/>
          <w:szCs w:val="20"/>
          <w:lang w:val="en-GB" w:eastAsia="de-DE"/>
        </w:rPr>
      </w:pPr>
    </w:p>
    <w:p w14:paraId="741696CB" w14:textId="77777777" w:rsidR="00D317D8" w:rsidRPr="00D317D8" w:rsidRDefault="00453AAF" w:rsidP="00D317D8">
      <w:pPr>
        <w:spacing w:after="0" w:line="276" w:lineRule="auto"/>
        <w:rPr>
          <w:rFonts w:ascii="Palatino Linotype" w:hAnsi="Palatino Linotype"/>
          <w:sz w:val="24"/>
          <w:szCs w:val="24"/>
          <w:lang w:val="en-GB"/>
        </w:rPr>
      </w:pPr>
      <w:r w:rsidRPr="00D317D8">
        <w:rPr>
          <w:rFonts w:ascii="Palatino Linotype" w:eastAsia="Calibri" w:hAnsi="Palatino Linotype" w:cs="Times New Roman"/>
          <w:b/>
          <w:sz w:val="24"/>
          <w:szCs w:val="20"/>
          <w:lang w:val="en-GB" w:eastAsia="de-DE"/>
        </w:rPr>
        <w:t>Table S3</w:t>
      </w:r>
      <w:r w:rsidR="00D317D8" w:rsidRPr="00D317D8">
        <w:rPr>
          <w:rFonts w:ascii="Palatino Linotype" w:eastAsia="Calibri" w:hAnsi="Palatino Linotype" w:cs="Times New Roman"/>
          <w:sz w:val="24"/>
          <w:szCs w:val="20"/>
          <w:lang w:val="en-GB" w:eastAsia="de-DE"/>
        </w:rPr>
        <w:t xml:space="preserve"> </w:t>
      </w:r>
      <w:r w:rsidR="00D317D8" w:rsidRPr="00D317D8">
        <w:rPr>
          <w:rFonts w:ascii="Palatino Linotype" w:hAnsi="Palatino Linotype"/>
          <w:sz w:val="24"/>
          <w:szCs w:val="24"/>
          <w:lang w:val="en-GB"/>
        </w:rPr>
        <w:t>Matrix with Spearman correlation coefficients (ρ) of enzyme activities. Significant correlations (p &lt; 0.05) are in bold.</w:t>
      </w:r>
    </w:p>
    <w:tbl>
      <w:tblPr>
        <w:tblW w:w="9428" w:type="dxa"/>
        <w:tblInd w:w="-567" w:type="dxa"/>
        <w:tblCellMar>
          <w:left w:w="70" w:type="dxa"/>
          <w:right w:w="70" w:type="dxa"/>
        </w:tblCellMar>
        <w:tblLook w:val="04A0" w:firstRow="1" w:lastRow="0" w:firstColumn="1" w:lastColumn="0" w:noHBand="0" w:noVBand="1"/>
      </w:tblPr>
      <w:tblGrid>
        <w:gridCol w:w="1908"/>
        <w:gridCol w:w="1118"/>
        <w:gridCol w:w="1187"/>
        <w:gridCol w:w="1201"/>
        <w:gridCol w:w="1099"/>
        <w:gridCol w:w="1055"/>
        <w:gridCol w:w="948"/>
        <w:gridCol w:w="1123"/>
      </w:tblGrid>
      <w:tr w:rsidR="00D317D8" w:rsidRPr="00D317D8" w14:paraId="2F601BD4" w14:textId="77777777" w:rsidTr="002A5236">
        <w:trPr>
          <w:trHeight w:val="300"/>
        </w:trPr>
        <w:tc>
          <w:tcPr>
            <w:tcW w:w="1920" w:type="dxa"/>
            <w:tcBorders>
              <w:top w:val="single" w:sz="4" w:space="0" w:color="auto"/>
              <w:left w:val="nil"/>
              <w:bottom w:val="single" w:sz="4" w:space="0" w:color="auto"/>
              <w:right w:val="nil"/>
            </w:tcBorders>
            <w:shd w:val="clear" w:color="auto" w:fill="auto"/>
            <w:noWrap/>
            <w:vAlign w:val="center"/>
            <w:hideMark/>
          </w:tcPr>
          <w:p w14:paraId="21A3EC46" w14:textId="77777777" w:rsidR="00D317D8" w:rsidRPr="00D317D8" w:rsidRDefault="00D317D8" w:rsidP="00D46894">
            <w:pPr>
              <w:spacing w:after="0" w:line="240" w:lineRule="auto"/>
              <w:rPr>
                <w:rFonts w:ascii="Palatino Linotype" w:eastAsia="Times New Roman" w:hAnsi="Palatino Linotype" w:cs="Times New Roman"/>
                <w:sz w:val="24"/>
                <w:szCs w:val="24"/>
                <w:lang w:val="en-GB" w:eastAsia="de-DE"/>
              </w:rPr>
            </w:pPr>
          </w:p>
        </w:tc>
        <w:tc>
          <w:tcPr>
            <w:tcW w:w="1125" w:type="dxa"/>
            <w:tcBorders>
              <w:top w:val="single" w:sz="4" w:space="0" w:color="auto"/>
              <w:left w:val="nil"/>
              <w:bottom w:val="single" w:sz="4" w:space="0" w:color="auto"/>
              <w:right w:val="nil"/>
            </w:tcBorders>
            <w:shd w:val="clear" w:color="auto" w:fill="auto"/>
            <w:noWrap/>
            <w:vAlign w:val="bottom"/>
            <w:hideMark/>
          </w:tcPr>
          <w:p w14:paraId="28ABFD17" w14:textId="77777777" w:rsidR="00D317D8" w:rsidRPr="00D317D8" w:rsidRDefault="00D317D8" w:rsidP="00D46894">
            <w:pPr>
              <w:spacing w:after="0" w:line="240" w:lineRule="auto"/>
              <w:rPr>
                <w:rFonts w:ascii="Palatino Linotype" w:eastAsia="Times New Roman" w:hAnsi="Palatino Linotype" w:cs="Calibri"/>
                <w:color w:val="000000"/>
                <w:lang w:eastAsia="de-DE"/>
              </w:rPr>
            </w:pPr>
            <w:proofErr w:type="spellStart"/>
            <w:r w:rsidRPr="00D317D8">
              <w:rPr>
                <w:rFonts w:ascii="Palatino Linotype" w:eastAsia="Times New Roman" w:hAnsi="Palatino Linotype" w:cs="Calibri"/>
                <w:color w:val="000000"/>
                <w:lang w:eastAsia="de-DE"/>
              </w:rPr>
              <w:t>Leucine</w:t>
            </w:r>
            <w:proofErr w:type="spellEnd"/>
            <w:r w:rsidRPr="00D317D8">
              <w:rPr>
                <w:rFonts w:ascii="Palatino Linotype" w:eastAsia="Times New Roman" w:hAnsi="Palatino Linotype" w:cs="Calibri"/>
                <w:color w:val="000000"/>
                <w:lang w:eastAsia="de-DE"/>
              </w:rPr>
              <w:t xml:space="preserve"> </w:t>
            </w:r>
            <w:proofErr w:type="spellStart"/>
            <w:r w:rsidRPr="00D317D8">
              <w:rPr>
                <w:rFonts w:ascii="Palatino Linotype" w:eastAsia="Times New Roman" w:hAnsi="Palatino Linotype" w:cs="Calibri"/>
                <w:color w:val="000000"/>
                <w:lang w:eastAsia="de-DE"/>
              </w:rPr>
              <w:t>amino-peptidase</w:t>
            </w:r>
            <w:proofErr w:type="spellEnd"/>
          </w:p>
        </w:tc>
        <w:tc>
          <w:tcPr>
            <w:tcW w:w="1194" w:type="dxa"/>
            <w:tcBorders>
              <w:top w:val="single" w:sz="4" w:space="0" w:color="auto"/>
              <w:left w:val="nil"/>
              <w:bottom w:val="single" w:sz="4" w:space="0" w:color="auto"/>
              <w:right w:val="nil"/>
            </w:tcBorders>
            <w:shd w:val="clear" w:color="auto" w:fill="auto"/>
            <w:noWrap/>
            <w:vAlign w:val="bottom"/>
            <w:hideMark/>
          </w:tcPr>
          <w:p w14:paraId="69193604" w14:textId="77777777" w:rsidR="00D317D8" w:rsidRPr="00D317D8" w:rsidRDefault="00D317D8" w:rsidP="00D46894">
            <w:pPr>
              <w:spacing w:after="0" w:line="240" w:lineRule="auto"/>
              <w:rPr>
                <w:rFonts w:ascii="Palatino Linotype" w:eastAsia="Times New Roman" w:hAnsi="Palatino Linotype" w:cs="Calibri"/>
                <w:color w:val="000000"/>
                <w:lang w:eastAsia="de-DE"/>
              </w:rPr>
            </w:pPr>
            <w:proofErr w:type="spellStart"/>
            <w:r w:rsidRPr="00D317D8">
              <w:rPr>
                <w:rFonts w:ascii="Palatino Linotype" w:eastAsia="Times New Roman" w:hAnsi="Palatino Linotype" w:cs="Calibri"/>
                <w:color w:val="000000"/>
                <w:lang w:eastAsia="de-DE"/>
              </w:rPr>
              <w:t>Xylosidase</w:t>
            </w:r>
            <w:proofErr w:type="spellEnd"/>
          </w:p>
        </w:tc>
        <w:tc>
          <w:tcPr>
            <w:tcW w:w="1208" w:type="dxa"/>
            <w:tcBorders>
              <w:top w:val="single" w:sz="4" w:space="0" w:color="auto"/>
              <w:left w:val="nil"/>
              <w:bottom w:val="single" w:sz="4" w:space="0" w:color="auto"/>
              <w:right w:val="nil"/>
            </w:tcBorders>
            <w:shd w:val="clear" w:color="auto" w:fill="auto"/>
            <w:noWrap/>
            <w:vAlign w:val="bottom"/>
            <w:hideMark/>
          </w:tcPr>
          <w:p w14:paraId="073A2F6B" w14:textId="77777777" w:rsidR="00D317D8" w:rsidRPr="00D317D8" w:rsidRDefault="00D317D8" w:rsidP="00D46894">
            <w:pPr>
              <w:spacing w:after="0" w:line="240" w:lineRule="auto"/>
              <w:rPr>
                <w:rFonts w:ascii="Palatino Linotype" w:eastAsia="Times New Roman" w:hAnsi="Palatino Linotype" w:cs="Calibri"/>
                <w:color w:val="000000"/>
                <w:lang w:eastAsia="de-DE"/>
              </w:rPr>
            </w:pPr>
            <w:proofErr w:type="spellStart"/>
            <w:r w:rsidRPr="00D317D8">
              <w:rPr>
                <w:rFonts w:ascii="Palatino Linotype" w:eastAsia="Times New Roman" w:hAnsi="Palatino Linotype" w:cs="Calibri"/>
                <w:color w:val="000000"/>
                <w:lang w:eastAsia="de-DE"/>
              </w:rPr>
              <w:t>Glucuroni-dase</w:t>
            </w:r>
            <w:proofErr w:type="spellEnd"/>
          </w:p>
        </w:tc>
        <w:tc>
          <w:tcPr>
            <w:tcW w:w="1105" w:type="dxa"/>
            <w:tcBorders>
              <w:top w:val="single" w:sz="4" w:space="0" w:color="auto"/>
              <w:left w:val="nil"/>
              <w:bottom w:val="single" w:sz="4" w:space="0" w:color="auto"/>
              <w:right w:val="nil"/>
            </w:tcBorders>
            <w:shd w:val="clear" w:color="auto" w:fill="auto"/>
            <w:noWrap/>
            <w:vAlign w:val="bottom"/>
            <w:hideMark/>
          </w:tcPr>
          <w:p w14:paraId="5E39C7ED" w14:textId="77777777" w:rsidR="00D317D8" w:rsidRPr="00D317D8" w:rsidRDefault="00D317D8" w:rsidP="00D46894">
            <w:pPr>
              <w:spacing w:after="0" w:line="240" w:lineRule="auto"/>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Cellobio-</w:t>
            </w:r>
            <w:proofErr w:type="spellStart"/>
            <w:r w:rsidRPr="00D317D8">
              <w:rPr>
                <w:rFonts w:ascii="Palatino Linotype" w:eastAsia="Times New Roman" w:hAnsi="Palatino Linotype" w:cs="Calibri"/>
                <w:color w:val="000000"/>
                <w:lang w:eastAsia="de-DE"/>
              </w:rPr>
              <w:t>hydrolase</w:t>
            </w:r>
            <w:proofErr w:type="spellEnd"/>
          </w:p>
        </w:tc>
        <w:tc>
          <w:tcPr>
            <w:tcW w:w="1061" w:type="dxa"/>
            <w:tcBorders>
              <w:top w:val="single" w:sz="4" w:space="0" w:color="auto"/>
              <w:left w:val="nil"/>
              <w:bottom w:val="single" w:sz="4" w:space="0" w:color="auto"/>
              <w:right w:val="nil"/>
            </w:tcBorders>
            <w:shd w:val="clear" w:color="auto" w:fill="auto"/>
            <w:noWrap/>
            <w:vAlign w:val="bottom"/>
            <w:hideMark/>
          </w:tcPr>
          <w:p w14:paraId="69B7C7CE" w14:textId="77777777" w:rsidR="00D317D8" w:rsidRPr="00D317D8" w:rsidRDefault="00D317D8" w:rsidP="00D46894">
            <w:pPr>
              <w:spacing w:after="0" w:line="240" w:lineRule="auto"/>
              <w:rPr>
                <w:rFonts w:ascii="Palatino Linotype" w:eastAsia="Times New Roman" w:hAnsi="Palatino Linotype" w:cs="Calibri"/>
                <w:color w:val="000000"/>
                <w:lang w:eastAsia="de-DE"/>
              </w:rPr>
            </w:pPr>
            <w:proofErr w:type="spellStart"/>
            <w:r w:rsidRPr="00D317D8">
              <w:rPr>
                <w:rFonts w:ascii="Palatino Linotype" w:eastAsia="Times New Roman" w:hAnsi="Palatino Linotype" w:cs="Calibri"/>
                <w:color w:val="000000"/>
                <w:lang w:eastAsia="de-DE"/>
              </w:rPr>
              <w:t>Chitinase</w:t>
            </w:r>
            <w:proofErr w:type="spellEnd"/>
          </w:p>
        </w:tc>
        <w:tc>
          <w:tcPr>
            <w:tcW w:w="953" w:type="dxa"/>
            <w:tcBorders>
              <w:top w:val="single" w:sz="4" w:space="0" w:color="auto"/>
              <w:left w:val="nil"/>
              <w:bottom w:val="single" w:sz="4" w:space="0" w:color="auto"/>
              <w:right w:val="nil"/>
            </w:tcBorders>
            <w:shd w:val="clear" w:color="auto" w:fill="auto"/>
            <w:noWrap/>
            <w:vAlign w:val="bottom"/>
            <w:hideMark/>
          </w:tcPr>
          <w:p w14:paraId="4A791B94" w14:textId="77777777" w:rsidR="00D317D8" w:rsidRPr="00D317D8" w:rsidRDefault="00D317D8" w:rsidP="00D46894">
            <w:pPr>
              <w:spacing w:after="0" w:line="240" w:lineRule="auto"/>
              <w:rPr>
                <w:rFonts w:ascii="Palatino Linotype" w:eastAsia="Times New Roman" w:hAnsi="Palatino Linotype" w:cs="Calibri"/>
                <w:color w:val="000000"/>
                <w:lang w:eastAsia="de-DE"/>
              </w:rPr>
            </w:pPr>
            <w:proofErr w:type="spellStart"/>
            <w:r w:rsidRPr="00D317D8">
              <w:rPr>
                <w:rFonts w:ascii="Palatino Linotype" w:eastAsia="Times New Roman" w:hAnsi="Palatino Linotype" w:cs="Calibri"/>
                <w:color w:val="000000"/>
                <w:lang w:eastAsia="de-DE"/>
              </w:rPr>
              <w:t>Glucosi-dase</w:t>
            </w:r>
            <w:proofErr w:type="spellEnd"/>
          </w:p>
        </w:tc>
        <w:tc>
          <w:tcPr>
            <w:tcW w:w="862" w:type="dxa"/>
            <w:tcBorders>
              <w:top w:val="single" w:sz="4" w:space="0" w:color="auto"/>
              <w:left w:val="nil"/>
              <w:bottom w:val="single" w:sz="4" w:space="0" w:color="auto"/>
              <w:right w:val="nil"/>
            </w:tcBorders>
            <w:shd w:val="clear" w:color="auto" w:fill="auto"/>
            <w:noWrap/>
            <w:vAlign w:val="bottom"/>
            <w:hideMark/>
          </w:tcPr>
          <w:p w14:paraId="2323CC44" w14:textId="77777777" w:rsidR="00D317D8" w:rsidRPr="00D317D8" w:rsidRDefault="00D317D8" w:rsidP="00D46894">
            <w:pPr>
              <w:spacing w:after="0" w:line="240" w:lineRule="auto"/>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Phosphat-</w:t>
            </w:r>
            <w:proofErr w:type="spellStart"/>
            <w:r w:rsidRPr="00D317D8">
              <w:rPr>
                <w:rFonts w:ascii="Palatino Linotype" w:eastAsia="Times New Roman" w:hAnsi="Palatino Linotype" w:cs="Calibri"/>
                <w:color w:val="000000"/>
                <w:lang w:eastAsia="de-DE"/>
              </w:rPr>
              <w:t>ase</w:t>
            </w:r>
            <w:proofErr w:type="spellEnd"/>
          </w:p>
        </w:tc>
      </w:tr>
      <w:tr w:rsidR="00D317D8" w:rsidRPr="00D317D8" w14:paraId="6268566F" w14:textId="77777777" w:rsidTr="002A5236">
        <w:trPr>
          <w:trHeight w:val="300"/>
        </w:trPr>
        <w:tc>
          <w:tcPr>
            <w:tcW w:w="1920" w:type="dxa"/>
            <w:tcBorders>
              <w:top w:val="single" w:sz="4" w:space="0" w:color="auto"/>
              <w:left w:val="nil"/>
              <w:bottom w:val="nil"/>
              <w:right w:val="nil"/>
            </w:tcBorders>
            <w:shd w:val="clear" w:color="auto" w:fill="auto"/>
            <w:noWrap/>
            <w:vAlign w:val="bottom"/>
            <w:hideMark/>
          </w:tcPr>
          <w:p w14:paraId="151866AA" w14:textId="77777777" w:rsidR="00D317D8" w:rsidRPr="00D317D8" w:rsidRDefault="00D317D8" w:rsidP="00D46894">
            <w:pPr>
              <w:spacing w:after="0" w:line="240" w:lineRule="auto"/>
              <w:rPr>
                <w:rFonts w:ascii="Palatino Linotype" w:eastAsia="Times New Roman" w:hAnsi="Palatino Linotype" w:cs="Calibri"/>
                <w:color w:val="000000"/>
                <w:lang w:eastAsia="de-DE"/>
              </w:rPr>
            </w:pPr>
            <w:proofErr w:type="spellStart"/>
            <w:r w:rsidRPr="00D317D8">
              <w:rPr>
                <w:rFonts w:ascii="Palatino Linotype" w:eastAsia="Times New Roman" w:hAnsi="Palatino Linotype" w:cs="Calibri"/>
                <w:color w:val="000000"/>
                <w:lang w:eastAsia="de-DE"/>
              </w:rPr>
              <w:t>Leucine</w:t>
            </w:r>
            <w:proofErr w:type="spellEnd"/>
            <w:r w:rsidRPr="00D317D8">
              <w:rPr>
                <w:rFonts w:ascii="Palatino Linotype" w:eastAsia="Times New Roman" w:hAnsi="Palatino Linotype" w:cs="Calibri"/>
                <w:color w:val="000000"/>
                <w:lang w:eastAsia="de-DE"/>
              </w:rPr>
              <w:t xml:space="preserve"> </w:t>
            </w:r>
            <w:proofErr w:type="spellStart"/>
            <w:r w:rsidRPr="00D317D8">
              <w:rPr>
                <w:rFonts w:ascii="Palatino Linotype" w:eastAsia="Times New Roman" w:hAnsi="Palatino Linotype" w:cs="Calibri"/>
                <w:color w:val="000000"/>
                <w:lang w:eastAsia="de-DE"/>
              </w:rPr>
              <w:t>aminopeptidase</w:t>
            </w:r>
            <w:proofErr w:type="spellEnd"/>
          </w:p>
        </w:tc>
        <w:tc>
          <w:tcPr>
            <w:tcW w:w="1125" w:type="dxa"/>
            <w:tcBorders>
              <w:top w:val="single" w:sz="4" w:space="0" w:color="auto"/>
              <w:left w:val="nil"/>
              <w:bottom w:val="nil"/>
              <w:right w:val="nil"/>
            </w:tcBorders>
            <w:shd w:val="clear" w:color="auto" w:fill="auto"/>
            <w:noWrap/>
            <w:vAlign w:val="bottom"/>
            <w:hideMark/>
          </w:tcPr>
          <w:p w14:paraId="642748A5"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1</w:t>
            </w:r>
          </w:p>
        </w:tc>
        <w:tc>
          <w:tcPr>
            <w:tcW w:w="1194" w:type="dxa"/>
            <w:tcBorders>
              <w:top w:val="single" w:sz="4" w:space="0" w:color="auto"/>
              <w:left w:val="nil"/>
              <w:bottom w:val="nil"/>
              <w:right w:val="nil"/>
            </w:tcBorders>
            <w:shd w:val="clear" w:color="auto" w:fill="auto"/>
            <w:noWrap/>
            <w:vAlign w:val="bottom"/>
            <w:hideMark/>
          </w:tcPr>
          <w:p w14:paraId="521AC752"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0.28</w:t>
            </w:r>
          </w:p>
        </w:tc>
        <w:tc>
          <w:tcPr>
            <w:tcW w:w="1208" w:type="dxa"/>
            <w:tcBorders>
              <w:top w:val="single" w:sz="4" w:space="0" w:color="auto"/>
              <w:left w:val="nil"/>
              <w:bottom w:val="nil"/>
              <w:right w:val="nil"/>
            </w:tcBorders>
            <w:shd w:val="clear" w:color="auto" w:fill="auto"/>
            <w:noWrap/>
            <w:vAlign w:val="bottom"/>
            <w:hideMark/>
          </w:tcPr>
          <w:p w14:paraId="685D6569"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0.17</w:t>
            </w:r>
          </w:p>
        </w:tc>
        <w:tc>
          <w:tcPr>
            <w:tcW w:w="1105" w:type="dxa"/>
            <w:tcBorders>
              <w:top w:val="single" w:sz="4" w:space="0" w:color="auto"/>
              <w:left w:val="nil"/>
              <w:bottom w:val="nil"/>
              <w:right w:val="nil"/>
            </w:tcBorders>
            <w:shd w:val="clear" w:color="auto" w:fill="auto"/>
            <w:noWrap/>
            <w:vAlign w:val="bottom"/>
            <w:hideMark/>
          </w:tcPr>
          <w:p w14:paraId="62085811"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0.18</w:t>
            </w:r>
          </w:p>
        </w:tc>
        <w:tc>
          <w:tcPr>
            <w:tcW w:w="1061" w:type="dxa"/>
            <w:tcBorders>
              <w:top w:val="single" w:sz="4" w:space="0" w:color="auto"/>
              <w:left w:val="nil"/>
              <w:bottom w:val="nil"/>
              <w:right w:val="nil"/>
            </w:tcBorders>
            <w:shd w:val="clear" w:color="auto" w:fill="auto"/>
            <w:noWrap/>
            <w:vAlign w:val="bottom"/>
            <w:hideMark/>
          </w:tcPr>
          <w:p w14:paraId="752765BB"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0.31</w:t>
            </w:r>
          </w:p>
        </w:tc>
        <w:tc>
          <w:tcPr>
            <w:tcW w:w="953" w:type="dxa"/>
            <w:tcBorders>
              <w:top w:val="single" w:sz="4" w:space="0" w:color="auto"/>
              <w:left w:val="nil"/>
              <w:bottom w:val="nil"/>
              <w:right w:val="nil"/>
            </w:tcBorders>
            <w:shd w:val="clear" w:color="auto" w:fill="auto"/>
            <w:noWrap/>
            <w:vAlign w:val="bottom"/>
            <w:hideMark/>
          </w:tcPr>
          <w:p w14:paraId="0376A3CF"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0.53</w:t>
            </w:r>
          </w:p>
        </w:tc>
        <w:tc>
          <w:tcPr>
            <w:tcW w:w="862" w:type="dxa"/>
            <w:tcBorders>
              <w:top w:val="single" w:sz="4" w:space="0" w:color="auto"/>
              <w:left w:val="nil"/>
              <w:bottom w:val="nil"/>
              <w:right w:val="nil"/>
            </w:tcBorders>
            <w:shd w:val="clear" w:color="auto" w:fill="auto"/>
            <w:noWrap/>
            <w:vAlign w:val="bottom"/>
            <w:hideMark/>
          </w:tcPr>
          <w:p w14:paraId="7976ECD3"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0.43</w:t>
            </w:r>
          </w:p>
        </w:tc>
      </w:tr>
      <w:tr w:rsidR="00D317D8" w:rsidRPr="00D317D8" w14:paraId="3C08796E" w14:textId="77777777" w:rsidTr="002A5236">
        <w:trPr>
          <w:trHeight w:val="300"/>
        </w:trPr>
        <w:tc>
          <w:tcPr>
            <w:tcW w:w="1920" w:type="dxa"/>
            <w:tcBorders>
              <w:top w:val="nil"/>
              <w:left w:val="nil"/>
              <w:bottom w:val="nil"/>
              <w:right w:val="nil"/>
            </w:tcBorders>
            <w:shd w:val="clear" w:color="auto" w:fill="auto"/>
            <w:noWrap/>
            <w:vAlign w:val="bottom"/>
            <w:hideMark/>
          </w:tcPr>
          <w:p w14:paraId="57C8BCDC" w14:textId="77777777" w:rsidR="00D317D8" w:rsidRPr="00D317D8" w:rsidRDefault="00D317D8" w:rsidP="00D46894">
            <w:pPr>
              <w:spacing w:after="0" w:line="240" w:lineRule="auto"/>
              <w:rPr>
                <w:rFonts w:ascii="Palatino Linotype" w:eastAsia="Times New Roman" w:hAnsi="Palatino Linotype" w:cs="Calibri"/>
                <w:color w:val="000000"/>
                <w:lang w:eastAsia="de-DE"/>
              </w:rPr>
            </w:pPr>
            <w:proofErr w:type="spellStart"/>
            <w:r w:rsidRPr="00D317D8">
              <w:rPr>
                <w:rFonts w:ascii="Palatino Linotype" w:eastAsia="Times New Roman" w:hAnsi="Palatino Linotype" w:cs="Calibri"/>
                <w:color w:val="000000"/>
                <w:lang w:eastAsia="de-DE"/>
              </w:rPr>
              <w:t>Xylosidase</w:t>
            </w:r>
            <w:proofErr w:type="spellEnd"/>
          </w:p>
        </w:tc>
        <w:tc>
          <w:tcPr>
            <w:tcW w:w="1125" w:type="dxa"/>
            <w:tcBorders>
              <w:top w:val="nil"/>
              <w:left w:val="nil"/>
              <w:bottom w:val="nil"/>
              <w:right w:val="nil"/>
            </w:tcBorders>
            <w:shd w:val="clear" w:color="auto" w:fill="auto"/>
            <w:noWrap/>
            <w:vAlign w:val="bottom"/>
            <w:hideMark/>
          </w:tcPr>
          <w:p w14:paraId="4B022A46"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0.28</w:t>
            </w:r>
          </w:p>
        </w:tc>
        <w:tc>
          <w:tcPr>
            <w:tcW w:w="1194" w:type="dxa"/>
            <w:tcBorders>
              <w:top w:val="nil"/>
              <w:left w:val="nil"/>
              <w:bottom w:val="nil"/>
              <w:right w:val="nil"/>
            </w:tcBorders>
            <w:shd w:val="clear" w:color="auto" w:fill="auto"/>
            <w:noWrap/>
            <w:vAlign w:val="bottom"/>
            <w:hideMark/>
          </w:tcPr>
          <w:p w14:paraId="2D1C9DEA"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1</w:t>
            </w:r>
          </w:p>
        </w:tc>
        <w:tc>
          <w:tcPr>
            <w:tcW w:w="1208" w:type="dxa"/>
            <w:tcBorders>
              <w:top w:val="nil"/>
              <w:left w:val="nil"/>
              <w:bottom w:val="nil"/>
              <w:right w:val="nil"/>
            </w:tcBorders>
            <w:shd w:val="clear" w:color="auto" w:fill="auto"/>
            <w:noWrap/>
            <w:vAlign w:val="bottom"/>
            <w:hideMark/>
          </w:tcPr>
          <w:p w14:paraId="3DE2F5B8"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0.52</w:t>
            </w:r>
          </w:p>
        </w:tc>
        <w:tc>
          <w:tcPr>
            <w:tcW w:w="1105" w:type="dxa"/>
            <w:tcBorders>
              <w:top w:val="nil"/>
              <w:left w:val="nil"/>
              <w:bottom w:val="nil"/>
              <w:right w:val="nil"/>
            </w:tcBorders>
            <w:shd w:val="clear" w:color="auto" w:fill="auto"/>
            <w:noWrap/>
            <w:vAlign w:val="bottom"/>
            <w:hideMark/>
          </w:tcPr>
          <w:p w14:paraId="46F97A45"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0.34</w:t>
            </w:r>
          </w:p>
        </w:tc>
        <w:tc>
          <w:tcPr>
            <w:tcW w:w="1061" w:type="dxa"/>
            <w:tcBorders>
              <w:top w:val="nil"/>
              <w:left w:val="nil"/>
              <w:bottom w:val="nil"/>
              <w:right w:val="nil"/>
            </w:tcBorders>
            <w:shd w:val="clear" w:color="auto" w:fill="auto"/>
            <w:noWrap/>
            <w:vAlign w:val="bottom"/>
            <w:hideMark/>
          </w:tcPr>
          <w:p w14:paraId="6BD48E84"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0.37</w:t>
            </w:r>
          </w:p>
        </w:tc>
        <w:tc>
          <w:tcPr>
            <w:tcW w:w="953" w:type="dxa"/>
            <w:tcBorders>
              <w:top w:val="nil"/>
              <w:left w:val="nil"/>
              <w:bottom w:val="nil"/>
              <w:right w:val="nil"/>
            </w:tcBorders>
            <w:shd w:val="clear" w:color="auto" w:fill="auto"/>
            <w:noWrap/>
            <w:vAlign w:val="bottom"/>
            <w:hideMark/>
          </w:tcPr>
          <w:p w14:paraId="546C5BE8"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0.44</w:t>
            </w:r>
          </w:p>
        </w:tc>
        <w:tc>
          <w:tcPr>
            <w:tcW w:w="862" w:type="dxa"/>
            <w:tcBorders>
              <w:top w:val="nil"/>
              <w:left w:val="nil"/>
              <w:bottom w:val="nil"/>
              <w:right w:val="nil"/>
            </w:tcBorders>
            <w:shd w:val="clear" w:color="auto" w:fill="auto"/>
            <w:noWrap/>
            <w:vAlign w:val="bottom"/>
            <w:hideMark/>
          </w:tcPr>
          <w:p w14:paraId="5C0EBA28"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0.31</w:t>
            </w:r>
          </w:p>
        </w:tc>
      </w:tr>
      <w:tr w:rsidR="00D317D8" w:rsidRPr="00D317D8" w14:paraId="6DB17B86" w14:textId="77777777" w:rsidTr="002A5236">
        <w:trPr>
          <w:trHeight w:val="300"/>
        </w:trPr>
        <w:tc>
          <w:tcPr>
            <w:tcW w:w="1920" w:type="dxa"/>
            <w:tcBorders>
              <w:top w:val="nil"/>
              <w:left w:val="nil"/>
              <w:bottom w:val="nil"/>
              <w:right w:val="nil"/>
            </w:tcBorders>
            <w:shd w:val="clear" w:color="auto" w:fill="auto"/>
            <w:noWrap/>
            <w:vAlign w:val="bottom"/>
            <w:hideMark/>
          </w:tcPr>
          <w:p w14:paraId="2C275631" w14:textId="77777777" w:rsidR="00D317D8" w:rsidRPr="00D317D8" w:rsidRDefault="00D317D8" w:rsidP="00D46894">
            <w:pPr>
              <w:spacing w:after="0" w:line="240" w:lineRule="auto"/>
              <w:rPr>
                <w:rFonts w:ascii="Palatino Linotype" w:eastAsia="Times New Roman" w:hAnsi="Palatino Linotype" w:cs="Calibri"/>
                <w:color w:val="000000"/>
                <w:lang w:eastAsia="de-DE"/>
              </w:rPr>
            </w:pPr>
            <w:proofErr w:type="spellStart"/>
            <w:r w:rsidRPr="00D317D8">
              <w:rPr>
                <w:rFonts w:ascii="Palatino Linotype" w:eastAsia="Times New Roman" w:hAnsi="Palatino Linotype" w:cs="Calibri"/>
                <w:color w:val="000000"/>
                <w:lang w:eastAsia="de-DE"/>
              </w:rPr>
              <w:t>Glucuronidase</w:t>
            </w:r>
            <w:proofErr w:type="spellEnd"/>
          </w:p>
        </w:tc>
        <w:tc>
          <w:tcPr>
            <w:tcW w:w="1125" w:type="dxa"/>
            <w:tcBorders>
              <w:top w:val="nil"/>
              <w:left w:val="nil"/>
              <w:bottom w:val="nil"/>
              <w:right w:val="nil"/>
            </w:tcBorders>
            <w:shd w:val="clear" w:color="auto" w:fill="auto"/>
            <w:noWrap/>
            <w:vAlign w:val="bottom"/>
            <w:hideMark/>
          </w:tcPr>
          <w:p w14:paraId="7C22587C"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0.17</w:t>
            </w:r>
          </w:p>
        </w:tc>
        <w:tc>
          <w:tcPr>
            <w:tcW w:w="1194" w:type="dxa"/>
            <w:tcBorders>
              <w:top w:val="nil"/>
              <w:left w:val="nil"/>
              <w:bottom w:val="nil"/>
              <w:right w:val="nil"/>
            </w:tcBorders>
            <w:shd w:val="clear" w:color="auto" w:fill="auto"/>
            <w:noWrap/>
            <w:vAlign w:val="bottom"/>
            <w:hideMark/>
          </w:tcPr>
          <w:p w14:paraId="4CA98036"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0.52</w:t>
            </w:r>
          </w:p>
        </w:tc>
        <w:tc>
          <w:tcPr>
            <w:tcW w:w="1208" w:type="dxa"/>
            <w:tcBorders>
              <w:top w:val="nil"/>
              <w:left w:val="nil"/>
              <w:bottom w:val="nil"/>
              <w:right w:val="nil"/>
            </w:tcBorders>
            <w:shd w:val="clear" w:color="auto" w:fill="auto"/>
            <w:noWrap/>
            <w:vAlign w:val="bottom"/>
            <w:hideMark/>
          </w:tcPr>
          <w:p w14:paraId="1DA87880"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1</w:t>
            </w:r>
          </w:p>
        </w:tc>
        <w:tc>
          <w:tcPr>
            <w:tcW w:w="1105" w:type="dxa"/>
            <w:tcBorders>
              <w:top w:val="nil"/>
              <w:left w:val="nil"/>
              <w:bottom w:val="nil"/>
              <w:right w:val="nil"/>
            </w:tcBorders>
            <w:shd w:val="clear" w:color="auto" w:fill="auto"/>
            <w:noWrap/>
            <w:vAlign w:val="bottom"/>
            <w:hideMark/>
          </w:tcPr>
          <w:p w14:paraId="63239B04"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0.77</w:t>
            </w:r>
          </w:p>
        </w:tc>
        <w:tc>
          <w:tcPr>
            <w:tcW w:w="1061" w:type="dxa"/>
            <w:tcBorders>
              <w:top w:val="nil"/>
              <w:left w:val="nil"/>
              <w:bottom w:val="nil"/>
              <w:right w:val="nil"/>
            </w:tcBorders>
            <w:shd w:val="clear" w:color="auto" w:fill="auto"/>
            <w:noWrap/>
            <w:vAlign w:val="bottom"/>
            <w:hideMark/>
          </w:tcPr>
          <w:p w14:paraId="67FEE475"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0.67</w:t>
            </w:r>
          </w:p>
        </w:tc>
        <w:tc>
          <w:tcPr>
            <w:tcW w:w="953" w:type="dxa"/>
            <w:tcBorders>
              <w:top w:val="nil"/>
              <w:left w:val="nil"/>
              <w:bottom w:val="nil"/>
              <w:right w:val="nil"/>
            </w:tcBorders>
            <w:shd w:val="clear" w:color="auto" w:fill="auto"/>
            <w:noWrap/>
            <w:vAlign w:val="bottom"/>
            <w:hideMark/>
          </w:tcPr>
          <w:p w14:paraId="388F4DF2"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0.59</w:t>
            </w:r>
          </w:p>
        </w:tc>
        <w:tc>
          <w:tcPr>
            <w:tcW w:w="862" w:type="dxa"/>
            <w:tcBorders>
              <w:top w:val="nil"/>
              <w:left w:val="nil"/>
              <w:bottom w:val="nil"/>
              <w:right w:val="nil"/>
            </w:tcBorders>
            <w:shd w:val="clear" w:color="auto" w:fill="auto"/>
            <w:noWrap/>
            <w:vAlign w:val="bottom"/>
            <w:hideMark/>
          </w:tcPr>
          <w:p w14:paraId="6CAE16E7"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0.57</w:t>
            </w:r>
          </w:p>
        </w:tc>
      </w:tr>
      <w:tr w:rsidR="00D317D8" w:rsidRPr="00D317D8" w14:paraId="42B23202" w14:textId="77777777" w:rsidTr="002A5236">
        <w:trPr>
          <w:trHeight w:val="300"/>
        </w:trPr>
        <w:tc>
          <w:tcPr>
            <w:tcW w:w="1920" w:type="dxa"/>
            <w:tcBorders>
              <w:top w:val="nil"/>
              <w:left w:val="nil"/>
              <w:bottom w:val="nil"/>
              <w:right w:val="nil"/>
            </w:tcBorders>
            <w:shd w:val="clear" w:color="auto" w:fill="auto"/>
            <w:noWrap/>
            <w:vAlign w:val="bottom"/>
            <w:hideMark/>
          </w:tcPr>
          <w:p w14:paraId="4CDCBB31" w14:textId="77777777" w:rsidR="00D317D8" w:rsidRPr="00D317D8" w:rsidRDefault="00D317D8" w:rsidP="00D46894">
            <w:pPr>
              <w:spacing w:after="0" w:line="240" w:lineRule="auto"/>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Cellobiohydrolase</w:t>
            </w:r>
          </w:p>
        </w:tc>
        <w:tc>
          <w:tcPr>
            <w:tcW w:w="1125" w:type="dxa"/>
            <w:tcBorders>
              <w:top w:val="nil"/>
              <w:left w:val="nil"/>
              <w:bottom w:val="nil"/>
              <w:right w:val="nil"/>
            </w:tcBorders>
            <w:shd w:val="clear" w:color="auto" w:fill="auto"/>
            <w:noWrap/>
            <w:vAlign w:val="bottom"/>
            <w:hideMark/>
          </w:tcPr>
          <w:p w14:paraId="4B0615DA"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0.18</w:t>
            </w:r>
          </w:p>
        </w:tc>
        <w:tc>
          <w:tcPr>
            <w:tcW w:w="1194" w:type="dxa"/>
            <w:tcBorders>
              <w:top w:val="nil"/>
              <w:left w:val="nil"/>
              <w:bottom w:val="nil"/>
              <w:right w:val="nil"/>
            </w:tcBorders>
            <w:shd w:val="clear" w:color="auto" w:fill="auto"/>
            <w:noWrap/>
            <w:vAlign w:val="bottom"/>
            <w:hideMark/>
          </w:tcPr>
          <w:p w14:paraId="438117DF"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0.34</w:t>
            </w:r>
          </w:p>
        </w:tc>
        <w:tc>
          <w:tcPr>
            <w:tcW w:w="1208" w:type="dxa"/>
            <w:tcBorders>
              <w:top w:val="nil"/>
              <w:left w:val="nil"/>
              <w:bottom w:val="nil"/>
              <w:right w:val="nil"/>
            </w:tcBorders>
            <w:shd w:val="clear" w:color="auto" w:fill="auto"/>
            <w:noWrap/>
            <w:vAlign w:val="bottom"/>
            <w:hideMark/>
          </w:tcPr>
          <w:p w14:paraId="4A7DB162"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0.77</w:t>
            </w:r>
          </w:p>
        </w:tc>
        <w:tc>
          <w:tcPr>
            <w:tcW w:w="1105" w:type="dxa"/>
            <w:tcBorders>
              <w:top w:val="nil"/>
              <w:left w:val="nil"/>
              <w:bottom w:val="nil"/>
              <w:right w:val="nil"/>
            </w:tcBorders>
            <w:shd w:val="clear" w:color="auto" w:fill="auto"/>
            <w:noWrap/>
            <w:vAlign w:val="bottom"/>
            <w:hideMark/>
          </w:tcPr>
          <w:p w14:paraId="530AE19B"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1</w:t>
            </w:r>
          </w:p>
        </w:tc>
        <w:tc>
          <w:tcPr>
            <w:tcW w:w="1061" w:type="dxa"/>
            <w:tcBorders>
              <w:top w:val="nil"/>
              <w:left w:val="nil"/>
              <w:bottom w:val="nil"/>
              <w:right w:val="nil"/>
            </w:tcBorders>
            <w:shd w:val="clear" w:color="auto" w:fill="auto"/>
            <w:noWrap/>
            <w:vAlign w:val="bottom"/>
            <w:hideMark/>
          </w:tcPr>
          <w:p w14:paraId="637DCB74"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0.90</w:t>
            </w:r>
          </w:p>
        </w:tc>
        <w:tc>
          <w:tcPr>
            <w:tcW w:w="953" w:type="dxa"/>
            <w:tcBorders>
              <w:top w:val="nil"/>
              <w:left w:val="nil"/>
              <w:bottom w:val="nil"/>
              <w:right w:val="nil"/>
            </w:tcBorders>
            <w:shd w:val="clear" w:color="auto" w:fill="auto"/>
            <w:noWrap/>
            <w:vAlign w:val="bottom"/>
            <w:hideMark/>
          </w:tcPr>
          <w:p w14:paraId="6BF2FA4E"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0.76</w:t>
            </w:r>
          </w:p>
        </w:tc>
        <w:tc>
          <w:tcPr>
            <w:tcW w:w="862" w:type="dxa"/>
            <w:tcBorders>
              <w:top w:val="nil"/>
              <w:left w:val="nil"/>
              <w:bottom w:val="nil"/>
              <w:right w:val="nil"/>
            </w:tcBorders>
            <w:shd w:val="clear" w:color="auto" w:fill="auto"/>
            <w:noWrap/>
            <w:vAlign w:val="bottom"/>
            <w:hideMark/>
          </w:tcPr>
          <w:p w14:paraId="63796204"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0.67</w:t>
            </w:r>
          </w:p>
        </w:tc>
      </w:tr>
      <w:tr w:rsidR="00D317D8" w:rsidRPr="00D317D8" w14:paraId="5721BB3F" w14:textId="77777777" w:rsidTr="002A5236">
        <w:trPr>
          <w:trHeight w:val="300"/>
        </w:trPr>
        <w:tc>
          <w:tcPr>
            <w:tcW w:w="1920" w:type="dxa"/>
            <w:tcBorders>
              <w:top w:val="nil"/>
              <w:left w:val="nil"/>
              <w:bottom w:val="nil"/>
              <w:right w:val="nil"/>
            </w:tcBorders>
            <w:shd w:val="clear" w:color="auto" w:fill="auto"/>
            <w:noWrap/>
            <w:vAlign w:val="bottom"/>
            <w:hideMark/>
          </w:tcPr>
          <w:p w14:paraId="4935488C" w14:textId="77777777" w:rsidR="00D317D8" w:rsidRPr="00D317D8" w:rsidRDefault="00D317D8" w:rsidP="00D46894">
            <w:pPr>
              <w:spacing w:after="0" w:line="240" w:lineRule="auto"/>
              <w:rPr>
                <w:rFonts w:ascii="Palatino Linotype" w:eastAsia="Times New Roman" w:hAnsi="Palatino Linotype" w:cs="Calibri"/>
                <w:color w:val="000000"/>
                <w:lang w:eastAsia="de-DE"/>
              </w:rPr>
            </w:pPr>
            <w:proofErr w:type="spellStart"/>
            <w:r w:rsidRPr="00D317D8">
              <w:rPr>
                <w:rFonts w:ascii="Palatino Linotype" w:eastAsia="Times New Roman" w:hAnsi="Palatino Linotype" w:cs="Calibri"/>
                <w:color w:val="000000"/>
                <w:lang w:eastAsia="de-DE"/>
              </w:rPr>
              <w:t>Chitinase</w:t>
            </w:r>
            <w:proofErr w:type="spellEnd"/>
          </w:p>
        </w:tc>
        <w:tc>
          <w:tcPr>
            <w:tcW w:w="1125" w:type="dxa"/>
            <w:tcBorders>
              <w:top w:val="nil"/>
              <w:left w:val="nil"/>
              <w:bottom w:val="nil"/>
              <w:right w:val="nil"/>
            </w:tcBorders>
            <w:shd w:val="clear" w:color="auto" w:fill="auto"/>
            <w:noWrap/>
            <w:vAlign w:val="bottom"/>
            <w:hideMark/>
          </w:tcPr>
          <w:p w14:paraId="1C2D0A30"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0.31</w:t>
            </w:r>
          </w:p>
        </w:tc>
        <w:tc>
          <w:tcPr>
            <w:tcW w:w="1194" w:type="dxa"/>
            <w:tcBorders>
              <w:top w:val="nil"/>
              <w:left w:val="nil"/>
              <w:bottom w:val="nil"/>
              <w:right w:val="nil"/>
            </w:tcBorders>
            <w:shd w:val="clear" w:color="auto" w:fill="auto"/>
            <w:noWrap/>
            <w:vAlign w:val="bottom"/>
            <w:hideMark/>
          </w:tcPr>
          <w:p w14:paraId="06EC996D"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0.37</w:t>
            </w:r>
          </w:p>
        </w:tc>
        <w:tc>
          <w:tcPr>
            <w:tcW w:w="1208" w:type="dxa"/>
            <w:tcBorders>
              <w:top w:val="nil"/>
              <w:left w:val="nil"/>
              <w:bottom w:val="nil"/>
              <w:right w:val="nil"/>
            </w:tcBorders>
            <w:shd w:val="clear" w:color="auto" w:fill="auto"/>
            <w:noWrap/>
            <w:vAlign w:val="bottom"/>
            <w:hideMark/>
          </w:tcPr>
          <w:p w14:paraId="3DC690BD"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0.67</w:t>
            </w:r>
          </w:p>
        </w:tc>
        <w:tc>
          <w:tcPr>
            <w:tcW w:w="1105" w:type="dxa"/>
            <w:tcBorders>
              <w:top w:val="nil"/>
              <w:left w:val="nil"/>
              <w:bottom w:val="nil"/>
              <w:right w:val="nil"/>
            </w:tcBorders>
            <w:shd w:val="clear" w:color="auto" w:fill="auto"/>
            <w:noWrap/>
            <w:vAlign w:val="bottom"/>
            <w:hideMark/>
          </w:tcPr>
          <w:p w14:paraId="05AB6799"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0.90</w:t>
            </w:r>
          </w:p>
        </w:tc>
        <w:tc>
          <w:tcPr>
            <w:tcW w:w="1061" w:type="dxa"/>
            <w:tcBorders>
              <w:top w:val="nil"/>
              <w:left w:val="nil"/>
              <w:bottom w:val="nil"/>
              <w:right w:val="nil"/>
            </w:tcBorders>
            <w:shd w:val="clear" w:color="auto" w:fill="auto"/>
            <w:noWrap/>
            <w:vAlign w:val="bottom"/>
            <w:hideMark/>
          </w:tcPr>
          <w:p w14:paraId="1BB21042"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1</w:t>
            </w:r>
          </w:p>
        </w:tc>
        <w:tc>
          <w:tcPr>
            <w:tcW w:w="953" w:type="dxa"/>
            <w:tcBorders>
              <w:top w:val="nil"/>
              <w:left w:val="nil"/>
              <w:bottom w:val="nil"/>
              <w:right w:val="nil"/>
            </w:tcBorders>
            <w:shd w:val="clear" w:color="auto" w:fill="auto"/>
            <w:noWrap/>
            <w:vAlign w:val="bottom"/>
            <w:hideMark/>
          </w:tcPr>
          <w:p w14:paraId="192665E2"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0.83</w:t>
            </w:r>
          </w:p>
        </w:tc>
        <w:tc>
          <w:tcPr>
            <w:tcW w:w="862" w:type="dxa"/>
            <w:tcBorders>
              <w:top w:val="nil"/>
              <w:left w:val="nil"/>
              <w:bottom w:val="nil"/>
              <w:right w:val="nil"/>
            </w:tcBorders>
            <w:shd w:val="clear" w:color="auto" w:fill="auto"/>
            <w:noWrap/>
            <w:vAlign w:val="bottom"/>
            <w:hideMark/>
          </w:tcPr>
          <w:p w14:paraId="711F4187"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0.76</w:t>
            </w:r>
          </w:p>
        </w:tc>
      </w:tr>
      <w:tr w:rsidR="00D317D8" w:rsidRPr="00D317D8" w14:paraId="210587A9" w14:textId="77777777" w:rsidTr="002A5236">
        <w:trPr>
          <w:trHeight w:val="300"/>
        </w:trPr>
        <w:tc>
          <w:tcPr>
            <w:tcW w:w="1920" w:type="dxa"/>
            <w:tcBorders>
              <w:top w:val="nil"/>
              <w:left w:val="nil"/>
              <w:right w:val="nil"/>
            </w:tcBorders>
            <w:shd w:val="clear" w:color="auto" w:fill="auto"/>
            <w:noWrap/>
            <w:vAlign w:val="bottom"/>
            <w:hideMark/>
          </w:tcPr>
          <w:p w14:paraId="44194C9C" w14:textId="77777777" w:rsidR="00D317D8" w:rsidRPr="00D317D8" w:rsidRDefault="00D317D8" w:rsidP="00D46894">
            <w:pPr>
              <w:spacing w:after="0" w:line="240" w:lineRule="auto"/>
              <w:rPr>
                <w:rFonts w:ascii="Palatino Linotype" w:eastAsia="Times New Roman" w:hAnsi="Palatino Linotype" w:cs="Calibri"/>
                <w:color w:val="000000"/>
                <w:lang w:eastAsia="de-DE"/>
              </w:rPr>
            </w:pPr>
            <w:proofErr w:type="spellStart"/>
            <w:r w:rsidRPr="00D317D8">
              <w:rPr>
                <w:rFonts w:ascii="Palatino Linotype" w:eastAsia="Times New Roman" w:hAnsi="Palatino Linotype" w:cs="Calibri"/>
                <w:color w:val="000000"/>
                <w:lang w:eastAsia="de-DE"/>
              </w:rPr>
              <w:t>Glucosidase</w:t>
            </w:r>
            <w:proofErr w:type="spellEnd"/>
          </w:p>
        </w:tc>
        <w:tc>
          <w:tcPr>
            <w:tcW w:w="1125" w:type="dxa"/>
            <w:tcBorders>
              <w:top w:val="nil"/>
              <w:left w:val="nil"/>
              <w:right w:val="nil"/>
            </w:tcBorders>
            <w:shd w:val="clear" w:color="auto" w:fill="auto"/>
            <w:noWrap/>
            <w:vAlign w:val="bottom"/>
            <w:hideMark/>
          </w:tcPr>
          <w:p w14:paraId="199CC5A8"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0.53</w:t>
            </w:r>
          </w:p>
        </w:tc>
        <w:tc>
          <w:tcPr>
            <w:tcW w:w="1194" w:type="dxa"/>
            <w:tcBorders>
              <w:top w:val="nil"/>
              <w:left w:val="nil"/>
              <w:right w:val="nil"/>
            </w:tcBorders>
            <w:shd w:val="clear" w:color="auto" w:fill="auto"/>
            <w:noWrap/>
            <w:vAlign w:val="bottom"/>
            <w:hideMark/>
          </w:tcPr>
          <w:p w14:paraId="2E576E5D"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0.44</w:t>
            </w:r>
          </w:p>
        </w:tc>
        <w:tc>
          <w:tcPr>
            <w:tcW w:w="1208" w:type="dxa"/>
            <w:tcBorders>
              <w:top w:val="nil"/>
              <w:left w:val="nil"/>
              <w:right w:val="nil"/>
            </w:tcBorders>
            <w:shd w:val="clear" w:color="auto" w:fill="auto"/>
            <w:noWrap/>
            <w:vAlign w:val="bottom"/>
            <w:hideMark/>
          </w:tcPr>
          <w:p w14:paraId="6B319F54"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0.59</w:t>
            </w:r>
          </w:p>
        </w:tc>
        <w:tc>
          <w:tcPr>
            <w:tcW w:w="1105" w:type="dxa"/>
            <w:tcBorders>
              <w:top w:val="nil"/>
              <w:left w:val="nil"/>
              <w:right w:val="nil"/>
            </w:tcBorders>
            <w:shd w:val="clear" w:color="auto" w:fill="auto"/>
            <w:noWrap/>
            <w:vAlign w:val="bottom"/>
            <w:hideMark/>
          </w:tcPr>
          <w:p w14:paraId="69BA4689"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0.76</w:t>
            </w:r>
          </w:p>
        </w:tc>
        <w:tc>
          <w:tcPr>
            <w:tcW w:w="1061" w:type="dxa"/>
            <w:tcBorders>
              <w:top w:val="nil"/>
              <w:left w:val="nil"/>
              <w:right w:val="nil"/>
            </w:tcBorders>
            <w:shd w:val="clear" w:color="auto" w:fill="auto"/>
            <w:noWrap/>
            <w:vAlign w:val="bottom"/>
            <w:hideMark/>
          </w:tcPr>
          <w:p w14:paraId="2A30DAB3"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0.83</w:t>
            </w:r>
          </w:p>
        </w:tc>
        <w:tc>
          <w:tcPr>
            <w:tcW w:w="953" w:type="dxa"/>
            <w:tcBorders>
              <w:top w:val="nil"/>
              <w:left w:val="nil"/>
              <w:right w:val="nil"/>
            </w:tcBorders>
            <w:shd w:val="clear" w:color="auto" w:fill="auto"/>
            <w:noWrap/>
            <w:vAlign w:val="bottom"/>
            <w:hideMark/>
          </w:tcPr>
          <w:p w14:paraId="2F42D234"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1</w:t>
            </w:r>
          </w:p>
        </w:tc>
        <w:tc>
          <w:tcPr>
            <w:tcW w:w="862" w:type="dxa"/>
            <w:tcBorders>
              <w:top w:val="nil"/>
              <w:left w:val="nil"/>
              <w:right w:val="nil"/>
            </w:tcBorders>
            <w:shd w:val="clear" w:color="auto" w:fill="auto"/>
            <w:noWrap/>
            <w:vAlign w:val="bottom"/>
            <w:hideMark/>
          </w:tcPr>
          <w:p w14:paraId="3186F22D"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0.68</w:t>
            </w:r>
          </w:p>
        </w:tc>
      </w:tr>
      <w:tr w:rsidR="00D317D8" w:rsidRPr="00D317D8" w14:paraId="2F023547" w14:textId="77777777" w:rsidTr="002A5236">
        <w:trPr>
          <w:trHeight w:val="300"/>
        </w:trPr>
        <w:tc>
          <w:tcPr>
            <w:tcW w:w="1920" w:type="dxa"/>
            <w:tcBorders>
              <w:top w:val="nil"/>
              <w:left w:val="nil"/>
              <w:bottom w:val="single" w:sz="4" w:space="0" w:color="auto"/>
              <w:right w:val="nil"/>
            </w:tcBorders>
            <w:shd w:val="clear" w:color="auto" w:fill="auto"/>
            <w:noWrap/>
            <w:vAlign w:val="bottom"/>
            <w:hideMark/>
          </w:tcPr>
          <w:p w14:paraId="6C3213AB" w14:textId="77777777" w:rsidR="00D317D8" w:rsidRPr="00D317D8" w:rsidRDefault="00D317D8" w:rsidP="00D46894">
            <w:pPr>
              <w:spacing w:after="0" w:line="240" w:lineRule="auto"/>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Phosphatase</w:t>
            </w:r>
          </w:p>
        </w:tc>
        <w:tc>
          <w:tcPr>
            <w:tcW w:w="1125" w:type="dxa"/>
            <w:tcBorders>
              <w:top w:val="nil"/>
              <w:left w:val="nil"/>
              <w:bottom w:val="single" w:sz="4" w:space="0" w:color="auto"/>
              <w:right w:val="nil"/>
            </w:tcBorders>
            <w:shd w:val="clear" w:color="auto" w:fill="auto"/>
            <w:noWrap/>
            <w:vAlign w:val="bottom"/>
            <w:hideMark/>
          </w:tcPr>
          <w:p w14:paraId="58296694"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0.43</w:t>
            </w:r>
          </w:p>
        </w:tc>
        <w:tc>
          <w:tcPr>
            <w:tcW w:w="1194" w:type="dxa"/>
            <w:tcBorders>
              <w:top w:val="nil"/>
              <w:left w:val="nil"/>
              <w:bottom w:val="single" w:sz="4" w:space="0" w:color="auto"/>
              <w:right w:val="nil"/>
            </w:tcBorders>
            <w:shd w:val="clear" w:color="auto" w:fill="auto"/>
            <w:noWrap/>
            <w:vAlign w:val="bottom"/>
            <w:hideMark/>
          </w:tcPr>
          <w:p w14:paraId="4751257D"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0.31</w:t>
            </w:r>
          </w:p>
        </w:tc>
        <w:tc>
          <w:tcPr>
            <w:tcW w:w="1208" w:type="dxa"/>
            <w:tcBorders>
              <w:top w:val="nil"/>
              <w:left w:val="nil"/>
              <w:bottom w:val="single" w:sz="4" w:space="0" w:color="auto"/>
              <w:right w:val="nil"/>
            </w:tcBorders>
            <w:shd w:val="clear" w:color="auto" w:fill="auto"/>
            <w:noWrap/>
            <w:vAlign w:val="bottom"/>
            <w:hideMark/>
          </w:tcPr>
          <w:p w14:paraId="0F181191"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0.57</w:t>
            </w:r>
          </w:p>
        </w:tc>
        <w:tc>
          <w:tcPr>
            <w:tcW w:w="1105" w:type="dxa"/>
            <w:tcBorders>
              <w:top w:val="nil"/>
              <w:left w:val="nil"/>
              <w:bottom w:val="single" w:sz="4" w:space="0" w:color="auto"/>
              <w:right w:val="nil"/>
            </w:tcBorders>
            <w:shd w:val="clear" w:color="auto" w:fill="auto"/>
            <w:noWrap/>
            <w:vAlign w:val="bottom"/>
            <w:hideMark/>
          </w:tcPr>
          <w:p w14:paraId="2966A365"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0.67</w:t>
            </w:r>
          </w:p>
        </w:tc>
        <w:tc>
          <w:tcPr>
            <w:tcW w:w="1061" w:type="dxa"/>
            <w:tcBorders>
              <w:top w:val="nil"/>
              <w:left w:val="nil"/>
              <w:bottom w:val="single" w:sz="4" w:space="0" w:color="auto"/>
              <w:right w:val="nil"/>
            </w:tcBorders>
            <w:shd w:val="clear" w:color="auto" w:fill="auto"/>
            <w:noWrap/>
            <w:vAlign w:val="bottom"/>
            <w:hideMark/>
          </w:tcPr>
          <w:p w14:paraId="61972A9D"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0.76</w:t>
            </w:r>
          </w:p>
        </w:tc>
        <w:tc>
          <w:tcPr>
            <w:tcW w:w="953" w:type="dxa"/>
            <w:tcBorders>
              <w:top w:val="nil"/>
              <w:left w:val="nil"/>
              <w:bottom w:val="single" w:sz="4" w:space="0" w:color="auto"/>
              <w:right w:val="nil"/>
            </w:tcBorders>
            <w:shd w:val="clear" w:color="auto" w:fill="auto"/>
            <w:noWrap/>
            <w:vAlign w:val="bottom"/>
            <w:hideMark/>
          </w:tcPr>
          <w:p w14:paraId="7F4AA977" w14:textId="77777777" w:rsidR="00D317D8" w:rsidRPr="00D317D8" w:rsidRDefault="00D317D8" w:rsidP="00D46894">
            <w:pPr>
              <w:spacing w:after="0" w:line="240" w:lineRule="auto"/>
              <w:jc w:val="right"/>
              <w:rPr>
                <w:rFonts w:ascii="Palatino Linotype" w:eastAsia="Times New Roman" w:hAnsi="Palatino Linotype" w:cs="Calibri"/>
                <w:b/>
                <w:bCs/>
                <w:color w:val="000000"/>
                <w:lang w:eastAsia="de-DE"/>
              </w:rPr>
            </w:pPr>
            <w:r w:rsidRPr="00D317D8">
              <w:rPr>
                <w:rFonts w:ascii="Palatino Linotype" w:eastAsia="Times New Roman" w:hAnsi="Palatino Linotype" w:cs="Calibri"/>
                <w:b/>
                <w:bCs/>
                <w:color w:val="000000"/>
                <w:lang w:eastAsia="de-DE"/>
              </w:rPr>
              <w:t>0.68</w:t>
            </w:r>
          </w:p>
        </w:tc>
        <w:tc>
          <w:tcPr>
            <w:tcW w:w="862" w:type="dxa"/>
            <w:tcBorders>
              <w:top w:val="nil"/>
              <w:left w:val="nil"/>
              <w:bottom w:val="single" w:sz="4" w:space="0" w:color="auto"/>
              <w:right w:val="nil"/>
            </w:tcBorders>
            <w:shd w:val="clear" w:color="auto" w:fill="auto"/>
            <w:noWrap/>
            <w:vAlign w:val="bottom"/>
            <w:hideMark/>
          </w:tcPr>
          <w:p w14:paraId="6E5431AA" w14:textId="77777777" w:rsidR="00D317D8" w:rsidRPr="00D317D8" w:rsidRDefault="00D317D8" w:rsidP="00D46894">
            <w:pPr>
              <w:spacing w:after="0" w:line="240" w:lineRule="auto"/>
              <w:jc w:val="right"/>
              <w:rPr>
                <w:rFonts w:ascii="Palatino Linotype" w:eastAsia="Times New Roman" w:hAnsi="Palatino Linotype" w:cs="Calibri"/>
                <w:color w:val="000000"/>
                <w:lang w:eastAsia="de-DE"/>
              </w:rPr>
            </w:pPr>
            <w:r w:rsidRPr="00D317D8">
              <w:rPr>
                <w:rFonts w:ascii="Palatino Linotype" w:eastAsia="Times New Roman" w:hAnsi="Palatino Linotype" w:cs="Calibri"/>
                <w:color w:val="000000"/>
                <w:lang w:eastAsia="de-DE"/>
              </w:rPr>
              <w:t>1</w:t>
            </w:r>
          </w:p>
        </w:tc>
      </w:tr>
    </w:tbl>
    <w:p w14:paraId="6E3A3E6B" w14:textId="0AEDBD71" w:rsidR="00E85101" w:rsidRDefault="00E85101" w:rsidP="00172ABC">
      <w:pPr>
        <w:spacing w:line="480" w:lineRule="auto"/>
        <w:rPr>
          <w:rFonts w:ascii="Palatino Linotype" w:eastAsia="Calibri" w:hAnsi="Palatino Linotype" w:cs="Times New Roman"/>
          <w:sz w:val="24"/>
          <w:szCs w:val="20"/>
          <w:lang w:val="en-GB" w:eastAsia="de-DE"/>
        </w:rPr>
      </w:pPr>
    </w:p>
    <w:p w14:paraId="5D895CE9" w14:textId="79BE2DB5" w:rsidR="00F01FB7" w:rsidRDefault="00F01FB7">
      <w:pPr>
        <w:rPr>
          <w:rFonts w:ascii="Palatino Linotype" w:eastAsia="Calibri" w:hAnsi="Palatino Linotype" w:cs="Times New Roman"/>
          <w:sz w:val="24"/>
          <w:szCs w:val="20"/>
          <w:lang w:val="en-GB" w:eastAsia="de-DE"/>
        </w:rPr>
      </w:pPr>
      <w:r>
        <w:rPr>
          <w:rFonts w:ascii="Palatino Linotype" w:eastAsia="Calibri" w:hAnsi="Palatino Linotype" w:cs="Times New Roman"/>
          <w:sz w:val="24"/>
          <w:szCs w:val="20"/>
          <w:lang w:val="en-GB" w:eastAsia="de-DE"/>
        </w:rPr>
        <w:br w:type="page"/>
      </w:r>
    </w:p>
    <w:p w14:paraId="0F8B842F" w14:textId="77777777" w:rsidR="002A5236" w:rsidRPr="002A5236" w:rsidRDefault="002A5236" w:rsidP="002A5236">
      <w:pPr>
        <w:spacing w:line="360" w:lineRule="auto"/>
        <w:rPr>
          <w:rFonts w:ascii="Palatino Linotype" w:eastAsia="Calibri" w:hAnsi="Palatino Linotype" w:cs="Times New Roman"/>
          <w:sz w:val="24"/>
          <w:szCs w:val="20"/>
          <w:lang w:val="en-GB" w:eastAsia="de-DE"/>
        </w:rPr>
      </w:pPr>
      <w:r w:rsidRPr="002A5236">
        <w:rPr>
          <w:rFonts w:ascii="Palatino Linotype" w:eastAsia="Calibri" w:hAnsi="Palatino Linotype" w:cs="Times New Roman"/>
          <w:sz w:val="24"/>
          <w:szCs w:val="20"/>
          <w:lang w:val="en-GB" w:eastAsia="de-DE"/>
        </w:rPr>
        <w:lastRenderedPageBreak/>
        <w:t>Axis 1 of the PCA with physiological data explains most of the variability in the dataset and separates samples of continuously irrigated, N-fertilised plants from samples of all other treatments (Fig. S4). The most influential variable and the only one that contributed significantly to the distribution in the plot was leaf area for axis 1. Axis 2 depicts mostly changes in water content of the leaves. All other variables cluster near the origin and seem not to influence the distribution of samples in the ordination graph.</w:t>
      </w:r>
    </w:p>
    <w:p w14:paraId="20C85B55" w14:textId="6BB7F2E2" w:rsidR="00445007" w:rsidRDefault="00445007">
      <w:pPr>
        <w:rPr>
          <w:rFonts w:ascii="Palatino Linotype" w:eastAsia="Calibri" w:hAnsi="Palatino Linotype" w:cs="Times New Roman"/>
          <w:sz w:val="24"/>
          <w:szCs w:val="20"/>
          <w:lang w:val="en-GB" w:eastAsia="de-DE"/>
        </w:rPr>
      </w:pPr>
    </w:p>
    <w:p w14:paraId="16E86205" w14:textId="77777777" w:rsidR="000D1DD8" w:rsidRDefault="000516C6" w:rsidP="000516C6">
      <w:pPr>
        <w:spacing w:line="276" w:lineRule="auto"/>
        <w:rPr>
          <w:rFonts w:ascii="Palatino Linotype" w:eastAsia="Calibri" w:hAnsi="Palatino Linotype" w:cs="Times New Roman"/>
          <w:b/>
          <w:sz w:val="24"/>
          <w:szCs w:val="20"/>
          <w:lang w:val="en-GB" w:eastAsia="de-DE"/>
        </w:rPr>
      </w:pPr>
      <w:r>
        <w:rPr>
          <w:noProof/>
          <w:lang w:eastAsia="de-DE"/>
        </w:rPr>
        <w:drawing>
          <wp:inline distT="0" distB="0" distL="0" distR="0" wp14:anchorId="7EA76EFB" wp14:editId="256B4CE5">
            <wp:extent cx="5760720" cy="3152140"/>
            <wp:effectExtent l="0" t="0" r="0" b="0"/>
            <wp:docPr id="1" name="Grafik 1" descr="C:\Users\Uwe Geppert\AppData\Local\Microsoft\Windows\INetCache\Content.Word\PCA_growth_parameter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we Geppert\AppData\Local\Microsoft\Windows\INetCache\Content.Word\PCA_growth_parameters.em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152140"/>
                    </a:xfrm>
                    <a:prstGeom prst="rect">
                      <a:avLst/>
                    </a:prstGeom>
                    <a:noFill/>
                    <a:ln>
                      <a:noFill/>
                    </a:ln>
                  </pic:spPr>
                </pic:pic>
              </a:graphicData>
            </a:graphic>
          </wp:inline>
        </w:drawing>
      </w:r>
    </w:p>
    <w:p w14:paraId="4A8FF409" w14:textId="7E619EB9" w:rsidR="00445007" w:rsidRDefault="000516C6" w:rsidP="000516C6">
      <w:pPr>
        <w:spacing w:line="276" w:lineRule="auto"/>
        <w:rPr>
          <w:rFonts w:ascii="Palatino Linotype" w:eastAsia="Calibri" w:hAnsi="Palatino Linotype" w:cs="Times New Roman"/>
          <w:sz w:val="24"/>
          <w:szCs w:val="20"/>
          <w:lang w:val="en-GB" w:eastAsia="de-DE"/>
        </w:rPr>
      </w:pPr>
      <w:r w:rsidRPr="000516C6">
        <w:rPr>
          <w:rFonts w:ascii="Palatino Linotype" w:eastAsia="Calibri" w:hAnsi="Palatino Linotype" w:cs="Times New Roman"/>
          <w:b/>
          <w:sz w:val="24"/>
          <w:szCs w:val="20"/>
          <w:lang w:val="en-GB" w:eastAsia="de-DE"/>
        </w:rPr>
        <w:t>Fig S</w:t>
      </w:r>
      <w:r w:rsidR="000D1DD8">
        <w:rPr>
          <w:rFonts w:ascii="Palatino Linotype" w:eastAsia="Calibri" w:hAnsi="Palatino Linotype" w:cs="Times New Roman"/>
          <w:b/>
          <w:sz w:val="24"/>
          <w:szCs w:val="20"/>
          <w:lang w:val="en-GB" w:eastAsia="de-DE"/>
        </w:rPr>
        <w:t>4</w:t>
      </w:r>
      <w:r w:rsidRPr="000516C6">
        <w:rPr>
          <w:rFonts w:ascii="Palatino Linotype" w:eastAsia="Calibri" w:hAnsi="Palatino Linotype" w:cs="Times New Roman"/>
          <w:sz w:val="24"/>
          <w:szCs w:val="20"/>
          <w:lang w:val="en-GB" w:eastAsia="de-DE"/>
        </w:rPr>
        <w:t xml:space="preserve"> Principal component analysis (PCA) of plant growth parameters of </w:t>
      </w:r>
      <w:r w:rsidRPr="000516C6">
        <w:rPr>
          <w:rFonts w:ascii="Palatino Linotype" w:eastAsia="Calibri" w:hAnsi="Palatino Linotype" w:cs="Times New Roman"/>
          <w:i/>
          <w:sz w:val="24"/>
          <w:szCs w:val="20"/>
          <w:lang w:val="en-GB" w:eastAsia="de-DE"/>
        </w:rPr>
        <w:t xml:space="preserve">P. </w:t>
      </w:r>
      <w:proofErr w:type="spellStart"/>
      <w:r w:rsidRPr="000516C6">
        <w:rPr>
          <w:rFonts w:ascii="Palatino Linotype" w:eastAsia="Calibri" w:hAnsi="Palatino Linotype" w:cs="Times New Roman"/>
          <w:i/>
          <w:sz w:val="24"/>
          <w:szCs w:val="20"/>
          <w:lang w:val="en-GB" w:eastAsia="de-DE"/>
        </w:rPr>
        <w:t>maximowiczii</w:t>
      </w:r>
      <w:proofErr w:type="spellEnd"/>
      <w:r w:rsidRPr="000516C6">
        <w:rPr>
          <w:rFonts w:ascii="Palatino Linotype" w:eastAsia="Calibri" w:hAnsi="Palatino Linotype" w:cs="Times New Roman"/>
          <w:sz w:val="24"/>
          <w:szCs w:val="20"/>
          <w:lang w:val="en-GB" w:eastAsia="de-DE"/>
        </w:rPr>
        <w:t xml:space="preserve"> × </w:t>
      </w:r>
      <w:proofErr w:type="spellStart"/>
      <w:r w:rsidRPr="000516C6">
        <w:rPr>
          <w:rFonts w:ascii="Palatino Linotype" w:eastAsia="Calibri" w:hAnsi="Palatino Linotype" w:cs="Times New Roman"/>
          <w:i/>
          <w:sz w:val="24"/>
          <w:szCs w:val="20"/>
          <w:lang w:val="en-GB" w:eastAsia="de-DE"/>
        </w:rPr>
        <w:t>nigra</w:t>
      </w:r>
      <w:proofErr w:type="spellEnd"/>
      <w:r w:rsidRPr="000516C6">
        <w:rPr>
          <w:rFonts w:ascii="Palatino Linotype" w:eastAsia="Calibri" w:hAnsi="Palatino Linotype" w:cs="Times New Roman"/>
          <w:sz w:val="24"/>
          <w:szCs w:val="20"/>
          <w:lang w:val="en-GB" w:eastAsia="de-DE"/>
        </w:rPr>
        <w:t xml:space="preserve"> clone ‘Rochester’ at harvest, one week after </w:t>
      </w:r>
      <w:proofErr w:type="spellStart"/>
      <w:r w:rsidRPr="000516C6">
        <w:rPr>
          <w:rFonts w:ascii="Palatino Linotype" w:eastAsia="Calibri" w:hAnsi="Palatino Linotype" w:cs="Times New Roman"/>
          <w:sz w:val="24"/>
          <w:szCs w:val="20"/>
          <w:lang w:val="en-GB" w:eastAsia="de-DE"/>
        </w:rPr>
        <w:t>rewatering</w:t>
      </w:r>
      <w:proofErr w:type="spellEnd"/>
      <w:r w:rsidRPr="000516C6">
        <w:rPr>
          <w:rFonts w:ascii="Palatino Linotype" w:eastAsia="Calibri" w:hAnsi="Palatino Linotype" w:cs="Times New Roman"/>
          <w:sz w:val="24"/>
          <w:szCs w:val="20"/>
          <w:lang w:val="en-GB" w:eastAsia="de-DE"/>
        </w:rPr>
        <w:t>. LA: leaf area, WCL: water content in leaves. All other measures of growth cluster near the origin as they are highly correlated. Confidence ellipses (90 %) are drawn for each of the treatments: irrigation without fertiliser (C0), with nitrogen (CN), with phosphorus (CP) and with both nitrogen and phosphorus fertiliser (CNP); and reduced irrigation without fertiliser (T0) with nitrogen (TN), with phosphorus (TP) and with both nitrogen and phosphorus fertiliser (TNP). Growth parameters outside the equilibrium circle (blue circle) significantly contributed to the ordination graph.</w:t>
      </w:r>
    </w:p>
    <w:p w14:paraId="4E1AB556" w14:textId="18F45665" w:rsidR="000516C6" w:rsidRDefault="000516C6">
      <w:pPr>
        <w:rPr>
          <w:rFonts w:ascii="Palatino Linotype" w:eastAsia="Calibri" w:hAnsi="Palatino Linotype" w:cs="Times New Roman"/>
          <w:sz w:val="24"/>
          <w:szCs w:val="20"/>
          <w:lang w:val="en-GB" w:eastAsia="de-DE"/>
        </w:rPr>
      </w:pPr>
      <w:r>
        <w:rPr>
          <w:rFonts w:ascii="Palatino Linotype" w:eastAsia="Calibri" w:hAnsi="Palatino Linotype" w:cs="Times New Roman"/>
          <w:sz w:val="24"/>
          <w:szCs w:val="20"/>
          <w:lang w:val="en-GB" w:eastAsia="de-DE"/>
        </w:rPr>
        <w:br w:type="page"/>
      </w:r>
    </w:p>
    <w:p w14:paraId="3AD68C77" w14:textId="77777777" w:rsidR="00F01FB7" w:rsidRDefault="00F01FB7" w:rsidP="00F01FB7">
      <w:pPr>
        <w:spacing w:line="360" w:lineRule="auto"/>
        <w:rPr>
          <w:rFonts w:ascii="Palatino Linotype" w:eastAsia="Calibri" w:hAnsi="Palatino Linotype" w:cs="Times New Roman"/>
          <w:sz w:val="24"/>
          <w:szCs w:val="20"/>
          <w:lang w:val="en-GB" w:eastAsia="de-DE"/>
        </w:rPr>
      </w:pPr>
      <w:r w:rsidRPr="002A5236">
        <w:rPr>
          <w:rFonts w:ascii="Palatino Linotype" w:eastAsia="Calibri" w:hAnsi="Palatino Linotype" w:cs="Times New Roman"/>
          <w:sz w:val="24"/>
          <w:szCs w:val="20"/>
          <w:lang w:val="en-GB" w:eastAsia="de-DE"/>
        </w:rPr>
        <w:lastRenderedPageBreak/>
        <w:t>Although leucine aminopeptidase contributed significantly to the distribution of samples in the ordination graph, enzyme activities did not separate treatments via PCA (Fig. S5).</w:t>
      </w:r>
    </w:p>
    <w:p w14:paraId="1C3D00FE" w14:textId="77777777" w:rsidR="000D1DD8" w:rsidRDefault="000516C6" w:rsidP="000516C6">
      <w:pPr>
        <w:spacing w:line="276" w:lineRule="auto"/>
        <w:rPr>
          <w:rFonts w:ascii="Palatino Linotype" w:eastAsia="Calibri" w:hAnsi="Palatino Linotype" w:cs="Times New Roman"/>
          <w:b/>
          <w:sz w:val="24"/>
          <w:szCs w:val="20"/>
          <w:lang w:val="en-GB" w:eastAsia="de-DE"/>
        </w:rPr>
      </w:pPr>
      <w:bookmarkStart w:id="0" w:name="_GoBack"/>
      <w:bookmarkEnd w:id="0"/>
      <w:r>
        <w:rPr>
          <w:noProof/>
          <w:lang w:eastAsia="de-DE"/>
        </w:rPr>
        <w:drawing>
          <wp:inline distT="0" distB="0" distL="0" distR="0" wp14:anchorId="6F24A039" wp14:editId="093D4D2B">
            <wp:extent cx="5760720" cy="3291205"/>
            <wp:effectExtent l="0" t="0" r="0" b="4445"/>
            <wp:docPr id="4" name="Grafik 4" descr="C:\Users\Uwe Geppert\AppData\Local\Microsoft\Windows\INetCache\Content.Word\PCA_enzym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we Geppert\AppData\Local\Microsoft\Windows\INetCache\Content.Word\PCA_enzyme.e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291205"/>
                    </a:xfrm>
                    <a:prstGeom prst="rect">
                      <a:avLst/>
                    </a:prstGeom>
                    <a:noFill/>
                    <a:ln>
                      <a:noFill/>
                    </a:ln>
                  </pic:spPr>
                </pic:pic>
              </a:graphicData>
            </a:graphic>
          </wp:inline>
        </w:drawing>
      </w:r>
    </w:p>
    <w:p w14:paraId="1FE298C8" w14:textId="1DC4DC6E" w:rsidR="000516C6" w:rsidRPr="000516C6" w:rsidRDefault="000516C6" w:rsidP="000516C6">
      <w:pPr>
        <w:spacing w:line="276" w:lineRule="auto"/>
        <w:rPr>
          <w:rFonts w:ascii="Palatino Linotype" w:eastAsia="Calibri" w:hAnsi="Palatino Linotype" w:cs="Times New Roman"/>
          <w:sz w:val="24"/>
          <w:szCs w:val="20"/>
          <w:lang w:val="en-GB" w:eastAsia="de-DE"/>
        </w:rPr>
      </w:pPr>
      <w:r w:rsidRPr="000516C6">
        <w:rPr>
          <w:rFonts w:ascii="Palatino Linotype" w:eastAsia="Calibri" w:hAnsi="Palatino Linotype" w:cs="Times New Roman"/>
          <w:b/>
          <w:sz w:val="24"/>
          <w:szCs w:val="20"/>
          <w:lang w:val="en-GB" w:eastAsia="de-DE"/>
        </w:rPr>
        <w:t>Fig S</w:t>
      </w:r>
      <w:r w:rsidR="000D1DD8">
        <w:rPr>
          <w:rFonts w:ascii="Palatino Linotype" w:eastAsia="Calibri" w:hAnsi="Palatino Linotype" w:cs="Times New Roman"/>
          <w:b/>
          <w:sz w:val="24"/>
          <w:szCs w:val="20"/>
          <w:lang w:val="en-GB" w:eastAsia="de-DE"/>
        </w:rPr>
        <w:t>5</w:t>
      </w:r>
      <w:r w:rsidRPr="000516C6">
        <w:rPr>
          <w:rFonts w:ascii="Palatino Linotype" w:eastAsia="Calibri" w:hAnsi="Palatino Linotype" w:cs="Times New Roman"/>
          <w:sz w:val="24"/>
          <w:szCs w:val="20"/>
          <w:lang w:val="en-GB" w:eastAsia="de-DE"/>
        </w:rPr>
        <w:t xml:space="preserve"> Principal component analysis (PCA) of exoenzyme activities of ECM tips of </w:t>
      </w:r>
      <w:r w:rsidRPr="000516C6">
        <w:rPr>
          <w:rFonts w:ascii="Palatino Linotype" w:eastAsia="Calibri" w:hAnsi="Palatino Linotype" w:cs="Times New Roman"/>
          <w:i/>
          <w:sz w:val="24"/>
          <w:szCs w:val="20"/>
          <w:lang w:val="en-GB" w:eastAsia="de-DE"/>
        </w:rPr>
        <w:t xml:space="preserve">P. </w:t>
      </w:r>
      <w:proofErr w:type="spellStart"/>
      <w:r w:rsidRPr="000516C6">
        <w:rPr>
          <w:rFonts w:ascii="Palatino Linotype" w:eastAsia="Calibri" w:hAnsi="Palatino Linotype" w:cs="Times New Roman"/>
          <w:i/>
          <w:sz w:val="24"/>
          <w:szCs w:val="20"/>
          <w:lang w:val="en-GB" w:eastAsia="de-DE"/>
        </w:rPr>
        <w:t>maximowiczii</w:t>
      </w:r>
      <w:proofErr w:type="spellEnd"/>
      <w:r w:rsidRPr="000516C6">
        <w:rPr>
          <w:rFonts w:ascii="Palatino Linotype" w:eastAsia="Calibri" w:hAnsi="Palatino Linotype" w:cs="Times New Roman"/>
          <w:sz w:val="24"/>
          <w:szCs w:val="20"/>
          <w:lang w:val="en-GB" w:eastAsia="de-DE"/>
        </w:rPr>
        <w:t xml:space="preserve"> × </w:t>
      </w:r>
      <w:proofErr w:type="spellStart"/>
      <w:r w:rsidRPr="000516C6">
        <w:rPr>
          <w:rFonts w:ascii="Palatino Linotype" w:eastAsia="Calibri" w:hAnsi="Palatino Linotype" w:cs="Times New Roman"/>
          <w:i/>
          <w:sz w:val="24"/>
          <w:szCs w:val="20"/>
          <w:lang w:val="en-GB" w:eastAsia="de-DE"/>
        </w:rPr>
        <w:t>nigra</w:t>
      </w:r>
      <w:proofErr w:type="spellEnd"/>
      <w:r w:rsidRPr="000516C6">
        <w:rPr>
          <w:rFonts w:ascii="Palatino Linotype" w:eastAsia="Calibri" w:hAnsi="Palatino Linotype" w:cs="Times New Roman"/>
          <w:sz w:val="24"/>
          <w:szCs w:val="20"/>
          <w:lang w:val="en-GB" w:eastAsia="de-DE"/>
        </w:rPr>
        <w:t xml:space="preserve"> clone ‘Rochester’ at harvest, one week after </w:t>
      </w:r>
      <w:proofErr w:type="spellStart"/>
      <w:r w:rsidRPr="000516C6">
        <w:rPr>
          <w:rFonts w:ascii="Palatino Linotype" w:eastAsia="Calibri" w:hAnsi="Palatino Linotype" w:cs="Times New Roman"/>
          <w:sz w:val="24"/>
          <w:szCs w:val="20"/>
          <w:lang w:val="en-GB" w:eastAsia="de-DE"/>
        </w:rPr>
        <w:t>rewatering</w:t>
      </w:r>
      <w:proofErr w:type="spellEnd"/>
      <w:r w:rsidRPr="000516C6">
        <w:rPr>
          <w:rFonts w:ascii="Palatino Linotype" w:eastAsia="Calibri" w:hAnsi="Palatino Linotype" w:cs="Times New Roman"/>
          <w:sz w:val="24"/>
          <w:szCs w:val="20"/>
          <w:lang w:val="en-GB" w:eastAsia="de-DE"/>
        </w:rPr>
        <w:t xml:space="preserve">. </w:t>
      </w:r>
      <w:proofErr w:type="spellStart"/>
      <w:r w:rsidRPr="000516C6">
        <w:rPr>
          <w:rFonts w:ascii="Palatino Linotype" w:eastAsia="Calibri" w:hAnsi="Palatino Linotype" w:cs="Times New Roman"/>
          <w:sz w:val="24"/>
          <w:szCs w:val="20"/>
          <w:lang w:val="en-GB" w:eastAsia="de-DE"/>
        </w:rPr>
        <w:t>Leu</w:t>
      </w:r>
      <w:proofErr w:type="spellEnd"/>
      <w:r w:rsidRPr="000516C6">
        <w:rPr>
          <w:rFonts w:ascii="Palatino Linotype" w:eastAsia="Calibri" w:hAnsi="Palatino Linotype" w:cs="Times New Roman"/>
          <w:sz w:val="24"/>
          <w:szCs w:val="20"/>
          <w:lang w:val="en-GB" w:eastAsia="de-DE"/>
        </w:rPr>
        <w:t xml:space="preserve">: leucine aminopeptidase, Pho: phosphatase, </w:t>
      </w:r>
      <w:proofErr w:type="spellStart"/>
      <w:r w:rsidRPr="000516C6">
        <w:rPr>
          <w:rFonts w:ascii="Palatino Linotype" w:eastAsia="Calibri" w:hAnsi="Palatino Linotype" w:cs="Times New Roman"/>
          <w:sz w:val="24"/>
          <w:szCs w:val="20"/>
          <w:lang w:val="en-GB" w:eastAsia="de-DE"/>
        </w:rPr>
        <w:t>Gls</w:t>
      </w:r>
      <w:proofErr w:type="spellEnd"/>
      <w:r w:rsidRPr="000516C6">
        <w:rPr>
          <w:rFonts w:ascii="Palatino Linotype" w:eastAsia="Calibri" w:hAnsi="Palatino Linotype" w:cs="Times New Roman"/>
          <w:sz w:val="24"/>
          <w:szCs w:val="20"/>
          <w:lang w:val="en-GB" w:eastAsia="de-DE"/>
        </w:rPr>
        <w:t xml:space="preserve">: glucosidase, </w:t>
      </w:r>
      <w:proofErr w:type="spellStart"/>
      <w:r w:rsidRPr="000516C6">
        <w:rPr>
          <w:rFonts w:ascii="Palatino Linotype" w:eastAsia="Calibri" w:hAnsi="Palatino Linotype" w:cs="Times New Roman"/>
          <w:sz w:val="24"/>
          <w:szCs w:val="20"/>
          <w:lang w:val="en-GB" w:eastAsia="de-DE"/>
        </w:rPr>
        <w:t>Xyl</w:t>
      </w:r>
      <w:proofErr w:type="spellEnd"/>
      <w:r w:rsidRPr="000516C6">
        <w:rPr>
          <w:rFonts w:ascii="Palatino Linotype" w:eastAsia="Calibri" w:hAnsi="Palatino Linotype" w:cs="Times New Roman"/>
          <w:sz w:val="24"/>
          <w:szCs w:val="20"/>
          <w:lang w:val="en-GB" w:eastAsia="de-DE"/>
        </w:rPr>
        <w:t xml:space="preserve">: </w:t>
      </w:r>
      <w:proofErr w:type="spellStart"/>
      <w:r w:rsidRPr="000516C6">
        <w:rPr>
          <w:rFonts w:ascii="Palatino Linotype" w:eastAsia="Calibri" w:hAnsi="Palatino Linotype" w:cs="Times New Roman"/>
          <w:sz w:val="24"/>
          <w:szCs w:val="20"/>
          <w:lang w:val="en-GB" w:eastAsia="de-DE"/>
        </w:rPr>
        <w:t>xylosidase</w:t>
      </w:r>
      <w:proofErr w:type="spellEnd"/>
      <w:r w:rsidRPr="000516C6">
        <w:rPr>
          <w:rFonts w:ascii="Palatino Linotype" w:eastAsia="Calibri" w:hAnsi="Palatino Linotype" w:cs="Times New Roman"/>
          <w:sz w:val="24"/>
          <w:szCs w:val="20"/>
          <w:lang w:val="en-GB" w:eastAsia="de-DE"/>
        </w:rPr>
        <w:t xml:space="preserve">, </w:t>
      </w:r>
      <w:proofErr w:type="spellStart"/>
      <w:r w:rsidRPr="000516C6">
        <w:rPr>
          <w:rFonts w:ascii="Palatino Linotype" w:eastAsia="Calibri" w:hAnsi="Palatino Linotype" w:cs="Times New Roman"/>
          <w:sz w:val="24"/>
          <w:szCs w:val="20"/>
          <w:lang w:val="en-GB" w:eastAsia="de-DE"/>
        </w:rPr>
        <w:t>Glr</w:t>
      </w:r>
      <w:proofErr w:type="spellEnd"/>
      <w:r w:rsidRPr="000516C6">
        <w:rPr>
          <w:rFonts w:ascii="Palatino Linotype" w:eastAsia="Calibri" w:hAnsi="Palatino Linotype" w:cs="Times New Roman"/>
          <w:sz w:val="24"/>
          <w:szCs w:val="20"/>
          <w:lang w:val="en-GB" w:eastAsia="de-DE"/>
        </w:rPr>
        <w:t xml:space="preserve">: </w:t>
      </w:r>
      <w:proofErr w:type="spellStart"/>
      <w:r w:rsidRPr="000516C6">
        <w:rPr>
          <w:rFonts w:ascii="Palatino Linotype" w:eastAsia="Calibri" w:hAnsi="Palatino Linotype" w:cs="Times New Roman"/>
          <w:sz w:val="24"/>
          <w:szCs w:val="20"/>
          <w:lang w:val="en-GB" w:eastAsia="de-DE"/>
        </w:rPr>
        <w:t>glucuronidase</w:t>
      </w:r>
      <w:proofErr w:type="spellEnd"/>
      <w:r w:rsidRPr="000516C6">
        <w:rPr>
          <w:rFonts w:ascii="Palatino Linotype" w:eastAsia="Calibri" w:hAnsi="Palatino Linotype" w:cs="Times New Roman"/>
          <w:sz w:val="24"/>
          <w:szCs w:val="20"/>
          <w:lang w:val="en-GB" w:eastAsia="de-DE"/>
        </w:rPr>
        <w:t xml:space="preserve">, </w:t>
      </w:r>
      <w:proofErr w:type="spellStart"/>
      <w:r w:rsidRPr="000516C6">
        <w:rPr>
          <w:rFonts w:ascii="Palatino Linotype" w:eastAsia="Calibri" w:hAnsi="Palatino Linotype" w:cs="Times New Roman"/>
          <w:sz w:val="24"/>
          <w:szCs w:val="20"/>
          <w:lang w:val="en-GB" w:eastAsia="de-DE"/>
        </w:rPr>
        <w:t>Cel</w:t>
      </w:r>
      <w:proofErr w:type="spellEnd"/>
      <w:r w:rsidRPr="000516C6">
        <w:rPr>
          <w:rFonts w:ascii="Palatino Linotype" w:eastAsia="Calibri" w:hAnsi="Palatino Linotype" w:cs="Times New Roman"/>
          <w:sz w:val="24"/>
          <w:szCs w:val="20"/>
          <w:lang w:val="en-GB" w:eastAsia="de-DE"/>
        </w:rPr>
        <w:t xml:space="preserve">: </w:t>
      </w:r>
      <w:proofErr w:type="spellStart"/>
      <w:r w:rsidRPr="000516C6">
        <w:rPr>
          <w:rFonts w:ascii="Palatino Linotype" w:eastAsia="Calibri" w:hAnsi="Palatino Linotype" w:cs="Times New Roman"/>
          <w:sz w:val="24"/>
          <w:szCs w:val="20"/>
          <w:lang w:val="en-GB" w:eastAsia="de-DE"/>
        </w:rPr>
        <w:t>cellobiohydrolase</w:t>
      </w:r>
      <w:proofErr w:type="spellEnd"/>
      <w:r w:rsidRPr="000516C6">
        <w:rPr>
          <w:rFonts w:ascii="Palatino Linotype" w:eastAsia="Calibri" w:hAnsi="Palatino Linotype" w:cs="Times New Roman"/>
          <w:sz w:val="24"/>
          <w:szCs w:val="20"/>
          <w:lang w:val="en-GB" w:eastAsia="de-DE"/>
        </w:rPr>
        <w:t xml:space="preserve">, Nag: </w:t>
      </w:r>
      <w:proofErr w:type="spellStart"/>
      <w:r w:rsidRPr="000516C6">
        <w:rPr>
          <w:rFonts w:ascii="Palatino Linotype" w:eastAsia="Calibri" w:hAnsi="Palatino Linotype" w:cs="Times New Roman"/>
          <w:sz w:val="24"/>
          <w:szCs w:val="20"/>
          <w:lang w:val="en-GB" w:eastAsia="de-DE"/>
        </w:rPr>
        <w:t>chitinase</w:t>
      </w:r>
      <w:proofErr w:type="spellEnd"/>
      <w:r w:rsidRPr="000516C6">
        <w:rPr>
          <w:rFonts w:ascii="Palatino Linotype" w:eastAsia="Calibri" w:hAnsi="Palatino Linotype" w:cs="Times New Roman"/>
          <w:sz w:val="24"/>
          <w:szCs w:val="20"/>
          <w:lang w:val="en-GB" w:eastAsia="de-DE"/>
        </w:rPr>
        <w:t>. Confidence ellipses (90 %) are drawn for each of the treatments: irrigation without fertiliser (C0), with nitrogen (CN), with phosphorus (CP) and with both nitrogen and phosphorus fertiliser (CNP); and reduced irrigation without fertiliser (T0) with nitrogen (TN), with phosphorus (TP) and with both nitrogen and phosphorus fertiliser (TNP). Enzymes outside the equilibrium circle (blue circle) significantly contributed to the ordination graph.</w:t>
      </w:r>
    </w:p>
    <w:p w14:paraId="404BEF52" w14:textId="77777777" w:rsidR="000516C6" w:rsidRDefault="000516C6" w:rsidP="000516C6">
      <w:pPr>
        <w:spacing w:line="276" w:lineRule="auto"/>
        <w:rPr>
          <w:rFonts w:ascii="Palatino Linotype" w:eastAsia="Calibri" w:hAnsi="Palatino Linotype" w:cs="Times New Roman"/>
          <w:sz w:val="24"/>
          <w:szCs w:val="20"/>
          <w:lang w:val="en-GB" w:eastAsia="de-DE"/>
        </w:rPr>
      </w:pPr>
    </w:p>
    <w:p w14:paraId="22ADB75E" w14:textId="77777777" w:rsidR="00E85101" w:rsidRDefault="00E85101">
      <w:pPr>
        <w:rPr>
          <w:rFonts w:ascii="Palatino Linotype" w:eastAsia="Calibri" w:hAnsi="Palatino Linotype" w:cs="Times New Roman"/>
          <w:sz w:val="24"/>
          <w:szCs w:val="20"/>
          <w:lang w:val="en-GB" w:eastAsia="de-DE"/>
        </w:rPr>
      </w:pPr>
      <w:r>
        <w:rPr>
          <w:rFonts w:ascii="Palatino Linotype" w:eastAsia="Calibri" w:hAnsi="Palatino Linotype" w:cs="Times New Roman"/>
          <w:sz w:val="24"/>
          <w:szCs w:val="20"/>
          <w:lang w:val="en-GB" w:eastAsia="de-DE"/>
        </w:rPr>
        <w:br w:type="page"/>
      </w:r>
    </w:p>
    <w:p w14:paraId="28185663" w14:textId="1B791BB3" w:rsidR="005D4120" w:rsidRPr="009410CD" w:rsidRDefault="005D4120" w:rsidP="00172ABC">
      <w:pPr>
        <w:keepNext/>
        <w:keepLines/>
        <w:spacing w:before="200" w:after="0" w:line="480" w:lineRule="auto"/>
        <w:outlineLvl w:val="1"/>
        <w:rPr>
          <w:rFonts w:ascii="Cambria" w:eastAsia="Times New Roman" w:hAnsi="Cambria" w:cs="Times New Roman"/>
          <w:b/>
          <w:bCs/>
          <w:sz w:val="26"/>
          <w:szCs w:val="26"/>
          <w:lang w:val="en-GB" w:eastAsia="de-DE"/>
        </w:rPr>
      </w:pPr>
      <w:r>
        <w:rPr>
          <w:rFonts w:ascii="Cambria" w:eastAsia="Times New Roman" w:hAnsi="Cambria" w:cs="Times New Roman"/>
          <w:b/>
          <w:bCs/>
          <w:sz w:val="26"/>
          <w:szCs w:val="26"/>
          <w:lang w:val="en-GB" w:eastAsia="de-DE"/>
        </w:rPr>
        <w:lastRenderedPageBreak/>
        <w:t>Supplementary references</w:t>
      </w:r>
    </w:p>
    <w:p w14:paraId="06252670" w14:textId="77777777" w:rsidR="0071494D" w:rsidRPr="002266D9" w:rsidRDefault="0071494D" w:rsidP="00172ABC">
      <w:pPr>
        <w:pStyle w:val="EndNoteBibliography"/>
        <w:ind w:left="720" w:hanging="720"/>
        <w:rPr>
          <w:lang w:val="en-US"/>
        </w:rPr>
      </w:pPr>
      <w:r w:rsidRPr="002266D9">
        <w:rPr>
          <w:lang w:val="en-US"/>
        </w:rPr>
        <w:t>Gardes M</w:t>
      </w:r>
      <w:r>
        <w:rPr>
          <w:lang w:val="en-US"/>
        </w:rPr>
        <w:t xml:space="preserve"> </w:t>
      </w:r>
      <w:r w:rsidRPr="002266D9">
        <w:rPr>
          <w:lang w:val="en-US"/>
        </w:rPr>
        <w:t>and Bruns T D 1993 ITS primers with enhanced specificity for basidiomycetes--application to the identification of mycorrhizae and rusts. Molecular ecology 2: 113-118</w:t>
      </w:r>
    </w:p>
    <w:p w14:paraId="04A38974" w14:textId="77777777" w:rsidR="0071494D" w:rsidRPr="002266D9" w:rsidRDefault="0071494D" w:rsidP="00172ABC">
      <w:pPr>
        <w:pStyle w:val="EndNoteBibliography"/>
        <w:ind w:left="720" w:hanging="720"/>
        <w:rPr>
          <w:lang w:val="en-US"/>
        </w:rPr>
      </w:pPr>
      <w:r w:rsidRPr="002266D9">
        <w:rPr>
          <w:lang w:val="en-US"/>
        </w:rPr>
        <w:t>White T J, Bruns T, Lee S</w:t>
      </w:r>
      <w:r>
        <w:rPr>
          <w:lang w:val="en-US"/>
        </w:rPr>
        <w:t xml:space="preserve"> </w:t>
      </w:r>
      <w:r w:rsidRPr="002266D9">
        <w:rPr>
          <w:lang w:val="en-US"/>
        </w:rPr>
        <w:t>and Taylor J 1990 Amplification and direct sequencing of fungal ribosomal RNA genes for phylogenetics. PCR protocols: a guide to methods and applications 18: 315-322</w:t>
      </w:r>
    </w:p>
    <w:p w14:paraId="72EA785C" w14:textId="7B2BA582" w:rsidR="005D4120" w:rsidRPr="00B317B8" w:rsidRDefault="00B317B8" w:rsidP="00B317B8">
      <w:pPr>
        <w:pStyle w:val="EndNoteBibliography"/>
        <w:ind w:left="720" w:hanging="720"/>
        <w:rPr>
          <w:lang w:val="en-US"/>
        </w:rPr>
      </w:pPr>
      <w:r w:rsidRPr="002266D9">
        <w:rPr>
          <w:lang w:val="en-US"/>
        </w:rPr>
        <w:t>Kõljalg U, Nilsson R H, Abarenkov K, Tedersoo L, Taylor A F, Bahram M, Bates S T, Bruns T D, Bengtsson‐Palme J</w:t>
      </w:r>
      <w:r>
        <w:rPr>
          <w:lang w:val="en-US"/>
        </w:rPr>
        <w:t xml:space="preserve"> </w:t>
      </w:r>
      <w:r w:rsidRPr="002266D9">
        <w:rPr>
          <w:lang w:val="en-US"/>
        </w:rPr>
        <w:t>and Callaghan T M 2013 Towards a unified paradigm for sequence‐based identification of fungi. Mol Ecol 22: 5271-5277</w:t>
      </w:r>
    </w:p>
    <w:sectPr w:rsidR="005D4120" w:rsidRPr="00B317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CD"/>
    <w:rsid w:val="000516C6"/>
    <w:rsid w:val="00094D0C"/>
    <w:rsid w:val="000D1DD8"/>
    <w:rsid w:val="00172ABC"/>
    <w:rsid w:val="002A5236"/>
    <w:rsid w:val="00445007"/>
    <w:rsid w:val="00453AAF"/>
    <w:rsid w:val="005D4120"/>
    <w:rsid w:val="0071494D"/>
    <w:rsid w:val="007A0704"/>
    <w:rsid w:val="009410CD"/>
    <w:rsid w:val="00B317B8"/>
    <w:rsid w:val="00C50104"/>
    <w:rsid w:val="00CC4532"/>
    <w:rsid w:val="00D317D8"/>
    <w:rsid w:val="00D47E20"/>
    <w:rsid w:val="00DB5232"/>
    <w:rsid w:val="00E85101"/>
    <w:rsid w:val="00F01F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F674"/>
  <w15:chartTrackingRefBased/>
  <w15:docId w15:val="{E8644A83-52CC-47E7-A758-01CAB372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9410C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410CD"/>
    <w:rPr>
      <w:sz w:val="20"/>
      <w:szCs w:val="20"/>
    </w:rPr>
  </w:style>
  <w:style w:type="character" w:styleId="Kommentarzeichen">
    <w:name w:val="annotation reference"/>
    <w:uiPriority w:val="99"/>
    <w:semiHidden/>
    <w:unhideWhenUsed/>
    <w:rsid w:val="009410CD"/>
    <w:rPr>
      <w:sz w:val="16"/>
      <w:szCs w:val="16"/>
    </w:rPr>
  </w:style>
  <w:style w:type="paragraph" w:styleId="Sprechblasentext">
    <w:name w:val="Balloon Text"/>
    <w:basedOn w:val="Standard"/>
    <w:link w:val="SprechblasentextZchn"/>
    <w:uiPriority w:val="99"/>
    <w:semiHidden/>
    <w:unhideWhenUsed/>
    <w:rsid w:val="009410C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10CD"/>
    <w:rPr>
      <w:rFonts w:ascii="Segoe UI" w:hAnsi="Segoe UI" w:cs="Segoe UI"/>
      <w:sz w:val="18"/>
      <w:szCs w:val="18"/>
    </w:rPr>
  </w:style>
  <w:style w:type="paragraph" w:customStyle="1" w:styleId="EndNoteBibliography">
    <w:name w:val="EndNote Bibliography"/>
    <w:basedOn w:val="Standard"/>
    <w:link w:val="EndNoteBibliographyZchn"/>
    <w:rsid w:val="0071494D"/>
    <w:pPr>
      <w:spacing w:after="0" w:line="480" w:lineRule="auto"/>
    </w:pPr>
    <w:rPr>
      <w:rFonts w:ascii="Palatino Linotype" w:eastAsia="Calibri" w:hAnsi="Palatino Linotype" w:cs="Times New Roman"/>
      <w:noProof/>
      <w:sz w:val="24"/>
      <w:szCs w:val="20"/>
      <w:lang w:eastAsia="de-DE"/>
    </w:rPr>
  </w:style>
  <w:style w:type="character" w:customStyle="1" w:styleId="EndNoteBibliographyZchn">
    <w:name w:val="EndNote Bibliography Zchn"/>
    <w:link w:val="EndNoteBibliography"/>
    <w:rsid w:val="0071494D"/>
    <w:rPr>
      <w:rFonts w:ascii="Palatino Linotype" w:eastAsia="Calibri" w:hAnsi="Palatino Linotype" w:cs="Times New Roman"/>
      <w:noProof/>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810</Words>
  <Characters>5106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Nickel</dc:creator>
  <cp:keywords/>
  <dc:description/>
  <cp:lastModifiedBy>Uwe Nickel</cp:lastModifiedBy>
  <cp:revision>6</cp:revision>
  <dcterms:created xsi:type="dcterms:W3CDTF">2017-06-26T14:41:00Z</dcterms:created>
  <dcterms:modified xsi:type="dcterms:W3CDTF">2017-07-13T09:08:00Z</dcterms:modified>
</cp:coreProperties>
</file>