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4EA" w:rsidRPr="00E0707C" w:rsidRDefault="001B04EA" w:rsidP="00980CEB">
      <w:pPr>
        <w:spacing w:line="360" w:lineRule="auto"/>
        <w:jc w:val="both"/>
        <w:rPr>
          <w:b/>
          <w:bCs/>
          <w:i/>
          <w:sz w:val="24"/>
          <w:szCs w:val="24"/>
          <w:lang w:val="en-GB"/>
        </w:rPr>
      </w:pPr>
      <w:r w:rsidRPr="00E0707C">
        <w:rPr>
          <w:b/>
          <w:bCs/>
          <w:i/>
          <w:sz w:val="24"/>
          <w:szCs w:val="24"/>
          <w:lang w:val="en-GB"/>
        </w:rPr>
        <w:t>Supplement</w:t>
      </w:r>
      <w:r w:rsidR="001725EB">
        <w:rPr>
          <w:b/>
          <w:bCs/>
          <w:i/>
          <w:sz w:val="24"/>
          <w:szCs w:val="24"/>
          <w:lang w:val="en-GB"/>
        </w:rPr>
        <w:t>ary data</w:t>
      </w:r>
      <w:r w:rsidRPr="00E0707C">
        <w:rPr>
          <w:b/>
          <w:bCs/>
          <w:i/>
          <w:sz w:val="24"/>
          <w:szCs w:val="24"/>
          <w:lang w:val="en-GB"/>
        </w:rPr>
        <w:t xml:space="preserve"> of</w:t>
      </w:r>
    </w:p>
    <w:p w:rsidR="00522C36" w:rsidRPr="00E0707C" w:rsidRDefault="00522C36" w:rsidP="00522C36">
      <w:pPr>
        <w:spacing w:line="360" w:lineRule="auto"/>
        <w:jc w:val="both"/>
        <w:rPr>
          <w:rFonts w:cs="Arial"/>
          <w:b/>
          <w:sz w:val="28"/>
          <w:szCs w:val="28"/>
          <w:lang w:val="en-GB"/>
        </w:rPr>
      </w:pPr>
      <w:r w:rsidRPr="00E0707C">
        <w:rPr>
          <w:b/>
          <w:bCs/>
          <w:sz w:val="24"/>
          <w:szCs w:val="24"/>
          <w:lang w:val="en-GB"/>
        </w:rPr>
        <w:t>Chemical composition and speciation of particulate organic matter from modern residential small-scale wood combustion appliances</w:t>
      </w:r>
    </w:p>
    <w:p w:rsidR="00522C36" w:rsidRPr="00E0707C" w:rsidRDefault="00522C36" w:rsidP="00522C36">
      <w:pPr>
        <w:spacing w:line="360" w:lineRule="auto"/>
        <w:jc w:val="both"/>
        <w:rPr>
          <w:rFonts w:cs="Arial"/>
          <w:i/>
          <w:lang w:val="en-GB"/>
        </w:rPr>
      </w:pPr>
      <w:proofErr w:type="spellStart"/>
      <w:r w:rsidRPr="00E0707C">
        <w:rPr>
          <w:rFonts w:cs="Arial"/>
          <w:i/>
          <w:lang w:val="en-GB"/>
        </w:rPr>
        <w:t>Hendryk</w:t>
      </w:r>
      <w:proofErr w:type="spellEnd"/>
      <w:r w:rsidRPr="00E0707C">
        <w:rPr>
          <w:rFonts w:cs="Arial"/>
          <w:i/>
          <w:lang w:val="en-GB"/>
        </w:rPr>
        <w:t> </w:t>
      </w:r>
      <w:proofErr w:type="spellStart"/>
      <w:r w:rsidRPr="00E0707C">
        <w:rPr>
          <w:rFonts w:cs="Arial"/>
          <w:i/>
          <w:lang w:val="en-GB"/>
        </w:rPr>
        <w:t>Czech</w:t>
      </w:r>
      <w:r w:rsidRPr="00E0707C">
        <w:rPr>
          <w:rFonts w:cs="Arial"/>
          <w:i/>
          <w:vertAlign w:val="superscript"/>
          <w:lang w:val="en-GB"/>
        </w:rPr>
        <w:t>a</w:t>
      </w:r>
      <w:proofErr w:type="spellEnd"/>
      <w:r w:rsidRPr="00E0707C">
        <w:rPr>
          <w:rFonts w:cs="Arial"/>
          <w:i/>
          <w:lang w:val="en-GB"/>
        </w:rPr>
        <w:t xml:space="preserve">, Toni </w:t>
      </w:r>
      <w:proofErr w:type="spellStart"/>
      <w:r w:rsidRPr="00E0707C">
        <w:rPr>
          <w:rFonts w:cs="Arial"/>
          <w:i/>
          <w:lang w:val="en-GB"/>
        </w:rPr>
        <w:t>Miersch</w:t>
      </w:r>
      <w:r w:rsidRPr="00E0707C">
        <w:rPr>
          <w:rFonts w:cs="Arial"/>
          <w:i/>
          <w:vertAlign w:val="superscript"/>
          <w:lang w:val="en-GB"/>
        </w:rPr>
        <w:t>a</w:t>
      </w:r>
      <w:proofErr w:type="spellEnd"/>
      <w:r w:rsidRPr="00E0707C">
        <w:rPr>
          <w:rFonts w:cs="Arial"/>
          <w:i/>
          <w:lang w:val="en-GB"/>
        </w:rPr>
        <w:t xml:space="preserve">, </w:t>
      </w:r>
      <w:proofErr w:type="spellStart"/>
      <w:r w:rsidRPr="00E0707C">
        <w:rPr>
          <w:rFonts w:cs="Arial"/>
          <w:i/>
          <w:lang w:val="en-GB"/>
        </w:rPr>
        <w:t>Jürgen</w:t>
      </w:r>
      <w:proofErr w:type="spellEnd"/>
      <w:r w:rsidRPr="00E0707C">
        <w:rPr>
          <w:rFonts w:cs="Arial"/>
          <w:i/>
          <w:lang w:val="en-GB"/>
        </w:rPr>
        <w:t xml:space="preserve"> </w:t>
      </w:r>
      <w:proofErr w:type="spellStart"/>
      <w:r w:rsidRPr="00E0707C">
        <w:rPr>
          <w:rFonts w:cs="Arial"/>
          <w:i/>
          <w:lang w:val="en-GB"/>
        </w:rPr>
        <w:t>Orasche</w:t>
      </w:r>
      <w:r w:rsidRPr="00E0707C">
        <w:rPr>
          <w:rFonts w:cs="Arial"/>
          <w:i/>
          <w:vertAlign w:val="superscript"/>
          <w:lang w:val="en-GB"/>
        </w:rPr>
        <w:t>a,b,c</w:t>
      </w:r>
      <w:proofErr w:type="spellEnd"/>
      <w:r w:rsidRPr="00E0707C">
        <w:rPr>
          <w:rFonts w:cs="Arial"/>
          <w:i/>
          <w:lang w:val="en-GB"/>
        </w:rPr>
        <w:t xml:space="preserve">, </w:t>
      </w:r>
      <w:proofErr w:type="spellStart"/>
      <w:r w:rsidRPr="00E0707C">
        <w:rPr>
          <w:rFonts w:cs="Arial"/>
          <w:i/>
          <w:lang w:val="en-GB"/>
        </w:rPr>
        <w:t>Gülcin</w:t>
      </w:r>
      <w:proofErr w:type="spellEnd"/>
      <w:r w:rsidRPr="00E0707C">
        <w:rPr>
          <w:rFonts w:cs="Arial"/>
          <w:i/>
          <w:lang w:val="en-GB"/>
        </w:rPr>
        <w:t xml:space="preserve"> </w:t>
      </w:r>
      <w:proofErr w:type="spellStart"/>
      <w:r w:rsidRPr="00E0707C">
        <w:rPr>
          <w:rFonts w:cs="Arial"/>
          <w:i/>
          <w:lang w:val="en-GB"/>
        </w:rPr>
        <w:t>Abbaszade</w:t>
      </w:r>
      <w:r w:rsidRPr="00E0707C">
        <w:rPr>
          <w:rFonts w:cs="Arial"/>
          <w:i/>
          <w:vertAlign w:val="superscript"/>
          <w:lang w:val="en-GB"/>
        </w:rPr>
        <w:t>b,c</w:t>
      </w:r>
      <w:proofErr w:type="spellEnd"/>
      <w:r w:rsidRPr="00E0707C">
        <w:rPr>
          <w:rFonts w:cs="Arial"/>
          <w:i/>
          <w:lang w:val="en-GB"/>
        </w:rPr>
        <w:t>, Olli </w:t>
      </w:r>
      <w:proofErr w:type="spellStart"/>
      <w:r w:rsidRPr="00E0707C">
        <w:rPr>
          <w:rFonts w:cs="Arial"/>
          <w:i/>
          <w:lang w:val="en-GB"/>
        </w:rPr>
        <w:t>Sippula</w:t>
      </w:r>
      <w:r w:rsidRPr="00E0707C">
        <w:rPr>
          <w:rFonts w:cs="Arial"/>
          <w:i/>
          <w:vertAlign w:val="superscript"/>
          <w:lang w:val="en-GB"/>
        </w:rPr>
        <w:t>c,d</w:t>
      </w:r>
      <w:proofErr w:type="spellEnd"/>
      <w:r w:rsidRPr="00E0707C">
        <w:rPr>
          <w:rFonts w:cs="Arial"/>
          <w:i/>
          <w:lang w:val="en-GB"/>
        </w:rPr>
        <w:t xml:space="preserve">, </w:t>
      </w:r>
      <w:proofErr w:type="spellStart"/>
      <w:r w:rsidRPr="00E0707C">
        <w:rPr>
          <w:rFonts w:cs="Arial"/>
          <w:i/>
          <w:lang w:val="en-GB"/>
        </w:rPr>
        <w:t>Jarkko</w:t>
      </w:r>
      <w:proofErr w:type="spellEnd"/>
      <w:r w:rsidRPr="00E0707C">
        <w:rPr>
          <w:rFonts w:cs="Arial"/>
          <w:i/>
          <w:lang w:val="en-GB"/>
        </w:rPr>
        <w:t xml:space="preserve"> </w:t>
      </w:r>
      <w:proofErr w:type="spellStart"/>
      <w:r w:rsidRPr="00E0707C">
        <w:rPr>
          <w:rFonts w:cs="Arial"/>
          <w:i/>
          <w:lang w:val="en-GB"/>
        </w:rPr>
        <w:t>Tissari</w:t>
      </w:r>
      <w:r w:rsidRPr="00E0707C">
        <w:rPr>
          <w:rFonts w:cs="Arial"/>
          <w:i/>
          <w:vertAlign w:val="superscript"/>
          <w:lang w:val="en-GB"/>
        </w:rPr>
        <w:t>d</w:t>
      </w:r>
      <w:proofErr w:type="spellEnd"/>
      <w:r w:rsidRPr="00E0707C">
        <w:rPr>
          <w:rFonts w:cs="Arial"/>
          <w:i/>
          <w:lang w:val="en-GB"/>
        </w:rPr>
        <w:t xml:space="preserve">, Bernhard </w:t>
      </w:r>
      <w:proofErr w:type="spellStart"/>
      <w:r w:rsidRPr="00E0707C">
        <w:rPr>
          <w:rFonts w:cs="Arial"/>
          <w:i/>
          <w:lang w:val="en-GB"/>
        </w:rPr>
        <w:t>Michalke</w:t>
      </w:r>
      <w:r w:rsidRPr="00E0707C">
        <w:rPr>
          <w:rFonts w:cs="Arial"/>
          <w:i/>
          <w:vertAlign w:val="superscript"/>
          <w:lang w:val="en-GB"/>
        </w:rPr>
        <w:t>e</w:t>
      </w:r>
      <w:proofErr w:type="spellEnd"/>
      <w:r w:rsidRPr="00E0707C">
        <w:rPr>
          <w:rFonts w:cs="Arial"/>
          <w:i/>
          <w:lang w:val="en-GB"/>
        </w:rPr>
        <w:t xml:space="preserve">, </w:t>
      </w:r>
      <w:proofErr w:type="spellStart"/>
      <w:r w:rsidRPr="00E0707C">
        <w:rPr>
          <w:rFonts w:cs="Arial"/>
          <w:i/>
          <w:lang w:val="en-GB"/>
        </w:rPr>
        <w:t>Jürgen</w:t>
      </w:r>
      <w:proofErr w:type="spellEnd"/>
      <w:r w:rsidRPr="00E0707C">
        <w:rPr>
          <w:rFonts w:cs="Arial"/>
          <w:i/>
          <w:lang w:val="en-GB"/>
        </w:rPr>
        <w:t xml:space="preserve"> </w:t>
      </w:r>
      <w:proofErr w:type="spellStart"/>
      <w:r w:rsidRPr="00E0707C">
        <w:rPr>
          <w:rFonts w:cs="Arial"/>
          <w:i/>
          <w:lang w:val="en-GB"/>
        </w:rPr>
        <w:t>Schnelle-Kreis</w:t>
      </w:r>
      <w:r w:rsidRPr="00E0707C">
        <w:rPr>
          <w:rFonts w:cs="Arial"/>
          <w:i/>
          <w:vertAlign w:val="superscript"/>
          <w:lang w:val="en-GB"/>
        </w:rPr>
        <w:t>b,c</w:t>
      </w:r>
      <w:proofErr w:type="spellEnd"/>
      <w:r w:rsidRPr="00E0707C">
        <w:rPr>
          <w:rFonts w:cs="Arial"/>
          <w:i/>
          <w:lang w:val="en-GB"/>
        </w:rPr>
        <w:t>, Thorsten </w:t>
      </w:r>
      <w:proofErr w:type="spellStart"/>
      <w:r w:rsidRPr="00E0707C">
        <w:rPr>
          <w:rFonts w:cs="Arial"/>
          <w:i/>
          <w:lang w:val="en-GB"/>
        </w:rPr>
        <w:t>Streibel</w:t>
      </w:r>
      <w:r w:rsidRPr="00E0707C">
        <w:rPr>
          <w:rFonts w:cs="Arial"/>
          <w:i/>
          <w:vertAlign w:val="superscript"/>
          <w:lang w:val="en-GB"/>
        </w:rPr>
        <w:t>a,b,c</w:t>
      </w:r>
      <w:proofErr w:type="spellEnd"/>
      <w:r w:rsidRPr="00E0707C">
        <w:rPr>
          <w:rFonts w:cs="Arial"/>
          <w:i/>
          <w:vertAlign w:val="superscript"/>
          <w:lang w:val="en-GB"/>
        </w:rPr>
        <w:t>,</w:t>
      </w:r>
      <w:r w:rsidRPr="00E0707C">
        <w:rPr>
          <w:rFonts w:cs="Arial"/>
          <w:i/>
          <w:lang w:val="en-GB"/>
        </w:rPr>
        <w:t xml:space="preserve">*, </w:t>
      </w:r>
      <w:proofErr w:type="spellStart"/>
      <w:r w:rsidRPr="00E0707C">
        <w:rPr>
          <w:rFonts w:cs="Arial"/>
          <w:i/>
          <w:lang w:val="en-GB"/>
        </w:rPr>
        <w:t>Jorma</w:t>
      </w:r>
      <w:proofErr w:type="spellEnd"/>
      <w:r w:rsidRPr="00E0707C">
        <w:rPr>
          <w:rFonts w:cs="Arial"/>
          <w:i/>
          <w:lang w:val="en-GB"/>
        </w:rPr>
        <w:t> </w:t>
      </w:r>
      <w:proofErr w:type="spellStart"/>
      <w:r w:rsidRPr="00E0707C">
        <w:rPr>
          <w:rFonts w:cs="Arial"/>
          <w:i/>
          <w:lang w:val="en-GB"/>
        </w:rPr>
        <w:t>Jokiniemi</w:t>
      </w:r>
      <w:r w:rsidRPr="00E0707C">
        <w:rPr>
          <w:rFonts w:cs="Arial"/>
          <w:i/>
          <w:vertAlign w:val="superscript"/>
          <w:lang w:val="en-GB"/>
        </w:rPr>
        <w:t>c,d</w:t>
      </w:r>
      <w:proofErr w:type="spellEnd"/>
      <w:r w:rsidRPr="00E0707C">
        <w:rPr>
          <w:rFonts w:cs="Arial"/>
          <w:i/>
          <w:lang w:val="en-GB"/>
        </w:rPr>
        <w:t>, Ralf </w:t>
      </w:r>
      <w:proofErr w:type="spellStart"/>
      <w:r w:rsidRPr="00E0707C">
        <w:rPr>
          <w:rFonts w:cs="Arial"/>
          <w:i/>
          <w:lang w:val="en-GB"/>
        </w:rPr>
        <w:t>Zimmermann</w:t>
      </w:r>
      <w:r w:rsidRPr="00E0707C">
        <w:rPr>
          <w:rFonts w:cs="Arial"/>
          <w:i/>
          <w:vertAlign w:val="superscript"/>
          <w:lang w:val="en-GB"/>
        </w:rPr>
        <w:t>a,b,c</w:t>
      </w:r>
      <w:proofErr w:type="spellEnd"/>
    </w:p>
    <w:p w:rsidR="00980CEB" w:rsidRPr="00E0707C" w:rsidRDefault="00980CEB" w:rsidP="00980CEB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131413"/>
          <w:sz w:val="18"/>
          <w:szCs w:val="18"/>
          <w:lang w:val="en-GB"/>
        </w:rPr>
      </w:pPr>
      <w:proofErr w:type="spellStart"/>
      <w:r w:rsidRPr="00E0707C">
        <w:rPr>
          <w:rFonts w:cs="Arial"/>
          <w:sz w:val="18"/>
          <w:szCs w:val="18"/>
          <w:vertAlign w:val="superscript"/>
          <w:lang w:val="en-GB"/>
        </w:rPr>
        <w:t>a</w:t>
      </w:r>
      <w:r w:rsidRPr="00E0707C">
        <w:rPr>
          <w:rFonts w:cs="Arial"/>
          <w:color w:val="131413"/>
          <w:sz w:val="18"/>
          <w:szCs w:val="18"/>
          <w:lang w:val="en-GB"/>
        </w:rPr>
        <w:t>Joint</w:t>
      </w:r>
      <w:proofErr w:type="spellEnd"/>
      <w:r w:rsidRPr="00E0707C">
        <w:rPr>
          <w:rFonts w:cs="Arial"/>
          <w:color w:val="131413"/>
          <w:sz w:val="18"/>
          <w:szCs w:val="18"/>
          <w:lang w:val="en-GB"/>
        </w:rPr>
        <w:t xml:space="preserve"> Mass Spectrometry Centre, Chair of Analytical Chemistry, Institute of Chemistry, University of Rostock, 18059 Rostock, Germany</w:t>
      </w:r>
    </w:p>
    <w:p w:rsidR="00980CEB" w:rsidRPr="00E0707C" w:rsidRDefault="00980CEB" w:rsidP="00980CEB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131413"/>
          <w:sz w:val="18"/>
          <w:szCs w:val="18"/>
          <w:lang w:val="en-GB"/>
        </w:rPr>
      </w:pPr>
      <w:proofErr w:type="spellStart"/>
      <w:r w:rsidRPr="00E0707C">
        <w:rPr>
          <w:rFonts w:cs="Arial"/>
          <w:sz w:val="18"/>
          <w:szCs w:val="18"/>
          <w:vertAlign w:val="superscript"/>
          <w:lang w:val="en-GB"/>
        </w:rPr>
        <w:t>b</w:t>
      </w:r>
      <w:r w:rsidRPr="00E0707C">
        <w:rPr>
          <w:rFonts w:cs="Arial"/>
          <w:color w:val="131413"/>
          <w:sz w:val="18"/>
          <w:szCs w:val="18"/>
          <w:lang w:val="en-GB"/>
        </w:rPr>
        <w:t>Joint</w:t>
      </w:r>
      <w:proofErr w:type="spellEnd"/>
      <w:r w:rsidRPr="00E0707C">
        <w:rPr>
          <w:rFonts w:cs="Arial"/>
          <w:color w:val="131413"/>
          <w:sz w:val="18"/>
          <w:szCs w:val="18"/>
          <w:lang w:val="en-GB"/>
        </w:rPr>
        <w:t xml:space="preserve"> Mass Spectrometry Centre, Cooperation Group “Comprehensive Molecular Analytics” (CMA), Helmholtz </w:t>
      </w:r>
      <w:proofErr w:type="spellStart"/>
      <w:r w:rsidRPr="00E0707C">
        <w:rPr>
          <w:rFonts w:cs="Arial"/>
          <w:color w:val="131413"/>
          <w:sz w:val="18"/>
          <w:szCs w:val="18"/>
          <w:lang w:val="en-GB"/>
        </w:rPr>
        <w:t>Zentrum</w:t>
      </w:r>
      <w:proofErr w:type="spellEnd"/>
      <w:r w:rsidRPr="00E0707C">
        <w:rPr>
          <w:rFonts w:cs="Arial"/>
          <w:color w:val="131413"/>
          <w:sz w:val="18"/>
          <w:szCs w:val="18"/>
          <w:lang w:val="en-GB"/>
        </w:rPr>
        <w:t xml:space="preserve"> </w:t>
      </w:r>
      <w:proofErr w:type="spellStart"/>
      <w:r w:rsidRPr="00E0707C">
        <w:rPr>
          <w:rFonts w:cs="Arial"/>
          <w:color w:val="131413"/>
          <w:sz w:val="18"/>
          <w:szCs w:val="18"/>
          <w:lang w:val="en-GB"/>
        </w:rPr>
        <w:t>München</w:t>
      </w:r>
      <w:proofErr w:type="spellEnd"/>
      <w:r w:rsidRPr="00E0707C">
        <w:rPr>
          <w:rFonts w:cs="Arial"/>
          <w:color w:val="131413"/>
          <w:sz w:val="18"/>
          <w:szCs w:val="18"/>
          <w:lang w:val="en-GB"/>
        </w:rPr>
        <w:t xml:space="preserve"> – German Research Centre for Environmental Health, 85764 </w:t>
      </w:r>
      <w:proofErr w:type="spellStart"/>
      <w:r w:rsidRPr="00E0707C">
        <w:rPr>
          <w:rFonts w:cs="Arial"/>
          <w:color w:val="131413"/>
          <w:sz w:val="18"/>
          <w:szCs w:val="18"/>
          <w:lang w:val="en-GB"/>
        </w:rPr>
        <w:t>Neuherberg</w:t>
      </w:r>
      <w:proofErr w:type="spellEnd"/>
      <w:r w:rsidRPr="00E0707C">
        <w:rPr>
          <w:rFonts w:cs="Arial"/>
          <w:color w:val="131413"/>
          <w:sz w:val="18"/>
          <w:szCs w:val="18"/>
          <w:lang w:val="en-GB"/>
        </w:rPr>
        <w:t>, Germany</w:t>
      </w:r>
    </w:p>
    <w:p w:rsidR="00980CEB" w:rsidRPr="00E0707C" w:rsidRDefault="00980CEB" w:rsidP="00980CEB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18"/>
          <w:szCs w:val="18"/>
          <w:lang w:val="en-GB"/>
        </w:rPr>
      </w:pPr>
      <w:proofErr w:type="spellStart"/>
      <w:proofErr w:type="gramStart"/>
      <w:r w:rsidRPr="00E0707C">
        <w:rPr>
          <w:rFonts w:cs="Arial"/>
          <w:sz w:val="18"/>
          <w:szCs w:val="18"/>
          <w:vertAlign w:val="superscript"/>
          <w:lang w:val="en-GB"/>
        </w:rPr>
        <w:t>c</w:t>
      </w:r>
      <w:r w:rsidRPr="00E0707C">
        <w:rPr>
          <w:rFonts w:cs="Arial"/>
          <w:sz w:val="18"/>
          <w:szCs w:val="18"/>
          <w:lang w:val="en-GB"/>
        </w:rPr>
        <w:t>Helmholtz</w:t>
      </w:r>
      <w:proofErr w:type="spellEnd"/>
      <w:proofErr w:type="gramEnd"/>
      <w:r w:rsidRPr="00E0707C">
        <w:rPr>
          <w:rFonts w:cs="Arial"/>
          <w:sz w:val="18"/>
          <w:szCs w:val="18"/>
          <w:lang w:val="en-GB"/>
        </w:rPr>
        <w:t xml:space="preserve"> Virtual Institute of Complex Molecular Systems in Environmental Health (HICE), Germany</w:t>
      </w:r>
    </w:p>
    <w:p w:rsidR="00980CEB" w:rsidRPr="00E0707C" w:rsidRDefault="00980CEB" w:rsidP="00980CEB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18"/>
          <w:szCs w:val="18"/>
          <w:lang w:val="en-GB"/>
        </w:rPr>
      </w:pPr>
      <w:proofErr w:type="spellStart"/>
      <w:r w:rsidRPr="00E0707C">
        <w:rPr>
          <w:rFonts w:cs="Arial"/>
          <w:sz w:val="18"/>
          <w:szCs w:val="18"/>
          <w:vertAlign w:val="superscript"/>
          <w:lang w:val="en-GB"/>
        </w:rPr>
        <w:t>d</w:t>
      </w:r>
      <w:r w:rsidRPr="00E0707C">
        <w:rPr>
          <w:rFonts w:cs="Arial"/>
          <w:sz w:val="18"/>
          <w:szCs w:val="18"/>
          <w:lang w:val="en-GB"/>
        </w:rPr>
        <w:t>Fine</w:t>
      </w:r>
      <w:proofErr w:type="spellEnd"/>
      <w:r w:rsidRPr="00E0707C">
        <w:rPr>
          <w:rFonts w:cs="Arial"/>
          <w:sz w:val="18"/>
          <w:szCs w:val="18"/>
          <w:lang w:val="en-GB"/>
        </w:rPr>
        <w:t xml:space="preserve"> Particle and Aerosol Technology Laboratory, Department of Environmental and Biological Sciences, University of Eastern Finland, FIN-70211 Kuopio, Finland</w:t>
      </w:r>
    </w:p>
    <w:p w:rsidR="002C3502" w:rsidRPr="00E0707C" w:rsidRDefault="002C3502" w:rsidP="002C3502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18"/>
          <w:szCs w:val="18"/>
          <w:lang w:val="en-GB"/>
        </w:rPr>
      </w:pPr>
      <w:proofErr w:type="spellStart"/>
      <w:r w:rsidRPr="00E0707C">
        <w:rPr>
          <w:rFonts w:cs="XbhhwjAdvTT3713a231"/>
          <w:color w:val="131413"/>
          <w:sz w:val="18"/>
          <w:szCs w:val="18"/>
          <w:vertAlign w:val="superscript"/>
          <w:lang w:val="en-GB"/>
        </w:rPr>
        <w:t>e</w:t>
      </w:r>
      <w:r w:rsidRPr="00E0707C">
        <w:rPr>
          <w:rFonts w:cs="XbhhwjAdvTT3713a231"/>
          <w:color w:val="131413"/>
          <w:sz w:val="18"/>
          <w:szCs w:val="18"/>
          <w:lang w:val="en-GB"/>
        </w:rPr>
        <w:t>Research</w:t>
      </w:r>
      <w:proofErr w:type="spellEnd"/>
      <w:r w:rsidRPr="00E0707C">
        <w:rPr>
          <w:rFonts w:cs="XbhhwjAdvTT3713a231"/>
          <w:color w:val="131413"/>
          <w:sz w:val="18"/>
          <w:szCs w:val="18"/>
          <w:lang w:val="en-GB"/>
        </w:rPr>
        <w:t xml:space="preserve"> Unit Analytical </w:t>
      </w:r>
      <w:proofErr w:type="spellStart"/>
      <w:r w:rsidRPr="00E0707C">
        <w:rPr>
          <w:rFonts w:cs="XbhhwjAdvTT3713a231"/>
          <w:color w:val="131413"/>
          <w:sz w:val="18"/>
          <w:szCs w:val="18"/>
          <w:lang w:val="en-GB"/>
        </w:rPr>
        <w:t>BioGeochemistry</w:t>
      </w:r>
      <w:proofErr w:type="spellEnd"/>
      <w:r w:rsidRPr="00E0707C">
        <w:rPr>
          <w:rFonts w:cs="XbhhwjAdvTT3713a231"/>
          <w:color w:val="131413"/>
          <w:sz w:val="18"/>
          <w:szCs w:val="18"/>
          <w:lang w:val="en-GB"/>
        </w:rPr>
        <w:t xml:space="preserve">, Helmholtz </w:t>
      </w:r>
      <w:proofErr w:type="spellStart"/>
      <w:r w:rsidRPr="00E0707C">
        <w:rPr>
          <w:rFonts w:cs="XbhhwjAdvTT3713a231"/>
          <w:color w:val="131413"/>
          <w:sz w:val="18"/>
          <w:szCs w:val="18"/>
          <w:lang w:val="en-GB"/>
        </w:rPr>
        <w:t>Zentrum</w:t>
      </w:r>
      <w:proofErr w:type="spellEnd"/>
      <w:r w:rsidRPr="00E0707C">
        <w:rPr>
          <w:rFonts w:cs="XbhhwjAdvTT3713a231"/>
          <w:color w:val="131413"/>
          <w:sz w:val="18"/>
          <w:szCs w:val="18"/>
          <w:lang w:val="en-GB"/>
        </w:rPr>
        <w:t xml:space="preserve"> </w:t>
      </w:r>
      <w:proofErr w:type="spellStart"/>
      <w:r w:rsidRPr="00E0707C">
        <w:rPr>
          <w:rFonts w:cs="XbhhwjAdvTT3713a231"/>
          <w:color w:val="131413"/>
          <w:sz w:val="18"/>
          <w:szCs w:val="18"/>
          <w:lang w:val="en-GB"/>
        </w:rPr>
        <w:t>München</w:t>
      </w:r>
      <w:proofErr w:type="spellEnd"/>
      <w:r w:rsidR="00F3450F" w:rsidRPr="00E0707C">
        <w:rPr>
          <w:rFonts w:cs="XbhhwjAdvTT3713a231"/>
          <w:color w:val="131413"/>
          <w:sz w:val="18"/>
          <w:szCs w:val="18"/>
          <w:lang w:val="en-GB"/>
        </w:rPr>
        <w:t> </w:t>
      </w:r>
      <w:r w:rsidR="00F3450F" w:rsidRPr="00E0707C">
        <w:rPr>
          <w:rFonts w:cs="Arial"/>
          <w:color w:val="131413"/>
          <w:sz w:val="18"/>
          <w:szCs w:val="18"/>
          <w:lang w:val="en-GB"/>
        </w:rPr>
        <w:t>– </w:t>
      </w:r>
      <w:r w:rsidRPr="00E0707C">
        <w:rPr>
          <w:rFonts w:cs="Arial"/>
          <w:color w:val="131413"/>
          <w:sz w:val="18"/>
          <w:szCs w:val="18"/>
          <w:lang w:val="en-GB"/>
        </w:rPr>
        <w:t>German Research Centre for Environmental Health</w:t>
      </w:r>
      <w:r w:rsidRPr="00E0707C">
        <w:rPr>
          <w:rFonts w:cs="XbhhwjAdvTT3713a231"/>
          <w:color w:val="131413"/>
          <w:sz w:val="18"/>
          <w:szCs w:val="18"/>
          <w:lang w:val="en-GB"/>
        </w:rPr>
        <w:t xml:space="preserve">, </w:t>
      </w:r>
      <w:r w:rsidRPr="00E0707C">
        <w:rPr>
          <w:rFonts w:cs="Arial"/>
          <w:color w:val="131413"/>
          <w:sz w:val="18"/>
          <w:szCs w:val="18"/>
          <w:lang w:val="en-GB"/>
        </w:rPr>
        <w:t xml:space="preserve">85764 </w:t>
      </w:r>
      <w:proofErr w:type="spellStart"/>
      <w:r w:rsidRPr="00E0707C">
        <w:rPr>
          <w:rFonts w:cs="XbhhwjAdvTT3713a231"/>
          <w:color w:val="131413"/>
          <w:sz w:val="18"/>
          <w:szCs w:val="18"/>
          <w:lang w:val="en-GB"/>
        </w:rPr>
        <w:t>Neuherberg</w:t>
      </w:r>
      <w:proofErr w:type="spellEnd"/>
      <w:r w:rsidRPr="00E0707C">
        <w:rPr>
          <w:rFonts w:cs="XbhhwjAdvTT3713a231"/>
          <w:color w:val="131413"/>
          <w:sz w:val="18"/>
          <w:szCs w:val="18"/>
          <w:lang w:val="en-GB"/>
        </w:rPr>
        <w:t>, Germany</w:t>
      </w:r>
    </w:p>
    <w:p w:rsidR="00980CEB" w:rsidRPr="00E0707C" w:rsidRDefault="00980CEB" w:rsidP="00980CEB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131413"/>
          <w:sz w:val="18"/>
          <w:szCs w:val="18"/>
          <w:lang w:val="en-GB"/>
        </w:rPr>
      </w:pPr>
    </w:p>
    <w:p w:rsidR="00980CEB" w:rsidRPr="00E0707C" w:rsidRDefault="00980CEB" w:rsidP="00980CEB">
      <w:pPr>
        <w:spacing w:after="0" w:line="360" w:lineRule="auto"/>
        <w:ind w:left="91" w:hanging="91"/>
        <w:jc w:val="both"/>
        <w:rPr>
          <w:rFonts w:eastAsia="Calibri" w:cs="Arial"/>
          <w:sz w:val="18"/>
          <w:szCs w:val="18"/>
          <w:lang w:val="en-GB"/>
        </w:rPr>
      </w:pPr>
      <w:r w:rsidRPr="00E0707C">
        <w:rPr>
          <w:rFonts w:eastAsia="Calibri" w:cs="Arial"/>
          <w:sz w:val="18"/>
          <w:szCs w:val="18"/>
          <w:lang w:val="en-GB"/>
        </w:rPr>
        <w:t>*corresponding author</w:t>
      </w:r>
    </w:p>
    <w:p w:rsidR="00980CEB" w:rsidRPr="00E0707C" w:rsidRDefault="00980CEB" w:rsidP="001725EB">
      <w:pPr>
        <w:spacing w:afterLines="120" w:line="360" w:lineRule="auto"/>
        <w:ind w:left="90" w:hanging="90"/>
        <w:jc w:val="both"/>
        <w:rPr>
          <w:rFonts w:eastAsia="Calibri" w:cs="Arial"/>
          <w:sz w:val="18"/>
          <w:szCs w:val="18"/>
          <w:lang w:val="en-GB"/>
        </w:rPr>
      </w:pPr>
      <w:proofErr w:type="gramStart"/>
      <w:r w:rsidRPr="00E0707C">
        <w:rPr>
          <w:rFonts w:eastAsia="Calibri" w:cs="Arial"/>
          <w:sz w:val="18"/>
          <w:szCs w:val="18"/>
          <w:lang w:val="en-GB"/>
        </w:rPr>
        <w:t>email</w:t>
      </w:r>
      <w:proofErr w:type="gramEnd"/>
      <w:r w:rsidRPr="00E0707C">
        <w:rPr>
          <w:rFonts w:eastAsia="Calibri" w:cs="Arial"/>
          <w:sz w:val="18"/>
          <w:szCs w:val="18"/>
          <w:lang w:val="en-GB"/>
        </w:rPr>
        <w:t>: thorsten.streibel@uni-rostock.de</w:t>
      </w:r>
    </w:p>
    <w:p w:rsidR="00980CEB" w:rsidRPr="00E0707C" w:rsidRDefault="00980CEB" w:rsidP="001725EB">
      <w:pPr>
        <w:spacing w:afterLines="120" w:line="360" w:lineRule="auto"/>
        <w:ind w:left="705" w:hanging="705"/>
        <w:rPr>
          <w:rFonts w:cs="Arial"/>
          <w:lang w:val="en-GB"/>
        </w:rPr>
      </w:pPr>
      <w:r w:rsidRPr="00E0707C">
        <w:rPr>
          <w:rFonts w:cs="Arial"/>
          <w:b/>
          <w:lang w:val="en-GB"/>
        </w:rPr>
        <w:t>Keywords:</w:t>
      </w:r>
      <w:r w:rsidRPr="00E0707C">
        <w:rPr>
          <w:rFonts w:cs="Arial"/>
          <w:lang w:val="en-GB"/>
        </w:rPr>
        <w:t xml:space="preserve"> photoionization, PAH, </w:t>
      </w:r>
      <w:r w:rsidR="004006E3" w:rsidRPr="00E0707C">
        <w:rPr>
          <w:rFonts w:cs="Arial"/>
          <w:lang w:val="en-GB"/>
        </w:rPr>
        <w:t>levoglucosan</w:t>
      </w:r>
      <w:r w:rsidRPr="00E0707C">
        <w:rPr>
          <w:rFonts w:cs="Arial"/>
          <w:lang w:val="en-GB"/>
        </w:rPr>
        <w:t>, EC/OC, air staging</w:t>
      </w:r>
    </w:p>
    <w:p w:rsidR="00D603F6" w:rsidRPr="00E0707C" w:rsidRDefault="00D603F6">
      <w:pPr>
        <w:rPr>
          <w:lang w:val="en-GB"/>
        </w:rPr>
      </w:pPr>
    </w:p>
    <w:p w:rsidR="00980CEB" w:rsidRPr="00E0707C" w:rsidRDefault="00860E0D">
      <w:pPr>
        <w:rPr>
          <w:lang w:val="en-GB"/>
        </w:rPr>
      </w:pPr>
      <w:r w:rsidRPr="00E0707C">
        <w:rPr>
          <w:lang w:val="en-GB"/>
        </w:rPr>
        <w:t>Content:</w:t>
      </w:r>
    </w:p>
    <w:p w:rsidR="00860E0D" w:rsidRPr="00E0707C" w:rsidRDefault="00860E0D">
      <w:pPr>
        <w:rPr>
          <w:lang w:val="en-GB"/>
        </w:rPr>
      </w:pPr>
      <w:r w:rsidRPr="00E0707C">
        <w:rPr>
          <w:lang w:val="en-GB"/>
        </w:rPr>
        <w:t>1. ICP-OES method</w:t>
      </w:r>
    </w:p>
    <w:p w:rsidR="00860E0D" w:rsidRPr="00E0707C" w:rsidRDefault="00860E0D">
      <w:pPr>
        <w:rPr>
          <w:lang w:val="en-GB"/>
        </w:rPr>
      </w:pPr>
      <w:r w:rsidRPr="00E0707C">
        <w:rPr>
          <w:lang w:val="en-GB"/>
        </w:rPr>
        <w:t xml:space="preserve">2. Volcano plots from ANOVA with </w:t>
      </w:r>
      <w:proofErr w:type="spellStart"/>
      <w:r w:rsidRPr="00E0707C">
        <w:rPr>
          <w:lang w:val="en-GB"/>
        </w:rPr>
        <w:t>Bonferroni</w:t>
      </w:r>
      <w:proofErr w:type="spellEnd"/>
      <w:r w:rsidRPr="00E0707C">
        <w:rPr>
          <w:lang w:val="en-GB"/>
        </w:rPr>
        <w:t xml:space="preserve"> correction</w:t>
      </w:r>
    </w:p>
    <w:p w:rsidR="00B82809" w:rsidRPr="00E0707C" w:rsidRDefault="00B82809">
      <w:pPr>
        <w:rPr>
          <w:lang w:val="en-GB"/>
        </w:rPr>
      </w:pPr>
      <w:r w:rsidRPr="00E0707C">
        <w:rPr>
          <w:lang w:val="en-GB"/>
        </w:rPr>
        <w:t>3. Minimum and maximum EFs</w:t>
      </w:r>
    </w:p>
    <w:p w:rsidR="007F5A4F" w:rsidRPr="00E0707C" w:rsidRDefault="00B82809">
      <w:pPr>
        <w:rPr>
          <w:lang w:val="en-GB"/>
        </w:rPr>
      </w:pPr>
      <w:r w:rsidRPr="00E0707C">
        <w:rPr>
          <w:lang w:val="en-GB"/>
        </w:rPr>
        <w:t>4</w:t>
      </w:r>
      <w:r w:rsidR="007F5A4F" w:rsidRPr="00E0707C">
        <w:rPr>
          <w:lang w:val="en-GB"/>
        </w:rPr>
        <w:t>. REMPI mass spectra of OC3</w:t>
      </w:r>
    </w:p>
    <w:p w:rsidR="001343DD" w:rsidRPr="00E0707C" w:rsidRDefault="001343DD">
      <w:pPr>
        <w:rPr>
          <w:lang w:val="en-GB"/>
        </w:rPr>
      </w:pPr>
      <w:r w:rsidRPr="00E0707C">
        <w:rPr>
          <w:lang w:val="en-GB"/>
        </w:rPr>
        <w:t>5. REMPI mass spectra of OC1 and OC2 with logarithmic y-scale</w:t>
      </w:r>
    </w:p>
    <w:p w:rsidR="00980CEB" w:rsidRPr="00E0707C" w:rsidRDefault="00980CEB">
      <w:pPr>
        <w:rPr>
          <w:lang w:val="en-GB"/>
        </w:rPr>
      </w:pPr>
      <w:r w:rsidRPr="00E0707C">
        <w:rPr>
          <w:lang w:val="en-GB"/>
        </w:rPr>
        <w:br w:type="page"/>
      </w:r>
    </w:p>
    <w:p w:rsidR="00980CEB" w:rsidRPr="00E0707C" w:rsidRDefault="00980CEB" w:rsidP="00980CEB">
      <w:pPr>
        <w:jc w:val="both"/>
        <w:rPr>
          <w:b/>
          <w:lang w:val="en-GB"/>
        </w:rPr>
      </w:pPr>
      <w:r w:rsidRPr="00E0707C">
        <w:rPr>
          <w:b/>
          <w:lang w:val="en-GB"/>
        </w:rPr>
        <w:lastRenderedPageBreak/>
        <w:t>1. Inductively-coupled plasma optical emission spectroscopy (ICP-OES)</w:t>
      </w:r>
    </w:p>
    <w:p w:rsidR="00980CEB" w:rsidRPr="00E0707C" w:rsidRDefault="00980CEB" w:rsidP="00980CEB">
      <w:pPr>
        <w:jc w:val="both"/>
        <w:rPr>
          <w:b/>
          <w:i/>
          <w:lang w:val="en-GB"/>
        </w:rPr>
      </w:pPr>
      <w:r w:rsidRPr="00E0707C">
        <w:rPr>
          <w:b/>
          <w:i/>
          <w:lang w:val="en-GB"/>
        </w:rPr>
        <w:t>1.1. Pressure digestion</w:t>
      </w:r>
    </w:p>
    <w:p w:rsidR="00980CEB" w:rsidRPr="00E0707C" w:rsidRDefault="00980CEB" w:rsidP="00980CEB">
      <w:pPr>
        <w:jc w:val="both"/>
        <w:rPr>
          <w:lang w:val="en-GB"/>
        </w:rPr>
      </w:pPr>
      <w:r w:rsidRPr="00E0707C">
        <w:rPr>
          <w:lang w:val="en-GB"/>
        </w:rPr>
        <w:t>Samples were exactly weighed into quartz vessels and 6</w:t>
      </w:r>
      <w:r w:rsidR="00D66126" w:rsidRPr="00E0707C">
        <w:rPr>
          <w:lang w:val="en-GB"/>
        </w:rPr>
        <w:t> </w:t>
      </w:r>
      <w:proofErr w:type="spellStart"/>
      <w:r w:rsidRPr="00E0707C">
        <w:rPr>
          <w:lang w:val="en-GB"/>
        </w:rPr>
        <w:t>mL</w:t>
      </w:r>
      <w:proofErr w:type="spellEnd"/>
      <w:r w:rsidRPr="00E0707C">
        <w:rPr>
          <w:lang w:val="en-GB"/>
        </w:rPr>
        <w:t xml:space="preserve"> HNO</w:t>
      </w:r>
      <w:r w:rsidRPr="00E0707C">
        <w:rPr>
          <w:vertAlign w:val="subscript"/>
          <w:lang w:val="en-GB"/>
        </w:rPr>
        <w:t>3</w:t>
      </w:r>
      <w:r w:rsidRPr="00E0707C">
        <w:rPr>
          <w:lang w:val="en-GB"/>
        </w:rPr>
        <w:t xml:space="preserve">, </w:t>
      </w:r>
      <w:proofErr w:type="spellStart"/>
      <w:r w:rsidRPr="00E0707C">
        <w:rPr>
          <w:lang w:val="en-GB"/>
        </w:rPr>
        <w:t>suprapure</w:t>
      </w:r>
      <w:proofErr w:type="spellEnd"/>
      <w:r w:rsidRPr="00E0707C">
        <w:rPr>
          <w:lang w:val="en-GB"/>
        </w:rPr>
        <w:t xml:space="preserve">, </w:t>
      </w:r>
      <w:proofErr w:type="spellStart"/>
      <w:r w:rsidRPr="00E0707C">
        <w:rPr>
          <w:lang w:val="en-GB"/>
        </w:rPr>
        <w:t>subboiling</w:t>
      </w:r>
      <w:proofErr w:type="spellEnd"/>
      <w:r w:rsidRPr="00E0707C">
        <w:rPr>
          <w:lang w:val="en-GB"/>
        </w:rPr>
        <w:t xml:space="preserve"> distilled (Merck, Darmstadt), was added. The vessels were closed and introduced into a microwave digestion system (</w:t>
      </w:r>
      <w:proofErr w:type="spellStart"/>
      <w:r w:rsidRPr="00E0707C">
        <w:rPr>
          <w:lang w:val="en-GB"/>
        </w:rPr>
        <w:t>Paar</w:t>
      </w:r>
      <w:proofErr w:type="spellEnd"/>
      <w:r w:rsidRPr="00E0707C">
        <w:rPr>
          <w:lang w:val="en-GB"/>
        </w:rPr>
        <w:t xml:space="preserve">). </w:t>
      </w:r>
    </w:p>
    <w:p w:rsidR="00980CEB" w:rsidRPr="00E0707C" w:rsidRDefault="00980CEB" w:rsidP="00980CEB">
      <w:pPr>
        <w:jc w:val="both"/>
        <w:rPr>
          <w:lang w:val="en-GB"/>
        </w:rPr>
      </w:pPr>
      <w:r w:rsidRPr="00E0707C">
        <w:rPr>
          <w:lang w:val="en-GB"/>
        </w:rPr>
        <w:t>Table S1 Digestion programme</w:t>
      </w:r>
    </w:p>
    <w:tbl>
      <w:tblPr>
        <w:tblW w:w="0" w:type="auto"/>
        <w:tblLayout w:type="fixed"/>
        <w:tblLook w:val="04A0"/>
      </w:tblPr>
      <w:tblGrid>
        <w:gridCol w:w="1417"/>
        <w:gridCol w:w="1417"/>
        <w:gridCol w:w="1417"/>
      </w:tblGrid>
      <w:tr w:rsidR="00980CEB" w:rsidRPr="00E0707C" w:rsidTr="00980CEB"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CEB" w:rsidRPr="00E0707C" w:rsidRDefault="00980CEB" w:rsidP="00980CEB">
            <w:pPr>
              <w:jc w:val="center"/>
              <w:rPr>
                <w:lang w:val="en-GB"/>
              </w:rPr>
            </w:pPr>
            <w:r w:rsidRPr="00E0707C">
              <w:rPr>
                <w:lang w:val="en-GB"/>
              </w:rPr>
              <w:t>Power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CEB" w:rsidRPr="00E0707C" w:rsidRDefault="00980CEB" w:rsidP="00980CEB">
            <w:pPr>
              <w:jc w:val="center"/>
              <w:rPr>
                <w:lang w:val="en-GB"/>
              </w:rPr>
            </w:pPr>
            <w:r w:rsidRPr="00E0707C">
              <w:rPr>
                <w:lang w:val="en-GB"/>
              </w:rPr>
              <w:t>Ramp [min]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CEB" w:rsidRPr="00E0707C" w:rsidRDefault="00980CEB" w:rsidP="00980CEB">
            <w:pPr>
              <w:jc w:val="center"/>
              <w:rPr>
                <w:lang w:val="en-GB"/>
              </w:rPr>
            </w:pPr>
            <w:r w:rsidRPr="00E0707C">
              <w:rPr>
                <w:lang w:val="en-GB"/>
              </w:rPr>
              <w:t>Hold [min]</w:t>
            </w:r>
          </w:p>
        </w:tc>
      </w:tr>
      <w:tr w:rsidR="00980CEB" w:rsidRPr="00E0707C" w:rsidTr="00980CEB"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0CEB" w:rsidRPr="00E0707C" w:rsidRDefault="00980CEB" w:rsidP="00980CEB">
            <w:pPr>
              <w:jc w:val="center"/>
              <w:rPr>
                <w:lang w:val="en-GB"/>
              </w:rPr>
            </w:pPr>
            <w:r w:rsidRPr="00E0707C">
              <w:rPr>
                <w:lang w:val="en-GB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0CEB" w:rsidRPr="00E0707C" w:rsidRDefault="00980CEB" w:rsidP="00980CEB">
            <w:pPr>
              <w:jc w:val="center"/>
              <w:rPr>
                <w:lang w:val="en-GB"/>
              </w:rPr>
            </w:pPr>
            <w:r w:rsidRPr="00E0707C">
              <w:rPr>
                <w:lang w:val="en-GB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0CEB" w:rsidRPr="00E0707C" w:rsidRDefault="00980CEB" w:rsidP="00D66126">
            <w:pPr>
              <w:jc w:val="center"/>
              <w:rPr>
                <w:lang w:val="en-GB"/>
              </w:rPr>
            </w:pPr>
            <w:r w:rsidRPr="00E0707C">
              <w:rPr>
                <w:lang w:val="en-GB"/>
              </w:rPr>
              <w:t>5</w:t>
            </w:r>
          </w:p>
        </w:tc>
      </w:tr>
      <w:tr w:rsidR="00980CEB" w:rsidRPr="00E0707C" w:rsidTr="00980CEB">
        <w:tc>
          <w:tcPr>
            <w:tcW w:w="1417" w:type="dxa"/>
            <w:shd w:val="clear" w:color="auto" w:fill="auto"/>
            <w:vAlign w:val="center"/>
          </w:tcPr>
          <w:p w:rsidR="00980CEB" w:rsidRPr="00E0707C" w:rsidRDefault="00980CEB" w:rsidP="00980CEB">
            <w:pPr>
              <w:jc w:val="center"/>
              <w:rPr>
                <w:lang w:val="en-GB"/>
              </w:rPr>
            </w:pPr>
            <w:r w:rsidRPr="00E0707C">
              <w:rPr>
                <w:lang w:val="en-GB"/>
              </w:rPr>
              <w:t>1300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0CEB" w:rsidRPr="00E0707C" w:rsidRDefault="00980CEB" w:rsidP="00D66126">
            <w:pPr>
              <w:jc w:val="center"/>
              <w:rPr>
                <w:lang w:val="en-GB"/>
              </w:rPr>
            </w:pPr>
            <w:r w:rsidRPr="00E0707C">
              <w:rPr>
                <w:lang w:val="en-GB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0CEB" w:rsidRPr="00E0707C" w:rsidRDefault="00980CEB" w:rsidP="00D66126">
            <w:pPr>
              <w:jc w:val="center"/>
              <w:rPr>
                <w:lang w:val="en-GB"/>
              </w:rPr>
            </w:pPr>
            <w:r w:rsidRPr="00E0707C">
              <w:rPr>
                <w:lang w:val="en-GB"/>
              </w:rPr>
              <w:t>20</w:t>
            </w:r>
          </w:p>
        </w:tc>
      </w:tr>
      <w:tr w:rsidR="00980CEB" w:rsidRPr="00E0707C" w:rsidTr="00980CEB">
        <w:tc>
          <w:tcPr>
            <w:tcW w:w="1417" w:type="dxa"/>
            <w:shd w:val="clear" w:color="auto" w:fill="auto"/>
            <w:vAlign w:val="center"/>
          </w:tcPr>
          <w:p w:rsidR="00980CEB" w:rsidRPr="00E0707C" w:rsidRDefault="00980CEB" w:rsidP="00980CEB">
            <w:pPr>
              <w:jc w:val="center"/>
              <w:rPr>
                <w:lang w:val="en-GB"/>
              </w:rPr>
            </w:pPr>
            <w:r w:rsidRPr="00E0707C">
              <w:rPr>
                <w:lang w:val="en-GB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0CEB" w:rsidRPr="00E0707C" w:rsidRDefault="00980CEB" w:rsidP="00980CEB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80CEB" w:rsidRPr="00E0707C" w:rsidRDefault="00980CEB" w:rsidP="00D66126">
            <w:pPr>
              <w:jc w:val="center"/>
              <w:rPr>
                <w:lang w:val="en-GB"/>
              </w:rPr>
            </w:pPr>
            <w:r w:rsidRPr="00E0707C">
              <w:rPr>
                <w:lang w:val="en-GB"/>
              </w:rPr>
              <w:t>15</w:t>
            </w:r>
          </w:p>
        </w:tc>
      </w:tr>
    </w:tbl>
    <w:p w:rsidR="00980CEB" w:rsidRPr="00E0707C" w:rsidRDefault="00980CEB" w:rsidP="00980CEB">
      <w:pPr>
        <w:jc w:val="both"/>
        <w:rPr>
          <w:lang w:val="en-GB"/>
        </w:rPr>
      </w:pPr>
      <w:r w:rsidRPr="00E0707C">
        <w:rPr>
          <w:lang w:val="en-GB"/>
        </w:rPr>
        <w:t>The resulting clear solutions were filled up exactly to the mark at 30</w:t>
      </w:r>
      <w:r w:rsidR="00D66126" w:rsidRPr="00E0707C">
        <w:rPr>
          <w:lang w:val="en-GB"/>
        </w:rPr>
        <w:t> </w:t>
      </w:r>
      <w:proofErr w:type="spellStart"/>
      <w:r w:rsidRPr="00E0707C">
        <w:rPr>
          <w:lang w:val="en-GB"/>
        </w:rPr>
        <w:t>mL</w:t>
      </w:r>
      <w:proofErr w:type="spellEnd"/>
      <w:r w:rsidRPr="00E0707C">
        <w:rPr>
          <w:lang w:val="en-GB"/>
        </w:rPr>
        <w:t xml:space="preserve"> with </w:t>
      </w:r>
      <w:proofErr w:type="spellStart"/>
      <w:r w:rsidRPr="00E0707C">
        <w:rPr>
          <w:lang w:val="en-GB"/>
        </w:rPr>
        <w:t>Milli</w:t>
      </w:r>
      <w:proofErr w:type="spellEnd"/>
      <w:r w:rsidRPr="00E0707C">
        <w:rPr>
          <w:lang w:val="en-GB"/>
        </w:rPr>
        <w:t>-Q H</w:t>
      </w:r>
      <w:r w:rsidRPr="00E0707C">
        <w:rPr>
          <w:vertAlign w:val="subscript"/>
          <w:lang w:val="en-GB"/>
        </w:rPr>
        <w:t>2</w:t>
      </w:r>
      <w:r w:rsidRPr="00E0707C">
        <w:rPr>
          <w:lang w:val="en-GB"/>
        </w:rPr>
        <w:t>O and were then ready for element determination.</w:t>
      </w:r>
    </w:p>
    <w:p w:rsidR="00980CEB" w:rsidRPr="00E0707C" w:rsidRDefault="00980CEB" w:rsidP="00980CEB">
      <w:pPr>
        <w:jc w:val="both"/>
        <w:rPr>
          <w:b/>
          <w:bCs/>
          <w:lang w:val="en-GB"/>
        </w:rPr>
      </w:pPr>
    </w:p>
    <w:p w:rsidR="00980CEB" w:rsidRPr="00E0707C" w:rsidRDefault="00157E56" w:rsidP="00980CEB">
      <w:pPr>
        <w:jc w:val="both"/>
        <w:rPr>
          <w:b/>
          <w:bCs/>
          <w:i/>
          <w:lang w:val="en-GB"/>
        </w:rPr>
      </w:pPr>
      <w:r w:rsidRPr="00E0707C">
        <w:rPr>
          <w:b/>
          <w:bCs/>
          <w:i/>
          <w:lang w:val="en-GB"/>
        </w:rPr>
        <w:t>1.2 Sample analysis: ICP-OES me</w:t>
      </w:r>
      <w:r w:rsidR="00980CEB" w:rsidRPr="00E0707C">
        <w:rPr>
          <w:b/>
          <w:bCs/>
          <w:i/>
          <w:lang w:val="en-GB"/>
        </w:rPr>
        <w:t>asurement</w:t>
      </w:r>
    </w:p>
    <w:p w:rsidR="00980CEB" w:rsidRPr="00E0707C" w:rsidRDefault="00980CEB" w:rsidP="00980CEB">
      <w:pPr>
        <w:jc w:val="both"/>
        <w:rPr>
          <w:b/>
          <w:bCs/>
          <w:lang w:val="en-GB"/>
        </w:rPr>
      </w:pPr>
      <w:r w:rsidRPr="00E0707C">
        <w:rPr>
          <w:bCs/>
          <w:lang w:val="en-GB"/>
        </w:rPr>
        <w:t xml:space="preserve">Elements were analyzed using ICP atomic emission spectrometry (ICP-AES, system </w:t>
      </w:r>
      <w:r w:rsidRPr="00E0707C">
        <w:rPr>
          <w:lang w:val="en-GB"/>
        </w:rPr>
        <w:t>„</w:t>
      </w:r>
      <w:proofErr w:type="spellStart"/>
      <w:r w:rsidRPr="00E0707C">
        <w:rPr>
          <w:lang w:val="en-GB"/>
        </w:rPr>
        <w:t>Spectro</w:t>
      </w:r>
      <w:proofErr w:type="spellEnd"/>
      <w:r w:rsidRPr="00E0707C">
        <w:rPr>
          <w:lang w:val="en-GB"/>
        </w:rPr>
        <w:t xml:space="preserve"> </w:t>
      </w:r>
      <w:proofErr w:type="spellStart"/>
      <w:r w:rsidRPr="00E0707C">
        <w:rPr>
          <w:lang w:val="en-GB"/>
        </w:rPr>
        <w:t>Ciros</w:t>
      </w:r>
      <w:proofErr w:type="spellEnd"/>
      <w:r w:rsidRPr="00E0707C">
        <w:rPr>
          <w:lang w:val="en-GB"/>
        </w:rPr>
        <w:t xml:space="preserve"> Vision</w:t>
      </w:r>
      <w:proofErr w:type="gramStart"/>
      <w:r w:rsidRPr="00E0707C">
        <w:rPr>
          <w:lang w:val="en-GB"/>
        </w:rPr>
        <w:t>“ system</w:t>
      </w:r>
      <w:proofErr w:type="gramEnd"/>
      <w:r w:rsidRPr="00E0707C">
        <w:rPr>
          <w:lang w:val="en-GB"/>
        </w:rPr>
        <w:t xml:space="preserve"> from SPECTRO Analytical Instruments GmbH &amp; Co. KG, Kleve, Germany). Sample introduction was carried out using the peristaltic pump of the instrument, connected to a </w:t>
      </w:r>
      <w:proofErr w:type="spellStart"/>
      <w:r w:rsidRPr="00E0707C">
        <w:rPr>
          <w:lang w:val="en-GB"/>
        </w:rPr>
        <w:t>Seaspray</w:t>
      </w:r>
      <w:proofErr w:type="spellEnd"/>
      <w:r w:rsidRPr="00E0707C">
        <w:rPr>
          <w:lang w:val="en-GB"/>
        </w:rPr>
        <w:t xml:space="preserve"> nebulizer with a </w:t>
      </w:r>
      <w:proofErr w:type="spellStart"/>
      <w:r w:rsidRPr="00E0707C">
        <w:rPr>
          <w:lang w:val="en-GB"/>
        </w:rPr>
        <w:t>cyclon</w:t>
      </w:r>
      <w:proofErr w:type="spellEnd"/>
      <w:r w:rsidRPr="00E0707C">
        <w:rPr>
          <w:lang w:val="en-GB"/>
        </w:rPr>
        <w:t xml:space="preserve"> spray chamber. The measured spectral element lines were Al 167.078 nm, As 189.042 nm, </w:t>
      </w:r>
      <w:proofErr w:type="spellStart"/>
      <w:r w:rsidRPr="00E0707C">
        <w:rPr>
          <w:lang w:val="en-GB"/>
        </w:rPr>
        <w:t>Ba</w:t>
      </w:r>
      <w:proofErr w:type="spellEnd"/>
      <w:r w:rsidRPr="00E0707C">
        <w:rPr>
          <w:lang w:val="en-GB"/>
        </w:rPr>
        <w:t xml:space="preserve"> 455.404 nm, Ca 183.801nm,</w:t>
      </w:r>
      <w:r w:rsidRPr="00E0707C">
        <w:rPr>
          <w:bCs/>
          <w:lang w:val="en-GB"/>
        </w:rPr>
        <w:t xml:space="preserve"> </w:t>
      </w:r>
      <w:proofErr w:type="spellStart"/>
      <w:r w:rsidRPr="00E0707C">
        <w:rPr>
          <w:bCs/>
          <w:lang w:val="en-GB"/>
        </w:rPr>
        <w:t>Cd</w:t>
      </w:r>
      <w:proofErr w:type="spellEnd"/>
      <w:r w:rsidRPr="00E0707C">
        <w:rPr>
          <w:bCs/>
          <w:lang w:val="en-GB"/>
        </w:rPr>
        <w:t xml:space="preserve"> 214.438 nm, Co 228.616 nm, Cr 267.716 nm, Cu 324.754 </w:t>
      </w:r>
      <w:r w:rsidRPr="00E0707C">
        <w:rPr>
          <w:lang w:val="en-GB"/>
        </w:rPr>
        <w:t xml:space="preserve">nm, Fe 259.941 nm, K 766.491 nm, Mg 279.079 nm, </w:t>
      </w:r>
      <w:proofErr w:type="spellStart"/>
      <w:r w:rsidRPr="00E0707C">
        <w:rPr>
          <w:lang w:val="en-GB"/>
        </w:rPr>
        <w:t>Mn</w:t>
      </w:r>
      <w:proofErr w:type="spellEnd"/>
      <w:r w:rsidRPr="00E0707C">
        <w:rPr>
          <w:lang w:val="en-GB"/>
        </w:rPr>
        <w:t xml:space="preserve"> 257.611 nm, Mo 202.030 nm, Na 589.592 nm, Ni 231.604 nm, P 177.496 nm, </w:t>
      </w:r>
      <w:proofErr w:type="spellStart"/>
      <w:r w:rsidRPr="00E0707C">
        <w:rPr>
          <w:lang w:val="en-GB"/>
        </w:rPr>
        <w:t>Pb</w:t>
      </w:r>
      <w:proofErr w:type="spellEnd"/>
      <w:r w:rsidRPr="00E0707C">
        <w:rPr>
          <w:lang w:val="en-GB"/>
        </w:rPr>
        <w:t xml:space="preserve"> 220.353 nm, S 180.731 nm, </w:t>
      </w:r>
      <w:proofErr w:type="spellStart"/>
      <w:r w:rsidRPr="00E0707C">
        <w:rPr>
          <w:lang w:val="en-GB"/>
        </w:rPr>
        <w:t>Sb</w:t>
      </w:r>
      <w:proofErr w:type="spellEnd"/>
      <w:r w:rsidRPr="00E0707C">
        <w:rPr>
          <w:lang w:val="en-GB"/>
        </w:rPr>
        <w:t xml:space="preserve"> 206.833 nm, Se 196.090 nm, </w:t>
      </w:r>
      <w:proofErr w:type="spellStart"/>
      <w:r w:rsidRPr="00E0707C">
        <w:rPr>
          <w:lang w:val="en-GB"/>
        </w:rPr>
        <w:t>Sn</w:t>
      </w:r>
      <w:proofErr w:type="spellEnd"/>
      <w:r w:rsidRPr="00E0707C">
        <w:rPr>
          <w:lang w:val="en-GB"/>
        </w:rPr>
        <w:t xml:space="preserve"> 189.991 nm, </w:t>
      </w:r>
      <w:proofErr w:type="spellStart"/>
      <w:r w:rsidRPr="00E0707C">
        <w:rPr>
          <w:lang w:val="en-GB"/>
        </w:rPr>
        <w:t>Sr</w:t>
      </w:r>
      <w:proofErr w:type="spellEnd"/>
      <w:r w:rsidRPr="00E0707C">
        <w:rPr>
          <w:lang w:val="en-GB"/>
        </w:rPr>
        <w:t xml:space="preserve"> 407.771 nm, Ti 334.941 nm, V 292.464 nm, Zn 213.856 nm. </w:t>
      </w:r>
    </w:p>
    <w:p w:rsidR="00980CEB" w:rsidRPr="00E0707C" w:rsidRDefault="00980CEB" w:rsidP="00980CEB">
      <w:pPr>
        <w:jc w:val="both"/>
        <w:rPr>
          <w:lang w:val="en-GB"/>
        </w:rPr>
      </w:pPr>
      <w:r w:rsidRPr="00E0707C">
        <w:rPr>
          <w:lang w:val="en-GB"/>
        </w:rPr>
        <w:t>The RF power was set t</w:t>
      </w:r>
      <w:r w:rsidR="00D66126" w:rsidRPr="00E0707C">
        <w:rPr>
          <w:lang w:val="en-GB"/>
        </w:rPr>
        <w:t>o 1200 </w:t>
      </w:r>
      <w:proofErr w:type="gramStart"/>
      <w:r w:rsidR="00D66126" w:rsidRPr="00E0707C">
        <w:rPr>
          <w:lang w:val="en-GB"/>
        </w:rPr>
        <w:t>W,</w:t>
      </w:r>
      <w:proofErr w:type="gramEnd"/>
      <w:r w:rsidR="00D66126" w:rsidRPr="00E0707C">
        <w:rPr>
          <w:lang w:val="en-GB"/>
        </w:rPr>
        <w:t xml:space="preserve"> the plasma gas was 14 </w:t>
      </w:r>
      <w:r w:rsidRPr="00E0707C">
        <w:rPr>
          <w:lang w:val="en-GB"/>
        </w:rPr>
        <w:t>L /min</w:t>
      </w:r>
      <w:r w:rsidR="00D66126" w:rsidRPr="00E0707C">
        <w:rPr>
          <w:lang w:val="en-GB"/>
        </w:rPr>
        <w:t xml:space="preserve"> </w:t>
      </w:r>
      <w:proofErr w:type="spellStart"/>
      <w:r w:rsidR="00D66126" w:rsidRPr="00E0707C">
        <w:rPr>
          <w:lang w:val="en-GB"/>
        </w:rPr>
        <w:t>Ar</w:t>
      </w:r>
      <w:proofErr w:type="spellEnd"/>
      <w:r w:rsidRPr="00E0707C">
        <w:rPr>
          <w:lang w:val="en-GB"/>
        </w:rPr>
        <w:t>, whereas the nebuliser gas was approximately 0.6</w:t>
      </w:r>
      <w:r w:rsidR="00D66126" w:rsidRPr="00E0707C">
        <w:rPr>
          <w:lang w:val="en-GB"/>
        </w:rPr>
        <w:t> </w:t>
      </w:r>
      <w:r w:rsidRPr="00E0707C">
        <w:rPr>
          <w:lang w:val="en-GB"/>
        </w:rPr>
        <w:t>L /min</w:t>
      </w:r>
      <w:r w:rsidR="00D66126" w:rsidRPr="00E0707C">
        <w:rPr>
          <w:lang w:val="en-GB"/>
        </w:rPr>
        <w:t xml:space="preserve"> </w:t>
      </w:r>
      <w:proofErr w:type="spellStart"/>
      <w:r w:rsidR="00D66126" w:rsidRPr="00E0707C">
        <w:rPr>
          <w:lang w:val="en-GB"/>
        </w:rPr>
        <w:t>Ar</w:t>
      </w:r>
      <w:proofErr w:type="spellEnd"/>
      <w:r w:rsidRPr="00E0707C">
        <w:rPr>
          <w:lang w:val="en-GB"/>
        </w:rPr>
        <w:t xml:space="preserve"> after daily optimization.</w:t>
      </w:r>
    </w:p>
    <w:p w:rsidR="00980CEB" w:rsidRPr="00E0707C" w:rsidRDefault="00980CEB" w:rsidP="00980CEB">
      <w:pPr>
        <w:jc w:val="both"/>
        <w:rPr>
          <w:lang w:val="en-GB"/>
        </w:rPr>
      </w:pPr>
    </w:p>
    <w:p w:rsidR="00980CEB" w:rsidRPr="00E0707C" w:rsidRDefault="00980CEB" w:rsidP="00980CEB">
      <w:pPr>
        <w:jc w:val="both"/>
        <w:rPr>
          <w:b/>
          <w:i/>
          <w:lang w:val="en-GB"/>
        </w:rPr>
      </w:pPr>
      <w:r w:rsidRPr="00E0707C">
        <w:rPr>
          <w:b/>
          <w:i/>
          <w:lang w:val="en-GB"/>
        </w:rPr>
        <w:t>1.3. Quality control for element determinations</w:t>
      </w:r>
    </w:p>
    <w:p w:rsidR="00980CEB" w:rsidRPr="00E0707C" w:rsidRDefault="00980CEB" w:rsidP="00980CEB">
      <w:pPr>
        <w:jc w:val="both"/>
        <w:rPr>
          <w:lang w:val="en-GB"/>
        </w:rPr>
      </w:pPr>
      <w:r w:rsidRPr="00E0707C">
        <w:rPr>
          <w:lang w:val="en-GB"/>
        </w:rPr>
        <w:t>The determination method had been validated previously by regular laboratory inter</w:t>
      </w:r>
      <w:r w:rsidR="00D66126" w:rsidRPr="00E0707C">
        <w:rPr>
          <w:lang w:val="en-GB"/>
        </w:rPr>
        <w:t>-</w:t>
      </w:r>
      <w:r w:rsidRPr="00E0707C">
        <w:rPr>
          <w:lang w:val="en-GB"/>
        </w:rPr>
        <w:t xml:space="preserve">comparison studies and by regular analysis of adequate certified reference materials. </w:t>
      </w:r>
    </w:p>
    <w:p w:rsidR="00980CEB" w:rsidRPr="00E0707C" w:rsidRDefault="00980CEB" w:rsidP="00980CEB">
      <w:pPr>
        <w:jc w:val="both"/>
        <w:rPr>
          <w:lang w:val="en-GB"/>
        </w:rPr>
      </w:pPr>
      <w:r w:rsidRPr="00E0707C">
        <w:rPr>
          <w:lang w:val="en-GB"/>
        </w:rPr>
        <w:t>Regularly after ten measurements, three blank determinations and a control determination of a certified standard (CPI) for all mentioned elements were performed. Calculation of results was carried out on a computerized lab-data management system, relating the sample measurements to calibration curves, blank determinations, control standards and the weight of the digested sample.</w:t>
      </w:r>
    </w:p>
    <w:p w:rsidR="00980CEB" w:rsidRPr="00E0707C" w:rsidRDefault="00980CEB" w:rsidP="00980CEB">
      <w:pPr>
        <w:jc w:val="both"/>
        <w:rPr>
          <w:b/>
          <w:bCs/>
          <w:lang w:val="en-GB"/>
        </w:rPr>
      </w:pPr>
    </w:p>
    <w:p w:rsidR="00860E0D" w:rsidRPr="00E0707C" w:rsidRDefault="00860E0D">
      <w:pPr>
        <w:rPr>
          <w:lang w:val="en-GB"/>
        </w:rPr>
      </w:pPr>
      <w:r w:rsidRPr="00E0707C">
        <w:rPr>
          <w:lang w:val="en-GB"/>
        </w:rPr>
        <w:br w:type="page"/>
      </w:r>
    </w:p>
    <w:p w:rsidR="00980CEB" w:rsidRPr="00E0707C" w:rsidRDefault="00860E0D">
      <w:pPr>
        <w:rPr>
          <w:b/>
          <w:lang w:val="en-GB"/>
        </w:rPr>
      </w:pPr>
      <w:r w:rsidRPr="00E0707C">
        <w:rPr>
          <w:b/>
          <w:lang w:val="en-GB"/>
        </w:rPr>
        <w:lastRenderedPageBreak/>
        <w:t xml:space="preserve">2. Volcano plots from ANOVA with </w:t>
      </w:r>
      <w:proofErr w:type="spellStart"/>
      <w:r w:rsidRPr="00E0707C">
        <w:rPr>
          <w:b/>
          <w:lang w:val="en-GB"/>
        </w:rPr>
        <w:t>Bonferroni</w:t>
      </w:r>
      <w:proofErr w:type="spellEnd"/>
      <w:r w:rsidRPr="00E0707C">
        <w:rPr>
          <w:b/>
          <w:lang w:val="en-GB"/>
        </w:rPr>
        <w:t xml:space="preserve"> correction</w:t>
      </w:r>
    </w:p>
    <w:p w:rsidR="00860E0D" w:rsidRPr="00E0707C" w:rsidRDefault="001B04EA">
      <w:pPr>
        <w:rPr>
          <w:lang w:val="en-GB"/>
        </w:rPr>
      </w:pPr>
      <w:r w:rsidRPr="00E0707C">
        <w:rPr>
          <w:lang w:val="en-GB"/>
        </w:rPr>
        <w:t xml:space="preserve">Grey-shaded areas represent compounds which are at least 50 % enhanced in one wood type with a p-values </w:t>
      </w:r>
      <w:r w:rsidR="00271F38" w:rsidRPr="00E0707C">
        <w:rPr>
          <w:lang w:val="en-GB"/>
        </w:rPr>
        <w:t>smaller</w:t>
      </w:r>
      <w:r w:rsidRPr="00E0707C">
        <w:rPr>
          <w:lang w:val="en-GB"/>
        </w:rPr>
        <w:t xml:space="preserve"> than 0.05.</w:t>
      </w:r>
    </w:p>
    <w:p w:rsidR="006B7A45" w:rsidRPr="00E0707C" w:rsidRDefault="006B7A45">
      <w:pPr>
        <w:rPr>
          <w:lang w:val="en-GB"/>
        </w:rPr>
      </w:pPr>
      <w:r w:rsidRPr="00E0707C">
        <w:rPr>
          <w:noProof/>
          <w:lang w:eastAsia="de-DE"/>
        </w:rPr>
        <w:drawing>
          <wp:inline distT="0" distB="0" distL="0" distR="0">
            <wp:extent cx="5760720" cy="7195822"/>
            <wp:effectExtent l="19050" t="0" r="0" b="0"/>
            <wp:docPr id="1" name="Bild 1" descr="C:\Users\Hendryk\AppData\Local\Microsoft\Windows\Temporary Internet Files\Content.Word\beech   vs   bir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ndryk\AppData\Local\Microsoft\Windows\Temporary Internet Files\Content.Word\beech   vs   birch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95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A45" w:rsidRPr="00E0707C" w:rsidRDefault="006B7A45">
      <w:pPr>
        <w:rPr>
          <w:lang w:val="en-GB"/>
        </w:rPr>
      </w:pPr>
      <w:proofErr w:type="gramStart"/>
      <w:r w:rsidRPr="00E0707C">
        <w:rPr>
          <w:b/>
          <w:lang w:val="en-GB"/>
        </w:rPr>
        <w:t>Fig.</w:t>
      </w:r>
      <w:proofErr w:type="gramEnd"/>
      <w:r w:rsidRPr="00E0707C">
        <w:rPr>
          <w:b/>
          <w:lang w:val="en-GB"/>
        </w:rPr>
        <w:t> S1</w:t>
      </w:r>
      <w:r w:rsidR="001B5D7F" w:rsidRPr="00E0707C">
        <w:rPr>
          <w:b/>
          <w:lang w:val="en-GB"/>
        </w:rPr>
        <w:t>.</w:t>
      </w:r>
      <w:r w:rsidRPr="00E0707C">
        <w:rPr>
          <w:lang w:val="en-GB"/>
        </w:rPr>
        <w:t xml:space="preserve"> Volcano plot of beech and birch</w:t>
      </w:r>
    </w:p>
    <w:p w:rsidR="006B7A45" w:rsidRPr="00E0707C" w:rsidRDefault="006B7A45">
      <w:pPr>
        <w:rPr>
          <w:lang w:val="en-GB"/>
        </w:rPr>
      </w:pPr>
      <w:r w:rsidRPr="00E0707C">
        <w:rPr>
          <w:lang w:val="en-GB"/>
        </w:rPr>
        <w:br w:type="page"/>
      </w:r>
    </w:p>
    <w:p w:rsidR="006B7A45" w:rsidRPr="00E0707C" w:rsidRDefault="006B7A45">
      <w:pPr>
        <w:rPr>
          <w:lang w:val="en-GB"/>
        </w:rPr>
      </w:pPr>
      <w:r w:rsidRPr="00E0707C">
        <w:rPr>
          <w:noProof/>
          <w:lang w:eastAsia="de-DE"/>
        </w:rPr>
        <w:lastRenderedPageBreak/>
        <w:drawing>
          <wp:inline distT="0" distB="0" distL="0" distR="0">
            <wp:extent cx="5760720" cy="7195822"/>
            <wp:effectExtent l="19050" t="0" r="0" b="0"/>
            <wp:docPr id="4" name="Bild 4" descr="C:\Users\Hendryk\AppData\Local\Microsoft\Windows\Temporary Internet Files\Content.Word\beech   vs   spru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endryk\AppData\Local\Microsoft\Windows\Temporary Internet Files\Content.Word\beech   vs   spruc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95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A45" w:rsidRPr="00E0707C" w:rsidRDefault="006B7A45" w:rsidP="006B7A45">
      <w:pPr>
        <w:rPr>
          <w:lang w:val="en-GB"/>
        </w:rPr>
      </w:pPr>
      <w:proofErr w:type="gramStart"/>
      <w:r w:rsidRPr="00E0707C">
        <w:rPr>
          <w:b/>
          <w:lang w:val="en-GB"/>
        </w:rPr>
        <w:t>Fig.</w:t>
      </w:r>
      <w:proofErr w:type="gramEnd"/>
      <w:r w:rsidRPr="00E0707C">
        <w:rPr>
          <w:b/>
          <w:lang w:val="en-GB"/>
        </w:rPr>
        <w:t> S2</w:t>
      </w:r>
      <w:r w:rsidR="001B5D7F" w:rsidRPr="00E0707C">
        <w:rPr>
          <w:b/>
          <w:lang w:val="en-GB"/>
        </w:rPr>
        <w:t>.</w:t>
      </w:r>
      <w:r w:rsidRPr="00E0707C">
        <w:rPr>
          <w:lang w:val="en-GB"/>
        </w:rPr>
        <w:t xml:space="preserve"> Volcano plot of beech and spruce</w:t>
      </w:r>
    </w:p>
    <w:p w:rsidR="006B7A45" w:rsidRPr="00E0707C" w:rsidRDefault="006B7A45">
      <w:pPr>
        <w:rPr>
          <w:lang w:val="en-GB"/>
        </w:rPr>
      </w:pPr>
      <w:r w:rsidRPr="00E0707C">
        <w:rPr>
          <w:lang w:val="en-GB"/>
        </w:rPr>
        <w:br w:type="page"/>
      </w:r>
    </w:p>
    <w:p w:rsidR="006B7A45" w:rsidRPr="00E0707C" w:rsidRDefault="006B7A45">
      <w:pPr>
        <w:rPr>
          <w:lang w:val="en-GB"/>
        </w:rPr>
      </w:pPr>
      <w:r w:rsidRPr="00E0707C">
        <w:rPr>
          <w:noProof/>
          <w:lang w:eastAsia="de-DE"/>
        </w:rPr>
        <w:lastRenderedPageBreak/>
        <w:drawing>
          <wp:inline distT="0" distB="0" distL="0" distR="0">
            <wp:extent cx="5760720" cy="7195822"/>
            <wp:effectExtent l="19050" t="0" r="0" b="0"/>
            <wp:docPr id="7" name="Bild 7" descr="C:\Users\Hendryk\AppData\Local\Microsoft\Windows\Temporary Internet Files\Content.Word\beech   vs   pell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endryk\AppData\Local\Microsoft\Windows\Temporary Internet Files\Content.Word\beech   vs   pelle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95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A45" w:rsidRPr="00E0707C" w:rsidRDefault="006B7A45">
      <w:pPr>
        <w:rPr>
          <w:lang w:val="en-GB"/>
        </w:rPr>
      </w:pPr>
      <w:proofErr w:type="gramStart"/>
      <w:r w:rsidRPr="00E0707C">
        <w:rPr>
          <w:b/>
          <w:lang w:val="en-GB"/>
        </w:rPr>
        <w:t>Fig.</w:t>
      </w:r>
      <w:proofErr w:type="gramEnd"/>
      <w:r w:rsidRPr="00E0707C">
        <w:rPr>
          <w:b/>
          <w:lang w:val="en-GB"/>
        </w:rPr>
        <w:t> S3</w:t>
      </w:r>
      <w:r w:rsidR="001B5D7F" w:rsidRPr="00E0707C">
        <w:rPr>
          <w:b/>
          <w:lang w:val="en-GB"/>
        </w:rPr>
        <w:t>.</w:t>
      </w:r>
      <w:r w:rsidRPr="00E0707C">
        <w:rPr>
          <w:lang w:val="en-GB"/>
        </w:rPr>
        <w:t xml:space="preserve"> Volcano plot of beech and pellet</w:t>
      </w:r>
    </w:p>
    <w:p w:rsidR="006B7A45" w:rsidRPr="00E0707C" w:rsidRDefault="006B7A45">
      <w:pPr>
        <w:rPr>
          <w:lang w:val="en-GB"/>
        </w:rPr>
      </w:pPr>
      <w:r w:rsidRPr="00E0707C">
        <w:rPr>
          <w:lang w:val="en-GB"/>
        </w:rPr>
        <w:br w:type="page"/>
      </w:r>
    </w:p>
    <w:p w:rsidR="006B7A45" w:rsidRPr="00E0707C" w:rsidRDefault="006B7A45">
      <w:pPr>
        <w:rPr>
          <w:lang w:val="en-GB"/>
        </w:rPr>
      </w:pPr>
      <w:r w:rsidRPr="00E0707C">
        <w:rPr>
          <w:noProof/>
          <w:lang w:eastAsia="de-DE"/>
        </w:rPr>
        <w:lastRenderedPageBreak/>
        <w:drawing>
          <wp:inline distT="0" distB="0" distL="0" distR="0">
            <wp:extent cx="5760720" cy="7195822"/>
            <wp:effectExtent l="19050" t="0" r="0" b="0"/>
            <wp:docPr id="10" name="Bild 10" descr="C:\Users\Hendryk\AppData\Local\Microsoft\Windows\Temporary Internet Files\Content.Word\birch   vs   spru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endryk\AppData\Local\Microsoft\Windows\Temporary Internet Files\Content.Word\birch   vs   spru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95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A45" w:rsidRPr="00E0707C" w:rsidRDefault="006B7A45">
      <w:pPr>
        <w:rPr>
          <w:lang w:val="en-GB"/>
        </w:rPr>
      </w:pPr>
      <w:proofErr w:type="gramStart"/>
      <w:r w:rsidRPr="00E0707C">
        <w:rPr>
          <w:b/>
          <w:lang w:val="en-GB"/>
        </w:rPr>
        <w:t>Fig.</w:t>
      </w:r>
      <w:proofErr w:type="gramEnd"/>
      <w:r w:rsidRPr="00E0707C">
        <w:rPr>
          <w:b/>
          <w:lang w:val="en-GB"/>
        </w:rPr>
        <w:t> S4</w:t>
      </w:r>
      <w:r w:rsidR="001B5D7F" w:rsidRPr="00E0707C">
        <w:rPr>
          <w:b/>
          <w:lang w:val="en-GB"/>
        </w:rPr>
        <w:t>.</w:t>
      </w:r>
      <w:r w:rsidRPr="00E0707C">
        <w:rPr>
          <w:lang w:val="en-GB"/>
        </w:rPr>
        <w:t xml:space="preserve"> Volcano plot of birch and spruce</w:t>
      </w:r>
    </w:p>
    <w:p w:rsidR="006B7A45" w:rsidRPr="00E0707C" w:rsidRDefault="006B7A45">
      <w:pPr>
        <w:rPr>
          <w:lang w:val="en-GB"/>
        </w:rPr>
      </w:pPr>
      <w:r w:rsidRPr="00E0707C">
        <w:rPr>
          <w:lang w:val="en-GB"/>
        </w:rPr>
        <w:br w:type="page"/>
      </w:r>
    </w:p>
    <w:p w:rsidR="006B7A45" w:rsidRPr="00E0707C" w:rsidRDefault="006B7A45">
      <w:pPr>
        <w:rPr>
          <w:lang w:val="en-GB"/>
        </w:rPr>
      </w:pPr>
      <w:r w:rsidRPr="00E0707C">
        <w:rPr>
          <w:noProof/>
          <w:lang w:eastAsia="de-DE"/>
        </w:rPr>
        <w:lastRenderedPageBreak/>
        <w:drawing>
          <wp:inline distT="0" distB="0" distL="0" distR="0">
            <wp:extent cx="5760720" cy="7195822"/>
            <wp:effectExtent l="19050" t="0" r="0" b="0"/>
            <wp:docPr id="13" name="Bild 13" descr="C:\Users\Hendryk\AppData\Local\Microsoft\Windows\Temporary Internet Files\Content.Word\birch   vs   pell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endryk\AppData\Local\Microsoft\Windows\Temporary Internet Files\Content.Word\birch   vs   pelle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95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A45" w:rsidRPr="00E0707C" w:rsidRDefault="006B7A45">
      <w:pPr>
        <w:rPr>
          <w:lang w:val="en-GB"/>
        </w:rPr>
      </w:pPr>
      <w:proofErr w:type="gramStart"/>
      <w:r w:rsidRPr="00E0707C">
        <w:rPr>
          <w:b/>
          <w:lang w:val="en-GB"/>
        </w:rPr>
        <w:t>Fig.</w:t>
      </w:r>
      <w:proofErr w:type="gramEnd"/>
      <w:r w:rsidRPr="00E0707C">
        <w:rPr>
          <w:b/>
          <w:lang w:val="en-GB"/>
        </w:rPr>
        <w:t> S5</w:t>
      </w:r>
      <w:r w:rsidR="001B5D7F" w:rsidRPr="00E0707C">
        <w:rPr>
          <w:b/>
          <w:lang w:val="en-GB"/>
        </w:rPr>
        <w:t>.</w:t>
      </w:r>
      <w:r w:rsidRPr="00E0707C">
        <w:rPr>
          <w:lang w:val="en-GB"/>
        </w:rPr>
        <w:t xml:space="preserve"> Volcano plot of birch and pellet</w:t>
      </w:r>
    </w:p>
    <w:p w:rsidR="006B7A45" w:rsidRPr="00E0707C" w:rsidRDefault="006B7A45">
      <w:pPr>
        <w:rPr>
          <w:lang w:val="en-GB"/>
        </w:rPr>
      </w:pPr>
      <w:r w:rsidRPr="00E0707C">
        <w:rPr>
          <w:lang w:val="en-GB"/>
        </w:rPr>
        <w:br w:type="page"/>
      </w:r>
    </w:p>
    <w:p w:rsidR="00860E0D" w:rsidRPr="00E0707C" w:rsidRDefault="006B7A45">
      <w:pPr>
        <w:rPr>
          <w:lang w:val="en-GB"/>
        </w:rPr>
      </w:pPr>
      <w:r w:rsidRPr="00E0707C">
        <w:rPr>
          <w:noProof/>
          <w:lang w:eastAsia="de-DE"/>
        </w:rPr>
        <w:lastRenderedPageBreak/>
        <w:drawing>
          <wp:inline distT="0" distB="0" distL="0" distR="0">
            <wp:extent cx="5760720" cy="7195822"/>
            <wp:effectExtent l="19050" t="0" r="0" b="0"/>
            <wp:docPr id="16" name="Bild 16" descr="C:\Users\Hendryk\AppData\Local\Microsoft\Windows\Temporary Internet Files\Content.Word\spruce   vs   pell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endryk\AppData\Local\Microsoft\Windows\Temporary Internet Files\Content.Word\spruce   vs   pelle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95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13E" w:rsidRPr="00E0707C" w:rsidRDefault="006B7A45">
      <w:pPr>
        <w:rPr>
          <w:lang w:val="en-GB"/>
        </w:rPr>
      </w:pPr>
      <w:proofErr w:type="gramStart"/>
      <w:r w:rsidRPr="00E0707C">
        <w:rPr>
          <w:b/>
          <w:lang w:val="en-GB"/>
        </w:rPr>
        <w:t>Fig.</w:t>
      </w:r>
      <w:proofErr w:type="gramEnd"/>
      <w:r w:rsidRPr="00E0707C">
        <w:rPr>
          <w:b/>
          <w:lang w:val="en-GB"/>
        </w:rPr>
        <w:t> S6</w:t>
      </w:r>
      <w:r w:rsidR="001B5D7F" w:rsidRPr="00E0707C">
        <w:rPr>
          <w:b/>
          <w:lang w:val="en-GB"/>
        </w:rPr>
        <w:t>.</w:t>
      </w:r>
      <w:r w:rsidRPr="00E0707C">
        <w:rPr>
          <w:lang w:val="en-GB"/>
        </w:rPr>
        <w:t xml:space="preserve"> Volcano plot of spruce and pellet</w:t>
      </w:r>
    </w:p>
    <w:p w:rsidR="00B5113E" w:rsidRPr="00E0707C" w:rsidRDefault="00B5113E">
      <w:pPr>
        <w:rPr>
          <w:lang w:val="en-GB"/>
        </w:rPr>
      </w:pPr>
      <w:r w:rsidRPr="00E0707C">
        <w:rPr>
          <w:lang w:val="en-GB"/>
        </w:rPr>
        <w:br w:type="page"/>
      </w:r>
    </w:p>
    <w:p w:rsidR="00345100" w:rsidRPr="00E0707C" w:rsidRDefault="00345100">
      <w:pPr>
        <w:rPr>
          <w:b/>
          <w:lang w:val="en-GB"/>
        </w:rPr>
      </w:pPr>
      <w:r w:rsidRPr="00E0707C">
        <w:rPr>
          <w:b/>
          <w:lang w:val="en-GB"/>
        </w:rPr>
        <w:lastRenderedPageBreak/>
        <w:t xml:space="preserve">3. </w:t>
      </w:r>
      <w:r w:rsidR="00325D07" w:rsidRPr="00E0707C">
        <w:rPr>
          <w:b/>
          <w:lang w:val="en-GB"/>
        </w:rPr>
        <w:t>Minimum and maximum EFs</w:t>
      </w:r>
    </w:p>
    <w:p w:rsidR="00345100" w:rsidRPr="00E0707C" w:rsidRDefault="00584D5C" w:rsidP="008845B4">
      <w:pPr>
        <w:tabs>
          <w:tab w:val="right" w:pos="9072"/>
        </w:tabs>
        <w:jc w:val="both"/>
        <w:rPr>
          <w:lang w:val="en-GB"/>
        </w:rPr>
      </w:pPr>
      <w:r w:rsidRPr="00E0707C">
        <w:rPr>
          <w:b/>
          <w:lang w:val="en-GB"/>
        </w:rPr>
        <w:t>Table S2</w:t>
      </w:r>
      <w:r w:rsidRPr="00E0707C">
        <w:rPr>
          <w:lang w:val="en-GB"/>
        </w:rPr>
        <w:t xml:space="preserve"> </w:t>
      </w:r>
      <w:r w:rsidR="00325D07" w:rsidRPr="00E0707C">
        <w:rPr>
          <w:lang w:val="en-GB"/>
        </w:rPr>
        <w:t xml:space="preserve">Minimum and maximum </w:t>
      </w:r>
      <w:r w:rsidR="00325D07" w:rsidRPr="00E0707C">
        <w:rPr>
          <w:rFonts w:cs="Arial"/>
          <w:lang w:val="en-GB"/>
        </w:rPr>
        <w:t>EF</w:t>
      </w:r>
      <w:r w:rsidR="008845B4" w:rsidRPr="00E0707C">
        <w:rPr>
          <w:rFonts w:cs="Arial"/>
          <w:lang w:val="en-GB"/>
        </w:rPr>
        <w:t>s</w:t>
      </w:r>
      <w:r w:rsidR="00325D07" w:rsidRPr="00E0707C">
        <w:rPr>
          <w:rFonts w:cs="Arial"/>
          <w:lang w:val="en-GB"/>
        </w:rPr>
        <w:t xml:space="preserve"> for experimental repetitions of the same conditions</w:t>
      </w:r>
      <w:r w:rsidR="008845B4" w:rsidRPr="00E0707C">
        <w:rPr>
          <w:rFonts w:cs="Arial"/>
          <w:lang w:val="en-GB"/>
        </w:rPr>
        <w:t xml:space="preserve">. EFs can be related to the amount of burned fuel by using respective net heating values from Table 1. Entries of </w:t>
      </w:r>
      <w:proofErr w:type="spellStart"/>
      <w:r w:rsidR="008845B4" w:rsidRPr="00E0707C">
        <w:rPr>
          <w:rFonts w:cs="Arial"/>
          <w:lang w:val="en-GB"/>
        </w:rPr>
        <w:t>b.q.l</w:t>
      </w:r>
      <w:proofErr w:type="spellEnd"/>
      <w:r w:rsidR="008845B4" w:rsidRPr="00E0707C">
        <w:rPr>
          <w:rFonts w:cs="Arial"/>
          <w:lang w:val="en-GB"/>
        </w:rPr>
        <w:t>. refer to EFs below the limit of quantification.</w:t>
      </w:r>
      <w:r w:rsidR="008845B4" w:rsidRPr="00E0707C">
        <w:rPr>
          <w:rFonts w:cs="Arial"/>
          <w:lang w:val="en-GB"/>
        </w:rPr>
        <w:tab/>
      </w:r>
    </w:p>
    <w:tbl>
      <w:tblPr>
        <w:tblW w:w="9266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2006"/>
        <w:gridCol w:w="907"/>
        <w:gridCol w:w="907"/>
        <w:gridCol w:w="907"/>
        <w:gridCol w:w="907"/>
        <w:gridCol w:w="907"/>
        <w:gridCol w:w="909"/>
        <w:gridCol w:w="909"/>
        <w:gridCol w:w="907"/>
      </w:tblGrid>
      <w:tr w:rsidR="003A56E3" w:rsidRPr="00E0707C" w:rsidTr="001833BB">
        <w:trPr>
          <w:trHeight w:val="300"/>
        </w:trPr>
        <w:tc>
          <w:tcPr>
            <w:tcW w:w="200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GB" w:eastAsia="de-DE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val="en-GB" w:eastAsia="de-DE"/>
              </w:rPr>
              <w:t>beech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val="en-GB" w:eastAsia="de-DE"/>
              </w:rPr>
              <w:t>birch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val="en-GB" w:eastAsia="de-DE"/>
              </w:rPr>
              <w:t>spruce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val="en-GB" w:eastAsia="de-DE"/>
              </w:rPr>
              <w:t>pellets</w:t>
            </w:r>
          </w:p>
        </w:tc>
      </w:tr>
      <w:tr w:rsidR="003A56E3" w:rsidRPr="00E0707C" w:rsidTr="001833BB">
        <w:trPr>
          <w:trHeight w:val="300"/>
        </w:trPr>
        <w:tc>
          <w:tcPr>
            <w:tcW w:w="200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8845B4" w:rsidP="008845B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val="en-GB" w:eastAsia="de-DE"/>
              </w:rPr>
              <w:t>N</w:t>
            </w:r>
            <w:r w:rsidR="003A56E3" w:rsidRPr="00E0707C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val="en-GB" w:eastAsia="de-DE"/>
              </w:rPr>
              <w:t>umber of experiments</w:t>
            </w:r>
          </w:p>
        </w:tc>
        <w:tc>
          <w:tcPr>
            <w:tcW w:w="181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</w:t>
            </w:r>
          </w:p>
        </w:tc>
        <w:tc>
          <w:tcPr>
            <w:tcW w:w="181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</w:t>
            </w:r>
          </w:p>
        </w:tc>
        <w:tc>
          <w:tcPr>
            <w:tcW w:w="181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</w:t>
            </w:r>
          </w:p>
        </w:tc>
        <w:tc>
          <w:tcPr>
            <w:tcW w:w="181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b/>
                <w:i/>
                <w:color w:val="000000"/>
                <w:sz w:val="14"/>
                <w:szCs w:val="14"/>
                <w:lang w:val="en-GB" w:eastAsia="de-DE"/>
              </w:rPr>
              <w:t>min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b/>
                <w:i/>
                <w:color w:val="000000"/>
                <w:sz w:val="14"/>
                <w:szCs w:val="14"/>
                <w:lang w:val="en-GB" w:eastAsia="de-DE"/>
              </w:rPr>
              <w:t>max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b/>
                <w:i/>
                <w:color w:val="000000"/>
                <w:sz w:val="14"/>
                <w:szCs w:val="14"/>
                <w:lang w:val="en-GB" w:eastAsia="de-DE"/>
              </w:rPr>
              <w:t>min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b/>
                <w:i/>
                <w:color w:val="000000"/>
                <w:sz w:val="14"/>
                <w:szCs w:val="14"/>
                <w:lang w:val="en-GB" w:eastAsia="de-DE"/>
              </w:rPr>
              <w:t>max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b/>
                <w:i/>
                <w:color w:val="000000"/>
                <w:sz w:val="14"/>
                <w:szCs w:val="14"/>
                <w:lang w:val="en-GB" w:eastAsia="de-DE"/>
              </w:rPr>
              <w:t>min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b/>
                <w:i/>
                <w:color w:val="000000"/>
                <w:sz w:val="14"/>
                <w:szCs w:val="14"/>
                <w:lang w:val="en-GB" w:eastAsia="de-DE"/>
              </w:rPr>
              <w:t>max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b/>
                <w:i/>
                <w:color w:val="000000"/>
                <w:sz w:val="14"/>
                <w:szCs w:val="14"/>
                <w:lang w:val="en-GB" w:eastAsia="de-DE"/>
              </w:rPr>
              <w:t>min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b/>
                <w:i/>
                <w:color w:val="000000"/>
                <w:sz w:val="14"/>
                <w:szCs w:val="14"/>
                <w:lang w:val="en-GB" w:eastAsia="de-DE"/>
              </w:rPr>
              <w:t>max</w:t>
            </w:r>
          </w:p>
        </w:tc>
      </w:tr>
      <w:tr w:rsidR="00E0707C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07C" w:rsidRPr="00E0707C" w:rsidRDefault="00E0707C" w:rsidP="00522C36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b/>
                <w:i/>
                <w:color w:val="000000"/>
                <w:sz w:val="14"/>
                <w:szCs w:val="14"/>
                <w:lang w:val="en-GB" w:eastAsia="de-DE"/>
              </w:rPr>
              <w:t>Gaseous analytes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07C" w:rsidRPr="00E0707C" w:rsidRDefault="00E0707C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07C" w:rsidRPr="00E0707C" w:rsidRDefault="00E0707C" w:rsidP="005C5F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07C" w:rsidRPr="00E0707C" w:rsidRDefault="00E0707C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07C" w:rsidRPr="00E0707C" w:rsidRDefault="00E0707C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07C" w:rsidRPr="00E0707C" w:rsidRDefault="00E0707C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07C" w:rsidRPr="00E0707C" w:rsidRDefault="00E0707C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07C" w:rsidRPr="00E0707C" w:rsidRDefault="00E0707C" w:rsidP="005C5F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07C" w:rsidRPr="00E0707C" w:rsidRDefault="00E0707C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O</w:t>
            </w: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vertAlign w:val="subscript"/>
                <w:lang w:val="en-GB" w:eastAsia="de-DE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16.5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C5F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17.1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15.7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16.1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15.</w:t>
            </w:r>
            <w:r w:rsidR="005C5F8E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</w:t>
            </w:r>
            <w:r w:rsidR="005C5F8E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6.0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C5F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11.9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12.</w:t>
            </w:r>
            <w:r w:rsidR="005C5F8E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CO</w:t>
            </w: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vertAlign w:val="subscript"/>
                <w:lang w:val="en-GB" w:eastAsia="de-DE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3.83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4.07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4.49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4.62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4.27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4.44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8.50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8.59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CO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88</w:t>
            </w:r>
            <w:r w:rsidR="005C5F8E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1540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115</w:t>
            </w:r>
            <w:r w:rsidR="005C5F8E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160</w:t>
            </w:r>
            <w:r w:rsidR="005C5F8E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</w:t>
            </w:r>
            <w:r w:rsidR="005C5F8E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600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C5F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166</w:t>
            </w:r>
            <w:r w:rsidR="005C5F8E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39.</w:t>
            </w:r>
            <w:r w:rsidR="005C5F8E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45.3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OGC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C5F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15.</w:t>
            </w:r>
            <w:r w:rsidR="005C5F8E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C5F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29.4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C5F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12.6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C5F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18.7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C5F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19.</w:t>
            </w:r>
            <w:r w:rsidR="005C5F8E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C5F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21.</w:t>
            </w:r>
            <w:r w:rsidR="005C5F8E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1.28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NO</w:t>
            </w: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vertAlign w:val="subscript"/>
                <w:lang w:val="en-GB" w:eastAsia="de-DE"/>
              </w:rPr>
              <w:t>x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9</w:t>
            </w:r>
            <w:r w:rsidR="005C5F8E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9.0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11</w:t>
            </w:r>
            <w:r w:rsidR="005C5F8E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10</w:t>
            </w:r>
            <w:r w:rsidR="005C5F8E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10</w:t>
            </w:r>
            <w:r w:rsidR="005C5F8E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75.3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86.9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89.0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89.</w:t>
            </w:r>
            <w:r w:rsidR="005C5F8E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bCs/>
                <w:i/>
                <w:color w:val="000000"/>
                <w:sz w:val="14"/>
                <w:szCs w:val="14"/>
                <w:lang w:val="en-GB" w:eastAsia="de-DE"/>
              </w:rPr>
              <w:t>MCE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0.985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0.989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0.98</w:t>
            </w:r>
            <w:r w:rsidR="005C5F8E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0.988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0.98</w:t>
            </w:r>
            <w:r w:rsidR="005C5F8E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0.983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0.999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C5F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0.999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de-DE"/>
              </w:rPr>
              <w:t>Particulate c</w:t>
            </w:r>
            <w:r w:rsidR="003A56E3" w:rsidRPr="00E0707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de-DE"/>
              </w:rPr>
              <w:t>arbon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OC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461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</w:t>
            </w:r>
            <w:r w:rsidR="004614C9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461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5.0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4614C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7.9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461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4.</w:t>
            </w:r>
            <w:r w:rsidR="004614C9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461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7.6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0.20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EC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4614C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4614C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4614C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4614C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4614C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4614C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0.35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TC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461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36.</w:t>
            </w:r>
            <w:r w:rsidR="004614C9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461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56.</w:t>
            </w:r>
            <w:r w:rsidR="004614C9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461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41.</w:t>
            </w:r>
            <w:r w:rsidR="004614C9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461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66.</w:t>
            </w:r>
            <w:r w:rsidR="004614C9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461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15.</w:t>
            </w:r>
            <w:r w:rsidR="004614C9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461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22.</w:t>
            </w:r>
            <w:r w:rsidR="004614C9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0.55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1833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de-DE"/>
              </w:rPr>
              <w:t xml:space="preserve">Inorganic </w:t>
            </w:r>
            <w:r w:rsidR="001833BB" w:rsidRPr="00E0707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de-DE"/>
              </w:rPr>
              <w:t>particle constituents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Al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30.4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7</w:t>
            </w:r>
            <w:r w:rsidR="000F4FF9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26.1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199.1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35.0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46.5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10.1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33.6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9.19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4.30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6.71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9.42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4.40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6.19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Ba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1.30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2.50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1.43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Bi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14.29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18.39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Ca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51.4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96.8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58.2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0F4F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56.2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0F4F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14</w:t>
            </w:r>
            <w:r w:rsidR="000F4FF9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20.0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32.0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Cd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0.81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3.22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0.66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Cr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4.37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7.14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2.23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Cu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52.2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11.0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8.00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6.25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9.72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Fe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11.2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34.9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12.1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94.4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9.42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62.7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6.70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15.9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K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1110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2630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1770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2390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1066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1990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2810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32</w:t>
            </w:r>
            <w:r w:rsidR="000F4FF9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90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Li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4.84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5.14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Mn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3.80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6.52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5.45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10.39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5.40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10.3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8.29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0F4F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10.</w:t>
            </w:r>
            <w:r w:rsidR="000F4FF9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Mo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1.10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Na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17.6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89.6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42.9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70.5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873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985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Pb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4.91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0F4F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12.</w:t>
            </w:r>
            <w:r w:rsidR="000F4FF9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0F4F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17.8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1.82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275.08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602.51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33</w:t>
            </w:r>
            <w:r w:rsidR="000F4FF9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0F4F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43</w:t>
            </w:r>
            <w:r w:rsidR="000F4FF9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244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444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702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822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Ti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0.68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1.64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0.94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W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9.62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17.2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6.87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3.13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Zn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43.4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74.3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590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849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212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352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154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de-DE"/>
              </w:rPr>
              <w:t xml:space="preserve">Particle-bound </w:t>
            </w:r>
            <w:r w:rsidR="003A56E3" w:rsidRPr="00E0707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de-DE"/>
              </w:rPr>
              <w:t>PAH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Phenanthrene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4.98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14.14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22.5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1.23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3.44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0.49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Anthracene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0.54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0.07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Fluoranthene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3.50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F4FF9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11.3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3.93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8.17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1.53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6.15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0.25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Acephenanthrylene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0.50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0.02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Pyrene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2.81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8.45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3.24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6.19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1.33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4.93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0.22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Benzo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[a]</w:t>
            </w: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fluorene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0.64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0.01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Benzo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[b]</w:t>
            </w: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fluorene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0.69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0.01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lastRenderedPageBreak/>
              <w:t>Benzo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[c]phenanthrene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0.47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0.01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Benzo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[</w:t>
            </w: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ghi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]fluoranthene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0.82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1.90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0.05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Benz[a]</w:t>
            </w: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anthracene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0.62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1.09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0.02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Cyclopenta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[</w:t>
            </w: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cd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]</w:t>
            </w: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pyrene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0.01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Chrysene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1.07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1.93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0.03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2,2'-Binaphthalene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1725EB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de-DE"/>
              </w:rPr>
            </w:pPr>
            <w:proofErr w:type="spellStart"/>
            <w:r w:rsidRPr="001725EB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de-DE"/>
              </w:rPr>
              <w:t>sum</w:t>
            </w:r>
            <w:proofErr w:type="spellEnd"/>
            <w:r w:rsidRPr="001725EB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de-DE"/>
              </w:rPr>
              <w:t xml:space="preserve"> </w:t>
            </w:r>
            <w:proofErr w:type="spellStart"/>
            <w:r w:rsidRPr="001725EB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de-DE"/>
              </w:rPr>
              <w:t>Benzo</w:t>
            </w:r>
            <w:proofErr w:type="spellEnd"/>
            <w:r w:rsidRPr="001725EB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de-DE"/>
              </w:rPr>
              <w:t>[</w:t>
            </w:r>
            <w:proofErr w:type="spellStart"/>
            <w:r w:rsidRPr="001725EB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de-DE"/>
              </w:rPr>
              <w:t>b,j,k</w:t>
            </w:r>
            <w:proofErr w:type="spellEnd"/>
            <w:r w:rsidRPr="001725EB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de-DE"/>
              </w:rPr>
              <w:t>]fluoranthene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1.45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3.27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0.07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Benz[e]</w:t>
            </w: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pyrene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0.54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1.28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0.03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Benz[a]</w:t>
            </w: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pyrene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0.64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1.38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0.05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Perylene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03521A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Indeno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[1,2,3-cd]fluoranth</w:t>
            </w:r>
            <w:r w:rsidR="003A56E3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Benzo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[b]</w:t>
            </w: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triphenylene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Indeno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[7,1,2,3-cdef]chrysene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1-Phenylpyrene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Dibenz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[ah]</w:t>
            </w: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anthracene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Indeno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[1,2,3-cd]</w:t>
            </w: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pyrene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0.73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0.01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Benzo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[b]chrysene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Pentaphene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Picene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Benzo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[</w:t>
            </w: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ghi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]</w:t>
            </w: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perylene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0.06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Anthanthrene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Coronene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0.03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val="en-GB" w:eastAsia="de-DE"/>
              </w:rPr>
              <w:t>sum PAH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15.9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51.4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11.2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53.2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11.4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31.0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1.42</w:t>
            </w:r>
          </w:p>
        </w:tc>
      </w:tr>
      <w:tr w:rsidR="00B655D9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5D9" w:rsidRPr="00E0707C" w:rsidRDefault="00B655D9" w:rsidP="00E0707C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bCs/>
                <w:i/>
                <w:color w:val="000000"/>
                <w:sz w:val="14"/>
                <w:szCs w:val="14"/>
                <w:lang w:val="en-GB" w:eastAsia="de-DE"/>
              </w:rPr>
              <w:t>PAH-TEQ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5D9" w:rsidRPr="00E0707C" w:rsidRDefault="00B655D9" w:rsidP="00E0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0.512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5D9" w:rsidRPr="00E0707C" w:rsidRDefault="00B655D9" w:rsidP="00E0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5D9" w:rsidRPr="00E0707C" w:rsidRDefault="00B655D9" w:rsidP="00E0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0.451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5D9" w:rsidRPr="00E0707C" w:rsidRDefault="00B655D9" w:rsidP="00E0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5D9" w:rsidRPr="00E0707C" w:rsidRDefault="00B655D9" w:rsidP="00E0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0.929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5D9" w:rsidRPr="00E0707C" w:rsidRDefault="00B655D9" w:rsidP="00E0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2.10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5D9" w:rsidRPr="00E0707C" w:rsidRDefault="00B655D9" w:rsidP="00E0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5D9" w:rsidRPr="00E0707C" w:rsidRDefault="00B655D9" w:rsidP="00E07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0.060</w:t>
            </w:r>
          </w:p>
        </w:tc>
      </w:tr>
      <w:tr w:rsidR="003A56E3" w:rsidRPr="001725EB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de-DE"/>
              </w:rPr>
              <w:t xml:space="preserve">particle-bound </w:t>
            </w:r>
            <w:r w:rsidR="003A56E3" w:rsidRPr="00E0707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de-DE"/>
              </w:rPr>
              <w:t>OH-PAH, OPAH &amp; PASH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1-Hydroxynaphthalene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12.4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4.0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2.5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2-Hydroxynaphthalene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0.60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1,8-Dihydroxynaphthalene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1-Naphthalenecarboxaldehyde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2-Naphthalenecarboxaldehyde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1(2H)-</w:t>
            </w: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Acenaphthylenone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9H-Fluoren-9-one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1833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3.</w:t>
            </w:r>
            <w:r w:rsidR="001833BB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6.3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7.00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0.55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1H-Phenalen-1-one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5.2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4.89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0.11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Xanthone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5.3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3.3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0.14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9,10-Anthracenedione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5.7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4.2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6.6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0.19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Benzo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[b]</w:t>
            </w: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naphtho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[1,2-d]furan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0.50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0.38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Cyclopenta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(def)</w:t>
            </w: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phenanthrenone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</w:t>
            </w:r>
            <w:r w:rsidR="003A56E3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5.1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4.9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0.15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1,8-Naphthalic anhydride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48.9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5.8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1833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2.60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1833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Benzo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[b]</w:t>
            </w: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naphtho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[2,1-d]furan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1833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0.04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2,3-5,6-Dibenzoxalene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0.51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0.01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Benzo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[b]</w:t>
            </w: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naphtho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[2,3-d]furan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0.52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0.01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Benzo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[</w:t>
            </w: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kl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]</w:t>
            </w: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xanthene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0.49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11H-Benzo[a]fluoren-11-one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0.58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0.01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7H-Benzo[c]fluorene-7-one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11H-Benzo[b]fluoren-11-one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0.69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0.01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7H-Benzo[de]anthracen-7-one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0.02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Naphtho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[2,1,8,7-klmn]</w:t>
            </w: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xanthene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0.01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lastRenderedPageBreak/>
              <w:t>Benz[a]anthracene-7,12-dione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0.94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5,12-Naphthacenedione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Phenanthro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[3,4-c]furan-1,3-dione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6H-Benzo[</w:t>
            </w: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cd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]pyren-6-on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3.0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0.95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5.7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0.07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Dibenzothiophene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1833BB" w:rsidP="001833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de-DE"/>
              </w:rPr>
              <w:t>Particle-bound a</w:t>
            </w:r>
            <w:r w:rsidR="003A56E3" w:rsidRPr="00E0707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de-DE"/>
              </w:rPr>
              <w:t>lkylated PAH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9-Methylphenanthrene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3,6-Dimethylphenanthrene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0.79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Retene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9619CE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6.0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9619CE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7.1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0.11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9619CE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 xml:space="preserve">sum </w:t>
            </w:r>
            <w:r w:rsidR="003A56E3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2-/8-Methylfluoranthene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0.66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0.02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9619CE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 xml:space="preserve">sum </w:t>
            </w:r>
            <w:r w:rsidR="003A56E3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1-/3-/7-Methylfluoranthene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9619CE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0.42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0.87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0.02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4-Methylpyrene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0.01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2-Methylpyrene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0.49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0.82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0.02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1-Methylpyrene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0.42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0.68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0.02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4,5-Dimethylpyrene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0.01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2,3,6,7-Tetramethylanthracene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0.51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1-Methyl-benz[a]</w:t>
            </w: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anthracene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204A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de-DE"/>
              </w:rPr>
              <w:t>Particle-bound a</w:t>
            </w:r>
            <w:r w:rsidR="003A56E3" w:rsidRPr="00E0707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de-DE"/>
              </w:rPr>
              <w:t>nhydrous sugars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Galactosan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4.0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4.2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5.4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Mannosan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7.3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5.1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16.4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0.80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Levoglucosan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108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3.9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14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E0707C" w:rsidP="00E070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de-DE"/>
              </w:rPr>
              <w:t>Particle-bound p</w:t>
            </w:r>
            <w:r w:rsidR="003A56E3" w:rsidRPr="00E0707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de-DE"/>
              </w:rPr>
              <w:t>henolic species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4-Hydroxyphenylethanol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3.1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4-Hydroxybenzoic acid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16.0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Vanillin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7.10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16.4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11.8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15.6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3.81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8.71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0.66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Isoeugenol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9.82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Acetovanillone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0.62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0.98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Methylvanillate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0.02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Vanillic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 xml:space="preserve"> acid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3-Guaiacylpropanol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Coniferaldehyde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5.2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Guaiacylaceton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4-Guaiacylbutanoic acid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Syringol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3.1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4-Methylsyringol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4-Ethylsyringol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4.8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Allylsyringol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Syringaldehyde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9.9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9.5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0.76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0.25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Syringylpropene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0.02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Acetosyringone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6.5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Syringic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 xml:space="preserve"> acid, methyl ester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Syringic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 xml:space="preserve"> acid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0.26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Homosyringic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 xml:space="preserve"> acid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Sinapylaldehyde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3,5-Dimethoxy-4,4'-dihydroxystilbene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3.8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val="en-GB" w:eastAsia="de-DE"/>
              </w:rPr>
              <w:t>sum phenolic species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iCs/>
                <w:color w:val="000000"/>
                <w:sz w:val="14"/>
                <w:szCs w:val="14"/>
                <w:lang w:val="en-GB" w:eastAsia="de-DE"/>
              </w:rPr>
              <w:t>19.</w:t>
            </w:r>
            <w:r w:rsidR="00204A50" w:rsidRPr="00E0707C">
              <w:rPr>
                <w:rFonts w:ascii="Calibri" w:eastAsia="Times New Roman" w:hAnsi="Calibri" w:cs="Times New Roman"/>
                <w:iCs/>
                <w:color w:val="000000"/>
                <w:sz w:val="14"/>
                <w:szCs w:val="14"/>
                <w:lang w:val="en-GB" w:eastAsia="de-DE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204A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11.</w:t>
            </w:r>
            <w:r w:rsidR="00204A50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31.</w:t>
            </w:r>
            <w:r w:rsidR="00204A50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4.91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13.</w:t>
            </w:r>
            <w:r w:rsidR="00204A50"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1.21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E0707C" w:rsidP="00E070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de-DE"/>
              </w:rPr>
              <w:t>Particle-bound r</w:t>
            </w:r>
            <w:r w:rsidR="003A56E3" w:rsidRPr="00E0707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de-DE"/>
              </w:rPr>
              <w:t xml:space="preserve">esin </w:t>
            </w:r>
            <w:r w:rsidR="003A56E3" w:rsidRPr="00E0707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de-DE"/>
              </w:rPr>
              <w:lastRenderedPageBreak/>
              <w:t>constituents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lastRenderedPageBreak/>
              <w:t>Pimaric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 xml:space="preserve"> acid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Isopimaric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 xml:space="preserve"> acid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Abietic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 xml:space="preserve"> acid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6-Dehydrodehydroabietic acid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3.24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Dehydroabietic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 xml:space="preserve"> acid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98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7-Oxodehydroabietic acid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6-Dehydrodehydroabietic acid, methyl ester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Dehydroabietic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 xml:space="preserve"> acid, methyl ester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0.58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1.10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0.03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7-Oxodehydroabietic acid, methyl ester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0.07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0.11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E0707C" w:rsidP="00E070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de-DE"/>
              </w:rPr>
              <w:t xml:space="preserve">Particle-bound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de-DE"/>
              </w:rPr>
              <w:t>p</w:t>
            </w:r>
            <w:r w:rsidR="003A56E3" w:rsidRPr="00E0707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de-DE"/>
              </w:rPr>
              <w:t>hytosterols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β-</w:t>
            </w: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Sitosterol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D3194A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26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Stigmasta-3,5-dien-7-one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D3194A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480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  <w:tr w:rsidR="003A56E3" w:rsidRPr="00E0707C" w:rsidTr="00522C36">
        <w:trPr>
          <w:trHeight w:val="300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Lupa-2,22(29)-dien-28-ol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204A50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D3194A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6E3" w:rsidRPr="00E0707C" w:rsidRDefault="003A56E3" w:rsidP="00522C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</w:pPr>
            <w:proofErr w:type="spellStart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b.q.l</w:t>
            </w:r>
            <w:proofErr w:type="spellEnd"/>
            <w:r w:rsidRPr="00E070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de-DE"/>
              </w:rPr>
              <w:t>.</w:t>
            </w:r>
          </w:p>
        </w:tc>
      </w:tr>
    </w:tbl>
    <w:p w:rsidR="00345100" w:rsidRPr="00E0707C" w:rsidRDefault="00345100">
      <w:pPr>
        <w:rPr>
          <w:lang w:val="en-GB"/>
        </w:rPr>
      </w:pPr>
    </w:p>
    <w:p w:rsidR="00345100" w:rsidRPr="00E0707C" w:rsidRDefault="00345100">
      <w:pPr>
        <w:rPr>
          <w:lang w:val="en-GB"/>
        </w:rPr>
      </w:pPr>
    </w:p>
    <w:p w:rsidR="00522C36" w:rsidRPr="00E0707C" w:rsidRDefault="00522C36">
      <w:pPr>
        <w:rPr>
          <w:b/>
          <w:lang w:val="en-GB"/>
        </w:rPr>
      </w:pPr>
      <w:r w:rsidRPr="00E0707C">
        <w:rPr>
          <w:b/>
          <w:lang w:val="en-GB"/>
        </w:rPr>
        <w:br w:type="page"/>
      </w:r>
    </w:p>
    <w:p w:rsidR="006B7A45" w:rsidRPr="00E0707C" w:rsidRDefault="00345100">
      <w:pPr>
        <w:rPr>
          <w:b/>
          <w:lang w:val="en-GB"/>
        </w:rPr>
      </w:pPr>
      <w:r w:rsidRPr="00E0707C">
        <w:rPr>
          <w:b/>
          <w:lang w:val="en-GB"/>
        </w:rPr>
        <w:lastRenderedPageBreak/>
        <w:t>4</w:t>
      </w:r>
      <w:r w:rsidR="00B5113E" w:rsidRPr="00E0707C">
        <w:rPr>
          <w:b/>
          <w:lang w:val="en-GB"/>
        </w:rPr>
        <w:t>. REMPI mass spectra of OC3</w:t>
      </w:r>
    </w:p>
    <w:p w:rsidR="00F9740E" w:rsidRPr="00E0707C" w:rsidRDefault="00363EC2">
      <w:pPr>
        <w:rPr>
          <w:lang w:val="en-GB"/>
        </w:rPr>
      </w:pPr>
      <w:r w:rsidRPr="00E0707C">
        <w:rPr>
          <w:noProof/>
          <w:lang w:eastAsia="de-DE"/>
        </w:rPr>
        <w:drawing>
          <wp:inline distT="0" distB="0" distL="0" distR="0">
            <wp:extent cx="5760720" cy="3602827"/>
            <wp:effectExtent l="19050" t="0" r="0" b="0"/>
            <wp:docPr id="3" name="Bild 1" descr="C:\Users\Hendryk\AppData\Local\Microsoft\Windows\Temporary Internet Files\Content.Word\REMPI_O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ndryk\AppData\Local\Microsoft\Windows\Temporary Internet Files\Content.Word\REMPI_OC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2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40E" w:rsidRPr="00E0707C" w:rsidRDefault="00F9740E" w:rsidP="001B5D7F">
      <w:pPr>
        <w:jc w:val="both"/>
        <w:rPr>
          <w:rFonts w:cs="Arial"/>
          <w:lang w:val="en-GB"/>
        </w:rPr>
      </w:pPr>
      <w:proofErr w:type="gramStart"/>
      <w:r w:rsidRPr="00E0707C">
        <w:rPr>
          <w:b/>
          <w:lang w:val="en-GB"/>
        </w:rPr>
        <w:t>Fig.</w:t>
      </w:r>
      <w:proofErr w:type="gramEnd"/>
      <w:r w:rsidRPr="00E0707C">
        <w:rPr>
          <w:b/>
          <w:lang w:val="en-GB"/>
        </w:rPr>
        <w:t> S7</w:t>
      </w:r>
      <w:r w:rsidRPr="00E0707C">
        <w:rPr>
          <w:lang w:val="en-GB"/>
        </w:rPr>
        <w:t xml:space="preserve"> </w:t>
      </w:r>
      <w:r w:rsidR="001E0FE2" w:rsidRPr="00E0707C">
        <w:rPr>
          <w:rFonts w:cs="Arial"/>
          <w:lang w:val="en-GB"/>
        </w:rPr>
        <w:t xml:space="preserve">Mean REMPI </w:t>
      </w:r>
      <w:r w:rsidR="00271F38" w:rsidRPr="00E0707C">
        <w:rPr>
          <w:rFonts w:cs="Arial"/>
          <w:lang w:val="en-GB"/>
        </w:rPr>
        <w:t>m</w:t>
      </w:r>
      <w:r w:rsidR="001E0FE2" w:rsidRPr="00E0707C">
        <w:rPr>
          <w:rFonts w:cs="Arial"/>
          <w:lang w:val="en-GB"/>
        </w:rPr>
        <w:t xml:space="preserve">ass spectra of summed intensities of OC3 </w:t>
      </w:r>
      <w:r w:rsidR="001B5D7F" w:rsidRPr="00E0707C">
        <w:rPr>
          <w:rFonts w:cs="Arial"/>
          <w:lang w:val="en-GB"/>
        </w:rPr>
        <w:t>for the four investigated wood types.</w:t>
      </w:r>
      <w:r w:rsidR="001E0FE2" w:rsidRPr="00E0707C">
        <w:rPr>
          <w:rFonts w:cs="Arial"/>
          <w:lang w:val="en-GB"/>
        </w:rPr>
        <w:t xml:space="preserve"> Symbols denote the homologue series of</w:t>
      </w:r>
      <w:r w:rsidR="00271F38" w:rsidRPr="00E0707C">
        <w:rPr>
          <w:rFonts w:cs="Arial"/>
          <w:lang w:val="en-GB"/>
        </w:rPr>
        <w:t xml:space="preserve"> alkylated</w:t>
      </w:r>
      <w:r w:rsidR="001E0FE2" w:rsidRPr="00E0707C">
        <w:rPr>
          <w:rFonts w:cs="Arial"/>
          <w:lang w:val="en-GB"/>
        </w:rPr>
        <w:t xml:space="preserve"> </w:t>
      </w:r>
      <w:proofErr w:type="spellStart"/>
      <w:r w:rsidR="001E0FE2" w:rsidRPr="00E0707C">
        <w:rPr>
          <w:rFonts w:cs="Arial"/>
          <w:lang w:val="en-GB"/>
        </w:rPr>
        <w:t>dibenzofuran</w:t>
      </w:r>
      <w:proofErr w:type="spellEnd"/>
      <w:r w:rsidR="001E0FE2" w:rsidRPr="00E0707C">
        <w:rPr>
          <w:rFonts w:cs="Arial"/>
          <w:lang w:val="en-GB"/>
        </w:rPr>
        <w:t xml:space="preserve"> (green triangle), phenanthrene (red squares), </w:t>
      </w:r>
      <w:proofErr w:type="spellStart"/>
      <w:r w:rsidR="001E0FE2" w:rsidRPr="00E0707C">
        <w:rPr>
          <w:rFonts w:cs="Arial"/>
          <w:lang w:val="en-GB"/>
        </w:rPr>
        <w:t>pyrene</w:t>
      </w:r>
      <w:proofErr w:type="spellEnd"/>
      <w:r w:rsidR="001E0FE2" w:rsidRPr="00E0707C">
        <w:rPr>
          <w:rFonts w:cs="Arial"/>
          <w:lang w:val="en-GB"/>
        </w:rPr>
        <w:t xml:space="preserve"> (cyan pentagram), naphthalene (blue circles), </w:t>
      </w:r>
      <w:proofErr w:type="spellStart"/>
      <w:r w:rsidR="001E0FE2" w:rsidRPr="00E0707C">
        <w:rPr>
          <w:rFonts w:cs="Arial"/>
          <w:lang w:val="en-GB"/>
        </w:rPr>
        <w:t>benzofuran</w:t>
      </w:r>
      <w:proofErr w:type="spellEnd"/>
      <w:r w:rsidR="001E0FE2" w:rsidRPr="00E0707C">
        <w:rPr>
          <w:rFonts w:cs="Arial"/>
          <w:lang w:val="en-GB"/>
        </w:rPr>
        <w:t xml:space="preserve"> (magenta diamond) and phenol (black down-pointing triangle)</w:t>
      </w:r>
      <w:r w:rsidR="001B5D7F" w:rsidRPr="00E0707C">
        <w:rPr>
          <w:rFonts w:cs="Arial"/>
          <w:lang w:val="en-GB"/>
        </w:rPr>
        <w:t>.</w:t>
      </w:r>
    </w:p>
    <w:p w:rsidR="009A4B27" w:rsidRPr="00E0707C" w:rsidRDefault="009A4B27" w:rsidP="001B5D7F">
      <w:pPr>
        <w:jc w:val="both"/>
        <w:rPr>
          <w:rFonts w:cs="Arial"/>
          <w:lang w:val="en-GB"/>
        </w:rPr>
      </w:pPr>
    </w:p>
    <w:p w:rsidR="001343DD" w:rsidRPr="00E0707C" w:rsidRDefault="001343DD">
      <w:pPr>
        <w:rPr>
          <w:rFonts w:cs="Arial"/>
          <w:b/>
          <w:lang w:val="en-GB"/>
        </w:rPr>
      </w:pPr>
      <w:r w:rsidRPr="00E0707C">
        <w:rPr>
          <w:rFonts w:cs="Arial"/>
          <w:b/>
          <w:lang w:val="en-GB"/>
        </w:rPr>
        <w:br w:type="page"/>
      </w:r>
    </w:p>
    <w:p w:rsidR="009A4B27" w:rsidRPr="00E0707C" w:rsidRDefault="009A4B27" w:rsidP="001B5D7F">
      <w:pPr>
        <w:jc w:val="both"/>
        <w:rPr>
          <w:rFonts w:cs="Arial"/>
          <w:b/>
          <w:lang w:val="en-GB"/>
        </w:rPr>
      </w:pPr>
      <w:r w:rsidRPr="00E0707C">
        <w:rPr>
          <w:rFonts w:cs="Arial"/>
          <w:b/>
          <w:lang w:val="en-GB"/>
        </w:rPr>
        <w:lastRenderedPageBreak/>
        <w:t>5. REMPI spectra of OC1+2 in logarithmic y-scale</w:t>
      </w:r>
    </w:p>
    <w:p w:rsidR="009A4B27" w:rsidRPr="00E0707C" w:rsidRDefault="009A4B27" w:rsidP="001B5D7F">
      <w:pPr>
        <w:jc w:val="both"/>
        <w:rPr>
          <w:lang w:val="en-GB"/>
        </w:rPr>
      </w:pPr>
      <w:r w:rsidRPr="00E0707C">
        <w:rPr>
          <w:noProof/>
          <w:lang w:eastAsia="de-DE"/>
        </w:rPr>
        <w:drawing>
          <wp:inline distT="0" distB="0" distL="0" distR="0">
            <wp:extent cx="5760720" cy="5760720"/>
            <wp:effectExtent l="19050" t="0" r="0" b="0"/>
            <wp:docPr id="2" name="Bild 1" descr="C:\Users\Hendryk\AppData\Local\Microsoft\Windows\Temporary Internet Files\Content.Word\mass_specs12l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ndryk\AppData\Local\Microsoft\Windows\Temporary Internet Files\Content.Word\mass_specs12lo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F38" w:rsidRPr="00E0707C" w:rsidRDefault="001343DD" w:rsidP="001B5D7F">
      <w:pPr>
        <w:jc w:val="both"/>
        <w:rPr>
          <w:rFonts w:cs="Arial"/>
          <w:lang w:val="en-GB"/>
        </w:rPr>
      </w:pPr>
      <w:proofErr w:type="gramStart"/>
      <w:r w:rsidRPr="00E0707C">
        <w:rPr>
          <w:b/>
          <w:lang w:val="en-GB"/>
        </w:rPr>
        <w:t>Fig.</w:t>
      </w:r>
      <w:proofErr w:type="gramEnd"/>
      <w:r w:rsidRPr="00E0707C">
        <w:rPr>
          <w:b/>
          <w:lang w:val="en-GB"/>
        </w:rPr>
        <w:t> S8</w:t>
      </w:r>
      <w:r w:rsidR="00271F38" w:rsidRPr="00E0707C">
        <w:rPr>
          <w:lang w:val="en-GB"/>
        </w:rPr>
        <w:t xml:space="preserve"> </w:t>
      </w:r>
      <w:r w:rsidR="00271F38" w:rsidRPr="00E0707C">
        <w:rPr>
          <w:rFonts w:cs="Arial"/>
          <w:lang w:val="en-GB"/>
        </w:rPr>
        <w:t>Mean REMPI mass spectra of summed intensities of OC1+OC2 for the four investigated wood types</w:t>
      </w:r>
      <w:r w:rsidR="00271F38" w:rsidRPr="00E0707C">
        <w:rPr>
          <w:lang w:val="en-GB"/>
        </w:rPr>
        <w:t>, equal to Fig. 3 in the manuscript, but with logarithmic y-scale</w:t>
      </w:r>
      <w:r w:rsidR="00271F38" w:rsidRPr="00E0707C">
        <w:rPr>
          <w:rFonts w:cs="Arial"/>
          <w:lang w:val="en-GB"/>
        </w:rPr>
        <w:t xml:space="preserve">. Panels in the upper right corner belong to fingerprint regions of the wood types, which contain alteration products of </w:t>
      </w:r>
      <w:proofErr w:type="spellStart"/>
      <w:r w:rsidR="00271F38" w:rsidRPr="00E0707C">
        <w:rPr>
          <w:rFonts w:cs="Arial"/>
          <w:lang w:val="en-GB"/>
        </w:rPr>
        <w:t>phytosterols</w:t>
      </w:r>
      <w:proofErr w:type="spellEnd"/>
      <w:r w:rsidR="00271F38" w:rsidRPr="00E0707C">
        <w:rPr>
          <w:rFonts w:cs="Arial"/>
          <w:lang w:val="en-GB"/>
        </w:rPr>
        <w:t xml:space="preserve"> and </w:t>
      </w:r>
      <w:proofErr w:type="spellStart"/>
      <w:r w:rsidR="00271F38" w:rsidRPr="00E0707C">
        <w:rPr>
          <w:rFonts w:cs="Arial"/>
          <w:lang w:val="en-GB"/>
        </w:rPr>
        <w:t>lignans</w:t>
      </w:r>
      <w:proofErr w:type="spellEnd"/>
      <w:r w:rsidR="00271F38" w:rsidRPr="00E0707C">
        <w:rPr>
          <w:rFonts w:cs="Arial"/>
          <w:lang w:val="en-GB"/>
        </w:rPr>
        <w:t xml:space="preserve"> and enable wood type identification despite similar alkylation patterns.</w:t>
      </w:r>
    </w:p>
    <w:p w:rsidR="009A4B27" w:rsidRPr="00E0707C" w:rsidRDefault="009A4B27" w:rsidP="001B5D7F">
      <w:pPr>
        <w:jc w:val="both"/>
        <w:rPr>
          <w:lang w:val="en-GB"/>
        </w:rPr>
      </w:pPr>
      <w:r w:rsidRPr="00E0707C">
        <w:rPr>
          <w:noProof/>
          <w:lang w:eastAsia="de-DE"/>
        </w:rPr>
        <w:lastRenderedPageBreak/>
        <w:drawing>
          <wp:inline distT="0" distB="0" distL="0" distR="0">
            <wp:extent cx="5760720" cy="2880360"/>
            <wp:effectExtent l="19050" t="0" r="0" b="0"/>
            <wp:docPr id="5" name="Bild 4" descr="C:\Users\Hendryk\AppData\Local\Microsoft\Windows\Temporary Internet Files\Content.Word\outlier_specs_l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endryk\AppData\Local\Microsoft\Windows\Temporary Internet Files\Content.Word\outlier_specs_lo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3DD" w:rsidRPr="00E0707C" w:rsidRDefault="001343DD" w:rsidP="001B5D7F">
      <w:pPr>
        <w:jc w:val="both"/>
        <w:rPr>
          <w:rFonts w:cs="Arial"/>
          <w:lang w:val="en-GB"/>
        </w:rPr>
      </w:pPr>
      <w:proofErr w:type="gramStart"/>
      <w:r w:rsidRPr="00E0707C">
        <w:rPr>
          <w:b/>
          <w:lang w:val="en-GB"/>
        </w:rPr>
        <w:t>Fig.</w:t>
      </w:r>
      <w:proofErr w:type="gramEnd"/>
      <w:r w:rsidRPr="00E0707C">
        <w:rPr>
          <w:b/>
          <w:lang w:val="en-GB"/>
        </w:rPr>
        <w:t> S9</w:t>
      </w:r>
      <w:r w:rsidRPr="00E0707C">
        <w:rPr>
          <w:lang w:val="en-GB"/>
        </w:rPr>
        <w:t xml:space="preserve"> </w:t>
      </w:r>
      <w:r w:rsidR="00271F38" w:rsidRPr="00E0707C">
        <w:rPr>
          <w:rFonts w:cs="Arial"/>
          <w:lang w:val="en-GB"/>
        </w:rPr>
        <w:t>Mean REMPI mass spectra of summed intensities of OC1+OC2 for combustion experiment with slow ignition,</w:t>
      </w:r>
      <w:r w:rsidR="00271F38" w:rsidRPr="00E0707C">
        <w:rPr>
          <w:lang w:val="en-GB"/>
        </w:rPr>
        <w:t xml:space="preserve"> equal to Fig. 5 in the manuscript, but with logarithmic y-scale</w:t>
      </w:r>
      <w:r w:rsidR="00271F38" w:rsidRPr="00E0707C">
        <w:rPr>
          <w:rFonts w:cs="Arial"/>
          <w:lang w:val="en-GB"/>
        </w:rPr>
        <w:t xml:space="preserve">. Panels in the upper right corner belong to fingerprint regions of the wood fuels, which contain alteration products of </w:t>
      </w:r>
      <w:proofErr w:type="spellStart"/>
      <w:r w:rsidR="00271F38" w:rsidRPr="00E0707C">
        <w:rPr>
          <w:rFonts w:cs="Arial"/>
          <w:lang w:val="en-GB"/>
        </w:rPr>
        <w:t>phytosterols</w:t>
      </w:r>
      <w:proofErr w:type="spellEnd"/>
      <w:r w:rsidR="00271F38" w:rsidRPr="00E0707C">
        <w:rPr>
          <w:rFonts w:cs="Arial"/>
          <w:lang w:val="en-GB"/>
        </w:rPr>
        <w:t xml:space="preserve"> and </w:t>
      </w:r>
      <w:proofErr w:type="spellStart"/>
      <w:r w:rsidR="00271F38" w:rsidRPr="00E0707C">
        <w:rPr>
          <w:rFonts w:cs="Arial"/>
          <w:lang w:val="en-GB"/>
        </w:rPr>
        <w:t>lignans</w:t>
      </w:r>
      <w:proofErr w:type="spellEnd"/>
      <w:r w:rsidR="00271F38" w:rsidRPr="00E0707C">
        <w:rPr>
          <w:rFonts w:cs="Arial"/>
          <w:lang w:val="en-GB"/>
        </w:rPr>
        <w:t>. Although both combustion experiments reveal a shift towards larger PAH emissions, the spectrum of spruce* contains numerous peaks, possibly from thermal resin alteration, while for birch* emissions parent PAHs are more pronounced in the alkylation series.</w:t>
      </w:r>
    </w:p>
    <w:sectPr w:rsidR="001343DD" w:rsidRPr="00E0707C" w:rsidSect="00D603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bhhwjAdvTT3713a231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compat/>
  <w:rsids>
    <w:rsidRoot w:val="00980CEB"/>
    <w:rsid w:val="0003521A"/>
    <w:rsid w:val="000A58CF"/>
    <w:rsid w:val="000F4FF9"/>
    <w:rsid w:val="00101AAD"/>
    <w:rsid w:val="001343DD"/>
    <w:rsid w:val="00157E56"/>
    <w:rsid w:val="001725EB"/>
    <w:rsid w:val="001833BB"/>
    <w:rsid w:val="00193578"/>
    <w:rsid w:val="001A6F66"/>
    <w:rsid w:val="001B04EA"/>
    <w:rsid w:val="001B5D7F"/>
    <w:rsid w:val="001E0FE2"/>
    <w:rsid w:val="00204A50"/>
    <w:rsid w:val="00271F38"/>
    <w:rsid w:val="002C3502"/>
    <w:rsid w:val="00325D07"/>
    <w:rsid w:val="003322CB"/>
    <w:rsid w:val="00345100"/>
    <w:rsid w:val="00363EC2"/>
    <w:rsid w:val="00367734"/>
    <w:rsid w:val="003A56E3"/>
    <w:rsid w:val="003F17A2"/>
    <w:rsid w:val="004006E3"/>
    <w:rsid w:val="00417551"/>
    <w:rsid w:val="004614C9"/>
    <w:rsid w:val="00522C36"/>
    <w:rsid w:val="00584D5C"/>
    <w:rsid w:val="005C5F8E"/>
    <w:rsid w:val="005E27E5"/>
    <w:rsid w:val="00676563"/>
    <w:rsid w:val="006B7A45"/>
    <w:rsid w:val="006C4501"/>
    <w:rsid w:val="007D30B4"/>
    <w:rsid w:val="007F5A4F"/>
    <w:rsid w:val="00800338"/>
    <w:rsid w:val="00860E0D"/>
    <w:rsid w:val="00880F0F"/>
    <w:rsid w:val="008845B4"/>
    <w:rsid w:val="008B05A3"/>
    <w:rsid w:val="009619CE"/>
    <w:rsid w:val="00980CEB"/>
    <w:rsid w:val="009A4B27"/>
    <w:rsid w:val="00A95276"/>
    <w:rsid w:val="00B5113E"/>
    <w:rsid w:val="00B655D9"/>
    <w:rsid w:val="00B82809"/>
    <w:rsid w:val="00B92F3A"/>
    <w:rsid w:val="00C62139"/>
    <w:rsid w:val="00D3194A"/>
    <w:rsid w:val="00D603F6"/>
    <w:rsid w:val="00D66126"/>
    <w:rsid w:val="00DE55FA"/>
    <w:rsid w:val="00E0707C"/>
    <w:rsid w:val="00E74760"/>
    <w:rsid w:val="00EF07EB"/>
    <w:rsid w:val="00F3450F"/>
    <w:rsid w:val="00F932AE"/>
    <w:rsid w:val="00F9740E"/>
    <w:rsid w:val="00FC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0C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">
    <w:name w:val="st"/>
    <w:basedOn w:val="Absatz-Standardschriftart"/>
    <w:rsid w:val="00980CEB"/>
  </w:style>
  <w:style w:type="paragraph" w:styleId="Listenabsatz">
    <w:name w:val="List Paragraph"/>
    <w:basedOn w:val="Standard"/>
    <w:uiPriority w:val="34"/>
    <w:qFormat/>
    <w:rsid w:val="00980CE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7A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2006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Hendryk</dc:creator>
  <cp:lastModifiedBy>Hendryk</cp:lastModifiedBy>
  <cp:revision>35</cp:revision>
  <dcterms:created xsi:type="dcterms:W3CDTF">2017-05-16T07:49:00Z</dcterms:created>
  <dcterms:modified xsi:type="dcterms:W3CDTF">2017-08-17T11:31:00Z</dcterms:modified>
</cp:coreProperties>
</file>