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A3C37" w14:textId="77777777" w:rsidR="00F46825" w:rsidRPr="004C6097" w:rsidRDefault="00F46825" w:rsidP="00F46825">
      <w:pPr>
        <w:pStyle w:val="MDPI21heading1"/>
      </w:pPr>
      <w:r w:rsidRPr="004C6097">
        <w:t>Supplemental Material:</w:t>
      </w:r>
    </w:p>
    <w:p w14:paraId="04C4D2F7" w14:textId="5C5C3DCF" w:rsidR="00F46825" w:rsidRPr="004C6097" w:rsidRDefault="00F46825" w:rsidP="00CD75B4">
      <w:pPr>
        <w:pStyle w:val="MDPI41tablecaption"/>
      </w:pPr>
      <w:r w:rsidRPr="00CD75B4">
        <w:rPr>
          <w:b/>
        </w:rPr>
        <w:t xml:space="preserve">Table </w:t>
      </w:r>
      <w:r w:rsidR="00CD75B4" w:rsidRPr="00CD75B4">
        <w:rPr>
          <w:b/>
        </w:rPr>
        <w:t>S</w:t>
      </w:r>
      <w:r w:rsidRPr="00CD75B4">
        <w:rPr>
          <w:b/>
        </w:rPr>
        <w:t>1.</w:t>
      </w:r>
      <w:r w:rsidRPr="00CD75B4">
        <w:t xml:space="preserve"> Intention to treat analysis examining differences between treatment with walnuts and </w:t>
      </w:r>
      <w:r w:rsidRPr="004C6097">
        <w:t xml:space="preserve">controls with all missing values imputed using single </w:t>
      </w:r>
      <w:r w:rsidR="003C347C" w:rsidRPr="004E5967">
        <w:t xml:space="preserve">Marcov chain Monte Carlo </w:t>
      </w:r>
      <w:r w:rsidR="003C347C">
        <w:t>(</w:t>
      </w:r>
      <w:r w:rsidRPr="004C6097">
        <w:t>MCMC</w:t>
      </w:r>
      <w:r w:rsidR="003C347C">
        <w:t>)</w:t>
      </w:r>
      <w:r w:rsidRPr="004C6097">
        <w:t xml:space="preserve"> imputation</w:t>
      </w:r>
      <w:r w:rsidR="00CD75B4">
        <w:t>.</w:t>
      </w:r>
    </w:p>
    <w:tbl>
      <w:tblPr>
        <w:tblStyle w:val="Mdeck5tablebodythreelines"/>
        <w:tblW w:w="9242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956"/>
        <w:gridCol w:w="1028"/>
        <w:gridCol w:w="1169"/>
        <w:gridCol w:w="957"/>
        <w:gridCol w:w="993"/>
        <w:gridCol w:w="1337"/>
      </w:tblGrid>
      <w:tr w:rsidR="00F46825" w:rsidRPr="00443BFE" w14:paraId="5F6B8A43" w14:textId="77777777" w:rsidTr="00C05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668" w:type="dxa"/>
            <w:noWrap/>
            <w:hideMark/>
          </w:tcPr>
          <w:p w14:paraId="0DDDFE10" w14:textId="77777777" w:rsidR="00F46825" w:rsidRPr="004C6097" w:rsidRDefault="00F46825" w:rsidP="00C055BE">
            <w:pPr>
              <w:pStyle w:val="MDPI42tablebody"/>
              <w:rPr>
                <w:b/>
                <w:sz w:val="16"/>
              </w:rPr>
            </w:pPr>
            <w:r w:rsidRPr="004C6097">
              <w:rPr>
                <w:b/>
                <w:sz w:val="16"/>
              </w:rPr>
              <w:t>Parameter</w:t>
            </w:r>
          </w:p>
        </w:tc>
        <w:tc>
          <w:tcPr>
            <w:tcW w:w="1134" w:type="dxa"/>
            <w:noWrap/>
            <w:hideMark/>
          </w:tcPr>
          <w:p w14:paraId="1868655C" w14:textId="77777777" w:rsidR="00F46825" w:rsidRPr="004C6097" w:rsidRDefault="00F46825" w:rsidP="00C055BE">
            <w:pPr>
              <w:pStyle w:val="MDPI42tablebody"/>
              <w:rPr>
                <w:b/>
                <w:sz w:val="16"/>
              </w:rPr>
            </w:pPr>
            <w:r w:rsidRPr="004C6097">
              <w:rPr>
                <w:b/>
                <w:sz w:val="16"/>
              </w:rPr>
              <w:t>Baseline</w:t>
            </w:r>
            <w:r w:rsidRPr="004C6097">
              <w:rPr>
                <w:b/>
                <w:sz w:val="16"/>
                <w:vertAlign w:val="subscript"/>
              </w:rPr>
              <w:t>W</w:t>
            </w:r>
          </w:p>
        </w:tc>
        <w:tc>
          <w:tcPr>
            <w:tcW w:w="956" w:type="dxa"/>
          </w:tcPr>
          <w:p w14:paraId="78054113" w14:textId="77777777" w:rsidR="00F46825" w:rsidRPr="004C6097" w:rsidRDefault="00F46825" w:rsidP="00C055BE">
            <w:pPr>
              <w:pStyle w:val="MDPI42tablebody"/>
              <w:rPr>
                <w:rFonts w:ascii="Calibri" w:hAnsi="Calibri"/>
                <w:b/>
                <w:sz w:val="16"/>
              </w:rPr>
            </w:pPr>
            <w:r w:rsidRPr="004C6097">
              <w:rPr>
                <w:rFonts w:ascii="Calibri" w:hAnsi="Calibri"/>
                <w:b/>
                <w:sz w:val="16"/>
              </w:rPr>
              <w:t>Post-value</w:t>
            </w:r>
            <w:r w:rsidRPr="004C6097">
              <w:rPr>
                <w:rFonts w:ascii="Calibri" w:hAnsi="Calibri"/>
                <w:b/>
                <w:sz w:val="16"/>
                <w:vertAlign w:val="subscript"/>
              </w:rPr>
              <w:t>w</w:t>
            </w:r>
          </w:p>
        </w:tc>
        <w:tc>
          <w:tcPr>
            <w:tcW w:w="1028" w:type="dxa"/>
            <w:noWrap/>
            <w:hideMark/>
          </w:tcPr>
          <w:p w14:paraId="7C9E811E" w14:textId="77777777" w:rsidR="00F46825" w:rsidRPr="004C6097" w:rsidRDefault="00F46825" w:rsidP="00C055BE">
            <w:pPr>
              <w:pStyle w:val="MDPI42tablebody"/>
              <w:rPr>
                <w:b/>
                <w:sz w:val="16"/>
              </w:rPr>
            </w:pPr>
            <w:r w:rsidRPr="004C6097">
              <w:rPr>
                <w:rFonts w:ascii="Calibri" w:hAnsi="Calibri"/>
                <w:b/>
                <w:sz w:val="16"/>
              </w:rPr>
              <w:t>Δ</w:t>
            </w:r>
            <w:r w:rsidRPr="004C6097">
              <w:rPr>
                <w:b/>
                <w:sz w:val="16"/>
              </w:rPr>
              <w:t>Walnut</w:t>
            </w:r>
          </w:p>
        </w:tc>
        <w:tc>
          <w:tcPr>
            <w:tcW w:w="1169" w:type="dxa"/>
            <w:noWrap/>
            <w:hideMark/>
          </w:tcPr>
          <w:p w14:paraId="67CC489E" w14:textId="77777777" w:rsidR="00F46825" w:rsidRPr="004C6097" w:rsidRDefault="00F46825" w:rsidP="00C055BE">
            <w:pPr>
              <w:pStyle w:val="MDPI42tablebody"/>
              <w:rPr>
                <w:b/>
                <w:sz w:val="16"/>
              </w:rPr>
            </w:pPr>
            <w:r w:rsidRPr="004C6097">
              <w:rPr>
                <w:b/>
                <w:sz w:val="16"/>
              </w:rPr>
              <w:t>Baseline</w:t>
            </w:r>
            <w:r w:rsidRPr="004C6097">
              <w:rPr>
                <w:b/>
                <w:sz w:val="16"/>
                <w:vertAlign w:val="subscript"/>
              </w:rPr>
              <w:t>C</w:t>
            </w:r>
          </w:p>
        </w:tc>
        <w:tc>
          <w:tcPr>
            <w:tcW w:w="957" w:type="dxa"/>
          </w:tcPr>
          <w:p w14:paraId="230AC4D2" w14:textId="77777777" w:rsidR="00F46825" w:rsidRPr="004C6097" w:rsidRDefault="00F46825" w:rsidP="00C055BE">
            <w:pPr>
              <w:pStyle w:val="MDPI42tablebody"/>
              <w:rPr>
                <w:rFonts w:ascii="Calibri" w:hAnsi="Calibri"/>
                <w:b/>
                <w:sz w:val="16"/>
              </w:rPr>
            </w:pPr>
            <w:r w:rsidRPr="004C6097">
              <w:rPr>
                <w:rFonts w:ascii="Calibri" w:hAnsi="Calibri"/>
                <w:b/>
                <w:sz w:val="16"/>
              </w:rPr>
              <w:t>Post-value</w:t>
            </w:r>
            <w:r w:rsidRPr="004C6097">
              <w:rPr>
                <w:rFonts w:ascii="Calibri" w:hAnsi="Calibri"/>
                <w:b/>
                <w:sz w:val="16"/>
                <w:vertAlign w:val="subscript"/>
              </w:rPr>
              <w:t>c</w:t>
            </w:r>
          </w:p>
        </w:tc>
        <w:tc>
          <w:tcPr>
            <w:tcW w:w="993" w:type="dxa"/>
            <w:noWrap/>
            <w:hideMark/>
          </w:tcPr>
          <w:p w14:paraId="6F2D6395" w14:textId="77777777" w:rsidR="00F46825" w:rsidRPr="004C6097" w:rsidRDefault="00F46825" w:rsidP="00C055BE">
            <w:pPr>
              <w:pStyle w:val="MDPI42tablebody"/>
              <w:rPr>
                <w:b/>
                <w:sz w:val="16"/>
              </w:rPr>
            </w:pPr>
            <w:r w:rsidRPr="004C6097">
              <w:rPr>
                <w:rFonts w:ascii="Calibri" w:hAnsi="Calibri"/>
                <w:b/>
                <w:sz w:val="16"/>
              </w:rPr>
              <w:t>Δ</w:t>
            </w:r>
            <w:r w:rsidRPr="004C6097">
              <w:rPr>
                <w:b/>
                <w:sz w:val="16"/>
              </w:rPr>
              <w:t>Control</w:t>
            </w:r>
          </w:p>
        </w:tc>
        <w:tc>
          <w:tcPr>
            <w:tcW w:w="1337" w:type="dxa"/>
            <w:noWrap/>
            <w:hideMark/>
          </w:tcPr>
          <w:p w14:paraId="3B524D48" w14:textId="77777777" w:rsidR="00F46825" w:rsidRPr="004C6097" w:rsidRDefault="00F46825" w:rsidP="00C055BE">
            <w:pPr>
              <w:pStyle w:val="MDPI42tablebody"/>
              <w:rPr>
                <w:b/>
                <w:sz w:val="16"/>
              </w:rPr>
            </w:pPr>
            <w:r w:rsidRPr="004C6097">
              <w:rPr>
                <w:b/>
                <w:sz w:val="16"/>
              </w:rPr>
              <w:t xml:space="preserve">P value for change/post </w:t>
            </w:r>
          </w:p>
        </w:tc>
      </w:tr>
      <w:tr w:rsidR="00F46825" w:rsidRPr="004C6097" w14:paraId="59BA002C" w14:textId="77777777" w:rsidTr="00C055BE">
        <w:trPr>
          <w:trHeight w:val="260"/>
        </w:trPr>
        <w:tc>
          <w:tcPr>
            <w:tcW w:w="1668" w:type="dxa"/>
            <w:noWrap/>
            <w:hideMark/>
          </w:tcPr>
          <w:p w14:paraId="3BA414A4" w14:textId="6F2D1EC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TC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134" w:type="dxa"/>
            <w:hideMark/>
          </w:tcPr>
          <w:p w14:paraId="20B8AB6D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231.5 ± 2.6</w:t>
            </w:r>
          </w:p>
        </w:tc>
        <w:tc>
          <w:tcPr>
            <w:tcW w:w="956" w:type="dxa"/>
          </w:tcPr>
          <w:p w14:paraId="679531E3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 xml:space="preserve">223.1 </w:t>
            </w:r>
            <w:r w:rsidRPr="004C6097">
              <w:rPr>
                <w:sz w:val="16"/>
              </w:rPr>
              <w:t xml:space="preserve">± </w:t>
            </w:r>
            <w:r w:rsidRPr="004C6097">
              <w:rPr>
                <w:rFonts w:cs="SAS Monospace"/>
                <w:sz w:val="16"/>
                <w:szCs w:val="16"/>
              </w:rPr>
              <w:t>1.6</w:t>
            </w:r>
          </w:p>
        </w:tc>
        <w:tc>
          <w:tcPr>
            <w:tcW w:w="1028" w:type="dxa"/>
            <w:hideMark/>
          </w:tcPr>
          <w:p w14:paraId="61A7C1A1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-8.6</w:t>
            </w:r>
          </w:p>
        </w:tc>
        <w:tc>
          <w:tcPr>
            <w:tcW w:w="1169" w:type="dxa"/>
            <w:hideMark/>
          </w:tcPr>
          <w:p w14:paraId="7BBC3A77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231.7 ± 2.5</w:t>
            </w:r>
          </w:p>
        </w:tc>
        <w:tc>
          <w:tcPr>
            <w:tcW w:w="957" w:type="dxa"/>
          </w:tcPr>
          <w:p w14:paraId="7F1BE688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 xml:space="preserve">229.2 </w:t>
            </w:r>
            <w:r w:rsidRPr="004C6097">
              <w:rPr>
                <w:sz w:val="16"/>
              </w:rPr>
              <w:t xml:space="preserve">± </w:t>
            </w:r>
            <w:r w:rsidRPr="004C6097">
              <w:rPr>
                <w:rFonts w:cs="SAS Monospace"/>
                <w:sz w:val="16"/>
                <w:szCs w:val="16"/>
              </w:rPr>
              <w:t>1.6</w:t>
            </w:r>
          </w:p>
        </w:tc>
        <w:tc>
          <w:tcPr>
            <w:tcW w:w="993" w:type="dxa"/>
            <w:hideMark/>
          </w:tcPr>
          <w:p w14:paraId="6C67E09F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-2.4</w:t>
            </w:r>
          </w:p>
        </w:tc>
        <w:tc>
          <w:tcPr>
            <w:tcW w:w="1337" w:type="dxa"/>
            <w:hideMark/>
          </w:tcPr>
          <w:p w14:paraId="68211F48" w14:textId="77777777" w:rsidR="00F46825" w:rsidRPr="00107798" w:rsidRDefault="00F46825" w:rsidP="00C055BE">
            <w:pPr>
              <w:pStyle w:val="MDPI42tablebody"/>
              <w:rPr>
                <w:sz w:val="16"/>
              </w:rPr>
            </w:pPr>
            <w:r w:rsidRPr="00107798">
              <w:rPr>
                <w:sz w:val="16"/>
                <w:highlight w:val="yellow"/>
              </w:rPr>
              <w:t>*</w:t>
            </w:r>
            <w:r w:rsidRPr="00107798">
              <w:rPr>
                <w:rFonts w:cs="SAS Monospace"/>
                <w:sz w:val="16"/>
                <w:szCs w:val="16"/>
              </w:rPr>
              <w:t>0.0016/0.0016</w:t>
            </w:r>
          </w:p>
        </w:tc>
      </w:tr>
      <w:tr w:rsidR="00F46825" w:rsidRPr="004C6097" w14:paraId="695DBE4B" w14:textId="77777777" w:rsidTr="00C055BE">
        <w:trPr>
          <w:trHeight w:val="260"/>
        </w:trPr>
        <w:tc>
          <w:tcPr>
            <w:tcW w:w="1668" w:type="dxa"/>
            <w:noWrap/>
            <w:hideMark/>
          </w:tcPr>
          <w:p w14:paraId="4FA56ADB" w14:textId="71234354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LDL-C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134" w:type="dxa"/>
            <w:hideMark/>
          </w:tcPr>
          <w:p w14:paraId="1801295B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145.9 ± 2.2</w:t>
            </w:r>
          </w:p>
        </w:tc>
        <w:tc>
          <w:tcPr>
            <w:tcW w:w="956" w:type="dxa"/>
          </w:tcPr>
          <w:p w14:paraId="7F9C3AB5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 xml:space="preserve">139.3 </w:t>
            </w:r>
            <w:r w:rsidRPr="004C6097">
              <w:rPr>
                <w:sz w:val="16"/>
              </w:rPr>
              <w:t xml:space="preserve">± </w:t>
            </w:r>
            <w:r w:rsidRPr="004C6097">
              <w:rPr>
                <w:rFonts w:cs="SAS Monospace"/>
                <w:sz w:val="16"/>
                <w:szCs w:val="16"/>
              </w:rPr>
              <w:t>1.3</w:t>
            </w:r>
          </w:p>
        </w:tc>
        <w:tc>
          <w:tcPr>
            <w:tcW w:w="1028" w:type="dxa"/>
            <w:hideMark/>
          </w:tcPr>
          <w:p w14:paraId="278529DE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-6.6</w:t>
            </w:r>
          </w:p>
        </w:tc>
        <w:tc>
          <w:tcPr>
            <w:tcW w:w="1169" w:type="dxa"/>
            <w:hideMark/>
          </w:tcPr>
          <w:p w14:paraId="3AA3E3B8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145.8 ± 2.1</w:t>
            </w:r>
          </w:p>
        </w:tc>
        <w:tc>
          <w:tcPr>
            <w:tcW w:w="957" w:type="dxa"/>
          </w:tcPr>
          <w:p w14:paraId="3C63DAEB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 xml:space="preserve">143.6 </w:t>
            </w:r>
            <w:r w:rsidRPr="004C6097">
              <w:rPr>
                <w:sz w:val="16"/>
              </w:rPr>
              <w:t xml:space="preserve">± </w:t>
            </w:r>
            <w:r w:rsidRPr="004C6097">
              <w:rPr>
                <w:rFonts w:cs="SAS Monospace"/>
                <w:sz w:val="16"/>
                <w:szCs w:val="16"/>
              </w:rPr>
              <w:t>1.3</w:t>
            </w:r>
          </w:p>
        </w:tc>
        <w:tc>
          <w:tcPr>
            <w:tcW w:w="993" w:type="dxa"/>
            <w:hideMark/>
          </w:tcPr>
          <w:p w14:paraId="5DD23160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-2.3</w:t>
            </w:r>
          </w:p>
        </w:tc>
        <w:tc>
          <w:tcPr>
            <w:tcW w:w="1337" w:type="dxa"/>
            <w:hideMark/>
          </w:tcPr>
          <w:p w14:paraId="63BD1F11" w14:textId="77777777" w:rsidR="00F46825" w:rsidRPr="00107798" w:rsidRDefault="00F46825" w:rsidP="00C055BE">
            <w:pPr>
              <w:pStyle w:val="MDPI42tablebody"/>
              <w:rPr>
                <w:sz w:val="16"/>
              </w:rPr>
            </w:pPr>
            <w:r w:rsidRPr="00107798">
              <w:rPr>
                <w:sz w:val="16"/>
              </w:rPr>
              <w:t>*</w:t>
            </w:r>
            <w:r w:rsidRPr="00107798">
              <w:rPr>
                <w:rFonts w:cs="SAS Monospace"/>
                <w:sz w:val="16"/>
                <w:szCs w:val="16"/>
              </w:rPr>
              <w:t>0.0074/0.0074</w:t>
            </w:r>
          </w:p>
        </w:tc>
      </w:tr>
      <w:tr w:rsidR="00F46825" w:rsidRPr="004C6097" w14:paraId="6F3712A5" w14:textId="77777777" w:rsidTr="00C055BE">
        <w:trPr>
          <w:trHeight w:val="260"/>
        </w:trPr>
        <w:tc>
          <w:tcPr>
            <w:tcW w:w="1668" w:type="dxa"/>
            <w:noWrap/>
            <w:hideMark/>
          </w:tcPr>
          <w:p w14:paraId="4C5A2B65" w14:textId="1937C518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HDL-C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134" w:type="dxa"/>
            <w:hideMark/>
          </w:tcPr>
          <w:p w14:paraId="3A3FADF7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68.5 ± 1.1</w:t>
            </w:r>
          </w:p>
        </w:tc>
        <w:tc>
          <w:tcPr>
            <w:tcW w:w="956" w:type="dxa"/>
          </w:tcPr>
          <w:p w14:paraId="3801A244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 xml:space="preserve">69.2 </w:t>
            </w:r>
            <w:r w:rsidRPr="004C6097">
              <w:rPr>
                <w:sz w:val="16"/>
              </w:rPr>
              <w:t xml:space="preserve">± </w:t>
            </w:r>
            <w:r w:rsidRPr="004C6097">
              <w:rPr>
                <w:rFonts w:cs="SAS Monospace"/>
                <w:sz w:val="16"/>
                <w:szCs w:val="16"/>
              </w:rPr>
              <w:t>0.5</w:t>
            </w:r>
          </w:p>
        </w:tc>
        <w:tc>
          <w:tcPr>
            <w:tcW w:w="1028" w:type="dxa"/>
            <w:hideMark/>
          </w:tcPr>
          <w:p w14:paraId="31BAD3C2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0.6</w:t>
            </w:r>
          </w:p>
        </w:tc>
        <w:tc>
          <w:tcPr>
            <w:tcW w:w="1169" w:type="dxa"/>
            <w:hideMark/>
          </w:tcPr>
          <w:p w14:paraId="675A9723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68.7 ± 1.2</w:t>
            </w:r>
          </w:p>
        </w:tc>
        <w:tc>
          <w:tcPr>
            <w:tcW w:w="957" w:type="dxa"/>
          </w:tcPr>
          <w:p w14:paraId="1964F581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 xml:space="preserve">68.3 </w:t>
            </w:r>
            <w:r w:rsidRPr="004C6097">
              <w:rPr>
                <w:sz w:val="16"/>
              </w:rPr>
              <w:t xml:space="preserve">± </w:t>
            </w:r>
            <w:r w:rsidRPr="004C6097">
              <w:rPr>
                <w:rFonts w:cs="SAS Monospace"/>
                <w:sz w:val="16"/>
                <w:szCs w:val="16"/>
              </w:rPr>
              <w:t>0.5</w:t>
            </w:r>
          </w:p>
        </w:tc>
        <w:tc>
          <w:tcPr>
            <w:tcW w:w="993" w:type="dxa"/>
            <w:hideMark/>
          </w:tcPr>
          <w:p w14:paraId="512B1CE5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-0.3</w:t>
            </w:r>
          </w:p>
        </w:tc>
        <w:tc>
          <w:tcPr>
            <w:tcW w:w="1337" w:type="dxa"/>
            <w:hideMark/>
          </w:tcPr>
          <w:p w14:paraId="7E005E85" w14:textId="77777777" w:rsidR="00F46825" w:rsidRPr="00107798" w:rsidRDefault="00F46825" w:rsidP="00C055BE">
            <w:pPr>
              <w:pStyle w:val="MDPI42tablebody"/>
              <w:rPr>
                <w:sz w:val="16"/>
              </w:rPr>
            </w:pPr>
            <w:r w:rsidRPr="00107798">
              <w:rPr>
                <w:rFonts w:cs="SAS Monospace"/>
                <w:sz w:val="16"/>
                <w:szCs w:val="16"/>
              </w:rPr>
              <w:t>0.1428/0.1428</w:t>
            </w:r>
          </w:p>
        </w:tc>
      </w:tr>
      <w:tr w:rsidR="00F46825" w:rsidRPr="004C6097" w14:paraId="0D0EC1F5" w14:textId="77777777" w:rsidTr="00C055BE">
        <w:trPr>
          <w:trHeight w:val="260"/>
        </w:trPr>
        <w:tc>
          <w:tcPr>
            <w:tcW w:w="1668" w:type="dxa"/>
            <w:noWrap/>
            <w:hideMark/>
          </w:tcPr>
          <w:p w14:paraId="2ED3275F" w14:textId="51D2BE32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non-HDL-C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134" w:type="dxa"/>
            <w:hideMark/>
          </w:tcPr>
          <w:p w14:paraId="759A42D9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163.0 ± 2.4</w:t>
            </w:r>
          </w:p>
        </w:tc>
        <w:tc>
          <w:tcPr>
            <w:tcW w:w="956" w:type="dxa"/>
          </w:tcPr>
          <w:p w14:paraId="3A0368C8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154.4 ± 1.3</w:t>
            </w:r>
          </w:p>
        </w:tc>
        <w:tc>
          <w:tcPr>
            <w:tcW w:w="1028" w:type="dxa"/>
            <w:hideMark/>
          </w:tcPr>
          <w:p w14:paraId="2FD79481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-8.6</w:t>
            </w:r>
          </w:p>
        </w:tc>
        <w:tc>
          <w:tcPr>
            <w:tcW w:w="1169" w:type="dxa"/>
            <w:hideMark/>
          </w:tcPr>
          <w:p w14:paraId="7C68D627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163.0 ± 2.3</w:t>
            </w:r>
          </w:p>
        </w:tc>
        <w:tc>
          <w:tcPr>
            <w:tcW w:w="957" w:type="dxa"/>
          </w:tcPr>
          <w:p w14:paraId="5CEC8656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161.5 ± 1.4</w:t>
            </w:r>
          </w:p>
        </w:tc>
        <w:tc>
          <w:tcPr>
            <w:tcW w:w="993" w:type="dxa"/>
            <w:hideMark/>
          </w:tcPr>
          <w:p w14:paraId="78EA67EE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-1.6</w:t>
            </w:r>
          </w:p>
        </w:tc>
        <w:tc>
          <w:tcPr>
            <w:tcW w:w="1337" w:type="dxa"/>
            <w:hideMark/>
          </w:tcPr>
          <w:p w14:paraId="53A21BBB" w14:textId="77777777" w:rsidR="00F46825" w:rsidRPr="00107798" w:rsidRDefault="00F46825" w:rsidP="00C055BE">
            <w:pPr>
              <w:pStyle w:val="MDPI42tablebody"/>
              <w:rPr>
                <w:sz w:val="16"/>
              </w:rPr>
            </w:pPr>
            <w:r w:rsidRPr="00107798">
              <w:rPr>
                <w:sz w:val="16"/>
              </w:rPr>
              <w:t>*&lt; .0001/&lt; .0001</w:t>
            </w:r>
          </w:p>
        </w:tc>
      </w:tr>
      <w:tr w:rsidR="00F46825" w:rsidRPr="004C6097" w14:paraId="4EDDB50F" w14:textId="77777777" w:rsidTr="00C055BE">
        <w:trPr>
          <w:trHeight w:val="260"/>
        </w:trPr>
        <w:tc>
          <w:tcPr>
            <w:tcW w:w="1668" w:type="dxa"/>
            <w:noWrap/>
            <w:hideMark/>
          </w:tcPr>
          <w:p w14:paraId="0A33927F" w14:textId="0C6F275A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VLDL-C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134" w:type="dxa"/>
            <w:hideMark/>
          </w:tcPr>
          <w:p w14:paraId="7787D857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17.1 ± 1.0</w:t>
            </w:r>
          </w:p>
        </w:tc>
        <w:tc>
          <w:tcPr>
            <w:tcW w:w="956" w:type="dxa"/>
          </w:tcPr>
          <w:p w14:paraId="31838960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 xml:space="preserve">15.0 </w:t>
            </w:r>
            <w:r w:rsidRPr="004C6097">
              <w:rPr>
                <w:sz w:val="16"/>
              </w:rPr>
              <w:t xml:space="preserve">± </w:t>
            </w:r>
            <w:r w:rsidRPr="004C6097">
              <w:rPr>
                <w:rFonts w:cs="SAS Monospace"/>
                <w:sz w:val="16"/>
                <w:szCs w:val="16"/>
              </w:rPr>
              <w:t>0.6</w:t>
            </w:r>
          </w:p>
        </w:tc>
        <w:tc>
          <w:tcPr>
            <w:tcW w:w="1028" w:type="dxa"/>
            <w:hideMark/>
          </w:tcPr>
          <w:p w14:paraId="1E3A06D0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  <w:szCs w:val="16"/>
              </w:rPr>
              <w:t>-2.1</w:t>
            </w:r>
          </w:p>
        </w:tc>
        <w:tc>
          <w:tcPr>
            <w:tcW w:w="1169" w:type="dxa"/>
            <w:hideMark/>
          </w:tcPr>
          <w:p w14:paraId="3324125C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17.2 ± 1.1</w:t>
            </w:r>
          </w:p>
        </w:tc>
        <w:tc>
          <w:tcPr>
            <w:tcW w:w="957" w:type="dxa"/>
          </w:tcPr>
          <w:p w14:paraId="09E12120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 xml:space="preserve">18.0 </w:t>
            </w:r>
            <w:r w:rsidRPr="004C6097">
              <w:rPr>
                <w:sz w:val="16"/>
              </w:rPr>
              <w:t xml:space="preserve">± </w:t>
            </w:r>
            <w:r w:rsidRPr="004C6097">
              <w:rPr>
                <w:rFonts w:cs="SAS Monospace"/>
                <w:sz w:val="16"/>
                <w:szCs w:val="16"/>
              </w:rPr>
              <w:t>0.8</w:t>
            </w:r>
          </w:p>
        </w:tc>
        <w:tc>
          <w:tcPr>
            <w:tcW w:w="993" w:type="dxa"/>
            <w:hideMark/>
          </w:tcPr>
          <w:p w14:paraId="1CC089F7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  <w:szCs w:val="16"/>
              </w:rPr>
              <w:t>0.9</w:t>
            </w:r>
          </w:p>
        </w:tc>
        <w:tc>
          <w:tcPr>
            <w:tcW w:w="1337" w:type="dxa"/>
            <w:hideMark/>
          </w:tcPr>
          <w:p w14:paraId="21798B32" w14:textId="77777777" w:rsidR="00F46825" w:rsidRPr="00107798" w:rsidRDefault="00F46825" w:rsidP="00C055BE">
            <w:pPr>
              <w:pStyle w:val="MDPI42tablebody"/>
              <w:rPr>
                <w:sz w:val="16"/>
              </w:rPr>
            </w:pPr>
            <w:r w:rsidRPr="00107798">
              <w:rPr>
                <w:sz w:val="16"/>
              </w:rPr>
              <w:t>*</w:t>
            </w:r>
            <w:r w:rsidRPr="00107798">
              <w:rPr>
                <w:sz w:val="16"/>
                <w:szCs w:val="16"/>
              </w:rPr>
              <w:t>0.0005/</w:t>
            </w:r>
            <w:r w:rsidRPr="00107798">
              <w:rPr>
                <w:rFonts w:cs="SAS Monospace"/>
                <w:sz w:val="16"/>
                <w:szCs w:val="16"/>
              </w:rPr>
              <w:t>0.0005</w:t>
            </w:r>
          </w:p>
        </w:tc>
      </w:tr>
      <w:tr w:rsidR="00F46825" w:rsidRPr="004C6097" w14:paraId="6964113C" w14:textId="77777777" w:rsidTr="00C055BE">
        <w:trPr>
          <w:trHeight w:val="260"/>
        </w:trPr>
        <w:tc>
          <w:tcPr>
            <w:tcW w:w="1668" w:type="dxa"/>
            <w:noWrap/>
            <w:hideMark/>
          </w:tcPr>
          <w:p w14:paraId="2A77ED9F" w14:textId="412F4B05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TG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134" w:type="dxa"/>
            <w:hideMark/>
          </w:tcPr>
          <w:p w14:paraId="55E3B930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102.6 ± 3.3</w:t>
            </w:r>
          </w:p>
        </w:tc>
        <w:tc>
          <w:tcPr>
            <w:tcW w:w="956" w:type="dxa"/>
          </w:tcPr>
          <w:p w14:paraId="1C444AC5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 xml:space="preserve">98.1 </w:t>
            </w:r>
            <w:r w:rsidRPr="004C6097">
              <w:rPr>
                <w:sz w:val="16"/>
              </w:rPr>
              <w:t xml:space="preserve">± </w:t>
            </w:r>
            <w:r w:rsidRPr="004C6097">
              <w:rPr>
                <w:rFonts w:cs="SAS Monospace"/>
                <w:sz w:val="16"/>
                <w:szCs w:val="16"/>
              </w:rPr>
              <w:t>2.2</w:t>
            </w:r>
          </w:p>
        </w:tc>
        <w:tc>
          <w:tcPr>
            <w:tcW w:w="1028" w:type="dxa"/>
            <w:hideMark/>
          </w:tcPr>
          <w:p w14:paraId="02F5235D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-5.3</w:t>
            </w:r>
          </w:p>
        </w:tc>
        <w:tc>
          <w:tcPr>
            <w:tcW w:w="1169" w:type="dxa"/>
            <w:hideMark/>
          </w:tcPr>
          <w:p w14:paraId="115A5851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104.2 ± 3.4</w:t>
            </w:r>
          </w:p>
        </w:tc>
        <w:tc>
          <w:tcPr>
            <w:tcW w:w="957" w:type="dxa"/>
          </w:tcPr>
          <w:p w14:paraId="51FAD160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 xml:space="preserve">107.9 </w:t>
            </w:r>
            <w:r w:rsidRPr="004C6097">
              <w:rPr>
                <w:sz w:val="16"/>
              </w:rPr>
              <w:t>±</w:t>
            </w:r>
            <w:r w:rsidRPr="004C6097">
              <w:rPr>
                <w:rFonts w:cs="SAS Monospace"/>
                <w:sz w:val="16"/>
                <w:szCs w:val="16"/>
              </w:rPr>
              <w:t xml:space="preserve"> 3.0</w:t>
            </w:r>
          </w:p>
        </w:tc>
        <w:tc>
          <w:tcPr>
            <w:tcW w:w="993" w:type="dxa"/>
            <w:hideMark/>
          </w:tcPr>
          <w:p w14:paraId="1E3F3854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4.5</w:t>
            </w:r>
          </w:p>
        </w:tc>
        <w:tc>
          <w:tcPr>
            <w:tcW w:w="1337" w:type="dxa"/>
            <w:hideMark/>
          </w:tcPr>
          <w:p w14:paraId="7A60A9EE" w14:textId="77777777" w:rsidR="00F46825" w:rsidRPr="00107798" w:rsidRDefault="00F46825" w:rsidP="00C055BE">
            <w:pPr>
              <w:pStyle w:val="MDPI42tablebody"/>
              <w:rPr>
                <w:sz w:val="16"/>
              </w:rPr>
            </w:pPr>
            <w:r w:rsidRPr="00107798">
              <w:rPr>
                <w:sz w:val="16"/>
              </w:rPr>
              <w:t>*</w:t>
            </w:r>
            <w:r w:rsidRPr="00107798">
              <w:rPr>
                <w:rFonts w:cs="SAS Monospace"/>
                <w:sz w:val="16"/>
                <w:szCs w:val="16"/>
              </w:rPr>
              <w:t>0.0016/0.0016</w:t>
            </w:r>
          </w:p>
        </w:tc>
      </w:tr>
      <w:tr w:rsidR="00F46825" w:rsidRPr="004C6097" w14:paraId="36FEF6F3" w14:textId="77777777" w:rsidTr="00C055BE">
        <w:trPr>
          <w:trHeight w:val="260"/>
        </w:trPr>
        <w:tc>
          <w:tcPr>
            <w:tcW w:w="1668" w:type="dxa"/>
            <w:noWrap/>
            <w:hideMark/>
          </w:tcPr>
          <w:p w14:paraId="3EF61BB7" w14:textId="02B1E6AC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VLDL-TG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134" w:type="dxa"/>
            <w:hideMark/>
          </w:tcPr>
          <w:p w14:paraId="02920B0F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75.4 ± 3.5</w:t>
            </w:r>
          </w:p>
        </w:tc>
        <w:tc>
          <w:tcPr>
            <w:tcW w:w="956" w:type="dxa"/>
          </w:tcPr>
          <w:p w14:paraId="37BEEE2E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  <w:szCs w:val="16"/>
              </w:rPr>
              <w:t xml:space="preserve">74.5 </w:t>
            </w:r>
            <w:r w:rsidRPr="004C6097">
              <w:rPr>
                <w:sz w:val="16"/>
              </w:rPr>
              <w:t xml:space="preserve">± </w:t>
            </w:r>
            <w:r w:rsidRPr="004C6097">
              <w:rPr>
                <w:sz w:val="16"/>
                <w:szCs w:val="16"/>
              </w:rPr>
              <w:t>2.3</w:t>
            </w:r>
          </w:p>
        </w:tc>
        <w:tc>
          <w:tcPr>
            <w:tcW w:w="1028" w:type="dxa"/>
            <w:hideMark/>
          </w:tcPr>
          <w:p w14:paraId="32C4293D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  <w:szCs w:val="16"/>
              </w:rPr>
              <w:t>-2.8</w:t>
            </w:r>
          </w:p>
        </w:tc>
        <w:tc>
          <w:tcPr>
            <w:tcW w:w="1169" w:type="dxa"/>
            <w:hideMark/>
          </w:tcPr>
          <w:p w14:paraId="2A6EE16D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79.2 ± 3.6</w:t>
            </w:r>
          </w:p>
        </w:tc>
        <w:tc>
          <w:tcPr>
            <w:tcW w:w="957" w:type="dxa"/>
          </w:tcPr>
          <w:p w14:paraId="7ACAEB62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  <w:szCs w:val="16"/>
              </w:rPr>
              <w:t xml:space="preserve">82.3 </w:t>
            </w:r>
            <w:r w:rsidRPr="004C6097">
              <w:rPr>
                <w:sz w:val="16"/>
              </w:rPr>
              <w:t xml:space="preserve">± </w:t>
            </w:r>
            <w:r w:rsidRPr="004C6097">
              <w:rPr>
                <w:sz w:val="16"/>
                <w:szCs w:val="16"/>
              </w:rPr>
              <w:t>3.1</w:t>
            </w:r>
          </w:p>
        </w:tc>
        <w:tc>
          <w:tcPr>
            <w:tcW w:w="993" w:type="dxa"/>
            <w:hideMark/>
          </w:tcPr>
          <w:p w14:paraId="55B5182B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  <w:szCs w:val="16"/>
              </w:rPr>
              <w:t>5.0</w:t>
            </w:r>
          </w:p>
        </w:tc>
        <w:tc>
          <w:tcPr>
            <w:tcW w:w="1337" w:type="dxa"/>
            <w:hideMark/>
          </w:tcPr>
          <w:p w14:paraId="1F6D1658" w14:textId="77777777" w:rsidR="00F46825" w:rsidRPr="00107798" w:rsidRDefault="00F46825" w:rsidP="00C055BE">
            <w:pPr>
              <w:pStyle w:val="MDPI42tablebody"/>
              <w:rPr>
                <w:sz w:val="16"/>
              </w:rPr>
            </w:pPr>
            <w:r w:rsidRPr="00107798">
              <w:rPr>
                <w:sz w:val="16"/>
              </w:rPr>
              <w:t>*</w:t>
            </w:r>
            <w:r w:rsidRPr="00107798">
              <w:rPr>
                <w:sz w:val="16"/>
                <w:szCs w:val="16"/>
              </w:rPr>
              <w:t>0.0159/0.0159</w:t>
            </w:r>
          </w:p>
        </w:tc>
      </w:tr>
      <w:tr w:rsidR="00F46825" w:rsidRPr="004C6097" w14:paraId="393E55C9" w14:textId="77777777" w:rsidTr="00C055BE">
        <w:trPr>
          <w:trHeight w:val="260"/>
        </w:trPr>
        <w:tc>
          <w:tcPr>
            <w:tcW w:w="1668" w:type="dxa"/>
            <w:noWrap/>
            <w:hideMark/>
          </w:tcPr>
          <w:p w14:paraId="6E549EF8" w14:textId="3AB4900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Lp(a)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134" w:type="dxa"/>
            <w:hideMark/>
          </w:tcPr>
          <w:p w14:paraId="3F637001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12.5 (1-139)</w:t>
            </w:r>
          </w:p>
        </w:tc>
        <w:tc>
          <w:tcPr>
            <w:tcW w:w="956" w:type="dxa"/>
          </w:tcPr>
          <w:p w14:paraId="64CC9D05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 xml:space="preserve">29.8 </w:t>
            </w:r>
            <w:r w:rsidRPr="004C6097">
              <w:rPr>
                <w:sz w:val="16"/>
              </w:rPr>
              <w:t xml:space="preserve"> ± </w:t>
            </w:r>
            <w:r w:rsidRPr="004C6097">
              <w:rPr>
                <w:rFonts w:cs="SAS Monospace"/>
                <w:sz w:val="16"/>
                <w:szCs w:val="16"/>
              </w:rPr>
              <w:t>0.6</w:t>
            </w:r>
          </w:p>
        </w:tc>
        <w:tc>
          <w:tcPr>
            <w:tcW w:w="1028" w:type="dxa"/>
            <w:hideMark/>
          </w:tcPr>
          <w:p w14:paraId="18B0ADAC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-0.4</w:t>
            </w:r>
          </w:p>
        </w:tc>
        <w:tc>
          <w:tcPr>
            <w:tcW w:w="1169" w:type="dxa"/>
            <w:hideMark/>
          </w:tcPr>
          <w:p w14:paraId="4D0365B1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12.0 (2 - 173)</w:t>
            </w:r>
          </w:p>
        </w:tc>
        <w:tc>
          <w:tcPr>
            <w:tcW w:w="957" w:type="dxa"/>
          </w:tcPr>
          <w:p w14:paraId="166118B6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 xml:space="preserve">29.7 </w:t>
            </w:r>
            <w:r w:rsidRPr="004C6097">
              <w:rPr>
                <w:sz w:val="16"/>
              </w:rPr>
              <w:t xml:space="preserve">± </w:t>
            </w:r>
            <w:r w:rsidRPr="004C6097">
              <w:rPr>
                <w:rFonts w:cs="SAS Monospace"/>
                <w:sz w:val="16"/>
                <w:szCs w:val="16"/>
              </w:rPr>
              <w:t>0.5</w:t>
            </w:r>
          </w:p>
        </w:tc>
        <w:tc>
          <w:tcPr>
            <w:tcW w:w="993" w:type="dxa"/>
            <w:hideMark/>
          </w:tcPr>
          <w:p w14:paraId="25FDB6B1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-0.5</w:t>
            </w:r>
          </w:p>
        </w:tc>
        <w:tc>
          <w:tcPr>
            <w:tcW w:w="1337" w:type="dxa"/>
            <w:hideMark/>
          </w:tcPr>
          <w:p w14:paraId="11565D19" w14:textId="77777777" w:rsidR="00F46825" w:rsidRPr="00107798" w:rsidRDefault="00F46825" w:rsidP="00C055BE">
            <w:pPr>
              <w:pStyle w:val="MDPI42tablebody"/>
              <w:rPr>
                <w:sz w:val="16"/>
              </w:rPr>
            </w:pPr>
            <w:r w:rsidRPr="00107798">
              <w:rPr>
                <w:rFonts w:cs="SAS Monospace"/>
                <w:sz w:val="16"/>
                <w:szCs w:val="16"/>
              </w:rPr>
              <w:t>0.8698/0.8698</w:t>
            </w:r>
          </w:p>
        </w:tc>
      </w:tr>
      <w:tr w:rsidR="00F46825" w:rsidRPr="004C6097" w14:paraId="2CCA9FA3" w14:textId="77777777" w:rsidTr="00C055BE">
        <w:trPr>
          <w:trHeight w:val="260"/>
        </w:trPr>
        <w:tc>
          <w:tcPr>
            <w:tcW w:w="1668" w:type="dxa"/>
            <w:noWrap/>
            <w:hideMark/>
          </w:tcPr>
          <w:p w14:paraId="276DC15C" w14:textId="5486A91A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Log(Lp(a))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134" w:type="dxa"/>
            <w:hideMark/>
          </w:tcPr>
          <w:p w14:paraId="389FA8E2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2.5 (0 – 4.9)</w:t>
            </w:r>
          </w:p>
        </w:tc>
        <w:tc>
          <w:tcPr>
            <w:tcW w:w="956" w:type="dxa"/>
          </w:tcPr>
          <w:p w14:paraId="601EC45C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2.7 ± 0.02</w:t>
            </w:r>
          </w:p>
        </w:tc>
        <w:tc>
          <w:tcPr>
            <w:tcW w:w="1028" w:type="dxa"/>
            <w:hideMark/>
          </w:tcPr>
          <w:p w14:paraId="175FEA98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-0.02</w:t>
            </w:r>
          </w:p>
        </w:tc>
        <w:tc>
          <w:tcPr>
            <w:tcW w:w="1169" w:type="dxa"/>
            <w:hideMark/>
          </w:tcPr>
          <w:p w14:paraId="55B795A5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2.5 (0.7 – 5.2)</w:t>
            </w:r>
          </w:p>
        </w:tc>
        <w:tc>
          <w:tcPr>
            <w:tcW w:w="957" w:type="dxa"/>
          </w:tcPr>
          <w:p w14:paraId="7EF4BF44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2.7 ± 0.02</w:t>
            </w:r>
          </w:p>
        </w:tc>
        <w:tc>
          <w:tcPr>
            <w:tcW w:w="993" w:type="dxa"/>
            <w:hideMark/>
          </w:tcPr>
          <w:p w14:paraId="0E5A9C3A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-0.01</w:t>
            </w:r>
          </w:p>
        </w:tc>
        <w:tc>
          <w:tcPr>
            <w:tcW w:w="1337" w:type="dxa"/>
            <w:hideMark/>
          </w:tcPr>
          <w:p w14:paraId="45280EBF" w14:textId="77777777" w:rsidR="00F46825" w:rsidRPr="00107798" w:rsidRDefault="00F46825" w:rsidP="00C055BE">
            <w:pPr>
              <w:pStyle w:val="MDPI42tablebody"/>
              <w:rPr>
                <w:sz w:val="16"/>
              </w:rPr>
            </w:pPr>
            <w:r w:rsidRPr="00107798">
              <w:rPr>
                <w:sz w:val="16"/>
              </w:rPr>
              <w:t>0.7324/0.7324</w:t>
            </w:r>
          </w:p>
        </w:tc>
      </w:tr>
      <w:tr w:rsidR="00F46825" w:rsidRPr="004C6097" w14:paraId="7C16A01C" w14:textId="77777777" w:rsidTr="00C055BE">
        <w:trPr>
          <w:trHeight w:val="260"/>
        </w:trPr>
        <w:tc>
          <w:tcPr>
            <w:tcW w:w="1668" w:type="dxa"/>
            <w:noWrap/>
            <w:hideMark/>
          </w:tcPr>
          <w:p w14:paraId="745AF96B" w14:textId="4CE70C1A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apoB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134" w:type="dxa"/>
            <w:hideMark/>
          </w:tcPr>
          <w:p w14:paraId="611F6977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109.8 ± 1.5</w:t>
            </w:r>
          </w:p>
        </w:tc>
        <w:tc>
          <w:tcPr>
            <w:tcW w:w="956" w:type="dxa"/>
          </w:tcPr>
          <w:p w14:paraId="0D1DF424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  <w:szCs w:val="16"/>
              </w:rPr>
              <w:t xml:space="preserve">103.4 </w:t>
            </w:r>
            <w:r w:rsidRPr="004C6097">
              <w:rPr>
                <w:sz w:val="16"/>
              </w:rPr>
              <w:t xml:space="preserve">± </w:t>
            </w:r>
            <w:r w:rsidRPr="004C6097">
              <w:rPr>
                <w:sz w:val="16"/>
                <w:szCs w:val="16"/>
              </w:rPr>
              <w:t>0.9</w:t>
            </w:r>
          </w:p>
        </w:tc>
        <w:tc>
          <w:tcPr>
            <w:tcW w:w="1028" w:type="dxa"/>
            <w:hideMark/>
          </w:tcPr>
          <w:p w14:paraId="512BD0DC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  <w:szCs w:val="16"/>
              </w:rPr>
              <w:t>-6.4</w:t>
            </w:r>
          </w:p>
        </w:tc>
        <w:tc>
          <w:tcPr>
            <w:tcW w:w="1169" w:type="dxa"/>
            <w:hideMark/>
          </w:tcPr>
          <w:p w14:paraId="18F86237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109.7 ± 1.4</w:t>
            </w:r>
          </w:p>
        </w:tc>
        <w:tc>
          <w:tcPr>
            <w:tcW w:w="957" w:type="dxa"/>
          </w:tcPr>
          <w:p w14:paraId="0BDC86BD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  <w:szCs w:val="16"/>
              </w:rPr>
              <w:t xml:space="preserve">108.8 </w:t>
            </w:r>
            <w:r w:rsidRPr="004C6097">
              <w:rPr>
                <w:sz w:val="16"/>
              </w:rPr>
              <w:t xml:space="preserve">± </w:t>
            </w:r>
            <w:r w:rsidRPr="004C6097">
              <w:rPr>
                <w:sz w:val="16"/>
                <w:szCs w:val="16"/>
              </w:rPr>
              <w:t>0.9</w:t>
            </w:r>
          </w:p>
        </w:tc>
        <w:tc>
          <w:tcPr>
            <w:tcW w:w="993" w:type="dxa"/>
            <w:hideMark/>
          </w:tcPr>
          <w:p w14:paraId="2629C153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  <w:szCs w:val="16"/>
              </w:rPr>
              <w:t>-1.0</w:t>
            </w:r>
          </w:p>
        </w:tc>
        <w:tc>
          <w:tcPr>
            <w:tcW w:w="1337" w:type="dxa"/>
            <w:hideMark/>
          </w:tcPr>
          <w:p w14:paraId="2AEA5DA0" w14:textId="77777777" w:rsidR="00F46825" w:rsidRPr="00107798" w:rsidRDefault="00F46825" w:rsidP="00C055BE">
            <w:pPr>
              <w:pStyle w:val="MDPI42tablebody"/>
              <w:rPr>
                <w:sz w:val="16"/>
              </w:rPr>
            </w:pPr>
            <w:r w:rsidRPr="00107798">
              <w:rPr>
                <w:sz w:val="16"/>
              </w:rPr>
              <w:t>*&lt; .0001/&lt; .0001</w:t>
            </w:r>
          </w:p>
        </w:tc>
      </w:tr>
      <w:tr w:rsidR="00F46825" w:rsidRPr="004C6097" w14:paraId="22B58A6F" w14:textId="77777777" w:rsidTr="00C055BE">
        <w:trPr>
          <w:trHeight w:val="260"/>
        </w:trPr>
        <w:tc>
          <w:tcPr>
            <w:tcW w:w="1668" w:type="dxa"/>
            <w:noWrap/>
            <w:hideMark/>
          </w:tcPr>
          <w:p w14:paraId="0B093BF9" w14:textId="594C68D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HbA1c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134" w:type="dxa"/>
            <w:hideMark/>
          </w:tcPr>
          <w:p w14:paraId="7C4E8536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5.4 ± 0.02</w:t>
            </w:r>
          </w:p>
        </w:tc>
        <w:tc>
          <w:tcPr>
            <w:tcW w:w="956" w:type="dxa"/>
          </w:tcPr>
          <w:p w14:paraId="6B596CF0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 xml:space="preserve">5.53 </w:t>
            </w:r>
            <w:r w:rsidRPr="004C6097">
              <w:rPr>
                <w:sz w:val="16"/>
              </w:rPr>
              <w:t xml:space="preserve">± </w:t>
            </w:r>
            <w:r w:rsidRPr="004C6097">
              <w:rPr>
                <w:rFonts w:cs="SAS Monospace"/>
                <w:sz w:val="16"/>
                <w:szCs w:val="16"/>
              </w:rPr>
              <w:t>0.01</w:t>
            </w:r>
          </w:p>
        </w:tc>
        <w:tc>
          <w:tcPr>
            <w:tcW w:w="1028" w:type="dxa"/>
            <w:hideMark/>
          </w:tcPr>
          <w:p w14:paraId="60B52AFF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0.07</w:t>
            </w:r>
          </w:p>
        </w:tc>
        <w:tc>
          <w:tcPr>
            <w:tcW w:w="1169" w:type="dxa"/>
            <w:hideMark/>
          </w:tcPr>
          <w:p w14:paraId="213F6390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5.5 ± 0.02</w:t>
            </w:r>
          </w:p>
        </w:tc>
        <w:tc>
          <w:tcPr>
            <w:tcW w:w="957" w:type="dxa"/>
          </w:tcPr>
          <w:p w14:paraId="17DB4682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 xml:space="preserve">5.48 </w:t>
            </w:r>
            <w:r w:rsidRPr="004C6097">
              <w:rPr>
                <w:sz w:val="16"/>
              </w:rPr>
              <w:t xml:space="preserve">± </w:t>
            </w:r>
            <w:r w:rsidRPr="004C6097">
              <w:rPr>
                <w:rFonts w:cs="SAS Monospace"/>
                <w:sz w:val="16"/>
                <w:szCs w:val="16"/>
              </w:rPr>
              <w:t>0.01</w:t>
            </w:r>
          </w:p>
        </w:tc>
        <w:tc>
          <w:tcPr>
            <w:tcW w:w="993" w:type="dxa"/>
            <w:hideMark/>
          </w:tcPr>
          <w:p w14:paraId="522CAFBC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0.03</w:t>
            </w:r>
          </w:p>
        </w:tc>
        <w:tc>
          <w:tcPr>
            <w:tcW w:w="1337" w:type="dxa"/>
            <w:hideMark/>
          </w:tcPr>
          <w:p w14:paraId="175E9637" w14:textId="77777777" w:rsidR="00F46825" w:rsidRPr="00107798" w:rsidRDefault="00F46825" w:rsidP="00C055BE">
            <w:pPr>
              <w:pStyle w:val="MDPI42tablebody"/>
              <w:rPr>
                <w:sz w:val="16"/>
              </w:rPr>
            </w:pPr>
            <w:r w:rsidRPr="00107798">
              <w:rPr>
                <w:rFonts w:cs="SAS Monospace"/>
                <w:sz w:val="16"/>
                <w:szCs w:val="16"/>
              </w:rPr>
              <w:t>0.0024/0.0024</w:t>
            </w:r>
          </w:p>
        </w:tc>
      </w:tr>
      <w:tr w:rsidR="00F46825" w:rsidRPr="004C6097" w14:paraId="36C1C3F4" w14:textId="77777777" w:rsidTr="00C055BE">
        <w:trPr>
          <w:trHeight w:val="260"/>
        </w:trPr>
        <w:tc>
          <w:tcPr>
            <w:tcW w:w="1668" w:type="dxa"/>
            <w:noWrap/>
            <w:hideMark/>
          </w:tcPr>
          <w:p w14:paraId="298C7E9F" w14:textId="4B938B4A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Glucose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134" w:type="dxa"/>
            <w:hideMark/>
          </w:tcPr>
          <w:p w14:paraId="0DE25961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91.3 ± 0.6</w:t>
            </w:r>
          </w:p>
        </w:tc>
        <w:tc>
          <w:tcPr>
            <w:tcW w:w="956" w:type="dxa"/>
          </w:tcPr>
          <w:p w14:paraId="3F8B99E2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 xml:space="preserve">93.3 </w:t>
            </w:r>
            <w:r w:rsidRPr="004C6097">
              <w:rPr>
                <w:sz w:val="16"/>
              </w:rPr>
              <w:t xml:space="preserve">± </w:t>
            </w:r>
            <w:r w:rsidRPr="004C6097">
              <w:rPr>
                <w:rFonts w:cs="SAS Monospace"/>
                <w:sz w:val="16"/>
                <w:szCs w:val="16"/>
              </w:rPr>
              <w:t>0.5</w:t>
            </w:r>
          </w:p>
        </w:tc>
        <w:tc>
          <w:tcPr>
            <w:tcW w:w="1028" w:type="dxa"/>
            <w:hideMark/>
          </w:tcPr>
          <w:p w14:paraId="699B3D0E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1.4</w:t>
            </w:r>
          </w:p>
        </w:tc>
        <w:tc>
          <w:tcPr>
            <w:tcW w:w="1169" w:type="dxa"/>
            <w:hideMark/>
          </w:tcPr>
          <w:p w14:paraId="038226A5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92.5 ± 0.6</w:t>
            </w:r>
          </w:p>
        </w:tc>
        <w:tc>
          <w:tcPr>
            <w:tcW w:w="957" w:type="dxa"/>
          </w:tcPr>
          <w:p w14:paraId="33113247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 xml:space="preserve">92.2 </w:t>
            </w:r>
            <w:r w:rsidRPr="004C6097">
              <w:rPr>
                <w:sz w:val="16"/>
              </w:rPr>
              <w:t xml:space="preserve">± </w:t>
            </w:r>
            <w:r w:rsidRPr="004C6097">
              <w:rPr>
                <w:rFonts w:cs="SAS Monospace"/>
                <w:sz w:val="16"/>
                <w:szCs w:val="16"/>
              </w:rPr>
              <w:t>0.5</w:t>
            </w:r>
          </w:p>
        </w:tc>
        <w:tc>
          <w:tcPr>
            <w:tcW w:w="993" w:type="dxa"/>
            <w:hideMark/>
          </w:tcPr>
          <w:p w14:paraId="35C29952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0.3</w:t>
            </w:r>
          </w:p>
        </w:tc>
        <w:tc>
          <w:tcPr>
            <w:tcW w:w="1337" w:type="dxa"/>
            <w:hideMark/>
          </w:tcPr>
          <w:p w14:paraId="0580BC3B" w14:textId="77777777" w:rsidR="00F46825" w:rsidRPr="00107798" w:rsidRDefault="00F46825" w:rsidP="00C055BE">
            <w:pPr>
              <w:pStyle w:val="MDPI42tablebody"/>
              <w:rPr>
                <w:sz w:val="16"/>
              </w:rPr>
            </w:pPr>
            <w:r w:rsidRPr="00107798">
              <w:rPr>
                <w:rFonts w:cs="SAS Monospace"/>
                <w:sz w:val="16"/>
                <w:szCs w:val="16"/>
              </w:rPr>
              <w:t>0.0724/0.0724</w:t>
            </w:r>
          </w:p>
        </w:tc>
      </w:tr>
    </w:tbl>
    <w:p w14:paraId="42873B09" w14:textId="1A9A1697" w:rsidR="00F46825" w:rsidRPr="00F46825" w:rsidRDefault="00F46825" w:rsidP="00F46825">
      <w:pPr>
        <w:pStyle w:val="MDPI43tablefooter"/>
        <w:ind w:left="425" w:right="425"/>
      </w:pPr>
      <w:r w:rsidRPr="00F46825">
        <w:t>Baseline values are mean ± SEM and median (range) for lipoprotein</w:t>
      </w:r>
      <w:r w:rsidR="00540081">
        <w:t xml:space="preserve"> </w:t>
      </w:r>
      <w:r w:rsidRPr="00F46825">
        <w:t>(a) and log of lipoprotein</w:t>
      </w:r>
      <w:r w:rsidR="00540081">
        <w:t xml:space="preserve"> </w:t>
      </w:r>
      <w:r w:rsidRPr="00F46825">
        <w:t>(a); Post-value and change in parameters are adjusted least square mean values</w:t>
      </w:r>
      <w:r w:rsidR="00540081">
        <w:t>,</w:t>
      </w:r>
      <w:r w:rsidRPr="00F46825">
        <w:t xml:space="preserve"> and together with </w:t>
      </w:r>
      <w:r w:rsidR="00540081">
        <w:t xml:space="preserve">the </w:t>
      </w:r>
      <w:r w:rsidRPr="00F46825">
        <w:t>p-value</w:t>
      </w:r>
      <w:r w:rsidR="00540081">
        <w:t>,</w:t>
      </w:r>
      <w:r w:rsidRPr="00F46825">
        <w:t xml:space="preserve"> are calculated using a multivariate regression (proc mixed in SAS</w:t>
      </w:r>
      <w:bookmarkStart w:id="0" w:name="_GoBack"/>
      <w:bookmarkEnd w:id="0"/>
      <w:r w:rsidRPr="00F46825">
        <w:t xml:space="preserve">) adjusting for age, gender, baseline parameter, baseline </w:t>
      </w:r>
      <w:r w:rsidR="00E216C9">
        <w:t>body mass index (BMI)</w:t>
      </w:r>
      <w:r w:rsidRPr="00F46825">
        <w:t>, treatment sequence, type of diet reduction (fat, carbohydrate</w:t>
      </w:r>
      <w:r w:rsidR="00CC7831">
        <w:t>,</w:t>
      </w:r>
      <w:r w:rsidRPr="00F46825">
        <w:t xml:space="preserve"> or both)</w:t>
      </w:r>
      <w:r w:rsidR="00CC7831">
        <w:t>,</w:t>
      </w:r>
      <w:r w:rsidRPr="00F46825">
        <w:t xml:space="preserve"> and whether walnuts were ingested as a snack or meal. There is not</w:t>
      </w:r>
      <w:r w:rsidR="00CC7831">
        <w:t xml:space="preserve"> a</w:t>
      </w:r>
      <w:r w:rsidRPr="00F46825">
        <w:t xml:space="preserve"> difference in p-value based on whether </w:t>
      </w:r>
      <w:r w:rsidR="00CC7831">
        <w:t xml:space="preserve">the </w:t>
      </w:r>
      <w:r w:rsidRPr="00F46825">
        <w:t xml:space="preserve">change or post value is used as </w:t>
      </w:r>
      <w:r w:rsidR="00CC7831">
        <w:t xml:space="preserve">a </w:t>
      </w:r>
      <w:r w:rsidRPr="00F46825">
        <w:t>dependent variable. All values in bold print are significant.</w:t>
      </w:r>
    </w:p>
    <w:p w14:paraId="58F0A87A" w14:textId="31EAB989" w:rsidR="00F46825" w:rsidRPr="004C6097" w:rsidRDefault="00F46825" w:rsidP="002E7693">
      <w:pPr>
        <w:pStyle w:val="MDPI41tablecaption"/>
        <w:rPr>
          <w:rFonts w:eastAsiaTheme="minorEastAsia"/>
        </w:rPr>
      </w:pPr>
      <w:r w:rsidRPr="002E7693">
        <w:rPr>
          <w:rFonts w:eastAsiaTheme="minorEastAsia"/>
          <w:b/>
        </w:rPr>
        <w:t xml:space="preserve">Table </w:t>
      </w:r>
      <w:r w:rsidR="002E7693" w:rsidRPr="002E7693">
        <w:rPr>
          <w:rFonts w:eastAsiaTheme="minorEastAsia"/>
          <w:b/>
        </w:rPr>
        <w:t>S</w:t>
      </w:r>
      <w:r w:rsidRPr="002E7693">
        <w:rPr>
          <w:rFonts w:eastAsiaTheme="minorEastAsia"/>
          <w:b/>
        </w:rPr>
        <w:t>2</w:t>
      </w:r>
      <w:r w:rsidR="002E7693" w:rsidRPr="002E7693">
        <w:rPr>
          <w:rFonts w:eastAsiaTheme="minorEastAsia"/>
          <w:b/>
        </w:rPr>
        <w:t>.</w:t>
      </w:r>
      <w:r w:rsidRPr="002E7693">
        <w:rPr>
          <w:rFonts w:eastAsiaTheme="minorEastAsia"/>
        </w:rPr>
        <w:t xml:space="preserve"> Intention to treat analysis examining </w:t>
      </w:r>
      <w:r w:rsidR="00CC7831">
        <w:rPr>
          <w:rFonts w:eastAsiaTheme="minorEastAsia"/>
        </w:rPr>
        <w:t xml:space="preserve">the </w:t>
      </w:r>
      <w:r w:rsidRPr="002E7693">
        <w:rPr>
          <w:rFonts w:eastAsiaTheme="minorEastAsia"/>
        </w:rPr>
        <w:t xml:space="preserve">effect of walnut consumption on fasting </w:t>
      </w:r>
      <w:r w:rsidRPr="004C6097">
        <w:rPr>
          <w:rFonts w:eastAsiaTheme="minorEastAsia"/>
        </w:rPr>
        <w:t>lipids, apoB</w:t>
      </w:r>
      <w:r w:rsidR="00CC7831">
        <w:rPr>
          <w:rFonts w:eastAsiaTheme="minorEastAsia"/>
        </w:rPr>
        <w:t>,</w:t>
      </w:r>
      <w:r w:rsidRPr="004C6097">
        <w:rPr>
          <w:rFonts w:eastAsiaTheme="minorEastAsia"/>
        </w:rPr>
        <w:t xml:space="preserve"> and Lp(a) when walnuts replace carbohydrates, fat or both with all missing values imputed using single MCMC imputation.</w:t>
      </w:r>
    </w:p>
    <w:tbl>
      <w:tblPr>
        <w:tblStyle w:val="Mdeck5tablebodythreelines"/>
        <w:tblW w:w="1040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4"/>
        <w:gridCol w:w="697"/>
        <w:gridCol w:w="697"/>
        <w:gridCol w:w="997"/>
        <w:gridCol w:w="988"/>
        <w:gridCol w:w="656"/>
        <w:gridCol w:w="1362"/>
        <w:gridCol w:w="1445"/>
        <w:gridCol w:w="1445"/>
        <w:gridCol w:w="574"/>
      </w:tblGrid>
      <w:tr w:rsidR="00F46825" w:rsidRPr="00443BFE" w14:paraId="32E96DFF" w14:textId="77777777" w:rsidTr="00C05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tcW w:w="0" w:type="auto"/>
            <w:gridSpan w:val="2"/>
            <w:noWrap/>
          </w:tcPr>
          <w:p w14:paraId="237C32DA" w14:textId="77777777" w:rsidR="00F46825" w:rsidRPr="00F46825" w:rsidRDefault="00F46825" w:rsidP="00C055BE">
            <w:pPr>
              <w:pStyle w:val="MDPI42tablebody"/>
              <w:rPr>
                <w:b/>
                <w:sz w:val="16"/>
                <w:lang w:val="en-US"/>
              </w:rPr>
            </w:pPr>
          </w:p>
        </w:tc>
        <w:tc>
          <w:tcPr>
            <w:tcW w:w="0" w:type="auto"/>
            <w:gridSpan w:val="4"/>
            <w:noWrap/>
          </w:tcPr>
          <w:p w14:paraId="6EB7A990" w14:textId="77777777" w:rsidR="00F46825" w:rsidRPr="004C6097" w:rsidRDefault="00F46825" w:rsidP="00C055BE">
            <w:pPr>
              <w:pStyle w:val="MDPI42tablebody"/>
              <w:rPr>
                <w:b/>
                <w:sz w:val="16"/>
              </w:rPr>
            </w:pPr>
            <w:r w:rsidRPr="004C6097">
              <w:rPr>
                <w:b/>
                <w:sz w:val="16"/>
              </w:rPr>
              <w:t>walnuts</w:t>
            </w:r>
          </w:p>
        </w:tc>
        <w:tc>
          <w:tcPr>
            <w:tcW w:w="0" w:type="auto"/>
            <w:gridSpan w:val="4"/>
            <w:noWrap/>
          </w:tcPr>
          <w:p w14:paraId="16F0E763" w14:textId="77777777" w:rsidR="00F46825" w:rsidRPr="004C6097" w:rsidRDefault="00F46825" w:rsidP="00C055BE">
            <w:pPr>
              <w:pStyle w:val="MDPI42tablebody"/>
              <w:rPr>
                <w:b/>
                <w:sz w:val="16"/>
              </w:rPr>
            </w:pPr>
            <w:r w:rsidRPr="004C6097">
              <w:rPr>
                <w:b/>
                <w:sz w:val="16"/>
              </w:rPr>
              <w:t>difference between walnuts and control</w:t>
            </w:r>
          </w:p>
        </w:tc>
      </w:tr>
      <w:tr w:rsidR="00F46825" w:rsidRPr="004C6097" w14:paraId="1A0FB9DD" w14:textId="77777777" w:rsidTr="00C055BE">
        <w:trPr>
          <w:trHeight w:val="261"/>
        </w:trPr>
        <w:tc>
          <w:tcPr>
            <w:tcW w:w="1544" w:type="dxa"/>
            <w:noWrap/>
            <w:hideMark/>
          </w:tcPr>
          <w:p w14:paraId="402DAFD8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Parameter</w:t>
            </w:r>
          </w:p>
        </w:tc>
        <w:tc>
          <w:tcPr>
            <w:tcW w:w="1346" w:type="dxa"/>
            <w:gridSpan w:val="2"/>
            <w:noWrap/>
            <w:hideMark/>
          </w:tcPr>
          <w:p w14:paraId="33BFD400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Δcarbohydrate</w:t>
            </w:r>
          </w:p>
        </w:tc>
        <w:tc>
          <w:tcPr>
            <w:tcW w:w="997" w:type="dxa"/>
            <w:hideMark/>
          </w:tcPr>
          <w:p w14:paraId="6134D85E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Δfat</w:t>
            </w:r>
          </w:p>
        </w:tc>
        <w:tc>
          <w:tcPr>
            <w:tcW w:w="988" w:type="dxa"/>
            <w:noWrap/>
            <w:hideMark/>
          </w:tcPr>
          <w:p w14:paraId="435D7C38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Δcomb</w:t>
            </w:r>
          </w:p>
        </w:tc>
        <w:tc>
          <w:tcPr>
            <w:tcW w:w="656" w:type="dxa"/>
            <w:noWrap/>
            <w:hideMark/>
          </w:tcPr>
          <w:p w14:paraId="747343A9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p</w:t>
            </w:r>
          </w:p>
        </w:tc>
        <w:tc>
          <w:tcPr>
            <w:tcW w:w="0" w:type="auto"/>
            <w:noWrap/>
            <w:hideMark/>
          </w:tcPr>
          <w:p w14:paraId="04F7AA00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Δcarbohydrate</w:t>
            </w:r>
          </w:p>
        </w:tc>
        <w:tc>
          <w:tcPr>
            <w:tcW w:w="0" w:type="auto"/>
            <w:hideMark/>
          </w:tcPr>
          <w:p w14:paraId="2C41825D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Δfat</w:t>
            </w:r>
          </w:p>
        </w:tc>
        <w:tc>
          <w:tcPr>
            <w:tcW w:w="0" w:type="auto"/>
            <w:noWrap/>
            <w:hideMark/>
          </w:tcPr>
          <w:p w14:paraId="683304BF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Δcomb</w:t>
            </w:r>
          </w:p>
        </w:tc>
        <w:tc>
          <w:tcPr>
            <w:tcW w:w="0" w:type="auto"/>
            <w:noWrap/>
            <w:hideMark/>
          </w:tcPr>
          <w:p w14:paraId="084A00DC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p</w:t>
            </w:r>
          </w:p>
        </w:tc>
      </w:tr>
      <w:tr w:rsidR="00F46825" w:rsidRPr="004C6097" w14:paraId="2FA6E402" w14:textId="77777777" w:rsidTr="00C055BE">
        <w:trPr>
          <w:trHeight w:val="261"/>
        </w:trPr>
        <w:tc>
          <w:tcPr>
            <w:tcW w:w="1544" w:type="dxa"/>
            <w:noWrap/>
            <w:hideMark/>
          </w:tcPr>
          <w:p w14:paraId="685A00C4" w14:textId="79E65E65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TC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346" w:type="dxa"/>
            <w:gridSpan w:val="2"/>
            <w:hideMark/>
          </w:tcPr>
          <w:p w14:paraId="5FDC42DB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-11.1 ± 2.6</w:t>
            </w:r>
          </w:p>
        </w:tc>
        <w:tc>
          <w:tcPr>
            <w:tcW w:w="997" w:type="dxa"/>
            <w:hideMark/>
          </w:tcPr>
          <w:p w14:paraId="1FFDBBBB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-8.5 ± 2.5</w:t>
            </w:r>
          </w:p>
        </w:tc>
        <w:tc>
          <w:tcPr>
            <w:tcW w:w="988" w:type="dxa"/>
            <w:hideMark/>
          </w:tcPr>
          <w:p w14:paraId="6417A52F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-5.9 ± 2.7</w:t>
            </w:r>
          </w:p>
        </w:tc>
        <w:tc>
          <w:tcPr>
            <w:tcW w:w="656" w:type="dxa"/>
            <w:hideMark/>
          </w:tcPr>
          <w:p w14:paraId="7A28FB60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0.3667</w:t>
            </w:r>
          </w:p>
        </w:tc>
        <w:tc>
          <w:tcPr>
            <w:tcW w:w="0" w:type="auto"/>
            <w:hideMark/>
          </w:tcPr>
          <w:p w14:paraId="11408305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-7.2 ± 3.4 (</w:t>
            </w:r>
            <w:r w:rsidRPr="004C6097">
              <w:rPr>
                <w:rFonts w:cs="SAS Monospace"/>
                <w:sz w:val="16"/>
                <w:szCs w:val="16"/>
              </w:rPr>
              <w:t>0.0344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72EF1514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-7.7 ± 3.3 (</w:t>
            </w:r>
            <w:r w:rsidRPr="004C6097">
              <w:rPr>
                <w:rFonts w:cs="SAS Monospace"/>
                <w:sz w:val="16"/>
                <w:szCs w:val="16"/>
              </w:rPr>
              <w:t>0.0198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59089E4B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-3.6 ± 3.4 (</w:t>
            </w:r>
            <w:r w:rsidRPr="004C6097">
              <w:rPr>
                <w:rFonts w:cs="SAS Monospace"/>
                <w:sz w:val="16"/>
                <w:szCs w:val="16"/>
              </w:rPr>
              <w:t>0.2911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3AAD912B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0.6341</w:t>
            </w:r>
          </w:p>
        </w:tc>
      </w:tr>
      <w:tr w:rsidR="00F46825" w:rsidRPr="004C6097" w14:paraId="7EE621EC" w14:textId="77777777" w:rsidTr="00C055BE">
        <w:trPr>
          <w:trHeight w:val="261"/>
        </w:trPr>
        <w:tc>
          <w:tcPr>
            <w:tcW w:w="1544" w:type="dxa"/>
            <w:noWrap/>
            <w:hideMark/>
          </w:tcPr>
          <w:p w14:paraId="3085DBD9" w14:textId="09667139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LDL-C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346" w:type="dxa"/>
            <w:gridSpan w:val="2"/>
            <w:hideMark/>
          </w:tcPr>
          <w:p w14:paraId="1A4FD360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 xml:space="preserve">-8.2 </w:t>
            </w:r>
            <w:r w:rsidRPr="004C6097">
              <w:rPr>
                <w:sz w:val="16"/>
              </w:rPr>
              <w:t>± 2.2</w:t>
            </w:r>
          </w:p>
        </w:tc>
        <w:tc>
          <w:tcPr>
            <w:tcW w:w="997" w:type="dxa"/>
            <w:hideMark/>
          </w:tcPr>
          <w:p w14:paraId="036CBE8E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-6.4 ± 2.2</w:t>
            </w:r>
          </w:p>
        </w:tc>
        <w:tc>
          <w:tcPr>
            <w:tcW w:w="988" w:type="dxa"/>
            <w:hideMark/>
          </w:tcPr>
          <w:p w14:paraId="7DD6F54B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-5.1 ± 2.4</w:t>
            </w:r>
          </w:p>
        </w:tc>
        <w:tc>
          <w:tcPr>
            <w:tcW w:w="656" w:type="dxa"/>
            <w:hideMark/>
          </w:tcPr>
          <w:p w14:paraId="3A8D48CA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0.6126</w:t>
            </w:r>
          </w:p>
        </w:tc>
        <w:tc>
          <w:tcPr>
            <w:tcW w:w="0" w:type="auto"/>
            <w:hideMark/>
          </w:tcPr>
          <w:p w14:paraId="592E41AD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-5.5 ± 2.8 (</w:t>
            </w:r>
            <w:r w:rsidRPr="004C6097">
              <w:rPr>
                <w:rFonts w:cs="SAS Monospace"/>
                <w:sz w:val="16"/>
                <w:szCs w:val="16"/>
              </w:rPr>
              <w:t>0.0455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5E9A70F3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-4.7 ± 2.7 (</w:t>
            </w:r>
            <w:r w:rsidRPr="004C6097">
              <w:rPr>
                <w:rFonts w:cs="SAS Monospace"/>
                <w:sz w:val="16"/>
                <w:szCs w:val="16"/>
              </w:rPr>
              <w:t>0.0808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65EBF1B7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-2.5 ± 2.8 (</w:t>
            </w:r>
            <w:r w:rsidRPr="004C6097">
              <w:rPr>
                <w:rFonts w:cs="SAS Monospace"/>
                <w:sz w:val="16"/>
                <w:szCs w:val="16"/>
              </w:rPr>
              <w:t>0.3597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27A4F8B6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0.7258</w:t>
            </w:r>
          </w:p>
        </w:tc>
      </w:tr>
      <w:tr w:rsidR="00F46825" w:rsidRPr="004C6097" w14:paraId="4E84D4DC" w14:textId="77777777" w:rsidTr="00C055BE">
        <w:trPr>
          <w:trHeight w:val="261"/>
        </w:trPr>
        <w:tc>
          <w:tcPr>
            <w:tcW w:w="1544" w:type="dxa"/>
            <w:noWrap/>
            <w:hideMark/>
          </w:tcPr>
          <w:p w14:paraId="5DB069B2" w14:textId="6AAA3DF1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HDL-C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346" w:type="dxa"/>
            <w:gridSpan w:val="2"/>
            <w:hideMark/>
          </w:tcPr>
          <w:p w14:paraId="53D3C162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0.1 ± 0.8</w:t>
            </w:r>
          </w:p>
        </w:tc>
        <w:tc>
          <w:tcPr>
            <w:tcW w:w="997" w:type="dxa"/>
            <w:hideMark/>
          </w:tcPr>
          <w:p w14:paraId="7DAE9FC5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1.0 ± 0.8</w:t>
            </w:r>
          </w:p>
        </w:tc>
        <w:tc>
          <w:tcPr>
            <w:tcW w:w="988" w:type="dxa"/>
            <w:hideMark/>
          </w:tcPr>
          <w:p w14:paraId="2F343A3C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1.4 ± 0.8</w:t>
            </w:r>
          </w:p>
        </w:tc>
        <w:tc>
          <w:tcPr>
            <w:tcW w:w="656" w:type="dxa"/>
            <w:hideMark/>
          </w:tcPr>
          <w:p w14:paraId="01AAD868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0.4676</w:t>
            </w:r>
          </w:p>
        </w:tc>
        <w:tc>
          <w:tcPr>
            <w:tcW w:w="0" w:type="auto"/>
            <w:hideMark/>
          </w:tcPr>
          <w:p w14:paraId="123CC1A2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0.2 ± 1.1 (0.</w:t>
            </w:r>
            <w:r w:rsidRPr="004C6097">
              <w:rPr>
                <w:rFonts w:cs="SAS Monospace"/>
                <w:sz w:val="16"/>
                <w:szCs w:val="16"/>
              </w:rPr>
              <w:t>8199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3FDD3201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1.0 ± 1.1 (</w:t>
            </w:r>
            <w:r w:rsidRPr="004C6097">
              <w:rPr>
                <w:rFonts w:cs="SAS Monospace"/>
                <w:sz w:val="16"/>
                <w:szCs w:val="16"/>
              </w:rPr>
              <w:t>0.3463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23D42C27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1.5 ± 1.1 (</w:t>
            </w:r>
            <w:r w:rsidRPr="004C6097">
              <w:rPr>
                <w:rFonts w:cs="SAS Monospace"/>
                <w:sz w:val="16"/>
                <w:szCs w:val="16"/>
              </w:rPr>
              <w:t>0.1703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1DAE9B34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0.7162</w:t>
            </w:r>
          </w:p>
        </w:tc>
      </w:tr>
      <w:tr w:rsidR="00F46825" w:rsidRPr="004C6097" w14:paraId="7BB90785" w14:textId="77777777" w:rsidTr="00C055BE">
        <w:trPr>
          <w:trHeight w:val="261"/>
        </w:trPr>
        <w:tc>
          <w:tcPr>
            <w:tcW w:w="1544" w:type="dxa"/>
            <w:noWrap/>
            <w:hideMark/>
          </w:tcPr>
          <w:p w14:paraId="58E6D3E3" w14:textId="36F11812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non-HDL-C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346" w:type="dxa"/>
            <w:gridSpan w:val="2"/>
            <w:hideMark/>
          </w:tcPr>
          <w:p w14:paraId="2A5B8EBF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 xml:space="preserve">-10.4 </w:t>
            </w:r>
            <w:r w:rsidRPr="004C6097">
              <w:rPr>
                <w:sz w:val="16"/>
              </w:rPr>
              <w:t>± 2.3</w:t>
            </w:r>
          </w:p>
        </w:tc>
        <w:tc>
          <w:tcPr>
            <w:tcW w:w="997" w:type="dxa"/>
            <w:hideMark/>
          </w:tcPr>
          <w:p w14:paraId="158002B7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 xml:space="preserve">-8.8 </w:t>
            </w:r>
            <w:r w:rsidRPr="004C6097">
              <w:rPr>
                <w:sz w:val="16"/>
              </w:rPr>
              <w:t>± 2.2</w:t>
            </w:r>
          </w:p>
        </w:tc>
        <w:tc>
          <w:tcPr>
            <w:tcW w:w="988" w:type="dxa"/>
            <w:hideMark/>
          </w:tcPr>
          <w:p w14:paraId="6AF4EB56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-6.5 ± 2.4</w:t>
            </w:r>
          </w:p>
        </w:tc>
        <w:tc>
          <w:tcPr>
            <w:tcW w:w="656" w:type="dxa"/>
            <w:hideMark/>
          </w:tcPr>
          <w:p w14:paraId="50F53FAC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0.4702</w:t>
            </w:r>
          </w:p>
        </w:tc>
        <w:tc>
          <w:tcPr>
            <w:tcW w:w="0" w:type="auto"/>
            <w:hideMark/>
          </w:tcPr>
          <w:p w14:paraId="6B988605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-7.4 ± 3.0 (</w:t>
            </w:r>
            <w:r w:rsidRPr="004C6097">
              <w:rPr>
                <w:rFonts w:cs="SAS Monospace"/>
                <w:sz w:val="16"/>
                <w:szCs w:val="16"/>
              </w:rPr>
              <w:t>0.0157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555A542B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-9.1 ± 3.0 (</w:t>
            </w:r>
            <w:r w:rsidRPr="004C6097">
              <w:rPr>
                <w:rFonts w:cs="SAS Monospace"/>
                <w:sz w:val="16"/>
                <w:szCs w:val="16"/>
              </w:rPr>
              <w:t>0.0024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055BD442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-4.7 ± 3.0 (</w:t>
            </w:r>
            <w:r w:rsidRPr="004C6097">
              <w:rPr>
                <w:rFonts w:cs="SAS Monospace"/>
                <w:sz w:val="16"/>
                <w:szCs w:val="16"/>
              </w:rPr>
              <w:t>0.1237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2EEAAB43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0.5763</w:t>
            </w:r>
          </w:p>
        </w:tc>
      </w:tr>
      <w:tr w:rsidR="00F46825" w:rsidRPr="004C6097" w14:paraId="607C6D0F" w14:textId="77777777" w:rsidTr="00C055BE">
        <w:trPr>
          <w:trHeight w:val="261"/>
        </w:trPr>
        <w:tc>
          <w:tcPr>
            <w:tcW w:w="1544" w:type="dxa"/>
            <w:noWrap/>
            <w:hideMark/>
          </w:tcPr>
          <w:p w14:paraId="046285E3" w14:textId="49A9A21B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VLDL-C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346" w:type="dxa"/>
            <w:gridSpan w:val="2"/>
            <w:hideMark/>
          </w:tcPr>
          <w:p w14:paraId="52B6FFA6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-2.9 ± 1.0</w:t>
            </w:r>
          </w:p>
        </w:tc>
        <w:tc>
          <w:tcPr>
            <w:tcW w:w="997" w:type="dxa"/>
            <w:hideMark/>
          </w:tcPr>
          <w:p w14:paraId="517A6742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-2.3 ± 1.0</w:t>
            </w:r>
          </w:p>
        </w:tc>
        <w:tc>
          <w:tcPr>
            <w:tcW w:w="988" w:type="dxa"/>
            <w:hideMark/>
          </w:tcPr>
          <w:p w14:paraId="5FD834A7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-1.0 ± 1.1</w:t>
            </w:r>
          </w:p>
        </w:tc>
        <w:tc>
          <w:tcPr>
            <w:tcW w:w="656" w:type="dxa"/>
            <w:hideMark/>
          </w:tcPr>
          <w:p w14:paraId="0468D72B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0.4245</w:t>
            </w:r>
          </w:p>
        </w:tc>
        <w:tc>
          <w:tcPr>
            <w:tcW w:w="0" w:type="auto"/>
            <w:hideMark/>
          </w:tcPr>
          <w:p w14:paraId="451340B2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-2.8 ± 1.5 (</w:t>
            </w:r>
            <w:r w:rsidRPr="004C6097">
              <w:rPr>
                <w:rFonts w:cs="SAS Monospace"/>
                <w:sz w:val="16"/>
                <w:szCs w:val="16"/>
              </w:rPr>
              <w:t>0.0599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0EA5CFB9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-4.1 ± 1.4 (</w:t>
            </w:r>
            <w:r w:rsidRPr="004C6097">
              <w:rPr>
                <w:rFonts w:cs="SAS Monospace"/>
                <w:sz w:val="16"/>
                <w:szCs w:val="16"/>
              </w:rPr>
              <w:t>0.0053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0A1EA4A2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-2.1 ± 1.5 (</w:t>
            </w:r>
            <w:r w:rsidRPr="004C6097">
              <w:rPr>
                <w:rFonts w:cs="SAS Monospace"/>
                <w:sz w:val="16"/>
                <w:szCs w:val="16"/>
              </w:rPr>
              <w:t>0.1603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549E85B6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0.6192</w:t>
            </w:r>
          </w:p>
        </w:tc>
      </w:tr>
      <w:tr w:rsidR="00F46825" w:rsidRPr="004C6097" w14:paraId="4CF01A01" w14:textId="77777777" w:rsidTr="00C055BE">
        <w:trPr>
          <w:trHeight w:val="261"/>
        </w:trPr>
        <w:tc>
          <w:tcPr>
            <w:tcW w:w="1544" w:type="dxa"/>
            <w:noWrap/>
            <w:hideMark/>
          </w:tcPr>
          <w:p w14:paraId="2070BF67" w14:textId="65195D91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TG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346" w:type="dxa"/>
            <w:gridSpan w:val="2"/>
            <w:hideMark/>
          </w:tcPr>
          <w:p w14:paraId="206B9BED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-4.7 ± 3.6</w:t>
            </w:r>
          </w:p>
        </w:tc>
        <w:tc>
          <w:tcPr>
            <w:tcW w:w="997" w:type="dxa"/>
            <w:hideMark/>
          </w:tcPr>
          <w:p w14:paraId="5B498DD7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-5.2 ± 3.5</w:t>
            </w:r>
          </w:p>
        </w:tc>
        <w:tc>
          <w:tcPr>
            <w:tcW w:w="988" w:type="dxa"/>
            <w:hideMark/>
          </w:tcPr>
          <w:p w14:paraId="2FD35A88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-4.2 ± 3.8</w:t>
            </w:r>
          </w:p>
        </w:tc>
        <w:tc>
          <w:tcPr>
            <w:tcW w:w="656" w:type="dxa"/>
            <w:hideMark/>
          </w:tcPr>
          <w:p w14:paraId="5A44DCAF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0.9798</w:t>
            </w:r>
          </w:p>
        </w:tc>
        <w:tc>
          <w:tcPr>
            <w:tcW w:w="0" w:type="auto"/>
            <w:hideMark/>
          </w:tcPr>
          <w:p w14:paraId="1ED31824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-5.6 ± 5.3 (</w:t>
            </w:r>
            <w:r w:rsidRPr="004C6097">
              <w:rPr>
                <w:rFonts w:cs="SAS Monospace"/>
                <w:sz w:val="16"/>
                <w:szCs w:val="16"/>
              </w:rPr>
              <w:t>0.2998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2351EC81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-12.6 ± 5.2 (</w:t>
            </w:r>
            <w:r w:rsidRPr="004C6097">
              <w:rPr>
                <w:rFonts w:cs="SAS Monospace"/>
                <w:sz w:val="16"/>
                <w:szCs w:val="16"/>
              </w:rPr>
              <w:t>0.0162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18EAD906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-11.0 ± 5.3 (</w:t>
            </w:r>
            <w:r w:rsidRPr="004C6097">
              <w:rPr>
                <w:rFonts w:cs="SAS Monospace"/>
                <w:sz w:val="16"/>
                <w:szCs w:val="16"/>
              </w:rPr>
              <w:t>0.0408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04946B96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0.6146</w:t>
            </w:r>
          </w:p>
        </w:tc>
      </w:tr>
      <w:tr w:rsidR="00F46825" w:rsidRPr="004C6097" w14:paraId="261E46D7" w14:textId="77777777" w:rsidTr="00C055BE">
        <w:trPr>
          <w:trHeight w:val="261"/>
        </w:trPr>
        <w:tc>
          <w:tcPr>
            <w:tcW w:w="1544" w:type="dxa"/>
            <w:noWrap/>
            <w:hideMark/>
          </w:tcPr>
          <w:p w14:paraId="32228144" w14:textId="195D5E8C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VLDL-TG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346" w:type="dxa"/>
            <w:gridSpan w:val="2"/>
            <w:hideMark/>
          </w:tcPr>
          <w:p w14:paraId="70C5CC91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-1.8 ± 3.8</w:t>
            </w:r>
          </w:p>
        </w:tc>
        <w:tc>
          <w:tcPr>
            <w:tcW w:w="997" w:type="dxa"/>
            <w:hideMark/>
          </w:tcPr>
          <w:p w14:paraId="6F45BFB9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0.5 ± 3.7</w:t>
            </w:r>
          </w:p>
        </w:tc>
        <w:tc>
          <w:tcPr>
            <w:tcW w:w="988" w:type="dxa"/>
            <w:hideMark/>
          </w:tcPr>
          <w:p w14:paraId="61D90F85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-4.8 ± 4.0</w:t>
            </w:r>
          </w:p>
        </w:tc>
        <w:tc>
          <w:tcPr>
            <w:tcW w:w="656" w:type="dxa"/>
            <w:hideMark/>
          </w:tcPr>
          <w:p w14:paraId="5F355022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0.6093</w:t>
            </w:r>
          </w:p>
        </w:tc>
        <w:tc>
          <w:tcPr>
            <w:tcW w:w="0" w:type="auto"/>
            <w:hideMark/>
          </w:tcPr>
          <w:p w14:paraId="1B501AFF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-4.6 ± 5.6 (</w:t>
            </w:r>
            <w:r w:rsidRPr="004C6097">
              <w:rPr>
                <w:rFonts w:cs="SAS Monospace"/>
                <w:sz w:val="16"/>
                <w:szCs w:val="16"/>
              </w:rPr>
              <w:t>0.4129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6B2858AA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-8.1 ± 5.4 (</w:t>
            </w:r>
            <w:r w:rsidRPr="004C6097">
              <w:rPr>
                <w:rFonts w:cs="SAS Monospace"/>
                <w:sz w:val="16"/>
                <w:szCs w:val="16"/>
              </w:rPr>
              <w:t>0.1361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05DE5C29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-10.5 ± 5.5 (</w:t>
            </w:r>
            <w:r w:rsidRPr="004C6097">
              <w:rPr>
                <w:rFonts w:cs="SAS Monospace"/>
                <w:sz w:val="16"/>
                <w:szCs w:val="16"/>
              </w:rPr>
              <w:t>0.0592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3E8241AC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0.7476</w:t>
            </w:r>
          </w:p>
        </w:tc>
      </w:tr>
      <w:tr w:rsidR="00F46825" w:rsidRPr="004C6097" w14:paraId="64016E1F" w14:textId="77777777" w:rsidTr="00C055BE">
        <w:trPr>
          <w:trHeight w:val="261"/>
        </w:trPr>
        <w:tc>
          <w:tcPr>
            <w:tcW w:w="1544" w:type="dxa"/>
            <w:noWrap/>
            <w:hideMark/>
          </w:tcPr>
          <w:p w14:paraId="72907A66" w14:textId="70F897BF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Lp(a)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346" w:type="dxa"/>
            <w:gridSpan w:val="2"/>
            <w:hideMark/>
          </w:tcPr>
          <w:p w14:paraId="2BB48228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-1.4 ± 1.0</w:t>
            </w:r>
          </w:p>
        </w:tc>
        <w:tc>
          <w:tcPr>
            <w:tcW w:w="997" w:type="dxa"/>
            <w:hideMark/>
          </w:tcPr>
          <w:p w14:paraId="46F20FF9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-0.1 ± 1.0</w:t>
            </w:r>
          </w:p>
        </w:tc>
        <w:tc>
          <w:tcPr>
            <w:tcW w:w="988" w:type="dxa"/>
            <w:hideMark/>
          </w:tcPr>
          <w:p w14:paraId="4F5B9C52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0.5 ± 1.0</w:t>
            </w:r>
          </w:p>
        </w:tc>
        <w:tc>
          <w:tcPr>
            <w:tcW w:w="656" w:type="dxa"/>
            <w:hideMark/>
          </w:tcPr>
          <w:p w14:paraId="0888DFF7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0.3422</w:t>
            </w:r>
          </w:p>
        </w:tc>
        <w:tc>
          <w:tcPr>
            <w:tcW w:w="0" w:type="auto"/>
            <w:hideMark/>
          </w:tcPr>
          <w:p w14:paraId="0604C8F9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-1.3 ± 1.3 (</w:t>
            </w:r>
            <w:r w:rsidRPr="004C6097">
              <w:rPr>
                <w:rFonts w:cs="SAS Monospace"/>
                <w:sz w:val="16"/>
                <w:szCs w:val="16"/>
              </w:rPr>
              <w:t>0.3266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009E9B74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0.7 ± 1.3 (</w:t>
            </w:r>
            <w:r w:rsidRPr="004C6097">
              <w:rPr>
                <w:rFonts w:cs="SAS Monospace"/>
                <w:sz w:val="16"/>
                <w:szCs w:val="16"/>
              </w:rPr>
              <w:t>0.5774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5FBE5DF2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0.9 ± 1.3 (</w:t>
            </w:r>
            <w:r w:rsidRPr="004C6097">
              <w:rPr>
                <w:rFonts w:cs="SAS Monospace"/>
                <w:sz w:val="16"/>
                <w:szCs w:val="16"/>
              </w:rPr>
              <w:t>0.4845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2526FE95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0.7058</w:t>
            </w:r>
          </w:p>
        </w:tc>
      </w:tr>
      <w:tr w:rsidR="00F46825" w:rsidRPr="004C6097" w14:paraId="5077F902" w14:textId="77777777" w:rsidTr="00C055BE">
        <w:trPr>
          <w:trHeight w:val="261"/>
        </w:trPr>
        <w:tc>
          <w:tcPr>
            <w:tcW w:w="1544" w:type="dxa"/>
            <w:noWrap/>
            <w:hideMark/>
          </w:tcPr>
          <w:p w14:paraId="25EA8CDB" w14:textId="0AA56342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apoB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346" w:type="dxa"/>
            <w:gridSpan w:val="2"/>
            <w:hideMark/>
          </w:tcPr>
          <w:p w14:paraId="322A6F1F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-8.0 ± 1.5</w:t>
            </w:r>
          </w:p>
        </w:tc>
        <w:tc>
          <w:tcPr>
            <w:tcW w:w="997" w:type="dxa"/>
            <w:hideMark/>
          </w:tcPr>
          <w:p w14:paraId="20F5CFA1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-6.1 ± 1.5</w:t>
            </w:r>
          </w:p>
        </w:tc>
        <w:tc>
          <w:tcPr>
            <w:tcW w:w="988" w:type="dxa"/>
            <w:hideMark/>
          </w:tcPr>
          <w:p w14:paraId="112B2563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-4.8 ± 1.6</w:t>
            </w:r>
          </w:p>
        </w:tc>
        <w:tc>
          <w:tcPr>
            <w:tcW w:w="656" w:type="dxa"/>
            <w:hideMark/>
          </w:tcPr>
          <w:p w14:paraId="3F460EE5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0.3225</w:t>
            </w:r>
          </w:p>
        </w:tc>
        <w:tc>
          <w:tcPr>
            <w:tcW w:w="0" w:type="auto"/>
            <w:hideMark/>
          </w:tcPr>
          <w:p w14:paraId="7DB64F6A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-6.0 ± 2.0 (</w:t>
            </w:r>
            <w:r w:rsidRPr="004C6097">
              <w:rPr>
                <w:rFonts w:cs="SAS Monospace"/>
                <w:sz w:val="16"/>
                <w:szCs w:val="16"/>
              </w:rPr>
              <w:t>0.0033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561188BF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-6.2 ± 2.0 (</w:t>
            </w:r>
            <w:r w:rsidRPr="004C6097">
              <w:rPr>
                <w:rFonts w:cs="SAS Monospace"/>
                <w:sz w:val="16"/>
                <w:szCs w:val="16"/>
              </w:rPr>
              <w:t>0.0019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79B7EF4F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-4.0 ± 2.0 (</w:t>
            </w:r>
            <w:r w:rsidRPr="004C6097">
              <w:rPr>
                <w:rFonts w:cs="SAS Monospace"/>
                <w:sz w:val="16"/>
                <w:szCs w:val="16"/>
              </w:rPr>
              <w:t>0.0483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2064A76E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0.6935</w:t>
            </w:r>
          </w:p>
        </w:tc>
      </w:tr>
    </w:tbl>
    <w:p w14:paraId="25989799" w14:textId="5A7DF4F4" w:rsidR="00F46825" w:rsidRPr="00F46825" w:rsidRDefault="00F46825" w:rsidP="00F46825">
      <w:pPr>
        <w:pStyle w:val="MDPI43tablefooter"/>
        <w:ind w:left="425" w:right="425"/>
      </w:pPr>
      <w:r w:rsidRPr="00F46825">
        <w:t>Walnut columns shows the least square mean change in laboratory parameters according to</w:t>
      </w:r>
      <w:r w:rsidR="00013B7E">
        <w:t xml:space="preserve"> the</w:t>
      </w:r>
      <w:r w:rsidRPr="00F46825">
        <w:t xml:space="preserve"> type of reduction in diet (fat, carbohydrate</w:t>
      </w:r>
      <w:r w:rsidR="00013B7E">
        <w:t>,</w:t>
      </w:r>
      <w:r w:rsidRPr="00F46825">
        <w:t xml:space="preserve"> or both) in the walnut treatment phase</w:t>
      </w:r>
      <w:r w:rsidR="00013B7E">
        <w:t>,</w:t>
      </w:r>
      <w:r w:rsidRPr="00F46825">
        <w:t xml:space="preserve"> determined with a multivariate regression model (proc mixed in SAS). Values adjusted for: age, gender, baseline parameter, baseline BMI, treatment sequence, and whether walnuts were ingested as a snack or meal</w:t>
      </w:r>
      <w:r w:rsidR="00C57CF7">
        <w:t xml:space="preserve">. </w:t>
      </w:r>
    </w:p>
    <w:p w14:paraId="69FC8233" w14:textId="169E92A0" w:rsidR="00F46825" w:rsidRPr="00F46825" w:rsidRDefault="00F46825" w:rsidP="00F46825">
      <w:pPr>
        <w:pStyle w:val="MDPI43tablefooter"/>
        <w:ind w:left="425" w:right="425"/>
      </w:pPr>
      <w:r w:rsidRPr="00F46825">
        <w:t xml:space="preserve">Difference between walnut and control columns shows the least square mean difference in change in laboratory parameters between the walnut and control phase according to type of reduction in diet </w:t>
      </w:r>
      <w:r w:rsidRPr="00F46825">
        <w:lastRenderedPageBreak/>
        <w:t>(fat, carbohydrate</w:t>
      </w:r>
      <w:r w:rsidR="00C57CF7">
        <w:t>,</w:t>
      </w:r>
      <w:r w:rsidRPr="00F46825">
        <w:t xml:space="preserve"> or both) determined with a multivariate regression model (proc mixed in SAS)</w:t>
      </w:r>
      <w:r w:rsidR="00C57CF7">
        <w:t>,</w:t>
      </w:r>
      <w:r w:rsidRPr="00F46825">
        <w:t xml:space="preserve"> and an interaction term between treatment and type of reduction in diet (fat, carbohydrate</w:t>
      </w:r>
      <w:r w:rsidR="00C57CF7">
        <w:t>,</w:t>
      </w:r>
      <w:r w:rsidRPr="00F46825">
        <w:t xml:space="preserve"> or both). Values adjusted for: age, gender, baseline parameter, baseline BMI, treatment sequence, and whether walnuts were ingested as a snack or meal</w:t>
      </w:r>
      <w:r w:rsidR="004A5712">
        <w:t xml:space="preserve">. </w:t>
      </w:r>
    </w:p>
    <w:p w14:paraId="171BD285" w14:textId="7ED0C7F5" w:rsidR="00F46825" w:rsidRPr="004C6097" w:rsidRDefault="00EA6CB9" w:rsidP="00EA6CB9">
      <w:pPr>
        <w:pStyle w:val="MDPI41tablecaption"/>
        <w:rPr>
          <w:rFonts w:eastAsiaTheme="minorEastAsia"/>
        </w:rPr>
      </w:pPr>
      <w:r w:rsidRPr="00EA6CB9">
        <w:rPr>
          <w:rFonts w:eastAsiaTheme="minorEastAsia"/>
          <w:b/>
        </w:rPr>
        <w:t>Table S3.</w:t>
      </w:r>
      <w:r w:rsidR="00F46825" w:rsidRPr="004C6097">
        <w:rPr>
          <w:rFonts w:eastAsiaTheme="minorEastAsia"/>
        </w:rPr>
        <w:t xml:space="preserve"> Effect of walnut consumption on fasting lipids, apoB</w:t>
      </w:r>
      <w:r w:rsidR="00F9091E">
        <w:rPr>
          <w:rFonts w:eastAsiaTheme="minorEastAsia"/>
        </w:rPr>
        <w:t>,</w:t>
      </w:r>
      <w:r w:rsidR="00F46825" w:rsidRPr="004C6097">
        <w:rPr>
          <w:rFonts w:eastAsiaTheme="minorEastAsia"/>
        </w:rPr>
        <w:t xml:space="preserve"> and Lp(a) when walnuts were consumed with meals or as snack in an intention to treat analysis</w:t>
      </w:r>
      <w:r>
        <w:rPr>
          <w:rFonts w:eastAsiaTheme="minorEastAsia"/>
        </w:rPr>
        <w:t>.</w:t>
      </w:r>
    </w:p>
    <w:tbl>
      <w:tblPr>
        <w:tblStyle w:val="Mdeck5tablebodythreelines"/>
        <w:tblW w:w="8709" w:type="dxa"/>
        <w:tblLook w:val="04A0" w:firstRow="1" w:lastRow="0" w:firstColumn="1" w:lastColumn="0" w:noHBand="0" w:noVBand="1"/>
      </w:tblPr>
      <w:tblGrid>
        <w:gridCol w:w="1637"/>
        <w:gridCol w:w="1040"/>
        <w:gridCol w:w="1134"/>
        <w:gridCol w:w="851"/>
        <w:gridCol w:w="1559"/>
        <w:gridCol w:w="1832"/>
        <w:gridCol w:w="656"/>
      </w:tblGrid>
      <w:tr w:rsidR="00F46825" w:rsidRPr="00443BFE" w14:paraId="0B620ECE" w14:textId="77777777" w:rsidTr="00C05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0" w:type="auto"/>
            <w:noWrap/>
          </w:tcPr>
          <w:p w14:paraId="2167F2B0" w14:textId="77777777" w:rsidR="00F46825" w:rsidRPr="00F46825" w:rsidRDefault="00F46825" w:rsidP="00C055BE">
            <w:pPr>
              <w:pStyle w:val="MDPI42tablebody"/>
              <w:rPr>
                <w:sz w:val="16"/>
                <w:lang w:val="en-US"/>
              </w:rPr>
            </w:pPr>
          </w:p>
        </w:tc>
        <w:tc>
          <w:tcPr>
            <w:tcW w:w="1040" w:type="dxa"/>
            <w:noWrap/>
          </w:tcPr>
          <w:p w14:paraId="2BD61086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</w:p>
        </w:tc>
        <w:tc>
          <w:tcPr>
            <w:tcW w:w="1134" w:type="dxa"/>
          </w:tcPr>
          <w:p w14:paraId="4E449C33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b/>
                <w:sz w:val="16"/>
              </w:rPr>
              <w:t xml:space="preserve">          walnuts</w:t>
            </w:r>
          </w:p>
        </w:tc>
        <w:tc>
          <w:tcPr>
            <w:tcW w:w="851" w:type="dxa"/>
            <w:noWrap/>
          </w:tcPr>
          <w:p w14:paraId="39294138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</w:p>
        </w:tc>
        <w:tc>
          <w:tcPr>
            <w:tcW w:w="1559" w:type="dxa"/>
            <w:noWrap/>
          </w:tcPr>
          <w:p w14:paraId="7EB7E25F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</w:p>
        </w:tc>
        <w:tc>
          <w:tcPr>
            <w:tcW w:w="1832" w:type="dxa"/>
          </w:tcPr>
          <w:p w14:paraId="6F745F54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b/>
                <w:sz w:val="16"/>
              </w:rPr>
              <w:t>difference between walnuts and control</w:t>
            </w:r>
          </w:p>
        </w:tc>
        <w:tc>
          <w:tcPr>
            <w:tcW w:w="0" w:type="auto"/>
            <w:noWrap/>
          </w:tcPr>
          <w:p w14:paraId="5E7A0D6E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</w:p>
        </w:tc>
      </w:tr>
      <w:tr w:rsidR="00F46825" w:rsidRPr="004C6097" w14:paraId="4EC45B8E" w14:textId="77777777" w:rsidTr="00C055BE">
        <w:trPr>
          <w:trHeight w:val="260"/>
        </w:trPr>
        <w:tc>
          <w:tcPr>
            <w:tcW w:w="0" w:type="auto"/>
            <w:noWrap/>
            <w:hideMark/>
          </w:tcPr>
          <w:p w14:paraId="4BDEA025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Parameter</w:t>
            </w:r>
          </w:p>
        </w:tc>
        <w:tc>
          <w:tcPr>
            <w:tcW w:w="1040" w:type="dxa"/>
            <w:noWrap/>
            <w:hideMark/>
          </w:tcPr>
          <w:p w14:paraId="36B284D5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meal</w:t>
            </w:r>
          </w:p>
        </w:tc>
        <w:tc>
          <w:tcPr>
            <w:tcW w:w="1134" w:type="dxa"/>
            <w:hideMark/>
          </w:tcPr>
          <w:p w14:paraId="799EAD9A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snack</w:t>
            </w:r>
          </w:p>
        </w:tc>
        <w:tc>
          <w:tcPr>
            <w:tcW w:w="851" w:type="dxa"/>
            <w:noWrap/>
            <w:hideMark/>
          </w:tcPr>
          <w:p w14:paraId="5776DF0F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p</w:t>
            </w:r>
          </w:p>
        </w:tc>
        <w:tc>
          <w:tcPr>
            <w:tcW w:w="1559" w:type="dxa"/>
            <w:noWrap/>
            <w:hideMark/>
          </w:tcPr>
          <w:p w14:paraId="065834DE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meal</w:t>
            </w:r>
          </w:p>
        </w:tc>
        <w:tc>
          <w:tcPr>
            <w:tcW w:w="1832" w:type="dxa"/>
            <w:hideMark/>
          </w:tcPr>
          <w:p w14:paraId="00F0EA24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snack</w:t>
            </w:r>
          </w:p>
        </w:tc>
        <w:tc>
          <w:tcPr>
            <w:tcW w:w="0" w:type="auto"/>
            <w:noWrap/>
            <w:hideMark/>
          </w:tcPr>
          <w:p w14:paraId="3553111D" w14:textId="77777777" w:rsidR="00F46825" w:rsidRPr="00EC69C0" w:rsidRDefault="00F46825" w:rsidP="00C055BE">
            <w:pPr>
              <w:pStyle w:val="MDPI42tablebody"/>
              <w:rPr>
                <w:i/>
                <w:sz w:val="16"/>
              </w:rPr>
            </w:pPr>
            <w:r w:rsidRPr="00EC69C0">
              <w:rPr>
                <w:i/>
                <w:sz w:val="16"/>
              </w:rPr>
              <w:t>p</w:t>
            </w:r>
          </w:p>
        </w:tc>
      </w:tr>
      <w:tr w:rsidR="00F46825" w:rsidRPr="004C6097" w14:paraId="1552935A" w14:textId="77777777" w:rsidTr="00C055BE">
        <w:trPr>
          <w:trHeight w:val="260"/>
        </w:trPr>
        <w:tc>
          <w:tcPr>
            <w:tcW w:w="0" w:type="auto"/>
            <w:noWrap/>
            <w:hideMark/>
          </w:tcPr>
          <w:p w14:paraId="5DF929A4" w14:textId="20A8DE90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TC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040" w:type="dxa"/>
            <w:hideMark/>
          </w:tcPr>
          <w:p w14:paraId="3ABF7303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-11.5 ± 2.2</w:t>
            </w:r>
          </w:p>
        </w:tc>
        <w:tc>
          <w:tcPr>
            <w:tcW w:w="1134" w:type="dxa"/>
            <w:hideMark/>
          </w:tcPr>
          <w:p w14:paraId="5DAC0C49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-5.6 ± 2.2</w:t>
            </w:r>
          </w:p>
        </w:tc>
        <w:tc>
          <w:tcPr>
            <w:tcW w:w="851" w:type="dxa"/>
            <w:hideMark/>
          </w:tcPr>
          <w:p w14:paraId="2C603053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0.0433</w:t>
            </w:r>
          </w:p>
        </w:tc>
        <w:tc>
          <w:tcPr>
            <w:tcW w:w="1559" w:type="dxa"/>
            <w:hideMark/>
          </w:tcPr>
          <w:p w14:paraId="012AB7E6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-7.0 ± 2.7 (</w:t>
            </w:r>
            <w:r w:rsidRPr="004C6097">
              <w:rPr>
                <w:rFonts w:cs="SAS Monospace"/>
                <w:sz w:val="16"/>
                <w:szCs w:val="16"/>
              </w:rPr>
              <w:t>0.0102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1832" w:type="dxa"/>
            <w:hideMark/>
          </w:tcPr>
          <w:p w14:paraId="5EDD9A91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-5.3 ± 2.7 (</w:t>
            </w:r>
            <w:r w:rsidRPr="004C6097">
              <w:rPr>
                <w:rFonts w:cs="SAS Monospace"/>
                <w:sz w:val="16"/>
                <w:szCs w:val="16"/>
              </w:rPr>
              <w:t>0.0548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767F865D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0.6519</w:t>
            </w:r>
          </w:p>
        </w:tc>
      </w:tr>
      <w:tr w:rsidR="00F46825" w:rsidRPr="004C6097" w14:paraId="6A636E93" w14:textId="77777777" w:rsidTr="00C055BE">
        <w:trPr>
          <w:trHeight w:val="260"/>
        </w:trPr>
        <w:tc>
          <w:tcPr>
            <w:tcW w:w="0" w:type="auto"/>
            <w:noWrap/>
            <w:hideMark/>
          </w:tcPr>
          <w:p w14:paraId="1BEB9706" w14:textId="0356E583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LDL-C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040" w:type="dxa"/>
            <w:hideMark/>
          </w:tcPr>
          <w:p w14:paraId="380D84EA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-8.1 ± 1.9</w:t>
            </w:r>
          </w:p>
        </w:tc>
        <w:tc>
          <w:tcPr>
            <w:tcW w:w="1134" w:type="dxa"/>
            <w:hideMark/>
          </w:tcPr>
          <w:p w14:paraId="79B0E6A3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-5.1 ± 1.9</w:t>
            </w:r>
          </w:p>
        </w:tc>
        <w:tc>
          <w:tcPr>
            <w:tcW w:w="851" w:type="dxa"/>
            <w:hideMark/>
          </w:tcPr>
          <w:p w14:paraId="128CEF0F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0.2410</w:t>
            </w:r>
          </w:p>
        </w:tc>
        <w:tc>
          <w:tcPr>
            <w:tcW w:w="1559" w:type="dxa"/>
            <w:hideMark/>
          </w:tcPr>
          <w:p w14:paraId="43BBBF08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-4.8 ± 2.2 (</w:t>
            </w:r>
            <w:r w:rsidRPr="004C6097">
              <w:rPr>
                <w:rFonts w:cs="SAS Monospace"/>
                <w:sz w:val="16"/>
                <w:szCs w:val="16"/>
              </w:rPr>
              <w:t>0.0317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1832" w:type="dxa"/>
            <w:hideMark/>
          </w:tcPr>
          <w:p w14:paraId="149C72AC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-3.7 ± 2.2 (</w:t>
            </w:r>
            <w:r w:rsidRPr="004C6097">
              <w:rPr>
                <w:rFonts w:cs="SAS Monospace"/>
                <w:sz w:val="16"/>
                <w:szCs w:val="16"/>
              </w:rPr>
              <w:t>0.0983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50E7DF04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0.7325</w:t>
            </w:r>
          </w:p>
        </w:tc>
      </w:tr>
      <w:tr w:rsidR="00F46825" w:rsidRPr="004C6097" w14:paraId="2A19FC6B" w14:textId="77777777" w:rsidTr="00C055BE">
        <w:trPr>
          <w:trHeight w:val="260"/>
        </w:trPr>
        <w:tc>
          <w:tcPr>
            <w:tcW w:w="0" w:type="auto"/>
            <w:noWrap/>
            <w:hideMark/>
          </w:tcPr>
          <w:p w14:paraId="0395DA3E" w14:textId="61AEC341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HDL-C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040" w:type="dxa"/>
            <w:hideMark/>
          </w:tcPr>
          <w:p w14:paraId="26E23206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0.6 ± 0.7</w:t>
            </w:r>
          </w:p>
        </w:tc>
        <w:tc>
          <w:tcPr>
            <w:tcW w:w="1134" w:type="dxa"/>
            <w:hideMark/>
          </w:tcPr>
          <w:p w14:paraId="4EA5DE2E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1.1 ± 0.7</w:t>
            </w:r>
          </w:p>
        </w:tc>
        <w:tc>
          <w:tcPr>
            <w:tcW w:w="851" w:type="dxa"/>
            <w:hideMark/>
          </w:tcPr>
          <w:p w14:paraId="4C4967EC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0.5742</w:t>
            </w:r>
          </w:p>
        </w:tc>
        <w:tc>
          <w:tcPr>
            <w:tcW w:w="1559" w:type="dxa"/>
            <w:hideMark/>
          </w:tcPr>
          <w:p w14:paraId="3724A113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1.6 ± 0.9 (</w:t>
            </w:r>
            <w:r w:rsidRPr="004C6097">
              <w:rPr>
                <w:rFonts w:cs="SAS Monospace"/>
                <w:sz w:val="16"/>
                <w:szCs w:val="16"/>
              </w:rPr>
              <w:t>0.0775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1832" w:type="dxa"/>
            <w:hideMark/>
          </w:tcPr>
          <w:p w14:paraId="134435AA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0.3 ± 0.9 (</w:t>
            </w:r>
            <w:r w:rsidRPr="004C6097">
              <w:rPr>
                <w:rFonts w:cs="SAS Monospace"/>
                <w:sz w:val="16"/>
                <w:szCs w:val="16"/>
              </w:rPr>
              <w:t>0.7618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3ACB737B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0.3027</w:t>
            </w:r>
          </w:p>
        </w:tc>
      </w:tr>
      <w:tr w:rsidR="00F46825" w:rsidRPr="004C6097" w14:paraId="4738687E" w14:textId="77777777" w:rsidTr="00C055BE">
        <w:trPr>
          <w:trHeight w:val="260"/>
        </w:trPr>
        <w:tc>
          <w:tcPr>
            <w:tcW w:w="0" w:type="auto"/>
            <w:noWrap/>
            <w:hideMark/>
          </w:tcPr>
          <w:p w14:paraId="41F55A54" w14:textId="04666D3C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non-HDL-C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040" w:type="dxa"/>
            <w:hideMark/>
          </w:tcPr>
          <w:p w14:paraId="7C9730F6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-11.2 ± 1.9</w:t>
            </w:r>
          </w:p>
        </w:tc>
        <w:tc>
          <w:tcPr>
            <w:tcW w:w="1134" w:type="dxa"/>
            <w:hideMark/>
          </w:tcPr>
          <w:p w14:paraId="4F3E5583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-5.9 ± 1.9</w:t>
            </w:r>
          </w:p>
        </w:tc>
        <w:tc>
          <w:tcPr>
            <w:tcW w:w="851" w:type="dxa"/>
            <w:hideMark/>
          </w:tcPr>
          <w:p w14:paraId="25635E14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0.0371</w:t>
            </w:r>
          </w:p>
        </w:tc>
        <w:tc>
          <w:tcPr>
            <w:tcW w:w="1559" w:type="dxa"/>
            <w:hideMark/>
          </w:tcPr>
          <w:p w14:paraId="701CF6C9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-4.8 ± 2.2 (</w:t>
            </w:r>
            <w:r w:rsidRPr="004C6097">
              <w:rPr>
                <w:rFonts w:cs="SAS Monospace"/>
                <w:sz w:val="16"/>
                <w:szCs w:val="16"/>
              </w:rPr>
              <w:t>0.0317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1832" w:type="dxa"/>
            <w:hideMark/>
          </w:tcPr>
          <w:p w14:paraId="22346ED6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-3.7 ± 2.2 (</w:t>
            </w:r>
            <w:r w:rsidRPr="004C6097">
              <w:rPr>
                <w:rFonts w:cs="SAS Monospace"/>
                <w:sz w:val="16"/>
                <w:szCs w:val="16"/>
              </w:rPr>
              <w:t>0.0983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508CDE49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0.4165</w:t>
            </w:r>
          </w:p>
        </w:tc>
      </w:tr>
      <w:tr w:rsidR="00F46825" w:rsidRPr="004C6097" w14:paraId="0D38CD84" w14:textId="77777777" w:rsidTr="00C055BE">
        <w:trPr>
          <w:trHeight w:val="260"/>
        </w:trPr>
        <w:tc>
          <w:tcPr>
            <w:tcW w:w="0" w:type="auto"/>
            <w:noWrap/>
            <w:hideMark/>
          </w:tcPr>
          <w:p w14:paraId="5A0D78AC" w14:textId="119040AE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VLDL-C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040" w:type="dxa"/>
            <w:hideMark/>
          </w:tcPr>
          <w:p w14:paraId="51DB4296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-3.3 ± 0.9</w:t>
            </w:r>
          </w:p>
        </w:tc>
        <w:tc>
          <w:tcPr>
            <w:tcW w:w="1134" w:type="dxa"/>
            <w:hideMark/>
          </w:tcPr>
          <w:p w14:paraId="6396681B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-0.8 ± 0.9</w:t>
            </w:r>
          </w:p>
        </w:tc>
        <w:tc>
          <w:tcPr>
            <w:tcW w:w="851" w:type="dxa"/>
            <w:hideMark/>
          </w:tcPr>
          <w:p w14:paraId="1C24B811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0.0307</w:t>
            </w:r>
          </w:p>
        </w:tc>
        <w:tc>
          <w:tcPr>
            <w:tcW w:w="1559" w:type="dxa"/>
            <w:hideMark/>
          </w:tcPr>
          <w:p w14:paraId="47B61900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-3.9 ± 1.2 (0.0013)</w:t>
            </w:r>
          </w:p>
        </w:tc>
        <w:tc>
          <w:tcPr>
            <w:tcW w:w="1832" w:type="dxa"/>
            <w:hideMark/>
          </w:tcPr>
          <w:p w14:paraId="2FE9F103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-2.1 ± 1.2 (</w:t>
            </w:r>
            <w:r w:rsidRPr="004C6097">
              <w:rPr>
                <w:rFonts w:cs="SAS Monospace"/>
                <w:sz w:val="16"/>
                <w:szCs w:val="16"/>
              </w:rPr>
              <w:t>0.0826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3CCFDC07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0.2916</w:t>
            </w:r>
          </w:p>
        </w:tc>
      </w:tr>
      <w:tr w:rsidR="00F46825" w:rsidRPr="004C6097" w14:paraId="02C56B34" w14:textId="77777777" w:rsidTr="00C055BE">
        <w:trPr>
          <w:trHeight w:val="260"/>
        </w:trPr>
        <w:tc>
          <w:tcPr>
            <w:tcW w:w="0" w:type="auto"/>
            <w:noWrap/>
            <w:hideMark/>
          </w:tcPr>
          <w:p w14:paraId="5730F3AE" w14:textId="452028B8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TG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040" w:type="dxa"/>
            <w:hideMark/>
          </w:tcPr>
          <w:p w14:paraId="0C0132EE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-8.2 ± 3.0</w:t>
            </w:r>
          </w:p>
        </w:tc>
        <w:tc>
          <w:tcPr>
            <w:tcW w:w="1134" w:type="dxa"/>
            <w:hideMark/>
          </w:tcPr>
          <w:p w14:paraId="250B8A56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-1.2 ± 3.0</w:t>
            </w:r>
          </w:p>
        </w:tc>
        <w:tc>
          <w:tcPr>
            <w:tcW w:w="851" w:type="dxa"/>
            <w:hideMark/>
          </w:tcPr>
          <w:p w14:paraId="46C6CFB9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0.0891</w:t>
            </w:r>
          </w:p>
        </w:tc>
        <w:tc>
          <w:tcPr>
            <w:tcW w:w="1559" w:type="dxa"/>
            <w:hideMark/>
          </w:tcPr>
          <w:p w14:paraId="541BB4D0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-13.6 ± 4.3 (</w:t>
            </w:r>
            <w:r w:rsidRPr="004C6097">
              <w:rPr>
                <w:rFonts w:cs="SAS Monospace"/>
                <w:sz w:val="16"/>
                <w:szCs w:val="16"/>
              </w:rPr>
              <w:t>0.0018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1832" w:type="dxa"/>
            <w:hideMark/>
          </w:tcPr>
          <w:p w14:paraId="45F469C7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-5.9 ± 4.3 (</w:t>
            </w:r>
            <w:r w:rsidRPr="004C6097">
              <w:rPr>
                <w:rFonts w:cs="SAS Monospace"/>
                <w:sz w:val="16"/>
                <w:szCs w:val="16"/>
              </w:rPr>
              <w:t>0.1743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4C8AC571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0.2097</w:t>
            </w:r>
          </w:p>
        </w:tc>
      </w:tr>
      <w:tr w:rsidR="00F46825" w:rsidRPr="004C6097" w14:paraId="5ABD2443" w14:textId="77777777" w:rsidTr="00C055BE">
        <w:trPr>
          <w:trHeight w:val="260"/>
        </w:trPr>
        <w:tc>
          <w:tcPr>
            <w:tcW w:w="0" w:type="auto"/>
            <w:noWrap/>
            <w:hideMark/>
          </w:tcPr>
          <w:p w14:paraId="6AAE53A0" w14:textId="548050ED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VLDL-TG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040" w:type="dxa"/>
            <w:hideMark/>
          </w:tcPr>
          <w:p w14:paraId="3CCB01A3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-4.7 ± 3.1</w:t>
            </w:r>
          </w:p>
        </w:tc>
        <w:tc>
          <w:tcPr>
            <w:tcW w:w="1134" w:type="dxa"/>
            <w:hideMark/>
          </w:tcPr>
          <w:p w14:paraId="530A92E5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-0.6 ± 3.2</w:t>
            </w:r>
          </w:p>
        </w:tc>
        <w:tc>
          <w:tcPr>
            <w:tcW w:w="851" w:type="dxa"/>
            <w:hideMark/>
          </w:tcPr>
          <w:p w14:paraId="57B23C5F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0.2134</w:t>
            </w:r>
          </w:p>
        </w:tc>
        <w:tc>
          <w:tcPr>
            <w:tcW w:w="1559" w:type="dxa"/>
            <w:hideMark/>
          </w:tcPr>
          <w:p w14:paraId="6BC2F8E7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-9.6 ± 4.5 (</w:t>
            </w:r>
            <w:r w:rsidRPr="004C6097">
              <w:rPr>
                <w:rFonts w:cs="SAS Monospace"/>
                <w:sz w:val="16"/>
                <w:szCs w:val="16"/>
              </w:rPr>
              <w:t>0.0322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1832" w:type="dxa"/>
            <w:hideMark/>
          </w:tcPr>
          <w:p w14:paraId="31D3A171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-5.8 ± 4.5 (</w:t>
            </w:r>
            <w:r w:rsidRPr="004C6097">
              <w:rPr>
                <w:rFonts w:cs="SAS Monospace"/>
                <w:sz w:val="16"/>
                <w:szCs w:val="16"/>
              </w:rPr>
              <w:t>0.2001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1EE538B4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0.5457</w:t>
            </w:r>
          </w:p>
        </w:tc>
      </w:tr>
      <w:tr w:rsidR="00F46825" w:rsidRPr="004C6097" w14:paraId="5C86AB39" w14:textId="77777777" w:rsidTr="00C055BE">
        <w:trPr>
          <w:trHeight w:val="260"/>
        </w:trPr>
        <w:tc>
          <w:tcPr>
            <w:tcW w:w="0" w:type="auto"/>
            <w:noWrap/>
            <w:hideMark/>
          </w:tcPr>
          <w:p w14:paraId="2524F422" w14:textId="6F988840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Lp(a)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040" w:type="dxa"/>
            <w:hideMark/>
          </w:tcPr>
          <w:p w14:paraId="15B6955F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-0.2 ± 0.8</w:t>
            </w:r>
          </w:p>
        </w:tc>
        <w:tc>
          <w:tcPr>
            <w:tcW w:w="1134" w:type="dxa"/>
            <w:hideMark/>
          </w:tcPr>
          <w:p w14:paraId="188D08E6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-0.5 ± 0.8</w:t>
            </w:r>
          </w:p>
        </w:tc>
        <w:tc>
          <w:tcPr>
            <w:tcW w:w="851" w:type="dxa"/>
            <w:hideMark/>
          </w:tcPr>
          <w:p w14:paraId="759B198C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0.8250</w:t>
            </w:r>
          </w:p>
        </w:tc>
        <w:tc>
          <w:tcPr>
            <w:tcW w:w="1559" w:type="dxa"/>
            <w:hideMark/>
          </w:tcPr>
          <w:p w14:paraId="5A300053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0.5 ± 1.0 (</w:t>
            </w:r>
            <w:r w:rsidRPr="004C6097">
              <w:rPr>
                <w:rFonts w:cs="SAS Monospace"/>
                <w:sz w:val="16"/>
                <w:szCs w:val="16"/>
              </w:rPr>
              <w:t>0.6457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1832" w:type="dxa"/>
            <w:hideMark/>
          </w:tcPr>
          <w:p w14:paraId="7E8962B7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-0.2 ± 1.0 (</w:t>
            </w:r>
            <w:r w:rsidRPr="004C6097">
              <w:rPr>
                <w:rFonts w:cs="SAS Monospace"/>
                <w:sz w:val="16"/>
                <w:szCs w:val="16"/>
              </w:rPr>
              <w:t>0.8171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779CFC44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0.6257</w:t>
            </w:r>
          </w:p>
        </w:tc>
      </w:tr>
      <w:tr w:rsidR="00F46825" w:rsidRPr="004C6097" w14:paraId="683F26F7" w14:textId="77777777" w:rsidTr="00C055BE">
        <w:trPr>
          <w:trHeight w:val="260"/>
        </w:trPr>
        <w:tc>
          <w:tcPr>
            <w:tcW w:w="0" w:type="auto"/>
            <w:noWrap/>
            <w:hideMark/>
          </w:tcPr>
          <w:p w14:paraId="3563808D" w14:textId="7E49E982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 xml:space="preserve">apoB </w:t>
            </w:r>
            <w:r w:rsidR="00660CE9">
              <w:rPr>
                <w:sz w:val="16"/>
              </w:rPr>
              <w:t>(mg/dl)</w:t>
            </w:r>
          </w:p>
        </w:tc>
        <w:tc>
          <w:tcPr>
            <w:tcW w:w="1040" w:type="dxa"/>
            <w:hideMark/>
          </w:tcPr>
          <w:p w14:paraId="454768B4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-8.6 ± 1.3</w:t>
            </w:r>
          </w:p>
        </w:tc>
        <w:tc>
          <w:tcPr>
            <w:tcW w:w="1134" w:type="dxa"/>
            <w:hideMark/>
          </w:tcPr>
          <w:p w14:paraId="5F88A62B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-4.1 ± 1.3</w:t>
            </w:r>
          </w:p>
        </w:tc>
        <w:tc>
          <w:tcPr>
            <w:tcW w:w="851" w:type="dxa"/>
            <w:hideMark/>
          </w:tcPr>
          <w:p w14:paraId="185BA53A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*</w:t>
            </w:r>
            <w:r w:rsidRPr="004C6097">
              <w:rPr>
                <w:rFonts w:cs="SAS Monospace"/>
                <w:sz w:val="16"/>
                <w:szCs w:val="16"/>
              </w:rPr>
              <w:t>0.0101</w:t>
            </w:r>
          </w:p>
        </w:tc>
        <w:tc>
          <w:tcPr>
            <w:tcW w:w="1559" w:type="dxa"/>
            <w:hideMark/>
          </w:tcPr>
          <w:p w14:paraId="0EDE613D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-6.2 ± 1.6 (</w:t>
            </w:r>
            <w:r w:rsidRPr="004C6097">
              <w:rPr>
                <w:rFonts w:cs="SAS Monospace"/>
                <w:sz w:val="16"/>
                <w:szCs w:val="16"/>
              </w:rPr>
              <w:t>0.0002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1832" w:type="dxa"/>
            <w:hideMark/>
          </w:tcPr>
          <w:p w14:paraId="0445195C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sz w:val="16"/>
              </w:rPr>
              <w:t>-4.5 ± 1.6 (</w:t>
            </w:r>
            <w:r w:rsidRPr="004C6097">
              <w:rPr>
                <w:rFonts w:cs="SAS Monospace"/>
                <w:sz w:val="16"/>
                <w:szCs w:val="16"/>
              </w:rPr>
              <w:t>0.0060</w:t>
            </w:r>
            <w:r w:rsidRPr="004C6097">
              <w:rPr>
                <w:sz w:val="16"/>
              </w:rPr>
              <w:t>)</w:t>
            </w:r>
          </w:p>
        </w:tc>
        <w:tc>
          <w:tcPr>
            <w:tcW w:w="0" w:type="auto"/>
            <w:hideMark/>
          </w:tcPr>
          <w:p w14:paraId="69EA9ABD" w14:textId="77777777" w:rsidR="00F46825" w:rsidRPr="004C6097" w:rsidRDefault="00F46825" w:rsidP="00C055BE">
            <w:pPr>
              <w:pStyle w:val="MDPI42tablebody"/>
              <w:rPr>
                <w:sz w:val="16"/>
              </w:rPr>
            </w:pPr>
            <w:r w:rsidRPr="004C6097">
              <w:rPr>
                <w:rFonts w:cs="SAS Monospace"/>
                <w:sz w:val="16"/>
                <w:szCs w:val="16"/>
              </w:rPr>
              <w:t>0.4623</w:t>
            </w:r>
          </w:p>
        </w:tc>
      </w:tr>
    </w:tbl>
    <w:p w14:paraId="59C6B78F" w14:textId="2446FBD7" w:rsidR="00F46825" w:rsidRPr="004E5967" w:rsidRDefault="00F46825" w:rsidP="004E5967">
      <w:pPr>
        <w:pStyle w:val="MDPI43tablefooter"/>
        <w:ind w:left="425" w:right="425"/>
      </w:pPr>
      <w:r w:rsidRPr="004E5967">
        <w:t>Walnut columns show the least square mean change in laboratory parameters</w:t>
      </w:r>
      <w:r w:rsidR="005C46F4">
        <w:t>,</w:t>
      </w:r>
      <w:r w:rsidRPr="004E5967">
        <w:t xml:space="preserve"> according to whether walnuts were ingested with meals or as a snack in the walnut treatment phase</w:t>
      </w:r>
      <w:r w:rsidR="005C46F4">
        <w:t>,</w:t>
      </w:r>
      <w:r w:rsidRPr="004E5967">
        <w:t xml:space="preserve"> determined with a multivariate regression model (proc mixed in SAS). Values adjusted for: age, gender, baseline parameter, baseline </w:t>
      </w:r>
      <w:r w:rsidR="005C46F4">
        <w:t>BMI</w:t>
      </w:r>
      <w:r w:rsidRPr="004E5967">
        <w:t>, treatment sequence</w:t>
      </w:r>
      <w:r w:rsidR="005C46F4">
        <w:t>,</w:t>
      </w:r>
      <w:r w:rsidRPr="004E5967">
        <w:t xml:space="preserve"> and type of diet reduct</w:t>
      </w:r>
      <w:r w:rsidR="004E5967" w:rsidRPr="004E5967">
        <w:t>ion (fat, carbohydrate</w:t>
      </w:r>
      <w:r w:rsidR="00D70FBB">
        <w:t>,</w:t>
      </w:r>
      <w:r w:rsidR="004E5967" w:rsidRPr="004E5967">
        <w:t xml:space="preserve"> or both). </w:t>
      </w:r>
      <w:r w:rsidR="0099517B">
        <w:t>The d</w:t>
      </w:r>
      <w:r w:rsidRPr="004E5967">
        <w:t>ifference between walnut and control columns shows the least square mean difference in change in laboratory parameters between the walnut and control phase</w:t>
      </w:r>
      <w:r w:rsidR="0099517B">
        <w:t>,</w:t>
      </w:r>
      <w:r w:rsidRPr="004E5967">
        <w:t xml:space="preserve"> according to whether walnuts were ingested with meals or as a snack</w:t>
      </w:r>
      <w:r w:rsidR="0099517B">
        <w:t>, which was</w:t>
      </w:r>
      <w:r w:rsidRPr="004E5967">
        <w:t xml:space="preserve"> determined with a multivariate regression model (proc mixed in SAS)</w:t>
      </w:r>
      <w:r w:rsidR="001B5686">
        <w:t>,</w:t>
      </w:r>
      <w:r w:rsidRPr="004E5967">
        <w:t xml:space="preserve"> and an interaction term between treatment and whether walnuts were ingested as a snack or meal. Values adjusted for: age, gender, baseline parameter, baseline </w:t>
      </w:r>
      <w:r w:rsidR="001B5686">
        <w:t>BMI</w:t>
      </w:r>
      <w:r w:rsidRPr="004E5967">
        <w:t>, treatment sequence, and type of reduction in diet (fat, carbohydrate</w:t>
      </w:r>
      <w:r w:rsidR="003C347C">
        <w:t>,</w:t>
      </w:r>
      <w:r w:rsidRPr="004E5967">
        <w:t xml:space="preserve"> or both)</w:t>
      </w:r>
      <w:r w:rsidR="004E5967" w:rsidRPr="004E5967">
        <w:t xml:space="preserve">. </w:t>
      </w:r>
      <w:r w:rsidRPr="004E5967">
        <w:t>Single imputation of missing values was performed using a Marcov chain Monte Carlo (MCMC) method (using information available on age, gender, BMI, treatment phase</w:t>
      </w:r>
      <w:r w:rsidR="00CC4B25">
        <w:t>,</w:t>
      </w:r>
      <w:r w:rsidRPr="004E5967">
        <w:t xml:space="preserve"> and other laboratory values considered)</w:t>
      </w:r>
      <w:r w:rsidR="00CC4B25">
        <w:t>.</w:t>
      </w:r>
    </w:p>
    <w:sectPr w:rsidR="00F46825" w:rsidRPr="004E5967" w:rsidSect="00236C0D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D5ED9" w14:textId="77777777" w:rsidR="00962D25" w:rsidRDefault="00962D25" w:rsidP="00C1340D">
      <w:r>
        <w:separator/>
      </w:r>
    </w:p>
  </w:endnote>
  <w:endnote w:type="continuationSeparator" w:id="0">
    <w:p w14:paraId="766FC51D" w14:textId="77777777" w:rsidR="00962D25" w:rsidRDefault="00962D25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 P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S Monospace"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85444" w14:textId="77777777" w:rsidR="00055DDB" w:rsidRPr="00236C0D" w:rsidRDefault="00055DDB" w:rsidP="00236C0D">
    <w:pPr>
      <w:pStyle w:val="Footer"/>
      <w:jc w:val="center"/>
    </w:pPr>
    <w:r>
      <w:rPr>
        <w:rFonts w:ascii="Palatino Linotype" w:hAnsi="Palatino Linotype"/>
        <w:sz w:val="20"/>
      </w:rPr>
      <w:fldChar w:fldCharType="begin"/>
    </w:r>
    <w:r>
      <w:rPr>
        <w:rFonts w:ascii="Palatino Linotype" w:hAnsi="Palatino Linotype"/>
        <w:sz w:val="20"/>
      </w:rPr>
      <w:instrText xml:space="preserve"> Page \* MERGEFORMAT </w:instrText>
    </w:r>
    <w:r>
      <w:rPr>
        <w:rFonts w:ascii="Palatino Linotype" w:hAnsi="Palatino Linotype"/>
        <w:sz w:val="20"/>
      </w:rPr>
      <w:fldChar w:fldCharType="separate"/>
    </w:r>
    <w:r w:rsidR="00755F2A">
      <w:rPr>
        <w:rFonts w:ascii="Palatino Linotype" w:hAnsi="Palatino Linotype"/>
        <w:noProof/>
        <w:sz w:val="20"/>
      </w:rPr>
      <w:t>2</w:t>
    </w:r>
    <w:r>
      <w:rPr>
        <w:rFonts w:ascii="Palatino Linotype" w:hAnsi="Palatino Linotyp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1841894"/>
      <w:docPartObj>
        <w:docPartGallery w:val="Page Numbers (Bottom of Page)"/>
        <w:docPartUnique/>
      </w:docPartObj>
    </w:sdtPr>
    <w:sdtEndPr/>
    <w:sdtContent>
      <w:p w14:paraId="67652791" w14:textId="77777777" w:rsidR="00055DDB" w:rsidRDefault="00962D25" w:rsidP="00BC33F8">
        <w:pPr>
          <w:pStyle w:val="MDPIfooter"/>
        </w:pPr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055DDB">
              <w:fldChar w:fldCharType="begin"/>
            </w:r>
            <w:r w:rsidR="00055DDB">
              <w:instrText xml:space="preserve"> PAGE  \* Arabic  \* MERGEFORMAT </w:instrText>
            </w:r>
            <w:r w:rsidR="00055DDB">
              <w:fldChar w:fldCharType="separate"/>
            </w:r>
            <w:r w:rsidR="00755F2A">
              <w:rPr>
                <w:noProof/>
              </w:rPr>
              <w:t>1</w:t>
            </w:r>
            <w:r w:rsidR="00055DDB">
              <w:fldChar w:fldCharType="end"/>
            </w:r>
          </w:sdtContent>
        </w:sdt>
      </w:p>
    </w:sdtContent>
  </w:sdt>
  <w:p w14:paraId="2EABD492" w14:textId="77777777" w:rsidR="00055DDB" w:rsidRDefault="00055D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61001" w14:textId="77777777" w:rsidR="00962D25" w:rsidRDefault="00962D25" w:rsidP="00C1340D">
      <w:r>
        <w:separator/>
      </w:r>
    </w:p>
  </w:footnote>
  <w:footnote w:type="continuationSeparator" w:id="0">
    <w:p w14:paraId="470FCB24" w14:textId="77777777" w:rsidR="00962D25" w:rsidRDefault="00962D25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3284A" w14:textId="77777777" w:rsidR="00055DDB" w:rsidRDefault="00055DDB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6FCA0" w14:textId="77777777" w:rsidR="00055DDB" w:rsidRPr="00236C0D" w:rsidRDefault="00055DDB" w:rsidP="00236C0D">
    <w:pPr>
      <w:adjustRightInd w:val="0"/>
      <w:snapToGrid w:val="0"/>
      <w:rPr>
        <w:rFonts w:ascii="Palatino Linotype" w:hAnsi="Palatino Linotype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927E0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4F82A47"/>
    <w:multiLevelType w:val="hybridMultilevel"/>
    <w:tmpl w:val="2DF4741C"/>
    <w:lvl w:ilvl="0" w:tplc="CF5CA7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CF5E91"/>
    <w:multiLevelType w:val="hybridMultilevel"/>
    <w:tmpl w:val="6CE4E924"/>
    <w:lvl w:ilvl="0" w:tplc="CF5CA7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27441F7"/>
    <w:multiLevelType w:val="hybridMultilevel"/>
    <w:tmpl w:val="6DFCEE46"/>
    <w:lvl w:ilvl="0" w:tplc="B6DA7924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6C24B9"/>
    <w:multiLevelType w:val="hybridMultilevel"/>
    <w:tmpl w:val="344A584C"/>
    <w:lvl w:ilvl="0" w:tplc="CECC1D30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430B505B"/>
    <w:multiLevelType w:val="hybridMultilevel"/>
    <w:tmpl w:val="F140ED14"/>
    <w:lvl w:ilvl="0" w:tplc="3BA0C004">
      <w:start w:val="1"/>
      <w:numFmt w:val="decimal"/>
      <w:pStyle w:val="Mdeck8references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D5443C4"/>
    <w:multiLevelType w:val="multilevel"/>
    <w:tmpl w:val="4C90A12C"/>
    <w:lvl w:ilvl="0">
      <w:start w:val="1"/>
      <w:numFmt w:val="decimal"/>
      <w:lvlText w:val="%1"/>
      <w:lvlJc w:val="left"/>
      <w:pPr>
        <w:ind w:left="1429" w:hanging="357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605F5E61"/>
    <w:multiLevelType w:val="hybridMultilevel"/>
    <w:tmpl w:val="E3140CC2"/>
    <w:lvl w:ilvl="0" w:tplc="8E38962A">
      <w:start w:val="1"/>
      <w:numFmt w:val="decimal"/>
      <w:lvlText w:val="  %1"/>
      <w:lvlJc w:val="left"/>
      <w:pPr>
        <w:ind w:left="420" w:hanging="420"/>
      </w:pPr>
      <w:rPr>
        <w:rFonts w:hint="eastAsia"/>
        <w:spacing w:val="0"/>
        <w:position w:val="10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73C370A"/>
    <w:multiLevelType w:val="hybridMultilevel"/>
    <w:tmpl w:val="EC3AEE96"/>
    <w:lvl w:ilvl="0" w:tplc="9668B0B2">
      <w:start w:val="1"/>
      <w:numFmt w:val="bullet"/>
      <w:pStyle w:val="Mdeck4textbulletlis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2" w15:restartNumberingAfterBreak="0">
    <w:nsid w:val="6DB20A64"/>
    <w:multiLevelType w:val="hybridMultilevel"/>
    <w:tmpl w:val="B43CDC7A"/>
    <w:lvl w:ilvl="0" w:tplc="10ACE5BA">
      <w:start w:val="1"/>
      <w:numFmt w:val="decimal"/>
      <w:pStyle w:val="Mdeck4textnumberedlist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0"/>
  </w:num>
  <w:num w:numId="5">
    <w:abstractNumId w:val="7"/>
  </w:num>
  <w:num w:numId="6">
    <w:abstractNumId w:val="12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  <w:num w:numId="13">
    <w:abstractNumId w:val="4"/>
  </w:num>
  <w:num w:numId="14">
    <w:abstractNumId w:val="6"/>
  </w:num>
  <w:num w:numId="15">
    <w:abstractNumId w:val="3"/>
  </w:num>
  <w:num w:numId="16">
    <w:abstractNumId w:val="3"/>
  </w:num>
  <w:num w:numId="17">
    <w:abstractNumId w:val="8"/>
  </w:num>
  <w:num w:numId="18">
    <w:abstractNumId w:val="8"/>
  </w:num>
  <w:num w:numId="19">
    <w:abstractNumId w:val="11"/>
  </w:num>
  <w:num w:numId="20">
    <w:abstractNumId w:val="12"/>
  </w:num>
  <w:num w:numId="21">
    <w:abstractNumId w:val="4"/>
  </w:num>
  <w:num w:numId="22">
    <w:abstractNumId w:val="6"/>
  </w:num>
  <w:num w:numId="23">
    <w:abstractNumId w:val="3"/>
  </w:num>
  <w:num w:numId="24">
    <w:abstractNumId w:val="3"/>
  </w:num>
  <w:num w:numId="25">
    <w:abstractNumId w:val="4"/>
  </w:num>
  <w:num w:numId="26">
    <w:abstractNumId w:val="6"/>
  </w:num>
  <w:num w:numId="27">
    <w:abstractNumId w:val="3"/>
  </w:num>
  <w:num w:numId="28">
    <w:abstractNumId w:val="4"/>
  </w:num>
  <w:num w:numId="29">
    <w:abstractNumId w:val="6"/>
  </w:num>
  <w:num w:numId="30">
    <w:abstractNumId w:val="4"/>
  </w:num>
  <w:num w:numId="31">
    <w:abstractNumId w:val="6"/>
  </w:num>
  <w:num w:numId="32">
    <w:abstractNumId w:val="3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25"/>
    <w:rsid w:val="00000637"/>
    <w:rsid w:val="000006F8"/>
    <w:rsid w:val="000009A2"/>
    <w:rsid w:val="00001288"/>
    <w:rsid w:val="000031CD"/>
    <w:rsid w:val="00003E1F"/>
    <w:rsid w:val="000046B6"/>
    <w:rsid w:val="00004BA7"/>
    <w:rsid w:val="00005FC2"/>
    <w:rsid w:val="00007A58"/>
    <w:rsid w:val="00010AD1"/>
    <w:rsid w:val="00011319"/>
    <w:rsid w:val="00011BC3"/>
    <w:rsid w:val="0001283B"/>
    <w:rsid w:val="000130A6"/>
    <w:rsid w:val="00013B7E"/>
    <w:rsid w:val="00014D42"/>
    <w:rsid w:val="00015F19"/>
    <w:rsid w:val="0001690A"/>
    <w:rsid w:val="0002090C"/>
    <w:rsid w:val="00020CB3"/>
    <w:rsid w:val="000219A5"/>
    <w:rsid w:val="00021B58"/>
    <w:rsid w:val="000220B0"/>
    <w:rsid w:val="00022B90"/>
    <w:rsid w:val="00023983"/>
    <w:rsid w:val="00024621"/>
    <w:rsid w:val="0002467B"/>
    <w:rsid w:val="00025189"/>
    <w:rsid w:val="00025C56"/>
    <w:rsid w:val="00026CC2"/>
    <w:rsid w:val="00027E1F"/>
    <w:rsid w:val="0003032F"/>
    <w:rsid w:val="00030522"/>
    <w:rsid w:val="000319B8"/>
    <w:rsid w:val="000324E4"/>
    <w:rsid w:val="0003351A"/>
    <w:rsid w:val="00033EDD"/>
    <w:rsid w:val="00034110"/>
    <w:rsid w:val="00034840"/>
    <w:rsid w:val="00034BF8"/>
    <w:rsid w:val="000361F7"/>
    <w:rsid w:val="000365FB"/>
    <w:rsid w:val="00037F00"/>
    <w:rsid w:val="00041A10"/>
    <w:rsid w:val="0004245C"/>
    <w:rsid w:val="00042C12"/>
    <w:rsid w:val="00042CE0"/>
    <w:rsid w:val="000439F3"/>
    <w:rsid w:val="00043F91"/>
    <w:rsid w:val="00044417"/>
    <w:rsid w:val="0004473F"/>
    <w:rsid w:val="000455B2"/>
    <w:rsid w:val="00045898"/>
    <w:rsid w:val="0004593C"/>
    <w:rsid w:val="00046196"/>
    <w:rsid w:val="000473C7"/>
    <w:rsid w:val="0004747E"/>
    <w:rsid w:val="00050716"/>
    <w:rsid w:val="00050C65"/>
    <w:rsid w:val="000520E3"/>
    <w:rsid w:val="000529CE"/>
    <w:rsid w:val="000551E0"/>
    <w:rsid w:val="00055DDB"/>
    <w:rsid w:val="000562B9"/>
    <w:rsid w:val="00056DBB"/>
    <w:rsid w:val="000578BD"/>
    <w:rsid w:val="000602E4"/>
    <w:rsid w:val="000602ED"/>
    <w:rsid w:val="00060365"/>
    <w:rsid w:val="000605CD"/>
    <w:rsid w:val="00060CCD"/>
    <w:rsid w:val="00063419"/>
    <w:rsid w:val="0006438D"/>
    <w:rsid w:val="0006467F"/>
    <w:rsid w:val="00064CAA"/>
    <w:rsid w:val="000661D5"/>
    <w:rsid w:val="00071D03"/>
    <w:rsid w:val="000729BA"/>
    <w:rsid w:val="00072CB3"/>
    <w:rsid w:val="0007365B"/>
    <w:rsid w:val="00073BD9"/>
    <w:rsid w:val="0007567D"/>
    <w:rsid w:val="000767A2"/>
    <w:rsid w:val="00077A9D"/>
    <w:rsid w:val="00077F4F"/>
    <w:rsid w:val="000819BD"/>
    <w:rsid w:val="00082D78"/>
    <w:rsid w:val="00082DED"/>
    <w:rsid w:val="000833FA"/>
    <w:rsid w:val="00083554"/>
    <w:rsid w:val="0008362A"/>
    <w:rsid w:val="000848F9"/>
    <w:rsid w:val="000874AD"/>
    <w:rsid w:val="0009384B"/>
    <w:rsid w:val="00094176"/>
    <w:rsid w:val="00094E9A"/>
    <w:rsid w:val="00095401"/>
    <w:rsid w:val="00095416"/>
    <w:rsid w:val="0009612A"/>
    <w:rsid w:val="00096F01"/>
    <w:rsid w:val="00097EAA"/>
    <w:rsid w:val="000A0E49"/>
    <w:rsid w:val="000A0F29"/>
    <w:rsid w:val="000A3155"/>
    <w:rsid w:val="000A328B"/>
    <w:rsid w:val="000A340B"/>
    <w:rsid w:val="000A37C3"/>
    <w:rsid w:val="000A411D"/>
    <w:rsid w:val="000A4503"/>
    <w:rsid w:val="000A45A9"/>
    <w:rsid w:val="000A5FAE"/>
    <w:rsid w:val="000B05D0"/>
    <w:rsid w:val="000B2AFA"/>
    <w:rsid w:val="000B38AC"/>
    <w:rsid w:val="000B529D"/>
    <w:rsid w:val="000B5482"/>
    <w:rsid w:val="000B5A05"/>
    <w:rsid w:val="000B719F"/>
    <w:rsid w:val="000B7420"/>
    <w:rsid w:val="000B7965"/>
    <w:rsid w:val="000B7EF6"/>
    <w:rsid w:val="000C299D"/>
    <w:rsid w:val="000C3CAA"/>
    <w:rsid w:val="000C3E87"/>
    <w:rsid w:val="000C4A82"/>
    <w:rsid w:val="000C4B5D"/>
    <w:rsid w:val="000C4FB6"/>
    <w:rsid w:val="000C72D2"/>
    <w:rsid w:val="000D0874"/>
    <w:rsid w:val="000D093A"/>
    <w:rsid w:val="000D166F"/>
    <w:rsid w:val="000D266E"/>
    <w:rsid w:val="000D2842"/>
    <w:rsid w:val="000D2F06"/>
    <w:rsid w:val="000D4185"/>
    <w:rsid w:val="000D4C25"/>
    <w:rsid w:val="000D5554"/>
    <w:rsid w:val="000E08FD"/>
    <w:rsid w:val="000E18C0"/>
    <w:rsid w:val="000E35FE"/>
    <w:rsid w:val="000E37D1"/>
    <w:rsid w:val="000E3E51"/>
    <w:rsid w:val="000E6962"/>
    <w:rsid w:val="000E7A5D"/>
    <w:rsid w:val="000F0E85"/>
    <w:rsid w:val="000F0F9F"/>
    <w:rsid w:val="000F2652"/>
    <w:rsid w:val="000F385A"/>
    <w:rsid w:val="000F4E0E"/>
    <w:rsid w:val="000F5F1E"/>
    <w:rsid w:val="000F6EC2"/>
    <w:rsid w:val="000F7462"/>
    <w:rsid w:val="000F792A"/>
    <w:rsid w:val="00100FE2"/>
    <w:rsid w:val="00101265"/>
    <w:rsid w:val="00101F6A"/>
    <w:rsid w:val="001029EC"/>
    <w:rsid w:val="0010319F"/>
    <w:rsid w:val="00103634"/>
    <w:rsid w:val="001036F7"/>
    <w:rsid w:val="00104015"/>
    <w:rsid w:val="00104C0A"/>
    <w:rsid w:val="00106E0B"/>
    <w:rsid w:val="00107798"/>
    <w:rsid w:val="001105D8"/>
    <w:rsid w:val="00111CF7"/>
    <w:rsid w:val="001123F1"/>
    <w:rsid w:val="00113C9F"/>
    <w:rsid w:val="001153A2"/>
    <w:rsid w:val="0011625C"/>
    <w:rsid w:val="0011638D"/>
    <w:rsid w:val="001170CD"/>
    <w:rsid w:val="001170CF"/>
    <w:rsid w:val="0011779E"/>
    <w:rsid w:val="001208BE"/>
    <w:rsid w:val="0012125D"/>
    <w:rsid w:val="00121CE9"/>
    <w:rsid w:val="00124285"/>
    <w:rsid w:val="0012462F"/>
    <w:rsid w:val="00126833"/>
    <w:rsid w:val="001268A0"/>
    <w:rsid w:val="00127057"/>
    <w:rsid w:val="00127B58"/>
    <w:rsid w:val="00130F88"/>
    <w:rsid w:val="00131F3D"/>
    <w:rsid w:val="00132E95"/>
    <w:rsid w:val="00133740"/>
    <w:rsid w:val="001342FF"/>
    <w:rsid w:val="0013512B"/>
    <w:rsid w:val="001352B6"/>
    <w:rsid w:val="00135C14"/>
    <w:rsid w:val="0013667F"/>
    <w:rsid w:val="001374B9"/>
    <w:rsid w:val="00140884"/>
    <w:rsid w:val="00140A39"/>
    <w:rsid w:val="0014158B"/>
    <w:rsid w:val="001415CB"/>
    <w:rsid w:val="00142F91"/>
    <w:rsid w:val="00144660"/>
    <w:rsid w:val="00144DC5"/>
    <w:rsid w:val="00144E54"/>
    <w:rsid w:val="00145E98"/>
    <w:rsid w:val="00145F5A"/>
    <w:rsid w:val="00147EAA"/>
    <w:rsid w:val="00150342"/>
    <w:rsid w:val="001519EB"/>
    <w:rsid w:val="00151E48"/>
    <w:rsid w:val="0015233C"/>
    <w:rsid w:val="00152F85"/>
    <w:rsid w:val="00153153"/>
    <w:rsid w:val="001532CC"/>
    <w:rsid w:val="00154D80"/>
    <w:rsid w:val="00155401"/>
    <w:rsid w:val="00156006"/>
    <w:rsid w:val="001608ED"/>
    <w:rsid w:val="00160C50"/>
    <w:rsid w:val="00160EA6"/>
    <w:rsid w:val="0016263E"/>
    <w:rsid w:val="001632F9"/>
    <w:rsid w:val="00163372"/>
    <w:rsid w:val="00163514"/>
    <w:rsid w:val="00164F31"/>
    <w:rsid w:val="00165A01"/>
    <w:rsid w:val="001665A2"/>
    <w:rsid w:val="0016702F"/>
    <w:rsid w:val="001732EE"/>
    <w:rsid w:val="001739FB"/>
    <w:rsid w:val="00173B27"/>
    <w:rsid w:val="00173FC0"/>
    <w:rsid w:val="00174E3E"/>
    <w:rsid w:val="0017609C"/>
    <w:rsid w:val="001763AE"/>
    <w:rsid w:val="00176BBA"/>
    <w:rsid w:val="00176DC5"/>
    <w:rsid w:val="00176E73"/>
    <w:rsid w:val="00176ECE"/>
    <w:rsid w:val="0017709E"/>
    <w:rsid w:val="001812DE"/>
    <w:rsid w:val="001822CD"/>
    <w:rsid w:val="00182F93"/>
    <w:rsid w:val="00184B65"/>
    <w:rsid w:val="00184ECF"/>
    <w:rsid w:val="0018548A"/>
    <w:rsid w:val="001854A7"/>
    <w:rsid w:val="00187B72"/>
    <w:rsid w:val="00190717"/>
    <w:rsid w:val="00190E7A"/>
    <w:rsid w:val="001920D7"/>
    <w:rsid w:val="00192141"/>
    <w:rsid w:val="001929BE"/>
    <w:rsid w:val="00193EBD"/>
    <w:rsid w:val="00194DCB"/>
    <w:rsid w:val="00196A90"/>
    <w:rsid w:val="001A06C4"/>
    <w:rsid w:val="001A0D5B"/>
    <w:rsid w:val="001A103B"/>
    <w:rsid w:val="001A1303"/>
    <w:rsid w:val="001A1A92"/>
    <w:rsid w:val="001A3926"/>
    <w:rsid w:val="001A3C37"/>
    <w:rsid w:val="001A4A0E"/>
    <w:rsid w:val="001A77DF"/>
    <w:rsid w:val="001A7D08"/>
    <w:rsid w:val="001B088E"/>
    <w:rsid w:val="001B09F9"/>
    <w:rsid w:val="001B16E8"/>
    <w:rsid w:val="001B184B"/>
    <w:rsid w:val="001B1C77"/>
    <w:rsid w:val="001B22D3"/>
    <w:rsid w:val="001B2E32"/>
    <w:rsid w:val="001B396D"/>
    <w:rsid w:val="001B3A0F"/>
    <w:rsid w:val="001B446E"/>
    <w:rsid w:val="001B4FED"/>
    <w:rsid w:val="001B5686"/>
    <w:rsid w:val="001B5C88"/>
    <w:rsid w:val="001B645B"/>
    <w:rsid w:val="001B70AA"/>
    <w:rsid w:val="001C0136"/>
    <w:rsid w:val="001C0633"/>
    <w:rsid w:val="001C2A2E"/>
    <w:rsid w:val="001C3462"/>
    <w:rsid w:val="001C3B86"/>
    <w:rsid w:val="001C476D"/>
    <w:rsid w:val="001C54D2"/>
    <w:rsid w:val="001C57AC"/>
    <w:rsid w:val="001C5D71"/>
    <w:rsid w:val="001C5F87"/>
    <w:rsid w:val="001C6374"/>
    <w:rsid w:val="001C64AA"/>
    <w:rsid w:val="001C6F85"/>
    <w:rsid w:val="001D09A8"/>
    <w:rsid w:val="001D09C6"/>
    <w:rsid w:val="001D0A2E"/>
    <w:rsid w:val="001D0BD8"/>
    <w:rsid w:val="001D118E"/>
    <w:rsid w:val="001D167E"/>
    <w:rsid w:val="001D2C4F"/>
    <w:rsid w:val="001D3FDB"/>
    <w:rsid w:val="001D44C4"/>
    <w:rsid w:val="001D4C88"/>
    <w:rsid w:val="001D4CBF"/>
    <w:rsid w:val="001D4D93"/>
    <w:rsid w:val="001D552F"/>
    <w:rsid w:val="001D5C83"/>
    <w:rsid w:val="001D5CB0"/>
    <w:rsid w:val="001D7118"/>
    <w:rsid w:val="001D7351"/>
    <w:rsid w:val="001D73BD"/>
    <w:rsid w:val="001D7484"/>
    <w:rsid w:val="001E0749"/>
    <w:rsid w:val="001E0BFA"/>
    <w:rsid w:val="001E0D5D"/>
    <w:rsid w:val="001E2536"/>
    <w:rsid w:val="001E26BA"/>
    <w:rsid w:val="001E3227"/>
    <w:rsid w:val="001E3B40"/>
    <w:rsid w:val="001E3DBC"/>
    <w:rsid w:val="001E3F14"/>
    <w:rsid w:val="001E5473"/>
    <w:rsid w:val="001E7037"/>
    <w:rsid w:val="001F1F4A"/>
    <w:rsid w:val="001F2210"/>
    <w:rsid w:val="001F2913"/>
    <w:rsid w:val="001F29CB"/>
    <w:rsid w:val="001F45A9"/>
    <w:rsid w:val="001F51E0"/>
    <w:rsid w:val="001F55DC"/>
    <w:rsid w:val="001F5A4A"/>
    <w:rsid w:val="001F5A4F"/>
    <w:rsid w:val="001F6185"/>
    <w:rsid w:val="001F668B"/>
    <w:rsid w:val="001F689E"/>
    <w:rsid w:val="001F6C51"/>
    <w:rsid w:val="001F6E07"/>
    <w:rsid w:val="001F7A9D"/>
    <w:rsid w:val="00200EDC"/>
    <w:rsid w:val="0020147D"/>
    <w:rsid w:val="002021CF"/>
    <w:rsid w:val="002026F5"/>
    <w:rsid w:val="00203493"/>
    <w:rsid w:val="0020351E"/>
    <w:rsid w:val="0020457C"/>
    <w:rsid w:val="00204CE0"/>
    <w:rsid w:val="00206B4D"/>
    <w:rsid w:val="00207655"/>
    <w:rsid w:val="002101F4"/>
    <w:rsid w:val="00211635"/>
    <w:rsid w:val="0021202D"/>
    <w:rsid w:val="00213EDE"/>
    <w:rsid w:val="00214190"/>
    <w:rsid w:val="002155A6"/>
    <w:rsid w:val="00215FA0"/>
    <w:rsid w:val="002164BB"/>
    <w:rsid w:val="00216FA9"/>
    <w:rsid w:val="00220209"/>
    <w:rsid w:val="002205D0"/>
    <w:rsid w:val="002214B6"/>
    <w:rsid w:val="002220D5"/>
    <w:rsid w:val="00223A64"/>
    <w:rsid w:val="00223E5B"/>
    <w:rsid w:val="0022432F"/>
    <w:rsid w:val="00224DB0"/>
    <w:rsid w:val="00225217"/>
    <w:rsid w:val="00225F3F"/>
    <w:rsid w:val="00226AB1"/>
    <w:rsid w:val="0023154D"/>
    <w:rsid w:val="00232427"/>
    <w:rsid w:val="002324B2"/>
    <w:rsid w:val="00233584"/>
    <w:rsid w:val="00233AD3"/>
    <w:rsid w:val="00234505"/>
    <w:rsid w:val="00234AE4"/>
    <w:rsid w:val="00234D86"/>
    <w:rsid w:val="00235077"/>
    <w:rsid w:val="00235973"/>
    <w:rsid w:val="00236969"/>
    <w:rsid w:val="00236C0D"/>
    <w:rsid w:val="00236D35"/>
    <w:rsid w:val="00236F94"/>
    <w:rsid w:val="00237AC9"/>
    <w:rsid w:val="00237BD4"/>
    <w:rsid w:val="00237EDD"/>
    <w:rsid w:val="0024084D"/>
    <w:rsid w:val="00240C8C"/>
    <w:rsid w:val="00241C14"/>
    <w:rsid w:val="00241F9D"/>
    <w:rsid w:val="0024285C"/>
    <w:rsid w:val="002434C9"/>
    <w:rsid w:val="00243E60"/>
    <w:rsid w:val="002441EF"/>
    <w:rsid w:val="00246CE0"/>
    <w:rsid w:val="0025014E"/>
    <w:rsid w:val="00250261"/>
    <w:rsid w:val="0025127B"/>
    <w:rsid w:val="00251811"/>
    <w:rsid w:val="0025232D"/>
    <w:rsid w:val="00252515"/>
    <w:rsid w:val="0025259B"/>
    <w:rsid w:val="00252BD9"/>
    <w:rsid w:val="00253193"/>
    <w:rsid w:val="0025354C"/>
    <w:rsid w:val="0025430F"/>
    <w:rsid w:val="00255B5C"/>
    <w:rsid w:val="00256153"/>
    <w:rsid w:val="002571F6"/>
    <w:rsid w:val="00257403"/>
    <w:rsid w:val="0025777F"/>
    <w:rsid w:val="00261765"/>
    <w:rsid w:val="00261B77"/>
    <w:rsid w:val="00263890"/>
    <w:rsid w:val="0026479E"/>
    <w:rsid w:val="002665A2"/>
    <w:rsid w:val="002668F1"/>
    <w:rsid w:val="00266EF6"/>
    <w:rsid w:val="002679CA"/>
    <w:rsid w:val="00271978"/>
    <w:rsid w:val="00272574"/>
    <w:rsid w:val="00273440"/>
    <w:rsid w:val="00273611"/>
    <w:rsid w:val="002739FC"/>
    <w:rsid w:val="002740EC"/>
    <w:rsid w:val="0027513B"/>
    <w:rsid w:val="0027593D"/>
    <w:rsid w:val="00275F7E"/>
    <w:rsid w:val="00276728"/>
    <w:rsid w:val="00276A00"/>
    <w:rsid w:val="00276B71"/>
    <w:rsid w:val="00276FC3"/>
    <w:rsid w:val="0027713B"/>
    <w:rsid w:val="00280BF0"/>
    <w:rsid w:val="002813F6"/>
    <w:rsid w:val="00281870"/>
    <w:rsid w:val="00282A67"/>
    <w:rsid w:val="00285954"/>
    <w:rsid w:val="00286449"/>
    <w:rsid w:val="0028727D"/>
    <w:rsid w:val="0029001A"/>
    <w:rsid w:val="0029096B"/>
    <w:rsid w:val="002915B6"/>
    <w:rsid w:val="0029287A"/>
    <w:rsid w:val="00294C2F"/>
    <w:rsid w:val="00295DE5"/>
    <w:rsid w:val="0029628E"/>
    <w:rsid w:val="002966EA"/>
    <w:rsid w:val="00296971"/>
    <w:rsid w:val="00296EB7"/>
    <w:rsid w:val="00297E6F"/>
    <w:rsid w:val="002A0069"/>
    <w:rsid w:val="002A0C51"/>
    <w:rsid w:val="002A115C"/>
    <w:rsid w:val="002A28B0"/>
    <w:rsid w:val="002A2D4D"/>
    <w:rsid w:val="002A31E4"/>
    <w:rsid w:val="002A4987"/>
    <w:rsid w:val="002A4B03"/>
    <w:rsid w:val="002A4D7C"/>
    <w:rsid w:val="002A5A97"/>
    <w:rsid w:val="002A66E9"/>
    <w:rsid w:val="002A74AF"/>
    <w:rsid w:val="002A7FB2"/>
    <w:rsid w:val="002B0BCA"/>
    <w:rsid w:val="002B37F5"/>
    <w:rsid w:val="002B39BD"/>
    <w:rsid w:val="002B4981"/>
    <w:rsid w:val="002B527D"/>
    <w:rsid w:val="002B6475"/>
    <w:rsid w:val="002B75A2"/>
    <w:rsid w:val="002B7893"/>
    <w:rsid w:val="002B7990"/>
    <w:rsid w:val="002C0E6A"/>
    <w:rsid w:val="002C263D"/>
    <w:rsid w:val="002C28DD"/>
    <w:rsid w:val="002C300A"/>
    <w:rsid w:val="002C5045"/>
    <w:rsid w:val="002C6616"/>
    <w:rsid w:val="002C6C5F"/>
    <w:rsid w:val="002C7423"/>
    <w:rsid w:val="002C7CEB"/>
    <w:rsid w:val="002D0834"/>
    <w:rsid w:val="002D2055"/>
    <w:rsid w:val="002D476D"/>
    <w:rsid w:val="002D56A4"/>
    <w:rsid w:val="002D61D1"/>
    <w:rsid w:val="002D74C1"/>
    <w:rsid w:val="002D7EB2"/>
    <w:rsid w:val="002E0734"/>
    <w:rsid w:val="002E0B8D"/>
    <w:rsid w:val="002E11AF"/>
    <w:rsid w:val="002E1F9C"/>
    <w:rsid w:val="002E2696"/>
    <w:rsid w:val="002E3A91"/>
    <w:rsid w:val="002E45FF"/>
    <w:rsid w:val="002E4AE9"/>
    <w:rsid w:val="002E59FA"/>
    <w:rsid w:val="002E699F"/>
    <w:rsid w:val="002E6F4F"/>
    <w:rsid w:val="002E7693"/>
    <w:rsid w:val="002F0022"/>
    <w:rsid w:val="002F054E"/>
    <w:rsid w:val="002F1DA7"/>
    <w:rsid w:val="002F1F90"/>
    <w:rsid w:val="002F1F92"/>
    <w:rsid w:val="002F25BA"/>
    <w:rsid w:val="002F30E0"/>
    <w:rsid w:val="002F33CE"/>
    <w:rsid w:val="002F34AC"/>
    <w:rsid w:val="002F3511"/>
    <w:rsid w:val="002F3A40"/>
    <w:rsid w:val="002F6006"/>
    <w:rsid w:val="002F642F"/>
    <w:rsid w:val="002F667B"/>
    <w:rsid w:val="002F6728"/>
    <w:rsid w:val="002F6774"/>
    <w:rsid w:val="002F6FC8"/>
    <w:rsid w:val="002F773D"/>
    <w:rsid w:val="0030039F"/>
    <w:rsid w:val="00300F39"/>
    <w:rsid w:val="00301D78"/>
    <w:rsid w:val="0030227D"/>
    <w:rsid w:val="0030282D"/>
    <w:rsid w:val="0030286C"/>
    <w:rsid w:val="0030379B"/>
    <w:rsid w:val="003038C2"/>
    <w:rsid w:val="00303F77"/>
    <w:rsid w:val="003053D7"/>
    <w:rsid w:val="00305668"/>
    <w:rsid w:val="003056AD"/>
    <w:rsid w:val="00305916"/>
    <w:rsid w:val="003062F9"/>
    <w:rsid w:val="00306459"/>
    <w:rsid w:val="003066AC"/>
    <w:rsid w:val="00306771"/>
    <w:rsid w:val="00307860"/>
    <w:rsid w:val="0030792C"/>
    <w:rsid w:val="00307BFB"/>
    <w:rsid w:val="00307DAD"/>
    <w:rsid w:val="0031080A"/>
    <w:rsid w:val="00312F5B"/>
    <w:rsid w:val="0031308C"/>
    <w:rsid w:val="0031392A"/>
    <w:rsid w:val="00313A68"/>
    <w:rsid w:val="00313FEF"/>
    <w:rsid w:val="0031511F"/>
    <w:rsid w:val="003167AC"/>
    <w:rsid w:val="00320BED"/>
    <w:rsid w:val="0032250E"/>
    <w:rsid w:val="00322580"/>
    <w:rsid w:val="00322976"/>
    <w:rsid w:val="003229FD"/>
    <w:rsid w:val="00322A41"/>
    <w:rsid w:val="003241F4"/>
    <w:rsid w:val="003246E2"/>
    <w:rsid w:val="0032589B"/>
    <w:rsid w:val="003260DD"/>
    <w:rsid w:val="003264DF"/>
    <w:rsid w:val="00326AA6"/>
    <w:rsid w:val="0033124F"/>
    <w:rsid w:val="0033164F"/>
    <w:rsid w:val="0033194C"/>
    <w:rsid w:val="00333C2D"/>
    <w:rsid w:val="003352F1"/>
    <w:rsid w:val="003358BE"/>
    <w:rsid w:val="00336080"/>
    <w:rsid w:val="0033626E"/>
    <w:rsid w:val="00336BEA"/>
    <w:rsid w:val="00337799"/>
    <w:rsid w:val="003379F5"/>
    <w:rsid w:val="00337C65"/>
    <w:rsid w:val="00337F1E"/>
    <w:rsid w:val="00337F5A"/>
    <w:rsid w:val="00340477"/>
    <w:rsid w:val="00341638"/>
    <w:rsid w:val="00341815"/>
    <w:rsid w:val="00342263"/>
    <w:rsid w:val="00342C3A"/>
    <w:rsid w:val="00344684"/>
    <w:rsid w:val="00344DFE"/>
    <w:rsid w:val="0034591F"/>
    <w:rsid w:val="003463F0"/>
    <w:rsid w:val="00346A68"/>
    <w:rsid w:val="00346B1B"/>
    <w:rsid w:val="00347596"/>
    <w:rsid w:val="0035006A"/>
    <w:rsid w:val="003502EF"/>
    <w:rsid w:val="00352D55"/>
    <w:rsid w:val="0035313A"/>
    <w:rsid w:val="0035340A"/>
    <w:rsid w:val="003537B0"/>
    <w:rsid w:val="00353B41"/>
    <w:rsid w:val="003541F4"/>
    <w:rsid w:val="0035469E"/>
    <w:rsid w:val="0035521D"/>
    <w:rsid w:val="00355882"/>
    <w:rsid w:val="00355AE5"/>
    <w:rsid w:val="00356904"/>
    <w:rsid w:val="00357207"/>
    <w:rsid w:val="00360DDB"/>
    <w:rsid w:val="00360FE8"/>
    <w:rsid w:val="003619AF"/>
    <w:rsid w:val="00361F86"/>
    <w:rsid w:val="00361FB1"/>
    <w:rsid w:val="00363D81"/>
    <w:rsid w:val="00363F59"/>
    <w:rsid w:val="00364AC4"/>
    <w:rsid w:val="00364B75"/>
    <w:rsid w:val="00364F92"/>
    <w:rsid w:val="003655C0"/>
    <w:rsid w:val="00367166"/>
    <w:rsid w:val="00367343"/>
    <w:rsid w:val="003674D7"/>
    <w:rsid w:val="003675B2"/>
    <w:rsid w:val="00367C05"/>
    <w:rsid w:val="00370569"/>
    <w:rsid w:val="003709EC"/>
    <w:rsid w:val="00372F67"/>
    <w:rsid w:val="00373D16"/>
    <w:rsid w:val="00373F32"/>
    <w:rsid w:val="00374898"/>
    <w:rsid w:val="0037512C"/>
    <w:rsid w:val="00375E48"/>
    <w:rsid w:val="00376FA1"/>
    <w:rsid w:val="00380DC0"/>
    <w:rsid w:val="00381651"/>
    <w:rsid w:val="00381C2D"/>
    <w:rsid w:val="00381D89"/>
    <w:rsid w:val="00381FC4"/>
    <w:rsid w:val="00382572"/>
    <w:rsid w:val="003835CE"/>
    <w:rsid w:val="00383AFA"/>
    <w:rsid w:val="0038440B"/>
    <w:rsid w:val="0038547B"/>
    <w:rsid w:val="003855CF"/>
    <w:rsid w:val="00385B9E"/>
    <w:rsid w:val="00385E8A"/>
    <w:rsid w:val="0038727A"/>
    <w:rsid w:val="003878F5"/>
    <w:rsid w:val="003902E6"/>
    <w:rsid w:val="003911F6"/>
    <w:rsid w:val="00391F71"/>
    <w:rsid w:val="0039280E"/>
    <w:rsid w:val="003938E0"/>
    <w:rsid w:val="00394742"/>
    <w:rsid w:val="003A0479"/>
    <w:rsid w:val="003A0FDD"/>
    <w:rsid w:val="003A116E"/>
    <w:rsid w:val="003A117B"/>
    <w:rsid w:val="003A1FCC"/>
    <w:rsid w:val="003A20F8"/>
    <w:rsid w:val="003A2168"/>
    <w:rsid w:val="003A3F7E"/>
    <w:rsid w:val="003A4433"/>
    <w:rsid w:val="003A445F"/>
    <w:rsid w:val="003A4FD3"/>
    <w:rsid w:val="003A7BCE"/>
    <w:rsid w:val="003B14DD"/>
    <w:rsid w:val="003B2A22"/>
    <w:rsid w:val="003B3A7C"/>
    <w:rsid w:val="003B4BF9"/>
    <w:rsid w:val="003B4E63"/>
    <w:rsid w:val="003B54C0"/>
    <w:rsid w:val="003B559A"/>
    <w:rsid w:val="003B65E3"/>
    <w:rsid w:val="003B7477"/>
    <w:rsid w:val="003C014C"/>
    <w:rsid w:val="003C245C"/>
    <w:rsid w:val="003C2C26"/>
    <w:rsid w:val="003C347C"/>
    <w:rsid w:val="003C420C"/>
    <w:rsid w:val="003C489A"/>
    <w:rsid w:val="003C4A20"/>
    <w:rsid w:val="003C4AAF"/>
    <w:rsid w:val="003C6FE4"/>
    <w:rsid w:val="003C7C01"/>
    <w:rsid w:val="003D16C3"/>
    <w:rsid w:val="003D1BCF"/>
    <w:rsid w:val="003D2888"/>
    <w:rsid w:val="003D2BC8"/>
    <w:rsid w:val="003D2F75"/>
    <w:rsid w:val="003D3CD5"/>
    <w:rsid w:val="003D6836"/>
    <w:rsid w:val="003D6B75"/>
    <w:rsid w:val="003D6DF8"/>
    <w:rsid w:val="003D740F"/>
    <w:rsid w:val="003D7C05"/>
    <w:rsid w:val="003E07AC"/>
    <w:rsid w:val="003E08EB"/>
    <w:rsid w:val="003E0C56"/>
    <w:rsid w:val="003E0E4D"/>
    <w:rsid w:val="003E0EB6"/>
    <w:rsid w:val="003E14E1"/>
    <w:rsid w:val="003E2B81"/>
    <w:rsid w:val="003E370F"/>
    <w:rsid w:val="003E5D35"/>
    <w:rsid w:val="003E5F91"/>
    <w:rsid w:val="003E6571"/>
    <w:rsid w:val="003E68A1"/>
    <w:rsid w:val="003E69F6"/>
    <w:rsid w:val="003E6A54"/>
    <w:rsid w:val="003E7386"/>
    <w:rsid w:val="003F0471"/>
    <w:rsid w:val="003F0B86"/>
    <w:rsid w:val="003F21C8"/>
    <w:rsid w:val="003F2876"/>
    <w:rsid w:val="003F35A6"/>
    <w:rsid w:val="003F368E"/>
    <w:rsid w:val="003F4AE6"/>
    <w:rsid w:val="003F4D73"/>
    <w:rsid w:val="003F51C8"/>
    <w:rsid w:val="003F6004"/>
    <w:rsid w:val="003F6100"/>
    <w:rsid w:val="003F665D"/>
    <w:rsid w:val="003F6831"/>
    <w:rsid w:val="003F6838"/>
    <w:rsid w:val="003F693E"/>
    <w:rsid w:val="003F7D44"/>
    <w:rsid w:val="003F7FD5"/>
    <w:rsid w:val="00400694"/>
    <w:rsid w:val="004011DC"/>
    <w:rsid w:val="00401393"/>
    <w:rsid w:val="00401EA0"/>
    <w:rsid w:val="00402411"/>
    <w:rsid w:val="00403288"/>
    <w:rsid w:val="004050EB"/>
    <w:rsid w:val="00405735"/>
    <w:rsid w:val="00405C01"/>
    <w:rsid w:val="00405C93"/>
    <w:rsid w:val="0040655F"/>
    <w:rsid w:val="00407752"/>
    <w:rsid w:val="00411667"/>
    <w:rsid w:val="004123C0"/>
    <w:rsid w:val="00412600"/>
    <w:rsid w:val="00412F36"/>
    <w:rsid w:val="00412FD3"/>
    <w:rsid w:val="004137AF"/>
    <w:rsid w:val="00415D4A"/>
    <w:rsid w:val="00415FB0"/>
    <w:rsid w:val="00416147"/>
    <w:rsid w:val="00416645"/>
    <w:rsid w:val="00417A0D"/>
    <w:rsid w:val="00421B73"/>
    <w:rsid w:val="00423429"/>
    <w:rsid w:val="00423556"/>
    <w:rsid w:val="00423C15"/>
    <w:rsid w:val="00424882"/>
    <w:rsid w:val="00424A4C"/>
    <w:rsid w:val="00424AD5"/>
    <w:rsid w:val="00425923"/>
    <w:rsid w:val="00425AEA"/>
    <w:rsid w:val="0042627E"/>
    <w:rsid w:val="004262FE"/>
    <w:rsid w:val="004278D4"/>
    <w:rsid w:val="00427902"/>
    <w:rsid w:val="00430D33"/>
    <w:rsid w:val="00430E8C"/>
    <w:rsid w:val="0043115A"/>
    <w:rsid w:val="00432069"/>
    <w:rsid w:val="00432800"/>
    <w:rsid w:val="0043282E"/>
    <w:rsid w:val="00432E5D"/>
    <w:rsid w:val="00433837"/>
    <w:rsid w:val="00434423"/>
    <w:rsid w:val="00434ACD"/>
    <w:rsid w:val="00435251"/>
    <w:rsid w:val="00435F63"/>
    <w:rsid w:val="00435FB6"/>
    <w:rsid w:val="00436BA8"/>
    <w:rsid w:val="00436CAC"/>
    <w:rsid w:val="00437479"/>
    <w:rsid w:val="0043748F"/>
    <w:rsid w:val="004378B1"/>
    <w:rsid w:val="0044006E"/>
    <w:rsid w:val="004408AA"/>
    <w:rsid w:val="00440B48"/>
    <w:rsid w:val="00441209"/>
    <w:rsid w:val="00441AF9"/>
    <w:rsid w:val="00441FA3"/>
    <w:rsid w:val="0044201D"/>
    <w:rsid w:val="00442EFB"/>
    <w:rsid w:val="00444B0F"/>
    <w:rsid w:val="004466AA"/>
    <w:rsid w:val="00446CA3"/>
    <w:rsid w:val="0045011E"/>
    <w:rsid w:val="004508CC"/>
    <w:rsid w:val="0045101B"/>
    <w:rsid w:val="00453625"/>
    <w:rsid w:val="004539D4"/>
    <w:rsid w:val="00453CFB"/>
    <w:rsid w:val="0045405C"/>
    <w:rsid w:val="004540FE"/>
    <w:rsid w:val="004544B2"/>
    <w:rsid w:val="00455021"/>
    <w:rsid w:val="00456BA6"/>
    <w:rsid w:val="00457A2B"/>
    <w:rsid w:val="00461413"/>
    <w:rsid w:val="004614D9"/>
    <w:rsid w:val="00461DA2"/>
    <w:rsid w:val="00462789"/>
    <w:rsid w:val="004628C2"/>
    <w:rsid w:val="00462EA5"/>
    <w:rsid w:val="00462F89"/>
    <w:rsid w:val="00464AD8"/>
    <w:rsid w:val="004660CB"/>
    <w:rsid w:val="00467F33"/>
    <w:rsid w:val="00471859"/>
    <w:rsid w:val="00474D5C"/>
    <w:rsid w:val="00474F2C"/>
    <w:rsid w:val="00475F95"/>
    <w:rsid w:val="00476172"/>
    <w:rsid w:val="00477487"/>
    <w:rsid w:val="0048098C"/>
    <w:rsid w:val="00480BAE"/>
    <w:rsid w:val="00481ADA"/>
    <w:rsid w:val="00482A5D"/>
    <w:rsid w:val="00483436"/>
    <w:rsid w:val="00484615"/>
    <w:rsid w:val="004863BC"/>
    <w:rsid w:val="004869B2"/>
    <w:rsid w:val="004914DF"/>
    <w:rsid w:val="00492418"/>
    <w:rsid w:val="00492980"/>
    <w:rsid w:val="00492DD6"/>
    <w:rsid w:val="004938FB"/>
    <w:rsid w:val="00494DC8"/>
    <w:rsid w:val="00496035"/>
    <w:rsid w:val="004971EB"/>
    <w:rsid w:val="004975CF"/>
    <w:rsid w:val="004975FB"/>
    <w:rsid w:val="00497EC6"/>
    <w:rsid w:val="004A0C78"/>
    <w:rsid w:val="004A1408"/>
    <w:rsid w:val="004A3D67"/>
    <w:rsid w:val="004A3E90"/>
    <w:rsid w:val="004A3EEB"/>
    <w:rsid w:val="004A44AE"/>
    <w:rsid w:val="004A485C"/>
    <w:rsid w:val="004A5712"/>
    <w:rsid w:val="004A59BC"/>
    <w:rsid w:val="004A6E3D"/>
    <w:rsid w:val="004A6F1E"/>
    <w:rsid w:val="004A72E4"/>
    <w:rsid w:val="004A7C02"/>
    <w:rsid w:val="004B0806"/>
    <w:rsid w:val="004B1516"/>
    <w:rsid w:val="004B453D"/>
    <w:rsid w:val="004B5027"/>
    <w:rsid w:val="004B637A"/>
    <w:rsid w:val="004B664F"/>
    <w:rsid w:val="004B6E63"/>
    <w:rsid w:val="004B7FAD"/>
    <w:rsid w:val="004C07C4"/>
    <w:rsid w:val="004C16C9"/>
    <w:rsid w:val="004C1961"/>
    <w:rsid w:val="004C1A82"/>
    <w:rsid w:val="004C1AB7"/>
    <w:rsid w:val="004C1B70"/>
    <w:rsid w:val="004C2AFF"/>
    <w:rsid w:val="004C3D4B"/>
    <w:rsid w:val="004C4AF6"/>
    <w:rsid w:val="004C5314"/>
    <w:rsid w:val="004C6058"/>
    <w:rsid w:val="004C6EE2"/>
    <w:rsid w:val="004C71C5"/>
    <w:rsid w:val="004D0408"/>
    <w:rsid w:val="004D3D30"/>
    <w:rsid w:val="004D464D"/>
    <w:rsid w:val="004D4C98"/>
    <w:rsid w:val="004D50E0"/>
    <w:rsid w:val="004D6828"/>
    <w:rsid w:val="004D7402"/>
    <w:rsid w:val="004D7F04"/>
    <w:rsid w:val="004E0237"/>
    <w:rsid w:val="004E16F5"/>
    <w:rsid w:val="004E31A5"/>
    <w:rsid w:val="004E3359"/>
    <w:rsid w:val="004E430A"/>
    <w:rsid w:val="004E481E"/>
    <w:rsid w:val="004E5967"/>
    <w:rsid w:val="004E70CE"/>
    <w:rsid w:val="004E735C"/>
    <w:rsid w:val="004F1511"/>
    <w:rsid w:val="004F1CDD"/>
    <w:rsid w:val="004F249B"/>
    <w:rsid w:val="004F41A3"/>
    <w:rsid w:val="004F4D37"/>
    <w:rsid w:val="004F5C22"/>
    <w:rsid w:val="004F615E"/>
    <w:rsid w:val="004F6A2C"/>
    <w:rsid w:val="004F7B5B"/>
    <w:rsid w:val="004F7C43"/>
    <w:rsid w:val="00500AD1"/>
    <w:rsid w:val="00500BD3"/>
    <w:rsid w:val="00502036"/>
    <w:rsid w:val="00502854"/>
    <w:rsid w:val="00504EF1"/>
    <w:rsid w:val="00505235"/>
    <w:rsid w:val="005052F4"/>
    <w:rsid w:val="005055B1"/>
    <w:rsid w:val="0050609E"/>
    <w:rsid w:val="00506525"/>
    <w:rsid w:val="0050721D"/>
    <w:rsid w:val="00510579"/>
    <w:rsid w:val="005112A6"/>
    <w:rsid w:val="0051313D"/>
    <w:rsid w:val="00514D19"/>
    <w:rsid w:val="00514D8C"/>
    <w:rsid w:val="00515F67"/>
    <w:rsid w:val="00516FD5"/>
    <w:rsid w:val="005173DA"/>
    <w:rsid w:val="00517F4B"/>
    <w:rsid w:val="00520C33"/>
    <w:rsid w:val="00521126"/>
    <w:rsid w:val="00521B2A"/>
    <w:rsid w:val="00521DBF"/>
    <w:rsid w:val="005228A4"/>
    <w:rsid w:val="00522958"/>
    <w:rsid w:val="00522C11"/>
    <w:rsid w:val="00523489"/>
    <w:rsid w:val="00523C06"/>
    <w:rsid w:val="00525CC6"/>
    <w:rsid w:val="00526832"/>
    <w:rsid w:val="00527BF5"/>
    <w:rsid w:val="00532B9C"/>
    <w:rsid w:val="005332DD"/>
    <w:rsid w:val="0053366B"/>
    <w:rsid w:val="00533883"/>
    <w:rsid w:val="00534135"/>
    <w:rsid w:val="00534DBC"/>
    <w:rsid w:val="0053751F"/>
    <w:rsid w:val="00540081"/>
    <w:rsid w:val="005400CD"/>
    <w:rsid w:val="00541DC6"/>
    <w:rsid w:val="0054361B"/>
    <w:rsid w:val="00546A9B"/>
    <w:rsid w:val="005476DC"/>
    <w:rsid w:val="005477D0"/>
    <w:rsid w:val="00547A73"/>
    <w:rsid w:val="00550577"/>
    <w:rsid w:val="00550622"/>
    <w:rsid w:val="005509C8"/>
    <w:rsid w:val="00550A67"/>
    <w:rsid w:val="005518BE"/>
    <w:rsid w:val="005519F1"/>
    <w:rsid w:val="00554334"/>
    <w:rsid w:val="00554D7C"/>
    <w:rsid w:val="005556AA"/>
    <w:rsid w:val="00555EA1"/>
    <w:rsid w:val="005569C6"/>
    <w:rsid w:val="00556FA7"/>
    <w:rsid w:val="005574FA"/>
    <w:rsid w:val="0055753F"/>
    <w:rsid w:val="005579F5"/>
    <w:rsid w:val="00561116"/>
    <w:rsid w:val="0056135B"/>
    <w:rsid w:val="00561861"/>
    <w:rsid w:val="00562DCF"/>
    <w:rsid w:val="005635C5"/>
    <w:rsid w:val="0056451B"/>
    <w:rsid w:val="00565398"/>
    <w:rsid w:val="005665B7"/>
    <w:rsid w:val="0056676E"/>
    <w:rsid w:val="00566825"/>
    <w:rsid w:val="00566C4A"/>
    <w:rsid w:val="00566F95"/>
    <w:rsid w:val="0056718A"/>
    <w:rsid w:val="00567455"/>
    <w:rsid w:val="00567899"/>
    <w:rsid w:val="00570518"/>
    <w:rsid w:val="00571185"/>
    <w:rsid w:val="00571422"/>
    <w:rsid w:val="005723A6"/>
    <w:rsid w:val="00575319"/>
    <w:rsid w:val="00575376"/>
    <w:rsid w:val="00575E0E"/>
    <w:rsid w:val="00577E2D"/>
    <w:rsid w:val="00577E5B"/>
    <w:rsid w:val="00580739"/>
    <w:rsid w:val="00582049"/>
    <w:rsid w:val="00582403"/>
    <w:rsid w:val="00582C3D"/>
    <w:rsid w:val="00585B5F"/>
    <w:rsid w:val="00587237"/>
    <w:rsid w:val="005879FB"/>
    <w:rsid w:val="00591118"/>
    <w:rsid w:val="00592174"/>
    <w:rsid w:val="00592B4C"/>
    <w:rsid w:val="00593E33"/>
    <w:rsid w:val="00593F4E"/>
    <w:rsid w:val="00596414"/>
    <w:rsid w:val="005967E7"/>
    <w:rsid w:val="0059706B"/>
    <w:rsid w:val="0059738E"/>
    <w:rsid w:val="00597457"/>
    <w:rsid w:val="00597830"/>
    <w:rsid w:val="00597A90"/>
    <w:rsid w:val="005A0ACC"/>
    <w:rsid w:val="005A1A79"/>
    <w:rsid w:val="005A22C4"/>
    <w:rsid w:val="005A294C"/>
    <w:rsid w:val="005A2BC4"/>
    <w:rsid w:val="005A2DD1"/>
    <w:rsid w:val="005A3B8F"/>
    <w:rsid w:val="005A419B"/>
    <w:rsid w:val="005A42BD"/>
    <w:rsid w:val="005A6731"/>
    <w:rsid w:val="005A6846"/>
    <w:rsid w:val="005A71A5"/>
    <w:rsid w:val="005A791C"/>
    <w:rsid w:val="005B372B"/>
    <w:rsid w:val="005B39EA"/>
    <w:rsid w:val="005B51A7"/>
    <w:rsid w:val="005B5DF3"/>
    <w:rsid w:val="005B6069"/>
    <w:rsid w:val="005B6BB9"/>
    <w:rsid w:val="005C001C"/>
    <w:rsid w:val="005C0B73"/>
    <w:rsid w:val="005C1C6F"/>
    <w:rsid w:val="005C1F13"/>
    <w:rsid w:val="005C2A6C"/>
    <w:rsid w:val="005C306E"/>
    <w:rsid w:val="005C3770"/>
    <w:rsid w:val="005C3AB0"/>
    <w:rsid w:val="005C46F4"/>
    <w:rsid w:val="005C4A8E"/>
    <w:rsid w:val="005C5730"/>
    <w:rsid w:val="005D052D"/>
    <w:rsid w:val="005D0F0C"/>
    <w:rsid w:val="005D196D"/>
    <w:rsid w:val="005D19D4"/>
    <w:rsid w:val="005D2650"/>
    <w:rsid w:val="005D35BB"/>
    <w:rsid w:val="005D49CA"/>
    <w:rsid w:val="005D5715"/>
    <w:rsid w:val="005D5C0F"/>
    <w:rsid w:val="005D66E9"/>
    <w:rsid w:val="005D6744"/>
    <w:rsid w:val="005D6B5D"/>
    <w:rsid w:val="005E0D3F"/>
    <w:rsid w:val="005E1274"/>
    <w:rsid w:val="005E13E0"/>
    <w:rsid w:val="005E220F"/>
    <w:rsid w:val="005E2969"/>
    <w:rsid w:val="005E36A0"/>
    <w:rsid w:val="005E4EC3"/>
    <w:rsid w:val="005E64B5"/>
    <w:rsid w:val="005E7457"/>
    <w:rsid w:val="005E74D7"/>
    <w:rsid w:val="005E790B"/>
    <w:rsid w:val="005E7B20"/>
    <w:rsid w:val="005F092A"/>
    <w:rsid w:val="005F1258"/>
    <w:rsid w:val="005F2CE0"/>
    <w:rsid w:val="005F3117"/>
    <w:rsid w:val="005F3510"/>
    <w:rsid w:val="005F3D51"/>
    <w:rsid w:val="005F69DB"/>
    <w:rsid w:val="005F7544"/>
    <w:rsid w:val="005F7E92"/>
    <w:rsid w:val="0060191C"/>
    <w:rsid w:val="006021F2"/>
    <w:rsid w:val="006032E1"/>
    <w:rsid w:val="006033DF"/>
    <w:rsid w:val="00603D46"/>
    <w:rsid w:val="0060502A"/>
    <w:rsid w:val="006054D8"/>
    <w:rsid w:val="006055CC"/>
    <w:rsid w:val="00607792"/>
    <w:rsid w:val="00607C65"/>
    <w:rsid w:val="00607D49"/>
    <w:rsid w:val="00610143"/>
    <w:rsid w:val="006101B1"/>
    <w:rsid w:val="00610C2F"/>
    <w:rsid w:val="00611775"/>
    <w:rsid w:val="006118C4"/>
    <w:rsid w:val="00612526"/>
    <w:rsid w:val="00612FD7"/>
    <w:rsid w:val="00614AE8"/>
    <w:rsid w:val="0061507B"/>
    <w:rsid w:val="00615165"/>
    <w:rsid w:val="0061539D"/>
    <w:rsid w:val="0061583B"/>
    <w:rsid w:val="00615B18"/>
    <w:rsid w:val="00616AA4"/>
    <w:rsid w:val="00616D80"/>
    <w:rsid w:val="00621703"/>
    <w:rsid w:val="00621836"/>
    <w:rsid w:val="00621A7B"/>
    <w:rsid w:val="00621F58"/>
    <w:rsid w:val="00622325"/>
    <w:rsid w:val="00622348"/>
    <w:rsid w:val="006229A7"/>
    <w:rsid w:val="00622C9D"/>
    <w:rsid w:val="006231F0"/>
    <w:rsid w:val="006247DD"/>
    <w:rsid w:val="00625F2E"/>
    <w:rsid w:val="00626100"/>
    <w:rsid w:val="00626476"/>
    <w:rsid w:val="006264C2"/>
    <w:rsid w:val="006264E1"/>
    <w:rsid w:val="006266BB"/>
    <w:rsid w:val="00627115"/>
    <w:rsid w:val="00627887"/>
    <w:rsid w:val="006309D4"/>
    <w:rsid w:val="006310D8"/>
    <w:rsid w:val="00632FFC"/>
    <w:rsid w:val="00632FFF"/>
    <w:rsid w:val="006333E5"/>
    <w:rsid w:val="006349FA"/>
    <w:rsid w:val="00635AFA"/>
    <w:rsid w:val="0063733D"/>
    <w:rsid w:val="006378A2"/>
    <w:rsid w:val="00637E6E"/>
    <w:rsid w:val="006402BD"/>
    <w:rsid w:val="00640767"/>
    <w:rsid w:val="006408F0"/>
    <w:rsid w:val="006410D6"/>
    <w:rsid w:val="006411A5"/>
    <w:rsid w:val="00641221"/>
    <w:rsid w:val="0064194B"/>
    <w:rsid w:val="00642236"/>
    <w:rsid w:val="00642B45"/>
    <w:rsid w:val="006430B0"/>
    <w:rsid w:val="0064371D"/>
    <w:rsid w:val="00645862"/>
    <w:rsid w:val="006458D8"/>
    <w:rsid w:val="00645E93"/>
    <w:rsid w:val="00646B77"/>
    <w:rsid w:val="0065097D"/>
    <w:rsid w:val="0065221D"/>
    <w:rsid w:val="00652887"/>
    <w:rsid w:val="0065302B"/>
    <w:rsid w:val="00653B88"/>
    <w:rsid w:val="00654659"/>
    <w:rsid w:val="00655087"/>
    <w:rsid w:val="00655F4C"/>
    <w:rsid w:val="0065777B"/>
    <w:rsid w:val="00660233"/>
    <w:rsid w:val="00660CE9"/>
    <w:rsid w:val="0066133B"/>
    <w:rsid w:val="00661780"/>
    <w:rsid w:val="00662259"/>
    <w:rsid w:val="00663D7F"/>
    <w:rsid w:val="00663FED"/>
    <w:rsid w:val="00665846"/>
    <w:rsid w:val="00667F99"/>
    <w:rsid w:val="006719DE"/>
    <w:rsid w:val="00671AD9"/>
    <w:rsid w:val="00673C97"/>
    <w:rsid w:val="0067421F"/>
    <w:rsid w:val="00674566"/>
    <w:rsid w:val="006746B1"/>
    <w:rsid w:val="00675529"/>
    <w:rsid w:val="00675649"/>
    <w:rsid w:val="00676CFB"/>
    <w:rsid w:val="00677E7D"/>
    <w:rsid w:val="006808E8"/>
    <w:rsid w:val="00681C33"/>
    <w:rsid w:val="00682C2E"/>
    <w:rsid w:val="00682FE2"/>
    <w:rsid w:val="006835F1"/>
    <w:rsid w:val="00683BCE"/>
    <w:rsid w:val="00684284"/>
    <w:rsid w:val="00684579"/>
    <w:rsid w:val="00685864"/>
    <w:rsid w:val="00686750"/>
    <w:rsid w:val="00686CBD"/>
    <w:rsid w:val="00686CC5"/>
    <w:rsid w:val="0068700B"/>
    <w:rsid w:val="006873F2"/>
    <w:rsid w:val="00692852"/>
    <w:rsid w:val="006932A2"/>
    <w:rsid w:val="006943AD"/>
    <w:rsid w:val="0069559D"/>
    <w:rsid w:val="00695634"/>
    <w:rsid w:val="00695D67"/>
    <w:rsid w:val="00696F8C"/>
    <w:rsid w:val="0069700C"/>
    <w:rsid w:val="00697037"/>
    <w:rsid w:val="00697252"/>
    <w:rsid w:val="00697801"/>
    <w:rsid w:val="00697920"/>
    <w:rsid w:val="006A074F"/>
    <w:rsid w:val="006A4353"/>
    <w:rsid w:val="006A54E3"/>
    <w:rsid w:val="006A55D7"/>
    <w:rsid w:val="006A7AD1"/>
    <w:rsid w:val="006A7F84"/>
    <w:rsid w:val="006B13A0"/>
    <w:rsid w:val="006B20CA"/>
    <w:rsid w:val="006B2CD0"/>
    <w:rsid w:val="006B3265"/>
    <w:rsid w:val="006B3608"/>
    <w:rsid w:val="006B440B"/>
    <w:rsid w:val="006B460F"/>
    <w:rsid w:val="006B5189"/>
    <w:rsid w:val="006B53F3"/>
    <w:rsid w:val="006C09DE"/>
    <w:rsid w:val="006C1055"/>
    <w:rsid w:val="006C143C"/>
    <w:rsid w:val="006C14AC"/>
    <w:rsid w:val="006C25D8"/>
    <w:rsid w:val="006C2F5D"/>
    <w:rsid w:val="006C3C0B"/>
    <w:rsid w:val="006C3E9D"/>
    <w:rsid w:val="006C44B9"/>
    <w:rsid w:val="006C4FA4"/>
    <w:rsid w:val="006C5874"/>
    <w:rsid w:val="006C59CF"/>
    <w:rsid w:val="006C6552"/>
    <w:rsid w:val="006C67DC"/>
    <w:rsid w:val="006C6E19"/>
    <w:rsid w:val="006C7D91"/>
    <w:rsid w:val="006C7FED"/>
    <w:rsid w:val="006D0C85"/>
    <w:rsid w:val="006D2316"/>
    <w:rsid w:val="006D2ED9"/>
    <w:rsid w:val="006D2F69"/>
    <w:rsid w:val="006D4052"/>
    <w:rsid w:val="006D425B"/>
    <w:rsid w:val="006D6E62"/>
    <w:rsid w:val="006D6F56"/>
    <w:rsid w:val="006D77A8"/>
    <w:rsid w:val="006D7D80"/>
    <w:rsid w:val="006E077F"/>
    <w:rsid w:val="006E16A5"/>
    <w:rsid w:val="006E17AC"/>
    <w:rsid w:val="006E18EF"/>
    <w:rsid w:val="006E24C6"/>
    <w:rsid w:val="006E32F6"/>
    <w:rsid w:val="006E3318"/>
    <w:rsid w:val="006E3509"/>
    <w:rsid w:val="006E4B81"/>
    <w:rsid w:val="006E5605"/>
    <w:rsid w:val="006E577A"/>
    <w:rsid w:val="006E60D8"/>
    <w:rsid w:val="006E60E5"/>
    <w:rsid w:val="006E6CA6"/>
    <w:rsid w:val="006E6E90"/>
    <w:rsid w:val="006E6F19"/>
    <w:rsid w:val="006F0B83"/>
    <w:rsid w:val="006F3109"/>
    <w:rsid w:val="006F36CC"/>
    <w:rsid w:val="006F3C51"/>
    <w:rsid w:val="0070171A"/>
    <w:rsid w:val="00701836"/>
    <w:rsid w:val="00701DAA"/>
    <w:rsid w:val="00701F70"/>
    <w:rsid w:val="00702650"/>
    <w:rsid w:val="00703174"/>
    <w:rsid w:val="00703DEC"/>
    <w:rsid w:val="007041D5"/>
    <w:rsid w:val="007062E3"/>
    <w:rsid w:val="0070635B"/>
    <w:rsid w:val="00706936"/>
    <w:rsid w:val="00706C17"/>
    <w:rsid w:val="0070769C"/>
    <w:rsid w:val="0071100A"/>
    <w:rsid w:val="007149EE"/>
    <w:rsid w:val="00714D6E"/>
    <w:rsid w:val="00714F3F"/>
    <w:rsid w:val="00715914"/>
    <w:rsid w:val="00716AAF"/>
    <w:rsid w:val="00716CC2"/>
    <w:rsid w:val="00716F9D"/>
    <w:rsid w:val="0071759D"/>
    <w:rsid w:val="007201EE"/>
    <w:rsid w:val="0072079B"/>
    <w:rsid w:val="007216AA"/>
    <w:rsid w:val="00721DB1"/>
    <w:rsid w:val="00722184"/>
    <w:rsid w:val="007229D7"/>
    <w:rsid w:val="0072401B"/>
    <w:rsid w:val="00724474"/>
    <w:rsid w:val="0072687B"/>
    <w:rsid w:val="007269A0"/>
    <w:rsid w:val="00726D6E"/>
    <w:rsid w:val="00730520"/>
    <w:rsid w:val="00730B6C"/>
    <w:rsid w:val="00730EDD"/>
    <w:rsid w:val="00732905"/>
    <w:rsid w:val="00733B1C"/>
    <w:rsid w:val="007341C4"/>
    <w:rsid w:val="00734C7C"/>
    <w:rsid w:val="00736333"/>
    <w:rsid w:val="007363F6"/>
    <w:rsid w:val="007368FD"/>
    <w:rsid w:val="00736B19"/>
    <w:rsid w:val="00736D12"/>
    <w:rsid w:val="00736D2D"/>
    <w:rsid w:val="00736FD6"/>
    <w:rsid w:val="0073714D"/>
    <w:rsid w:val="007375B3"/>
    <w:rsid w:val="00737F17"/>
    <w:rsid w:val="0074264B"/>
    <w:rsid w:val="0074415C"/>
    <w:rsid w:val="00744BD7"/>
    <w:rsid w:val="00745D97"/>
    <w:rsid w:val="00746790"/>
    <w:rsid w:val="0074696F"/>
    <w:rsid w:val="00746D88"/>
    <w:rsid w:val="00746DFC"/>
    <w:rsid w:val="00747BD5"/>
    <w:rsid w:val="0075029C"/>
    <w:rsid w:val="00750965"/>
    <w:rsid w:val="007512D0"/>
    <w:rsid w:val="00751AF6"/>
    <w:rsid w:val="0075223F"/>
    <w:rsid w:val="00752DCE"/>
    <w:rsid w:val="007530A1"/>
    <w:rsid w:val="00753727"/>
    <w:rsid w:val="00755404"/>
    <w:rsid w:val="00755676"/>
    <w:rsid w:val="00755F2A"/>
    <w:rsid w:val="00756032"/>
    <w:rsid w:val="0075629F"/>
    <w:rsid w:val="00756CFF"/>
    <w:rsid w:val="007603C6"/>
    <w:rsid w:val="00760E65"/>
    <w:rsid w:val="007612BC"/>
    <w:rsid w:val="00761348"/>
    <w:rsid w:val="00761653"/>
    <w:rsid w:val="00761706"/>
    <w:rsid w:val="00763B07"/>
    <w:rsid w:val="00763D41"/>
    <w:rsid w:val="00766CD4"/>
    <w:rsid w:val="00767034"/>
    <w:rsid w:val="00770464"/>
    <w:rsid w:val="0077079D"/>
    <w:rsid w:val="0077147D"/>
    <w:rsid w:val="00773DF5"/>
    <w:rsid w:val="00774DBD"/>
    <w:rsid w:val="00774F08"/>
    <w:rsid w:val="007812F3"/>
    <w:rsid w:val="007814A1"/>
    <w:rsid w:val="00783317"/>
    <w:rsid w:val="00786C6C"/>
    <w:rsid w:val="00786EA2"/>
    <w:rsid w:val="00790072"/>
    <w:rsid w:val="00790A77"/>
    <w:rsid w:val="0079169B"/>
    <w:rsid w:val="00792569"/>
    <w:rsid w:val="00793554"/>
    <w:rsid w:val="007936E5"/>
    <w:rsid w:val="00793A96"/>
    <w:rsid w:val="00797D0A"/>
    <w:rsid w:val="007A1805"/>
    <w:rsid w:val="007A29C5"/>
    <w:rsid w:val="007A2C08"/>
    <w:rsid w:val="007A38E7"/>
    <w:rsid w:val="007A57FC"/>
    <w:rsid w:val="007A71ED"/>
    <w:rsid w:val="007B0185"/>
    <w:rsid w:val="007B0A56"/>
    <w:rsid w:val="007B0B44"/>
    <w:rsid w:val="007B180D"/>
    <w:rsid w:val="007B2B00"/>
    <w:rsid w:val="007B2CCE"/>
    <w:rsid w:val="007B4B9B"/>
    <w:rsid w:val="007B60BF"/>
    <w:rsid w:val="007B7493"/>
    <w:rsid w:val="007B7869"/>
    <w:rsid w:val="007B78A2"/>
    <w:rsid w:val="007B7E1F"/>
    <w:rsid w:val="007C0675"/>
    <w:rsid w:val="007C28CC"/>
    <w:rsid w:val="007C30EB"/>
    <w:rsid w:val="007C368A"/>
    <w:rsid w:val="007C425D"/>
    <w:rsid w:val="007C431E"/>
    <w:rsid w:val="007C5EB1"/>
    <w:rsid w:val="007C6E23"/>
    <w:rsid w:val="007C72F7"/>
    <w:rsid w:val="007C7314"/>
    <w:rsid w:val="007C76F2"/>
    <w:rsid w:val="007C7DFC"/>
    <w:rsid w:val="007C7E77"/>
    <w:rsid w:val="007D21AD"/>
    <w:rsid w:val="007D40E6"/>
    <w:rsid w:val="007D6401"/>
    <w:rsid w:val="007D6F67"/>
    <w:rsid w:val="007D76D3"/>
    <w:rsid w:val="007D7D7C"/>
    <w:rsid w:val="007D7ECD"/>
    <w:rsid w:val="007E1252"/>
    <w:rsid w:val="007E1C66"/>
    <w:rsid w:val="007E250D"/>
    <w:rsid w:val="007E25C6"/>
    <w:rsid w:val="007E3C59"/>
    <w:rsid w:val="007E3F1E"/>
    <w:rsid w:val="007E47AF"/>
    <w:rsid w:val="007E5053"/>
    <w:rsid w:val="007E52C3"/>
    <w:rsid w:val="007E5670"/>
    <w:rsid w:val="007E70AC"/>
    <w:rsid w:val="007E735C"/>
    <w:rsid w:val="007E7A85"/>
    <w:rsid w:val="007F0197"/>
    <w:rsid w:val="007F0281"/>
    <w:rsid w:val="007F1923"/>
    <w:rsid w:val="007F1FB0"/>
    <w:rsid w:val="007F263B"/>
    <w:rsid w:val="007F2DC8"/>
    <w:rsid w:val="007F2FBE"/>
    <w:rsid w:val="007F3670"/>
    <w:rsid w:val="007F449D"/>
    <w:rsid w:val="007F5437"/>
    <w:rsid w:val="007F599E"/>
    <w:rsid w:val="007F5BE2"/>
    <w:rsid w:val="007F753B"/>
    <w:rsid w:val="007F7723"/>
    <w:rsid w:val="007F7B39"/>
    <w:rsid w:val="0080057F"/>
    <w:rsid w:val="008005B3"/>
    <w:rsid w:val="00801A8B"/>
    <w:rsid w:val="00801DF1"/>
    <w:rsid w:val="008023D5"/>
    <w:rsid w:val="0080262B"/>
    <w:rsid w:val="00802B22"/>
    <w:rsid w:val="0080381D"/>
    <w:rsid w:val="00803BBF"/>
    <w:rsid w:val="00803C60"/>
    <w:rsid w:val="00803E34"/>
    <w:rsid w:val="008045A7"/>
    <w:rsid w:val="00804F2A"/>
    <w:rsid w:val="008053CA"/>
    <w:rsid w:val="008067E4"/>
    <w:rsid w:val="00806F80"/>
    <w:rsid w:val="008101F6"/>
    <w:rsid w:val="008103A5"/>
    <w:rsid w:val="00810D0F"/>
    <w:rsid w:val="00810FB7"/>
    <w:rsid w:val="008111C0"/>
    <w:rsid w:val="00811217"/>
    <w:rsid w:val="008125EE"/>
    <w:rsid w:val="008143F2"/>
    <w:rsid w:val="00814E34"/>
    <w:rsid w:val="0081552E"/>
    <w:rsid w:val="008156EB"/>
    <w:rsid w:val="008158EE"/>
    <w:rsid w:val="0081603E"/>
    <w:rsid w:val="00816857"/>
    <w:rsid w:val="00816EB3"/>
    <w:rsid w:val="0082229A"/>
    <w:rsid w:val="00822B0B"/>
    <w:rsid w:val="00823588"/>
    <w:rsid w:val="00824487"/>
    <w:rsid w:val="00824EEA"/>
    <w:rsid w:val="008252B3"/>
    <w:rsid w:val="00826339"/>
    <w:rsid w:val="00826661"/>
    <w:rsid w:val="00826BBE"/>
    <w:rsid w:val="008275B5"/>
    <w:rsid w:val="008277BB"/>
    <w:rsid w:val="00830662"/>
    <w:rsid w:val="00831D40"/>
    <w:rsid w:val="0083229B"/>
    <w:rsid w:val="00832530"/>
    <w:rsid w:val="008340DA"/>
    <w:rsid w:val="0083491C"/>
    <w:rsid w:val="008349BD"/>
    <w:rsid w:val="00834DFD"/>
    <w:rsid w:val="008367A7"/>
    <w:rsid w:val="00837B94"/>
    <w:rsid w:val="00837BC3"/>
    <w:rsid w:val="008409CC"/>
    <w:rsid w:val="00840C66"/>
    <w:rsid w:val="008417F4"/>
    <w:rsid w:val="008418F1"/>
    <w:rsid w:val="00841F32"/>
    <w:rsid w:val="00843054"/>
    <w:rsid w:val="008434A1"/>
    <w:rsid w:val="008444D2"/>
    <w:rsid w:val="00844A58"/>
    <w:rsid w:val="00844FAF"/>
    <w:rsid w:val="00845174"/>
    <w:rsid w:val="00845519"/>
    <w:rsid w:val="008471DD"/>
    <w:rsid w:val="0084766E"/>
    <w:rsid w:val="00850027"/>
    <w:rsid w:val="008519C2"/>
    <w:rsid w:val="00851EA5"/>
    <w:rsid w:val="00852054"/>
    <w:rsid w:val="00852591"/>
    <w:rsid w:val="0085370A"/>
    <w:rsid w:val="00856761"/>
    <w:rsid w:val="00857347"/>
    <w:rsid w:val="008573D5"/>
    <w:rsid w:val="008612F1"/>
    <w:rsid w:val="00861E9D"/>
    <w:rsid w:val="00861F78"/>
    <w:rsid w:val="008624A6"/>
    <w:rsid w:val="008625BD"/>
    <w:rsid w:val="008640E5"/>
    <w:rsid w:val="00864752"/>
    <w:rsid w:val="00864804"/>
    <w:rsid w:val="00864923"/>
    <w:rsid w:val="00864A1D"/>
    <w:rsid w:val="00865499"/>
    <w:rsid w:val="00865C22"/>
    <w:rsid w:val="008664C2"/>
    <w:rsid w:val="008670AA"/>
    <w:rsid w:val="008671B4"/>
    <w:rsid w:val="0086721C"/>
    <w:rsid w:val="00867924"/>
    <w:rsid w:val="00870549"/>
    <w:rsid w:val="00870E00"/>
    <w:rsid w:val="008713BA"/>
    <w:rsid w:val="008734CF"/>
    <w:rsid w:val="00874A84"/>
    <w:rsid w:val="008777D3"/>
    <w:rsid w:val="0088120C"/>
    <w:rsid w:val="00881EB9"/>
    <w:rsid w:val="0088341C"/>
    <w:rsid w:val="00883B03"/>
    <w:rsid w:val="00883D34"/>
    <w:rsid w:val="0088505F"/>
    <w:rsid w:val="0088519A"/>
    <w:rsid w:val="00885304"/>
    <w:rsid w:val="00886003"/>
    <w:rsid w:val="00890C8F"/>
    <w:rsid w:val="00891BCA"/>
    <w:rsid w:val="00891E45"/>
    <w:rsid w:val="00891F22"/>
    <w:rsid w:val="008942B0"/>
    <w:rsid w:val="00894D12"/>
    <w:rsid w:val="00894E26"/>
    <w:rsid w:val="00895D2A"/>
    <w:rsid w:val="00896C4C"/>
    <w:rsid w:val="008A0CCF"/>
    <w:rsid w:val="008A1923"/>
    <w:rsid w:val="008A1FB4"/>
    <w:rsid w:val="008A20CD"/>
    <w:rsid w:val="008A26D8"/>
    <w:rsid w:val="008A29A7"/>
    <w:rsid w:val="008A37CD"/>
    <w:rsid w:val="008A4A8C"/>
    <w:rsid w:val="008A5B8F"/>
    <w:rsid w:val="008A5BBC"/>
    <w:rsid w:val="008A5EC4"/>
    <w:rsid w:val="008A6BDF"/>
    <w:rsid w:val="008A6D55"/>
    <w:rsid w:val="008A716B"/>
    <w:rsid w:val="008A7BC1"/>
    <w:rsid w:val="008B1851"/>
    <w:rsid w:val="008B25CD"/>
    <w:rsid w:val="008B2ACC"/>
    <w:rsid w:val="008B2D6A"/>
    <w:rsid w:val="008B2E41"/>
    <w:rsid w:val="008B2E9A"/>
    <w:rsid w:val="008B333A"/>
    <w:rsid w:val="008B3BF1"/>
    <w:rsid w:val="008B4187"/>
    <w:rsid w:val="008B4674"/>
    <w:rsid w:val="008B5B4F"/>
    <w:rsid w:val="008C066B"/>
    <w:rsid w:val="008C0E13"/>
    <w:rsid w:val="008C2BDC"/>
    <w:rsid w:val="008C2CAB"/>
    <w:rsid w:val="008C3891"/>
    <w:rsid w:val="008C3CC7"/>
    <w:rsid w:val="008C5A60"/>
    <w:rsid w:val="008D1D63"/>
    <w:rsid w:val="008D2721"/>
    <w:rsid w:val="008D2AA2"/>
    <w:rsid w:val="008D2F33"/>
    <w:rsid w:val="008D3129"/>
    <w:rsid w:val="008D3490"/>
    <w:rsid w:val="008D3FA8"/>
    <w:rsid w:val="008D448D"/>
    <w:rsid w:val="008D48DD"/>
    <w:rsid w:val="008D5B12"/>
    <w:rsid w:val="008D5E3B"/>
    <w:rsid w:val="008E00F6"/>
    <w:rsid w:val="008E0AA2"/>
    <w:rsid w:val="008E114F"/>
    <w:rsid w:val="008E2523"/>
    <w:rsid w:val="008E5976"/>
    <w:rsid w:val="008E6FD9"/>
    <w:rsid w:val="008E7A56"/>
    <w:rsid w:val="008E7C63"/>
    <w:rsid w:val="008F08DE"/>
    <w:rsid w:val="008F1057"/>
    <w:rsid w:val="008F1A68"/>
    <w:rsid w:val="008F26F4"/>
    <w:rsid w:val="008F2DEE"/>
    <w:rsid w:val="008F33F4"/>
    <w:rsid w:val="008F33FE"/>
    <w:rsid w:val="008F3A92"/>
    <w:rsid w:val="008F45EA"/>
    <w:rsid w:val="008F465D"/>
    <w:rsid w:val="008F5FEA"/>
    <w:rsid w:val="008F71EA"/>
    <w:rsid w:val="008F754B"/>
    <w:rsid w:val="009001CF"/>
    <w:rsid w:val="009004A5"/>
    <w:rsid w:val="00900F5C"/>
    <w:rsid w:val="00901648"/>
    <w:rsid w:val="009020F0"/>
    <w:rsid w:val="0090278A"/>
    <w:rsid w:val="009029A5"/>
    <w:rsid w:val="00903F07"/>
    <w:rsid w:val="00904CFA"/>
    <w:rsid w:val="00904EF1"/>
    <w:rsid w:val="00904F63"/>
    <w:rsid w:val="00905184"/>
    <w:rsid w:val="00906892"/>
    <w:rsid w:val="00907387"/>
    <w:rsid w:val="00910A12"/>
    <w:rsid w:val="00910AE4"/>
    <w:rsid w:val="00910D20"/>
    <w:rsid w:val="00912429"/>
    <w:rsid w:val="009125DE"/>
    <w:rsid w:val="00912F7D"/>
    <w:rsid w:val="009136F9"/>
    <w:rsid w:val="00916274"/>
    <w:rsid w:val="00916762"/>
    <w:rsid w:val="00917AB1"/>
    <w:rsid w:val="0092012F"/>
    <w:rsid w:val="0092016B"/>
    <w:rsid w:val="0092078E"/>
    <w:rsid w:val="00920B63"/>
    <w:rsid w:val="00921161"/>
    <w:rsid w:val="00922294"/>
    <w:rsid w:val="00922B6B"/>
    <w:rsid w:val="00922F79"/>
    <w:rsid w:val="00923D04"/>
    <w:rsid w:val="00924154"/>
    <w:rsid w:val="00924749"/>
    <w:rsid w:val="0092481C"/>
    <w:rsid w:val="00924D2A"/>
    <w:rsid w:val="0092599A"/>
    <w:rsid w:val="00926435"/>
    <w:rsid w:val="00930D40"/>
    <w:rsid w:val="00931589"/>
    <w:rsid w:val="009320BE"/>
    <w:rsid w:val="0093245D"/>
    <w:rsid w:val="00932DF7"/>
    <w:rsid w:val="00932E5C"/>
    <w:rsid w:val="00933495"/>
    <w:rsid w:val="00934CF1"/>
    <w:rsid w:val="00935FFF"/>
    <w:rsid w:val="00936873"/>
    <w:rsid w:val="00936D5D"/>
    <w:rsid w:val="00937054"/>
    <w:rsid w:val="00937173"/>
    <w:rsid w:val="00937630"/>
    <w:rsid w:val="00940FB4"/>
    <w:rsid w:val="00941A38"/>
    <w:rsid w:val="00941C0F"/>
    <w:rsid w:val="0094295E"/>
    <w:rsid w:val="00943DB0"/>
    <w:rsid w:val="009445C2"/>
    <w:rsid w:val="00945ABF"/>
    <w:rsid w:val="009479BC"/>
    <w:rsid w:val="00947D33"/>
    <w:rsid w:val="009502B2"/>
    <w:rsid w:val="00951723"/>
    <w:rsid w:val="00951A17"/>
    <w:rsid w:val="00952246"/>
    <w:rsid w:val="00953BF5"/>
    <w:rsid w:val="00953D4C"/>
    <w:rsid w:val="00953DA4"/>
    <w:rsid w:val="0095432D"/>
    <w:rsid w:val="00954F6E"/>
    <w:rsid w:val="009564D7"/>
    <w:rsid w:val="00956FA7"/>
    <w:rsid w:val="0095730D"/>
    <w:rsid w:val="009573AE"/>
    <w:rsid w:val="00957A7B"/>
    <w:rsid w:val="00957C7E"/>
    <w:rsid w:val="0096260F"/>
    <w:rsid w:val="00962D25"/>
    <w:rsid w:val="00963079"/>
    <w:rsid w:val="009636E0"/>
    <w:rsid w:val="009649F6"/>
    <w:rsid w:val="00964B0E"/>
    <w:rsid w:val="00965C6B"/>
    <w:rsid w:val="00965D9A"/>
    <w:rsid w:val="00967530"/>
    <w:rsid w:val="00970856"/>
    <w:rsid w:val="009713CB"/>
    <w:rsid w:val="0097152D"/>
    <w:rsid w:val="009715F5"/>
    <w:rsid w:val="00971857"/>
    <w:rsid w:val="00972563"/>
    <w:rsid w:val="00974736"/>
    <w:rsid w:val="0097717F"/>
    <w:rsid w:val="009801B6"/>
    <w:rsid w:val="00980D9F"/>
    <w:rsid w:val="00981152"/>
    <w:rsid w:val="0098119E"/>
    <w:rsid w:val="00982CFA"/>
    <w:rsid w:val="00982CFF"/>
    <w:rsid w:val="009833A2"/>
    <w:rsid w:val="00983C3F"/>
    <w:rsid w:val="009852E6"/>
    <w:rsid w:val="00986BB9"/>
    <w:rsid w:val="00986DEA"/>
    <w:rsid w:val="0098774E"/>
    <w:rsid w:val="0098796E"/>
    <w:rsid w:val="0099115A"/>
    <w:rsid w:val="00992FA0"/>
    <w:rsid w:val="0099449B"/>
    <w:rsid w:val="009947DB"/>
    <w:rsid w:val="00994A05"/>
    <w:rsid w:val="00994E48"/>
    <w:rsid w:val="0099517B"/>
    <w:rsid w:val="0099601C"/>
    <w:rsid w:val="00997702"/>
    <w:rsid w:val="00997704"/>
    <w:rsid w:val="00997923"/>
    <w:rsid w:val="009A0A97"/>
    <w:rsid w:val="009A0D46"/>
    <w:rsid w:val="009A16C6"/>
    <w:rsid w:val="009A1DD4"/>
    <w:rsid w:val="009A21C5"/>
    <w:rsid w:val="009A28C6"/>
    <w:rsid w:val="009A2C90"/>
    <w:rsid w:val="009A2D1C"/>
    <w:rsid w:val="009A428D"/>
    <w:rsid w:val="009A453D"/>
    <w:rsid w:val="009A494A"/>
    <w:rsid w:val="009A5792"/>
    <w:rsid w:val="009A656B"/>
    <w:rsid w:val="009A73A9"/>
    <w:rsid w:val="009A75BB"/>
    <w:rsid w:val="009A7AF9"/>
    <w:rsid w:val="009A7DE1"/>
    <w:rsid w:val="009B1383"/>
    <w:rsid w:val="009B3978"/>
    <w:rsid w:val="009B4839"/>
    <w:rsid w:val="009B62CD"/>
    <w:rsid w:val="009B6C07"/>
    <w:rsid w:val="009B7177"/>
    <w:rsid w:val="009B75D1"/>
    <w:rsid w:val="009C19AD"/>
    <w:rsid w:val="009C1EA0"/>
    <w:rsid w:val="009C3772"/>
    <w:rsid w:val="009C3A17"/>
    <w:rsid w:val="009C415A"/>
    <w:rsid w:val="009C47DE"/>
    <w:rsid w:val="009C4D38"/>
    <w:rsid w:val="009C501E"/>
    <w:rsid w:val="009C50FC"/>
    <w:rsid w:val="009C5C91"/>
    <w:rsid w:val="009D0479"/>
    <w:rsid w:val="009D047D"/>
    <w:rsid w:val="009D05EB"/>
    <w:rsid w:val="009D0828"/>
    <w:rsid w:val="009D0924"/>
    <w:rsid w:val="009D18DB"/>
    <w:rsid w:val="009D1BEA"/>
    <w:rsid w:val="009D1FE5"/>
    <w:rsid w:val="009D23AD"/>
    <w:rsid w:val="009D34D2"/>
    <w:rsid w:val="009D45B0"/>
    <w:rsid w:val="009D55DE"/>
    <w:rsid w:val="009D56B4"/>
    <w:rsid w:val="009D63B4"/>
    <w:rsid w:val="009D6AE1"/>
    <w:rsid w:val="009D6D24"/>
    <w:rsid w:val="009E05C5"/>
    <w:rsid w:val="009E205F"/>
    <w:rsid w:val="009E2755"/>
    <w:rsid w:val="009E43C3"/>
    <w:rsid w:val="009E50FD"/>
    <w:rsid w:val="009E5ACE"/>
    <w:rsid w:val="009E5D13"/>
    <w:rsid w:val="009E5FB2"/>
    <w:rsid w:val="009E61C0"/>
    <w:rsid w:val="009E7648"/>
    <w:rsid w:val="009F0145"/>
    <w:rsid w:val="009F017C"/>
    <w:rsid w:val="009F1081"/>
    <w:rsid w:val="009F245B"/>
    <w:rsid w:val="009F3C30"/>
    <w:rsid w:val="009F3D46"/>
    <w:rsid w:val="009F3FC4"/>
    <w:rsid w:val="009F679B"/>
    <w:rsid w:val="009F6E9B"/>
    <w:rsid w:val="009F6F14"/>
    <w:rsid w:val="009F70DB"/>
    <w:rsid w:val="00A00529"/>
    <w:rsid w:val="00A00FCA"/>
    <w:rsid w:val="00A01504"/>
    <w:rsid w:val="00A01773"/>
    <w:rsid w:val="00A02C86"/>
    <w:rsid w:val="00A02DE8"/>
    <w:rsid w:val="00A030AB"/>
    <w:rsid w:val="00A03A8E"/>
    <w:rsid w:val="00A04263"/>
    <w:rsid w:val="00A04A14"/>
    <w:rsid w:val="00A05718"/>
    <w:rsid w:val="00A06161"/>
    <w:rsid w:val="00A06558"/>
    <w:rsid w:val="00A06614"/>
    <w:rsid w:val="00A0689F"/>
    <w:rsid w:val="00A06926"/>
    <w:rsid w:val="00A06B6D"/>
    <w:rsid w:val="00A077D6"/>
    <w:rsid w:val="00A10B4B"/>
    <w:rsid w:val="00A11FCD"/>
    <w:rsid w:val="00A12039"/>
    <w:rsid w:val="00A1297F"/>
    <w:rsid w:val="00A139BC"/>
    <w:rsid w:val="00A13B4F"/>
    <w:rsid w:val="00A14C60"/>
    <w:rsid w:val="00A15B50"/>
    <w:rsid w:val="00A1644E"/>
    <w:rsid w:val="00A16B99"/>
    <w:rsid w:val="00A16FA5"/>
    <w:rsid w:val="00A17532"/>
    <w:rsid w:val="00A17787"/>
    <w:rsid w:val="00A202CE"/>
    <w:rsid w:val="00A214E1"/>
    <w:rsid w:val="00A216C3"/>
    <w:rsid w:val="00A2178C"/>
    <w:rsid w:val="00A2505D"/>
    <w:rsid w:val="00A2661C"/>
    <w:rsid w:val="00A30421"/>
    <w:rsid w:val="00A30B6C"/>
    <w:rsid w:val="00A30E40"/>
    <w:rsid w:val="00A31AFC"/>
    <w:rsid w:val="00A3287B"/>
    <w:rsid w:val="00A32E38"/>
    <w:rsid w:val="00A34395"/>
    <w:rsid w:val="00A34A3A"/>
    <w:rsid w:val="00A34AC3"/>
    <w:rsid w:val="00A37CE5"/>
    <w:rsid w:val="00A404B1"/>
    <w:rsid w:val="00A40BB1"/>
    <w:rsid w:val="00A4110D"/>
    <w:rsid w:val="00A419CB"/>
    <w:rsid w:val="00A42743"/>
    <w:rsid w:val="00A434D9"/>
    <w:rsid w:val="00A43A5E"/>
    <w:rsid w:val="00A44129"/>
    <w:rsid w:val="00A44D87"/>
    <w:rsid w:val="00A44FB7"/>
    <w:rsid w:val="00A44FF1"/>
    <w:rsid w:val="00A46EC6"/>
    <w:rsid w:val="00A46FB9"/>
    <w:rsid w:val="00A47071"/>
    <w:rsid w:val="00A51E43"/>
    <w:rsid w:val="00A535F6"/>
    <w:rsid w:val="00A54A64"/>
    <w:rsid w:val="00A54A6E"/>
    <w:rsid w:val="00A5565B"/>
    <w:rsid w:val="00A55A3E"/>
    <w:rsid w:val="00A55A64"/>
    <w:rsid w:val="00A56833"/>
    <w:rsid w:val="00A56E8F"/>
    <w:rsid w:val="00A61568"/>
    <w:rsid w:val="00A61A06"/>
    <w:rsid w:val="00A61DE2"/>
    <w:rsid w:val="00A62885"/>
    <w:rsid w:val="00A63599"/>
    <w:rsid w:val="00A65C37"/>
    <w:rsid w:val="00A663CB"/>
    <w:rsid w:val="00A668F9"/>
    <w:rsid w:val="00A67762"/>
    <w:rsid w:val="00A707EA"/>
    <w:rsid w:val="00A711C6"/>
    <w:rsid w:val="00A7123F"/>
    <w:rsid w:val="00A7295D"/>
    <w:rsid w:val="00A732BA"/>
    <w:rsid w:val="00A744AE"/>
    <w:rsid w:val="00A753C9"/>
    <w:rsid w:val="00A75C8E"/>
    <w:rsid w:val="00A76605"/>
    <w:rsid w:val="00A767B1"/>
    <w:rsid w:val="00A80771"/>
    <w:rsid w:val="00A81447"/>
    <w:rsid w:val="00A82ADF"/>
    <w:rsid w:val="00A83611"/>
    <w:rsid w:val="00A8361D"/>
    <w:rsid w:val="00A836E8"/>
    <w:rsid w:val="00A8384F"/>
    <w:rsid w:val="00A8387F"/>
    <w:rsid w:val="00A83D0F"/>
    <w:rsid w:val="00A83DB2"/>
    <w:rsid w:val="00A84F67"/>
    <w:rsid w:val="00A8598D"/>
    <w:rsid w:val="00A861F6"/>
    <w:rsid w:val="00A86B9C"/>
    <w:rsid w:val="00A86F9C"/>
    <w:rsid w:val="00A87F9C"/>
    <w:rsid w:val="00A902DE"/>
    <w:rsid w:val="00A9075F"/>
    <w:rsid w:val="00A90946"/>
    <w:rsid w:val="00A90FF8"/>
    <w:rsid w:val="00A9156B"/>
    <w:rsid w:val="00A91FB2"/>
    <w:rsid w:val="00A93FE7"/>
    <w:rsid w:val="00A95278"/>
    <w:rsid w:val="00A954FB"/>
    <w:rsid w:val="00A95A86"/>
    <w:rsid w:val="00A95E52"/>
    <w:rsid w:val="00A96386"/>
    <w:rsid w:val="00A96AAA"/>
    <w:rsid w:val="00A96DC0"/>
    <w:rsid w:val="00AA0E72"/>
    <w:rsid w:val="00AA1C57"/>
    <w:rsid w:val="00AA4CDC"/>
    <w:rsid w:val="00AA52D5"/>
    <w:rsid w:val="00AA534C"/>
    <w:rsid w:val="00AA5DF8"/>
    <w:rsid w:val="00AA6D33"/>
    <w:rsid w:val="00AA6D42"/>
    <w:rsid w:val="00AA7D47"/>
    <w:rsid w:val="00AB118B"/>
    <w:rsid w:val="00AB12D9"/>
    <w:rsid w:val="00AB17C3"/>
    <w:rsid w:val="00AB3B2F"/>
    <w:rsid w:val="00AB4374"/>
    <w:rsid w:val="00AB5A25"/>
    <w:rsid w:val="00AB5F30"/>
    <w:rsid w:val="00AB7823"/>
    <w:rsid w:val="00AC03B3"/>
    <w:rsid w:val="00AC0F37"/>
    <w:rsid w:val="00AC18D4"/>
    <w:rsid w:val="00AC1CB6"/>
    <w:rsid w:val="00AC22AB"/>
    <w:rsid w:val="00AC2E74"/>
    <w:rsid w:val="00AC2E8D"/>
    <w:rsid w:val="00AC37B2"/>
    <w:rsid w:val="00AC6B12"/>
    <w:rsid w:val="00AD09E4"/>
    <w:rsid w:val="00AD0A99"/>
    <w:rsid w:val="00AD1980"/>
    <w:rsid w:val="00AD1B16"/>
    <w:rsid w:val="00AD2A5C"/>
    <w:rsid w:val="00AD2F3D"/>
    <w:rsid w:val="00AD323F"/>
    <w:rsid w:val="00AD3500"/>
    <w:rsid w:val="00AD414A"/>
    <w:rsid w:val="00AD419B"/>
    <w:rsid w:val="00AD452E"/>
    <w:rsid w:val="00AD5000"/>
    <w:rsid w:val="00AD5958"/>
    <w:rsid w:val="00AD595E"/>
    <w:rsid w:val="00AD5DDA"/>
    <w:rsid w:val="00AD6196"/>
    <w:rsid w:val="00AD68EF"/>
    <w:rsid w:val="00AD7A1F"/>
    <w:rsid w:val="00AD7A96"/>
    <w:rsid w:val="00AE1FC9"/>
    <w:rsid w:val="00AE26B0"/>
    <w:rsid w:val="00AE2FB9"/>
    <w:rsid w:val="00AE36B8"/>
    <w:rsid w:val="00AE4021"/>
    <w:rsid w:val="00AE4362"/>
    <w:rsid w:val="00AE481D"/>
    <w:rsid w:val="00AE66D9"/>
    <w:rsid w:val="00AE696F"/>
    <w:rsid w:val="00AE737B"/>
    <w:rsid w:val="00AF13CD"/>
    <w:rsid w:val="00AF1E72"/>
    <w:rsid w:val="00AF3647"/>
    <w:rsid w:val="00AF43FB"/>
    <w:rsid w:val="00AF5517"/>
    <w:rsid w:val="00AF553A"/>
    <w:rsid w:val="00AF55B5"/>
    <w:rsid w:val="00AF5E9A"/>
    <w:rsid w:val="00AF69A6"/>
    <w:rsid w:val="00AF6B00"/>
    <w:rsid w:val="00AF6F96"/>
    <w:rsid w:val="00AF75FB"/>
    <w:rsid w:val="00AF7D31"/>
    <w:rsid w:val="00B003B0"/>
    <w:rsid w:val="00B00435"/>
    <w:rsid w:val="00B00829"/>
    <w:rsid w:val="00B00B91"/>
    <w:rsid w:val="00B03923"/>
    <w:rsid w:val="00B043DD"/>
    <w:rsid w:val="00B0553E"/>
    <w:rsid w:val="00B062AD"/>
    <w:rsid w:val="00B0698E"/>
    <w:rsid w:val="00B06C8B"/>
    <w:rsid w:val="00B075B0"/>
    <w:rsid w:val="00B110B4"/>
    <w:rsid w:val="00B1170C"/>
    <w:rsid w:val="00B118D4"/>
    <w:rsid w:val="00B12CBC"/>
    <w:rsid w:val="00B135F1"/>
    <w:rsid w:val="00B1715A"/>
    <w:rsid w:val="00B2055D"/>
    <w:rsid w:val="00B21A85"/>
    <w:rsid w:val="00B21C2D"/>
    <w:rsid w:val="00B225D6"/>
    <w:rsid w:val="00B226FD"/>
    <w:rsid w:val="00B23979"/>
    <w:rsid w:val="00B23DA4"/>
    <w:rsid w:val="00B243FE"/>
    <w:rsid w:val="00B24899"/>
    <w:rsid w:val="00B24904"/>
    <w:rsid w:val="00B24CBA"/>
    <w:rsid w:val="00B24E1B"/>
    <w:rsid w:val="00B251AC"/>
    <w:rsid w:val="00B258F9"/>
    <w:rsid w:val="00B2666F"/>
    <w:rsid w:val="00B26F93"/>
    <w:rsid w:val="00B27BFC"/>
    <w:rsid w:val="00B300B9"/>
    <w:rsid w:val="00B306A5"/>
    <w:rsid w:val="00B3096E"/>
    <w:rsid w:val="00B316E9"/>
    <w:rsid w:val="00B3205D"/>
    <w:rsid w:val="00B32A73"/>
    <w:rsid w:val="00B34BC5"/>
    <w:rsid w:val="00B36FA1"/>
    <w:rsid w:val="00B37511"/>
    <w:rsid w:val="00B416CA"/>
    <w:rsid w:val="00B41994"/>
    <w:rsid w:val="00B41C61"/>
    <w:rsid w:val="00B424B8"/>
    <w:rsid w:val="00B42CF3"/>
    <w:rsid w:val="00B4322A"/>
    <w:rsid w:val="00B451AE"/>
    <w:rsid w:val="00B458F9"/>
    <w:rsid w:val="00B45B8F"/>
    <w:rsid w:val="00B52973"/>
    <w:rsid w:val="00B52EB1"/>
    <w:rsid w:val="00B5455D"/>
    <w:rsid w:val="00B546E9"/>
    <w:rsid w:val="00B554BC"/>
    <w:rsid w:val="00B55CB7"/>
    <w:rsid w:val="00B56B51"/>
    <w:rsid w:val="00B605D1"/>
    <w:rsid w:val="00B6121E"/>
    <w:rsid w:val="00B61A5C"/>
    <w:rsid w:val="00B62490"/>
    <w:rsid w:val="00B62B2E"/>
    <w:rsid w:val="00B637D3"/>
    <w:rsid w:val="00B64200"/>
    <w:rsid w:val="00B65A10"/>
    <w:rsid w:val="00B663CE"/>
    <w:rsid w:val="00B66AFF"/>
    <w:rsid w:val="00B66F4D"/>
    <w:rsid w:val="00B711A6"/>
    <w:rsid w:val="00B71474"/>
    <w:rsid w:val="00B7151E"/>
    <w:rsid w:val="00B74786"/>
    <w:rsid w:val="00B757FD"/>
    <w:rsid w:val="00B7580A"/>
    <w:rsid w:val="00B770CF"/>
    <w:rsid w:val="00B80340"/>
    <w:rsid w:val="00B80F65"/>
    <w:rsid w:val="00B82878"/>
    <w:rsid w:val="00B82C47"/>
    <w:rsid w:val="00B82EE5"/>
    <w:rsid w:val="00B832AE"/>
    <w:rsid w:val="00B8334F"/>
    <w:rsid w:val="00B83B50"/>
    <w:rsid w:val="00B85C83"/>
    <w:rsid w:val="00B86140"/>
    <w:rsid w:val="00B86F16"/>
    <w:rsid w:val="00B8797E"/>
    <w:rsid w:val="00B90965"/>
    <w:rsid w:val="00B91771"/>
    <w:rsid w:val="00B92E82"/>
    <w:rsid w:val="00B93AD9"/>
    <w:rsid w:val="00B93F30"/>
    <w:rsid w:val="00B93FE1"/>
    <w:rsid w:val="00B94687"/>
    <w:rsid w:val="00B94B25"/>
    <w:rsid w:val="00B94C1E"/>
    <w:rsid w:val="00B958A6"/>
    <w:rsid w:val="00B96FBF"/>
    <w:rsid w:val="00BA072C"/>
    <w:rsid w:val="00BA0D64"/>
    <w:rsid w:val="00BA1537"/>
    <w:rsid w:val="00BA193F"/>
    <w:rsid w:val="00BA2636"/>
    <w:rsid w:val="00BA356E"/>
    <w:rsid w:val="00BA459C"/>
    <w:rsid w:val="00BA48EB"/>
    <w:rsid w:val="00BA57AA"/>
    <w:rsid w:val="00BA6755"/>
    <w:rsid w:val="00BA6838"/>
    <w:rsid w:val="00BB0A78"/>
    <w:rsid w:val="00BB1F00"/>
    <w:rsid w:val="00BB2694"/>
    <w:rsid w:val="00BB349D"/>
    <w:rsid w:val="00BB43F2"/>
    <w:rsid w:val="00BB4D39"/>
    <w:rsid w:val="00BB5110"/>
    <w:rsid w:val="00BB514E"/>
    <w:rsid w:val="00BB5223"/>
    <w:rsid w:val="00BC0793"/>
    <w:rsid w:val="00BC092A"/>
    <w:rsid w:val="00BC0B1F"/>
    <w:rsid w:val="00BC104E"/>
    <w:rsid w:val="00BC2251"/>
    <w:rsid w:val="00BC2E11"/>
    <w:rsid w:val="00BC328A"/>
    <w:rsid w:val="00BC33F8"/>
    <w:rsid w:val="00BC3628"/>
    <w:rsid w:val="00BC4A69"/>
    <w:rsid w:val="00BC4DA9"/>
    <w:rsid w:val="00BC61FC"/>
    <w:rsid w:val="00BD0268"/>
    <w:rsid w:val="00BD30B2"/>
    <w:rsid w:val="00BD37AA"/>
    <w:rsid w:val="00BD3F58"/>
    <w:rsid w:val="00BD583E"/>
    <w:rsid w:val="00BD5E73"/>
    <w:rsid w:val="00BE0ADB"/>
    <w:rsid w:val="00BE0EB9"/>
    <w:rsid w:val="00BE10C7"/>
    <w:rsid w:val="00BE24D8"/>
    <w:rsid w:val="00BE26DE"/>
    <w:rsid w:val="00BE43F2"/>
    <w:rsid w:val="00BE6469"/>
    <w:rsid w:val="00BE6C29"/>
    <w:rsid w:val="00BE735A"/>
    <w:rsid w:val="00BE7A85"/>
    <w:rsid w:val="00BE7D4C"/>
    <w:rsid w:val="00BE7F3F"/>
    <w:rsid w:val="00BF1568"/>
    <w:rsid w:val="00BF2FFE"/>
    <w:rsid w:val="00BF321E"/>
    <w:rsid w:val="00BF3316"/>
    <w:rsid w:val="00BF39F2"/>
    <w:rsid w:val="00BF4D1E"/>
    <w:rsid w:val="00BF4E44"/>
    <w:rsid w:val="00BF52C0"/>
    <w:rsid w:val="00BF602D"/>
    <w:rsid w:val="00BF7B4F"/>
    <w:rsid w:val="00C00218"/>
    <w:rsid w:val="00C01305"/>
    <w:rsid w:val="00C01849"/>
    <w:rsid w:val="00C03BD5"/>
    <w:rsid w:val="00C03EFC"/>
    <w:rsid w:val="00C0532A"/>
    <w:rsid w:val="00C05F9F"/>
    <w:rsid w:val="00C061EF"/>
    <w:rsid w:val="00C06CF0"/>
    <w:rsid w:val="00C07D01"/>
    <w:rsid w:val="00C11C5A"/>
    <w:rsid w:val="00C11FEA"/>
    <w:rsid w:val="00C124C6"/>
    <w:rsid w:val="00C1340D"/>
    <w:rsid w:val="00C136DA"/>
    <w:rsid w:val="00C14AF9"/>
    <w:rsid w:val="00C152AD"/>
    <w:rsid w:val="00C201C5"/>
    <w:rsid w:val="00C221B1"/>
    <w:rsid w:val="00C22B74"/>
    <w:rsid w:val="00C22CC5"/>
    <w:rsid w:val="00C232C0"/>
    <w:rsid w:val="00C236E0"/>
    <w:rsid w:val="00C23CA1"/>
    <w:rsid w:val="00C23F3D"/>
    <w:rsid w:val="00C246C4"/>
    <w:rsid w:val="00C24806"/>
    <w:rsid w:val="00C2568B"/>
    <w:rsid w:val="00C258E4"/>
    <w:rsid w:val="00C25EF0"/>
    <w:rsid w:val="00C25FEE"/>
    <w:rsid w:val="00C2766F"/>
    <w:rsid w:val="00C27978"/>
    <w:rsid w:val="00C31793"/>
    <w:rsid w:val="00C31E08"/>
    <w:rsid w:val="00C32A20"/>
    <w:rsid w:val="00C32AC9"/>
    <w:rsid w:val="00C3318C"/>
    <w:rsid w:val="00C338C1"/>
    <w:rsid w:val="00C35F38"/>
    <w:rsid w:val="00C373FE"/>
    <w:rsid w:val="00C37EED"/>
    <w:rsid w:val="00C4039C"/>
    <w:rsid w:val="00C40CC0"/>
    <w:rsid w:val="00C41455"/>
    <w:rsid w:val="00C42BD0"/>
    <w:rsid w:val="00C43335"/>
    <w:rsid w:val="00C45730"/>
    <w:rsid w:val="00C45A45"/>
    <w:rsid w:val="00C479A8"/>
    <w:rsid w:val="00C47CCD"/>
    <w:rsid w:val="00C50174"/>
    <w:rsid w:val="00C504B1"/>
    <w:rsid w:val="00C5084F"/>
    <w:rsid w:val="00C5213B"/>
    <w:rsid w:val="00C52AF1"/>
    <w:rsid w:val="00C52D65"/>
    <w:rsid w:val="00C53638"/>
    <w:rsid w:val="00C537B0"/>
    <w:rsid w:val="00C537BB"/>
    <w:rsid w:val="00C541C4"/>
    <w:rsid w:val="00C54255"/>
    <w:rsid w:val="00C54702"/>
    <w:rsid w:val="00C54856"/>
    <w:rsid w:val="00C556B4"/>
    <w:rsid w:val="00C55BA4"/>
    <w:rsid w:val="00C57CF7"/>
    <w:rsid w:val="00C57E9A"/>
    <w:rsid w:val="00C621C3"/>
    <w:rsid w:val="00C62E0E"/>
    <w:rsid w:val="00C64ACC"/>
    <w:rsid w:val="00C64BE2"/>
    <w:rsid w:val="00C64E14"/>
    <w:rsid w:val="00C6573A"/>
    <w:rsid w:val="00C65A48"/>
    <w:rsid w:val="00C66CC4"/>
    <w:rsid w:val="00C70D7F"/>
    <w:rsid w:val="00C715CB"/>
    <w:rsid w:val="00C7209A"/>
    <w:rsid w:val="00C721BC"/>
    <w:rsid w:val="00C72588"/>
    <w:rsid w:val="00C726EF"/>
    <w:rsid w:val="00C73AB5"/>
    <w:rsid w:val="00C75D35"/>
    <w:rsid w:val="00C7742C"/>
    <w:rsid w:val="00C77BDE"/>
    <w:rsid w:val="00C77C78"/>
    <w:rsid w:val="00C804DA"/>
    <w:rsid w:val="00C80FCB"/>
    <w:rsid w:val="00C81492"/>
    <w:rsid w:val="00C814C8"/>
    <w:rsid w:val="00C81672"/>
    <w:rsid w:val="00C819D0"/>
    <w:rsid w:val="00C81B6C"/>
    <w:rsid w:val="00C84777"/>
    <w:rsid w:val="00C85CA1"/>
    <w:rsid w:val="00C86234"/>
    <w:rsid w:val="00C86511"/>
    <w:rsid w:val="00C874D2"/>
    <w:rsid w:val="00C8781D"/>
    <w:rsid w:val="00C8795D"/>
    <w:rsid w:val="00C87A9E"/>
    <w:rsid w:val="00C90FD5"/>
    <w:rsid w:val="00C91261"/>
    <w:rsid w:val="00C9168E"/>
    <w:rsid w:val="00C91DF6"/>
    <w:rsid w:val="00C92B1B"/>
    <w:rsid w:val="00C937F4"/>
    <w:rsid w:val="00C93855"/>
    <w:rsid w:val="00C93F41"/>
    <w:rsid w:val="00C94ADE"/>
    <w:rsid w:val="00C94BC4"/>
    <w:rsid w:val="00C96286"/>
    <w:rsid w:val="00C96464"/>
    <w:rsid w:val="00C97171"/>
    <w:rsid w:val="00C97CBC"/>
    <w:rsid w:val="00CA464D"/>
    <w:rsid w:val="00CA538C"/>
    <w:rsid w:val="00CA54B4"/>
    <w:rsid w:val="00CA70EC"/>
    <w:rsid w:val="00CA75AA"/>
    <w:rsid w:val="00CA7CC2"/>
    <w:rsid w:val="00CB1776"/>
    <w:rsid w:val="00CB1DFD"/>
    <w:rsid w:val="00CB275A"/>
    <w:rsid w:val="00CB2FA0"/>
    <w:rsid w:val="00CB34CC"/>
    <w:rsid w:val="00CB5825"/>
    <w:rsid w:val="00CB5C91"/>
    <w:rsid w:val="00CB6330"/>
    <w:rsid w:val="00CB71FA"/>
    <w:rsid w:val="00CB7DC1"/>
    <w:rsid w:val="00CC04AB"/>
    <w:rsid w:val="00CC0829"/>
    <w:rsid w:val="00CC1477"/>
    <w:rsid w:val="00CC1B4D"/>
    <w:rsid w:val="00CC1EB8"/>
    <w:rsid w:val="00CC2405"/>
    <w:rsid w:val="00CC25D9"/>
    <w:rsid w:val="00CC28F1"/>
    <w:rsid w:val="00CC3E48"/>
    <w:rsid w:val="00CC4B25"/>
    <w:rsid w:val="00CC5CAC"/>
    <w:rsid w:val="00CC64E8"/>
    <w:rsid w:val="00CC7174"/>
    <w:rsid w:val="00CC7831"/>
    <w:rsid w:val="00CC7B2B"/>
    <w:rsid w:val="00CD00FE"/>
    <w:rsid w:val="00CD024A"/>
    <w:rsid w:val="00CD0614"/>
    <w:rsid w:val="00CD0B7D"/>
    <w:rsid w:val="00CD0F34"/>
    <w:rsid w:val="00CD11B5"/>
    <w:rsid w:val="00CD145E"/>
    <w:rsid w:val="00CD1E66"/>
    <w:rsid w:val="00CD2D10"/>
    <w:rsid w:val="00CD4366"/>
    <w:rsid w:val="00CD43A6"/>
    <w:rsid w:val="00CD4785"/>
    <w:rsid w:val="00CD5CD3"/>
    <w:rsid w:val="00CD75B4"/>
    <w:rsid w:val="00CE091A"/>
    <w:rsid w:val="00CE0E7A"/>
    <w:rsid w:val="00CE10A1"/>
    <w:rsid w:val="00CE19F7"/>
    <w:rsid w:val="00CE1AE4"/>
    <w:rsid w:val="00CE2A1C"/>
    <w:rsid w:val="00CE2BD4"/>
    <w:rsid w:val="00CE4902"/>
    <w:rsid w:val="00CE4940"/>
    <w:rsid w:val="00CE5B64"/>
    <w:rsid w:val="00CF0089"/>
    <w:rsid w:val="00CF01EB"/>
    <w:rsid w:val="00CF173A"/>
    <w:rsid w:val="00CF1A7E"/>
    <w:rsid w:val="00CF1BC0"/>
    <w:rsid w:val="00CF2382"/>
    <w:rsid w:val="00CF28B7"/>
    <w:rsid w:val="00CF28EF"/>
    <w:rsid w:val="00CF39CC"/>
    <w:rsid w:val="00CF3B0F"/>
    <w:rsid w:val="00CF422F"/>
    <w:rsid w:val="00CF5340"/>
    <w:rsid w:val="00CF5FAD"/>
    <w:rsid w:val="00CF64E5"/>
    <w:rsid w:val="00CF69EC"/>
    <w:rsid w:val="00CF7633"/>
    <w:rsid w:val="00CF7FB7"/>
    <w:rsid w:val="00D001ED"/>
    <w:rsid w:val="00D011D2"/>
    <w:rsid w:val="00D01BA5"/>
    <w:rsid w:val="00D021FA"/>
    <w:rsid w:val="00D02E83"/>
    <w:rsid w:val="00D04806"/>
    <w:rsid w:val="00D048DA"/>
    <w:rsid w:val="00D049C0"/>
    <w:rsid w:val="00D05490"/>
    <w:rsid w:val="00D055F1"/>
    <w:rsid w:val="00D05F55"/>
    <w:rsid w:val="00D062B4"/>
    <w:rsid w:val="00D11020"/>
    <w:rsid w:val="00D1118C"/>
    <w:rsid w:val="00D11651"/>
    <w:rsid w:val="00D11BA1"/>
    <w:rsid w:val="00D1289B"/>
    <w:rsid w:val="00D12951"/>
    <w:rsid w:val="00D12CA8"/>
    <w:rsid w:val="00D13301"/>
    <w:rsid w:val="00D13D95"/>
    <w:rsid w:val="00D158A5"/>
    <w:rsid w:val="00D1653A"/>
    <w:rsid w:val="00D17DF2"/>
    <w:rsid w:val="00D21550"/>
    <w:rsid w:val="00D222AD"/>
    <w:rsid w:val="00D222C0"/>
    <w:rsid w:val="00D22A32"/>
    <w:rsid w:val="00D22B34"/>
    <w:rsid w:val="00D22B5B"/>
    <w:rsid w:val="00D22C3A"/>
    <w:rsid w:val="00D22E1E"/>
    <w:rsid w:val="00D23D43"/>
    <w:rsid w:val="00D24178"/>
    <w:rsid w:val="00D24A1C"/>
    <w:rsid w:val="00D2504A"/>
    <w:rsid w:val="00D250E6"/>
    <w:rsid w:val="00D31166"/>
    <w:rsid w:val="00D3187C"/>
    <w:rsid w:val="00D32ECC"/>
    <w:rsid w:val="00D33B24"/>
    <w:rsid w:val="00D34696"/>
    <w:rsid w:val="00D353BD"/>
    <w:rsid w:val="00D357C9"/>
    <w:rsid w:val="00D3698A"/>
    <w:rsid w:val="00D4012B"/>
    <w:rsid w:val="00D4065E"/>
    <w:rsid w:val="00D41093"/>
    <w:rsid w:val="00D41833"/>
    <w:rsid w:val="00D427F0"/>
    <w:rsid w:val="00D42B5D"/>
    <w:rsid w:val="00D43595"/>
    <w:rsid w:val="00D435A4"/>
    <w:rsid w:val="00D43C23"/>
    <w:rsid w:val="00D4739E"/>
    <w:rsid w:val="00D4756A"/>
    <w:rsid w:val="00D476F9"/>
    <w:rsid w:val="00D4795C"/>
    <w:rsid w:val="00D47D41"/>
    <w:rsid w:val="00D5153C"/>
    <w:rsid w:val="00D525A8"/>
    <w:rsid w:val="00D52ACF"/>
    <w:rsid w:val="00D53787"/>
    <w:rsid w:val="00D539AF"/>
    <w:rsid w:val="00D5468C"/>
    <w:rsid w:val="00D558C8"/>
    <w:rsid w:val="00D5590B"/>
    <w:rsid w:val="00D55DB6"/>
    <w:rsid w:val="00D56DA9"/>
    <w:rsid w:val="00D56E37"/>
    <w:rsid w:val="00D57513"/>
    <w:rsid w:val="00D5797F"/>
    <w:rsid w:val="00D60C80"/>
    <w:rsid w:val="00D62389"/>
    <w:rsid w:val="00D624EC"/>
    <w:rsid w:val="00D625D4"/>
    <w:rsid w:val="00D6275D"/>
    <w:rsid w:val="00D64261"/>
    <w:rsid w:val="00D6520A"/>
    <w:rsid w:val="00D6584B"/>
    <w:rsid w:val="00D66692"/>
    <w:rsid w:val="00D66F21"/>
    <w:rsid w:val="00D67F02"/>
    <w:rsid w:val="00D70AE3"/>
    <w:rsid w:val="00D70FBB"/>
    <w:rsid w:val="00D713E4"/>
    <w:rsid w:val="00D717EE"/>
    <w:rsid w:val="00D73334"/>
    <w:rsid w:val="00D73B65"/>
    <w:rsid w:val="00D73B8E"/>
    <w:rsid w:val="00D73D41"/>
    <w:rsid w:val="00D73DFE"/>
    <w:rsid w:val="00D74907"/>
    <w:rsid w:val="00D751EB"/>
    <w:rsid w:val="00D75A89"/>
    <w:rsid w:val="00D77608"/>
    <w:rsid w:val="00D80369"/>
    <w:rsid w:val="00D807CB"/>
    <w:rsid w:val="00D82489"/>
    <w:rsid w:val="00D82A79"/>
    <w:rsid w:val="00D8373B"/>
    <w:rsid w:val="00D83B56"/>
    <w:rsid w:val="00D84033"/>
    <w:rsid w:val="00D8426C"/>
    <w:rsid w:val="00D847D3"/>
    <w:rsid w:val="00D848B9"/>
    <w:rsid w:val="00D8721B"/>
    <w:rsid w:val="00D87FCC"/>
    <w:rsid w:val="00D90392"/>
    <w:rsid w:val="00D914A3"/>
    <w:rsid w:val="00D92460"/>
    <w:rsid w:val="00D92855"/>
    <w:rsid w:val="00D92A92"/>
    <w:rsid w:val="00D946C1"/>
    <w:rsid w:val="00D951F5"/>
    <w:rsid w:val="00D9548A"/>
    <w:rsid w:val="00DA179D"/>
    <w:rsid w:val="00DA1E4B"/>
    <w:rsid w:val="00DA1FBD"/>
    <w:rsid w:val="00DA2D13"/>
    <w:rsid w:val="00DA39F8"/>
    <w:rsid w:val="00DA4517"/>
    <w:rsid w:val="00DA514C"/>
    <w:rsid w:val="00DA52A7"/>
    <w:rsid w:val="00DA5C28"/>
    <w:rsid w:val="00DA6340"/>
    <w:rsid w:val="00DA6CE0"/>
    <w:rsid w:val="00DA6E1F"/>
    <w:rsid w:val="00DA7759"/>
    <w:rsid w:val="00DA7F13"/>
    <w:rsid w:val="00DB0ED0"/>
    <w:rsid w:val="00DB1470"/>
    <w:rsid w:val="00DB1636"/>
    <w:rsid w:val="00DB21ED"/>
    <w:rsid w:val="00DB4349"/>
    <w:rsid w:val="00DB534E"/>
    <w:rsid w:val="00DB6C33"/>
    <w:rsid w:val="00DB75FF"/>
    <w:rsid w:val="00DC04C4"/>
    <w:rsid w:val="00DC2275"/>
    <w:rsid w:val="00DC29E3"/>
    <w:rsid w:val="00DC2AAE"/>
    <w:rsid w:val="00DC2CB7"/>
    <w:rsid w:val="00DC3284"/>
    <w:rsid w:val="00DC32EB"/>
    <w:rsid w:val="00DC3888"/>
    <w:rsid w:val="00DC440B"/>
    <w:rsid w:val="00DC4A24"/>
    <w:rsid w:val="00DC7C04"/>
    <w:rsid w:val="00DC7F92"/>
    <w:rsid w:val="00DD0A76"/>
    <w:rsid w:val="00DD10A4"/>
    <w:rsid w:val="00DD268D"/>
    <w:rsid w:val="00DD2B72"/>
    <w:rsid w:val="00DD33B8"/>
    <w:rsid w:val="00DD3E4C"/>
    <w:rsid w:val="00DD40E9"/>
    <w:rsid w:val="00DD48B6"/>
    <w:rsid w:val="00DD49B4"/>
    <w:rsid w:val="00DD4FA3"/>
    <w:rsid w:val="00DD502C"/>
    <w:rsid w:val="00DD5619"/>
    <w:rsid w:val="00DD5FC4"/>
    <w:rsid w:val="00DD6171"/>
    <w:rsid w:val="00DD6A95"/>
    <w:rsid w:val="00DD7120"/>
    <w:rsid w:val="00DD7C63"/>
    <w:rsid w:val="00DE0C52"/>
    <w:rsid w:val="00DE1891"/>
    <w:rsid w:val="00DE340F"/>
    <w:rsid w:val="00DE3787"/>
    <w:rsid w:val="00DE5A20"/>
    <w:rsid w:val="00DE64EB"/>
    <w:rsid w:val="00DE669E"/>
    <w:rsid w:val="00DE691C"/>
    <w:rsid w:val="00DF0811"/>
    <w:rsid w:val="00DF0FE2"/>
    <w:rsid w:val="00DF10FC"/>
    <w:rsid w:val="00DF1DF4"/>
    <w:rsid w:val="00DF2512"/>
    <w:rsid w:val="00DF489C"/>
    <w:rsid w:val="00DF51EC"/>
    <w:rsid w:val="00DF5283"/>
    <w:rsid w:val="00DF552B"/>
    <w:rsid w:val="00DF5B33"/>
    <w:rsid w:val="00DF6E6A"/>
    <w:rsid w:val="00DF7BE7"/>
    <w:rsid w:val="00E00EE7"/>
    <w:rsid w:val="00E01097"/>
    <w:rsid w:val="00E014CB"/>
    <w:rsid w:val="00E025C6"/>
    <w:rsid w:val="00E046B0"/>
    <w:rsid w:val="00E0586E"/>
    <w:rsid w:val="00E07F20"/>
    <w:rsid w:val="00E1004D"/>
    <w:rsid w:val="00E104D3"/>
    <w:rsid w:val="00E1061D"/>
    <w:rsid w:val="00E114B3"/>
    <w:rsid w:val="00E125E4"/>
    <w:rsid w:val="00E12963"/>
    <w:rsid w:val="00E13CAE"/>
    <w:rsid w:val="00E13FF8"/>
    <w:rsid w:val="00E1428A"/>
    <w:rsid w:val="00E145C4"/>
    <w:rsid w:val="00E14A4B"/>
    <w:rsid w:val="00E14BB3"/>
    <w:rsid w:val="00E14E5F"/>
    <w:rsid w:val="00E14FB2"/>
    <w:rsid w:val="00E169AA"/>
    <w:rsid w:val="00E16D8E"/>
    <w:rsid w:val="00E17CEC"/>
    <w:rsid w:val="00E20C0F"/>
    <w:rsid w:val="00E216C9"/>
    <w:rsid w:val="00E21988"/>
    <w:rsid w:val="00E21ECC"/>
    <w:rsid w:val="00E229B8"/>
    <w:rsid w:val="00E23D3E"/>
    <w:rsid w:val="00E2416F"/>
    <w:rsid w:val="00E2458B"/>
    <w:rsid w:val="00E2468A"/>
    <w:rsid w:val="00E250B0"/>
    <w:rsid w:val="00E250B6"/>
    <w:rsid w:val="00E25D6C"/>
    <w:rsid w:val="00E26985"/>
    <w:rsid w:val="00E27B24"/>
    <w:rsid w:val="00E32DAA"/>
    <w:rsid w:val="00E3403C"/>
    <w:rsid w:val="00E34D91"/>
    <w:rsid w:val="00E36C9F"/>
    <w:rsid w:val="00E36E4C"/>
    <w:rsid w:val="00E3769D"/>
    <w:rsid w:val="00E378F5"/>
    <w:rsid w:val="00E4022E"/>
    <w:rsid w:val="00E40DBF"/>
    <w:rsid w:val="00E41A89"/>
    <w:rsid w:val="00E41CB9"/>
    <w:rsid w:val="00E438A9"/>
    <w:rsid w:val="00E4488A"/>
    <w:rsid w:val="00E45A69"/>
    <w:rsid w:val="00E45D7C"/>
    <w:rsid w:val="00E462D4"/>
    <w:rsid w:val="00E51987"/>
    <w:rsid w:val="00E53FBF"/>
    <w:rsid w:val="00E54BB8"/>
    <w:rsid w:val="00E54EAF"/>
    <w:rsid w:val="00E55815"/>
    <w:rsid w:val="00E558E4"/>
    <w:rsid w:val="00E563E8"/>
    <w:rsid w:val="00E56549"/>
    <w:rsid w:val="00E56680"/>
    <w:rsid w:val="00E56EDF"/>
    <w:rsid w:val="00E57065"/>
    <w:rsid w:val="00E576D2"/>
    <w:rsid w:val="00E576D8"/>
    <w:rsid w:val="00E57C34"/>
    <w:rsid w:val="00E6022B"/>
    <w:rsid w:val="00E60504"/>
    <w:rsid w:val="00E61061"/>
    <w:rsid w:val="00E62DEE"/>
    <w:rsid w:val="00E62F39"/>
    <w:rsid w:val="00E63751"/>
    <w:rsid w:val="00E647C0"/>
    <w:rsid w:val="00E648C4"/>
    <w:rsid w:val="00E64AF6"/>
    <w:rsid w:val="00E64E77"/>
    <w:rsid w:val="00E6543F"/>
    <w:rsid w:val="00E66E99"/>
    <w:rsid w:val="00E66EA7"/>
    <w:rsid w:val="00E71C76"/>
    <w:rsid w:val="00E723A2"/>
    <w:rsid w:val="00E727F9"/>
    <w:rsid w:val="00E73524"/>
    <w:rsid w:val="00E73753"/>
    <w:rsid w:val="00E73C28"/>
    <w:rsid w:val="00E742B1"/>
    <w:rsid w:val="00E74DF7"/>
    <w:rsid w:val="00E75A3D"/>
    <w:rsid w:val="00E762C6"/>
    <w:rsid w:val="00E7766F"/>
    <w:rsid w:val="00E77926"/>
    <w:rsid w:val="00E77ABB"/>
    <w:rsid w:val="00E77BE5"/>
    <w:rsid w:val="00E82270"/>
    <w:rsid w:val="00E824DD"/>
    <w:rsid w:val="00E82D6F"/>
    <w:rsid w:val="00E82E4C"/>
    <w:rsid w:val="00E82EA8"/>
    <w:rsid w:val="00E82F87"/>
    <w:rsid w:val="00E83912"/>
    <w:rsid w:val="00E8491C"/>
    <w:rsid w:val="00E85A06"/>
    <w:rsid w:val="00E86099"/>
    <w:rsid w:val="00E86AAD"/>
    <w:rsid w:val="00E872EB"/>
    <w:rsid w:val="00E876EA"/>
    <w:rsid w:val="00E87E07"/>
    <w:rsid w:val="00E903DB"/>
    <w:rsid w:val="00E90EAE"/>
    <w:rsid w:val="00E9196B"/>
    <w:rsid w:val="00E92666"/>
    <w:rsid w:val="00E93A49"/>
    <w:rsid w:val="00E93BB9"/>
    <w:rsid w:val="00E941B7"/>
    <w:rsid w:val="00E943BD"/>
    <w:rsid w:val="00E95A3A"/>
    <w:rsid w:val="00E97A28"/>
    <w:rsid w:val="00EA01C3"/>
    <w:rsid w:val="00EA186E"/>
    <w:rsid w:val="00EA40C5"/>
    <w:rsid w:val="00EA5F8F"/>
    <w:rsid w:val="00EA6349"/>
    <w:rsid w:val="00EA6CB9"/>
    <w:rsid w:val="00EA78F0"/>
    <w:rsid w:val="00EA7A49"/>
    <w:rsid w:val="00EB0D50"/>
    <w:rsid w:val="00EB1EF9"/>
    <w:rsid w:val="00EB214B"/>
    <w:rsid w:val="00EB23EA"/>
    <w:rsid w:val="00EB30B4"/>
    <w:rsid w:val="00EB5B9B"/>
    <w:rsid w:val="00EB6AC4"/>
    <w:rsid w:val="00EB7428"/>
    <w:rsid w:val="00EC0025"/>
    <w:rsid w:val="00EC1380"/>
    <w:rsid w:val="00EC1463"/>
    <w:rsid w:val="00EC3E6A"/>
    <w:rsid w:val="00EC4320"/>
    <w:rsid w:val="00EC456D"/>
    <w:rsid w:val="00EC57B7"/>
    <w:rsid w:val="00EC5E32"/>
    <w:rsid w:val="00EC6815"/>
    <w:rsid w:val="00EC69C0"/>
    <w:rsid w:val="00EC70AD"/>
    <w:rsid w:val="00EC7ADC"/>
    <w:rsid w:val="00ED0779"/>
    <w:rsid w:val="00ED20AA"/>
    <w:rsid w:val="00ED267E"/>
    <w:rsid w:val="00ED2D8B"/>
    <w:rsid w:val="00ED3981"/>
    <w:rsid w:val="00ED3BE4"/>
    <w:rsid w:val="00ED40B7"/>
    <w:rsid w:val="00ED42A7"/>
    <w:rsid w:val="00ED4B9E"/>
    <w:rsid w:val="00ED51FC"/>
    <w:rsid w:val="00ED6087"/>
    <w:rsid w:val="00ED7C27"/>
    <w:rsid w:val="00ED7F7F"/>
    <w:rsid w:val="00EE0626"/>
    <w:rsid w:val="00EE10E7"/>
    <w:rsid w:val="00EE120F"/>
    <w:rsid w:val="00EE13E5"/>
    <w:rsid w:val="00EE1474"/>
    <w:rsid w:val="00EE373D"/>
    <w:rsid w:val="00EE3969"/>
    <w:rsid w:val="00EE456E"/>
    <w:rsid w:val="00EE6C91"/>
    <w:rsid w:val="00EF0C73"/>
    <w:rsid w:val="00EF0EA4"/>
    <w:rsid w:val="00EF2D26"/>
    <w:rsid w:val="00EF2E83"/>
    <w:rsid w:val="00EF3366"/>
    <w:rsid w:val="00EF36CB"/>
    <w:rsid w:val="00EF382D"/>
    <w:rsid w:val="00EF5129"/>
    <w:rsid w:val="00EF56B2"/>
    <w:rsid w:val="00EF5F2E"/>
    <w:rsid w:val="00EF74A3"/>
    <w:rsid w:val="00EF7A10"/>
    <w:rsid w:val="00EF7D17"/>
    <w:rsid w:val="00F009BB"/>
    <w:rsid w:val="00F00CF3"/>
    <w:rsid w:val="00F010A9"/>
    <w:rsid w:val="00F01111"/>
    <w:rsid w:val="00F01D1A"/>
    <w:rsid w:val="00F02358"/>
    <w:rsid w:val="00F023EE"/>
    <w:rsid w:val="00F0279E"/>
    <w:rsid w:val="00F03097"/>
    <w:rsid w:val="00F0347B"/>
    <w:rsid w:val="00F03F0E"/>
    <w:rsid w:val="00F05292"/>
    <w:rsid w:val="00F05C1B"/>
    <w:rsid w:val="00F119E2"/>
    <w:rsid w:val="00F11AA2"/>
    <w:rsid w:val="00F13393"/>
    <w:rsid w:val="00F14338"/>
    <w:rsid w:val="00F144F4"/>
    <w:rsid w:val="00F156AC"/>
    <w:rsid w:val="00F1634F"/>
    <w:rsid w:val="00F17738"/>
    <w:rsid w:val="00F219F2"/>
    <w:rsid w:val="00F228FA"/>
    <w:rsid w:val="00F22A3F"/>
    <w:rsid w:val="00F22B53"/>
    <w:rsid w:val="00F23AEC"/>
    <w:rsid w:val="00F23BCE"/>
    <w:rsid w:val="00F2598F"/>
    <w:rsid w:val="00F26401"/>
    <w:rsid w:val="00F27007"/>
    <w:rsid w:val="00F273F2"/>
    <w:rsid w:val="00F31901"/>
    <w:rsid w:val="00F31CA9"/>
    <w:rsid w:val="00F31CF8"/>
    <w:rsid w:val="00F3278E"/>
    <w:rsid w:val="00F33C00"/>
    <w:rsid w:val="00F34F6F"/>
    <w:rsid w:val="00F35D88"/>
    <w:rsid w:val="00F36711"/>
    <w:rsid w:val="00F37431"/>
    <w:rsid w:val="00F4140D"/>
    <w:rsid w:val="00F4170A"/>
    <w:rsid w:val="00F430ED"/>
    <w:rsid w:val="00F4394A"/>
    <w:rsid w:val="00F44374"/>
    <w:rsid w:val="00F444FD"/>
    <w:rsid w:val="00F44D00"/>
    <w:rsid w:val="00F45AAC"/>
    <w:rsid w:val="00F46624"/>
    <w:rsid w:val="00F466BD"/>
    <w:rsid w:val="00F46825"/>
    <w:rsid w:val="00F46D96"/>
    <w:rsid w:val="00F503BB"/>
    <w:rsid w:val="00F50CEA"/>
    <w:rsid w:val="00F5715D"/>
    <w:rsid w:val="00F57252"/>
    <w:rsid w:val="00F573DD"/>
    <w:rsid w:val="00F57454"/>
    <w:rsid w:val="00F57930"/>
    <w:rsid w:val="00F57941"/>
    <w:rsid w:val="00F57A80"/>
    <w:rsid w:val="00F57D61"/>
    <w:rsid w:val="00F57DD5"/>
    <w:rsid w:val="00F605EE"/>
    <w:rsid w:val="00F61B11"/>
    <w:rsid w:val="00F62033"/>
    <w:rsid w:val="00F63D61"/>
    <w:rsid w:val="00F653FE"/>
    <w:rsid w:val="00F67951"/>
    <w:rsid w:val="00F71BAA"/>
    <w:rsid w:val="00F721EB"/>
    <w:rsid w:val="00F723C9"/>
    <w:rsid w:val="00F72AD8"/>
    <w:rsid w:val="00F72B7B"/>
    <w:rsid w:val="00F73710"/>
    <w:rsid w:val="00F74EFD"/>
    <w:rsid w:val="00F75858"/>
    <w:rsid w:val="00F75F32"/>
    <w:rsid w:val="00F769D3"/>
    <w:rsid w:val="00F8006B"/>
    <w:rsid w:val="00F8009B"/>
    <w:rsid w:val="00F80519"/>
    <w:rsid w:val="00F80CD4"/>
    <w:rsid w:val="00F81486"/>
    <w:rsid w:val="00F83B5F"/>
    <w:rsid w:val="00F84035"/>
    <w:rsid w:val="00F84742"/>
    <w:rsid w:val="00F84C86"/>
    <w:rsid w:val="00F8504B"/>
    <w:rsid w:val="00F860B3"/>
    <w:rsid w:val="00F871C2"/>
    <w:rsid w:val="00F87A76"/>
    <w:rsid w:val="00F90137"/>
    <w:rsid w:val="00F9091E"/>
    <w:rsid w:val="00F90ADA"/>
    <w:rsid w:val="00F91184"/>
    <w:rsid w:val="00F92D0F"/>
    <w:rsid w:val="00F94E24"/>
    <w:rsid w:val="00F961B5"/>
    <w:rsid w:val="00F9635B"/>
    <w:rsid w:val="00F96829"/>
    <w:rsid w:val="00F9798C"/>
    <w:rsid w:val="00F97D82"/>
    <w:rsid w:val="00FA14FF"/>
    <w:rsid w:val="00FA15DB"/>
    <w:rsid w:val="00FA18AA"/>
    <w:rsid w:val="00FA18CD"/>
    <w:rsid w:val="00FA1A57"/>
    <w:rsid w:val="00FA2089"/>
    <w:rsid w:val="00FA2380"/>
    <w:rsid w:val="00FA3790"/>
    <w:rsid w:val="00FA3B97"/>
    <w:rsid w:val="00FA3F21"/>
    <w:rsid w:val="00FA4839"/>
    <w:rsid w:val="00FA6901"/>
    <w:rsid w:val="00FA6BAD"/>
    <w:rsid w:val="00FB00B1"/>
    <w:rsid w:val="00FB19CA"/>
    <w:rsid w:val="00FB2077"/>
    <w:rsid w:val="00FB2686"/>
    <w:rsid w:val="00FB2FF5"/>
    <w:rsid w:val="00FB3E9E"/>
    <w:rsid w:val="00FB49DE"/>
    <w:rsid w:val="00FB52C1"/>
    <w:rsid w:val="00FB5351"/>
    <w:rsid w:val="00FB5756"/>
    <w:rsid w:val="00FB5E55"/>
    <w:rsid w:val="00FB6CBF"/>
    <w:rsid w:val="00FB6FA7"/>
    <w:rsid w:val="00FB75D0"/>
    <w:rsid w:val="00FC1608"/>
    <w:rsid w:val="00FC2BEC"/>
    <w:rsid w:val="00FC2C5F"/>
    <w:rsid w:val="00FC3FE6"/>
    <w:rsid w:val="00FC5786"/>
    <w:rsid w:val="00FC5DA4"/>
    <w:rsid w:val="00FC7178"/>
    <w:rsid w:val="00FC73D7"/>
    <w:rsid w:val="00FC7BC3"/>
    <w:rsid w:val="00FD0A9E"/>
    <w:rsid w:val="00FD1368"/>
    <w:rsid w:val="00FD27A7"/>
    <w:rsid w:val="00FD40EA"/>
    <w:rsid w:val="00FD4174"/>
    <w:rsid w:val="00FD438B"/>
    <w:rsid w:val="00FD486A"/>
    <w:rsid w:val="00FD4DFD"/>
    <w:rsid w:val="00FD642F"/>
    <w:rsid w:val="00FD6594"/>
    <w:rsid w:val="00FD6643"/>
    <w:rsid w:val="00FD746D"/>
    <w:rsid w:val="00FE07B4"/>
    <w:rsid w:val="00FE1979"/>
    <w:rsid w:val="00FE1F09"/>
    <w:rsid w:val="00FE31E2"/>
    <w:rsid w:val="00FE39FA"/>
    <w:rsid w:val="00FE43F1"/>
    <w:rsid w:val="00FE44E3"/>
    <w:rsid w:val="00FE5B8B"/>
    <w:rsid w:val="00FE6BC7"/>
    <w:rsid w:val="00FE781D"/>
    <w:rsid w:val="00FE7D4C"/>
    <w:rsid w:val="00FF038A"/>
    <w:rsid w:val="00FF1B9C"/>
    <w:rsid w:val="00FF1EB5"/>
    <w:rsid w:val="00FF3D29"/>
    <w:rsid w:val="00FF7D9D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A62C27"/>
  <w15:docId w15:val="{51C18F45-EF4B-42CC-807E-C516F5B5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1C5"/>
    <w:pPr>
      <w:spacing w:line="340" w:lineRule="atLeast"/>
      <w:jc w:val="both"/>
    </w:pPr>
    <w:rPr>
      <w:rFonts w:eastAsia="Times New Roman" w:cs="Times New Roman"/>
      <w:color w:val="000000"/>
      <w:kern w:val="0"/>
      <w:sz w:val="24"/>
      <w:lang w:eastAsia="de-DE"/>
    </w:rPr>
  </w:style>
  <w:style w:type="paragraph" w:styleId="Heading1">
    <w:name w:val="heading 1"/>
    <w:aliases w:val="x"/>
    <w:basedOn w:val="Normal"/>
    <w:next w:val="Normal"/>
    <w:link w:val="Heading1Char"/>
    <w:qFormat/>
    <w:rsid w:val="00F87A7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F87A7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F87A7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F87A7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F87A7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F87A7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F87A7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87A7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F87A7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87A76"/>
  </w:style>
  <w:style w:type="paragraph" w:customStyle="1" w:styleId="MDPI11articletype">
    <w:name w:val="MDPI_1.1_article_type"/>
    <w:basedOn w:val="MDPI31text"/>
    <w:next w:val="MDPI12title"/>
    <w:qFormat/>
    <w:rsid w:val="00135C14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F273F2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12125D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MDPI15academiceditor"/>
    <w:qFormat/>
    <w:rsid w:val="003B4E63"/>
    <w:pPr>
      <w:ind w:left="113"/>
      <w:jc w:val="left"/>
    </w:pPr>
    <w:rPr>
      <w:snapToGrid/>
    </w:rPr>
  </w:style>
  <w:style w:type="paragraph" w:customStyle="1" w:styleId="MDPI15academiceditor">
    <w:name w:val="MDPI_1.5_academic_editor"/>
    <w:basedOn w:val="MDPI62Acknowledgments"/>
    <w:qFormat/>
    <w:rsid w:val="004508CC"/>
    <w:pPr>
      <w:ind w:left="113"/>
      <w:jc w:val="left"/>
    </w:pPr>
    <w:rPr>
      <w:snapToGrid/>
      <w:szCs w:val="22"/>
    </w:rPr>
  </w:style>
  <w:style w:type="paragraph" w:customStyle="1" w:styleId="MDPI16affiliation">
    <w:name w:val="MDPI_1.6_affiliation"/>
    <w:basedOn w:val="MDPI62Acknowledgments"/>
    <w:qFormat/>
    <w:rsid w:val="00F3278E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3B4E63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MDPI19classification"/>
    <w:qFormat/>
    <w:rsid w:val="003B4E63"/>
    <w:pPr>
      <w:spacing w:before="240"/>
      <w:ind w:left="113" w:firstLine="0"/>
    </w:pPr>
  </w:style>
  <w:style w:type="paragraph" w:customStyle="1" w:styleId="MDPI19classification">
    <w:name w:val="MDPI_1.9_classification"/>
    <w:basedOn w:val="MDPI31text"/>
    <w:qFormat/>
    <w:rsid w:val="003B4E63"/>
    <w:pPr>
      <w:spacing w:before="240"/>
      <w:ind w:left="113" w:firstLine="0"/>
    </w:pPr>
    <w:rPr>
      <w:b/>
      <w:snapToGrid/>
    </w:rPr>
  </w:style>
  <w:style w:type="paragraph" w:customStyle="1" w:styleId="MDPI19line">
    <w:name w:val="MDPI_1.9_line"/>
    <w:basedOn w:val="MDPI31text"/>
    <w:qFormat/>
    <w:rsid w:val="003B4E63"/>
    <w:pPr>
      <w:pBdr>
        <w:bottom w:val="single" w:sz="6" w:space="1" w:color="auto"/>
      </w:pBdr>
      <w:ind w:firstLine="0"/>
    </w:pPr>
    <w:rPr>
      <w:rFonts w:cstheme="minorBidi"/>
      <w:snapToGrid/>
      <w:szCs w:val="24"/>
    </w:rPr>
  </w:style>
  <w:style w:type="paragraph" w:customStyle="1" w:styleId="M1stheader">
    <w:name w:val="M_1stheader"/>
    <w:basedOn w:val="Normal"/>
    <w:rsid w:val="00F87A76"/>
    <w:pPr>
      <w:tabs>
        <w:tab w:val="center" w:pos="4320"/>
        <w:tab w:val="right" w:pos="8640"/>
      </w:tabs>
      <w:ind w:right="360"/>
      <w:outlineLvl w:val="0"/>
    </w:pPr>
    <w:rPr>
      <w:i/>
    </w:rPr>
  </w:style>
  <w:style w:type="paragraph" w:customStyle="1" w:styleId="Mabstract">
    <w:name w:val="M_abstract"/>
    <w:basedOn w:val="Mdeck4text"/>
    <w:next w:val="Mdeck3keywords"/>
    <w:rsid w:val="00F87A76"/>
    <w:pPr>
      <w:spacing w:before="240"/>
      <w:ind w:left="113" w:right="505" w:firstLine="0"/>
    </w:pPr>
  </w:style>
  <w:style w:type="paragraph" w:customStyle="1" w:styleId="MAcknow">
    <w:name w:val="M_Acknow"/>
    <w:basedOn w:val="Normal"/>
    <w:rsid w:val="00F87A76"/>
    <w:pPr>
      <w:spacing w:before="120" w:line="240" w:lineRule="atLeast"/>
    </w:pPr>
    <w:rPr>
      <w:rFonts w:ascii="Minion Pro" w:hAnsi="Minion Pro"/>
      <w:color w:val="000000" w:themeColor="text1"/>
    </w:rPr>
  </w:style>
  <w:style w:type="paragraph" w:customStyle="1" w:styleId="Maddress">
    <w:name w:val="M_address"/>
    <w:basedOn w:val="Normal"/>
    <w:rsid w:val="00F87A76"/>
    <w:pPr>
      <w:spacing w:before="240"/>
    </w:pPr>
  </w:style>
  <w:style w:type="paragraph" w:customStyle="1" w:styleId="Mauthor">
    <w:name w:val="M_author"/>
    <w:basedOn w:val="Normal"/>
    <w:rsid w:val="00F87A76"/>
    <w:pPr>
      <w:spacing w:before="240" w:after="240" w:line="340" w:lineRule="exact"/>
    </w:pPr>
    <w:rPr>
      <w:b/>
      <w:lang w:val="it-IT"/>
    </w:rPr>
  </w:style>
  <w:style w:type="paragraph" w:customStyle="1" w:styleId="MCaption">
    <w:name w:val="M_Caption"/>
    <w:basedOn w:val="Normal"/>
    <w:rsid w:val="00F87A76"/>
    <w:pPr>
      <w:spacing w:before="240" w:after="240"/>
      <w:jc w:val="center"/>
    </w:pPr>
  </w:style>
  <w:style w:type="paragraph" w:customStyle="1" w:styleId="MCopyright">
    <w:name w:val="M_Copyright"/>
    <w:basedOn w:val="Mdeck8references"/>
    <w:qFormat/>
    <w:rsid w:val="00F87A76"/>
    <w:pPr>
      <w:tabs>
        <w:tab w:val="center" w:pos="4536"/>
        <w:tab w:val="right" w:pos="9072"/>
      </w:tabs>
      <w:spacing w:before="400"/>
      <w:ind w:left="0" w:firstLine="0"/>
    </w:pPr>
  </w:style>
  <w:style w:type="paragraph" w:customStyle="1" w:styleId="Mdeck1articletitle">
    <w:name w:val="M_deck_1_article_title"/>
    <w:next w:val="Mdeck2authorname"/>
    <w:qFormat/>
    <w:rsid w:val="00F87A76"/>
    <w:pPr>
      <w:kinsoku w:val="0"/>
      <w:overflowPunct w:val="0"/>
      <w:autoSpaceDE w:val="0"/>
      <w:autoSpaceDN w:val="0"/>
      <w:adjustRightInd w:val="0"/>
      <w:snapToGrid w:val="0"/>
      <w:spacing w:after="240" w:line="400" w:lineRule="exact"/>
    </w:pPr>
    <w:rPr>
      <w:rFonts w:ascii="Minion Pro" w:eastAsia="Times New Roman" w:hAnsi="Minion Pro"/>
      <w:b/>
      <w:snapToGrid w:val="0"/>
      <w:color w:val="000000"/>
      <w:kern w:val="0"/>
      <w:sz w:val="36"/>
      <w:lang w:eastAsia="de-DE" w:bidi="en-US"/>
    </w:rPr>
  </w:style>
  <w:style w:type="paragraph" w:customStyle="1" w:styleId="Mdeck1articletype">
    <w:name w:val="M_deck_1_article_type"/>
    <w:basedOn w:val="Mdeck4text"/>
    <w:next w:val="Mdeck1articletitle"/>
    <w:qFormat/>
    <w:rsid w:val="00F87A76"/>
    <w:pPr>
      <w:widowControl w:val="0"/>
      <w:spacing w:before="120" w:after="120" w:line="240" w:lineRule="auto"/>
      <w:ind w:firstLine="0"/>
      <w:jc w:val="left"/>
    </w:pPr>
    <w:rPr>
      <w:rFonts w:cs="Times New Roman"/>
      <w:i/>
      <w:sz w:val="20"/>
      <w:szCs w:val="24"/>
    </w:rPr>
  </w:style>
  <w:style w:type="paragraph" w:customStyle="1" w:styleId="Mdeck2authoraffiliation">
    <w:name w:val="M_deck_2_author_affiliation"/>
    <w:qFormat/>
    <w:rsid w:val="00F87A7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311" w:hanging="198"/>
    </w:pPr>
    <w:rPr>
      <w:rFonts w:eastAsia="Times New Roman"/>
      <w:snapToGrid w:val="0"/>
      <w:color w:val="000000"/>
      <w:kern w:val="0"/>
      <w:sz w:val="24"/>
      <w:lang w:eastAsia="de-DE" w:bidi="en-US"/>
    </w:rPr>
  </w:style>
  <w:style w:type="paragraph" w:customStyle="1" w:styleId="Mdeck2authorcorrespondence">
    <w:name w:val="M_deck_2_author_correspondence"/>
    <w:qFormat/>
    <w:rsid w:val="00610C2F"/>
    <w:pPr>
      <w:kinsoku w:val="0"/>
      <w:overflowPunct w:val="0"/>
      <w:autoSpaceDE w:val="0"/>
      <w:autoSpaceDN w:val="0"/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/>
      <w:snapToGrid w:val="0"/>
      <w:color w:val="000000"/>
      <w:kern w:val="0"/>
      <w:sz w:val="18"/>
      <w:lang w:eastAsia="de-DE" w:bidi="en-US"/>
    </w:rPr>
  </w:style>
  <w:style w:type="paragraph" w:customStyle="1" w:styleId="Mdeck2authorname">
    <w:name w:val="M_deck_2_author_name"/>
    <w:next w:val="Mdeck3publcationhistory"/>
    <w:qFormat/>
    <w:rsid w:val="00F87A76"/>
    <w:pPr>
      <w:kinsoku w:val="0"/>
      <w:overflowPunct w:val="0"/>
      <w:autoSpaceDE w:val="0"/>
      <w:autoSpaceDN w:val="0"/>
      <w:adjustRightInd w:val="0"/>
      <w:snapToGrid w:val="0"/>
      <w:spacing w:before="240" w:after="120" w:line="320" w:lineRule="atLeast"/>
    </w:pPr>
    <w:rPr>
      <w:rFonts w:eastAsia="Times New Roman"/>
      <w:b/>
      <w:snapToGrid w:val="0"/>
      <w:color w:val="000000"/>
      <w:kern w:val="0"/>
      <w:sz w:val="22"/>
      <w:lang w:eastAsia="de-DE" w:bidi="en-US"/>
    </w:rPr>
  </w:style>
  <w:style w:type="paragraph" w:customStyle="1" w:styleId="Mdeck3abstract">
    <w:name w:val="M_deck_3_abstract"/>
    <w:basedOn w:val="Mdeck4text"/>
    <w:next w:val="Mdeck3keywords"/>
    <w:qFormat/>
    <w:rsid w:val="00F87A76"/>
    <w:pPr>
      <w:widowControl w:val="0"/>
      <w:spacing w:before="240" w:after="240" w:line="340" w:lineRule="atLeast"/>
      <w:ind w:left="113" w:right="567"/>
    </w:pPr>
    <w:rPr>
      <w:snapToGrid/>
    </w:rPr>
  </w:style>
  <w:style w:type="paragraph" w:customStyle="1" w:styleId="Mdeck3keywords">
    <w:name w:val="M_deck_3_keywords"/>
    <w:basedOn w:val="Mdeck4text"/>
    <w:next w:val="Normal"/>
    <w:qFormat/>
    <w:rsid w:val="00F87A76"/>
    <w:pPr>
      <w:spacing w:before="240"/>
      <w:ind w:left="113" w:firstLine="0"/>
    </w:pPr>
  </w:style>
  <w:style w:type="paragraph" w:customStyle="1" w:styleId="Mdeck3publcationhistory">
    <w:name w:val="M_deck_3_publcation_history"/>
    <w:next w:val="Normal"/>
    <w:qFormat/>
    <w:rsid w:val="00F87A76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  <w:ind w:left="113"/>
    </w:pPr>
    <w:rPr>
      <w:rFonts w:eastAsia="Times New Roman"/>
      <w:i/>
      <w:snapToGrid w:val="0"/>
      <w:color w:val="000000"/>
      <w:kern w:val="0"/>
      <w:sz w:val="24"/>
      <w:lang w:eastAsia="de-DE" w:bidi="en-US"/>
    </w:rPr>
  </w:style>
  <w:style w:type="paragraph" w:customStyle="1" w:styleId="Mdeck4heading1">
    <w:name w:val="M_deck_4_heading_1"/>
    <w:basedOn w:val="MHeading3"/>
    <w:next w:val="Normal"/>
    <w:qFormat/>
    <w:rsid w:val="00F87A76"/>
    <w:pPr>
      <w:spacing w:line="340" w:lineRule="atLeast"/>
      <w:outlineLvl w:val="0"/>
    </w:pPr>
    <w:rPr>
      <w:b/>
      <w:snapToGrid/>
    </w:rPr>
  </w:style>
  <w:style w:type="paragraph" w:customStyle="1" w:styleId="Mdeck4heading2">
    <w:name w:val="M_deck_4_heading_2"/>
    <w:basedOn w:val="MHeading3"/>
    <w:next w:val="Normal"/>
    <w:qFormat/>
    <w:rsid w:val="00F87A76"/>
    <w:pPr>
      <w:outlineLvl w:val="1"/>
    </w:pPr>
    <w:rPr>
      <w:i/>
      <w:snapToGrid/>
    </w:rPr>
  </w:style>
  <w:style w:type="paragraph" w:customStyle="1" w:styleId="Mdeck4heading3">
    <w:name w:val="M_deck_4_heading_3"/>
    <w:basedOn w:val="Mdeck4text"/>
    <w:next w:val="Normal"/>
    <w:qFormat/>
    <w:rsid w:val="00F87A76"/>
    <w:pPr>
      <w:spacing w:before="240" w:after="120" w:line="340" w:lineRule="atLeast"/>
      <w:ind w:firstLineChars="50" w:firstLine="50"/>
      <w:outlineLvl w:val="2"/>
    </w:pPr>
    <w:rPr>
      <w:snapToGrid/>
    </w:rPr>
  </w:style>
  <w:style w:type="paragraph" w:customStyle="1" w:styleId="Mdeck4text">
    <w:name w:val="M_deck_4_text"/>
    <w:qFormat/>
    <w:rsid w:val="00F87A7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  <w:jc w:val="both"/>
    </w:pPr>
    <w:rPr>
      <w:rFonts w:ascii="Minion Pro" w:eastAsia="Times New Roman" w:hAnsi="Minion Pro"/>
      <w:snapToGrid w:val="0"/>
      <w:color w:val="000000"/>
      <w:kern w:val="0"/>
      <w:sz w:val="24"/>
      <w:lang w:eastAsia="de-DE" w:bidi="en-US"/>
    </w:rPr>
  </w:style>
  <w:style w:type="paragraph" w:customStyle="1" w:styleId="Mdeck4textbulletlist">
    <w:name w:val="M_deck_4_text_bullet_list"/>
    <w:basedOn w:val="Mdeck4text"/>
    <w:qFormat/>
    <w:rsid w:val="00F87A76"/>
    <w:pPr>
      <w:numPr>
        <w:numId w:val="19"/>
      </w:numPr>
      <w:spacing w:before="120" w:after="120" w:line="340" w:lineRule="atLeast"/>
    </w:pPr>
    <w:rPr>
      <w:snapToGrid/>
    </w:rPr>
  </w:style>
  <w:style w:type="paragraph" w:customStyle="1" w:styleId="Mdeck4textfirstlinezero">
    <w:name w:val="M_deck_4_text_firstline_zero"/>
    <w:basedOn w:val="Mdeck4text"/>
    <w:next w:val="Mdeck4text"/>
    <w:qFormat/>
    <w:rsid w:val="00F87A76"/>
    <w:pPr>
      <w:ind w:firstLine="0"/>
    </w:pPr>
    <w:rPr>
      <w:szCs w:val="24"/>
    </w:rPr>
  </w:style>
  <w:style w:type="paragraph" w:customStyle="1" w:styleId="MFigure">
    <w:name w:val="M_Figure"/>
    <w:qFormat/>
    <w:rsid w:val="00F87A76"/>
    <w:pPr>
      <w:jc w:val="center"/>
    </w:pPr>
    <w:rPr>
      <w:rFonts w:ascii="Minion Pro" w:eastAsia="Times New Roman" w:hAnsi="Minion Pro"/>
      <w:color w:val="000000" w:themeColor="text1"/>
      <w:sz w:val="24"/>
    </w:rPr>
  </w:style>
  <w:style w:type="paragraph" w:customStyle="1" w:styleId="Mdeck4textlist">
    <w:name w:val="M_deck_4_text_list"/>
    <w:basedOn w:val="MFigure"/>
    <w:qFormat/>
    <w:rsid w:val="00F87A76"/>
    <w:rPr>
      <w:i/>
    </w:rPr>
  </w:style>
  <w:style w:type="paragraph" w:customStyle="1" w:styleId="Mdeck4textlrindent">
    <w:name w:val="M_deck_4_text_lr_indent"/>
    <w:basedOn w:val="Mdeck4text"/>
    <w:qFormat/>
    <w:rsid w:val="00B24899"/>
    <w:pPr>
      <w:spacing w:before="120" w:after="120" w:line="260" w:lineRule="atLeast"/>
      <w:ind w:left="425" w:right="425" w:firstLine="0"/>
    </w:pPr>
    <w:rPr>
      <w:rFonts w:ascii="Palatino Linotype" w:hAnsi="Palatino Linotype"/>
      <w:sz w:val="20"/>
    </w:rPr>
  </w:style>
  <w:style w:type="paragraph" w:customStyle="1" w:styleId="Mdeck4textnumberedlist">
    <w:name w:val="M_deck_4_text_numbered_list"/>
    <w:basedOn w:val="Mdeck4text"/>
    <w:qFormat/>
    <w:rsid w:val="00F87A76"/>
    <w:pPr>
      <w:numPr>
        <w:numId w:val="20"/>
      </w:numPr>
      <w:spacing w:before="120" w:after="120" w:line="340" w:lineRule="atLeast"/>
    </w:pPr>
    <w:rPr>
      <w:snapToGrid/>
    </w:rPr>
  </w:style>
  <w:style w:type="paragraph" w:customStyle="1" w:styleId="Mdeck5tablebody">
    <w:name w:val="M_deck_5_table_body"/>
    <w:qFormat/>
    <w:rsid w:val="00F87A76"/>
    <w:pPr>
      <w:kinsoku w:val="0"/>
      <w:overflowPunct w:val="0"/>
      <w:autoSpaceDE w:val="0"/>
      <w:autoSpaceDN w:val="0"/>
      <w:adjustRightInd w:val="0"/>
      <w:snapToGrid w:val="0"/>
      <w:jc w:val="center"/>
    </w:pPr>
    <w:rPr>
      <w:rFonts w:ascii="Minion Pro" w:eastAsia="Times New Roman" w:hAnsi="Minion Pro"/>
      <w:snapToGrid w:val="0"/>
      <w:color w:val="000000"/>
      <w:kern w:val="0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F87A76"/>
    <w:pPr>
      <w:adjustRightInd w:val="0"/>
      <w:snapToGrid w:val="0"/>
      <w:spacing w:line="300" w:lineRule="exact"/>
      <w:jc w:val="center"/>
    </w:pPr>
    <w:rPr>
      <w:rFonts w:cs="Times New Roman"/>
      <w:kern w:val="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C31793"/>
    <w:pPr>
      <w:kinsoku w:val="0"/>
      <w:overflowPunct w:val="0"/>
      <w:autoSpaceDE w:val="0"/>
      <w:autoSpaceDN w:val="0"/>
      <w:adjustRightInd w:val="0"/>
      <w:snapToGrid w:val="0"/>
      <w:spacing w:after="120" w:line="260" w:lineRule="atLeast"/>
      <w:jc w:val="both"/>
    </w:pPr>
    <w:rPr>
      <w:rFonts w:ascii="Palatino Linotype" w:eastAsia="Times New Roman" w:hAnsi="Palatino Linotype"/>
      <w:snapToGrid w:val="0"/>
      <w:color w:val="000000"/>
      <w:kern w:val="0"/>
      <w:sz w:val="18"/>
      <w:lang w:eastAsia="de-DE" w:bidi="en-US"/>
    </w:rPr>
  </w:style>
  <w:style w:type="paragraph" w:customStyle="1" w:styleId="Mdeck5tablefooter">
    <w:name w:val="M_deck_5_table_footer"/>
    <w:basedOn w:val="Mdeck5tablecaption"/>
    <w:next w:val="Mdeck4text"/>
    <w:qFormat/>
    <w:rsid w:val="00F87A76"/>
    <w:pPr>
      <w:spacing w:line="300" w:lineRule="exact"/>
    </w:pPr>
  </w:style>
  <w:style w:type="paragraph" w:customStyle="1" w:styleId="Mdeck5tableheader">
    <w:name w:val="M_deck_5_table_header"/>
    <w:basedOn w:val="Mdeck5tablefooter"/>
    <w:rsid w:val="00F87A76"/>
  </w:style>
  <w:style w:type="paragraph" w:customStyle="1" w:styleId="Mdeck6figurebody">
    <w:name w:val="M_deck_6_figure_body"/>
    <w:qFormat/>
    <w:rsid w:val="00F87A7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eastAsia="Times New Roman"/>
      <w:snapToGrid w:val="0"/>
      <w:color w:val="000000"/>
      <w:kern w:val="0"/>
      <w:sz w:val="24"/>
      <w:lang w:eastAsia="de-DE" w:bidi="en-US"/>
    </w:rPr>
  </w:style>
  <w:style w:type="paragraph" w:customStyle="1" w:styleId="Mdeck6figurecaption">
    <w:name w:val="M_deck_6_figure_caption"/>
    <w:next w:val="Mdeck4text"/>
    <w:qFormat/>
    <w:rsid w:val="00DD33B8"/>
    <w:pPr>
      <w:adjustRightInd w:val="0"/>
      <w:snapToGrid w:val="0"/>
      <w:spacing w:before="120" w:line="260" w:lineRule="atLeast"/>
    </w:pPr>
    <w:rPr>
      <w:rFonts w:ascii="Palatino Linotype" w:eastAsia="Times New Roman" w:hAnsi="Palatino Linotype"/>
      <w:snapToGrid w:val="0"/>
      <w:color w:val="000000"/>
      <w:kern w:val="0"/>
      <w:sz w:val="18"/>
      <w:lang w:eastAsia="de-DE" w:bidi="en-US"/>
    </w:rPr>
  </w:style>
  <w:style w:type="paragraph" w:customStyle="1" w:styleId="Mdeck7equation">
    <w:name w:val="M_deck_7_equation"/>
    <w:basedOn w:val="Mdeck4text"/>
    <w:qFormat/>
    <w:rsid w:val="00F87A76"/>
    <w:pPr>
      <w:spacing w:before="120" w:after="120"/>
      <w:ind w:left="709" w:firstLine="0"/>
      <w:jc w:val="center"/>
    </w:pPr>
    <w:rPr>
      <w:i/>
      <w:snapToGrid/>
      <w:szCs w:val="24"/>
      <w:lang w:eastAsia="en-US"/>
    </w:rPr>
  </w:style>
  <w:style w:type="paragraph" w:customStyle="1" w:styleId="Mdeck8references">
    <w:name w:val="M_deck_8_references"/>
    <w:qFormat/>
    <w:rsid w:val="00F87A76"/>
    <w:pPr>
      <w:numPr>
        <w:numId w:val="18"/>
      </w:numPr>
      <w:kinsoku w:val="0"/>
      <w:overflowPunct w:val="0"/>
      <w:autoSpaceDE w:val="0"/>
      <w:autoSpaceDN w:val="0"/>
      <w:adjustRightInd w:val="0"/>
      <w:snapToGrid w:val="0"/>
      <w:spacing w:line="260" w:lineRule="atLeast"/>
      <w:jc w:val="both"/>
    </w:pPr>
    <w:rPr>
      <w:rFonts w:eastAsia="Times New Roman"/>
      <w:snapToGrid w:val="0"/>
      <w:color w:val="000000"/>
      <w:kern w:val="0"/>
      <w:sz w:val="24"/>
      <w:lang w:eastAsia="de-DE" w:bidi="en-US"/>
    </w:rPr>
  </w:style>
  <w:style w:type="paragraph" w:customStyle="1" w:styleId="MHeader">
    <w:name w:val="M_Header"/>
    <w:basedOn w:val="Normal"/>
    <w:rsid w:val="00F87A76"/>
    <w:pPr>
      <w:spacing w:after="240"/>
      <w:ind w:left="425"/>
    </w:pPr>
    <w:rPr>
      <w:rFonts w:ascii="Minion Pro" w:hAnsi="Minion Pro"/>
    </w:rPr>
  </w:style>
  <w:style w:type="paragraph" w:customStyle="1" w:styleId="MHeading1">
    <w:name w:val="M_Heading1"/>
    <w:basedOn w:val="MHeading3"/>
    <w:qFormat/>
    <w:rsid w:val="00F87A76"/>
    <w:rPr>
      <w:b/>
    </w:rPr>
  </w:style>
  <w:style w:type="paragraph" w:customStyle="1" w:styleId="MHeading2">
    <w:name w:val="M_Heading2"/>
    <w:basedOn w:val="MHeading3"/>
    <w:qFormat/>
    <w:rsid w:val="00F87A76"/>
    <w:rPr>
      <w:i/>
    </w:rPr>
  </w:style>
  <w:style w:type="paragraph" w:customStyle="1" w:styleId="MHeading3">
    <w:name w:val="M_Heading3"/>
    <w:basedOn w:val="Mdeck4text"/>
    <w:qFormat/>
    <w:rsid w:val="00F87A76"/>
    <w:pPr>
      <w:spacing w:before="240" w:after="120"/>
    </w:pPr>
  </w:style>
  <w:style w:type="paragraph" w:customStyle="1" w:styleId="MISSN">
    <w:name w:val="M_ISSN"/>
    <w:basedOn w:val="Normal"/>
    <w:rsid w:val="00F87A76"/>
    <w:pPr>
      <w:spacing w:after="520"/>
      <w:jc w:val="right"/>
    </w:pPr>
  </w:style>
  <w:style w:type="paragraph" w:customStyle="1" w:styleId="Mline2">
    <w:name w:val="M_line2"/>
    <w:basedOn w:val="Mdeck4text"/>
    <w:qFormat/>
    <w:rsid w:val="00F87A76"/>
    <w:pPr>
      <w:pBdr>
        <w:bottom w:val="single" w:sz="6" w:space="1" w:color="auto"/>
      </w:pBdr>
      <w:spacing w:after="480"/>
    </w:pPr>
  </w:style>
  <w:style w:type="paragraph" w:customStyle="1" w:styleId="Mline1">
    <w:name w:val="M_line1"/>
    <w:basedOn w:val="Mdeck4text"/>
    <w:next w:val="Mline2"/>
    <w:qFormat/>
    <w:rsid w:val="00F87A76"/>
    <w:pPr>
      <w:ind w:firstLine="0"/>
    </w:pPr>
  </w:style>
  <w:style w:type="paragraph" w:customStyle="1" w:styleId="MLogo">
    <w:name w:val="M_Logo"/>
    <w:basedOn w:val="Normal"/>
    <w:rsid w:val="00F87A76"/>
    <w:pPr>
      <w:spacing w:before="140"/>
      <w:jc w:val="right"/>
    </w:pPr>
    <w:rPr>
      <w:b/>
      <w:i/>
      <w:sz w:val="64"/>
    </w:rPr>
  </w:style>
  <w:style w:type="paragraph" w:customStyle="1" w:styleId="Mreceived">
    <w:name w:val="M_received"/>
    <w:basedOn w:val="Maddress"/>
    <w:rsid w:val="00F87A76"/>
    <w:rPr>
      <w:i/>
    </w:rPr>
  </w:style>
  <w:style w:type="paragraph" w:customStyle="1" w:styleId="MRefer">
    <w:name w:val="M_Refer"/>
    <w:basedOn w:val="Normal"/>
    <w:rsid w:val="00F87A76"/>
    <w:pPr>
      <w:ind w:left="461" w:hanging="461"/>
    </w:pPr>
  </w:style>
  <w:style w:type="paragraph" w:customStyle="1" w:styleId="Mtable">
    <w:name w:val="M_table"/>
    <w:basedOn w:val="Normal"/>
    <w:rsid w:val="00F87A76"/>
    <w:pPr>
      <w:keepNext/>
      <w:tabs>
        <w:tab w:val="left" w:pos="284"/>
      </w:tabs>
    </w:pPr>
  </w:style>
  <w:style w:type="paragraph" w:customStyle="1" w:styleId="MTablecaption">
    <w:name w:val="M_Tablecaption"/>
    <w:basedOn w:val="MCaption"/>
    <w:rsid w:val="00F87A76"/>
    <w:pPr>
      <w:spacing w:after="0"/>
    </w:pPr>
  </w:style>
  <w:style w:type="paragraph" w:customStyle="1" w:styleId="MText">
    <w:name w:val="M_Text"/>
    <w:basedOn w:val="Normal"/>
    <w:rsid w:val="00F87A76"/>
    <w:pPr>
      <w:ind w:firstLine="288"/>
    </w:pPr>
  </w:style>
  <w:style w:type="paragraph" w:customStyle="1" w:styleId="MTitel">
    <w:name w:val="M_Titel"/>
    <w:basedOn w:val="Normal"/>
    <w:rsid w:val="00F87A76"/>
    <w:pPr>
      <w:spacing w:before="240"/>
    </w:pPr>
    <w:rPr>
      <w:b/>
      <w:sz w:val="36"/>
      <w:lang w:val="en-GB"/>
    </w:rPr>
  </w:style>
  <w:style w:type="paragraph" w:customStyle="1" w:styleId="MDPIheader">
    <w:name w:val="MDPI_header"/>
    <w:qFormat/>
    <w:rsid w:val="003B4E63"/>
    <w:pPr>
      <w:adjustRightInd w:val="0"/>
      <w:snapToGrid w:val="0"/>
      <w:spacing w:after="240"/>
    </w:pPr>
    <w:rPr>
      <w:rFonts w:ascii="Palatino Linotype" w:eastAsia="Times New Roman" w:hAnsi="Palatino Linotype" w:cs="Times New Roman"/>
      <w:iCs/>
      <w:kern w:val="0"/>
      <w:sz w:val="16"/>
      <w:lang w:eastAsia="de-DE"/>
    </w:rPr>
  </w:style>
  <w:style w:type="paragraph" w:customStyle="1" w:styleId="Mheaderjournallogo">
    <w:name w:val="M_header_journal_logo"/>
    <w:qFormat/>
    <w:rsid w:val="00F87A76"/>
    <w:rPr>
      <w:rFonts w:ascii="Minion Pro" w:hAnsi="Minion Pro" w:cs="Times New Roman"/>
      <w:color w:val="000000"/>
      <w:kern w:val="0"/>
      <w:sz w:val="24"/>
      <w:lang w:val="de-DE"/>
    </w:rPr>
  </w:style>
  <w:style w:type="paragraph" w:customStyle="1" w:styleId="TextBericht">
    <w:name w:val="Text_Bericht"/>
    <w:basedOn w:val="Normal"/>
    <w:uiPriority w:val="99"/>
    <w:rsid w:val="00F87A76"/>
    <w:pPr>
      <w:spacing w:after="120" w:line="276" w:lineRule="auto"/>
    </w:pPr>
    <w:rPr>
      <w:rFonts w:ascii="Arial" w:hAnsi="Arial"/>
      <w:lang w:val="de-DE"/>
    </w:rPr>
  </w:style>
  <w:style w:type="character" w:customStyle="1" w:styleId="Heading2Char">
    <w:name w:val="Heading 2 Char"/>
    <w:basedOn w:val="DefaultParagraphFont"/>
    <w:link w:val="Heading2"/>
    <w:rsid w:val="00F87A76"/>
    <w:rPr>
      <w:rFonts w:ascii="Arial" w:eastAsia="Times New Roman" w:hAnsi="Arial" w:cstheme="majorBidi"/>
      <w:b/>
      <w:color w:val="000000"/>
      <w:kern w:val="0"/>
      <w:sz w:val="24"/>
      <w:lang w:eastAsia="de-DE"/>
    </w:rPr>
  </w:style>
  <w:style w:type="paragraph" w:customStyle="1" w:styleId="berschrift3">
    <w:name w:val="Überschrift3"/>
    <w:basedOn w:val="Heading2"/>
    <w:uiPriority w:val="99"/>
    <w:rsid w:val="00F87A76"/>
    <w:pPr>
      <w:keepNext/>
      <w:tabs>
        <w:tab w:val="num" w:pos="360"/>
      </w:tabs>
      <w:spacing w:before="0"/>
      <w:ind w:left="576" w:hanging="576"/>
    </w:pPr>
    <w:rPr>
      <w:rFonts w:cs="Arial"/>
      <w:bCs/>
      <w:iCs/>
      <w:sz w:val="18"/>
      <w:szCs w:val="28"/>
      <w:lang w:val="de-DE"/>
    </w:rPr>
  </w:style>
  <w:style w:type="character" w:customStyle="1" w:styleId="Heading1Char">
    <w:name w:val="Heading 1 Char"/>
    <w:aliases w:val="x Char"/>
    <w:basedOn w:val="DefaultParagraphFont"/>
    <w:link w:val="Heading1"/>
    <w:rsid w:val="00F87A76"/>
    <w:rPr>
      <w:rFonts w:ascii="Arial" w:eastAsia="Times New Roman" w:hAnsi="Arial" w:cs="Times New Roman"/>
      <w:b/>
      <w:color w:val="000000"/>
      <w:kern w:val="0"/>
      <w:sz w:val="24"/>
      <w:u w:val="single"/>
      <w:lang w:eastAsia="de-DE"/>
    </w:rPr>
  </w:style>
  <w:style w:type="character" w:customStyle="1" w:styleId="Heading3Char">
    <w:name w:val="Heading 3 Char"/>
    <w:basedOn w:val="DefaultParagraphFont"/>
    <w:link w:val="Heading3"/>
    <w:rsid w:val="00F87A76"/>
    <w:rPr>
      <w:rFonts w:eastAsia="Times New Roman" w:cs="Times New Roman"/>
      <w:b/>
      <w:color w:val="000000"/>
      <w:kern w:val="0"/>
      <w:sz w:val="24"/>
      <w:lang w:eastAsia="de-DE"/>
    </w:rPr>
  </w:style>
  <w:style w:type="character" w:customStyle="1" w:styleId="Heading4Char">
    <w:name w:val="Heading 4 Char"/>
    <w:basedOn w:val="DefaultParagraphFont"/>
    <w:link w:val="Heading4"/>
    <w:rsid w:val="00F87A76"/>
    <w:rPr>
      <w:rFonts w:ascii="Arial" w:eastAsia="Times New Roman" w:hAnsi="Arial" w:cstheme="majorBidi"/>
      <w:b/>
      <w:color w:val="000000"/>
      <w:kern w:val="0"/>
      <w:sz w:val="24"/>
      <w:lang w:eastAsia="de-DE"/>
    </w:rPr>
  </w:style>
  <w:style w:type="character" w:customStyle="1" w:styleId="Heading5Char">
    <w:name w:val="Heading 5 Char"/>
    <w:basedOn w:val="DefaultParagraphFont"/>
    <w:link w:val="Heading5"/>
    <w:rsid w:val="00F87A76"/>
    <w:rPr>
      <w:rFonts w:eastAsia="Times New Roman" w:cs="Times New Roman"/>
      <w:b/>
      <w:color w:val="000000"/>
      <w:kern w:val="0"/>
      <w:sz w:val="24"/>
      <w:lang w:eastAsia="de-DE"/>
    </w:rPr>
  </w:style>
  <w:style w:type="character" w:customStyle="1" w:styleId="Heading6Char">
    <w:name w:val="Heading 6 Char"/>
    <w:basedOn w:val="DefaultParagraphFont"/>
    <w:link w:val="Heading6"/>
    <w:rsid w:val="00F87A76"/>
    <w:rPr>
      <w:rFonts w:eastAsia="Times New Roman" w:cstheme="majorBidi"/>
      <w:color w:val="000000"/>
      <w:kern w:val="0"/>
      <w:sz w:val="24"/>
      <w:u w:val="single"/>
      <w:lang w:eastAsia="de-DE"/>
    </w:rPr>
  </w:style>
  <w:style w:type="character" w:customStyle="1" w:styleId="Heading7Char">
    <w:name w:val="Heading 7 Char"/>
    <w:basedOn w:val="DefaultParagraphFont"/>
    <w:link w:val="Heading7"/>
    <w:rsid w:val="00F87A76"/>
    <w:rPr>
      <w:rFonts w:eastAsia="Times New Roman" w:cs="Times New Roman"/>
      <w:i/>
      <w:color w:val="000000"/>
      <w:kern w:val="0"/>
      <w:sz w:val="24"/>
      <w:lang w:eastAsia="de-DE"/>
    </w:rPr>
  </w:style>
  <w:style w:type="character" w:customStyle="1" w:styleId="Heading8Char">
    <w:name w:val="Heading 8 Char"/>
    <w:basedOn w:val="DefaultParagraphFont"/>
    <w:link w:val="Heading8"/>
    <w:rsid w:val="00F87A76"/>
    <w:rPr>
      <w:rFonts w:eastAsia="Times New Roman" w:cstheme="majorBidi"/>
      <w:i/>
      <w:color w:val="000000"/>
      <w:kern w:val="0"/>
      <w:sz w:val="24"/>
      <w:lang w:eastAsia="de-DE"/>
    </w:rPr>
  </w:style>
  <w:style w:type="character" w:customStyle="1" w:styleId="Heading9Char">
    <w:name w:val="Heading 9 Char"/>
    <w:basedOn w:val="DefaultParagraphFont"/>
    <w:link w:val="Heading9"/>
    <w:rsid w:val="00F87A76"/>
    <w:rPr>
      <w:rFonts w:eastAsia="Times New Roman" w:cstheme="majorBidi"/>
      <w:i/>
      <w:color w:val="000000"/>
      <w:kern w:val="0"/>
      <w:sz w:val="24"/>
      <w:lang w:eastAsia="de-DE"/>
    </w:rPr>
  </w:style>
  <w:style w:type="character" w:styleId="Hyperlink">
    <w:name w:val="Hyperlink"/>
    <w:uiPriority w:val="99"/>
    <w:rsid w:val="00F87A76"/>
    <w:rPr>
      <w:color w:val="0000FF"/>
      <w:u w:val="single"/>
    </w:rPr>
  </w:style>
  <w:style w:type="character" w:styleId="FollowedHyperlink">
    <w:name w:val="FollowedHyperlink"/>
    <w:basedOn w:val="DefaultParagraphFont"/>
    <w:rsid w:val="00F87A76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rsid w:val="00F87A76"/>
  </w:style>
  <w:style w:type="paragraph" w:styleId="FootnoteText">
    <w:name w:val="footnote text"/>
    <w:basedOn w:val="Normal"/>
    <w:link w:val="FootnoteTextChar"/>
    <w:rsid w:val="00F87A76"/>
  </w:style>
  <w:style w:type="character" w:customStyle="1" w:styleId="FootnoteTextChar">
    <w:name w:val="Footnote Text Char"/>
    <w:basedOn w:val="DefaultParagraphFont"/>
    <w:link w:val="FootnoteText"/>
    <w:rsid w:val="00F87A76"/>
    <w:rPr>
      <w:rFonts w:eastAsia="Times New Roman" w:cs="Times New Roman"/>
      <w:color w:val="000000"/>
      <w:kern w:val="0"/>
      <w:sz w:val="24"/>
      <w:lang w:eastAsia="de-DE"/>
    </w:rPr>
  </w:style>
  <w:style w:type="paragraph" w:styleId="List">
    <w:name w:val="List"/>
    <w:basedOn w:val="Normal"/>
    <w:rsid w:val="00F87A76"/>
    <w:pPr>
      <w:ind w:left="200" w:hangingChars="200" w:hanging="200"/>
      <w:contextualSpacing/>
    </w:pPr>
  </w:style>
  <w:style w:type="paragraph" w:styleId="ListBullet">
    <w:name w:val="List Bullet"/>
    <w:basedOn w:val="Normal"/>
    <w:rsid w:val="00F87A76"/>
    <w:pPr>
      <w:tabs>
        <w:tab w:val="num" w:pos="360"/>
      </w:tabs>
      <w:ind w:left="200" w:hangingChars="200" w:hanging="200"/>
      <w:contextualSpacing/>
    </w:pPr>
  </w:style>
  <w:style w:type="paragraph" w:styleId="ListParagraph">
    <w:name w:val="List Paragraph"/>
    <w:basedOn w:val="Normal"/>
    <w:uiPriority w:val="34"/>
    <w:qFormat/>
    <w:rsid w:val="00F87A7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F87A76"/>
    <w:rPr>
      <w:rFonts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7A76"/>
    <w:rPr>
      <w:rFonts w:eastAsia="Times New Roman" w:cs="Tahoma"/>
      <w:color w:val="000000"/>
      <w:kern w:val="0"/>
      <w:sz w:val="18"/>
      <w:szCs w:val="18"/>
      <w:lang w:eastAsia="de-DE"/>
    </w:rPr>
  </w:style>
  <w:style w:type="paragraph" w:styleId="CommentText">
    <w:name w:val="annotation text"/>
    <w:basedOn w:val="Normal"/>
    <w:link w:val="CommentTextChar"/>
    <w:rsid w:val="00F87A76"/>
  </w:style>
  <w:style w:type="character" w:customStyle="1" w:styleId="CommentTextChar">
    <w:name w:val="Comment Text Char"/>
    <w:basedOn w:val="DefaultParagraphFont"/>
    <w:link w:val="CommentText"/>
    <w:rsid w:val="00F87A76"/>
    <w:rPr>
      <w:rFonts w:eastAsia="Times New Roman" w:cs="Times New Roman"/>
      <w:color w:val="000000"/>
      <w:kern w:val="0"/>
      <w:sz w:val="24"/>
      <w:lang w:eastAsia="de-DE"/>
    </w:rPr>
  </w:style>
  <w:style w:type="character" w:styleId="CommentReference">
    <w:name w:val="annotation reference"/>
    <w:basedOn w:val="DefaultParagraphFont"/>
    <w:rsid w:val="00F87A7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F87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7A76"/>
    <w:rPr>
      <w:rFonts w:eastAsia="Times New Roman" w:cs="Times New Roman"/>
      <w:b/>
      <w:bCs/>
      <w:color w:val="000000"/>
      <w:kern w:val="0"/>
      <w:sz w:val="24"/>
      <w:lang w:eastAsia="de-DE"/>
    </w:rPr>
  </w:style>
  <w:style w:type="paragraph" w:styleId="NormalWeb">
    <w:name w:val="Normal (Web)"/>
    <w:basedOn w:val="Normal"/>
    <w:uiPriority w:val="99"/>
    <w:rsid w:val="00F87A7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87A76"/>
  </w:style>
  <w:style w:type="paragraph" w:styleId="Caption">
    <w:name w:val="caption"/>
    <w:basedOn w:val="Normal"/>
    <w:next w:val="Normal"/>
    <w:qFormat/>
    <w:rsid w:val="00F87A76"/>
    <w:pPr>
      <w:ind w:left="850" w:hanging="850"/>
      <w:jc w:val="center"/>
    </w:pPr>
    <w:rPr>
      <w:b/>
      <w:bCs/>
      <w:szCs w:val="24"/>
      <w:lang w:eastAsia="en-US"/>
    </w:rPr>
  </w:style>
  <w:style w:type="paragraph" w:styleId="TableofFigures">
    <w:name w:val="table of figures"/>
    <w:basedOn w:val="Normal"/>
    <w:next w:val="Normal"/>
    <w:rsid w:val="00F87A76"/>
    <w:pPr>
      <w:tabs>
        <w:tab w:val="left" w:pos="374"/>
      </w:tabs>
      <w:snapToGrid w:val="0"/>
      <w:spacing w:line="220" w:lineRule="exact"/>
    </w:pPr>
    <w:rPr>
      <w:sz w:val="16"/>
      <w:szCs w:val="16"/>
    </w:rPr>
  </w:style>
  <w:style w:type="table" w:styleId="TableGrid">
    <w:name w:val="Table Grid"/>
    <w:basedOn w:val="TableNormal"/>
    <w:uiPriority w:val="59"/>
    <w:rsid w:val="00F87A76"/>
    <w:rPr>
      <w:rFonts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F87A76"/>
    <w:pPr>
      <w:spacing w:line="360" w:lineRule="auto"/>
    </w:pPr>
    <w:rPr>
      <w:szCs w:val="24"/>
      <w:lang w:val="en-GB" w:eastAsia="ar-SA"/>
    </w:rPr>
  </w:style>
  <w:style w:type="character" w:customStyle="1" w:styleId="EndnoteTextChar">
    <w:name w:val="Endnote Text Char"/>
    <w:basedOn w:val="DefaultParagraphFont"/>
    <w:link w:val="EndnoteText"/>
    <w:rsid w:val="00F87A76"/>
    <w:rPr>
      <w:rFonts w:eastAsia="Times New Roman" w:cs="Times New Roman"/>
      <w:color w:val="000000"/>
      <w:kern w:val="0"/>
      <w:sz w:val="24"/>
      <w:szCs w:val="24"/>
      <w:lang w:val="en-GB" w:eastAsia="ar-SA"/>
    </w:rPr>
  </w:style>
  <w:style w:type="character" w:styleId="EndnoteReference">
    <w:name w:val="endnote reference"/>
    <w:basedOn w:val="DefaultParagraphFont"/>
    <w:rsid w:val="00F87A7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F87A76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87A76"/>
    <w:rPr>
      <w:rFonts w:eastAsia="Times New Roman" w:cs="Times New Roman"/>
      <w:color w:val="000000"/>
      <w:kern w:val="0"/>
      <w:sz w:val="18"/>
      <w:szCs w:val="18"/>
      <w:lang w:eastAsia="de-DE"/>
    </w:rPr>
  </w:style>
  <w:style w:type="character" w:styleId="PageNumber">
    <w:name w:val="page number"/>
    <w:basedOn w:val="DefaultParagraphFont"/>
    <w:rsid w:val="00F87A76"/>
  </w:style>
  <w:style w:type="paragraph" w:styleId="Header">
    <w:name w:val="header"/>
    <w:basedOn w:val="Normal"/>
    <w:link w:val="HeaderChar"/>
    <w:uiPriority w:val="99"/>
    <w:rsid w:val="00F87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87A76"/>
    <w:rPr>
      <w:rFonts w:eastAsia="Times New Roman" w:cs="Times New Roman"/>
      <w:color w:val="000000"/>
      <w:kern w:val="0"/>
      <w:sz w:val="18"/>
      <w:szCs w:val="18"/>
      <w:lang w:eastAsia="de-DE"/>
    </w:rPr>
  </w:style>
  <w:style w:type="paragraph" w:styleId="BodyText">
    <w:name w:val="Body Text"/>
    <w:link w:val="BodyTextChar"/>
    <w:rsid w:val="00F87A76"/>
    <w:pPr>
      <w:spacing w:after="120" w:line="340" w:lineRule="atLeast"/>
      <w:jc w:val="both"/>
    </w:pPr>
    <w:rPr>
      <w:rFonts w:cs="Times New Roman"/>
      <w:color w:val="000000"/>
      <w:kern w:val="0"/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F87A76"/>
    <w:rPr>
      <w:rFonts w:cs="Times New Roman"/>
      <w:color w:val="000000"/>
      <w:kern w:val="0"/>
      <w:sz w:val="24"/>
      <w:lang w:eastAsia="de-DE"/>
    </w:rPr>
  </w:style>
  <w:style w:type="paragraph" w:customStyle="1" w:styleId="Mdeck4text2nd">
    <w:name w:val="M_deck_4_text_2nd"/>
    <w:qFormat/>
    <w:rsid w:val="00C53638"/>
    <w:pPr>
      <w:adjustRightInd w:val="0"/>
      <w:snapToGrid w:val="0"/>
      <w:spacing w:line="260" w:lineRule="atLeast"/>
      <w:ind w:left="850" w:hanging="425"/>
      <w:jc w:val="both"/>
    </w:pPr>
    <w:rPr>
      <w:rFonts w:ascii="Palatino Linotype" w:eastAsia="Times New Roman" w:hAnsi="Palatino Linotype"/>
      <w:snapToGrid w:val="0"/>
      <w:color w:val="000000"/>
      <w:kern w:val="0"/>
      <w:lang w:eastAsia="de-DE" w:bidi="en-US"/>
    </w:rPr>
  </w:style>
  <w:style w:type="character" w:styleId="PlaceholderText">
    <w:name w:val="Placeholder Text"/>
    <w:basedOn w:val="DefaultParagraphFont"/>
    <w:uiPriority w:val="99"/>
    <w:semiHidden/>
    <w:rsid w:val="00F87A76"/>
    <w:rPr>
      <w:color w:val="808080"/>
    </w:rPr>
  </w:style>
  <w:style w:type="paragraph" w:customStyle="1" w:styleId="MDPIheadercitation">
    <w:name w:val="MDPI_header_citation"/>
    <w:basedOn w:val="MDPI62Acknowledgments"/>
    <w:rsid w:val="002220D5"/>
    <w:pPr>
      <w:spacing w:before="0" w:after="240" w:line="240" w:lineRule="auto"/>
      <w:jc w:val="left"/>
    </w:pPr>
  </w:style>
  <w:style w:type="paragraph" w:customStyle="1" w:styleId="MDPIheaderjournallogo">
    <w:name w:val="MDPI_header_journal_logo"/>
    <w:qFormat/>
    <w:rsid w:val="003B4E63"/>
    <w:pPr>
      <w:adjustRightInd w:val="0"/>
      <w:snapToGrid w:val="0"/>
    </w:pPr>
    <w:rPr>
      <w:rFonts w:ascii="Palatino Linotype" w:eastAsia="Times New Roman" w:hAnsi="Palatino Linotype" w:cs="Times New Roman"/>
      <w:i/>
      <w:color w:val="000000"/>
      <w:kern w:val="0"/>
      <w:sz w:val="24"/>
      <w:szCs w:val="22"/>
      <w:lang w:eastAsia="de-CH"/>
    </w:rPr>
  </w:style>
  <w:style w:type="paragraph" w:customStyle="1" w:styleId="Mfooter">
    <w:name w:val="M_footer"/>
    <w:qFormat/>
    <w:rsid w:val="00F87A76"/>
    <w:pPr>
      <w:spacing w:before="120"/>
      <w:jc w:val="center"/>
    </w:pPr>
    <w:rPr>
      <w:rFonts w:ascii="Minion Pro" w:hAnsi="Minion Pro" w:cs="Times New Roman"/>
      <w:color w:val="000000"/>
      <w:kern w:val="0"/>
      <w:sz w:val="24"/>
      <w:lang w:val="de-DE"/>
    </w:rPr>
  </w:style>
  <w:style w:type="paragraph" w:customStyle="1" w:styleId="Mfooterfirstpage">
    <w:name w:val="M_footer_firstpage"/>
    <w:basedOn w:val="Mfooter"/>
    <w:qFormat/>
    <w:rsid w:val="00F87A76"/>
    <w:pPr>
      <w:tabs>
        <w:tab w:val="right" w:pos="8845"/>
      </w:tabs>
      <w:spacing w:line="160" w:lineRule="exact"/>
    </w:pPr>
  </w:style>
  <w:style w:type="paragraph" w:customStyle="1" w:styleId="Mheadermdpilogo">
    <w:name w:val="M_header_mdpi_logo"/>
    <w:qFormat/>
    <w:rsid w:val="00F87A76"/>
    <w:pPr>
      <w:jc w:val="right"/>
    </w:pPr>
    <w:rPr>
      <w:rFonts w:ascii="Minion Pro" w:hAnsi="Minion Pro" w:cs="Times New Roman"/>
      <w:color w:val="000000"/>
      <w:kern w:val="0"/>
      <w:sz w:val="24"/>
      <w:lang w:val="de-DE"/>
    </w:rPr>
  </w:style>
  <w:style w:type="paragraph" w:customStyle="1" w:styleId="MAcknowledgments">
    <w:name w:val="M_Acknowledgments"/>
    <w:qFormat/>
    <w:rsid w:val="00554334"/>
    <w:pPr>
      <w:spacing w:after="120" w:line="240" w:lineRule="atLeast"/>
      <w:jc w:val="both"/>
    </w:pPr>
    <w:rPr>
      <w:rFonts w:ascii="Minion Pro" w:hAnsi="Minion Pro" w:cs="Times New Roman"/>
      <w:color w:val="000000"/>
      <w:kern w:val="0"/>
      <w:sz w:val="24"/>
      <w:lang w:val="de-DE"/>
    </w:rPr>
  </w:style>
  <w:style w:type="paragraph" w:customStyle="1" w:styleId="MDPI32textnoindent">
    <w:name w:val="MDPI_3.2_text_no_indent"/>
    <w:basedOn w:val="MDPI31text"/>
    <w:qFormat/>
    <w:rsid w:val="00B65A10"/>
    <w:pPr>
      <w:ind w:firstLine="0"/>
    </w:pPr>
  </w:style>
  <w:style w:type="paragraph" w:customStyle="1" w:styleId="MDPI33textspaceafter">
    <w:name w:val="MDPI_3.3_text_space_after"/>
    <w:basedOn w:val="MDPI31text"/>
    <w:qFormat/>
    <w:rsid w:val="00B65A10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B65A10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B65A10"/>
    <w:pPr>
      <w:spacing w:after="120"/>
    </w:pPr>
  </w:style>
  <w:style w:type="paragraph" w:customStyle="1" w:styleId="MDPI36textafterlist">
    <w:name w:val="MDPI_3.6_text_after_list"/>
    <w:basedOn w:val="MDPI31text"/>
    <w:qFormat/>
    <w:rsid w:val="00B65A10"/>
    <w:pPr>
      <w:spacing w:before="120"/>
    </w:pPr>
  </w:style>
  <w:style w:type="paragraph" w:customStyle="1" w:styleId="MDPI37itemize">
    <w:name w:val="MDPI_3.7_itemize"/>
    <w:basedOn w:val="MDPI31text"/>
    <w:qFormat/>
    <w:rsid w:val="000A45A9"/>
    <w:pPr>
      <w:numPr>
        <w:numId w:val="30"/>
      </w:numPr>
      <w:ind w:left="425" w:hanging="425"/>
    </w:pPr>
  </w:style>
  <w:style w:type="paragraph" w:customStyle="1" w:styleId="MDPI38bullet">
    <w:name w:val="MDPI_3.8_bullet"/>
    <w:basedOn w:val="MDPI31text"/>
    <w:qFormat/>
    <w:rsid w:val="00B83B50"/>
    <w:pPr>
      <w:numPr>
        <w:numId w:val="31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B65A10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0F4E0E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3B4E63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DB75FF"/>
    <w:pPr>
      <w:spacing w:before="240" w:after="120" w:line="260" w:lineRule="atLeast"/>
      <w:ind w:left="425" w:right="425"/>
    </w:pPr>
    <w:rPr>
      <w:rFonts w:cstheme="minorBidi"/>
      <w:snapToGrid/>
      <w:szCs w:val="22"/>
    </w:rPr>
  </w:style>
  <w:style w:type="paragraph" w:customStyle="1" w:styleId="MDPI42tablebody">
    <w:name w:val="MDPI_4.2_table_body"/>
    <w:qFormat/>
    <w:rsid w:val="003B4E63"/>
    <w:pPr>
      <w:adjustRightInd w:val="0"/>
      <w:snapToGrid w:val="0"/>
    </w:pPr>
    <w:rPr>
      <w:rFonts w:ascii="Palatino Linotype" w:eastAsia="Times New Roman" w:hAnsi="Palatino Linotype"/>
      <w:snapToGrid w:val="0"/>
      <w:color w:val="000000"/>
      <w:kern w:val="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B65A10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3B4E63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B65A10"/>
    <w:pPr>
      <w:jc w:val="center"/>
    </w:pPr>
    <w:rPr>
      <w:rFonts w:ascii="Palatino Linotype" w:eastAsia="Times New Roman" w:hAnsi="Palatino Linotype"/>
      <w:snapToGrid w:val="0"/>
      <w:color w:val="000000"/>
      <w:kern w:val="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B65A10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B65A10"/>
    <w:rPr>
      <w:rFonts w:eastAsia="宋体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B65A10"/>
  </w:style>
  <w:style w:type="paragraph" w:customStyle="1" w:styleId="MDPI72Copyright">
    <w:name w:val="MDPI_7.2_Copyright"/>
    <w:basedOn w:val="MDPI71References"/>
    <w:qFormat/>
    <w:rsid w:val="00CE10A1"/>
    <w:pPr>
      <w:numPr>
        <w:numId w:val="0"/>
      </w:numPr>
      <w:spacing w:before="400"/>
    </w:pPr>
    <w:rPr>
      <w:noProof/>
      <w:spacing w:val="-2"/>
      <w:lang w:val="en-GB" w:eastAsia="en-GB" w:bidi="ar-SA"/>
    </w:rPr>
  </w:style>
  <w:style w:type="paragraph" w:customStyle="1" w:styleId="MDPI73CopyrightImage">
    <w:name w:val="MDPI_7.3_CopyrightImage"/>
    <w:rsid w:val="003B4E63"/>
    <w:pPr>
      <w:adjustRightInd w:val="0"/>
      <w:snapToGrid w:val="0"/>
      <w:spacing w:after="100"/>
      <w:jc w:val="right"/>
    </w:pPr>
    <w:rPr>
      <w:rFonts w:eastAsia="Times New Roman" w:cs="Times New Roman"/>
      <w:color w:val="000000"/>
      <w:kern w:val="0"/>
      <w:lang w:eastAsia="de-CH"/>
    </w:rPr>
  </w:style>
  <w:style w:type="paragraph" w:customStyle="1" w:styleId="MDPI81theorem">
    <w:name w:val="MDPI_8.1_theorem"/>
    <w:basedOn w:val="MDPI32textnoindent"/>
    <w:qFormat/>
    <w:rsid w:val="00B65A10"/>
    <w:rPr>
      <w:i/>
    </w:rPr>
  </w:style>
  <w:style w:type="paragraph" w:customStyle="1" w:styleId="MDPI82proof">
    <w:name w:val="MDPI_8.2_proof"/>
    <w:basedOn w:val="MDPI32textnoindent"/>
    <w:qFormat/>
    <w:rsid w:val="00CF28B7"/>
  </w:style>
  <w:style w:type="paragraph" w:customStyle="1" w:styleId="MDPIfooter">
    <w:name w:val="MDPI_footer"/>
    <w:qFormat/>
    <w:rsid w:val="003B4E63"/>
    <w:pPr>
      <w:adjustRightInd w:val="0"/>
      <w:snapToGrid w:val="0"/>
      <w:spacing w:before="120"/>
      <w:jc w:val="center"/>
    </w:pPr>
    <w:rPr>
      <w:rFonts w:ascii="Palatino Linotype" w:eastAsia="Times New Roman" w:hAnsi="Palatino Linotype" w:cs="Times New Roman"/>
      <w:kern w:val="0"/>
      <w:lang w:eastAsia="de-DE"/>
    </w:rPr>
  </w:style>
  <w:style w:type="paragraph" w:customStyle="1" w:styleId="MDPIfooterfirstpage">
    <w:name w:val="MDPI_footer_firstpage"/>
    <w:basedOn w:val="MDPIfooter"/>
    <w:qFormat/>
    <w:rsid w:val="002220D5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31text">
    <w:name w:val="MDPI_3.1_text"/>
    <w:qFormat/>
    <w:rsid w:val="003B4E63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4B664F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4B664F"/>
    <w:pPr>
      <w:outlineLvl w:val="0"/>
    </w:pPr>
    <w:rPr>
      <w:b/>
    </w:rPr>
  </w:style>
  <w:style w:type="paragraph" w:customStyle="1" w:styleId="MDPI22heading2">
    <w:name w:val="MDPI_2.2_heading2"/>
    <w:basedOn w:val="MDPItext"/>
    <w:qFormat/>
    <w:rsid w:val="004B664F"/>
    <w:pPr>
      <w:spacing w:before="240" w:after="120" w:line="260" w:lineRule="atLeast"/>
      <w:ind w:left="0" w:right="0" w:firstLine="0"/>
      <w:jc w:val="left"/>
      <w:outlineLvl w:val="1"/>
    </w:pPr>
    <w:rPr>
      <w:rFonts w:ascii="Palatino Linotype" w:hAnsi="Palatino Linotype"/>
      <w:i/>
      <w:sz w:val="20"/>
    </w:rPr>
  </w:style>
  <w:style w:type="paragraph" w:customStyle="1" w:styleId="MDPI71References">
    <w:name w:val="MDPI_7.1_References"/>
    <w:basedOn w:val="MDPI62Acknowledgments"/>
    <w:qFormat/>
    <w:rsid w:val="004C71C5"/>
    <w:pPr>
      <w:numPr>
        <w:numId w:val="33"/>
      </w:numPr>
      <w:spacing w:before="0" w:line="260" w:lineRule="atLeast"/>
      <w:ind w:left="425" w:hanging="425"/>
    </w:pPr>
  </w:style>
  <w:style w:type="paragraph" w:customStyle="1" w:styleId="MDPIheadermdpilogo">
    <w:name w:val="MDPI_header_mdpi_logo"/>
    <w:qFormat/>
    <w:rsid w:val="003B4E63"/>
    <w:pPr>
      <w:adjustRightInd w:val="0"/>
      <w:snapToGrid w:val="0"/>
      <w:jc w:val="right"/>
    </w:pPr>
    <w:rPr>
      <w:rFonts w:ascii="Palatino Linotype" w:eastAsia="Times New Roman" w:hAnsi="Palatino Linotype" w:cs="Times New Roman"/>
      <w:color w:val="000000"/>
      <w:kern w:val="0"/>
      <w:sz w:val="24"/>
      <w:szCs w:val="22"/>
      <w:lang w:eastAsia="de-CH"/>
    </w:rPr>
  </w:style>
  <w:style w:type="paragraph" w:customStyle="1" w:styleId="MDPI411onetablecaption">
    <w:name w:val="MDPI_4.1.1_one_table_caption"/>
    <w:basedOn w:val="Normal"/>
    <w:qFormat/>
    <w:rsid w:val="009136F9"/>
    <w:pPr>
      <w:adjustRightInd w:val="0"/>
      <w:snapToGrid w:val="0"/>
      <w:spacing w:before="120" w:after="240" w:line="260" w:lineRule="atLeast"/>
      <w:jc w:val="center"/>
    </w:pPr>
    <w:rPr>
      <w:rFonts w:ascii="Palatino Linotype" w:hAnsi="Palatino Linotype" w:cstheme="minorBidi"/>
      <w:sz w:val="18"/>
      <w:szCs w:val="22"/>
      <w:lang w:bidi="en-US"/>
    </w:rPr>
  </w:style>
  <w:style w:type="paragraph" w:customStyle="1" w:styleId="MDPI511onefigurecaption">
    <w:name w:val="MDPI_5.1.1_one_figure_caption"/>
    <w:basedOn w:val="Normal"/>
    <w:qFormat/>
    <w:rsid w:val="009136F9"/>
    <w:pPr>
      <w:adjustRightInd w:val="0"/>
      <w:snapToGrid w:val="0"/>
      <w:spacing w:before="120" w:after="240" w:line="260" w:lineRule="atLeast"/>
      <w:jc w:val="center"/>
    </w:pPr>
    <w:rPr>
      <w:rFonts w:ascii="Palatino Linotype" w:hAnsi="Palatino Linotype"/>
      <w:sz w:val="18"/>
      <w:lang w:bidi="en-US"/>
    </w:rPr>
  </w:style>
  <w:style w:type="paragraph" w:customStyle="1" w:styleId="MDPItext">
    <w:name w:val="MDPI_text"/>
    <w:basedOn w:val="Mdeck4text"/>
    <w:qFormat/>
    <w:rsid w:val="006C7D91"/>
    <w:pPr>
      <w:ind w:left="425" w:right="425" w:firstLine="284"/>
    </w:pPr>
    <w:rPr>
      <w:rFonts w:ascii="Times New Roman" w:hAnsi="Times New Roman" w:cs="Times New Roman"/>
      <w:noProof/>
      <w:sz w:val="22"/>
      <w:szCs w:val="22"/>
    </w:rPr>
  </w:style>
  <w:style w:type="paragraph" w:customStyle="1" w:styleId="MDPItitle">
    <w:name w:val="MDPI_title"/>
    <w:qFormat/>
    <w:rsid w:val="003B4E63"/>
    <w:pPr>
      <w:adjustRightInd w:val="0"/>
      <w:snapToGrid w:val="0"/>
      <w:spacing w:after="240"/>
    </w:pPr>
    <w:rPr>
      <w:rFonts w:eastAsia="Times New Roman" w:cs="Times New Roman"/>
      <w:b/>
      <w:snapToGrid w:val="0"/>
      <w:color w:val="000000"/>
      <w:kern w:val="0"/>
      <w:sz w:val="36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85837-A34D-46CF-BD20-281415DA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1000</Words>
  <Characters>5576</Characters>
  <Application>Microsoft Office Word</Application>
  <DocSecurity>0</DocSecurity>
  <Lines>113</Lines>
  <Paragraphs>67</Paragraphs>
  <ScaleCrop>false</ScaleCrop>
  <Company/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23</cp:revision>
  <dcterms:created xsi:type="dcterms:W3CDTF">2017-09-29T06:04:00Z</dcterms:created>
  <dcterms:modified xsi:type="dcterms:W3CDTF">2017-10-06T02:25:00Z</dcterms:modified>
</cp:coreProperties>
</file>