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B33" w:rsidRDefault="004F6B33" w:rsidP="004F6B33">
      <w:pPr>
        <w:rPr>
          <w:rFonts w:ascii="Arial" w:hAnsi="Arial" w:cs="Arial"/>
          <w:sz w:val="24"/>
        </w:rPr>
      </w:pPr>
      <w:r w:rsidRPr="00BE0FB3">
        <w:rPr>
          <w:rFonts w:ascii="Arial" w:hAnsi="Arial" w:cs="Arial"/>
          <w:sz w:val="24"/>
        </w:rPr>
        <w:t>S</w:t>
      </w:r>
      <w:r w:rsidR="00DB0C75">
        <w:rPr>
          <w:rFonts w:ascii="Arial" w:hAnsi="Arial" w:cs="Arial"/>
          <w:sz w:val="24"/>
        </w:rPr>
        <w:t>3</w:t>
      </w:r>
      <w:r w:rsidRPr="00BE0FB3">
        <w:rPr>
          <w:rFonts w:ascii="Arial" w:hAnsi="Arial" w:cs="Arial"/>
          <w:sz w:val="24"/>
        </w:rPr>
        <w:t xml:space="preserve"> Table </w:t>
      </w:r>
    </w:p>
    <w:tbl>
      <w:tblPr>
        <w:tblW w:w="9283" w:type="dxa"/>
        <w:tblInd w:w="93" w:type="dxa"/>
        <w:tblLook w:val="04A0" w:firstRow="1" w:lastRow="0" w:firstColumn="1" w:lastColumn="0" w:noHBand="0" w:noVBand="1"/>
      </w:tblPr>
      <w:tblGrid>
        <w:gridCol w:w="2320"/>
        <w:gridCol w:w="1150"/>
        <w:gridCol w:w="1684"/>
        <w:gridCol w:w="617"/>
        <w:gridCol w:w="1200"/>
        <w:gridCol w:w="1200"/>
        <w:gridCol w:w="840"/>
        <w:gridCol w:w="272"/>
      </w:tblGrid>
      <w:tr w:rsidR="004F6B33" w:rsidRPr="00107CB2" w:rsidTr="00DB0C75">
        <w:trPr>
          <w:trHeight w:val="255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bookmarkStart w:id="0" w:name="_GoBack"/>
            <w:bookmarkEnd w:id="0"/>
            <w:proofErr w:type="spellStart"/>
            <w:r w:rsidRPr="00107CB2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ensembl_gene_id</w:t>
            </w:r>
            <w:proofErr w:type="spellEnd"/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proofErr w:type="spellStart"/>
            <w:r w:rsidRPr="00107CB2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baseMean</w:t>
            </w:r>
            <w:proofErr w:type="spellEnd"/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log2FoldChange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proofErr w:type="spellStart"/>
            <w:r w:rsidRPr="00107CB2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pval</w:t>
            </w:r>
            <w:proofErr w:type="spellEnd"/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description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4F6B33" w:rsidRPr="00107CB2" w:rsidTr="00DB0C75">
        <w:trPr>
          <w:trHeight w:val="255"/>
        </w:trPr>
        <w:tc>
          <w:tcPr>
            <w:tcW w:w="2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ENSMUSG00000074681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6</w:t>
            </w:r>
            <w:r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.</w:t>
            </w: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175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-0</w:t>
            </w:r>
            <w:r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.</w:t>
            </w: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211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.</w:t>
            </w: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640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proofErr w:type="spellStart"/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defensin</w:t>
            </w:r>
            <w:proofErr w:type="spellEnd"/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 xml:space="preserve"> beta 23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4F6B33" w:rsidRPr="00107CB2" w:rsidTr="00DB0C75">
        <w:trPr>
          <w:trHeight w:val="255"/>
        </w:trPr>
        <w:tc>
          <w:tcPr>
            <w:tcW w:w="2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ENSMUSG00000054763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3</w:t>
            </w:r>
            <w:r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.</w:t>
            </w: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171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-0</w:t>
            </w:r>
            <w:r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.</w:t>
            </w: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177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.</w:t>
            </w: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640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proofErr w:type="spellStart"/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defensin</w:t>
            </w:r>
            <w:proofErr w:type="spellEnd"/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 xml:space="preserve"> beta 42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4F6B33" w:rsidRPr="00107CB2" w:rsidTr="00DB0C75">
        <w:trPr>
          <w:trHeight w:val="255"/>
        </w:trPr>
        <w:tc>
          <w:tcPr>
            <w:tcW w:w="2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ENSMUSG00000069515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3</w:t>
            </w:r>
            <w:r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.</w:t>
            </w: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532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-0</w:t>
            </w:r>
            <w:r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.</w:t>
            </w: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098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.</w:t>
            </w: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965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lysozyme 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4F6B33" w:rsidRPr="00107CB2" w:rsidTr="00DB0C75">
        <w:trPr>
          <w:trHeight w:val="255"/>
        </w:trPr>
        <w:tc>
          <w:tcPr>
            <w:tcW w:w="2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ENSMUSG00000069516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862</w:t>
            </w:r>
            <w:r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.</w:t>
            </w: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260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.</w:t>
            </w: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058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.</w:t>
            </w: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838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lysozyme 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4F6B33" w:rsidRPr="00107CB2" w:rsidTr="00DB0C75">
        <w:trPr>
          <w:trHeight w:val="255"/>
        </w:trPr>
        <w:tc>
          <w:tcPr>
            <w:tcW w:w="2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ENSMUSG00000038357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177</w:t>
            </w:r>
            <w:r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.</w:t>
            </w: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376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-1</w:t>
            </w:r>
            <w:r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.</w:t>
            </w: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325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.</w:t>
            </w: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357</w:t>
            </w: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proofErr w:type="spellStart"/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cathelicidin</w:t>
            </w:r>
            <w:proofErr w:type="spellEnd"/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 xml:space="preserve"> antimicrobial peptide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4F6B33" w:rsidRPr="00107CB2" w:rsidTr="00DB0C75">
        <w:trPr>
          <w:trHeight w:val="255"/>
        </w:trPr>
        <w:tc>
          <w:tcPr>
            <w:tcW w:w="2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ENSMUSG00000036216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6</w:t>
            </w:r>
            <w:r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.</w:t>
            </w: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224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-0</w:t>
            </w:r>
            <w:r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.</w:t>
            </w: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322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.</w:t>
            </w: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840</w:t>
            </w:r>
          </w:p>
        </w:tc>
        <w:tc>
          <w:tcPr>
            <w:tcW w:w="3512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liver-expressed antimicrobial peptide 2</w:t>
            </w:r>
          </w:p>
        </w:tc>
      </w:tr>
      <w:tr w:rsidR="004F6B33" w:rsidRPr="00107CB2" w:rsidTr="00DB0C75">
        <w:trPr>
          <w:trHeight w:val="255"/>
        </w:trPr>
        <w:tc>
          <w:tcPr>
            <w:tcW w:w="2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ENSMUSG00000017652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116</w:t>
            </w:r>
            <w:r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.</w:t>
            </w: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088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-0</w:t>
            </w:r>
            <w:r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.</w:t>
            </w: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686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.</w:t>
            </w: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205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CD40 antigen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4F6B33" w:rsidRPr="00107CB2" w:rsidTr="00DB0C75">
        <w:trPr>
          <w:trHeight w:val="255"/>
        </w:trPr>
        <w:tc>
          <w:tcPr>
            <w:tcW w:w="2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ENSMUSG00000023274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48</w:t>
            </w:r>
            <w:r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.</w:t>
            </w: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189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-1</w:t>
            </w:r>
            <w:r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.</w:t>
            </w: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377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.</w:t>
            </w: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150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CD4 antigen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4F6B33" w:rsidRPr="00107CB2" w:rsidTr="00DB0C75">
        <w:trPr>
          <w:trHeight w:val="255"/>
        </w:trPr>
        <w:tc>
          <w:tcPr>
            <w:tcW w:w="2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ENSMUSG00000022901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349</w:t>
            </w:r>
            <w:r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.</w:t>
            </w: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610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-0</w:t>
            </w:r>
            <w:r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.</w:t>
            </w: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346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.</w:t>
            </w: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148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CD86 antigen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4F6B33" w:rsidRPr="00107CB2" w:rsidTr="00DB0C75">
        <w:trPr>
          <w:trHeight w:val="255"/>
        </w:trPr>
        <w:tc>
          <w:tcPr>
            <w:tcW w:w="2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ENSMUSG00000030786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7302</w:t>
            </w:r>
            <w:r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.</w:t>
            </w: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453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.</w:t>
            </w: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024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.</w:t>
            </w: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933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integrin alpha M (CD11b)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4F6B33" w:rsidRPr="00107CB2" w:rsidTr="00DB0C75">
        <w:trPr>
          <w:trHeight w:val="255"/>
        </w:trPr>
        <w:tc>
          <w:tcPr>
            <w:tcW w:w="2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ENSMUSG00000030789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60</w:t>
            </w:r>
            <w:r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.</w:t>
            </w: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468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-0</w:t>
            </w:r>
            <w:r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.</w:t>
            </w: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357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.</w:t>
            </w: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275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integrin alpha X (CD11c)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4F6B33" w:rsidRPr="00107CB2" w:rsidTr="00DB0C75">
        <w:trPr>
          <w:trHeight w:val="255"/>
        </w:trPr>
        <w:tc>
          <w:tcPr>
            <w:tcW w:w="2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ENSMUSG00000067149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39</w:t>
            </w:r>
            <w:r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.</w:t>
            </w: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983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.</w:t>
            </w: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250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.</w:t>
            </w: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790</w:t>
            </w: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immunoglobulin joining chain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4F6B33" w:rsidRPr="00107CB2" w:rsidTr="00DB0C75">
        <w:trPr>
          <w:trHeight w:val="255"/>
        </w:trPr>
        <w:tc>
          <w:tcPr>
            <w:tcW w:w="2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ENSMUSG00000020009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1970</w:t>
            </w:r>
            <w:r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.</w:t>
            </w: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046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.</w:t>
            </w: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023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.</w:t>
            </w: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991</w:t>
            </w: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interferon gamma receptor 1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4F6B33" w:rsidRPr="00107CB2" w:rsidTr="00DB0C75">
        <w:trPr>
          <w:trHeight w:val="255"/>
        </w:trPr>
        <w:tc>
          <w:tcPr>
            <w:tcW w:w="2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ENSMUSG00000022965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1373</w:t>
            </w:r>
            <w:r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.</w:t>
            </w: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013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.</w:t>
            </w: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234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.</w:t>
            </w: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394</w:t>
            </w: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interferon gamma receptor 2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4F6B33" w:rsidRPr="00107CB2" w:rsidTr="00DB0C75">
        <w:trPr>
          <w:trHeight w:val="255"/>
        </w:trPr>
        <w:tc>
          <w:tcPr>
            <w:tcW w:w="2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ENSMUSG00000022967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6536</w:t>
            </w:r>
            <w:r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.</w:t>
            </w: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058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.</w:t>
            </w: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066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.</w:t>
            </w: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797</w:t>
            </w:r>
          </w:p>
        </w:tc>
        <w:tc>
          <w:tcPr>
            <w:tcW w:w="3512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interferon (alpha and beta) receptor 1</w:t>
            </w:r>
          </w:p>
        </w:tc>
      </w:tr>
      <w:tr w:rsidR="004F6B33" w:rsidRPr="00107CB2" w:rsidTr="00DB0C75">
        <w:trPr>
          <w:trHeight w:val="255"/>
        </w:trPr>
        <w:tc>
          <w:tcPr>
            <w:tcW w:w="2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ENSMUSG00000022971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4703</w:t>
            </w:r>
            <w:r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.</w:t>
            </w: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854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.</w:t>
            </w: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095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.</w:t>
            </w: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669</w:t>
            </w:r>
          </w:p>
        </w:tc>
        <w:tc>
          <w:tcPr>
            <w:tcW w:w="3512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interferon (alpha and beta) receptor 2</w:t>
            </w:r>
          </w:p>
        </w:tc>
      </w:tr>
      <w:tr w:rsidR="004F6B33" w:rsidRPr="00107CB2" w:rsidTr="00DB0C75">
        <w:trPr>
          <w:trHeight w:val="255"/>
        </w:trPr>
        <w:tc>
          <w:tcPr>
            <w:tcW w:w="2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ENSMUSG00000042993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14</w:t>
            </w:r>
            <w:r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.</w:t>
            </w: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048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-0</w:t>
            </w:r>
            <w:r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.</w:t>
            </w: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336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.</w:t>
            </w: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426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interferon kappa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4F6B33" w:rsidRPr="00107CB2" w:rsidTr="00DB0C75">
        <w:trPr>
          <w:trHeight w:val="255"/>
        </w:trPr>
        <w:tc>
          <w:tcPr>
            <w:tcW w:w="2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ENSMUSG00000027399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39</w:t>
            </w:r>
            <w:r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.</w:t>
            </w: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672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.</w:t>
            </w: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251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.</w:t>
            </w: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959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interleukin 1 alpha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4F6B33" w:rsidRPr="00107CB2" w:rsidTr="00DB0C75">
        <w:trPr>
          <w:trHeight w:val="255"/>
        </w:trPr>
        <w:tc>
          <w:tcPr>
            <w:tcW w:w="2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ENSMUSG00000027398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19</w:t>
            </w:r>
            <w:r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.</w:t>
            </w: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821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-1</w:t>
            </w:r>
            <w:r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.</w:t>
            </w: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256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.</w:t>
            </w: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124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interleukin 1 beta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4F6B33" w:rsidRPr="00107CB2" w:rsidTr="00DB0C75">
        <w:trPr>
          <w:trHeight w:val="255"/>
        </w:trPr>
        <w:tc>
          <w:tcPr>
            <w:tcW w:w="2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ENSMUSG00000000869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180</w:t>
            </w:r>
            <w:r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.</w:t>
            </w: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607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.</w:t>
            </w: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101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.</w:t>
            </w: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697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interleukin 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4F6B33" w:rsidRPr="00107CB2" w:rsidTr="00DB0C75">
        <w:trPr>
          <w:trHeight w:val="255"/>
        </w:trPr>
        <w:tc>
          <w:tcPr>
            <w:tcW w:w="2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ENSMUSG00000025746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3</w:t>
            </w:r>
            <w:r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.</w:t>
            </w: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614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-1</w:t>
            </w:r>
            <w:r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.</w:t>
            </w: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823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.</w:t>
            </w: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273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interleukin 6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4F6B33" w:rsidRPr="00107CB2" w:rsidTr="00DB0C75">
        <w:trPr>
          <w:trHeight w:val="255"/>
        </w:trPr>
        <w:tc>
          <w:tcPr>
            <w:tcW w:w="2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ENSMUSG00000027776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99</w:t>
            </w:r>
            <w:r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.</w:t>
            </w: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115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.</w:t>
            </w: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248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.</w:t>
            </w: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690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interleukin 12a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4F6B33" w:rsidRPr="00107CB2" w:rsidTr="00DB0C75">
        <w:trPr>
          <w:trHeight w:val="255"/>
        </w:trPr>
        <w:tc>
          <w:tcPr>
            <w:tcW w:w="2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ENSMUSG00000046108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3</w:t>
            </w:r>
            <w:r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.</w:t>
            </w: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713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-0</w:t>
            </w:r>
            <w:r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.</w:t>
            </w: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328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.</w:t>
            </w: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880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interleukin 17C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4F6B33" w:rsidRPr="00107CB2" w:rsidTr="00DB0C75">
        <w:trPr>
          <w:trHeight w:val="255"/>
        </w:trPr>
        <w:tc>
          <w:tcPr>
            <w:tcW w:w="2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ENSMUSG00000025383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9</w:t>
            </w:r>
            <w:r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.</w:t>
            </w: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934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-0</w:t>
            </w:r>
            <w:r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.</w:t>
            </w: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661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.</w:t>
            </w: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525</w:t>
            </w: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interleukin 23, alpha subunit p19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4F6B33" w:rsidRPr="00107CB2" w:rsidTr="00DB0C75">
        <w:trPr>
          <w:trHeight w:val="255"/>
        </w:trPr>
        <w:tc>
          <w:tcPr>
            <w:tcW w:w="2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ENSMUSG00000024778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126</w:t>
            </w:r>
            <w:r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.</w:t>
            </w: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259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.</w:t>
            </w: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364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.</w:t>
            </w: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585</w:t>
            </w:r>
          </w:p>
        </w:tc>
        <w:tc>
          <w:tcPr>
            <w:tcW w:w="3512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proofErr w:type="spellStart"/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Fas</w:t>
            </w:r>
            <w:proofErr w:type="spellEnd"/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 xml:space="preserve"> (TNF receptor superfamily member 6)</w:t>
            </w:r>
          </w:p>
        </w:tc>
      </w:tr>
      <w:tr w:rsidR="004F6B33" w:rsidRPr="00107CB2" w:rsidTr="00DB0C75">
        <w:trPr>
          <w:trHeight w:val="255"/>
        </w:trPr>
        <w:tc>
          <w:tcPr>
            <w:tcW w:w="2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ENSMUSG00000000817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13</w:t>
            </w:r>
            <w:r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.</w:t>
            </w: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972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-0</w:t>
            </w:r>
            <w:r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.</w:t>
            </w: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501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.</w:t>
            </w: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246</w:t>
            </w:r>
          </w:p>
        </w:tc>
        <w:tc>
          <w:tcPr>
            <w:tcW w:w="3512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proofErr w:type="spellStart"/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Fas</w:t>
            </w:r>
            <w:proofErr w:type="spellEnd"/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 xml:space="preserve"> ligand (TNF superfamily, member 6)</w:t>
            </w:r>
          </w:p>
        </w:tc>
      </w:tr>
      <w:tr w:rsidR="004F6B33" w:rsidRPr="00107CB2" w:rsidTr="00DB0C75">
        <w:trPr>
          <w:trHeight w:val="255"/>
        </w:trPr>
        <w:tc>
          <w:tcPr>
            <w:tcW w:w="2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ENSMUSG00000036594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689</w:t>
            </w:r>
            <w:r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.</w:t>
            </w: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167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-0</w:t>
            </w:r>
            <w:r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.</w:t>
            </w: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075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.</w:t>
            </w: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418</w:t>
            </w:r>
          </w:p>
        </w:tc>
        <w:tc>
          <w:tcPr>
            <w:tcW w:w="3512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histocompatibility 2, class II antigen A, alpha</w:t>
            </w:r>
          </w:p>
        </w:tc>
      </w:tr>
      <w:tr w:rsidR="004F6B33" w:rsidRPr="00107CB2" w:rsidTr="00DB0C75">
        <w:trPr>
          <w:trHeight w:val="255"/>
        </w:trPr>
        <w:tc>
          <w:tcPr>
            <w:tcW w:w="2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ENSMUSG00000001864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639</w:t>
            </w:r>
            <w:r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.</w:t>
            </w: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009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-0</w:t>
            </w:r>
            <w:r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.</w:t>
            </w: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.</w:t>
            </w: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801</w:t>
            </w:r>
          </w:p>
        </w:tc>
        <w:tc>
          <w:tcPr>
            <w:tcW w:w="3512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allograft inflammatory factor 1-like (IBA-1)</w:t>
            </w:r>
          </w:p>
        </w:tc>
      </w:tr>
      <w:tr w:rsidR="004F6B33" w:rsidRPr="00107CB2" w:rsidTr="00DB0C75">
        <w:trPr>
          <w:trHeight w:val="255"/>
        </w:trPr>
        <w:tc>
          <w:tcPr>
            <w:tcW w:w="2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ENSMUSG00000039005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223</w:t>
            </w:r>
            <w:r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.</w:t>
            </w: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734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.</w:t>
            </w: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818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.</w:t>
            </w: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000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toll-like receptor 4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4F6B33" w:rsidRPr="00107CB2" w:rsidTr="00DB0C75">
        <w:trPr>
          <w:trHeight w:val="255"/>
        </w:trPr>
        <w:tc>
          <w:tcPr>
            <w:tcW w:w="2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ENSMUSG00000027995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65</w:t>
            </w:r>
            <w:r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.</w:t>
            </w: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175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.</w:t>
            </w: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887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.</w:t>
            </w: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000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toll-like receptor 2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4F6B33" w:rsidRPr="00107CB2" w:rsidTr="00DB0C75">
        <w:trPr>
          <w:trHeight w:val="255"/>
        </w:trPr>
        <w:tc>
          <w:tcPr>
            <w:tcW w:w="2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ENSMUSG00000021025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1149</w:t>
            </w:r>
            <w:r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.</w:t>
            </w: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159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.</w:t>
            </w: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532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.</w:t>
            </w: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000</w:t>
            </w:r>
          </w:p>
        </w:tc>
        <w:tc>
          <w:tcPr>
            <w:tcW w:w="3512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 xml:space="preserve">nuclear factor of kappa light polypeptide </w:t>
            </w:r>
          </w:p>
        </w:tc>
      </w:tr>
      <w:tr w:rsidR="004F6B33" w:rsidRPr="00107CB2" w:rsidTr="00DB0C75">
        <w:trPr>
          <w:trHeight w:val="255"/>
        </w:trPr>
        <w:tc>
          <w:tcPr>
            <w:tcW w:w="2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 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 </w:t>
            </w:r>
          </w:p>
        </w:tc>
        <w:tc>
          <w:tcPr>
            <w:tcW w:w="3512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gene enhancer in B cells inhibitor, alpha</w:t>
            </w:r>
          </w:p>
        </w:tc>
      </w:tr>
      <w:tr w:rsidR="004F6B33" w:rsidRPr="00107CB2" w:rsidTr="00DB0C75">
        <w:trPr>
          <w:trHeight w:val="255"/>
        </w:trPr>
        <w:tc>
          <w:tcPr>
            <w:tcW w:w="2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ENSMUSG00000030595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2559</w:t>
            </w:r>
            <w:r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.</w:t>
            </w: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305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.</w:t>
            </w: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885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.</w:t>
            </w: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000</w:t>
            </w:r>
          </w:p>
        </w:tc>
        <w:tc>
          <w:tcPr>
            <w:tcW w:w="3512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nuclear factor of kappa light polypeptide</w:t>
            </w:r>
          </w:p>
        </w:tc>
      </w:tr>
      <w:tr w:rsidR="004F6B33" w:rsidRPr="00107CB2" w:rsidTr="00DB0C75">
        <w:trPr>
          <w:trHeight w:val="255"/>
        </w:trPr>
        <w:tc>
          <w:tcPr>
            <w:tcW w:w="2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 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 </w:t>
            </w:r>
          </w:p>
        </w:tc>
        <w:tc>
          <w:tcPr>
            <w:tcW w:w="3512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 xml:space="preserve"> gene enhancer in B cells inhibitor, beta</w:t>
            </w:r>
          </w:p>
        </w:tc>
      </w:tr>
      <w:tr w:rsidR="004F6B33" w:rsidRPr="00107CB2" w:rsidTr="00DB0C75">
        <w:trPr>
          <w:trHeight w:val="255"/>
        </w:trPr>
        <w:tc>
          <w:tcPr>
            <w:tcW w:w="2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ENSMUSG00000032041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72</w:t>
            </w:r>
            <w:r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.</w:t>
            </w: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393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.</w:t>
            </w: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408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.</w:t>
            </w: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000</w:t>
            </w: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toll-interleukin 1 receptor (TIR)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4F6B33" w:rsidRPr="00107CB2" w:rsidTr="00DB0C75">
        <w:trPr>
          <w:trHeight w:val="255"/>
        </w:trPr>
        <w:tc>
          <w:tcPr>
            <w:tcW w:w="2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 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 </w:t>
            </w: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 xml:space="preserve"> domain-containing adaptor protein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4F6B33" w:rsidRPr="00107CB2" w:rsidTr="00DB0C75">
        <w:trPr>
          <w:trHeight w:val="255"/>
        </w:trPr>
        <w:tc>
          <w:tcPr>
            <w:tcW w:w="2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ENSMUSG00000026656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1528</w:t>
            </w:r>
            <w:r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.</w:t>
            </w: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858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.</w:t>
            </w: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746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.</w:t>
            </w: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000</w:t>
            </w: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 xml:space="preserve">Fc receptor, IgG, low affinity </w:t>
            </w:r>
            <w:proofErr w:type="spellStart"/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IIb</w:t>
            </w:r>
            <w:proofErr w:type="spellEnd"/>
          </w:p>
        </w:tc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4F6B33" w:rsidRPr="00107CB2" w:rsidTr="00DB0C75">
        <w:trPr>
          <w:trHeight w:val="255"/>
        </w:trPr>
        <w:tc>
          <w:tcPr>
            <w:tcW w:w="2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ENSMUSG00000021484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2100</w:t>
            </w:r>
            <w:r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.</w:t>
            </w: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243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.</w:t>
            </w: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743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.</w:t>
            </w: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000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lectin, mannose-binding 2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4F6B33" w:rsidRPr="00107CB2" w:rsidTr="00DB0C75">
        <w:trPr>
          <w:trHeight w:val="255"/>
        </w:trPr>
        <w:tc>
          <w:tcPr>
            <w:tcW w:w="2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ENSMUSG00000005981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8492</w:t>
            </w:r>
            <w:r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.</w:t>
            </w: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069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.</w:t>
            </w: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796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.</w:t>
            </w: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000</w:t>
            </w: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TNF receptor-associated protein 1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4F6B33" w:rsidRPr="00107CB2" w:rsidTr="00DB0C75">
        <w:trPr>
          <w:trHeight w:val="255"/>
        </w:trPr>
        <w:tc>
          <w:tcPr>
            <w:tcW w:w="2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ENSMUSG00000017615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3506</w:t>
            </w:r>
            <w:r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.</w:t>
            </w: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616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.</w:t>
            </w: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990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.</w:t>
            </w: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000</w:t>
            </w:r>
          </w:p>
        </w:tc>
        <w:tc>
          <w:tcPr>
            <w:tcW w:w="3512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proofErr w:type="spellStart"/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tumor</w:t>
            </w:r>
            <w:proofErr w:type="spellEnd"/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 xml:space="preserve"> necrosis factor, alpha-induced </w:t>
            </w:r>
          </w:p>
        </w:tc>
      </w:tr>
      <w:tr w:rsidR="004F6B33" w:rsidRPr="00107CB2" w:rsidTr="00DB0C75">
        <w:trPr>
          <w:trHeight w:val="255"/>
        </w:trPr>
        <w:tc>
          <w:tcPr>
            <w:tcW w:w="2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 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 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protein 1 (endothelial)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4F6B33" w:rsidRPr="00107CB2" w:rsidTr="00DB0C75">
        <w:trPr>
          <w:trHeight w:val="255"/>
        </w:trPr>
        <w:tc>
          <w:tcPr>
            <w:tcW w:w="2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ENSMUSG00000032089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264</w:t>
            </w:r>
            <w:r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.</w:t>
            </w: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919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.</w:t>
            </w: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454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.</w:t>
            </w: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000</w:t>
            </w: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interleukin 10 receptor, alpha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4F6B33" w:rsidRPr="00107CB2" w:rsidTr="00DB0C75">
        <w:trPr>
          <w:trHeight w:val="255"/>
        </w:trPr>
        <w:tc>
          <w:tcPr>
            <w:tcW w:w="232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ENSMUSG00000037523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592</w:t>
            </w:r>
            <w:r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.</w:t>
            </w: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094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.</w:t>
            </w: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993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.</w:t>
            </w: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000</w:t>
            </w:r>
          </w:p>
        </w:tc>
        <w:tc>
          <w:tcPr>
            <w:tcW w:w="3512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 xml:space="preserve">mitochondrial antiviral </w:t>
            </w:r>
            <w:proofErr w:type="spellStart"/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signaling</w:t>
            </w:r>
            <w:proofErr w:type="spellEnd"/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 xml:space="preserve"> protein</w:t>
            </w:r>
          </w:p>
        </w:tc>
      </w:tr>
      <w:tr w:rsidR="004F6B33" w:rsidRPr="00107CB2" w:rsidTr="00DB0C75">
        <w:trPr>
          <w:trHeight w:val="255"/>
        </w:trPr>
        <w:tc>
          <w:tcPr>
            <w:tcW w:w="232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ENSMUSG00000038058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340</w:t>
            </w:r>
            <w:r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.</w:t>
            </w: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997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.</w:t>
            </w: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223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.</w:t>
            </w: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000</w:t>
            </w: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nucleotide-binding oligomerization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4F6B33" w:rsidRPr="00107CB2" w:rsidTr="00DB0C75">
        <w:trPr>
          <w:trHeight w:val="255"/>
        </w:trPr>
        <w:tc>
          <w:tcPr>
            <w:tcW w:w="2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 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> 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GB"/>
              </w:rPr>
              <w:t xml:space="preserve"> domain containing 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B33" w:rsidRPr="00107CB2" w:rsidRDefault="004F6B33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107CB2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</w:tbl>
    <w:p w:rsidR="004F6B33" w:rsidRDefault="004F6B33" w:rsidP="004F6B33">
      <w:pPr>
        <w:rPr>
          <w:rFonts w:ascii="Arial" w:hAnsi="Arial" w:cs="Arial"/>
          <w:b/>
        </w:rPr>
      </w:pPr>
    </w:p>
    <w:p w:rsidR="007C77BB" w:rsidRPr="004F6B33" w:rsidRDefault="007C77BB" w:rsidP="004F6B33"/>
    <w:sectPr w:rsidR="007C77BB" w:rsidRPr="004F6B33" w:rsidSect="00E72D2B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4736" w:rsidRDefault="00184736" w:rsidP="00F62D5F">
      <w:pPr>
        <w:spacing w:after="0" w:line="240" w:lineRule="auto"/>
      </w:pPr>
      <w:r>
        <w:separator/>
      </w:r>
    </w:p>
  </w:endnote>
  <w:endnote w:type="continuationSeparator" w:id="0">
    <w:p w:rsidR="00184736" w:rsidRDefault="00184736" w:rsidP="00F62D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4736" w:rsidRDefault="00184736" w:rsidP="00F62D5F">
      <w:pPr>
        <w:spacing w:after="0" w:line="240" w:lineRule="auto"/>
      </w:pPr>
      <w:r>
        <w:separator/>
      </w:r>
    </w:p>
  </w:footnote>
  <w:footnote w:type="continuationSeparator" w:id="0">
    <w:p w:rsidR="00184736" w:rsidRDefault="00184736" w:rsidP="00F62D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0023" w:rsidRDefault="00184736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D5F"/>
    <w:rsid w:val="00184736"/>
    <w:rsid w:val="004F6B33"/>
    <w:rsid w:val="007C77BB"/>
    <w:rsid w:val="00BA614B"/>
    <w:rsid w:val="00DB0C75"/>
    <w:rsid w:val="00F62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4F6B33"/>
    <w:rPr>
      <w:lang w:val="en-GB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62D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62D5F"/>
    <w:rPr>
      <w:lang w:val="en-GB"/>
    </w:rPr>
  </w:style>
  <w:style w:type="paragraph" w:styleId="Fuzeile">
    <w:name w:val="footer"/>
    <w:basedOn w:val="Standard"/>
    <w:link w:val="FuzeileZchn"/>
    <w:uiPriority w:val="99"/>
    <w:unhideWhenUsed/>
    <w:rsid w:val="00F62D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62D5F"/>
    <w:rPr>
      <w:lang w:val="en-GB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62D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62D5F"/>
    <w:rPr>
      <w:rFonts w:ascii="Tahoma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4F6B33"/>
    <w:rPr>
      <w:lang w:val="en-GB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62D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62D5F"/>
    <w:rPr>
      <w:lang w:val="en-GB"/>
    </w:rPr>
  </w:style>
  <w:style w:type="paragraph" w:styleId="Fuzeile">
    <w:name w:val="footer"/>
    <w:basedOn w:val="Standard"/>
    <w:link w:val="FuzeileZchn"/>
    <w:uiPriority w:val="99"/>
    <w:unhideWhenUsed/>
    <w:rsid w:val="00F62D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62D5F"/>
    <w:rPr>
      <w:lang w:val="en-GB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62D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62D5F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459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</dc:creator>
  <cp:lastModifiedBy>Carolin Piotrowski</cp:lastModifiedBy>
  <cp:revision>2</cp:revision>
  <dcterms:created xsi:type="dcterms:W3CDTF">2017-06-13T17:50:00Z</dcterms:created>
  <dcterms:modified xsi:type="dcterms:W3CDTF">2017-06-13T17:50:00Z</dcterms:modified>
</cp:coreProperties>
</file>