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50E" w:rsidRPr="00742D54" w:rsidRDefault="008D62CC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Supplemental Table</w:t>
      </w:r>
      <w:r w:rsidR="00742D5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(S1)</w:t>
      </w:r>
      <w:r w:rsidR="00742D54" w:rsidRPr="002D7384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</w:p>
    <w:p w:rsidR="00742D54" w:rsidRDefault="00742D5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4"/>
        <w:gridCol w:w="1084"/>
        <w:gridCol w:w="7308"/>
      </w:tblGrid>
      <w:tr w:rsidR="00742D54" w:rsidTr="00742D54"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42D54" w:rsidRDefault="00742D54">
            <w:pPr>
              <w:spacing w:after="20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Patient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42D54" w:rsidRDefault="00742D54">
            <w:pPr>
              <w:spacing w:after="20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Gender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42D54" w:rsidRDefault="00742D54">
            <w:pPr>
              <w:spacing w:after="20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Follow up detail clinical examination</w:t>
            </w:r>
          </w:p>
        </w:tc>
      </w:tr>
      <w:tr w:rsidR="00742D54" w:rsidTr="00742D54"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2D54" w:rsidRDefault="00742D54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II-3</w:t>
            </w:r>
          </w:p>
          <w:p w:rsidR="00742D54" w:rsidRDefault="00742D54">
            <w:pPr>
              <w:spacing w:after="200" w:line="48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42D54" w:rsidRDefault="00742D54">
            <w:pPr>
              <w:spacing w:after="200" w:line="48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  <w:shd w:val="clear" w:color="auto" w:fill="FFFF00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Male</w:t>
            </w:r>
          </w:p>
        </w:tc>
        <w:tc>
          <w:tcPr>
            <w:tcW w:w="7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42D54" w:rsidRDefault="00742D54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37 years old, weight 84 kg, height 172 cm, kyphosis, barrel chest, short trunk, long fingers, broadened fingertips, normal intelligence, complete blindness (</w:t>
            </w:r>
            <w:r w:rsidR="007316A9" w:rsidRPr="00731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retinal detachment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progressive ocular phthisis). He had fractures of femur (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2x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).</w:t>
            </w:r>
          </w:p>
        </w:tc>
      </w:tr>
      <w:tr w:rsidR="00742D54" w:rsidTr="00742D54"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42D54" w:rsidRDefault="00742D54">
            <w:pPr>
              <w:spacing w:after="200" w:line="48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  <w:shd w:val="clear" w:color="auto" w:fill="FFFF00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II-4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42D54" w:rsidRDefault="00742D54">
            <w:pPr>
              <w:spacing w:after="200" w:line="48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  <w:shd w:val="clear" w:color="auto" w:fill="FFFF00"/>
              </w:rPr>
            </w:pPr>
            <w:r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</w:rPr>
              <w:t>Male</w:t>
            </w:r>
          </w:p>
        </w:tc>
        <w:tc>
          <w:tcPr>
            <w:tcW w:w="7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42D54" w:rsidRDefault="00742D54">
            <w:pPr>
              <w:suppressAutoHyphens w:val="0"/>
              <w:spacing w:after="200"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34 years old, weight </w:t>
            </w:r>
            <w:smartTag w:uri="urn:schemas-microsoft-com:office:smarttags" w:element="metricconverter">
              <w:smartTagPr>
                <w:attr w:name="ProductID" w:val="83 kg"/>
              </w:smartTagPr>
              <w:r>
                <w:rPr>
                  <w:rFonts w:ascii="Times New Roman" w:eastAsiaTheme="minorHAnsi" w:hAnsi="Times New Roman" w:cs="Times New Roman"/>
                  <w:color w:val="auto"/>
                  <w:sz w:val="24"/>
                  <w:szCs w:val="24"/>
                </w:rPr>
                <w:t>83 kg</w:t>
              </w:r>
            </w:smartTag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, height </w:t>
            </w:r>
            <w:smartTag w:uri="urn:schemas-microsoft-com:office:smarttags" w:element="metricconverter">
              <w:smartTagPr>
                <w:attr w:name="ProductID" w:val="185 cm"/>
              </w:smartTagPr>
              <w:r>
                <w:rPr>
                  <w:rFonts w:ascii="Times New Roman" w:eastAsiaTheme="minorHAnsi" w:hAnsi="Times New Roman" w:cs="Times New Roman"/>
                  <w:color w:val="auto"/>
                  <w:sz w:val="24"/>
                  <w:szCs w:val="24"/>
                </w:rPr>
                <w:t>185 cm</w:t>
              </w:r>
            </w:smartTag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, no kyphosis, barrel chest, short trunk, long fingers with broadened fingertips, normal intelligence, complete blindness (</w:t>
            </w:r>
            <w:r w:rsidR="007316A9" w:rsidRPr="007316A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retinal detachment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, progressive ocular phthisis). He had fractures of </w:t>
            </w: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humerus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and femur (</w:t>
            </w:r>
            <w:proofErr w:type="gramStart"/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2x</w:t>
            </w:r>
            <w:proofErr w:type="gramEnd"/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).</w:t>
            </w:r>
          </w:p>
        </w:tc>
      </w:tr>
      <w:tr w:rsidR="00742D54" w:rsidTr="00742D54"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42D54" w:rsidRDefault="00742D54">
            <w:pPr>
              <w:spacing w:after="200" w:line="48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II-5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42D54" w:rsidRDefault="00742D54">
            <w:pPr>
              <w:spacing w:after="200" w:line="48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Female</w:t>
            </w:r>
          </w:p>
        </w:tc>
        <w:tc>
          <w:tcPr>
            <w:tcW w:w="7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42D54" w:rsidRDefault="00742D54">
            <w:pPr>
              <w:suppressAutoHyphens w:val="0"/>
              <w:spacing w:after="20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 years old, weight 59 kg, height: 155 cm, kyphosis, short trunk, barrel chest, long fingers, broadened fingertips, systolic heart murmur (mitral valve prolapse), normal intelligence, complete blindness (</w:t>
            </w:r>
            <w:r w:rsidR="007316A9" w:rsidRPr="00731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retinal detachment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progressive ocular phthisis). She had fractures of femur (3x), continuous vertebral pain.</w:t>
            </w:r>
          </w:p>
        </w:tc>
      </w:tr>
      <w:tr w:rsidR="00742D54" w:rsidTr="00742D54"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42D54" w:rsidRDefault="00742D54">
            <w:pPr>
              <w:spacing w:after="200" w:line="48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II-6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42D54" w:rsidRDefault="00742D54">
            <w:pPr>
              <w:spacing w:after="200" w:line="48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Male</w:t>
            </w:r>
          </w:p>
        </w:tc>
        <w:tc>
          <w:tcPr>
            <w:tcW w:w="7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42D54" w:rsidRDefault="00742D54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Patient (29 years </w:t>
            </w:r>
            <w:r w:rsidR="00731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old, weight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96 kg, height 172 cm, kyphosis, short trunk, barrel chest, long fingers, broadened fingertips, heart murmur (small VSD), normal intelligence, complete blindness (</w:t>
            </w:r>
            <w:r w:rsidR="007316A9" w:rsidRPr="00731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retinal detachment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progressive ocular phthisis). He had fractures of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humerus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hip and femur.</w:t>
            </w:r>
          </w:p>
        </w:tc>
      </w:tr>
      <w:tr w:rsidR="00742D54" w:rsidTr="00742D54"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42D54" w:rsidRDefault="00742D54">
            <w:pPr>
              <w:spacing w:after="200" w:line="48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II-7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42D54" w:rsidRDefault="00742D54">
            <w:pPr>
              <w:spacing w:after="200" w:line="48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Male</w:t>
            </w:r>
          </w:p>
        </w:tc>
        <w:tc>
          <w:tcPr>
            <w:tcW w:w="73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42D54" w:rsidRDefault="00742D54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 years old, weight: 76 kg, height 157 cm, kyphosis, short trunk, barrel chest, long fingers, broadened fingertips, normal intelligence, complete blindness (</w:t>
            </w:r>
            <w:r w:rsidR="007316A9" w:rsidRPr="007316A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retinal detachment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progressive ocular phthisis). He had fractures of both femora, continuous vertebral pain.</w:t>
            </w:r>
          </w:p>
        </w:tc>
      </w:tr>
    </w:tbl>
    <w:p w:rsidR="008D62CC" w:rsidRDefault="008D62CC"/>
    <w:p w:rsidR="008D62CC" w:rsidRDefault="008D62CC">
      <w:pPr>
        <w:suppressAutoHyphens w:val="0"/>
      </w:pPr>
      <w:r>
        <w:br w:type="page"/>
      </w:r>
    </w:p>
    <w:p w:rsidR="008D62CC" w:rsidRPr="00905C0D" w:rsidRDefault="008D62CC" w:rsidP="008D62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Supplementary Table 2 (S2</w:t>
      </w:r>
      <w:r w:rsidRPr="00905C0D">
        <w:rPr>
          <w:rFonts w:ascii="Times New Roman" w:hAnsi="Times New Roman" w:cs="Times New Roman"/>
          <w:b/>
          <w:sz w:val="24"/>
          <w:szCs w:val="24"/>
        </w:rPr>
        <w:t>):</w:t>
      </w:r>
      <w:r w:rsidRPr="00905C0D">
        <w:rPr>
          <w:rFonts w:ascii="Times New Roman" w:hAnsi="Times New Roman" w:cs="Times New Roman"/>
          <w:sz w:val="24"/>
          <w:szCs w:val="24"/>
        </w:rPr>
        <w:t xml:space="preserve">  Filtering steps followed to search for the candidate disease causing variant</w:t>
      </w:r>
      <w:r>
        <w:rPr>
          <w:rFonts w:ascii="Times New Roman" w:hAnsi="Times New Roman" w:cs="Times New Roman"/>
          <w:sz w:val="24"/>
          <w:szCs w:val="24"/>
        </w:rPr>
        <w:t xml:space="preserve"> in both families A and B</w:t>
      </w:r>
      <w:r w:rsidRPr="00905C0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5508"/>
        <w:gridCol w:w="2430"/>
        <w:gridCol w:w="1890"/>
      </w:tblGrid>
      <w:tr w:rsidR="008D62CC" w:rsidRPr="00905C0D" w:rsidTr="007E0082">
        <w:tc>
          <w:tcPr>
            <w:tcW w:w="5508" w:type="dxa"/>
          </w:tcPr>
          <w:p w:rsidR="008D62CC" w:rsidRPr="00905C0D" w:rsidRDefault="008D62CC" w:rsidP="007E00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8D62CC" w:rsidRPr="00905C0D" w:rsidRDefault="008D62CC" w:rsidP="007E00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Family A (II-3)</w:t>
            </w:r>
          </w:p>
        </w:tc>
        <w:tc>
          <w:tcPr>
            <w:tcW w:w="1890" w:type="dxa"/>
          </w:tcPr>
          <w:p w:rsidR="008D62CC" w:rsidRPr="00905C0D" w:rsidRDefault="008D62CC" w:rsidP="007E00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Family B (II-2)</w:t>
            </w:r>
          </w:p>
        </w:tc>
      </w:tr>
      <w:tr w:rsidR="008D62CC" w:rsidRPr="00905C0D" w:rsidTr="007E0082">
        <w:tc>
          <w:tcPr>
            <w:tcW w:w="5508" w:type="dxa"/>
          </w:tcPr>
          <w:p w:rsidR="008D62CC" w:rsidRPr="00905C0D" w:rsidRDefault="008D62CC" w:rsidP="007E00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C0D">
              <w:rPr>
                <w:rFonts w:ascii="Times New Roman" w:hAnsi="Times New Roman" w:cs="Times New Roman"/>
                <w:b/>
                <w:sz w:val="24"/>
                <w:szCs w:val="24"/>
              </w:rPr>
              <w:t>Filtration methods</w:t>
            </w:r>
          </w:p>
        </w:tc>
        <w:tc>
          <w:tcPr>
            <w:tcW w:w="2430" w:type="dxa"/>
          </w:tcPr>
          <w:p w:rsidR="008D62CC" w:rsidRPr="00905C0D" w:rsidRDefault="008D62CC" w:rsidP="007E00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C0D">
              <w:rPr>
                <w:rFonts w:ascii="Times New Roman" w:hAnsi="Times New Roman" w:cs="Times New Roman"/>
                <w:b/>
                <w:sz w:val="24"/>
                <w:szCs w:val="24"/>
              </w:rPr>
              <w:t>Number of Variants detected</w:t>
            </w:r>
          </w:p>
        </w:tc>
        <w:tc>
          <w:tcPr>
            <w:tcW w:w="1890" w:type="dxa"/>
          </w:tcPr>
          <w:p w:rsidR="008D62CC" w:rsidRPr="00905C0D" w:rsidRDefault="008D62CC" w:rsidP="007E00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62CC" w:rsidRPr="00905C0D" w:rsidTr="007E0082">
        <w:tc>
          <w:tcPr>
            <w:tcW w:w="5508" w:type="dxa"/>
          </w:tcPr>
          <w:p w:rsidR="008D62CC" w:rsidRPr="00905C0D" w:rsidRDefault="008D62CC" w:rsidP="007E0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0D">
              <w:rPr>
                <w:rFonts w:ascii="Times New Roman" w:hAnsi="Times New Roman" w:cs="Times New Roman"/>
                <w:sz w:val="24"/>
                <w:szCs w:val="24"/>
              </w:rPr>
              <w:t>Total homozygous variants detected</w:t>
            </w:r>
          </w:p>
        </w:tc>
        <w:tc>
          <w:tcPr>
            <w:tcW w:w="2430" w:type="dxa"/>
          </w:tcPr>
          <w:p w:rsidR="008D62CC" w:rsidRPr="00905C0D" w:rsidRDefault="008D62CC" w:rsidP="007E0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0D">
              <w:rPr>
                <w:rFonts w:ascii="Times New Roman" w:hAnsi="Times New Roman" w:cs="Times New Roman"/>
                <w:sz w:val="24"/>
                <w:szCs w:val="24"/>
              </w:rPr>
              <w:t>29,273</w:t>
            </w:r>
          </w:p>
        </w:tc>
        <w:tc>
          <w:tcPr>
            <w:tcW w:w="1890" w:type="dxa"/>
          </w:tcPr>
          <w:p w:rsidR="008D62CC" w:rsidRPr="00905C0D" w:rsidRDefault="00506E19" w:rsidP="007E0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29448</w:t>
            </w:r>
          </w:p>
        </w:tc>
      </w:tr>
      <w:tr w:rsidR="008D62CC" w:rsidRPr="00905C0D" w:rsidTr="007E0082">
        <w:tc>
          <w:tcPr>
            <w:tcW w:w="5508" w:type="dxa"/>
          </w:tcPr>
          <w:p w:rsidR="008D62CC" w:rsidRPr="00905C0D" w:rsidRDefault="008D62CC" w:rsidP="007E0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compound heterozygous</w:t>
            </w:r>
            <w:r w:rsidRPr="00905C0D">
              <w:rPr>
                <w:rFonts w:ascii="Times New Roman" w:hAnsi="Times New Roman" w:cs="Times New Roman"/>
                <w:sz w:val="24"/>
                <w:szCs w:val="24"/>
              </w:rPr>
              <w:t xml:space="preserve"> variants detected</w:t>
            </w:r>
          </w:p>
        </w:tc>
        <w:tc>
          <w:tcPr>
            <w:tcW w:w="2430" w:type="dxa"/>
          </w:tcPr>
          <w:p w:rsidR="008D62CC" w:rsidRPr="00905C0D" w:rsidRDefault="008D62CC" w:rsidP="007E0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11,368</w:t>
            </w:r>
          </w:p>
        </w:tc>
        <w:tc>
          <w:tcPr>
            <w:tcW w:w="1890" w:type="dxa"/>
          </w:tcPr>
          <w:p w:rsidR="008D62CC" w:rsidRPr="00905C0D" w:rsidRDefault="00506E19" w:rsidP="007E0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11543</w:t>
            </w:r>
          </w:p>
        </w:tc>
      </w:tr>
      <w:tr w:rsidR="008D62CC" w:rsidRPr="00905C0D" w:rsidTr="007E0082">
        <w:tc>
          <w:tcPr>
            <w:tcW w:w="5508" w:type="dxa"/>
          </w:tcPr>
          <w:p w:rsidR="008D62CC" w:rsidRPr="00905C0D" w:rsidRDefault="008D62CC" w:rsidP="007E0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0D">
              <w:rPr>
                <w:rFonts w:ascii="Times New Roman" w:hAnsi="Times New Roman" w:cs="Times New Roman"/>
                <w:sz w:val="24"/>
                <w:szCs w:val="24"/>
              </w:rPr>
              <w:t xml:space="preserve">Total variants after </w:t>
            </w:r>
            <w:proofErr w:type="spellStart"/>
            <w:r w:rsidRPr="00905C0D">
              <w:rPr>
                <w:rFonts w:ascii="Times New Roman" w:hAnsi="Times New Roman" w:cs="Times New Roman"/>
                <w:sz w:val="24"/>
                <w:szCs w:val="24"/>
              </w:rPr>
              <w:t>dbsnp</w:t>
            </w:r>
            <w:proofErr w:type="spellEnd"/>
            <w:r w:rsidRPr="00905C0D">
              <w:rPr>
                <w:rFonts w:ascii="Times New Roman" w:hAnsi="Times New Roman" w:cs="Times New Roman"/>
                <w:sz w:val="24"/>
                <w:szCs w:val="24"/>
              </w:rPr>
              <w:t xml:space="preserve"> exclusion</w:t>
            </w:r>
          </w:p>
        </w:tc>
        <w:tc>
          <w:tcPr>
            <w:tcW w:w="2430" w:type="dxa"/>
          </w:tcPr>
          <w:p w:rsidR="008D62CC" w:rsidRPr="00905C0D" w:rsidRDefault="008D62CC" w:rsidP="007E0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0D">
              <w:rPr>
                <w:rFonts w:ascii="Times New Roman" w:hAnsi="Times New Roman" w:cs="Times New Roman"/>
                <w:sz w:val="24"/>
                <w:szCs w:val="24"/>
              </w:rPr>
              <w:t>2,776</w:t>
            </w:r>
          </w:p>
        </w:tc>
        <w:tc>
          <w:tcPr>
            <w:tcW w:w="1890" w:type="dxa"/>
          </w:tcPr>
          <w:p w:rsidR="008D62CC" w:rsidRPr="00905C0D" w:rsidRDefault="00506E19" w:rsidP="007E0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2951</w:t>
            </w:r>
          </w:p>
        </w:tc>
      </w:tr>
      <w:tr w:rsidR="008D62CC" w:rsidRPr="00905C0D" w:rsidTr="007E0082">
        <w:tc>
          <w:tcPr>
            <w:tcW w:w="5508" w:type="dxa"/>
          </w:tcPr>
          <w:p w:rsidR="008D62CC" w:rsidRPr="00905C0D" w:rsidRDefault="008D62CC" w:rsidP="007E0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0D">
              <w:rPr>
                <w:rFonts w:ascii="Times New Roman" w:hAnsi="Times New Roman" w:cs="Times New Roman"/>
                <w:sz w:val="24"/>
                <w:szCs w:val="24"/>
              </w:rPr>
              <w:t xml:space="preserve">Total homozygous </w:t>
            </w:r>
            <w:proofErr w:type="spellStart"/>
            <w:r w:rsidRPr="00905C0D">
              <w:rPr>
                <w:rFonts w:ascii="Times New Roman" w:hAnsi="Times New Roman" w:cs="Times New Roman"/>
                <w:sz w:val="24"/>
                <w:szCs w:val="24"/>
              </w:rPr>
              <w:t>frameshift</w:t>
            </w:r>
            <w:proofErr w:type="spellEnd"/>
            <w:r w:rsidRPr="00905C0D">
              <w:rPr>
                <w:rFonts w:ascii="Times New Roman" w:hAnsi="Times New Roman" w:cs="Times New Roman"/>
                <w:sz w:val="24"/>
                <w:szCs w:val="24"/>
              </w:rPr>
              <w:t xml:space="preserve"> variants detected</w:t>
            </w:r>
          </w:p>
        </w:tc>
        <w:tc>
          <w:tcPr>
            <w:tcW w:w="2430" w:type="dxa"/>
          </w:tcPr>
          <w:p w:rsidR="008D62CC" w:rsidRPr="00905C0D" w:rsidRDefault="008D62CC" w:rsidP="007E0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0D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890" w:type="dxa"/>
          </w:tcPr>
          <w:p w:rsidR="008D62CC" w:rsidRPr="00905C0D" w:rsidRDefault="00506E19" w:rsidP="007E0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8D62CC" w:rsidRPr="00905C0D" w:rsidTr="007E0082">
        <w:tc>
          <w:tcPr>
            <w:tcW w:w="5508" w:type="dxa"/>
          </w:tcPr>
          <w:p w:rsidR="008D62CC" w:rsidRPr="00905C0D" w:rsidRDefault="008D62CC" w:rsidP="007E0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0D">
              <w:rPr>
                <w:rFonts w:ascii="Times New Roman" w:hAnsi="Times New Roman" w:cs="Times New Roman"/>
                <w:sz w:val="24"/>
                <w:szCs w:val="24"/>
              </w:rPr>
              <w:t xml:space="preserve">Total homozygous </w:t>
            </w:r>
            <w:proofErr w:type="spellStart"/>
            <w:r w:rsidRPr="00905C0D">
              <w:rPr>
                <w:rFonts w:ascii="Times New Roman" w:hAnsi="Times New Roman" w:cs="Times New Roman"/>
                <w:sz w:val="24"/>
                <w:szCs w:val="24"/>
              </w:rPr>
              <w:t>indels</w:t>
            </w:r>
            <w:proofErr w:type="spellEnd"/>
            <w:r w:rsidRPr="00905C0D">
              <w:rPr>
                <w:rFonts w:ascii="Times New Roman" w:hAnsi="Times New Roman" w:cs="Times New Roman"/>
                <w:sz w:val="24"/>
                <w:szCs w:val="24"/>
              </w:rPr>
              <w:t xml:space="preserve"> detected</w:t>
            </w:r>
          </w:p>
        </w:tc>
        <w:tc>
          <w:tcPr>
            <w:tcW w:w="2430" w:type="dxa"/>
          </w:tcPr>
          <w:p w:rsidR="008D62CC" w:rsidRPr="00905C0D" w:rsidRDefault="008D62CC" w:rsidP="007E0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0D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890" w:type="dxa"/>
          </w:tcPr>
          <w:p w:rsidR="008D62CC" w:rsidRPr="00905C0D" w:rsidRDefault="00506E19" w:rsidP="007E0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8D62CC" w:rsidRPr="00905C0D" w:rsidTr="007E0082">
        <w:tc>
          <w:tcPr>
            <w:tcW w:w="5508" w:type="dxa"/>
          </w:tcPr>
          <w:p w:rsidR="008D62CC" w:rsidRPr="00905C0D" w:rsidRDefault="008D62CC" w:rsidP="007E0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0D">
              <w:rPr>
                <w:rFonts w:ascii="Times New Roman" w:hAnsi="Times New Roman" w:cs="Times New Roman"/>
                <w:sz w:val="24"/>
                <w:szCs w:val="24"/>
              </w:rPr>
              <w:t>Total homozygous missense variants detected</w:t>
            </w:r>
          </w:p>
        </w:tc>
        <w:tc>
          <w:tcPr>
            <w:tcW w:w="2430" w:type="dxa"/>
          </w:tcPr>
          <w:p w:rsidR="008D62CC" w:rsidRPr="00905C0D" w:rsidRDefault="008D62CC" w:rsidP="007E0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0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90" w:type="dxa"/>
          </w:tcPr>
          <w:p w:rsidR="008D62CC" w:rsidRPr="00905C0D" w:rsidRDefault="00506E19" w:rsidP="007E0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8D62CC" w:rsidRPr="00905C0D" w:rsidTr="007E0082">
        <w:tc>
          <w:tcPr>
            <w:tcW w:w="5508" w:type="dxa"/>
          </w:tcPr>
          <w:p w:rsidR="008D62CC" w:rsidRPr="00905C0D" w:rsidRDefault="008D62CC" w:rsidP="007E0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0D">
              <w:rPr>
                <w:rFonts w:ascii="Times New Roman" w:hAnsi="Times New Roman" w:cs="Times New Roman"/>
                <w:sz w:val="24"/>
                <w:szCs w:val="24"/>
              </w:rPr>
              <w:t>Total homozygous nonsense variants detected</w:t>
            </w:r>
          </w:p>
        </w:tc>
        <w:tc>
          <w:tcPr>
            <w:tcW w:w="2430" w:type="dxa"/>
          </w:tcPr>
          <w:p w:rsidR="008D62CC" w:rsidRPr="00905C0D" w:rsidRDefault="00506E19" w:rsidP="007E0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D62CC" w:rsidRPr="00905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8D62CC" w:rsidRPr="00905C0D" w:rsidRDefault="00506E19" w:rsidP="007E0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8D62CC" w:rsidRPr="00905C0D" w:rsidTr="007E0082">
        <w:tc>
          <w:tcPr>
            <w:tcW w:w="5508" w:type="dxa"/>
          </w:tcPr>
          <w:p w:rsidR="008D62CC" w:rsidRPr="00905C0D" w:rsidRDefault="008D62CC" w:rsidP="007E0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0D">
              <w:rPr>
                <w:rFonts w:ascii="Times New Roman" w:hAnsi="Times New Roman" w:cs="Times New Roman"/>
                <w:sz w:val="24"/>
                <w:szCs w:val="24"/>
              </w:rPr>
              <w:t>Total homozygous splice site variants detected</w:t>
            </w:r>
          </w:p>
        </w:tc>
        <w:tc>
          <w:tcPr>
            <w:tcW w:w="2430" w:type="dxa"/>
          </w:tcPr>
          <w:p w:rsidR="008D62CC" w:rsidRPr="00905C0D" w:rsidRDefault="008D62CC" w:rsidP="007E0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0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90" w:type="dxa"/>
          </w:tcPr>
          <w:p w:rsidR="008D62CC" w:rsidRPr="00905C0D" w:rsidRDefault="00506E19" w:rsidP="007E0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D62CC" w:rsidRPr="00905C0D" w:rsidTr="007E0082">
        <w:tc>
          <w:tcPr>
            <w:tcW w:w="5508" w:type="dxa"/>
          </w:tcPr>
          <w:p w:rsidR="008D62CC" w:rsidRPr="00905C0D" w:rsidRDefault="008D62CC" w:rsidP="007E0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0D">
              <w:rPr>
                <w:rFonts w:ascii="Times New Roman" w:hAnsi="Times New Roman" w:cs="Times New Roman"/>
                <w:sz w:val="24"/>
                <w:szCs w:val="24"/>
              </w:rPr>
              <w:t>Total homozygous near splice site variants detected</w:t>
            </w:r>
          </w:p>
        </w:tc>
        <w:tc>
          <w:tcPr>
            <w:tcW w:w="2430" w:type="dxa"/>
          </w:tcPr>
          <w:p w:rsidR="008D62CC" w:rsidRPr="00905C0D" w:rsidRDefault="008D62CC" w:rsidP="007E0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0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90" w:type="dxa"/>
          </w:tcPr>
          <w:p w:rsidR="008D62CC" w:rsidRPr="00905C0D" w:rsidRDefault="00506E19" w:rsidP="007E0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8D62CC" w:rsidRPr="00905C0D" w:rsidTr="007E0082">
        <w:tc>
          <w:tcPr>
            <w:tcW w:w="5508" w:type="dxa"/>
          </w:tcPr>
          <w:p w:rsidR="008D62CC" w:rsidRPr="00905C0D" w:rsidRDefault="008D62CC" w:rsidP="007E0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0D">
              <w:rPr>
                <w:rFonts w:ascii="Times New Roman" w:hAnsi="Times New Roman" w:cs="Times New Roman"/>
                <w:sz w:val="24"/>
                <w:szCs w:val="24"/>
              </w:rPr>
              <w:t>Total homozygous synonymous variants detected</w:t>
            </w:r>
          </w:p>
        </w:tc>
        <w:tc>
          <w:tcPr>
            <w:tcW w:w="2430" w:type="dxa"/>
          </w:tcPr>
          <w:p w:rsidR="008D62CC" w:rsidRPr="00905C0D" w:rsidRDefault="008D62CC" w:rsidP="007E0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0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90" w:type="dxa"/>
          </w:tcPr>
          <w:p w:rsidR="008D62CC" w:rsidRPr="00905C0D" w:rsidRDefault="00506E19" w:rsidP="007E0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8D62CC" w:rsidRPr="00905C0D" w:rsidTr="007E0082">
        <w:tc>
          <w:tcPr>
            <w:tcW w:w="5508" w:type="dxa"/>
          </w:tcPr>
          <w:p w:rsidR="008D62CC" w:rsidRPr="00905C0D" w:rsidRDefault="008D62CC" w:rsidP="007E0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0D">
              <w:rPr>
                <w:rFonts w:ascii="Times New Roman" w:hAnsi="Times New Roman" w:cs="Times New Roman"/>
                <w:sz w:val="24"/>
                <w:szCs w:val="24"/>
              </w:rPr>
              <w:t>Total homozygous unknown variants detected</w:t>
            </w:r>
          </w:p>
        </w:tc>
        <w:tc>
          <w:tcPr>
            <w:tcW w:w="2430" w:type="dxa"/>
          </w:tcPr>
          <w:p w:rsidR="008D62CC" w:rsidRPr="00905C0D" w:rsidRDefault="008D62CC" w:rsidP="007E0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0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90" w:type="dxa"/>
          </w:tcPr>
          <w:p w:rsidR="008D62CC" w:rsidRPr="00905C0D" w:rsidRDefault="00506E19" w:rsidP="007E0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8D62CC" w:rsidRPr="00905C0D" w:rsidTr="007E0082">
        <w:tc>
          <w:tcPr>
            <w:tcW w:w="5508" w:type="dxa"/>
          </w:tcPr>
          <w:p w:rsidR="008D62CC" w:rsidRPr="00905C0D" w:rsidRDefault="008D62CC" w:rsidP="007E0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0D">
              <w:rPr>
                <w:rFonts w:ascii="Times New Roman" w:hAnsi="Times New Roman" w:cs="Times New Roman"/>
                <w:sz w:val="24"/>
                <w:szCs w:val="24"/>
              </w:rPr>
              <w:t>Total homozygous 3’ and 5’ UTR variants detected</w:t>
            </w:r>
          </w:p>
        </w:tc>
        <w:tc>
          <w:tcPr>
            <w:tcW w:w="2430" w:type="dxa"/>
          </w:tcPr>
          <w:p w:rsidR="008D62CC" w:rsidRPr="00905C0D" w:rsidRDefault="008D62CC" w:rsidP="007E0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0D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890" w:type="dxa"/>
          </w:tcPr>
          <w:p w:rsidR="008D62CC" w:rsidRPr="00905C0D" w:rsidRDefault="00506E19" w:rsidP="007E0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</w:tr>
      <w:tr w:rsidR="008D62CC" w:rsidRPr="00905C0D" w:rsidTr="007E0082">
        <w:tc>
          <w:tcPr>
            <w:tcW w:w="5508" w:type="dxa"/>
          </w:tcPr>
          <w:p w:rsidR="008D62CC" w:rsidRPr="00905C0D" w:rsidRDefault="008D62CC" w:rsidP="007E0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0D">
              <w:rPr>
                <w:rFonts w:ascii="Times New Roman" w:hAnsi="Times New Roman" w:cs="Times New Roman"/>
                <w:sz w:val="24"/>
                <w:szCs w:val="24"/>
              </w:rPr>
              <w:t>Total homozygous variants identified after applying different filters (</w:t>
            </w:r>
            <w:r w:rsidRPr="00905C0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NHLBI-ESP; </w:t>
            </w:r>
            <w:r w:rsidRPr="00905C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1000 Genomes; </w:t>
            </w:r>
            <w:proofErr w:type="spellStart"/>
            <w:r w:rsidRPr="00905C0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ExAC</w:t>
            </w:r>
            <w:proofErr w:type="spellEnd"/>
            <w:r w:rsidRPr="00905C0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)</w:t>
            </w:r>
            <w:r w:rsidRPr="00905C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with MAF&gt;0.01</w:t>
            </w:r>
          </w:p>
        </w:tc>
        <w:tc>
          <w:tcPr>
            <w:tcW w:w="2430" w:type="dxa"/>
          </w:tcPr>
          <w:p w:rsidR="008D62CC" w:rsidRPr="00905C0D" w:rsidRDefault="008D62CC" w:rsidP="007E0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0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890" w:type="dxa"/>
          </w:tcPr>
          <w:p w:rsidR="008D62CC" w:rsidRPr="00905C0D" w:rsidRDefault="00506E19" w:rsidP="007E0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8D62CC" w:rsidRPr="00905C0D" w:rsidTr="007E0082">
        <w:tc>
          <w:tcPr>
            <w:tcW w:w="5508" w:type="dxa"/>
          </w:tcPr>
          <w:p w:rsidR="008D62CC" w:rsidRPr="00905C0D" w:rsidRDefault="008D62CC" w:rsidP="007E0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0D">
              <w:rPr>
                <w:rFonts w:ascii="Times New Roman" w:hAnsi="Times New Roman" w:cs="Times New Roman"/>
                <w:sz w:val="24"/>
                <w:szCs w:val="24"/>
              </w:rPr>
              <w:t>Total compound heterozygous variants identified after applying different filters (</w:t>
            </w:r>
            <w:r w:rsidRPr="00905C0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NHLBI-ESP; </w:t>
            </w:r>
            <w:r w:rsidRPr="00905C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1000 Genomes; </w:t>
            </w:r>
            <w:proofErr w:type="spellStart"/>
            <w:r w:rsidRPr="00905C0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ExAC</w:t>
            </w:r>
            <w:proofErr w:type="spellEnd"/>
            <w:r w:rsidRPr="00905C0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)</w:t>
            </w:r>
            <w:r w:rsidRPr="00905C0D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with MAF&gt;0.01</w:t>
            </w:r>
          </w:p>
        </w:tc>
        <w:tc>
          <w:tcPr>
            <w:tcW w:w="2430" w:type="dxa"/>
          </w:tcPr>
          <w:p w:rsidR="008D62CC" w:rsidRPr="00905C0D" w:rsidRDefault="008D62CC" w:rsidP="007E0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0D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90" w:type="dxa"/>
          </w:tcPr>
          <w:p w:rsidR="008D62CC" w:rsidRPr="00905C0D" w:rsidRDefault="00506E19" w:rsidP="007E0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8D62CC" w:rsidRPr="00905C0D" w:rsidTr="007E0082">
        <w:tc>
          <w:tcPr>
            <w:tcW w:w="5508" w:type="dxa"/>
          </w:tcPr>
          <w:p w:rsidR="008D62CC" w:rsidRPr="00905C0D" w:rsidRDefault="008D62CC" w:rsidP="007E0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C0D">
              <w:rPr>
                <w:rFonts w:ascii="Times New Roman" w:hAnsi="Times New Roman" w:cs="Times New Roman"/>
                <w:sz w:val="24"/>
                <w:szCs w:val="24"/>
              </w:rPr>
              <w:t xml:space="preserve">Homozygous variant identified 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SOS causing known gene</w:t>
            </w:r>
            <w:r w:rsidRPr="00905C0D">
              <w:rPr>
                <w:rFonts w:ascii="Times New Roman" w:hAnsi="Times New Roman" w:cs="Times New Roman"/>
                <w:sz w:val="24"/>
                <w:szCs w:val="24"/>
              </w:rPr>
              <w:t xml:space="preserve"> and segregating with the disease phenotype in the family</w:t>
            </w:r>
          </w:p>
        </w:tc>
        <w:tc>
          <w:tcPr>
            <w:tcW w:w="2430" w:type="dxa"/>
          </w:tcPr>
          <w:p w:rsidR="008D62CC" w:rsidRPr="00905C0D" w:rsidRDefault="00506E19" w:rsidP="007E0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  <w:r w:rsidR="008D62CC" w:rsidRPr="00905C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8D62CC" w:rsidRPr="00905C0D" w:rsidRDefault="00506E19" w:rsidP="007E0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D62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D62CC" w:rsidRPr="00905C0D" w:rsidRDefault="008D62CC" w:rsidP="008D62CC">
      <w:pPr>
        <w:rPr>
          <w:rFonts w:ascii="Times New Roman" w:hAnsi="Times New Roman" w:cs="Times New Roman"/>
          <w:sz w:val="24"/>
          <w:szCs w:val="24"/>
        </w:rPr>
      </w:pPr>
    </w:p>
    <w:p w:rsidR="008D62CC" w:rsidRDefault="008D62CC">
      <w:pPr>
        <w:suppressAutoHyphens w:val="0"/>
      </w:pPr>
    </w:p>
    <w:p w:rsidR="00742D54" w:rsidRDefault="00742D54"/>
    <w:sectPr w:rsidR="00742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54"/>
    <w:rsid w:val="00506E19"/>
    <w:rsid w:val="007316A9"/>
    <w:rsid w:val="00742D54"/>
    <w:rsid w:val="007709BB"/>
    <w:rsid w:val="008D62CC"/>
    <w:rsid w:val="00E2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D54"/>
    <w:pPr>
      <w:suppressAutoHyphens/>
    </w:pPr>
    <w:rPr>
      <w:rFonts w:ascii="Calibri" w:eastAsia="Calibri" w:hAnsi="Calibri" w:cs="Arial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2D54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D54"/>
    <w:pPr>
      <w:suppressAutoHyphens/>
    </w:pPr>
    <w:rPr>
      <w:rFonts w:ascii="Calibri" w:eastAsia="Calibri" w:hAnsi="Calibri" w:cs="Arial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2D54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0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MyCompanyName</Company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MyUserName</dc:creator>
  <cp:lastModifiedBy>MyUserName</cp:lastModifiedBy>
  <cp:revision>5</cp:revision>
  <dcterms:created xsi:type="dcterms:W3CDTF">2017-01-01T07:16:00Z</dcterms:created>
  <dcterms:modified xsi:type="dcterms:W3CDTF">2017-03-24T17:43:00Z</dcterms:modified>
</cp:coreProperties>
</file>