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51F6" w:rsidRDefault="001A51F6" w:rsidP="001A51F6">
      <w:pPr>
        <w:pStyle w:val="topic"/>
      </w:pPr>
      <w:r>
        <w:t>Supporting Information Legends</w:t>
      </w:r>
    </w:p>
    <w:p w:rsidR="001A51F6" w:rsidRDefault="001A51F6" w:rsidP="001A51F6">
      <w:pPr>
        <w:pStyle w:val="topic"/>
      </w:pPr>
    </w:p>
    <w:p w:rsidR="00D840A2" w:rsidRDefault="00D840A2" w:rsidP="00D840A2">
      <w:pPr>
        <w:pStyle w:val="Default"/>
        <w:rPr>
          <w:rFonts w:cstheme="minorBidi"/>
          <w:color w:val="auto"/>
        </w:rPr>
      </w:pPr>
      <w:bookmarkStart w:id="0" w:name="_Ref480364977"/>
    </w:p>
    <w:p w:rsidR="001A51F6" w:rsidRPr="00D840A2" w:rsidRDefault="00D840A2" w:rsidP="00D840A2">
      <w:pPr>
        <w:pStyle w:val="Beschriftung2"/>
        <w:suppressLineNumbers/>
        <w:ind w:firstLine="0"/>
      </w:pPr>
      <w:r w:rsidRPr="00D840A2">
        <w:rPr>
          <w:rFonts w:cstheme="minorBidi"/>
          <w:bCs w:val="0"/>
        </w:rPr>
        <w:t>Figure S1</w:t>
      </w:r>
      <w:r w:rsidRPr="00D840A2">
        <w:rPr>
          <w:rFonts w:cstheme="minorBidi"/>
          <w:bCs w:val="0"/>
        </w:rPr>
        <w:t>.</w:t>
      </w:r>
      <w:r w:rsidRPr="00D840A2">
        <w:rPr>
          <w:rFonts w:cstheme="minorBidi"/>
          <w:bCs w:val="0"/>
        </w:rPr>
        <w:t xml:space="preserve"> </w:t>
      </w:r>
      <w:r w:rsidRPr="00D840A2">
        <w:rPr>
          <w:b w:val="0"/>
        </w:rPr>
        <w:t xml:space="preserve">Computational pseudogene detection and classification pipeline. </w:t>
      </w:r>
      <w:r w:rsidRPr="00D840A2">
        <w:rPr>
          <w:b w:val="0"/>
          <w:bCs w:val="0"/>
        </w:rPr>
        <w:t xml:space="preserve">A: </w:t>
      </w:r>
      <w:r w:rsidRPr="00D840A2">
        <w:rPr>
          <w:b w:val="0"/>
        </w:rPr>
        <w:t xml:space="preserve">Framework of the pipeline; </w:t>
      </w:r>
      <w:r w:rsidRPr="00D840A2">
        <w:rPr>
          <w:b w:val="0"/>
          <w:bCs w:val="0"/>
        </w:rPr>
        <w:t xml:space="preserve">B: </w:t>
      </w:r>
      <w:r w:rsidRPr="00D840A2">
        <w:rPr>
          <w:b w:val="0"/>
        </w:rPr>
        <w:t>Exemplary pseudogene classification.</w:t>
      </w:r>
    </w:p>
    <w:p w:rsidR="00D840A2" w:rsidRPr="00D840A2" w:rsidRDefault="00D840A2" w:rsidP="00D840A2"/>
    <w:bookmarkEnd w:id="0"/>
    <w:p w:rsidR="001A51F6" w:rsidRDefault="00D840A2" w:rsidP="00D840A2">
      <w:pPr>
        <w:pStyle w:val="TOC2"/>
        <w:suppressLineNumbers/>
        <w:tabs>
          <w:tab w:val="right" w:leader="dot" w:pos="8828"/>
        </w:tabs>
        <w:ind w:left="0" w:firstLine="0"/>
      </w:pPr>
      <w:r>
        <w:rPr>
          <w:rFonts w:cstheme="minorBidi"/>
          <w:b/>
          <w:bCs/>
          <w:sz w:val="20"/>
          <w:szCs w:val="20"/>
        </w:rPr>
        <w:t>Figure S2.</w:t>
      </w:r>
      <w:r>
        <w:rPr>
          <w:rFonts w:cstheme="minorBidi"/>
          <w:b/>
          <w:bCs/>
          <w:sz w:val="20"/>
          <w:szCs w:val="20"/>
        </w:rPr>
        <w:t xml:space="preserve"> </w:t>
      </w:r>
      <w:r>
        <w:rPr>
          <w:sz w:val="20"/>
          <w:szCs w:val="20"/>
        </w:rPr>
        <w:t xml:space="preserve">Sequence identity vs. distance of pseudogenes compared to their parent genes. </w:t>
      </w:r>
      <w:r>
        <w:rPr>
          <w:b/>
          <w:bCs/>
          <w:sz w:val="20"/>
          <w:szCs w:val="20"/>
        </w:rPr>
        <w:t xml:space="preserve">A </w:t>
      </w:r>
      <w:r>
        <w:rPr>
          <w:sz w:val="20"/>
          <w:szCs w:val="20"/>
        </w:rPr>
        <w:t xml:space="preserve">all pseudogenes; </w:t>
      </w:r>
      <w:r>
        <w:rPr>
          <w:b/>
          <w:bCs/>
          <w:sz w:val="20"/>
          <w:szCs w:val="20"/>
        </w:rPr>
        <w:t xml:space="preserve">B </w:t>
      </w:r>
      <w:r>
        <w:rPr>
          <w:sz w:val="20"/>
          <w:szCs w:val="20"/>
        </w:rPr>
        <w:t xml:space="preserve">duplicated pseudogenes; </w:t>
      </w:r>
      <w:r>
        <w:rPr>
          <w:b/>
          <w:bCs/>
          <w:sz w:val="20"/>
          <w:szCs w:val="20"/>
        </w:rPr>
        <w:t xml:space="preserve">C </w:t>
      </w:r>
      <w:proofErr w:type="spellStart"/>
      <w:r>
        <w:rPr>
          <w:sz w:val="20"/>
          <w:szCs w:val="20"/>
        </w:rPr>
        <w:t>retroposed</w:t>
      </w:r>
      <w:proofErr w:type="spellEnd"/>
      <w:r>
        <w:rPr>
          <w:sz w:val="20"/>
          <w:szCs w:val="20"/>
        </w:rPr>
        <w:t xml:space="preserve"> pseudogenes.</w:t>
      </w:r>
    </w:p>
    <w:p w:rsidR="00D840A2" w:rsidRPr="00D840A2" w:rsidRDefault="00D840A2" w:rsidP="00D840A2"/>
    <w:p w:rsidR="001A51F6" w:rsidRDefault="00D840A2" w:rsidP="00D840A2">
      <w:pPr>
        <w:widowControl w:val="0"/>
        <w:autoSpaceDE w:val="0"/>
        <w:autoSpaceDN w:val="0"/>
        <w:adjustRightInd w:val="0"/>
        <w:ind w:firstLine="0"/>
        <w:jc w:val="left"/>
      </w:pPr>
      <w:r>
        <w:rPr>
          <w:rFonts w:cstheme="minorBidi"/>
          <w:b/>
          <w:bCs/>
          <w:sz w:val="20"/>
          <w:szCs w:val="20"/>
        </w:rPr>
        <w:t>Figure S3</w:t>
      </w:r>
      <w:r>
        <w:rPr>
          <w:rFonts w:cstheme="minorBidi"/>
          <w:b/>
          <w:bCs/>
          <w:sz w:val="20"/>
          <w:szCs w:val="20"/>
        </w:rPr>
        <w:t>.</w:t>
      </w:r>
      <w:r>
        <w:rPr>
          <w:rFonts w:cstheme="minorBidi"/>
          <w:b/>
          <w:bCs/>
          <w:sz w:val="20"/>
          <w:szCs w:val="20"/>
        </w:rPr>
        <w:t xml:space="preserve"> </w:t>
      </w:r>
      <w:r>
        <w:rPr>
          <w:sz w:val="20"/>
          <w:szCs w:val="20"/>
        </w:rPr>
        <w:t xml:space="preserve">Distribution of transposable elements, genes and intrachromosomally </w:t>
      </w:r>
      <w:proofErr w:type="spellStart"/>
      <w:r>
        <w:rPr>
          <w:sz w:val="20"/>
          <w:szCs w:val="20"/>
        </w:rPr>
        <w:t>retroposed</w:t>
      </w:r>
      <w:proofErr w:type="spellEnd"/>
      <w:r>
        <w:rPr>
          <w:sz w:val="20"/>
          <w:szCs w:val="20"/>
        </w:rPr>
        <w:t xml:space="preserve"> pseudogenes on the seven chromosomes of barley. The first (outer) track shows the seven barley chromosomes with positions in Mb and highlighted centromeres. The second to fourth track show densities of transposable element sequences (min. 47% to max. 85% sequence coverage), genes (min. 0% to max. 5% sequence coverage) and intrachromosomally </w:t>
      </w:r>
      <w:proofErr w:type="spellStart"/>
      <w:r>
        <w:rPr>
          <w:sz w:val="20"/>
          <w:szCs w:val="20"/>
        </w:rPr>
        <w:t>retroposed</w:t>
      </w:r>
      <w:proofErr w:type="spellEnd"/>
      <w:r>
        <w:rPr>
          <w:sz w:val="20"/>
          <w:szCs w:val="20"/>
        </w:rPr>
        <w:t xml:space="preserve"> pseudogenes (min. 0% to max. 0.2% sequence coverage), respectively. Densities have been calculated using a sliding window of 5 Mb shifted by 1 Mb. Links connect parent genes with their pseudogene ‘descendants’ and are colored in the chromosome of the parent gene. In the center is a schematic representation of the </w:t>
      </w:r>
      <w:proofErr w:type="spellStart"/>
      <w:r>
        <w:rPr>
          <w:sz w:val="20"/>
          <w:szCs w:val="20"/>
        </w:rPr>
        <w:t>Rabl</w:t>
      </w:r>
      <w:proofErr w:type="spellEnd"/>
      <w:r>
        <w:rPr>
          <w:sz w:val="20"/>
          <w:szCs w:val="20"/>
        </w:rPr>
        <w:t xml:space="preserve"> conformation of chromosomes and the small distances between opposing chromosome arms, which might facilitate </w:t>
      </w:r>
      <w:proofErr w:type="spellStart"/>
      <w:r>
        <w:rPr>
          <w:sz w:val="20"/>
          <w:szCs w:val="20"/>
        </w:rPr>
        <w:t>retrotransposition</w:t>
      </w:r>
      <w:proofErr w:type="spellEnd"/>
      <w:r>
        <w:rPr>
          <w:sz w:val="20"/>
          <w:szCs w:val="20"/>
        </w:rPr>
        <w:t>.</w:t>
      </w:r>
    </w:p>
    <w:p w:rsidR="00D840A2" w:rsidRDefault="00D840A2" w:rsidP="001A51F6">
      <w:pPr>
        <w:widowControl w:val="0"/>
        <w:autoSpaceDE w:val="0"/>
        <w:autoSpaceDN w:val="0"/>
        <w:adjustRightInd w:val="0"/>
        <w:ind w:firstLine="0"/>
        <w:jc w:val="left"/>
      </w:pPr>
    </w:p>
    <w:p w:rsidR="001A51F6" w:rsidRDefault="001A51F6" w:rsidP="001A51F6">
      <w:pPr>
        <w:pStyle w:val="Beschriftung2"/>
        <w:suppressLineNumbers/>
        <w:ind w:firstLine="0"/>
        <w:rPr>
          <w:b w:val="0"/>
        </w:rPr>
      </w:pPr>
      <w:bookmarkStart w:id="1" w:name="_Ref480365223"/>
      <w:r>
        <w:t>Figure S</w:t>
      </w:r>
      <w:r>
        <w:fldChar w:fldCharType="begin"/>
      </w:r>
      <w:r>
        <w:instrText xml:space="preserve"> SEQ Supplementary_figure \* ARABIC </w:instrText>
      </w:r>
      <w:r>
        <w:fldChar w:fldCharType="separate"/>
      </w:r>
      <w:r>
        <w:rPr>
          <w:noProof/>
        </w:rPr>
        <w:t>4</w:t>
      </w:r>
      <w:r>
        <w:fldChar w:fldCharType="end"/>
      </w:r>
      <w:bookmarkEnd w:id="1"/>
      <w:r>
        <w:t>.</w:t>
      </w:r>
      <w:r>
        <w:t xml:space="preserve"> </w:t>
      </w:r>
      <w:r>
        <w:rPr>
          <w:b w:val="0"/>
        </w:rPr>
        <w:t>Over- and under-represented Gene Ontology (GO) terms for the parent gene set of transcribed pseudogenes compared to the complete gene set of the barley genome.</w:t>
      </w:r>
    </w:p>
    <w:p w:rsidR="001A51F6" w:rsidRDefault="001A51F6" w:rsidP="001A51F6">
      <w:pPr>
        <w:pStyle w:val="TOC2"/>
        <w:suppressLineNumbers/>
        <w:tabs>
          <w:tab w:val="right" w:leader="dot" w:pos="8828"/>
        </w:tabs>
        <w:ind w:left="0" w:firstLine="0"/>
      </w:pPr>
    </w:p>
    <w:p w:rsidR="00D840A2" w:rsidRPr="00D840A2" w:rsidRDefault="00D840A2" w:rsidP="00D840A2">
      <w:pPr>
        <w:ind w:firstLine="0"/>
      </w:pPr>
      <w:r>
        <w:rPr>
          <w:rFonts w:cstheme="minorBidi"/>
          <w:b/>
          <w:bCs/>
          <w:sz w:val="20"/>
          <w:szCs w:val="20"/>
        </w:rPr>
        <w:t>Figure S5</w:t>
      </w:r>
      <w:r>
        <w:rPr>
          <w:rFonts w:cstheme="minorBidi"/>
          <w:b/>
          <w:bCs/>
          <w:sz w:val="20"/>
          <w:szCs w:val="20"/>
        </w:rPr>
        <w:t>.</w:t>
      </w:r>
      <w:r>
        <w:rPr>
          <w:rFonts w:cstheme="minorBidi"/>
          <w:b/>
          <w:bCs/>
          <w:sz w:val="20"/>
          <w:szCs w:val="20"/>
        </w:rPr>
        <w:t xml:space="preserve"> </w:t>
      </w:r>
      <w:r>
        <w:rPr>
          <w:sz w:val="20"/>
          <w:szCs w:val="20"/>
        </w:rPr>
        <w:t xml:space="preserve">Analysis of the relative rates of synonymous and non-synonymous substitutions between pseudogenes and their parent genes. </w:t>
      </w:r>
      <w:r>
        <w:rPr>
          <w:b/>
          <w:bCs/>
          <w:sz w:val="20"/>
          <w:szCs w:val="20"/>
        </w:rPr>
        <w:t xml:space="preserve">A </w:t>
      </w:r>
      <w:r>
        <w:rPr>
          <w:sz w:val="20"/>
          <w:szCs w:val="20"/>
        </w:rPr>
        <w:t xml:space="preserve">Log10 Ka/Ks analysis of pseudogenes and their parent genes. </w:t>
      </w:r>
      <w:r>
        <w:rPr>
          <w:b/>
          <w:bCs/>
          <w:sz w:val="20"/>
          <w:szCs w:val="20"/>
        </w:rPr>
        <w:t xml:space="preserve">B </w:t>
      </w:r>
      <w:r>
        <w:rPr>
          <w:sz w:val="20"/>
          <w:szCs w:val="20"/>
        </w:rPr>
        <w:t>Schematic representation of the concurrent accumulation of substitutions in pseudogenes and their parent genes and the effect on the Ka/Ks ratio.</w:t>
      </w:r>
    </w:p>
    <w:p w:rsidR="001A51F6" w:rsidRDefault="001A51F6" w:rsidP="001A51F6">
      <w:pPr>
        <w:keepNext/>
        <w:suppressLineNumbers/>
        <w:spacing w:line="240" w:lineRule="auto"/>
        <w:ind w:firstLine="0"/>
        <w:jc w:val="left"/>
        <w:rPr>
          <w:b/>
          <w:bCs/>
          <w:sz w:val="20"/>
          <w:szCs w:val="20"/>
        </w:rPr>
      </w:pPr>
      <w:bookmarkStart w:id="2" w:name="_Ref480363720"/>
    </w:p>
    <w:p w:rsidR="001A51F6" w:rsidRPr="009C46A6" w:rsidRDefault="001A51F6" w:rsidP="00B74995">
      <w:pPr>
        <w:pStyle w:val="Default"/>
        <w:spacing w:line="360" w:lineRule="auto"/>
        <w:rPr>
          <w:bCs/>
          <w:sz w:val="20"/>
          <w:szCs w:val="20"/>
        </w:rPr>
      </w:pPr>
      <w:r w:rsidRPr="00F234A0">
        <w:rPr>
          <w:b/>
          <w:bCs/>
          <w:sz w:val="20"/>
          <w:szCs w:val="20"/>
        </w:rPr>
        <w:t>Table S</w:t>
      </w:r>
      <w:r w:rsidRPr="00F234A0">
        <w:rPr>
          <w:b/>
          <w:bCs/>
          <w:sz w:val="20"/>
          <w:szCs w:val="20"/>
        </w:rPr>
        <w:fldChar w:fldCharType="begin"/>
      </w:r>
      <w:r w:rsidRPr="00F234A0">
        <w:rPr>
          <w:b/>
          <w:bCs/>
          <w:sz w:val="20"/>
          <w:szCs w:val="20"/>
        </w:rPr>
        <w:instrText xml:space="preserve"> SEQ Table_S \* ARABIC </w:instrText>
      </w:r>
      <w:r w:rsidRPr="00F234A0">
        <w:rPr>
          <w:b/>
          <w:bCs/>
          <w:sz w:val="20"/>
          <w:szCs w:val="20"/>
        </w:rPr>
        <w:fldChar w:fldCharType="separate"/>
      </w:r>
      <w:r w:rsidRPr="00F234A0">
        <w:rPr>
          <w:b/>
          <w:bCs/>
          <w:noProof/>
          <w:sz w:val="20"/>
          <w:szCs w:val="20"/>
        </w:rPr>
        <w:t>1</w:t>
      </w:r>
      <w:r w:rsidRPr="00F234A0">
        <w:rPr>
          <w:b/>
          <w:bCs/>
          <w:sz w:val="20"/>
          <w:szCs w:val="20"/>
        </w:rPr>
        <w:fldChar w:fldCharType="end"/>
      </w:r>
      <w:bookmarkEnd w:id="2"/>
      <w:r>
        <w:rPr>
          <w:b/>
          <w:bCs/>
          <w:sz w:val="20"/>
          <w:szCs w:val="20"/>
        </w:rPr>
        <w:t>.</w:t>
      </w:r>
      <w:r w:rsidRPr="00F234A0">
        <w:rPr>
          <w:b/>
          <w:bCs/>
          <w:sz w:val="20"/>
          <w:szCs w:val="20"/>
        </w:rPr>
        <w:t xml:space="preserve"> </w:t>
      </w:r>
      <w:r w:rsidRPr="00F234A0">
        <w:rPr>
          <w:bCs/>
          <w:sz w:val="20"/>
          <w:szCs w:val="20"/>
        </w:rPr>
        <w:t xml:space="preserve">Metrics for pseudogenes and high-coverage (HC) pseudogenes, as well as template and parent genes in the barley genome. </w:t>
      </w:r>
      <w:proofErr w:type="spellStart"/>
      <w:r w:rsidR="00D840A2">
        <w:rPr>
          <w:rFonts w:cstheme="minorBidi"/>
          <w:color w:val="auto"/>
          <w:sz w:val="20"/>
          <w:szCs w:val="20"/>
        </w:rPr>
        <w:t>ptc</w:t>
      </w:r>
      <w:proofErr w:type="spellEnd"/>
      <w:r w:rsidR="00D840A2">
        <w:rPr>
          <w:rFonts w:cstheme="minorBidi"/>
          <w:color w:val="auto"/>
          <w:sz w:val="20"/>
          <w:szCs w:val="20"/>
        </w:rPr>
        <w:t>: premature termination codon.</w:t>
      </w:r>
      <w:bookmarkStart w:id="3" w:name="_GoBack"/>
      <w:bookmarkEnd w:id="3"/>
    </w:p>
    <w:p w:rsidR="0040282D" w:rsidRDefault="0040282D"/>
    <w:sectPr w:rsidR="0040282D">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064D"/>
    <w:rsid w:val="00165DD4"/>
    <w:rsid w:val="00181AC8"/>
    <w:rsid w:val="001A51F6"/>
    <w:rsid w:val="001C5E6E"/>
    <w:rsid w:val="001E2214"/>
    <w:rsid w:val="002C1E9D"/>
    <w:rsid w:val="003B064D"/>
    <w:rsid w:val="0040282D"/>
    <w:rsid w:val="0045309A"/>
    <w:rsid w:val="00B74995"/>
    <w:rsid w:val="00CF7364"/>
    <w:rsid w:val="00D840A2"/>
    <w:rsid w:val="00DC6A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64B918"/>
  <w15:chartTrackingRefBased/>
  <w15:docId w15:val="{2B90DB5D-CFB3-4BCB-A50A-CB8BF3DAA0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1A51F6"/>
    <w:pPr>
      <w:suppressAutoHyphens/>
      <w:spacing w:after="0" w:line="360" w:lineRule="auto"/>
      <w:ind w:firstLine="360"/>
      <w:jc w:val="both"/>
    </w:pPr>
    <w:rPr>
      <w:rFonts w:ascii="Calibri" w:eastAsia="Times New Roman" w:hAnsi="Calibri" w:cs="Calibri"/>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2">
    <w:name w:val="toc 2"/>
    <w:basedOn w:val="Normal"/>
    <w:next w:val="Normal"/>
    <w:rsid w:val="001A51F6"/>
    <w:pPr>
      <w:ind w:left="220"/>
    </w:pPr>
  </w:style>
  <w:style w:type="paragraph" w:customStyle="1" w:styleId="Beschriftung2">
    <w:name w:val="Beschriftung2"/>
    <w:basedOn w:val="Normal"/>
    <w:next w:val="Normal"/>
    <w:rsid w:val="001A51F6"/>
    <w:rPr>
      <w:b/>
      <w:bCs/>
      <w:sz w:val="20"/>
      <w:szCs w:val="20"/>
    </w:rPr>
  </w:style>
  <w:style w:type="paragraph" w:customStyle="1" w:styleId="topic">
    <w:name w:val="topic"/>
    <w:basedOn w:val="Normal"/>
    <w:link w:val="topicZchn"/>
    <w:qFormat/>
    <w:rsid w:val="001A51F6"/>
    <w:pPr>
      <w:spacing w:before="120"/>
      <w:ind w:firstLine="0"/>
    </w:pPr>
    <w:rPr>
      <w:b/>
    </w:rPr>
  </w:style>
  <w:style w:type="character" w:customStyle="1" w:styleId="topicZchn">
    <w:name w:val="topic Zchn"/>
    <w:link w:val="topic"/>
    <w:rsid w:val="001A51F6"/>
    <w:rPr>
      <w:rFonts w:ascii="Calibri" w:eastAsia="Times New Roman" w:hAnsi="Calibri" w:cs="Calibri"/>
      <w:b/>
      <w:lang w:eastAsia="ar-SA"/>
    </w:rPr>
  </w:style>
  <w:style w:type="paragraph" w:styleId="Caption">
    <w:name w:val="caption"/>
    <w:basedOn w:val="Normal"/>
    <w:next w:val="Normal"/>
    <w:uiPriority w:val="35"/>
    <w:unhideWhenUsed/>
    <w:qFormat/>
    <w:rsid w:val="001A51F6"/>
    <w:pPr>
      <w:jc w:val="left"/>
    </w:pPr>
    <w:rPr>
      <w:b/>
      <w:bCs/>
      <w:sz w:val="20"/>
      <w:szCs w:val="20"/>
    </w:rPr>
  </w:style>
  <w:style w:type="paragraph" w:customStyle="1" w:styleId="Default">
    <w:name w:val="Default"/>
    <w:rsid w:val="00D840A2"/>
    <w:pPr>
      <w:autoSpaceDE w:val="0"/>
      <w:autoSpaceDN w:val="0"/>
      <w:adjustRightInd w:val="0"/>
      <w:spacing w:after="0" w:line="240" w:lineRule="auto"/>
    </w:pPr>
    <w:rPr>
      <w:rFonts w:ascii="Calibri" w:hAnsi="Calibri" w:cs="Calibri"/>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Pages>
  <Words>295</Words>
  <Characters>1684</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Ruddock, Jim - Oxford</dc:creator>
  <cp:keywords/>
  <dc:description/>
  <cp:lastModifiedBy>Ruddock, Jim - Oxford</cp:lastModifiedBy>
  <cp:revision>3</cp:revision>
  <dcterms:created xsi:type="dcterms:W3CDTF">2017-11-24T13:38:00Z</dcterms:created>
  <dcterms:modified xsi:type="dcterms:W3CDTF">2017-11-24T13:56:00Z</dcterms:modified>
</cp:coreProperties>
</file>