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994" w:rsidRPr="0074025B" w:rsidRDefault="00A56994" w:rsidP="00A56994">
      <w:pPr>
        <w:rPr>
          <w:rFonts w:cs="Arial"/>
          <w:b/>
        </w:rPr>
      </w:pPr>
      <w:r w:rsidRPr="0074025B">
        <w:rPr>
          <w:rFonts w:cs="Arial"/>
          <w:b/>
        </w:rPr>
        <w:t>Appendix</w:t>
      </w:r>
    </w:p>
    <w:p w:rsidR="00A56994" w:rsidRPr="0074025B" w:rsidRDefault="00A56994" w:rsidP="00A56994">
      <w:pPr>
        <w:rPr>
          <w:rFonts w:cs="Arial"/>
        </w:rPr>
      </w:pPr>
      <w:r w:rsidRPr="0074025B">
        <w:rPr>
          <w:rFonts w:cs="Arial"/>
          <w:b/>
        </w:rPr>
        <w:t xml:space="preserve">S1 </w:t>
      </w:r>
      <w:r w:rsidRPr="0074025B">
        <w:rPr>
          <w:rFonts w:cs="Arial"/>
        </w:rPr>
        <w:t>Impact of differential discounting on incremental cost-effectiveness (ICER) for Current Investment vs. Zero Investment, lifetime perspective</w:t>
      </w:r>
    </w:p>
    <w:tbl>
      <w:tblPr>
        <w:tblW w:w="5000" w:type="pct"/>
        <w:tblLook w:val="04A0" w:firstRow="1" w:lastRow="0" w:firstColumn="1" w:lastColumn="0" w:noHBand="0" w:noVBand="1"/>
      </w:tblPr>
      <w:tblGrid>
        <w:gridCol w:w="2047"/>
        <w:gridCol w:w="1080"/>
        <w:gridCol w:w="1559"/>
        <w:gridCol w:w="1559"/>
        <w:gridCol w:w="1559"/>
        <w:gridCol w:w="1556"/>
      </w:tblGrid>
      <w:tr w:rsidR="00A56994" w:rsidRPr="0074025B" w:rsidTr="009372D4">
        <w:tc>
          <w:tcPr>
            <w:tcW w:w="1670" w:type="pct"/>
            <w:gridSpan w:val="2"/>
            <w:vMerge w:val="restart"/>
            <w:vAlign w:val="center"/>
            <w:hideMark/>
          </w:tcPr>
          <w:p w:rsidR="00A56994" w:rsidRPr="0074025B" w:rsidRDefault="00A56994" w:rsidP="009372D4">
            <w:pPr>
              <w:jc w:val="center"/>
              <w:rPr>
                <w:b/>
              </w:rPr>
            </w:pPr>
            <w:r w:rsidRPr="0074025B">
              <w:rPr>
                <w:b/>
              </w:rPr>
              <w:t>Measure: ICER per QALY gained (EUR)</w:t>
            </w:r>
          </w:p>
        </w:tc>
        <w:tc>
          <w:tcPr>
            <w:tcW w:w="3330" w:type="pct"/>
            <w:gridSpan w:val="4"/>
            <w:tcBorders>
              <w:bottom w:val="single" w:sz="4" w:space="0" w:color="auto"/>
            </w:tcBorders>
            <w:hideMark/>
          </w:tcPr>
          <w:p w:rsidR="00A56994" w:rsidRPr="0074025B" w:rsidRDefault="00A56994" w:rsidP="009372D4">
            <w:pPr>
              <w:jc w:val="center"/>
              <w:rPr>
                <w:b/>
                <w:lang w:val="de-DE"/>
              </w:rPr>
            </w:pPr>
            <w:r w:rsidRPr="0074025B">
              <w:rPr>
                <w:b/>
                <w:lang w:val="de-DE"/>
              </w:rPr>
              <w:t>Effect discount rate</w:t>
            </w:r>
          </w:p>
        </w:tc>
      </w:tr>
      <w:tr w:rsidR="00A56994" w:rsidRPr="0074025B" w:rsidTr="009372D4">
        <w:tc>
          <w:tcPr>
            <w:tcW w:w="1670" w:type="pct"/>
            <w:gridSpan w:val="2"/>
            <w:vMerge/>
            <w:vAlign w:val="center"/>
            <w:hideMark/>
          </w:tcPr>
          <w:p w:rsidR="00A56994" w:rsidRPr="0074025B" w:rsidRDefault="00A56994" w:rsidP="009372D4"/>
        </w:tc>
        <w:tc>
          <w:tcPr>
            <w:tcW w:w="833" w:type="pct"/>
            <w:tcBorders>
              <w:top w:val="single" w:sz="4" w:space="0" w:color="auto"/>
            </w:tcBorders>
            <w:hideMark/>
          </w:tcPr>
          <w:p w:rsidR="00A56994" w:rsidRPr="0074025B" w:rsidRDefault="00A56994" w:rsidP="009372D4">
            <w:pPr>
              <w:jc w:val="center"/>
              <w:rPr>
                <w:lang w:val="de-DE"/>
              </w:rPr>
            </w:pPr>
            <w:r w:rsidRPr="0074025B">
              <w:rPr>
                <w:lang w:val="de-DE"/>
              </w:rPr>
              <w:t>0%</w:t>
            </w:r>
          </w:p>
        </w:tc>
        <w:tc>
          <w:tcPr>
            <w:tcW w:w="833" w:type="pct"/>
            <w:tcBorders>
              <w:top w:val="single" w:sz="4" w:space="0" w:color="auto"/>
            </w:tcBorders>
            <w:hideMark/>
          </w:tcPr>
          <w:p w:rsidR="00A56994" w:rsidRPr="0074025B" w:rsidRDefault="00A56994" w:rsidP="009372D4">
            <w:pPr>
              <w:jc w:val="center"/>
              <w:rPr>
                <w:lang w:val="de-DE"/>
              </w:rPr>
            </w:pPr>
            <w:r w:rsidRPr="0074025B">
              <w:rPr>
                <w:lang w:val="de-DE"/>
              </w:rPr>
              <w:t>1%</w:t>
            </w:r>
          </w:p>
        </w:tc>
        <w:tc>
          <w:tcPr>
            <w:tcW w:w="833" w:type="pct"/>
            <w:tcBorders>
              <w:top w:val="single" w:sz="4" w:space="0" w:color="auto"/>
            </w:tcBorders>
            <w:hideMark/>
          </w:tcPr>
          <w:p w:rsidR="00A56994" w:rsidRPr="0074025B" w:rsidRDefault="00A56994" w:rsidP="009372D4">
            <w:pPr>
              <w:jc w:val="center"/>
              <w:rPr>
                <w:lang w:val="de-DE"/>
              </w:rPr>
            </w:pPr>
            <w:r w:rsidRPr="0074025B">
              <w:rPr>
                <w:lang w:val="de-DE"/>
              </w:rPr>
              <w:t>3%</w:t>
            </w:r>
          </w:p>
        </w:tc>
        <w:tc>
          <w:tcPr>
            <w:tcW w:w="831" w:type="pct"/>
            <w:tcBorders>
              <w:top w:val="single" w:sz="4" w:space="0" w:color="auto"/>
            </w:tcBorders>
            <w:hideMark/>
          </w:tcPr>
          <w:p w:rsidR="00A56994" w:rsidRPr="0074025B" w:rsidRDefault="00A56994" w:rsidP="009372D4">
            <w:pPr>
              <w:jc w:val="center"/>
              <w:rPr>
                <w:lang w:val="de-DE"/>
              </w:rPr>
            </w:pPr>
            <w:r w:rsidRPr="0074025B">
              <w:rPr>
                <w:lang w:val="de-DE"/>
              </w:rPr>
              <w:t>5%</w:t>
            </w:r>
          </w:p>
        </w:tc>
      </w:tr>
      <w:tr w:rsidR="00A56994" w:rsidRPr="0074025B" w:rsidTr="009372D4">
        <w:tc>
          <w:tcPr>
            <w:tcW w:w="1093" w:type="pct"/>
            <w:vMerge w:val="restart"/>
            <w:tcBorders>
              <w:right w:val="single" w:sz="4" w:space="0" w:color="auto"/>
            </w:tcBorders>
            <w:hideMark/>
          </w:tcPr>
          <w:p w:rsidR="00A56994" w:rsidRPr="0074025B" w:rsidRDefault="00A56994" w:rsidP="009372D4">
            <w:pPr>
              <w:jc w:val="center"/>
              <w:rPr>
                <w:b/>
                <w:lang w:val="de-DE"/>
              </w:rPr>
            </w:pPr>
            <w:r w:rsidRPr="0074025B">
              <w:rPr>
                <w:b/>
                <w:lang w:val="de-DE"/>
              </w:rPr>
              <w:t>Cost discount rate</w:t>
            </w:r>
          </w:p>
        </w:tc>
        <w:tc>
          <w:tcPr>
            <w:tcW w:w="577" w:type="pct"/>
            <w:tcBorders>
              <w:left w:val="single" w:sz="4" w:space="0" w:color="auto"/>
            </w:tcBorders>
            <w:hideMark/>
          </w:tcPr>
          <w:p w:rsidR="00A56994" w:rsidRPr="0074025B" w:rsidRDefault="00A56994" w:rsidP="009372D4">
            <w:pPr>
              <w:jc w:val="center"/>
              <w:rPr>
                <w:lang w:val="de-DE"/>
              </w:rPr>
            </w:pPr>
            <w:r w:rsidRPr="0074025B">
              <w:rPr>
                <w:lang w:val="de-DE"/>
              </w:rPr>
              <w:t>0%</w:t>
            </w:r>
          </w:p>
        </w:tc>
        <w:tc>
          <w:tcPr>
            <w:tcW w:w="833" w:type="pct"/>
            <w:hideMark/>
          </w:tcPr>
          <w:p w:rsidR="00A56994" w:rsidRPr="0074025B" w:rsidRDefault="00A56994" w:rsidP="009372D4">
            <w:pPr>
              <w:jc w:val="center"/>
              <w:rPr>
                <w:color w:val="000000" w:themeColor="text1"/>
                <w:vertAlign w:val="superscript"/>
                <w:lang w:val="de-DE"/>
              </w:rPr>
            </w:pPr>
            <w:r w:rsidRPr="0074025B">
              <w:rPr>
                <w:color w:val="000000" w:themeColor="text1"/>
                <w:lang w:val="de-DE"/>
              </w:rPr>
              <w:t>-1,121.18</w:t>
            </w:r>
            <w:r w:rsidRPr="0074025B">
              <w:rPr>
                <w:b/>
                <w:color w:val="000000" w:themeColor="text1"/>
                <w:vertAlign w:val="superscript"/>
                <w:lang w:val="de-DE"/>
              </w:rPr>
              <w:t>D</w:t>
            </w:r>
          </w:p>
        </w:tc>
        <w:tc>
          <w:tcPr>
            <w:tcW w:w="833" w:type="pct"/>
            <w:hideMark/>
          </w:tcPr>
          <w:p w:rsidR="00A56994" w:rsidRPr="0074025B" w:rsidRDefault="00A56994" w:rsidP="009372D4">
            <w:pPr>
              <w:jc w:val="center"/>
              <w:rPr>
                <w:color w:val="000000" w:themeColor="text1"/>
                <w:vertAlign w:val="superscript"/>
                <w:lang w:val="de-DE"/>
              </w:rPr>
            </w:pPr>
            <w:r w:rsidRPr="0074025B">
              <w:rPr>
                <w:color w:val="000000" w:themeColor="text1"/>
                <w:lang w:val="de-DE"/>
              </w:rPr>
              <w:t>-1,433.59</w:t>
            </w:r>
            <w:r w:rsidRPr="0074025B">
              <w:rPr>
                <w:b/>
                <w:color w:val="000000" w:themeColor="text1"/>
                <w:vertAlign w:val="superscript"/>
                <w:lang w:val="de-DE"/>
              </w:rPr>
              <w:t>D</w:t>
            </w:r>
          </w:p>
        </w:tc>
        <w:tc>
          <w:tcPr>
            <w:tcW w:w="833" w:type="pct"/>
            <w:hideMark/>
          </w:tcPr>
          <w:p w:rsidR="00A56994" w:rsidRPr="0074025B" w:rsidRDefault="00A56994" w:rsidP="009372D4">
            <w:pPr>
              <w:jc w:val="center"/>
              <w:rPr>
                <w:color w:val="000000" w:themeColor="text1"/>
                <w:vertAlign w:val="superscript"/>
                <w:lang w:val="de-DE"/>
              </w:rPr>
            </w:pPr>
            <w:r w:rsidRPr="0074025B">
              <w:rPr>
                <w:color w:val="000000" w:themeColor="text1"/>
                <w:lang w:val="de-DE"/>
              </w:rPr>
              <w:t>-2,175.36</w:t>
            </w:r>
            <w:r w:rsidRPr="0074025B">
              <w:rPr>
                <w:b/>
                <w:color w:val="000000" w:themeColor="text1"/>
                <w:vertAlign w:val="superscript"/>
                <w:lang w:val="de-DE"/>
              </w:rPr>
              <w:t>D</w:t>
            </w:r>
          </w:p>
        </w:tc>
        <w:tc>
          <w:tcPr>
            <w:tcW w:w="831" w:type="pct"/>
            <w:hideMark/>
          </w:tcPr>
          <w:p w:rsidR="00A56994" w:rsidRPr="0074025B" w:rsidRDefault="00A56994" w:rsidP="009372D4">
            <w:pPr>
              <w:jc w:val="center"/>
              <w:rPr>
                <w:color w:val="000000" w:themeColor="text1"/>
                <w:vertAlign w:val="superscript"/>
                <w:lang w:val="de-DE"/>
              </w:rPr>
            </w:pPr>
            <w:r w:rsidRPr="0074025B">
              <w:rPr>
                <w:color w:val="000000" w:themeColor="text1"/>
                <w:lang w:val="de-DE"/>
              </w:rPr>
              <w:t>-3,045.29</w:t>
            </w:r>
            <w:r w:rsidRPr="0074025B">
              <w:rPr>
                <w:b/>
                <w:color w:val="000000" w:themeColor="text1"/>
                <w:vertAlign w:val="superscript"/>
                <w:lang w:val="de-DE"/>
              </w:rPr>
              <w:t>D</w:t>
            </w:r>
          </w:p>
        </w:tc>
      </w:tr>
      <w:tr w:rsidR="00A56994" w:rsidRPr="0074025B" w:rsidTr="009372D4">
        <w:tc>
          <w:tcPr>
            <w:tcW w:w="1093" w:type="pct"/>
            <w:vMerge/>
            <w:tcBorders>
              <w:right w:val="single" w:sz="4" w:space="0" w:color="auto"/>
            </w:tcBorders>
            <w:vAlign w:val="center"/>
            <w:hideMark/>
          </w:tcPr>
          <w:p w:rsidR="00A56994" w:rsidRPr="0074025B" w:rsidRDefault="00A56994" w:rsidP="009372D4">
            <w:pPr>
              <w:rPr>
                <w:lang w:val="de-DE"/>
              </w:rPr>
            </w:pPr>
          </w:p>
        </w:tc>
        <w:tc>
          <w:tcPr>
            <w:tcW w:w="577" w:type="pct"/>
            <w:tcBorders>
              <w:left w:val="single" w:sz="4" w:space="0" w:color="auto"/>
            </w:tcBorders>
            <w:hideMark/>
          </w:tcPr>
          <w:p w:rsidR="00A56994" w:rsidRPr="0074025B" w:rsidRDefault="00A56994" w:rsidP="009372D4">
            <w:pPr>
              <w:jc w:val="center"/>
              <w:rPr>
                <w:lang w:val="de-DE"/>
              </w:rPr>
            </w:pPr>
            <w:r w:rsidRPr="0074025B">
              <w:rPr>
                <w:lang w:val="de-DE"/>
              </w:rPr>
              <w:t>1%</w:t>
            </w:r>
          </w:p>
        </w:tc>
        <w:tc>
          <w:tcPr>
            <w:tcW w:w="833" w:type="pct"/>
            <w:hideMark/>
          </w:tcPr>
          <w:p w:rsidR="00A56994" w:rsidRPr="0074025B" w:rsidRDefault="00A56994" w:rsidP="009372D4">
            <w:pPr>
              <w:jc w:val="center"/>
              <w:rPr>
                <w:color w:val="000000" w:themeColor="text1"/>
                <w:vertAlign w:val="superscript"/>
                <w:lang w:val="de-DE"/>
              </w:rPr>
            </w:pPr>
            <w:r w:rsidRPr="0074025B">
              <w:rPr>
                <w:color w:val="000000" w:themeColor="text1"/>
                <w:lang w:val="de-DE"/>
              </w:rPr>
              <w:t>-577.53</w:t>
            </w:r>
            <w:r w:rsidRPr="0074025B">
              <w:rPr>
                <w:b/>
                <w:color w:val="000000" w:themeColor="text1"/>
                <w:vertAlign w:val="superscript"/>
                <w:lang w:val="de-DE"/>
              </w:rPr>
              <w:t>D</w:t>
            </w:r>
          </w:p>
        </w:tc>
        <w:tc>
          <w:tcPr>
            <w:tcW w:w="833" w:type="pct"/>
            <w:hideMark/>
          </w:tcPr>
          <w:p w:rsidR="00A56994" w:rsidRPr="0074025B" w:rsidRDefault="00A56994" w:rsidP="009372D4">
            <w:pPr>
              <w:jc w:val="center"/>
              <w:rPr>
                <w:color w:val="000000" w:themeColor="text1"/>
                <w:vertAlign w:val="superscript"/>
                <w:lang w:val="de-DE"/>
              </w:rPr>
            </w:pPr>
            <w:r w:rsidRPr="0074025B">
              <w:rPr>
                <w:color w:val="000000" w:themeColor="text1"/>
                <w:lang w:val="de-DE"/>
              </w:rPr>
              <w:t>-738.46</w:t>
            </w:r>
            <w:r w:rsidRPr="0074025B">
              <w:rPr>
                <w:b/>
                <w:color w:val="000000" w:themeColor="text1"/>
                <w:vertAlign w:val="superscript"/>
                <w:lang w:val="de-DE"/>
              </w:rPr>
              <w:t>D</w:t>
            </w:r>
          </w:p>
        </w:tc>
        <w:tc>
          <w:tcPr>
            <w:tcW w:w="833" w:type="pct"/>
            <w:hideMark/>
          </w:tcPr>
          <w:p w:rsidR="00A56994" w:rsidRPr="0074025B" w:rsidRDefault="00A56994" w:rsidP="009372D4">
            <w:pPr>
              <w:jc w:val="center"/>
              <w:rPr>
                <w:color w:val="000000" w:themeColor="text1"/>
                <w:vertAlign w:val="superscript"/>
                <w:lang w:val="de-DE"/>
              </w:rPr>
            </w:pPr>
            <w:r w:rsidRPr="0074025B">
              <w:rPr>
                <w:color w:val="000000" w:themeColor="text1"/>
                <w:lang w:val="de-DE"/>
              </w:rPr>
              <w:t>-1,120.55</w:t>
            </w:r>
            <w:r w:rsidRPr="0074025B">
              <w:rPr>
                <w:b/>
                <w:color w:val="000000" w:themeColor="text1"/>
                <w:vertAlign w:val="superscript"/>
                <w:lang w:val="de-DE"/>
              </w:rPr>
              <w:t>D</w:t>
            </w:r>
          </w:p>
        </w:tc>
        <w:tc>
          <w:tcPr>
            <w:tcW w:w="831" w:type="pct"/>
            <w:hideMark/>
          </w:tcPr>
          <w:p w:rsidR="00A56994" w:rsidRPr="0074025B" w:rsidRDefault="00A56994" w:rsidP="009372D4">
            <w:pPr>
              <w:jc w:val="center"/>
              <w:rPr>
                <w:color w:val="000000" w:themeColor="text1"/>
                <w:vertAlign w:val="superscript"/>
                <w:lang w:val="de-DE"/>
              </w:rPr>
            </w:pPr>
            <w:r w:rsidRPr="0074025B">
              <w:rPr>
                <w:color w:val="000000" w:themeColor="text1"/>
                <w:lang w:val="de-DE"/>
              </w:rPr>
              <w:t>-1,568.66</w:t>
            </w:r>
            <w:r w:rsidRPr="0074025B">
              <w:rPr>
                <w:b/>
                <w:color w:val="000000" w:themeColor="text1"/>
                <w:vertAlign w:val="superscript"/>
                <w:lang w:val="de-DE"/>
              </w:rPr>
              <w:t>D</w:t>
            </w:r>
          </w:p>
        </w:tc>
      </w:tr>
      <w:tr w:rsidR="00A56994" w:rsidRPr="0074025B" w:rsidTr="009372D4">
        <w:tc>
          <w:tcPr>
            <w:tcW w:w="1093" w:type="pct"/>
            <w:vMerge/>
            <w:tcBorders>
              <w:right w:val="single" w:sz="4" w:space="0" w:color="auto"/>
            </w:tcBorders>
            <w:vAlign w:val="center"/>
            <w:hideMark/>
          </w:tcPr>
          <w:p w:rsidR="00A56994" w:rsidRPr="0074025B" w:rsidRDefault="00A56994" w:rsidP="009372D4">
            <w:pPr>
              <w:rPr>
                <w:lang w:val="de-DE"/>
              </w:rPr>
            </w:pPr>
          </w:p>
        </w:tc>
        <w:tc>
          <w:tcPr>
            <w:tcW w:w="577" w:type="pct"/>
            <w:tcBorders>
              <w:left w:val="single" w:sz="4" w:space="0" w:color="auto"/>
            </w:tcBorders>
            <w:hideMark/>
          </w:tcPr>
          <w:p w:rsidR="00A56994" w:rsidRPr="0074025B" w:rsidRDefault="00A56994" w:rsidP="009372D4">
            <w:pPr>
              <w:jc w:val="center"/>
              <w:rPr>
                <w:lang w:val="de-DE"/>
              </w:rPr>
            </w:pPr>
            <w:r w:rsidRPr="0074025B">
              <w:rPr>
                <w:lang w:val="de-DE"/>
              </w:rPr>
              <w:t>3%</w:t>
            </w:r>
          </w:p>
        </w:tc>
        <w:tc>
          <w:tcPr>
            <w:tcW w:w="833" w:type="pct"/>
            <w:hideMark/>
          </w:tcPr>
          <w:p w:rsidR="00A56994" w:rsidRPr="0074025B" w:rsidRDefault="00A56994" w:rsidP="009372D4">
            <w:pPr>
              <w:jc w:val="center"/>
              <w:rPr>
                <w:lang w:val="de-DE"/>
              </w:rPr>
            </w:pPr>
            <w:r w:rsidRPr="0074025B">
              <w:rPr>
                <w:lang w:val="de-DE"/>
              </w:rPr>
              <w:t>166.64</w:t>
            </w:r>
          </w:p>
        </w:tc>
        <w:tc>
          <w:tcPr>
            <w:tcW w:w="833" w:type="pct"/>
            <w:hideMark/>
          </w:tcPr>
          <w:p w:rsidR="00A56994" w:rsidRPr="0074025B" w:rsidRDefault="00A56994" w:rsidP="009372D4">
            <w:pPr>
              <w:jc w:val="center"/>
              <w:rPr>
                <w:lang w:val="de-DE"/>
              </w:rPr>
            </w:pPr>
            <w:r w:rsidRPr="0074025B">
              <w:rPr>
                <w:lang w:val="de-DE"/>
              </w:rPr>
              <w:t>213.08</w:t>
            </w:r>
          </w:p>
        </w:tc>
        <w:tc>
          <w:tcPr>
            <w:tcW w:w="833" w:type="pct"/>
            <w:hideMark/>
          </w:tcPr>
          <w:p w:rsidR="00A56994" w:rsidRPr="0074025B" w:rsidRDefault="00A56994" w:rsidP="009372D4">
            <w:pPr>
              <w:jc w:val="center"/>
              <w:rPr>
                <w:lang w:val="de-DE"/>
              </w:rPr>
            </w:pPr>
            <w:r w:rsidRPr="0074025B">
              <w:rPr>
                <w:lang w:val="de-DE"/>
              </w:rPr>
              <w:t>323.33</w:t>
            </w:r>
          </w:p>
        </w:tc>
        <w:tc>
          <w:tcPr>
            <w:tcW w:w="831" w:type="pct"/>
            <w:hideMark/>
          </w:tcPr>
          <w:p w:rsidR="00A56994" w:rsidRPr="0074025B" w:rsidRDefault="00A56994" w:rsidP="009372D4">
            <w:pPr>
              <w:jc w:val="center"/>
              <w:rPr>
                <w:lang w:val="de-DE"/>
              </w:rPr>
            </w:pPr>
            <w:r w:rsidRPr="0074025B">
              <w:rPr>
                <w:lang w:val="de-DE"/>
              </w:rPr>
              <w:t>452.63</w:t>
            </w:r>
          </w:p>
        </w:tc>
      </w:tr>
      <w:tr w:rsidR="00A56994" w:rsidRPr="0074025B" w:rsidTr="009372D4">
        <w:tc>
          <w:tcPr>
            <w:tcW w:w="1093" w:type="pct"/>
            <w:vMerge/>
            <w:tcBorders>
              <w:bottom w:val="single" w:sz="4" w:space="0" w:color="auto"/>
              <w:right w:val="single" w:sz="4" w:space="0" w:color="auto"/>
            </w:tcBorders>
            <w:vAlign w:val="center"/>
            <w:hideMark/>
          </w:tcPr>
          <w:p w:rsidR="00A56994" w:rsidRPr="0074025B" w:rsidRDefault="00A56994" w:rsidP="009372D4">
            <w:pPr>
              <w:rPr>
                <w:lang w:val="de-DE"/>
              </w:rPr>
            </w:pPr>
          </w:p>
        </w:tc>
        <w:tc>
          <w:tcPr>
            <w:tcW w:w="577" w:type="pct"/>
            <w:tcBorders>
              <w:left w:val="single" w:sz="4" w:space="0" w:color="auto"/>
              <w:bottom w:val="single" w:sz="4" w:space="0" w:color="auto"/>
            </w:tcBorders>
            <w:hideMark/>
          </w:tcPr>
          <w:p w:rsidR="00A56994" w:rsidRPr="0074025B" w:rsidRDefault="00A56994" w:rsidP="009372D4">
            <w:pPr>
              <w:jc w:val="center"/>
              <w:rPr>
                <w:lang w:val="de-DE"/>
              </w:rPr>
            </w:pPr>
            <w:r w:rsidRPr="0074025B">
              <w:rPr>
                <w:lang w:val="de-DE"/>
              </w:rPr>
              <w:t>5%</w:t>
            </w:r>
          </w:p>
        </w:tc>
        <w:tc>
          <w:tcPr>
            <w:tcW w:w="833" w:type="pct"/>
            <w:tcBorders>
              <w:bottom w:val="single" w:sz="4" w:space="0" w:color="auto"/>
            </w:tcBorders>
            <w:hideMark/>
          </w:tcPr>
          <w:p w:rsidR="00A56994" w:rsidRPr="0074025B" w:rsidRDefault="00A56994" w:rsidP="009372D4">
            <w:pPr>
              <w:jc w:val="center"/>
              <w:rPr>
                <w:lang w:val="de-DE"/>
              </w:rPr>
            </w:pPr>
            <w:r w:rsidRPr="0074025B">
              <w:rPr>
                <w:lang w:val="de-DE"/>
              </w:rPr>
              <w:t>635.41</w:t>
            </w:r>
          </w:p>
        </w:tc>
        <w:tc>
          <w:tcPr>
            <w:tcW w:w="833" w:type="pct"/>
            <w:tcBorders>
              <w:bottom w:val="single" w:sz="4" w:space="0" w:color="auto"/>
            </w:tcBorders>
            <w:hideMark/>
          </w:tcPr>
          <w:p w:rsidR="00A56994" w:rsidRPr="0074025B" w:rsidRDefault="00A56994" w:rsidP="009372D4">
            <w:pPr>
              <w:jc w:val="center"/>
              <w:rPr>
                <w:lang w:val="de-DE"/>
              </w:rPr>
            </w:pPr>
            <w:r w:rsidRPr="0074025B">
              <w:rPr>
                <w:lang w:val="de-DE"/>
              </w:rPr>
              <w:t>812.46</w:t>
            </w:r>
          </w:p>
        </w:tc>
        <w:tc>
          <w:tcPr>
            <w:tcW w:w="833" w:type="pct"/>
            <w:tcBorders>
              <w:bottom w:val="single" w:sz="4" w:space="0" w:color="auto"/>
            </w:tcBorders>
            <w:hideMark/>
          </w:tcPr>
          <w:p w:rsidR="00A56994" w:rsidRPr="0074025B" w:rsidRDefault="00A56994" w:rsidP="009372D4">
            <w:pPr>
              <w:jc w:val="center"/>
              <w:rPr>
                <w:lang w:val="de-DE"/>
              </w:rPr>
            </w:pPr>
            <w:r w:rsidRPr="0074025B">
              <w:rPr>
                <w:lang w:val="de-DE"/>
              </w:rPr>
              <w:t>1,232.84</w:t>
            </w:r>
          </w:p>
        </w:tc>
        <w:tc>
          <w:tcPr>
            <w:tcW w:w="831" w:type="pct"/>
            <w:tcBorders>
              <w:bottom w:val="single" w:sz="4" w:space="0" w:color="auto"/>
            </w:tcBorders>
            <w:hideMark/>
          </w:tcPr>
          <w:p w:rsidR="00A56994" w:rsidRPr="0074025B" w:rsidRDefault="00A56994" w:rsidP="009372D4">
            <w:pPr>
              <w:jc w:val="center"/>
              <w:rPr>
                <w:lang w:val="de-DE"/>
              </w:rPr>
            </w:pPr>
            <w:r w:rsidRPr="0074025B">
              <w:rPr>
                <w:lang w:val="de-DE"/>
              </w:rPr>
              <w:t>1,725.86</w:t>
            </w:r>
          </w:p>
        </w:tc>
      </w:tr>
      <w:tr w:rsidR="00A56994" w:rsidRPr="0074025B" w:rsidTr="009372D4">
        <w:tc>
          <w:tcPr>
            <w:tcW w:w="5000" w:type="pct"/>
            <w:gridSpan w:val="6"/>
            <w:tcBorders>
              <w:top w:val="single" w:sz="4" w:space="0" w:color="auto"/>
              <w:bottom w:val="single" w:sz="4" w:space="0" w:color="auto"/>
            </w:tcBorders>
            <w:vAlign w:val="center"/>
          </w:tcPr>
          <w:p w:rsidR="00A56994" w:rsidRPr="0074025B" w:rsidRDefault="00A56994" w:rsidP="009372D4">
            <w:pPr>
              <w:spacing w:after="0"/>
              <w:rPr>
                <w:rFonts w:cs="Arial"/>
              </w:rPr>
            </w:pPr>
            <w:r w:rsidRPr="0074025B">
              <w:rPr>
                <w:rFonts w:cs="Arial"/>
              </w:rPr>
              <w:t xml:space="preserve">Note: Current Investment includes all currently implemented interventions, while in Zero Investment only smoking ban, tobacco taxes and brief physician advice are implemented. </w:t>
            </w:r>
          </w:p>
          <w:p w:rsidR="00A56994" w:rsidRPr="0074025B" w:rsidRDefault="00A56994" w:rsidP="009372D4">
            <w:pPr>
              <w:spacing w:after="0"/>
              <w:rPr>
                <w:rFonts w:cs="Arial"/>
              </w:rPr>
            </w:pPr>
            <w:r w:rsidRPr="0074025B">
              <w:rPr>
                <w:rFonts w:cs="Arial"/>
              </w:rPr>
              <w:t>D: Dominant (cheaper to run but generates more QALYs). The actual figure (in negative, rather than just stating ‘Dominant’) is reported here to allow readers to map this figure onto the reported ROI figure.</w:t>
            </w:r>
          </w:p>
        </w:tc>
      </w:tr>
      <w:tr w:rsidR="00A56994" w:rsidRPr="0074025B" w:rsidTr="009372D4">
        <w:tc>
          <w:tcPr>
            <w:tcW w:w="5000" w:type="pct"/>
            <w:gridSpan w:val="6"/>
            <w:tcBorders>
              <w:top w:val="single" w:sz="4" w:space="0" w:color="auto"/>
            </w:tcBorders>
            <w:vAlign w:val="center"/>
          </w:tcPr>
          <w:p w:rsidR="00A56994" w:rsidRPr="0074025B" w:rsidRDefault="00A56994" w:rsidP="009372D4">
            <w:pPr>
              <w:spacing w:after="0"/>
              <w:rPr>
                <w:rFonts w:cs="Arial"/>
              </w:rPr>
            </w:pPr>
          </w:p>
        </w:tc>
      </w:tr>
    </w:tbl>
    <w:p w:rsidR="00A56994" w:rsidRPr="0074025B" w:rsidRDefault="00A56994" w:rsidP="00A56994">
      <w:pPr>
        <w:rPr>
          <w:rFonts w:cs="Arial"/>
          <w:b/>
        </w:rPr>
      </w:pPr>
      <w:r w:rsidRPr="0074025B">
        <w:rPr>
          <w:rFonts w:cs="Arial"/>
          <w:b/>
        </w:rPr>
        <w:t xml:space="preserve">S2 </w:t>
      </w:r>
      <w:r w:rsidRPr="0074025B">
        <w:rPr>
          <w:rFonts w:cs="Arial"/>
        </w:rPr>
        <w:t xml:space="preserve">Impact of discount rate on QALYs gained, incremental cost-effectiveness (ICER) and return on </w:t>
      </w:r>
      <w:proofErr w:type="spellStart"/>
      <w:r w:rsidRPr="0074025B">
        <w:rPr>
          <w:rFonts w:cs="Arial"/>
        </w:rPr>
        <w:t>investement</w:t>
      </w:r>
      <w:proofErr w:type="spellEnd"/>
      <w:r w:rsidRPr="0074025B">
        <w:rPr>
          <w:rFonts w:cs="Arial"/>
        </w:rPr>
        <w:t xml:space="preserve"> (ROI) for Prospective Scenario 2 vs. Current Investment over a lifetime perspective</w:t>
      </w:r>
    </w:p>
    <w:tbl>
      <w:tblPr>
        <w:tblW w:w="0" w:type="auto"/>
        <w:tblLook w:val="04A0" w:firstRow="1" w:lastRow="0" w:firstColumn="1" w:lastColumn="0" w:noHBand="0" w:noVBand="1"/>
      </w:tblPr>
      <w:tblGrid>
        <w:gridCol w:w="2053"/>
        <w:gridCol w:w="2444"/>
        <w:gridCol w:w="2440"/>
        <w:gridCol w:w="2423"/>
      </w:tblGrid>
      <w:tr w:rsidR="00A56994" w:rsidRPr="0074025B" w:rsidTr="009372D4">
        <w:tc>
          <w:tcPr>
            <w:tcW w:w="2093" w:type="dxa"/>
          </w:tcPr>
          <w:p w:rsidR="00A56994" w:rsidRPr="0074025B" w:rsidRDefault="00A56994" w:rsidP="009372D4">
            <w:pPr>
              <w:jc w:val="center"/>
            </w:pPr>
          </w:p>
        </w:tc>
        <w:tc>
          <w:tcPr>
            <w:tcW w:w="7483" w:type="dxa"/>
            <w:gridSpan w:val="3"/>
            <w:hideMark/>
          </w:tcPr>
          <w:p w:rsidR="00A56994" w:rsidRPr="0074025B" w:rsidRDefault="00A56994" w:rsidP="009372D4">
            <w:pPr>
              <w:tabs>
                <w:tab w:val="left" w:pos="2241"/>
              </w:tabs>
              <w:jc w:val="center"/>
              <w:rPr>
                <w:b/>
              </w:rPr>
            </w:pPr>
            <w:r w:rsidRPr="0074025B">
              <w:rPr>
                <w:b/>
              </w:rPr>
              <w:t>Outcome measures</w:t>
            </w:r>
          </w:p>
        </w:tc>
      </w:tr>
      <w:tr w:rsidR="00A56994" w:rsidRPr="0074025B" w:rsidTr="009372D4">
        <w:tc>
          <w:tcPr>
            <w:tcW w:w="2093" w:type="dxa"/>
            <w:tcBorders>
              <w:bottom w:val="single" w:sz="4" w:space="0" w:color="auto"/>
            </w:tcBorders>
            <w:hideMark/>
          </w:tcPr>
          <w:p w:rsidR="00A56994" w:rsidRPr="0074025B" w:rsidRDefault="00A56994" w:rsidP="009372D4">
            <w:pPr>
              <w:jc w:val="center"/>
              <w:rPr>
                <w:b/>
              </w:rPr>
            </w:pPr>
            <w:r w:rsidRPr="0074025B">
              <w:rPr>
                <w:b/>
              </w:rPr>
              <w:t>Discount rate</w:t>
            </w:r>
          </w:p>
        </w:tc>
        <w:tc>
          <w:tcPr>
            <w:tcW w:w="2494" w:type="dxa"/>
            <w:tcBorders>
              <w:bottom w:val="single" w:sz="4" w:space="0" w:color="auto"/>
            </w:tcBorders>
            <w:hideMark/>
          </w:tcPr>
          <w:p w:rsidR="00A56994" w:rsidRPr="0074025B" w:rsidRDefault="00A56994" w:rsidP="009372D4">
            <w:pPr>
              <w:jc w:val="center"/>
            </w:pPr>
            <w:r w:rsidRPr="0074025B">
              <w:t>QALYs gained population</w:t>
            </w:r>
          </w:p>
        </w:tc>
        <w:tc>
          <w:tcPr>
            <w:tcW w:w="2494" w:type="dxa"/>
            <w:tcBorders>
              <w:bottom w:val="single" w:sz="4" w:space="0" w:color="auto"/>
            </w:tcBorders>
            <w:hideMark/>
          </w:tcPr>
          <w:p w:rsidR="00A56994" w:rsidRPr="0074025B" w:rsidRDefault="00A56994" w:rsidP="009372D4">
            <w:pPr>
              <w:jc w:val="center"/>
            </w:pPr>
            <w:r w:rsidRPr="0074025B">
              <w:t>ICER per QALY gained</w:t>
            </w:r>
          </w:p>
        </w:tc>
        <w:tc>
          <w:tcPr>
            <w:tcW w:w="2495" w:type="dxa"/>
            <w:tcBorders>
              <w:bottom w:val="single" w:sz="4" w:space="0" w:color="auto"/>
            </w:tcBorders>
            <w:hideMark/>
          </w:tcPr>
          <w:p w:rsidR="00A56994" w:rsidRPr="0074025B" w:rsidRDefault="00A56994" w:rsidP="009372D4">
            <w:pPr>
              <w:jc w:val="center"/>
            </w:pPr>
            <w:r w:rsidRPr="0074025B">
              <w:t>ROI</w:t>
            </w:r>
          </w:p>
        </w:tc>
      </w:tr>
      <w:tr w:rsidR="00A56994" w:rsidRPr="0074025B" w:rsidTr="009372D4">
        <w:tc>
          <w:tcPr>
            <w:tcW w:w="2093" w:type="dxa"/>
            <w:tcBorders>
              <w:top w:val="single" w:sz="4" w:space="0" w:color="auto"/>
            </w:tcBorders>
            <w:hideMark/>
          </w:tcPr>
          <w:p w:rsidR="00A56994" w:rsidRPr="0074025B" w:rsidRDefault="00A56994" w:rsidP="009372D4">
            <w:pPr>
              <w:jc w:val="center"/>
            </w:pPr>
            <w:r w:rsidRPr="0074025B">
              <w:t>0%</w:t>
            </w:r>
          </w:p>
        </w:tc>
        <w:tc>
          <w:tcPr>
            <w:tcW w:w="2494" w:type="dxa"/>
            <w:tcBorders>
              <w:top w:val="single" w:sz="4" w:space="0" w:color="auto"/>
            </w:tcBorders>
            <w:hideMark/>
          </w:tcPr>
          <w:p w:rsidR="00A56994" w:rsidRPr="0074025B" w:rsidRDefault="00A56994" w:rsidP="009372D4">
            <w:pPr>
              <w:jc w:val="center"/>
            </w:pPr>
            <w:r w:rsidRPr="0074025B">
              <w:t>160,474.8</w:t>
            </w:r>
          </w:p>
        </w:tc>
        <w:tc>
          <w:tcPr>
            <w:tcW w:w="2494" w:type="dxa"/>
            <w:tcBorders>
              <w:top w:val="single" w:sz="4" w:space="0" w:color="auto"/>
            </w:tcBorders>
            <w:hideMark/>
          </w:tcPr>
          <w:p w:rsidR="00A56994" w:rsidRPr="0074025B" w:rsidRDefault="00A56994" w:rsidP="009372D4">
            <w:pPr>
              <w:jc w:val="center"/>
              <w:rPr>
                <w:color w:val="000000" w:themeColor="text1"/>
                <w:vertAlign w:val="superscript"/>
              </w:rPr>
            </w:pPr>
            <w:r w:rsidRPr="0074025B">
              <w:rPr>
                <w:color w:val="000000" w:themeColor="text1"/>
              </w:rPr>
              <w:t>-1,819.51</w:t>
            </w:r>
            <w:r w:rsidRPr="0074025B">
              <w:rPr>
                <w:b/>
                <w:color w:val="000000" w:themeColor="text1"/>
                <w:vertAlign w:val="superscript"/>
              </w:rPr>
              <w:t>D</w:t>
            </w:r>
          </w:p>
        </w:tc>
        <w:tc>
          <w:tcPr>
            <w:tcW w:w="2495" w:type="dxa"/>
            <w:tcBorders>
              <w:top w:val="single" w:sz="4" w:space="0" w:color="auto"/>
            </w:tcBorders>
            <w:hideMark/>
          </w:tcPr>
          <w:p w:rsidR="00A56994" w:rsidRPr="0074025B" w:rsidRDefault="00A56994" w:rsidP="009372D4">
            <w:pPr>
              <w:jc w:val="center"/>
            </w:pPr>
            <w:r w:rsidRPr="0074025B">
              <w:t>2.00</w:t>
            </w:r>
          </w:p>
        </w:tc>
      </w:tr>
      <w:tr w:rsidR="00A56994" w:rsidRPr="0074025B" w:rsidTr="009372D4">
        <w:tc>
          <w:tcPr>
            <w:tcW w:w="2093" w:type="dxa"/>
            <w:hideMark/>
          </w:tcPr>
          <w:p w:rsidR="00A56994" w:rsidRPr="0074025B" w:rsidRDefault="00A56994" w:rsidP="009372D4">
            <w:pPr>
              <w:jc w:val="center"/>
            </w:pPr>
            <w:r w:rsidRPr="0074025B">
              <w:t>1%</w:t>
            </w:r>
          </w:p>
        </w:tc>
        <w:tc>
          <w:tcPr>
            <w:tcW w:w="2494" w:type="dxa"/>
            <w:hideMark/>
          </w:tcPr>
          <w:p w:rsidR="00A56994" w:rsidRPr="0074025B" w:rsidRDefault="00A56994" w:rsidP="009372D4">
            <w:pPr>
              <w:jc w:val="center"/>
            </w:pPr>
            <w:r w:rsidRPr="0074025B">
              <w:t>125,503.8</w:t>
            </w:r>
          </w:p>
        </w:tc>
        <w:tc>
          <w:tcPr>
            <w:tcW w:w="2494" w:type="dxa"/>
            <w:hideMark/>
          </w:tcPr>
          <w:p w:rsidR="00A56994" w:rsidRPr="0074025B" w:rsidRDefault="00A56994" w:rsidP="009372D4">
            <w:pPr>
              <w:jc w:val="center"/>
              <w:rPr>
                <w:color w:val="000000" w:themeColor="text1"/>
                <w:vertAlign w:val="superscript"/>
                <w:lang w:val="de-DE"/>
              </w:rPr>
            </w:pPr>
            <w:r w:rsidRPr="0074025B">
              <w:rPr>
                <w:color w:val="000000" w:themeColor="text1"/>
              </w:rPr>
              <w:t>-1,631.38</w:t>
            </w:r>
            <w:r w:rsidRPr="0074025B">
              <w:rPr>
                <w:b/>
                <w:color w:val="000000" w:themeColor="text1"/>
                <w:vertAlign w:val="superscript"/>
              </w:rPr>
              <w:t>D</w:t>
            </w:r>
          </w:p>
        </w:tc>
        <w:tc>
          <w:tcPr>
            <w:tcW w:w="2495" w:type="dxa"/>
            <w:hideMark/>
          </w:tcPr>
          <w:p w:rsidR="00A56994" w:rsidRPr="0074025B" w:rsidRDefault="00A56994" w:rsidP="009372D4">
            <w:pPr>
              <w:jc w:val="center"/>
              <w:rPr>
                <w:lang w:val="de-DE"/>
              </w:rPr>
            </w:pPr>
            <w:r w:rsidRPr="0074025B">
              <w:rPr>
                <w:lang w:val="de-DE"/>
              </w:rPr>
              <w:t>1.70</w:t>
            </w:r>
          </w:p>
        </w:tc>
      </w:tr>
      <w:tr w:rsidR="00A56994" w:rsidRPr="0074025B" w:rsidTr="009372D4">
        <w:tc>
          <w:tcPr>
            <w:tcW w:w="2093" w:type="dxa"/>
            <w:hideMark/>
          </w:tcPr>
          <w:p w:rsidR="00A56994" w:rsidRPr="0074025B" w:rsidRDefault="00A56994" w:rsidP="009372D4">
            <w:pPr>
              <w:jc w:val="center"/>
              <w:rPr>
                <w:lang w:val="de-DE"/>
              </w:rPr>
            </w:pPr>
            <w:r w:rsidRPr="0074025B">
              <w:rPr>
                <w:lang w:val="de-DE"/>
              </w:rPr>
              <w:t>3%</w:t>
            </w:r>
          </w:p>
        </w:tc>
        <w:tc>
          <w:tcPr>
            <w:tcW w:w="2494" w:type="dxa"/>
            <w:hideMark/>
          </w:tcPr>
          <w:p w:rsidR="00A56994" w:rsidRPr="0074025B" w:rsidRDefault="00A56994" w:rsidP="009372D4">
            <w:pPr>
              <w:jc w:val="center"/>
              <w:rPr>
                <w:lang w:val="de-DE"/>
              </w:rPr>
            </w:pPr>
            <w:r w:rsidRPr="0074025B">
              <w:rPr>
                <w:lang w:val="de-DE"/>
              </w:rPr>
              <w:t>82,708.5</w:t>
            </w:r>
          </w:p>
        </w:tc>
        <w:tc>
          <w:tcPr>
            <w:tcW w:w="2494" w:type="dxa"/>
            <w:hideMark/>
          </w:tcPr>
          <w:p w:rsidR="00A56994" w:rsidRPr="0074025B" w:rsidRDefault="00A56994" w:rsidP="009372D4">
            <w:pPr>
              <w:jc w:val="center"/>
              <w:rPr>
                <w:color w:val="000000" w:themeColor="text1"/>
                <w:vertAlign w:val="superscript"/>
                <w:lang w:val="de-DE"/>
              </w:rPr>
            </w:pPr>
            <w:r w:rsidRPr="0074025B">
              <w:rPr>
                <w:color w:val="000000" w:themeColor="text1"/>
                <w:lang w:val="de-DE"/>
              </w:rPr>
              <w:t>-1,031.61</w:t>
            </w:r>
            <w:r w:rsidRPr="0074025B">
              <w:rPr>
                <w:b/>
                <w:color w:val="000000" w:themeColor="text1"/>
                <w:vertAlign w:val="superscript"/>
                <w:lang w:val="de-DE"/>
              </w:rPr>
              <w:t>D</w:t>
            </w:r>
          </w:p>
        </w:tc>
        <w:tc>
          <w:tcPr>
            <w:tcW w:w="2495" w:type="dxa"/>
            <w:hideMark/>
          </w:tcPr>
          <w:p w:rsidR="00A56994" w:rsidRPr="0074025B" w:rsidRDefault="00A56994" w:rsidP="009372D4">
            <w:pPr>
              <w:jc w:val="center"/>
              <w:rPr>
                <w:lang w:val="de-DE"/>
              </w:rPr>
            </w:pPr>
            <w:r w:rsidRPr="0074025B">
              <w:rPr>
                <w:lang w:val="de-DE"/>
              </w:rPr>
              <w:t>1.29</w:t>
            </w:r>
          </w:p>
        </w:tc>
      </w:tr>
      <w:tr w:rsidR="00A56994" w:rsidRPr="0074025B" w:rsidTr="009372D4">
        <w:tc>
          <w:tcPr>
            <w:tcW w:w="2093" w:type="dxa"/>
            <w:tcBorders>
              <w:bottom w:val="single" w:sz="4" w:space="0" w:color="auto"/>
            </w:tcBorders>
            <w:hideMark/>
          </w:tcPr>
          <w:p w:rsidR="00A56994" w:rsidRPr="0074025B" w:rsidRDefault="00A56994" w:rsidP="009372D4">
            <w:pPr>
              <w:jc w:val="center"/>
              <w:rPr>
                <w:lang w:val="de-DE"/>
              </w:rPr>
            </w:pPr>
            <w:r w:rsidRPr="0074025B">
              <w:rPr>
                <w:lang w:val="de-DE"/>
              </w:rPr>
              <w:t>5%</w:t>
            </w:r>
          </w:p>
        </w:tc>
        <w:tc>
          <w:tcPr>
            <w:tcW w:w="2494" w:type="dxa"/>
            <w:tcBorders>
              <w:bottom w:val="single" w:sz="4" w:space="0" w:color="auto"/>
            </w:tcBorders>
            <w:hideMark/>
          </w:tcPr>
          <w:p w:rsidR="00A56994" w:rsidRPr="0074025B" w:rsidRDefault="00A56994" w:rsidP="009372D4">
            <w:pPr>
              <w:jc w:val="center"/>
              <w:rPr>
                <w:lang w:val="de-DE"/>
              </w:rPr>
            </w:pPr>
            <w:r w:rsidRPr="0074025B">
              <w:rPr>
                <w:lang w:val="de-DE"/>
              </w:rPr>
              <w:t>59,081.6</w:t>
            </w:r>
          </w:p>
        </w:tc>
        <w:tc>
          <w:tcPr>
            <w:tcW w:w="2494" w:type="dxa"/>
            <w:tcBorders>
              <w:bottom w:val="single" w:sz="4" w:space="0" w:color="auto"/>
            </w:tcBorders>
            <w:hideMark/>
          </w:tcPr>
          <w:p w:rsidR="00A56994" w:rsidRPr="0074025B" w:rsidRDefault="00A56994" w:rsidP="009372D4">
            <w:pPr>
              <w:jc w:val="center"/>
              <w:rPr>
                <w:color w:val="000000" w:themeColor="text1"/>
                <w:vertAlign w:val="superscript"/>
                <w:lang w:val="de-DE"/>
              </w:rPr>
            </w:pPr>
            <w:r w:rsidRPr="0074025B">
              <w:rPr>
                <w:color w:val="000000" w:themeColor="text1"/>
                <w:lang w:val="de-DE"/>
              </w:rPr>
              <w:t>-170,92</w:t>
            </w:r>
            <w:r w:rsidRPr="0074025B">
              <w:rPr>
                <w:b/>
                <w:color w:val="000000" w:themeColor="text1"/>
                <w:vertAlign w:val="superscript"/>
                <w:lang w:val="de-DE"/>
              </w:rPr>
              <w:t>D</w:t>
            </w:r>
          </w:p>
        </w:tc>
        <w:tc>
          <w:tcPr>
            <w:tcW w:w="2495" w:type="dxa"/>
            <w:tcBorders>
              <w:bottom w:val="single" w:sz="4" w:space="0" w:color="auto"/>
            </w:tcBorders>
            <w:hideMark/>
          </w:tcPr>
          <w:p w:rsidR="00A56994" w:rsidRPr="0074025B" w:rsidRDefault="00A56994" w:rsidP="009372D4">
            <w:pPr>
              <w:jc w:val="center"/>
              <w:rPr>
                <w:lang w:val="de-DE"/>
              </w:rPr>
            </w:pPr>
            <w:r w:rsidRPr="0074025B">
              <w:rPr>
                <w:lang w:val="de-DE"/>
              </w:rPr>
              <w:t>1.03</w:t>
            </w:r>
          </w:p>
        </w:tc>
      </w:tr>
      <w:tr w:rsidR="00A56994" w:rsidRPr="0074025B" w:rsidTr="009372D4">
        <w:tc>
          <w:tcPr>
            <w:tcW w:w="9576" w:type="dxa"/>
            <w:gridSpan w:val="4"/>
            <w:tcBorders>
              <w:top w:val="single" w:sz="4" w:space="0" w:color="auto"/>
            </w:tcBorders>
          </w:tcPr>
          <w:p w:rsidR="00A56994" w:rsidRPr="0074025B" w:rsidRDefault="00A56994" w:rsidP="009372D4">
            <w:pPr>
              <w:spacing w:after="0"/>
              <w:rPr>
                <w:rFonts w:cs="Arial"/>
              </w:rPr>
            </w:pPr>
            <w:r w:rsidRPr="0074025B">
              <w:rPr>
                <w:rFonts w:cs="Arial"/>
              </w:rPr>
              <w:t xml:space="preserve">Note: Compared to Current Investment, Prospective Scenario 2 increases reach for group behavioral therapy and financial incentive program to 2.9%, and for </w:t>
            </w:r>
            <w:proofErr w:type="spellStart"/>
            <w:r w:rsidRPr="0074025B">
              <w:rPr>
                <w:rFonts w:cs="Arial"/>
              </w:rPr>
              <w:t>Varenicline</w:t>
            </w:r>
            <w:proofErr w:type="spellEnd"/>
            <w:r w:rsidRPr="0074025B">
              <w:rPr>
                <w:rFonts w:cs="Arial"/>
              </w:rPr>
              <w:t xml:space="preserve"> to 14.5% (=level of England) of yearly quit attempts.</w:t>
            </w:r>
          </w:p>
          <w:p w:rsidR="00A56994" w:rsidRPr="0074025B" w:rsidRDefault="00A56994" w:rsidP="009372D4">
            <w:pPr>
              <w:spacing w:after="0"/>
              <w:rPr>
                <w:rFonts w:cs="Arial"/>
              </w:rPr>
            </w:pPr>
            <w:r w:rsidRPr="0074025B">
              <w:rPr>
                <w:rFonts w:cs="Arial"/>
              </w:rPr>
              <w:t>D: Dominant (cheaper to run but generates more QALYs). The actual figure (in negative, rather than just stating ‘Dominant’) is reported here to allow readers to map this figure onto the reported ROI figure.</w:t>
            </w:r>
          </w:p>
          <w:p w:rsidR="00A56994" w:rsidRPr="0074025B" w:rsidRDefault="00A56994" w:rsidP="009372D4">
            <w:pPr>
              <w:spacing w:after="0"/>
              <w:rPr>
                <w:rFonts w:cs="Arial"/>
              </w:rPr>
            </w:pPr>
          </w:p>
        </w:tc>
      </w:tr>
    </w:tbl>
    <w:p w:rsidR="00A56994" w:rsidRPr="0074025B" w:rsidRDefault="00A56994" w:rsidP="00A56994">
      <w:pPr>
        <w:rPr>
          <w:rFonts w:cs="Arial"/>
          <w:b/>
        </w:rPr>
      </w:pPr>
    </w:p>
    <w:p w:rsidR="00A20060" w:rsidRDefault="00A20060">
      <w:bookmarkStart w:id="0" w:name="_GoBack"/>
      <w:bookmarkEnd w:id="0"/>
    </w:p>
    <w:sectPr w:rsidR="00A200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994"/>
    <w:rsid w:val="00443747"/>
    <w:rsid w:val="00687EFE"/>
    <w:rsid w:val="00A20060"/>
    <w:rsid w:val="00A56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AEE3A5-7F57-44F9-9D85-DC44D579C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1376</Characters>
  <Application>Microsoft Office Word</Application>
  <DocSecurity>0</DocSecurity>
  <Lines>11</Lines>
  <Paragraphs>3</Paragraphs>
  <ScaleCrop>false</ScaleCrop>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EMONGCOPA</dc:creator>
  <cp:keywords/>
  <dc:description/>
  <cp:lastModifiedBy>EMONGCOPA</cp:lastModifiedBy>
  <cp:revision>1</cp:revision>
  <dcterms:created xsi:type="dcterms:W3CDTF">2017-10-12T22:36:00Z</dcterms:created>
  <dcterms:modified xsi:type="dcterms:W3CDTF">2017-10-12T22:45:00Z</dcterms:modified>
</cp:coreProperties>
</file>