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206" w:rsidRPr="000E5B14" w:rsidRDefault="00DB1206" w:rsidP="004A4F94">
      <w:pPr>
        <w:spacing w:line="480" w:lineRule="auto"/>
        <w:jc w:val="center"/>
        <w:rPr>
          <w:b/>
          <w:bCs/>
          <w:sz w:val="28"/>
          <w:szCs w:val="28"/>
          <w:lang w:val="en-US"/>
        </w:rPr>
      </w:pPr>
      <w:bookmarkStart w:id="0" w:name="_GoBack"/>
      <w:r w:rsidRPr="000E5B14">
        <w:rPr>
          <w:b/>
          <w:bCs/>
          <w:sz w:val="28"/>
          <w:szCs w:val="28"/>
          <w:lang w:val="en-US"/>
        </w:rPr>
        <w:t xml:space="preserve">Diagnostic potential of major and trace elements in the serum of bladder </w:t>
      </w:r>
      <w:bookmarkEnd w:id="0"/>
      <w:r w:rsidRPr="000E5B14">
        <w:rPr>
          <w:b/>
          <w:bCs/>
          <w:sz w:val="28"/>
          <w:szCs w:val="28"/>
          <w:lang w:val="en-US"/>
        </w:rPr>
        <w:t>cancer patients</w:t>
      </w:r>
    </w:p>
    <w:p w:rsidR="00DB1206" w:rsidRPr="00273137" w:rsidRDefault="00DB1206" w:rsidP="004A4F94">
      <w:pPr>
        <w:spacing w:line="480" w:lineRule="auto"/>
        <w:jc w:val="center"/>
        <w:rPr>
          <w:b/>
          <w:bCs/>
          <w:szCs w:val="24"/>
          <w:lang w:val="en-US"/>
        </w:rPr>
      </w:pPr>
      <w:r w:rsidRPr="00273137">
        <w:rPr>
          <w:b/>
          <w:bCs/>
          <w:szCs w:val="24"/>
          <w:lang w:val="en-US"/>
        </w:rPr>
        <w:t>Short title: Major and trace elements in bladder cancer patients</w:t>
      </w:r>
    </w:p>
    <w:p w:rsidR="00DB1206" w:rsidRPr="00973768" w:rsidRDefault="00DB1206" w:rsidP="004A4F94">
      <w:pPr>
        <w:spacing w:line="480" w:lineRule="auto"/>
        <w:jc w:val="both"/>
        <w:rPr>
          <w:bCs/>
        </w:rPr>
      </w:pPr>
      <w:r>
        <w:rPr>
          <w:bCs/>
        </w:rPr>
        <w:t xml:space="preserve">Sven </w:t>
      </w:r>
      <w:r w:rsidRPr="00973768">
        <w:rPr>
          <w:bCs/>
        </w:rPr>
        <w:t>Wach</w:t>
      </w:r>
      <w:r>
        <w:rPr>
          <w:bCs/>
          <w:vertAlign w:val="superscript"/>
        </w:rPr>
        <w:t>a</w:t>
      </w:r>
      <w:proofErr w:type="gramStart"/>
      <w:r w:rsidRPr="00973768">
        <w:rPr>
          <w:bCs/>
          <w:vertAlign w:val="superscript"/>
        </w:rPr>
        <w:t>,</w:t>
      </w:r>
      <w:r>
        <w:rPr>
          <w:bCs/>
          <w:vertAlign w:val="superscript"/>
        </w:rPr>
        <w:t>e</w:t>
      </w:r>
      <w:proofErr w:type="gramEnd"/>
      <w:r w:rsidRPr="00973768">
        <w:rPr>
          <w:bCs/>
        </w:rPr>
        <w:t xml:space="preserve">, </w:t>
      </w:r>
      <w:r>
        <w:rPr>
          <w:bCs/>
        </w:rPr>
        <w:t xml:space="preserve">Katrin </w:t>
      </w:r>
      <w:r w:rsidRPr="00973768">
        <w:rPr>
          <w:bCs/>
        </w:rPr>
        <w:t>Weigelt</w:t>
      </w:r>
      <w:r>
        <w:rPr>
          <w:bCs/>
          <w:vertAlign w:val="superscript"/>
        </w:rPr>
        <w:t>a</w:t>
      </w:r>
      <w:r w:rsidRPr="00973768">
        <w:rPr>
          <w:bCs/>
        </w:rPr>
        <w:t xml:space="preserve">, </w:t>
      </w:r>
      <w:r>
        <w:rPr>
          <w:bCs/>
        </w:rPr>
        <w:t xml:space="preserve">Bernhard </w:t>
      </w:r>
      <w:r w:rsidRPr="00973768">
        <w:rPr>
          <w:bCs/>
        </w:rPr>
        <w:t>Michalke</w:t>
      </w:r>
      <w:r>
        <w:rPr>
          <w:bCs/>
          <w:vertAlign w:val="superscript"/>
        </w:rPr>
        <w:t>b</w:t>
      </w:r>
      <w:r w:rsidRPr="00973768">
        <w:rPr>
          <w:bCs/>
        </w:rPr>
        <w:t xml:space="preserve">, </w:t>
      </w:r>
      <w:r>
        <w:rPr>
          <w:bCs/>
        </w:rPr>
        <w:t xml:space="preserve">Verena </w:t>
      </w:r>
      <w:r w:rsidRPr="00973768">
        <w:rPr>
          <w:bCs/>
        </w:rPr>
        <w:t>Lieb</w:t>
      </w:r>
      <w:r>
        <w:rPr>
          <w:bCs/>
          <w:vertAlign w:val="superscript"/>
        </w:rPr>
        <w:t>a</w:t>
      </w:r>
      <w:r w:rsidRPr="007B165B">
        <w:rPr>
          <w:bCs/>
        </w:rPr>
        <w:t>,</w:t>
      </w:r>
      <w:r>
        <w:rPr>
          <w:bCs/>
        </w:rPr>
        <w:t xml:space="preserve"> Robert </w:t>
      </w:r>
      <w:r w:rsidRPr="00973768">
        <w:rPr>
          <w:bCs/>
        </w:rPr>
        <w:t>Stoehr</w:t>
      </w:r>
      <w:r>
        <w:rPr>
          <w:bCs/>
          <w:vertAlign w:val="superscript"/>
        </w:rPr>
        <w:t>c</w:t>
      </w:r>
      <w:r w:rsidRPr="00973768">
        <w:rPr>
          <w:bCs/>
          <w:vertAlign w:val="superscript"/>
        </w:rPr>
        <w:t>,</w:t>
      </w:r>
      <w:r>
        <w:rPr>
          <w:bCs/>
          <w:vertAlign w:val="superscript"/>
        </w:rPr>
        <w:t>e</w:t>
      </w:r>
      <w:r w:rsidRPr="00973768">
        <w:rPr>
          <w:bCs/>
        </w:rPr>
        <w:t xml:space="preserve">, </w:t>
      </w:r>
      <w:r>
        <w:rPr>
          <w:bCs/>
        </w:rPr>
        <w:t xml:space="preserve">Bastian </w:t>
      </w:r>
      <w:r w:rsidRPr="00973768">
        <w:rPr>
          <w:bCs/>
        </w:rPr>
        <w:t>Keck</w:t>
      </w:r>
      <w:r>
        <w:rPr>
          <w:bCs/>
          <w:vertAlign w:val="superscript"/>
        </w:rPr>
        <w:t>a,e</w:t>
      </w:r>
      <w:r w:rsidRPr="00973768">
        <w:rPr>
          <w:bCs/>
        </w:rPr>
        <w:t xml:space="preserve">, </w:t>
      </w:r>
      <w:r>
        <w:rPr>
          <w:bCs/>
        </w:rPr>
        <w:t xml:space="preserve">Arndt </w:t>
      </w:r>
      <w:r w:rsidRPr="00973768">
        <w:rPr>
          <w:bCs/>
        </w:rPr>
        <w:t>Hartmann</w:t>
      </w:r>
      <w:r>
        <w:rPr>
          <w:bCs/>
          <w:vertAlign w:val="superscript"/>
        </w:rPr>
        <w:t>c,e</w:t>
      </w:r>
      <w:r w:rsidRPr="00973768">
        <w:rPr>
          <w:bCs/>
        </w:rPr>
        <w:t xml:space="preserve">, </w:t>
      </w:r>
      <w:r>
        <w:rPr>
          <w:bCs/>
        </w:rPr>
        <w:t xml:space="preserve">Bernd </w:t>
      </w:r>
      <w:r w:rsidRPr="00973768">
        <w:rPr>
          <w:bCs/>
        </w:rPr>
        <w:t>Wullich</w:t>
      </w:r>
      <w:r>
        <w:rPr>
          <w:bCs/>
          <w:vertAlign w:val="superscript"/>
        </w:rPr>
        <w:t>a,e</w:t>
      </w:r>
      <w:r w:rsidRPr="00973768">
        <w:rPr>
          <w:bCs/>
        </w:rPr>
        <w:t xml:space="preserve">, </w:t>
      </w:r>
      <w:r>
        <w:rPr>
          <w:bCs/>
        </w:rPr>
        <w:t xml:space="preserve">Helge </w:t>
      </w:r>
      <w:r w:rsidRPr="00973768">
        <w:rPr>
          <w:bCs/>
        </w:rPr>
        <w:t>Taubert</w:t>
      </w:r>
      <w:r>
        <w:rPr>
          <w:bCs/>
          <w:vertAlign w:val="superscript"/>
        </w:rPr>
        <w:t>a,e,f</w:t>
      </w:r>
      <w:r w:rsidRPr="00973768">
        <w:rPr>
          <w:bCs/>
        </w:rPr>
        <w:t xml:space="preserve">, </w:t>
      </w:r>
      <w:r>
        <w:rPr>
          <w:bCs/>
        </w:rPr>
        <w:t xml:space="preserve">Anwar </w:t>
      </w:r>
      <w:r w:rsidRPr="00973768">
        <w:rPr>
          <w:bCs/>
        </w:rPr>
        <w:t>Chaudhri</w:t>
      </w:r>
      <w:r>
        <w:rPr>
          <w:bCs/>
          <w:vertAlign w:val="superscript"/>
        </w:rPr>
        <w:t>d,f</w:t>
      </w:r>
    </w:p>
    <w:p w:rsidR="00DB1206" w:rsidRPr="00973768" w:rsidRDefault="00DB1206" w:rsidP="004A4F94">
      <w:pPr>
        <w:spacing w:line="480" w:lineRule="auto"/>
        <w:jc w:val="both"/>
        <w:rPr>
          <w:bCs/>
        </w:rPr>
      </w:pPr>
    </w:p>
    <w:p w:rsidR="00DB1206" w:rsidRPr="007B5181" w:rsidRDefault="00DB1206" w:rsidP="004A4F94">
      <w:pPr>
        <w:spacing w:line="480" w:lineRule="auto"/>
        <w:jc w:val="both"/>
        <w:rPr>
          <w:bCs/>
        </w:rPr>
      </w:pPr>
      <w:r>
        <w:rPr>
          <w:bCs/>
          <w:vertAlign w:val="superscript"/>
        </w:rPr>
        <w:t>a</w:t>
      </w:r>
      <w:r w:rsidRPr="007B5181">
        <w:rPr>
          <w:bCs/>
        </w:rPr>
        <w:t xml:space="preserve"> Dept. of Urology and Pediatric Urology, University Hospital Erlangen, Friedrich Alexander-University Erlangen-Nürnberg, Krankenhausstr. 12, D- 91054 Erlangen, Germany</w:t>
      </w:r>
    </w:p>
    <w:p w:rsidR="00DB1206" w:rsidRPr="00126F5A" w:rsidRDefault="00DB1206" w:rsidP="004A4F94">
      <w:pPr>
        <w:spacing w:line="480" w:lineRule="auto"/>
        <w:jc w:val="both"/>
        <w:rPr>
          <w:bCs/>
        </w:rPr>
      </w:pPr>
      <w:proofErr w:type="gramStart"/>
      <w:r>
        <w:rPr>
          <w:bCs/>
          <w:vertAlign w:val="superscript"/>
          <w:lang w:val="en-US"/>
        </w:rPr>
        <w:t>b</w:t>
      </w:r>
      <w:proofErr w:type="gramEnd"/>
      <w:r>
        <w:rPr>
          <w:bCs/>
          <w:vertAlign w:val="superscript"/>
          <w:lang w:val="en-US"/>
        </w:rPr>
        <w:t xml:space="preserve"> </w:t>
      </w:r>
      <w:r w:rsidRPr="000E5B14">
        <w:rPr>
          <w:bCs/>
          <w:lang w:val="en-US"/>
        </w:rPr>
        <w:t xml:space="preserve">Helmholtz Zentrum München, German Research Center for Environmental Health GmbH, Analytical BioGeoChemistry, </w:t>
      </w:r>
      <w:r w:rsidRPr="007B5181">
        <w:rPr>
          <w:bCs/>
          <w:lang w:val="en-US"/>
        </w:rPr>
        <w:t xml:space="preserve">Ingolstaedter Landstr. </w:t>
      </w:r>
      <w:r w:rsidRPr="00126F5A">
        <w:rPr>
          <w:bCs/>
        </w:rPr>
        <w:t>1, D-85764 Neuherberg, Germany</w:t>
      </w:r>
    </w:p>
    <w:p w:rsidR="00DB1206" w:rsidRPr="007B5181" w:rsidRDefault="00DB1206" w:rsidP="004A4F94">
      <w:pPr>
        <w:spacing w:line="480" w:lineRule="auto"/>
        <w:jc w:val="both"/>
        <w:rPr>
          <w:bCs/>
          <w:lang w:val="en-US"/>
        </w:rPr>
      </w:pPr>
      <w:r w:rsidRPr="00E960BB">
        <w:rPr>
          <w:bCs/>
          <w:vertAlign w:val="superscript"/>
        </w:rPr>
        <w:t xml:space="preserve">c </w:t>
      </w:r>
      <w:r w:rsidRPr="00E960BB">
        <w:rPr>
          <w:bCs/>
        </w:rPr>
        <w:t xml:space="preserve">Institute of Pathology, University Hospital Erlangen, Friedrich Alexander-University Erlangen-Nürnberg, Krankenhausstr. </w:t>
      </w:r>
      <w:r>
        <w:rPr>
          <w:bCs/>
          <w:lang w:val="en-US"/>
        </w:rPr>
        <w:t xml:space="preserve">8-10, D-91054 </w:t>
      </w:r>
      <w:r w:rsidRPr="007B5181">
        <w:rPr>
          <w:bCs/>
          <w:lang w:val="en-US"/>
        </w:rPr>
        <w:t>Erlangen, Germany</w:t>
      </w:r>
    </w:p>
    <w:p w:rsidR="00DB1206" w:rsidRPr="000E5B14" w:rsidRDefault="00DB1206" w:rsidP="004A4F94">
      <w:pPr>
        <w:spacing w:line="480" w:lineRule="auto"/>
        <w:jc w:val="both"/>
        <w:rPr>
          <w:bCs/>
          <w:lang w:val="en-US"/>
        </w:rPr>
      </w:pPr>
      <w:r>
        <w:rPr>
          <w:bCs/>
          <w:vertAlign w:val="superscript"/>
          <w:lang w:val="en-US"/>
        </w:rPr>
        <w:t xml:space="preserve">d </w:t>
      </w:r>
      <w:r w:rsidRPr="007B5181">
        <w:rPr>
          <w:bCs/>
          <w:lang w:val="en-US"/>
        </w:rPr>
        <w:t>Institute for Surface Science and Corrosion</w:t>
      </w:r>
      <w:r w:rsidRPr="000E5B14">
        <w:rPr>
          <w:bCs/>
          <w:lang w:val="en-US"/>
        </w:rPr>
        <w:t xml:space="preserve">, Department of Materials Science, Friedrich Alexander-University Erlangen-Nürnberg, </w:t>
      </w:r>
      <w:r w:rsidRPr="007B5181">
        <w:rPr>
          <w:bCs/>
          <w:lang w:val="en-US"/>
        </w:rPr>
        <w:t>Martensstraße 7</w:t>
      </w:r>
      <w:r>
        <w:rPr>
          <w:bCs/>
          <w:lang w:val="en-US"/>
        </w:rPr>
        <w:t>, D-91058</w:t>
      </w:r>
      <w:r w:rsidRPr="007B5181">
        <w:rPr>
          <w:bCs/>
          <w:lang w:val="en-US"/>
        </w:rPr>
        <w:t xml:space="preserve"> </w:t>
      </w:r>
      <w:r w:rsidRPr="000E5B14">
        <w:rPr>
          <w:bCs/>
          <w:lang w:val="en-US"/>
        </w:rPr>
        <w:t>Erlangen, Germany</w:t>
      </w:r>
    </w:p>
    <w:p w:rsidR="00DB1206" w:rsidRPr="000E5B14" w:rsidRDefault="00DB1206" w:rsidP="004A4F94">
      <w:pPr>
        <w:spacing w:line="480" w:lineRule="auto"/>
        <w:jc w:val="both"/>
        <w:rPr>
          <w:bCs/>
          <w:lang w:val="en-US"/>
        </w:rPr>
      </w:pPr>
      <w:proofErr w:type="gramStart"/>
      <w:r>
        <w:rPr>
          <w:bCs/>
          <w:vertAlign w:val="superscript"/>
          <w:lang w:val="en-US"/>
        </w:rPr>
        <w:t>e</w:t>
      </w:r>
      <w:proofErr w:type="gramEnd"/>
      <w:r w:rsidRPr="000E5B14">
        <w:rPr>
          <w:bCs/>
          <w:lang w:val="en-US"/>
        </w:rPr>
        <w:t xml:space="preserve"> Bridge Consortium e.V., Germany</w:t>
      </w:r>
    </w:p>
    <w:p w:rsidR="00DB1206" w:rsidRPr="000E5B14" w:rsidRDefault="00DB1206" w:rsidP="004A4F94">
      <w:pPr>
        <w:spacing w:line="480" w:lineRule="auto"/>
        <w:jc w:val="both"/>
        <w:rPr>
          <w:bCs/>
          <w:lang w:val="en-US"/>
        </w:rPr>
      </w:pPr>
      <w:proofErr w:type="gramStart"/>
      <w:r>
        <w:rPr>
          <w:bCs/>
          <w:vertAlign w:val="superscript"/>
          <w:lang w:val="en-US"/>
        </w:rPr>
        <w:t>f</w:t>
      </w:r>
      <w:proofErr w:type="gramEnd"/>
      <w:r w:rsidRPr="000E5B14">
        <w:rPr>
          <w:bCs/>
          <w:lang w:val="en-US"/>
        </w:rPr>
        <w:t xml:space="preserve"> Both authors contributed equally</w:t>
      </w:r>
    </w:p>
    <w:p w:rsidR="00DB1206" w:rsidRPr="000E5B14" w:rsidRDefault="00DB1206" w:rsidP="004A4F94">
      <w:pPr>
        <w:spacing w:line="480" w:lineRule="auto"/>
        <w:jc w:val="both"/>
        <w:rPr>
          <w:b/>
          <w:bCs/>
          <w:lang w:val="en-US"/>
        </w:rPr>
      </w:pPr>
    </w:p>
    <w:p w:rsidR="00DB1206" w:rsidRPr="00126F5A" w:rsidRDefault="00DB1206" w:rsidP="004A4F94">
      <w:pPr>
        <w:spacing w:line="480" w:lineRule="auto"/>
        <w:jc w:val="both"/>
        <w:rPr>
          <w:b/>
          <w:bCs/>
          <w:lang w:val="en-US"/>
        </w:rPr>
      </w:pPr>
      <w:r w:rsidRPr="004A4F94">
        <w:rPr>
          <w:b/>
          <w:bCs/>
          <w:lang w:val="en-US"/>
        </w:rPr>
        <w:t xml:space="preserve">Correspondence: </w:t>
      </w:r>
      <w:r w:rsidRPr="004A4F94">
        <w:rPr>
          <w:bCs/>
          <w:lang w:val="en-US"/>
        </w:rPr>
        <w:t>Bernhard Michalke, PhD.; Helmholtz Zentrum München</w:t>
      </w:r>
      <w:r>
        <w:rPr>
          <w:bCs/>
          <w:lang w:val="en-US"/>
        </w:rPr>
        <w:t>,</w:t>
      </w:r>
      <w:r w:rsidRPr="004A4F94">
        <w:rPr>
          <w:bCs/>
          <w:lang w:val="en-US"/>
        </w:rPr>
        <w:t xml:space="preserve"> German Research Center for Environmental Health</w:t>
      </w:r>
      <w:r>
        <w:rPr>
          <w:bCs/>
          <w:lang w:val="en-US"/>
        </w:rPr>
        <w:t xml:space="preserve">, </w:t>
      </w:r>
      <w:r w:rsidRPr="004A4F94">
        <w:rPr>
          <w:bCs/>
          <w:lang w:val="en-US"/>
        </w:rPr>
        <w:t>Research Unit Analytical BioGeoChemistry</w:t>
      </w:r>
      <w:r>
        <w:rPr>
          <w:bCs/>
          <w:lang w:val="en-US"/>
        </w:rPr>
        <w:t xml:space="preserve">, </w:t>
      </w:r>
      <w:r w:rsidRPr="004A4F94">
        <w:rPr>
          <w:bCs/>
          <w:lang w:val="en-US"/>
        </w:rPr>
        <w:t>Building/Room: 22 / 017</w:t>
      </w:r>
      <w:r>
        <w:rPr>
          <w:bCs/>
          <w:lang w:val="en-US"/>
        </w:rPr>
        <w:t>,</w:t>
      </w:r>
      <w:r w:rsidRPr="004A4F94">
        <w:rPr>
          <w:bCs/>
          <w:lang w:val="en-US"/>
        </w:rPr>
        <w:t xml:space="preserve"> Ingolstaedter Landstr. </w:t>
      </w:r>
      <w:r w:rsidRPr="00126F5A">
        <w:rPr>
          <w:bCs/>
          <w:lang w:val="en-US"/>
        </w:rPr>
        <w:t>1, 85764 Neuherberg, Germany, phone: +49 89 3187 4206; e-mail: bernhard.michalke@helmholtz-muenchen.de</w:t>
      </w:r>
      <w:r w:rsidRPr="00126F5A" w:rsidDel="004A4F94">
        <w:rPr>
          <w:bCs/>
          <w:lang w:val="en-US"/>
        </w:rPr>
        <w:t xml:space="preserve">  </w:t>
      </w:r>
    </w:p>
    <w:p w:rsidR="00DB1206" w:rsidRPr="00126F5A" w:rsidRDefault="00DB1206" w:rsidP="004A4F94">
      <w:pPr>
        <w:spacing w:line="480" w:lineRule="auto"/>
        <w:jc w:val="both"/>
        <w:rPr>
          <w:b/>
          <w:bCs/>
          <w:lang w:val="en-US"/>
        </w:rPr>
      </w:pPr>
    </w:p>
    <w:p w:rsidR="00DB1206" w:rsidRPr="000E5B14" w:rsidRDefault="00DB1206" w:rsidP="004A4F94">
      <w:pPr>
        <w:spacing w:line="480" w:lineRule="auto"/>
        <w:jc w:val="both"/>
        <w:rPr>
          <w:b/>
          <w:bCs/>
          <w:lang w:val="en-US"/>
        </w:rPr>
      </w:pPr>
      <w:r w:rsidRPr="000E5B14">
        <w:rPr>
          <w:b/>
          <w:bCs/>
          <w:lang w:val="en-US"/>
        </w:rPr>
        <w:t>Keywords</w:t>
      </w:r>
    </w:p>
    <w:p w:rsidR="00DB1206" w:rsidRPr="000E5B14" w:rsidRDefault="00DB1206" w:rsidP="004A4F94">
      <w:pPr>
        <w:spacing w:line="480" w:lineRule="auto"/>
        <w:jc w:val="both"/>
        <w:rPr>
          <w:bCs/>
          <w:lang w:val="en-US"/>
        </w:rPr>
      </w:pPr>
      <w:r w:rsidRPr="000E5B14">
        <w:rPr>
          <w:bCs/>
          <w:lang w:val="en-US"/>
        </w:rPr>
        <w:t>Major and trace elements, bladder cancer, diagnosis, serum, ICP-OES, ICP-MS</w:t>
      </w:r>
    </w:p>
    <w:p w:rsidR="00DB1206" w:rsidRPr="000E5B14" w:rsidRDefault="00DB1206" w:rsidP="004A4F94">
      <w:pPr>
        <w:spacing w:line="480" w:lineRule="auto"/>
        <w:jc w:val="both"/>
        <w:rPr>
          <w:b/>
          <w:bCs/>
          <w:lang w:val="en-US"/>
        </w:rPr>
      </w:pPr>
    </w:p>
    <w:p w:rsidR="00DB1206" w:rsidRPr="000E5B14" w:rsidRDefault="00DB1206" w:rsidP="004A4F94">
      <w:pPr>
        <w:spacing w:line="480" w:lineRule="auto"/>
        <w:jc w:val="both"/>
        <w:rPr>
          <w:b/>
          <w:bCs/>
          <w:lang w:val="en-US"/>
        </w:rPr>
      </w:pPr>
      <w:r w:rsidRPr="000E5B14">
        <w:rPr>
          <w:b/>
          <w:bCs/>
          <w:lang w:val="en-US"/>
        </w:rPr>
        <w:lastRenderedPageBreak/>
        <w:t xml:space="preserve">Abbreviations: </w:t>
      </w:r>
      <w:r w:rsidRPr="000E5B14">
        <w:rPr>
          <w:bCs/>
          <w:lang w:val="en-US"/>
        </w:rPr>
        <w:t xml:space="preserve">BCa: bladder cancer; ICP-MS: inductively coupled plasma mass spectrometry; ICP-OES: inductively coupled plasma – optical emission spectrometry </w:t>
      </w:r>
    </w:p>
    <w:p w:rsidR="00DB1206" w:rsidRPr="000E5B14" w:rsidRDefault="00DB1206" w:rsidP="004A4F94">
      <w:pPr>
        <w:spacing w:line="480" w:lineRule="auto"/>
        <w:rPr>
          <w:b/>
          <w:bCs/>
          <w:lang w:val="en-US"/>
        </w:rPr>
      </w:pPr>
      <w:r w:rsidRPr="000E5B14">
        <w:rPr>
          <w:b/>
          <w:bCs/>
          <w:lang w:val="en-US"/>
        </w:rPr>
        <w:br w:type="page"/>
      </w:r>
    </w:p>
    <w:p w:rsidR="00DB1206" w:rsidRPr="000E5B14" w:rsidRDefault="00DB1206" w:rsidP="004A4F94">
      <w:pPr>
        <w:spacing w:line="480" w:lineRule="auto"/>
        <w:jc w:val="both"/>
        <w:rPr>
          <w:b/>
          <w:bCs/>
          <w:lang w:val="en-US"/>
        </w:rPr>
      </w:pPr>
      <w:r w:rsidRPr="000E5B14">
        <w:rPr>
          <w:b/>
          <w:bCs/>
          <w:lang w:val="en-US"/>
        </w:rPr>
        <w:lastRenderedPageBreak/>
        <w:t>Abstract</w:t>
      </w:r>
    </w:p>
    <w:p w:rsidR="00DB1206" w:rsidRPr="000E5B14" w:rsidRDefault="00DB1206" w:rsidP="004A4F94">
      <w:pPr>
        <w:spacing w:line="480" w:lineRule="auto"/>
        <w:jc w:val="both"/>
        <w:rPr>
          <w:bCs/>
          <w:lang w:val="en-US"/>
        </w:rPr>
      </w:pPr>
      <w:r w:rsidRPr="000E5B14">
        <w:rPr>
          <w:bCs/>
          <w:lang w:val="en-US"/>
        </w:rPr>
        <w:t>Major and trace elements may play a role in the diagnosis of diseases. In this study, we investigated the concentration of 26 major and trace elements</w:t>
      </w:r>
      <w:r w:rsidRPr="000E5B14">
        <w:rPr>
          <w:lang w:val="en-US"/>
        </w:rPr>
        <w:t xml:space="preserve"> </w:t>
      </w:r>
      <w:r w:rsidRPr="000E5B14">
        <w:rPr>
          <w:bCs/>
          <w:lang w:val="en-US"/>
        </w:rPr>
        <w:t xml:space="preserve">in the serum by inductively coupled plasma (ICP) – optical emission spectrometry (OES) and ICP-sector field-mass spectrometry (sf-MS). We analyzed the serum </w:t>
      </w:r>
      <w:r>
        <w:rPr>
          <w:bCs/>
          <w:lang w:val="en-US"/>
        </w:rPr>
        <w:t>from</w:t>
      </w:r>
      <w:r w:rsidRPr="000E5B14">
        <w:rPr>
          <w:bCs/>
          <w:lang w:val="en-US"/>
        </w:rPr>
        <w:t xml:space="preserve"> a discovery cohort of 9 bladder cancer (BCa) patients and 12 healthy controls </w:t>
      </w:r>
      <w:r>
        <w:rPr>
          <w:bCs/>
          <w:lang w:val="en-US"/>
        </w:rPr>
        <w:t>as well as from</w:t>
      </w:r>
      <w:r w:rsidRPr="000E5B14">
        <w:rPr>
          <w:bCs/>
          <w:lang w:val="en-US"/>
        </w:rPr>
        <w:t xml:space="preserve"> a validation cohort of 30 BCa patients, 39 </w:t>
      </w:r>
      <w:r>
        <w:rPr>
          <w:bCs/>
          <w:lang w:val="en-US"/>
        </w:rPr>
        <w:t xml:space="preserve">non-tumor </w:t>
      </w:r>
      <w:r w:rsidRPr="000E5B14">
        <w:rPr>
          <w:bCs/>
          <w:lang w:val="en-US"/>
        </w:rPr>
        <w:t>bladder patients (with acute and chronic inflammation) and 18 healthy controls. Patients were recruited after written consent was obtained at one medical center. Serum was prepared</w:t>
      </w:r>
      <w:r w:rsidRPr="000E5B14">
        <w:rPr>
          <w:lang w:val="en-US"/>
        </w:rPr>
        <w:t xml:space="preserve"> </w:t>
      </w:r>
      <w:r w:rsidRPr="000E5B14">
        <w:rPr>
          <w:bCs/>
          <w:lang w:val="en-US"/>
        </w:rPr>
        <w:t xml:space="preserve">from peripheral blood prior to surgical treatment. </w:t>
      </w:r>
    </w:p>
    <w:p w:rsidR="00DB1206" w:rsidRPr="000E5B14" w:rsidRDefault="00DB1206" w:rsidP="004A4F94">
      <w:pPr>
        <w:spacing w:line="480" w:lineRule="auto"/>
        <w:jc w:val="both"/>
        <w:rPr>
          <w:bCs/>
          <w:lang w:val="en-US"/>
        </w:rPr>
      </w:pPr>
      <w:r w:rsidRPr="000E5B14">
        <w:rPr>
          <w:bCs/>
          <w:lang w:val="en-US"/>
        </w:rPr>
        <w:t>Differences in the levels of major and trace elements were determined by a nonparametric Mann-Whitney test and Kruskal-Wallis statistics. In the discovery cohort, we measured significantly increased levels of mercury, potassium, lithium, magnesium, nickel, and phosphorus and significantly decreased levels of sodium and selenium</w:t>
      </w:r>
      <w:r w:rsidRPr="000E5B14">
        <w:rPr>
          <w:lang w:val="en-US"/>
        </w:rPr>
        <w:t xml:space="preserve"> </w:t>
      </w:r>
      <w:r w:rsidRPr="000E5B14">
        <w:rPr>
          <w:bCs/>
          <w:lang w:val="en-US"/>
        </w:rPr>
        <w:t xml:space="preserve">in BCa patients compared with healthy controls. </w:t>
      </w:r>
    </w:p>
    <w:p w:rsidR="00DB1206" w:rsidRPr="000E5B14" w:rsidRDefault="00DB1206" w:rsidP="004A4F94">
      <w:pPr>
        <w:spacing w:line="480" w:lineRule="auto"/>
        <w:jc w:val="both"/>
        <w:rPr>
          <w:bCs/>
          <w:lang w:val="en-US"/>
        </w:rPr>
      </w:pPr>
      <w:r w:rsidRPr="000E5B14">
        <w:rPr>
          <w:bCs/>
          <w:lang w:val="en-US"/>
        </w:rPr>
        <w:t>Th</w:t>
      </w:r>
      <w:r>
        <w:rPr>
          <w:bCs/>
          <w:lang w:val="en-US"/>
        </w:rPr>
        <w:t>ese</w:t>
      </w:r>
      <w:r w:rsidRPr="000E5B14">
        <w:rPr>
          <w:bCs/>
          <w:lang w:val="en-US"/>
        </w:rPr>
        <w:t xml:space="preserve"> finding</w:t>
      </w:r>
      <w:r>
        <w:rPr>
          <w:bCs/>
          <w:lang w:val="en-US"/>
        </w:rPr>
        <w:t>s</w:t>
      </w:r>
      <w:r w:rsidRPr="000E5B14">
        <w:rPr>
          <w:bCs/>
          <w:lang w:val="en-US"/>
        </w:rPr>
        <w:t xml:space="preserve"> w</w:t>
      </w:r>
      <w:r>
        <w:rPr>
          <w:bCs/>
          <w:lang w:val="en-US"/>
        </w:rPr>
        <w:t>ere</w:t>
      </w:r>
      <w:r w:rsidRPr="000E5B14">
        <w:rPr>
          <w:bCs/>
          <w:lang w:val="en-US"/>
        </w:rPr>
        <w:t xml:space="preserve"> reassessed in our validation cohort. We measured significantly </w:t>
      </w:r>
      <w:r>
        <w:rPr>
          <w:bCs/>
          <w:lang w:val="en-US"/>
        </w:rPr>
        <w:t>increased</w:t>
      </w:r>
      <w:r w:rsidRPr="000E5B14">
        <w:rPr>
          <w:bCs/>
          <w:lang w:val="en-US"/>
        </w:rPr>
        <w:t xml:space="preserve"> levels of boron, calcium, cadmium, copper, chromium, lithium, potassium, magnesium, manganese, nickel, phosphorus, sulfur, strontium, titan, vanadium, and zinc and significantly </w:t>
      </w:r>
      <w:r>
        <w:rPr>
          <w:bCs/>
          <w:lang w:val="en-US"/>
        </w:rPr>
        <w:t>decreased levels of</w:t>
      </w:r>
      <w:r w:rsidRPr="000E5B14">
        <w:rPr>
          <w:bCs/>
          <w:lang w:val="en-US"/>
        </w:rPr>
        <w:t xml:space="preserve"> cobalt. </w:t>
      </w:r>
    </w:p>
    <w:p w:rsidR="00DB1206" w:rsidRPr="000E5B14" w:rsidRDefault="00DB1206" w:rsidP="004A4F94">
      <w:pPr>
        <w:spacing w:line="480" w:lineRule="auto"/>
        <w:jc w:val="both"/>
        <w:rPr>
          <w:bCs/>
          <w:lang w:val="en-US"/>
        </w:rPr>
      </w:pPr>
      <w:r w:rsidRPr="000E5B14">
        <w:rPr>
          <w:bCs/>
          <w:lang w:val="en-US"/>
        </w:rPr>
        <w:t xml:space="preserve">When we studied the </w:t>
      </w:r>
      <w:r>
        <w:rPr>
          <w:bCs/>
          <w:lang w:val="en-US"/>
        </w:rPr>
        <w:t xml:space="preserve">concordance </w:t>
      </w:r>
      <w:r w:rsidRPr="000E5B14">
        <w:rPr>
          <w:bCs/>
          <w:lang w:val="en-US"/>
        </w:rPr>
        <w:t>for the discovery and validation cohorts, five elements were detected as significantly increased</w:t>
      </w:r>
      <w:r w:rsidRPr="000E5B14">
        <w:rPr>
          <w:lang w:val="en-US"/>
        </w:rPr>
        <w:t xml:space="preserve"> in</w:t>
      </w:r>
      <w:r w:rsidRPr="000E5B14">
        <w:rPr>
          <w:bCs/>
          <w:lang w:val="en-US"/>
        </w:rPr>
        <w:t xml:space="preserve"> BCa patients compared with healthy controls: lithium, potassium, magnesium, nickel, and phosphorus. Interestingly, the levels of these five elements were also significantly increased in non-tumor </w:t>
      </w:r>
      <w:r>
        <w:rPr>
          <w:bCs/>
          <w:lang w:val="en-US"/>
        </w:rPr>
        <w:t xml:space="preserve">bladder </w:t>
      </w:r>
      <w:r w:rsidRPr="000E5B14">
        <w:rPr>
          <w:bCs/>
          <w:lang w:val="en-US"/>
        </w:rPr>
        <w:t xml:space="preserve">patients compared with healthy controls. In addition, potassium and phosphorus were significantly increased in non-tumor </w:t>
      </w:r>
      <w:r>
        <w:rPr>
          <w:bCs/>
          <w:lang w:val="en-US"/>
        </w:rPr>
        <w:t xml:space="preserve">bladder </w:t>
      </w:r>
      <w:r w:rsidRPr="000E5B14">
        <w:rPr>
          <w:bCs/>
          <w:lang w:val="en-US"/>
        </w:rPr>
        <w:t xml:space="preserve">patients compared with BCa patients. </w:t>
      </w:r>
    </w:p>
    <w:p w:rsidR="00DB1206" w:rsidRPr="000E5B14" w:rsidRDefault="00DB1206" w:rsidP="004A4F94">
      <w:pPr>
        <w:spacing w:line="480" w:lineRule="auto"/>
        <w:jc w:val="both"/>
        <w:rPr>
          <w:bCs/>
          <w:lang w:val="en-US"/>
        </w:rPr>
      </w:pPr>
      <w:r w:rsidRPr="000E5B14">
        <w:rPr>
          <w:bCs/>
          <w:lang w:val="en-US"/>
        </w:rPr>
        <w:lastRenderedPageBreak/>
        <w:t xml:space="preserve">In summary, we suggest that detection of the elements lithium, potassium, magnesium, phosphorus and nickel in the serum, with a focus on potassium, could be a new and promising tool for the early diagnosis of BCa and non-tumor </w:t>
      </w:r>
      <w:r>
        <w:rPr>
          <w:bCs/>
          <w:lang w:val="en-US"/>
        </w:rPr>
        <w:t xml:space="preserve">bladder </w:t>
      </w:r>
      <w:r w:rsidRPr="000E5B14">
        <w:rPr>
          <w:bCs/>
          <w:lang w:val="en-US"/>
        </w:rPr>
        <w:t xml:space="preserve">diseases. </w:t>
      </w:r>
    </w:p>
    <w:p w:rsidR="00DB1206" w:rsidRDefault="00DB1206" w:rsidP="004A4F94">
      <w:pPr>
        <w:spacing w:line="480" w:lineRule="auto"/>
        <w:jc w:val="both"/>
        <w:rPr>
          <w:bCs/>
          <w:lang w:val="en-US"/>
        </w:rPr>
      </w:pPr>
    </w:p>
    <w:p w:rsidR="00DB1206" w:rsidRDefault="00DB1206" w:rsidP="004A4F94">
      <w:pPr>
        <w:spacing w:line="480" w:lineRule="auto"/>
        <w:jc w:val="both"/>
        <w:rPr>
          <w:bCs/>
          <w:lang w:val="en-US"/>
        </w:rPr>
      </w:pPr>
    </w:p>
    <w:p w:rsidR="00DB1206" w:rsidRDefault="00DB1206" w:rsidP="004A4F94">
      <w:pPr>
        <w:spacing w:line="480" w:lineRule="auto"/>
        <w:jc w:val="both"/>
        <w:rPr>
          <w:bCs/>
          <w:lang w:val="en-US"/>
        </w:rPr>
      </w:pPr>
    </w:p>
    <w:p w:rsidR="00DB1206" w:rsidRPr="000E5B14" w:rsidRDefault="00DB1206" w:rsidP="004A4F94">
      <w:pPr>
        <w:spacing w:line="480" w:lineRule="auto"/>
        <w:rPr>
          <w:b/>
          <w:bCs/>
          <w:lang w:val="en-US"/>
        </w:rPr>
      </w:pPr>
      <w:r w:rsidRPr="000E5B14">
        <w:rPr>
          <w:b/>
          <w:bCs/>
          <w:lang w:val="en-US"/>
        </w:rPr>
        <w:br w:type="page"/>
      </w:r>
    </w:p>
    <w:p w:rsidR="00DB1206" w:rsidRPr="000E5B14" w:rsidRDefault="00DB1206" w:rsidP="004A4F94">
      <w:pPr>
        <w:spacing w:line="480" w:lineRule="auto"/>
        <w:jc w:val="both"/>
        <w:rPr>
          <w:b/>
          <w:bCs/>
          <w:lang w:val="en-US"/>
        </w:rPr>
      </w:pPr>
      <w:r w:rsidRPr="000E5B14">
        <w:rPr>
          <w:b/>
          <w:bCs/>
          <w:lang w:val="en-US"/>
        </w:rPr>
        <w:lastRenderedPageBreak/>
        <w:t>Introduction</w:t>
      </w:r>
    </w:p>
    <w:p w:rsidR="00DB1206" w:rsidRPr="000E5B14" w:rsidRDefault="00DB1206" w:rsidP="004A4F94">
      <w:pPr>
        <w:spacing w:line="480" w:lineRule="auto"/>
        <w:jc w:val="both"/>
        <w:rPr>
          <w:bCs/>
          <w:lang w:val="en-US"/>
        </w:rPr>
      </w:pPr>
      <w:r w:rsidRPr="000E5B14">
        <w:rPr>
          <w:bCs/>
          <w:lang w:val="en-US"/>
        </w:rPr>
        <w:t>Urothelial carcinoma of the bladder (bladder cancer; BCa) is the ninth most frequently diagnosed cancer worldwide, with 439,000 new cases and 165,000 deaths estimated for 2012</w:t>
      </w:r>
      <w:r>
        <w:rPr>
          <w:bCs/>
          <w:lang w:val="en-US"/>
        </w:rPr>
        <w:t xml:space="preserve"> </w:t>
      </w:r>
      <w:r>
        <w:rPr>
          <w:bCs/>
          <w:noProof/>
          <w:lang w:val="en-US"/>
        </w:rPr>
        <w:t>[1]</w:t>
      </w:r>
      <w:r>
        <w:rPr>
          <w:bCs/>
          <w:lang w:val="en-US"/>
        </w:rPr>
        <w:t xml:space="preserve">. </w:t>
      </w:r>
      <w:r w:rsidRPr="000E5B14">
        <w:rPr>
          <w:bCs/>
          <w:lang w:val="en-US"/>
        </w:rPr>
        <w:t>Conventional diagnosis for BCa is still based on morphologic and pathologic criteria such as histology, tumor stage and tumor grade</w:t>
      </w:r>
      <w:r>
        <w:rPr>
          <w:bCs/>
          <w:lang w:val="en-US"/>
        </w:rPr>
        <w:t xml:space="preserve"> </w:t>
      </w:r>
      <w:r>
        <w:rPr>
          <w:bCs/>
          <w:noProof/>
          <w:lang w:val="en-US"/>
        </w:rPr>
        <w:t>[2]</w:t>
      </w:r>
      <w:r w:rsidRPr="000E5B14">
        <w:rPr>
          <w:bCs/>
          <w:lang w:val="en-US"/>
        </w:rPr>
        <w:t xml:space="preserve"> </w:t>
      </w:r>
      <w:proofErr w:type="gramStart"/>
      <w:r w:rsidRPr="000E5B14">
        <w:rPr>
          <w:bCs/>
          <w:lang w:val="en-US"/>
        </w:rPr>
        <w:t>An</w:t>
      </w:r>
      <w:proofErr w:type="gramEnd"/>
      <w:r w:rsidRPr="000E5B14">
        <w:rPr>
          <w:bCs/>
          <w:lang w:val="en-US"/>
        </w:rPr>
        <w:t xml:space="preserve"> improvement in diagnosis was achieved by the application of fluorescence endoscopy</w:t>
      </w:r>
      <w:r>
        <w:rPr>
          <w:bCs/>
          <w:lang w:val="en-US"/>
        </w:rPr>
        <w:t xml:space="preserve"> </w:t>
      </w:r>
      <w:r>
        <w:rPr>
          <w:bCs/>
          <w:noProof/>
          <w:lang w:val="en-US"/>
        </w:rPr>
        <w:t>[3]</w:t>
      </w:r>
      <w:r w:rsidRPr="000E5B14">
        <w:rPr>
          <w:bCs/>
          <w:lang w:val="en-US"/>
        </w:rPr>
        <w:t>. Molecular studies have focused on pathohistological classification and outcome prediction of BCa patients by gene expression analysis of coding genes or noncoding genes and characterization of chromosomal aberrations or mutational alterations</w:t>
      </w:r>
      <w:r>
        <w:rPr>
          <w:bCs/>
          <w:lang w:val="en-US"/>
        </w:rPr>
        <w:t xml:space="preserve"> </w:t>
      </w:r>
      <w:r>
        <w:rPr>
          <w:bCs/>
          <w:noProof/>
          <w:lang w:val="en-US"/>
        </w:rPr>
        <w:t>[2,4][5-8]</w:t>
      </w:r>
      <w:r w:rsidRPr="000E5B14">
        <w:rPr>
          <w:bCs/>
          <w:lang w:val="en-US"/>
        </w:rPr>
        <w:t>. A noninvasive approach in studying urologic cancers is the molecular analysis of a liquid biopsy, e.g., blood and its components, such as serum</w:t>
      </w:r>
      <w:r>
        <w:rPr>
          <w:bCs/>
          <w:lang w:val="en-US"/>
        </w:rPr>
        <w:t xml:space="preserve"> </w:t>
      </w:r>
      <w:r>
        <w:rPr>
          <w:bCs/>
          <w:noProof/>
          <w:lang w:val="en-US"/>
        </w:rPr>
        <w:t>[9]</w:t>
      </w:r>
      <w:r w:rsidRPr="000E5B14">
        <w:rPr>
          <w:bCs/>
          <w:lang w:val="en-US"/>
        </w:rPr>
        <w:t xml:space="preserve">. However, there are only a few reports using serum </w:t>
      </w:r>
      <w:r>
        <w:rPr>
          <w:bCs/>
          <w:lang w:val="en-US"/>
        </w:rPr>
        <w:t>from</w:t>
      </w:r>
      <w:r w:rsidRPr="000E5B14">
        <w:rPr>
          <w:bCs/>
          <w:lang w:val="en-US"/>
        </w:rPr>
        <w:t xml:space="preserve"> BCa patients for biomarker studies. The utility of the serum CRP value for assessing the prognosis and therapeutic response of urological malignancies, including BCa, has been reported</w:t>
      </w:r>
      <w:r>
        <w:rPr>
          <w:bCs/>
          <w:lang w:val="en-US"/>
        </w:rPr>
        <w:t xml:space="preserve"> </w:t>
      </w:r>
      <w:r>
        <w:rPr>
          <w:bCs/>
          <w:noProof/>
          <w:lang w:val="en-US"/>
        </w:rPr>
        <w:t>[10]</w:t>
      </w:r>
      <w:r w:rsidRPr="000E5B14">
        <w:rPr>
          <w:bCs/>
          <w:lang w:val="en-US"/>
        </w:rPr>
        <w:t>. Serum DNA analysis for hypermethylation of a set of genes shows promise as an indicator of cancer progression and mortality</w:t>
      </w:r>
      <w:r>
        <w:rPr>
          <w:bCs/>
          <w:lang w:val="en-US"/>
        </w:rPr>
        <w:t xml:space="preserve"> </w:t>
      </w:r>
      <w:r>
        <w:rPr>
          <w:bCs/>
          <w:noProof/>
          <w:lang w:val="en-US"/>
        </w:rPr>
        <w:t>[11]</w:t>
      </w:r>
      <w:r w:rsidRPr="000E5B14">
        <w:rPr>
          <w:bCs/>
          <w:lang w:val="en-US"/>
        </w:rPr>
        <w:t>. In addition, the analyses of cell-free circulating DNA (cfDNA) and the molecular characterization of circulating tumor cells (CTCs) (RNA, DNA and protein level</w:t>
      </w:r>
      <w:r>
        <w:rPr>
          <w:bCs/>
          <w:lang w:val="en-US"/>
        </w:rPr>
        <w:t>s</w:t>
      </w:r>
      <w:r w:rsidRPr="000E5B14">
        <w:rPr>
          <w:bCs/>
          <w:lang w:val="en-US"/>
        </w:rPr>
        <w:t>) are promising for biomarker identification in BCa</w:t>
      </w:r>
      <w:r>
        <w:rPr>
          <w:bCs/>
          <w:lang w:val="en-US"/>
        </w:rPr>
        <w:t xml:space="preserve"> </w:t>
      </w:r>
      <w:r>
        <w:rPr>
          <w:bCs/>
          <w:noProof/>
          <w:lang w:val="en-US"/>
        </w:rPr>
        <w:t>[12,13]</w:t>
      </w:r>
      <w:r w:rsidRPr="000E5B14">
        <w:rPr>
          <w:bCs/>
          <w:lang w:val="en-US"/>
        </w:rPr>
        <w:t>. Furthermore, the analysis of bodily fluids for inorganic substances, i.e., major or trace elements, is another promising process to identify potential biomarkers for diagnosis, prognosis and prediction of cancers including BCa</w:t>
      </w:r>
      <w:r>
        <w:rPr>
          <w:bCs/>
          <w:lang w:val="en-US"/>
        </w:rPr>
        <w:t xml:space="preserve"> </w:t>
      </w:r>
      <w:r>
        <w:rPr>
          <w:bCs/>
          <w:noProof/>
          <w:lang w:val="en-US"/>
        </w:rPr>
        <w:t>[reviewed in 14]</w:t>
      </w:r>
      <w:r w:rsidRPr="000E5B14">
        <w:rPr>
          <w:bCs/>
          <w:lang w:val="en-US"/>
        </w:rPr>
        <w:t>.</w:t>
      </w:r>
      <w:r w:rsidRPr="000E5B14">
        <w:rPr>
          <w:lang w:val="en-US"/>
        </w:rPr>
        <w:t xml:space="preserve"> </w:t>
      </w:r>
      <w:r w:rsidRPr="000E5B14">
        <w:rPr>
          <w:bCs/>
          <w:lang w:val="en-US"/>
        </w:rPr>
        <w:t xml:space="preserve">In this study, we analyzed the serum concentration of 26 major and trace elements in BCa patients by mass/optical emission spectrometry and compared them to those of healthy controls and non-tumor </w:t>
      </w:r>
      <w:r>
        <w:rPr>
          <w:bCs/>
          <w:lang w:val="en-US"/>
        </w:rPr>
        <w:t xml:space="preserve">bladder </w:t>
      </w:r>
      <w:r w:rsidRPr="000E5B14">
        <w:rPr>
          <w:bCs/>
          <w:lang w:val="en-US"/>
        </w:rPr>
        <w:t xml:space="preserve">patients. We detected five elements (lithium, magnesium, nickel, phosphorus and potassium) as </w:t>
      </w:r>
      <w:r>
        <w:rPr>
          <w:bCs/>
          <w:lang w:val="en-US"/>
        </w:rPr>
        <w:t>increased</w:t>
      </w:r>
      <w:r w:rsidRPr="000E5B14">
        <w:rPr>
          <w:bCs/>
          <w:lang w:val="en-US"/>
        </w:rPr>
        <w:t xml:space="preserve"> in the serum of BCa patients in comparison to healthy controls. Our results suggest that these five elements could be potential diagnostic biomarkers for future routine diagnostics. </w:t>
      </w:r>
    </w:p>
    <w:p w:rsidR="00DB1206" w:rsidRPr="000E5B14" w:rsidRDefault="00DB1206" w:rsidP="004A4F94">
      <w:pPr>
        <w:spacing w:line="480" w:lineRule="auto"/>
        <w:jc w:val="both"/>
        <w:rPr>
          <w:b/>
          <w:bCs/>
          <w:lang w:val="en-US"/>
        </w:rPr>
      </w:pPr>
    </w:p>
    <w:p w:rsidR="00DB1206" w:rsidRPr="000E5B14" w:rsidRDefault="00DB1206" w:rsidP="004A4F94">
      <w:pPr>
        <w:spacing w:line="480" w:lineRule="auto"/>
        <w:jc w:val="both"/>
        <w:rPr>
          <w:b/>
          <w:bCs/>
          <w:lang w:val="en-US"/>
        </w:rPr>
      </w:pPr>
      <w:r w:rsidRPr="000E5B14">
        <w:rPr>
          <w:b/>
          <w:bCs/>
          <w:lang w:val="en-US"/>
        </w:rPr>
        <w:lastRenderedPageBreak/>
        <w:t>Material and Methods</w:t>
      </w:r>
    </w:p>
    <w:p w:rsidR="00DB1206" w:rsidRPr="000E5B14" w:rsidRDefault="00DB1206" w:rsidP="004A4F94">
      <w:pPr>
        <w:spacing w:line="480" w:lineRule="auto"/>
        <w:jc w:val="both"/>
        <w:rPr>
          <w:b/>
          <w:bCs/>
          <w:lang w:val="en-US"/>
        </w:rPr>
      </w:pPr>
      <w:r w:rsidRPr="000E5B14">
        <w:rPr>
          <w:b/>
          <w:bCs/>
          <w:lang w:val="en-US"/>
        </w:rPr>
        <w:t>Patients</w:t>
      </w:r>
    </w:p>
    <w:p w:rsidR="00DB1206" w:rsidRPr="000E5B14" w:rsidRDefault="00DB1206" w:rsidP="004A4F94">
      <w:pPr>
        <w:spacing w:line="480" w:lineRule="auto"/>
        <w:jc w:val="both"/>
        <w:rPr>
          <w:bCs/>
          <w:lang w:val="en-US"/>
        </w:rPr>
      </w:pPr>
      <w:r w:rsidRPr="000E5B14">
        <w:rPr>
          <w:bCs/>
          <w:lang w:val="en-US"/>
        </w:rPr>
        <w:t>The use of patient serum samples for the molecular analyses was approved by the institutional ethical review board, and the study was conducted according to the standards set by the Declaration of Helsinki. The first patient</w:t>
      </w:r>
      <w:r>
        <w:rPr>
          <w:bCs/>
          <w:lang w:val="en-US"/>
        </w:rPr>
        <w:t xml:space="preserve"> </w:t>
      </w:r>
      <w:r w:rsidRPr="000E5B14">
        <w:rPr>
          <w:bCs/>
          <w:lang w:val="en-US"/>
        </w:rPr>
        <w:t>set of 9 BCa patients and 12 healthy control probands was</w:t>
      </w:r>
      <w:r>
        <w:rPr>
          <w:bCs/>
          <w:lang w:val="en-US"/>
        </w:rPr>
        <w:t xml:space="preserve"> designated </w:t>
      </w:r>
      <w:r w:rsidRPr="000E5B14">
        <w:rPr>
          <w:bCs/>
          <w:lang w:val="en-US"/>
        </w:rPr>
        <w:t xml:space="preserve">the discovery set. A second set of 30 BCa patients, 39 non-tumor </w:t>
      </w:r>
      <w:r>
        <w:rPr>
          <w:bCs/>
          <w:lang w:val="en-US"/>
        </w:rPr>
        <w:t xml:space="preserve">bladder </w:t>
      </w:r>
      <w:r w:rsidRPr="000E5B14">
        <w:rPr>
          <w:bCs/>
          <w:lang w:val="en-US"/>
        </w:rPr>
        <w:t>patients (with acute and chronic inflammation) and 18 healthy control probands was</w:t>
      </w:r>
      <w:r>
        <w:rPr>
          <w:bCs/>
          <w:lang w:val="en-US"/>
        </w:rPr>
        <w:t xml:space="preserve"> designated </w:t>
      </w:r>
      <w:r w:rsidRPr="000E5B14">
        <w:rPr>
          <w:bCs/>
          <w:lang w:val="en-US"/>
        </w:rPr>
        <w:t xml:space="preserve">the validation cohort. </w:t>
      </w:r>
    </w:p>
    <w:p w:rsidR="00DB1206" w:rsidRPr="000E5B14" w:rsidRDefault="00DB1206" w:rsidP="004A4F94">
      <w:pPr>
        <w:spacing w:line="480" w:lineRule="auto"/>
        <w:jc w:val="both"/>
        <w:rPr>
          <w:b/>
          <w:bCs/>
          <w:lang w:val="en-US"/>
        </w:rPr>
      </w:pPr>
    </w:p>
    <w:p w:rsidR="00DB1206" w:rsidRPr="000E5B14" w:rsidRDefault="00DB1206" w:rsidP="004A4F94">
      <w:pPr>
        <w:spacing w:line="480" w:lineRule="auto"/>
        <w:jc w:val="both"/>
        <w:rPr>
          <w:b/>
          <w:bCs/>
          <w:lang w:val="en-US"/>
        </w:rPr>
      </w:pPr>
      <w:r w:rsidRPr="000E5B14">
        <w:rPr>
          <w:b/>
          <w:bCs/>
          <w:lang w:val="en-US"/>
        </w:rPr>
        <w:t>Serum samples</w:t>
      </w:r>
    </w:p>
    <w:p w:rsidR="00DB1206" w:rsidRPr="000E5B14" w:rsidRDefault="00DB1206" w:rsidP="004A4F94">
      <w:pPr>
        <w:spacing w:line="480" w:lineRule="auto"/>
        <w:jc w:val="both"/>
        <w:rPr>
          <w:bCs/>
          <w:lang w:val="en-US"/>
        </w:rPr>
      </w:pPr>
      <w:r w:rsidRPr="000E5B14">
        <w:rPr>
          <w:bCs/>
          <w:lang w:val="en-US"/>
        </w:rPr>
        <w:t>Serum was prepared from fresh blood samples collected in serum monovettes (Sarstedt, Nümbrecht, Germany). Serum vials were checked to exclude hemolysis and to avoid contamination with peripheral blood cells. Serum samples were stored at -80°C until used</w:t>
      </w:r>
      <w:r>
        <w:rPr>
          <w:bCs/>
          <w:lang w:val="en-US"/>
        </w:rPr>
        <w:t>,</w:t>
      </w:r>
      <w:r w:rsidRPr="000E5B14">
        <w:rPr>
          <w:bCs/>
          <w:lang w:val="en-US"/>
        </w:rPr>
        <w:t xml:space="preserve"> and samples were sent on dry ice to Helmholtz Zentrum München (Research Unit, Analytical BioGeoChemistry/Prof. B. Michalke). The samples were thawed slowly at 4°C in a refrigerator before being diluted 1:10 with Milli-Q water; the diluted samples were used for element measurements.</w:t>
      </w:r>
    </w:p>
    <w:p w:rsidR="00DB1206" w:rsidRPr="000E5B14" w:rsidRDefault="00DB1206" w:rsidP="004A4F94">
      <w:pPr>
        <w:spacing w:line="480" w:lineRule="auto"/>
        <w:jc w:val="both"/>
        <w:rPr>
          <w:b/>
          <w:bCs/>
          <w:lang w:val="en-US"/>
        </w:rPr>
      </w:pPr>
    </w:p>
    <w:p w:rsidR="00DB1206" w:rsidRPr="000E5B14" w:rsidRDefault="00DB1206" w:rsidP="004A4F94">
      <w:pPr>
        <w:spacing w:line="480" w:lineRule="auto"/>
        <w:jc w:val="both"/>
        <w:rPr>
          <w:b/>
          <w:bCs/>
          <w:lang w:val="en-US"/>
        </w:rPr>
      </w:pPr>
      <w:r w:rsidRPr="000E5B14">
        <w:rPr>
          <w:b/>
          <w:bCs/>
          <w:lang w:val="en-US"/>
        </w:rPr>
        <w:t xml:space="preserve">Sample analysis by ICP-OES </w:t>
      </w:r>
    </w:p>
    <w:p w:rsidR="00DB1206" w:rsidRPr="000E5B14" w:rsidRDefault="00DB1206" w:rsidP="004A4F94">
      <w:pPr>
        <w:spacing w:line="480" w:lineRule="auto"/>
        <w:jc w:val="both"/>
        <w:rPr>
          <w:lang w:val="en-US"/>
        </w:rPr>
      </w:pPr>
      <w:r w:rsidRPr="000E5B14">
        <w:rPr>
          <w:lang w:val="en-US"/>
        </w:rPr>
        <w:t xml:space="preserve">An ICP-AES “Spectro Ciros Vision” system (SPECTRO Analytical Instruments GmbH &amp; Co. KG, Kleve, Germany) was used for </w:t>
      </w:r>
      <w:r w:rsidRPr="000E5B14">
        <w:rPr>
          <w:bCs/>
          <w:lang w:val="en-US"/>
        </w:rPr>
        <w:t xml:space="preserve">element </w:t>
      </w:r>
      <w:r w:rsidRPr="000E5B14">
        <w:rPr>
          <w:lang w:val="en-US"/>
        </w:rPr>
        <w:t xml:space="preserve">determination in 1:10 diluted (Milli-Q water) samples. Sample introduction was carried out using a peristaltic pump connected to a Meinhard nebulizer with a cyclonic spray chamber. The spectral element lines measured were (nm) Al: 167.078, B: 249.773, Ba: 455.404, Ca: 183.801, </w:t>
      </w:r>
      <w:r w:rsidRPr="000E5B14">
        <w:rPr>
          <w:bCs/>
          <w:lang w:val="en-US"/>
        </w:rPr>
        <w:t>Cu: 324.754</w:t>
      </w:r>
      <w:r w:rsidRPr="000E5B14">
        <w:rPr>
          <w:lang w:val="en-US"/>
        </w:rPr>
        <w:t xml:space="preserve">, Fe: 259.941, K: 766.491, Li: 670.770, Mg: 279.079, Na: 589.592, P: 177.495, S: 180.731, Sr: 407.771, Ti: 334.941, and Zn: 213.856. The RF power was set to 1400 W, and the plasma gas was set to 13 </w:t>
      </w:r>
      <w:r w:rsidRPr="000E5B14">
        <w:rPr>
          <w:lang w:val="en-US"/>
        </w:rPr>
        <w:lastRenderedPageBreak/>
        <w:t xml:space="preserve">L Ar/min; the nebulizer gas was approximately 0.6 L Ar/min after daily optimization. Although the element barium was analyzed, the concentrations were below the internal quantification limit </w:t>
      </w:r>
      <w:proofErr w:type="gramStart"/>
      <w:r w:rsidRPr="000E5B14">
        <w:rPr>
          <w:lang w:val="en-US"/>
        </w:rPr>
        <w:t>of 11.2 µg/L in the majority of samples,</w:t>
      </w:r>
      <w:proofErr w:type="gramEnd"/>
      <w:r w:rsidRPr="000E5B14">
        <w:rPr>
          <w:lang w:val="en-US"/>
        </w:rPr>
        <w:t xml:space="preserve"> and it was therefore not considered further.</w:t>
      </w:r>
    </w:p>
    <w:p w:rsidR="00DB1206" w:rsidRPr="000E5B14" w:rsidRDefault="00DB1206" w:rsidP="004A4F94">
      <w:pPr>
        <w:spacing w:line="480" w:lineRule="auto"/>
        <w:jc w:val="both"/>
        <w:rPr>
          <w:lang w:val="en-US"/>
        </w:rPr>
      </w:pPr>
    </w:p>
    <w:p w:rsidR="00DB1206" w:rsidRPr="000E5B14" w:rsidRDefault="00DB1206" w:rsidP="004A4F94">
      <w:pPr>
        <w:spacing w:line="480" w:lineRule="auto"/>
        <w:jc w:val="both"/>
        <w:rPr>
          <w:b/>
          <w:bCs/>
          <w:lang w:val="en-US"/>
        </w:rPr>
      </w:pPr>
      <w:r w:rsidRPr="000E5B14">
        <w:rPr>
          <w:b/>
          <w:bCs/>
          <w:lang w:val="en-US"/>
        </w:rPr>
        <w:t xml:space="preserve">Sample analysis by ICP-sf-MS </w:t>
      </w:r>
    </w:p>
    <w:p w:rsidR="00DB1206" w:rsidRPr="000E5B14" w:rsidRDefault="00DB1206" w:rsidP="004A4F94">
      <w:pPr>
        <w:spacing w:line="480" w:lineRule="auto"/>
        <w:jc w:val="both"/>
        <w:rPr>
          <w:b/>
          <w:sz w:val="28"/>
          <w:szCs w:val="28"/>
          <w:lang w:val="en-US"/>
        </w:rPr>
      </w:pPr>
      <w:r w:rsidRPr="000E5B14">
        <w:rPr>
          <w:spacing w:val="-4"/>
          <w:lang w:val="en-US"/>
        </w:rPr>
        <w:t>An ELEMENT 2, Thermo-Electron (Bremen, Germany) ICP-sf-MS instrument was employed for</w:t>
      </w:r>
      <w:r w:rsidRPr="000E5B14">
        <w:rPr>
          <w:bCs/>
          <w:lang w:val="en-US"/>
        </w:rPr>
        <w:t xml:space="preserve"> </w:t>
      </w:r>
      <w:r w:rsidRPr="000E5B14">
        <w:rPr>
          <w:lang w:val="en-US"/>
        </w:rPr>
        <w:t xml:space="preserve">determination of elements </w:t>
      </w:r>
      <w:r>
        <w:rPr>
          <w:lang w:val="en-US"/>
        </w:rPr>
        <w:t xml:space="preserve">that </w:t>
      </w:r>
      <w:r w:rsidRPr="000E5B14">
        <w:rPr>
          <w:lang w:val="en-US"/>
        </w:rPr>
        <w:t xml:space="preserve">were below the </w:t>
      </w:r>
      <w:r>
        <w:rPr>
          <w:lang w:val="en-US"/>
        </w:rPr>
        <w:t>level of detection</w:t>
      </w:r>
      <w:r w:rsidRPr="000E5B14">
        <w:rPr>
          <w:lang w:val="en-US"/>
        </w:rPr>
        <w:t xml:space="preserve"> from ICP-OES. </w:t>
      </w:r>
      <w:r w:rsidRPr="000E5B14">
        <w:rPr>
          <w:vertAlign w:val="superscript"/>
          <w:lang w:val="en-US"/>
        </w:rPr>
        <w:t>103</w:t>
      </w:r>
      <w:r w:rsidRPr="000E5B14">
        <w:rPr>
          <w:lang w:val="en-US"/>
        </w:rPr>
        <w:t xml:space="preserve">Rh was administered to each sample at a concentration of 1 µg/L as an internal standard. Sample introduction was carried out using a peristaltic pump connected to a Seaspray nebulizer with a cyclonic spray chamber. The RF power was set to 1300 </w:t>
      </w:r>
      <w:proofErr w:type="gramStart"/>
      <w:r w:rsidRPr="000E5B14">
        <w:rPr>
          <w:lang w:val="en-US"/>
        </w:rPr>
        <w:t>W,</w:t>
      </w:r>
      <w:proofErr w:type="gramEnd"/>
      <w:r w:rsidRPr="000E5B14">
        <w:rPr>
          <w:lang w:val="en-US"/>
        </w:rPr>
        <w:t xml:space="preserve"> the plasma gas was 15 L Ar /min, whereas the nebulizer gas was approximately 0.9 L Ar/min after daily optimization. Measured element isotopes were </w:t>
      </w:r>
      <w:r w:rsidRPr="000E5B14">
        <w:rPr>
          <w:vertAlign w:val="superscript"/>
          <w:lang w:val="en-US"/>
        </w:rPr>
        <w:t>75</w:t>
      </w:r>
      <w:r w:rsidRPr="000E5B14">
        <w:rPr>
          <w:lang w:val="en-US"/>
        </w:rPr>
        <w:t xml:space="preserve">As, </w:t>
      </w:r>
      <w:r w:rsidRPr="000E5B14">
        <w:rPr>
          <w:vertAlign w:val="superscript"/>
          <w:lang w:val="en-US"/>
        </w:rPr>
        <w:t>114</w:t>
      </w:r>
      <w:r w:rsidRPr="000E5B14">
        <w:rPr>
          <w:lang w:val="en-US"/>
        </w:rPr>
        <w:t xml:space="preserve">Cd, </w:t>
      </w:r>
      <w:r w:rsidRPr="000E5B14">
        <w:rPr>
          <w:vertAlign w:val="superscript"/>
          <w:lang w:val="en-US"/>
        </w:rPr>
        <w:t>59</w:t>
      </w:r>
      <w:r w:rsidRPr="000E5B14">
        <w:rPr>
          <w:lang w:val="en-US"/>
        </w:rPr>
        <w:t xml:space="preserve">Co, </w:t>
      </w:r>
      <w:r w:rsidRPr="000E5B14">
        <w:rPr>
          <w:vertAlign w:val="superscript"/>
          <w:lang w:val="en-US"/>
        </w:rPr>
        <w:t>52</w:t>
      </w:r>
      <w:r w:rsidRPr="000E5B14">
        <w:rPr>
          <w:lang w:val="en-US"/>
        </w:rPr>
        <w:t xml:space="preserve">Cr, </w:t>
      </w:r>
      <w:r w:rsidRPr="000E5B14">
        <w:rPr>
          <w:vertAlign w:val="superscript"/>
          <w:lang w:val="en-US"/>
        </w:rPr>
        <w:t>202</w:t>
      </w:r>
      <w:r w:rsidRPr="000E5B14">
        <w:rPr>
          <w:lang w:val="en-US"/>
        </w:rPr>
        <w:t xml:space="preserve">Hg, </w:t>
      </w:r>
      <w:r w:rsidRPr="000E5B14">
        <w:rPr>
          <w:vertAlign w:val="superscript"/>
          <w:lang w:val="en-US"/>
        </w:rPr>
        <w:t>55</w:t>
      </w:r>
      <w:r w:rsidRPr="000E5B14">
        <w:rPr>
          <w:lang w:val="en-US"/>
        </w:rPr>
        <w:t xml:space="preserve">Mn, </w:t>
      </w:r>
      <w:r w:rsidRPr="000E5B14">
        <w:rPr>
          <w:vertAlign w:val="superscript"/>
          <w:lang w:val="en-US"/>
        </w:rPr>
        <w:t>98</w:t>
      </w:r>
      <w:r w:rsidRPr="000E5B14">
        <w:rPr>
          <w:lang w:val="en-US"/>
        </w:rPr>
        <w:t xml:space="preserve">Mo, </w:t>
      </w:r>
      <w:r w:rsidRPr="000E5B14">
        <w:rPr>
          <w:vertAlign w:val="superscript"/>
          <w:lang w:val="en-US"/>
        </w:rPr>
        <w:t>60</w:t>
      </w:r>
      <w:r w:rsidRPr="000E5B14">
        <w:rPr>
          <w:lang w:val="en-US"/>
        </w:rPr>
        <w:t xml:space="preserve">Ni, </w:t>
      </w:r>
      <w:r w:rsidRPr="000E5B14">
        <w:rPr>
          <w:vertAlign w:val="superscript"/>
          <w:lang w:val="en-US"/>
        </w:rPr>
        <w:t>208</w:t>
      </w:r>
      <w:r w:rsidRPr="000E5B14">
        <w:rPr>
          <w:lang w:val="en-US"/>
        </w:rPr>
        <w:t xml:space="preserve">Pb, </w:t>
      </w:r>
      <w:r w:rsidRPr="000E5B14">
        <w:rPr>
          <w:vertAlign w:val="superscript"/>
          <w:lang w:val="en-US"/>
        </w:rPr>
        <w:t>120</w:t>
      </w:r>
      <w:r w:rsidRPr="000E5B14">
        <w:rPr>
          <w:lang w:val="en-US"/>
        </w:rPr>
        <w:t xml:space="preserve">Sn, </w:t>
      </w:r>
      <w:r w:rsidRPr="000E5B14">
        <w:rPr>
          <w:vertAlign w:val="superscript"/>
          <w:lang w:val="en-US"/>
        </w:rPr>
        <w:t>77</w:t>
      </w:r>
      <w:r w:rsidRPr="000E5B14">
        <w:rPr>
          <w:lang w:val="en-US"/>
        </w:rPr>
        <w:t xml:space="preserve">Se, </w:t>
      </w:r>
      <w:r w:rsidRPr="000E5B14">
        <w:rPr>
          <w:vertAlign w:val="superscript"/>
          <w:lang w:val="en-US"/>
        </w:rPr>
        <w:t>47</w:t>
      </w:r>
      <w:r w:rsidRPr="000E5B14">
        <w:rPr>
          <w:lang w:val="en-US"/>
        </w:rPr>
        <w:t xml:space="preserve">Ti, and </w:t>
      </w:r>
      <w:r w:rsidRPr="000E5B14">
        <w:rPr>
          <w:vertAlign w:val="superscript"/>
          <w:lang w:val="en-US"/>
        </w:rPr>
        <w:t>51</w:t>
      </w:r>
      <w:r w:rsidRPr="000E5B14">
        <w:rPr>
          <w:lang w:val="en-US"/>
        </w:rPr>
        <w:t>V.</w:t>
      </w:r>
    </w:p>
    <w:p w:rsidR="00DB1206" w:rsidRPr="000E5B14" w:rsidRDefault="00DB1206" w:rsidP="004A4F94">
      <w:pPr>
        <w:spacing w:line="480" w:lineRule="auto"/>
        <w:jc w:val="both"/>
        <w:rPr>
          <w:b/>
          <w:bCs/>
          <w:lang w:val="en-US"/>
        </w:rPr>
      </w:pPr>
    </w:p>
    <w:p w:rsidR="00DB1206" w:rsidRPr="000E5B14" w:rsidRDefault="00DB1206" w:rsidP="004A4F94">
      <w:pPr>
        <w:spacing w:line="480" w:lineRule="auto"/>
        <w:jc w:val="both"/>
        <w:rPr>
          <w:b/>
          <w:lang w:val="en-US"/>
        </w:rPr>
      </w:pPr>
      <w:r w:rsidRPr="000E5B14">
        <w:rPr>
          <w:b/>
          <w:lang w:val="en-US"/>
        </w:rPr>
        <w:t>Quality control for element determinations</w:t>
      </w:r>
    </w:p>
    <w:p w:rsidR="00DB1206" w:rsidRPr="000E5B14" w:rsidRDefault="00DB1206" w:rsidP="004A4F94">
      <w:pPr>
        <w:spacing w:line="480" w:lineRule="auto"/>
        <w:jc w:val="both"/>
        <w:rPr>
          <w:lang w:val="en-US"/>
        </w:rPr>
      </w:pPr>
      <w:r w:rsidRPr="000E5B14">
        <w:rPr>
          <w:lang w:val="en-US"/>
        </w:rPr>
        <w:t xml:space="preserve">The determination method had been validated previously by regular laboratory intercomparison studies and by regular analysis of adequately certified reference materials. </w:t>
      </w:r>
    </w:p>
    <w:p w:rsidR="00DB1206" w:rsidRPr="000E5B14" w:rsidRDefault="00DB1206" w:rsidP="004A4F94">
      <w:pPr>
        <w:spacing w:line="480" w:lineRule="auto"/>
        <w:jc w:val="both"/>
        <w:rPr>
          <w:lang w:val="en-US"/>
        </w:rPr>
      </w:pPr>
      <w:r w:rsidRPr="000E5B14">
        <w:rPr>
          <w:lang w:val="en-US"/>
        </w:rPr>
        <w:t xml:space="preserve">Routinely, after every ten measurements, three blank determinations and a control determination of a certified standard for all mentioned elements were performed. Calculation of results was carried out on a computerized lab-data management system, relating the sample measurements to calibration curves, blank determinations, and control standards. </w:t>
      </w:r>
    </w:p>
    <w:p w:rsidR="00DB1206" w:rsidRPr="000E5B14" w:rsidRDefault="00DB1206" w:rsidP="004A4F94">
      <w:pPr>
        <w:spacing w:line="480" w:lineRule="auto"/>
        <w:jc w:val="both"/>
        <w:rPr>
          <w:b/>
          <w:bCs/>
          <w:lang w:val="en-US"/>
        </w:rPr>
      </w:pPr>
    </w:p>
    <w:p w:rsidR="00DB1206" w:rsidRPr="000E5B14" w:rsidRDefault="00DB1206" w:rsidP="004A4F94">
      <w:pPr>
        <w:spacing w:line="480" w:lineRule="auto"/>
        <w:jc w:val="both"/>
        <w:rPr>
          <w:b/>
          <w:bCs/>
          <w:lang w:val="en-US"/>
        </w:rPr>
      </w:pPr>
      <w:r w:rsidRPr="000E5B14">
        <w:rPr>
          <w:b/>
          <w:bCs/>
          <w:lang w:val="en-US"/>
        </w:rPr>
        <w:t>Statistical analysis</w:t>
      </w:r>
    </w:p>
    <w:p w:rsidR="00DB1206" w:rsidRPr="000E5B14" w:rsidRDefault="00DB1206" w:rsidP="004A4F94">
      <w:pPr>
        <w:spacing w:line="480" w:lineRule="auto"/>
        <w:jc w:val="both"/>
        <w:rPr>
          <w:bCs/>
          <w:lang w:val="en-US"/>
        </w:rPr>
      </w:pPr>
      <w:r w:rsidRPr="000E5B14">
        <w:rPr>
          <w:bCs/>
          <w:lang w:val="en-US"/>
        </w:rPr>
        <w:t xml:space="preserve">The differences between the major and trace element levels in the serum of BCa and non-tumor </w:t>
      </w:r>
      <w:r>
        <w:rPr>
          <w:bCs/>
          <w:lang w:val="en-US"/>
        </w:rPr>
        <w:t xml:space="preserve">bladder </w:t>
      </w:r>
      <w:r w:rsidRPr="000E5B14">
        <w:rPr>
          <w:bCs/>
          <w:lang w:val="en-US"/>
        </w:rPr>
        <w:t>patients and healthy volunteers were estimated by a Mann</w:t>
      </w:r>
      <w:r>
        <w:rPr>
          <w:bCs/>
          <w:lang w:val="en-US"/>
        </w:rPr>
        <w:t>-</w:t>
      </w:r>
      <w:r w:rsidRPr="000E5B14">
        <w:rPr>
          <w:bCs/>
          <w:lang w:val="en-US"/>
        </w:rPr>
        <w:t xml:space="preserve">Whitney U test or a </w:t>
      </w:r>
      <w:r w:rsidRPr="000E5B14">
        <w:rPr>
          <w:bCs/>
          <w:lang w:val="en-US"/>
        </w:rPr>
        <w:lastRenderedPageBreak/>
        <w:t>Kruskal-Wallis test and determined in ROC analyses. For establishing classification trees, we used recursive partition as implemented in the RPART package. Classification trees were pruned in order to minimize the relative misclassification error. All calculations were performed with the R statistical framework Ver. 3.2.1 (R Foundation for Statistical Computing, Vienna, Austria. http://www.R-project.org/).</w:t>
      </w:r>
    </w:p>
    <w:p w:rsidR="00DB1206" w:rsidRPr="000E5B14" w:rsidRDefault="00DB1206" w:rsidP="004A4F94">
      <w:pPr>
        <w:spacing w:line="480" w:lineRule="auto"/>
        <w:rPr>
          <w:b/>
          <w:bCs/>
          <w:lang w:val="en-US"/>
        </w:rPr>
      </w:pPr>
      <w:r w:rsidRPr="000E5B14">
        <w:rPr>
          <w:b/>
          <w:bCs/>
          <w:lang w:val="en-US"/>
        </w:rPr>
        <w:br w:type="page"/>
      </w:r>
    </w:p>
    <w:p w:rsidR="00DB1206" w:rsidRPr="000E5B14" w:rsidRDefault="00DB1206" w:rsidP="004A4F94">
      <w:pPr>
        <w:spacing w:line="480" w:lineRule="auto"/>
        <w:jc w:val="both"/>
        <w:rPr>
          <w:b/>
          <w:bCs/>
          <w:lang w:val="en-US"/>
        </w:rPr>
      </w:pPr>
      <w:r w:rsidRPr="000E5B14">
        <w:rPr>
          <w:b/>
          <w:bCs/>
          <w:lang w:val="en-US"/>
        </w:rPr>
        <w:lastRenderedPageBreak/>
        <w:t>Results</w:t>
      </w:r>
    </w:p>
    <w:p w:rsidR="00DB1206" w:rsidRPr="000E5B14" w:rsidRDefault="00DB1206" w:rsidP="004A4F94">
      <w:pPr>
        <w:spacing w:line="480" w:lineRule="auto"/>
        <w:jc w:val="both"/>
        <w:rPr>
          <w:b/>
          <w:bCs/>
          <w:lang w:val="en-US"/>
        </w:rPr>
      </w:pPr>
      <w:r w:rsidRPr="000E5B14">
        <w:rPr>
          <w:b/>
          <w:bCs/>
          <w:lang w:val="en-US"/>
        </w:rPr>
        <w:t xml:space="preserve">Analyses of major and trace elements in BCa patients, non-tumor </w:t>
      </w:r>
      <w:r>
        <w:rPr>
          <w:b/>
          <w:bCs/>
          <w:lang w:val="en-US"/>
        </w:rPr>
        <w:t xml:space="preserve">bladder </w:t>
      </w:r>
      <w:r w:rsidRPr="000E5B14">
        <w:rPr>
          <w:b/>
          <w:bCs/>
          <w:lang w:val="en-US"/>
        </w:rPr>
        <w:t>patients and healthy controls</w:t>
      </w:r>
    </w:p>
    <w:p w:rsidR="00DB1206" w:rsidRPr="000E5B14" w:rsidRDefault="00DB1206" w:rsidP="004A4F94">
      <w:pPr>
        <w:spacing w:line="480" w:lineRule="auto"/>
        <w:jc w:val="both"/>
        <w:rPr>
          <w:bCs/>
          <w:lang w:val="en-US"/>
        </w:rPr>
      </w:pPr>
      <w:r w:rsidRPr="000E5B14">
        <w:rPr>
          <w:bCs/>
          <w:lang w:val="en-US"/>
        </w:rPr>
        <w:t>In this study, we analyzed the levels of 26 major and trace elements (major elements: Al, B, Ca, Cu, Fe, K, Li, Mg, Na, P, S, Sr, and Zn and trace elements: As, Cd, Co, Cr, Hg, Mn, Mo, Ni, Pb, Sn, Se, Ti, and V) in the serum of BCa patients by ICP emission spectrometry and mass spectrometry and compared them to those of healthy controls and/or non-tumor bladder patients (Suppl. Data).</w:t>
      </w:r>
    </w:p>
    <w:p w:rsidR="00DB1206" w:rsidRPr="000E5B14" w:rsidRDefault="00DB1206" w:rsidP="004A4F94">
      <w:pPr>
        <w:spacing w:line="480" w:lineRule="auto"/>
        <w:jc w:val="both"/>
        <w:rPr>
          <w:bCs/>
          <w:lang w:val="en-US"/>
        </w:rPr>
      </w:pPr>
      <w:r w:rsidRPr="000E5B14">
        <w:rPr>
          <w:bCs/>
          <w:lang w:val="en-US"/>
        </w:rPr>
        <w:t>At first, we performed a comparison of major and trace elements in the serum of BCa patients and healthy controls. We studied a discovery cohort with nine BCa patients and 12 healthy controls. Analyses by ICP-OES or ICP-sf-MS revealed six elements as significantly increased (mercury, potassium, lithium, magnesium, nickel, and phosphorus) and two elements as significantly decreased (sodium and selenium) (Suppl. Data).</w:t>
      </w:r>
    </w:p>
    <w:p w:rsidR="00DB1206" w:rsidRPr="000E5B14" w:rsidRDefault="00DB1206" w:rsidP="004A4F94">
      <w:pPr>
        <w:spacing w:line="480" w:lineRule="auto"/>
        <w:jc w:val="both"/>
        <w:rPr>
          <w:bCs/>
          <w:lang w:val="en-US"/>
        </w:rPr>
      </w:pPr>
      <w:r w:rsidRPr="000E5B14">
        <w:rPr>
          <w:bCs/>
          <w:lang w:val="en-US"/>
        </w:rPr>
        <w:t xml:space="preserve">Next, we studied a validation cohort that consisted of 30 BCa patients, 39 non-tumor bladder patients and 18 healthy controls. We detected 18 elements with significantly higher concentrations (aluminum, boron, calcium, cadmium, copper, chromium, potassium, lithium, magnesium, manganese, nickel, phosphorus, lead, sulfur, strontium, titan, vanadium, and zinc) and one element with significantly lower concentration (cobalt) when comparing BCa patients and healthy controls (Suppl. Data). </w:t>
      </w:r>
    </w:p>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
          <w:bCs/>
          <w:lang w:val="en-US"/>
        </w:rPr>
      </w:pPr>
      <w:r w:rsidRPr="000E5B14">
        <w:rPr>
          <w:b/>
          <w:bCs/>
          <w:lang w:val="en-US"/>
        </w:rPr>
        <w:t>Comparison of discovery and validation cohorts</w:t>
      </w:r>
    </w:p>
    <w:p w:rsidR="00DB1206" w:rsidRPr="000E5B14" w:rsidRDefault="00DB1206" w:rsidP="004A4F94">
      <w:pPr>
        <w:spacing w:line="480" w:lineRule="auto"/>
        <w:jc w:val="both"/>
        <w:rPr>
          <w:bCs/>
          <w:lang w:val="en-US"/>
        </w:rPr>
      </w:pPr>
      <w:r w:rsidRPr="000E5B14">
        <w:rPr>
          <w:bCs/>
          <w:lang w:val="en-US"/>
        </w:rPr>
        <w:t xml:space="preserve">In a comparison of the discovery and validation cohorts, five elements (lithium, magnesium, nickel, phosphorus and potassium) appeared in both cohorts as significantly </w:t>
      </w:r>
      <w:r>
        <w:rPr>
          <w:bCs/>
          <w:lang w:val="en-US"/>
        </w:rPr>
        <w:t>increased</w:t>
      </w:r>
      <w:r w:rsidRPr="000E5B14">
        <w:rPr>
          <w:bCs/>
          <w:lang w:val="en-US"/>
        </w:rPr>
        <w:t xml:space="preserve"> but none appeared as </w:t>
      </w:r>
      <w:r>
        <w:rPr>
          <w:bCs/>
          <w:lang w:val="en-US"/>
        </w:rPr>
        <w:t>decreased</w:t>
      </w:r>
      <w:r w:rsidRPr="000E5B14">
        <w:rPr>
          <w:bCs/>
          <w:lang w:val="en-US"/>
        </w:rPr>
        <w:t xml:space="preserve"> in BCa patients compared to healthy controls. We chose this approach of using discovery and validation cohort</w:t>
      </w:r>
      <w:r>
        <w:rPr>
          <w:bCs/>
          <w:lang w:val="en-US"/>
        </w:rPr>
        <w:t>s</w:t>
      </w:r>
      <w:r w:rsidRPr="000E5B14">
        <w:rPr>
          <w:bCs/>
          <w:lang w:val="en-US"/>
        </w:rPr>
        <w:t xml:space="preserve"> to control for the α-error while avoiding more conventional correction methods (α=0.0025; Table 2).</w:t>
      </w:r>
    </w:p>
    <w:p w:rsidR="00DB1206" w:rsidRPr="000E5B14" w:rsidRDefault="00DB1206" w:rsidP="004A4F94">
      <w:pPr>
        <w:spacing w:line="480" w:lineRule="auto"/>
        <w:jc w:val="both"/>
        <w:rPr>
          <w:bCs/>
          <w:lang w:val="en-US"/>
        </w:rPr>
      </w:pPr>
      <w:r w:rsidRPr="000E5B14">
        <w:rPr>
          <w:bCs/>
          <w:lang w:val="en-US"/>
        </w:rPr>
        <w:lastRenderedPageBreak/>
        <w:t xml:space="preserve">Altogether, two elements (magnesium and potassium; all P&lt;0.001) showed the most pronounced changes in serum levels, and an area under the curve (AUC) of 0.9043 and 0.947, respectively, was calculated to differentiate BCa patients from healthy controls (Fig. 1A). </w:t>
      </w:r>
    </w:p>
    <w:p w:rsidR="00DB1206" w:rsidRPr="000E5B14" w:rsidRDefault="00DB1206" w:rsidP="004A4F94">
      <w:pPr>
        <w:spacing w:line="480" w:lineRule="auto"/>
        <w:jc w:val="both"/>
        <w:rPr>
          <w:bCs/>
          <w:lang w:val="en-US"/>
        </w:rPr>
      </w:pPr>
      <w:r w:rsidRPr="000E5B14">
        <w:rPr>
          <w:bCs/>
          <w:lang w:val="en-US"/>
        </w:rPr>
        <w:t xml:space="preserve">Since the differential diagnosis of bladder cancer </w:t>
      </w:r>
      <w:r>
        <w:rPr>
          <w:bCs/>
          <w:lang w:val="en-US"/>
        </w:rPr>
        <w:t>encompasses</w:t>
      </w:r>
      <w:r w:rsidRPr="000E5B14">
        <w:rPr>
          <w:bCs/>
          <w:lang w:val="en-US"/>
        </w:rPr>
        <w:t xml:space="preserve"> patients with acute or chronic inflammatory diseases, we also included patients with non-tumor diseases (N=39) in the validation cohort of our analyses. In a purely exploratory approach, the comparison of non-tumor bladder patients with healthy controls again revealed five elements</w:t>
      </w:r>
      <w:r w:rsidRPr="000E5B14">
        <w:rPr>
          <w:lang w:val="en-US"/>
        </w:rPr>
        <w:t xml:space="preserve"> </w:t>
      </w:r>
      <w:r w:rsidRPr="000E5B14">
        <w:rPr>
          <w:bCs/>
          <w:lang w:val="en-US"/>
        </w:rPr>
        <w:t>with significantly increased levels: lithium, magnesium, nickel, phosphorus and potassium (Table 2A). However,</w:t>
      </w:r>
      <w:r w:rsidRPr="000E5B14">
        <w:rPr>
          <w:lang w:val="en-US"/>
        </w:rPr>
        <w:t xml:space="preserve"> </w:t>
      </w:r>
      <w:r w:rsidRPr="000E5B14">
        <w:rPr>
          <w:bCs/>
          <w:lang w:val="en-US"/>
        </w:rPr>
        <w:t>for potassium and phosphorus, the comparison of BCa patients with non-tumor bladder patients showed significantly higher</w:t>
      </w:r>
      <w:r w:rsidRPr="000E5B14">
        <w:rPr>
          <w:lang w:val="en-US"/>
        </w:rPr>
        <w:t xml:space="preserve"> </w:t>
      </w:r>
      <w:r w:rsidRPr="000E5B14">
        <w:rPr>
          <w:bCs/>
          <w:lang w:val="en-US"/>
        </w:rPr>
        <w:t>levels of both elements in the serum of non-tumor bladder patients.</w:t>
      </w:r>
    </w:p>
    <w:p w:rsidR="00DB1206" w:rsidRPr="000E5B14" w:rsidRDefault="00DB1206" w:rsidP="004A4F94">
      <w:pPr>
        <w:spacing w:line="480" w:lineRule="auto"/>
        <w:jc w:val="both"/>
        <w:rPr>
          <w:bCs/>
          <w:lang w:val="en-US"/>
        </w:rPr>
      </w:pPr>
      <w:r w:rsidRPr="000E5B14">
        <w:rPr>
          <w:bCs/>
          <w:lang w:val="en-US"/>
        </w:rPr>
        <w:t xml:space="preserve">Next, we were interested in whether our levels determined by mass spectrometry were in or out of the range of references given for healthy probands in routine laboratory diagnostics (http://www.med4you.at/laborbefunde/referenzwerte/). The levels </w:t>
      </w:r>
      <w:r>
        <w:rPr>
          <w:bCs/>
          <w:lang w:val="en-US"/>
        </w:rPr>
        <w:t>of</w:t>
      </w:r>
      <w:r w:rsidRPr="000E5B14">
        <w:rPr>
          <w:bCs/>
          <w:lang w:val="en-US"/>
        </w:rPr>
        <w:t xml:space="preserve"> magnesium for all three groups (BCa patients, non-tumor bladder patients, and healthy controls) in our study were mostly within the range for healthy probands as those determined in routine diagnostics, which makes a comparison impossible. However, the potassium levels for the BCa patients (mean: 452.8 mg/L; median: 333.0; range: 162-1200) and for the non-tumor bladder patients (mean: 560.9 mg/L; median: 503.0 mg/L, range: 185-1390 mg/L) were, for the most part, above those described in routine laboratory diagnostics (range: 148.59-203.33 mg/L) and those of the healthy controls in this study (mean: 159.05 mg/L; median: 161.5 mg/L; range: 92-222 mg/L; Table 2B). However, levels of potassium were not associated with tumor grade or tumor stage in BCa patients (data not shown).</w:t>
      </w:r>
    </w:p>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
          <w:bCs/>
          <w:lang w:val="en-US"/>
        </w:rPr>
      </w:pPr>
      <w:r w:rsidRPr="000E5B14">
        <w:rPr>
          <w:b/>
          <w:bCs/>
          <w:lang w:val="en-US"/>
        </w:rPr>
        <w:t>Model for differentiation between BCa patients, non-tumor bladder patients and healthy controls</w:t>
      </w:r>
    </w:p>
    <w:p w:rsidR="00DB1206" w:rsidRPr="000E5B14" w:rsidRDefault="00DB1206" w:rsidP="004A4F94">
      <w:pPr>
        <w:spacing w:line="480" w:lineRule="auto"/>
        <w:jc w:val="both"/>
        <w:rPr>
          <w:bCs/>
          <w:lang w:val="en-US"/>
        </w:rPr>
      </w:pPr>
      <w:r w:rsidRPr="000E5B14">
        <w:rPr>
          <w:bCs/>
          <w:lang w:val="en-US"/>
        </w:rPr>
        <w:lastRenderedPageBreak/>
        <w:t>A classification tree was designed to differentiate between BCa, non-tumor bladder patients and healthy controls using threshold levels of potassium, magnesium and phosphorus. With this model</w:t>
      </w:r>
      <w:r>
        <w:rPr>
          <w:bCs/>
          <w:lang w:val="en-US"/>
        </w:rPr>
        <w:t>,</w:t>
      </w:r>
      <w:r w:rsidRPr="000E5B14">
        <w:rPr>
          <w:bCs/>
          <w:lang w:val="en-US"/>
        </w:rPr>
        <w:t xml:space="preserve"> it was possible to identify 29/30 (96.6%) of healthy controls, 30/39 (76.9%) of BCa and 26/39 (66.6%) of non-tumor bladder patients correctly (Fig. 2). However, the model revealed that there are still difficulties in distinguishing between BCa and non-tumor bladder patients. To get an overview of all elements altered between BCa</w:t>
      </w:r>
      <w:r>
        <w:rPr>
          <w:bCs/>
          <w:lang w:val="en-US"/>
        </w:rPr>
        <w:t xml:space="preserve"> patients</w:t>
      </w:r>
      <w:r w:rsidRPr="000E5B14">
        <w:rPr>
          <w:bCs/>
          <w:lang w:val="en-US"/>
        </w:rPr>
        <w:t xml:space="preserve">, non-tumor bladder patients and healthy controls, further statistical analysis was performed (Kruskal-Wallis test). </w:t>
      </w:r>
    </w:p>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
          <w:bCs/>
          <w:lang w:val="en-US"/>
        </w:rPr>
      </w:pPr>
      <w:r w:rsidRPr="000E5B14">
        <w:rPr>
          <w:b/>
          <w:bCs/>
          <w:lang w:val="en-US"/>
        </w:rPr>
        <w:t>Comparison of all patients and healthy probands adjusted to the α-level</w:t>
      </w:r>
    </w:p>
    <w:p w:rsidR="00DB1206" w:rsidRPr="000E5B14" w:rsidRDefault="00DB1206" w:rsidP="004A4F94">
      <w:pPr>
        <w:spacing w:line="480" w:lineRule="auto"/>
        <w:jc w:val="both"/>
        <w:rPr>
          <w:b/>
          <w:bCs/>
          <w:lang w:val="en-US"/>
        </w:rPr>
      </w:pPr>
      <w:r w:rsidRPr="000E5B14">
        <w:rPr>
          <w:bCs/>
          <w:lang w:val="en-US"/>
        </w:rPr>
        <w:t>For considering differences between all samples, the Bonferroni-adjusted α-level was applied as α=0.00192 (P=0.05/26 elements). Only chromium was increased but calcium, potassium, selenium and zinc were decreased in the serum of BCa patients compared with non-tumor bladder patients. The comparison of serum of BCa patients</w:t>
      </w:r>
      <w:r w:rsidRPr="00045A42">
        <w:rPr>
          <w:bCs/>
          <w:i/>
          <w:lang w:val="en-US"/>
        </w:rPr>
        <w:t xml:space="preserve"> vs. </w:t>
      </w:r>
      <w:r w:rsidRPr="000E5B14">
        <w:rPr>
          <w:bCs/>
          <w:lang w:val="en-US"/>
        </w:rPr>
        <w:t xml:space="preserve">healthy controls revealed increased levels of boron, calcium, chromium, copper, lithium, magnesium, nickel, phosphorus, potassium, sulfur, strontium, and zinc, but no elements were decreased. Increases of boron, calcium, copper, magnesium, phosphorus, potassium, sulfur, selenium, strontium and zinc were detected in the serum of non-tumor bladder patients compared with healthy controls, whereas levels of cobalt, molybdenum and tin were significantly decreased (Tab. 2C). </w:t>
      </w:r>
    </w:p>
    <w:p w:rsidR="00DB1206" w:rsidRPr="000E5B14" w:rsidRDefault="00DB1206" w:rsidP="004A4F94">
      <w:pPr>
        <w:spacing w:line="480" w:lineRule="auto"/>
        <w:rPr>
          <w:b/>
          <w:bCs/>
          <w:lang w:val="en-US"/>
        </w:rPr>
      </w:pPr>
      <w:r w:rsidRPr="000E5B14">
        <w:rPr>
          <w:b/>
          <w:bCs/>
          <w:lang w:val="en-US"/>
        </w:rPr>
        <w:br w:type="page"/>
      </w:r>
    </w:p>
    <w:p w:rsidR="00DB1206" w:rsidRPr="000E5B14" w:rsidRDefault="00DB1206" w:rsidP="004A4F94">
      <w:pPr>
        <w:spacing w:line="480" w:lineRule="auto"/>
        <w:jc w:val="both"/>
        <w:rPr>
          <w:b/>
          <w:bCs/>
          <w:lang w:val="en-US"/>
        </w:rPr>
      </w:pPr>
      <w:r w:rsidRPr="000E5B14">
        <w:rPr>
          <w:b/>
          <w:bCs/>
          <w:lang w:val="en-US"/>
        </w:rPr>
        <w:lastRenderedPageBreak/>
        <w:t>Discussion</w:t>
      </w:r>
    </w:p>
    <w:p w:rsidR="00DB1206" w:rsidRPr="000E5B14" w:rsidRDefault="00DB1206" w:rsidP="004A4F94">
      <w:pPr>
        <w:spacing w:line="480" w:lineRule="auto"/>
        <w:jc w:val="both"/>
        <w:rPr>
          <w:bCs/>
          <w:lang w:val="en-US"/>
        </w:rPr>
      </w:pPr>
      <w:r w:rsidRPr="000E5B14">
        <w:rPr>
          <w:bCs/>
          <w:lang w:val="en-US"/>
        </w:rPr>
        <w:t>There are several studies that describe a relationship between the amounts of major and/or trace elements in the environment, e.g., in drinking water, and an increased risk of cancers including BCa</w:t>
      </w:r>
      <w:r>
        <w:rPr>
          <w:bCs/>
          <w:lang w:val="en-US"/>
        </w:rPr>
        <w:t xml:space="preserve"> </w:t>
      </w:r>
      <w:r>
        <w:rPr>
          <w:bCs/>
          <w:noProof/>
          <w:lang w:val="en-US"/>
        </w:rPr>
        <w:t>[reviewed in 14]</w:t>
      </w:r>
      <w:r w:rsidRPr="000E5B14">
        <w:rPr>
          <w:bCs/>
          <w:lang w:val="en-US"/>
        </w:rPr>
        <w:t>. An increased risk of cancer mortality (including BCa) in relation to the vicinity of the production of cement, lime, plaster, and magnesium oxide has been reported as well</w:t>
      </w:r>
      <w:r>
        <w:rPr>
          <w:bCs/>
          <w:lang w:val="en-US"/>
        </w:rPr>
        <w:t xml:space="preserve"> </w:t>
      </w:r>
      <w:r>
        <w:rPr>
          <w:bCs/>
          <w:noProof/>
          <w:lang w:val="en-US"/>
        </w:rPr>
        <w:t>[15]</w:t>
      </w:r>
      <w:r w:rsidRPr="000E5B14">
        <w:rPr>
          <w:bCs/>
          <w:lang w:val="en-US"/>
        </w:rPr>
        <w:t>. Recently, a study analyzed the amounts of heavy metal and trace elements in BCa tissue, adjacent non-tumor tissue and cadaveric controls. The BCa tissue had higher concentrations of cadmium, calcium, chromium, lead, phosphorous, potassium, magnesium, nickel, selenium, strontium, and zinc than cadaveric controls. The boron level was higher in the cadaveric control than the BCa tissue and the adjacent non-cancerous tissue. The authors suggest that high concentrations of cadmium, lead, chromium, nickel, and zinc in the cancerous tissues together with arsenic in the adjacent non-cancerous tissues of BCa have a pathogenic role in BCa</w:t>
      </w:r>
      <w:r>
        <w:rPr>
          <w:bCs/>
          <w:lang w:val="en-US"/>
        </w:rPr>
        <w:t xml:space="preserve"> </w:t>
      </w:r>
      <w:r>
        <w:rPr>
          <w:bCs/>
          <w:noProof/>
          <w:lang w:val="en-US"/>
        </w:rPr>
        <w:t>[16]</w:t>
      </w:r>
      <w:r w:rsidRPr="000E5B14">
        <w:rPr>
          <w:bCs/>
          <w:lang w:val="en-US"/>
        </w:rPr>
        <w:t>.</w:t>
      </w:r>
    </w:p>
    <w:p w:rsidR="00DB1206" w:rsidRPr="000E5B14" w:rsidRDefault="00DB1206" w:rsidP="004A4F94">
      <w:pPr>
        <w:spacing w:line="480" w:lineRule="auto"/>
        <w:jc w:val="both"/>
        <w:rPr>
          <w:bCs/>
          <w:lang w:val="en-US"/>
        </w:rPr>
      </w:pPr>
      <w:r w:rsidRPr="000E5B14">
        <w:rPr>
          <w:bCs/>
          <w:lang w:val="en-US"/>
        </w:rPr>
        <w:t>However, only a few elements have been studied in the serum of BCa patients thus far. A decreased level of selenium, considered as an essential trace element, was associated with an increase in BCa risk</w:t>
      </w:r>
      <w:r>
        <w:rPr>
          <w:bCs/>
          <w:lang w:val="en-US"/>
        </w:rPr>
        <w:t xml:space="preserve"> </w:t>
      </w:r>
      <w:r>
        <w:rPr>
          <w:bCs/>
          <w:noProof/>
          <w:lang w:val="en-US"/>
        </w:rPr>
        <w:t>[reviewed in 14]</w:t>
      </w:r>
      <w:r w:rsidRPr="000E5B14">
        <w:rPr>
          <w:bCs/>
          <w:lang w:val="en-US"/>
        </w:rPr>
        <w:t>. In addition, significantly increased amounts of cadmium, nickel and cobalt, but significantly decreased serum levels of manganese and zinc, were detected in BCa patients compared to healthy controls</w:t>
      </w:r>
      <w:r>
        <w:rPr>
          <w:bCs/>
          <w:lang w:val="en-US"/>
        </w:rPr>
        <w:t xml:space="preserve"> </w:t>
      </w:r>
      <w:r>
        <w:rPr>
          <w:bCs/>
          <w:noProof/>
          <w:lang w:val="en-US"/>
        </w:rPr>
        <w:t>[17]</w:t>
      </w:r>
      <w:r w:rsidRPr="000E5B14">
        <w:rPr>
          <w:bCs/>
          <w:lang w:val="en-US"/>
        </w:rPr>
        <w:t>. In line with this finding, BCa patients demonstrated significantly lower levels of zinc but higher levels of copper in the serum compared to controls</w:t>
      </w:r>
      <w:r>
        <w:rPr>
          <w:bCs/>
          <w:lang w:val="en-US"/>
        </w:rPr>
        <w:t xml:space="preserve"> </w:t>
      </w:r>
      <w:r>
        <w:rPr>
          <w:bCs/>
          <w:noProof/>
          <w:lang w:val="en-US"/>
        </w:rPr>
        <w:t>[18]</w:t>
      </w:r>
      <w:r w:rsidRPr="000E5B14">
        <w:rPr>
          <w:bCs/>
          <w:lang w:val="en-US"/>
        </w:rPr>
        <w:t>, and the Cu/Zn</w:t>
      </w:r>
      <w:r w:rsidRPr="000E5B14">
        <w:rPr>
          <w:lang w:val="en-US"/>
        </w:rPr>
        <w:t xml:space="preserve"> </w:t>
      </w:r>
      <w:r w:rsidRPr="000E5B14">
        <w:rPr>
          <w:bCs/>
          <w:lang w:val="en-US"/>
        </w:rPr>
        <w:t>ratio was significantly higher in the serum of BCa patients than in control patients</w:t>
      </w:r>
      <w:r>
        <w:rPr>
          <w:bCs/>
          <w:lang w:val="en-US"/>
        </w:rPr>
        <w:t xml:space="preserve"> </w:t>
      </w:r>
      <w:r>
        <w:rPr>
          <w:bCs/>
          <w:noProof/>
          <w:lang w:val="en-US"/>
        </w:rPr>
        <w:t>[19]</w:t>
      </w:r>
      <w:r w:rsidRPr="000E5B14">
        <w:rPr>
          <w:bCs/>
          <w:lang w:val="en-US"/>
        </w:rPr>
        <w:t>. In an Asian BCa cohort, serum copper levels were significantly higher, whereas calcium and selenium serum levels were significantly lower than those of the control group</w:t>
      </w:r>
      <w:r>
        <w:rPr>
          <w:bCs/>
          <w:lang w:val="en-US"/>
        </w:rPr>
        <w:t xml:space="preserve"> </w:t>
      </w:r>
      <w:r>
        <w:rPr>
          <w:bCs/>
          <w:noProof/>
          <w:lang w:val="en-US"/>
        </w:rPr>
        <w:t>[20]</w:t>
      </w:r>
      <w:r w:rsidRPr="000E5B14">
        <w:rPr>
          <w:bCs/>
          <w:lang w:val="en-US"/>
        </w:rPr>
        <w:t>.</w:t>
      </w:r>
    </w:p>
    <w:p w:rsidR="00DB1206" w:rsidRPr="000E5B14" w:rsidRDefault="00DB1206" w:rsidP="004A4F94">
      <w:pPr>
        <w:spacing w:line="480" w:lineRule="auto"/>
        <w:jc w:val="both"/>
        <w:rPr>
          <w:bCs/>
          <w:lang w:val="en-US"/>
        </w:rPr>
      </w:pPr>
      <w:r w:rsidRPr="000E5B14">
        <w:rPr>
          <w:bCs/>
          <w:lang w:val="en-US"/>
        </w:rPr>
        <w:t>In our study, we also observed increased levels of potassium, magnesium, lithium, phosphorus and nickel (discovery and validation cohort</w:t>
      </w:r>
      <w:r>
        <w:rPr>
          <w:bCs/>
          <w:lang w:val="en-US"/>
        </w:rPr>
        <w:t>s</w:t>
      </w:r>
      <w:r w:rsidRPr="000E5B14">
        <w:rPr>
          <w:bCs/>
          <w:lang w:val="en-US"/>
        </w:rPr>
        <w:t xml:space="preserve">), decreased levels of selenium (only in discovery cohort) and increased levels of boron, cadmium, zinc and manganese in the BCa </w:t>
      </w:r>
      <w:r w:rsidRPr="000E5B14">
        <w:rPr>
          <w:bCs/>
          <w:lang w:val="en-US"/>
        </w:rPr>
        <w:lastRenderedPageBreak/>
        <w:t xml:space="preserve">patients (only in validation cohort; Suppl. data). Comparing our data with those from the literature, we found that all but nickel were described for the first time in this study as significantly changed in the serum of BCa patients. Since three elements (K, Mg, </w:t>
      </w:r>
      <w:proofErr w:type="gramStart"/>
      <w:r w:rsidRPr="000E5B14">
        <w:rPr>
          <w:bCs/>
          <w:lang w:val="en-US"/>
        </w:rPr>
        <w:t>P</w:t>
      </w:r>
      <w:proofErr w:type="gramEnd"/>
      <w:r w:rsidRPr="000E5B14">
        <w:rPr>
          <w:bCs/>
          <w:lang w:val="en-US"/>
        </w:rPr>
        <w:t xml:space="preserve">) are major elements, they could be easily and affordably measured as part of routine diagnostics. However, only potassium levels in the serum of BCa patients are, for the most part, clearly above those described in routine laboratory diagnostics for healthy probands, i.e., are highly detectable by the applied clinical diagnostics. Therefore, we suggest evaluating the levels of potassium for the early diagnosis of BCa in well-known risk groups of BCa as a screening tool. </w:t>
      </w:r>
    </w:p>
    <w:p w:rsidR="00DB1206" w:rsidRPr="000E5B14" w:rsidRDefault="00DB1206" w:rsidP="004A4F94">
      <w:pPr>
        <w:spacing w:line="480" w:lineRule="auto"/>
        <w:jc w:val="both"/>
        <w:rPr>
          <w:bCs/>
          <w:lang w:val="en-US"/>
        </w:rPr>
      </w:pPr>
      <w:r w:rsidRPr="000E5B14">
        <w:rPr>
          <w:bCs/>
          <w:lang w:val="en-US"/>
        </w:rPr>
        <w:t>Furthermore, we were interested in whether serum levels of elements</w:t>
      </w:r>
      <w:r w:rsidRPr="000E5B14">
        <w:rPr>
          <w:lang w:val="en-US"/>
        </w:rPr>
        <w:t xml:space="preserve"> </w:t>
      </w:r>
      <w:r w:rsidRPr="000E5B14">
        <w:rPr>
          <w:bCs/>
          <w:lang w:val="en-US"/>
        </w:rPr>
        <w:t xml:space="preserve">also differed in the comparison of healthy controls to non-tumor bladder patients since the latter group is a more relevant control group than healthy controls in a urologic clinic. All five elements (Li, K, Mg, Ni, and P) showed significantly increased serum levels in non-tumor bladder patients compared to healthy controls. Interestingly, the mean levels of the four elements excluding lithium were even higher in non-tumor bladder patients than in </w:t>
      </w:r>
      <w:r>
        <w:rPr>
          <w:bCs/>
          <w:lang w:val="en-US"/>
        </w:rPr>
        <w:t>BCa</w:t>
      </w:r>
      <w:r w:rsidRPr="000E5B14">
        <w:rPr>
          <w:bCs/>
          <w:lang w:val="en-US"/>
        </w:rPr>
        <w:t xml:space="preserve"> patients with significant differences for potassium and phosphorus. </w:t>
      </w:r>
    </w:p>
    <w:p w:rsidR="00DB1206" w:rsidRPr="000E5B14" w:rsidRDefault="00DB1206" w:rsidP="004A4F94">
      <w:pPr>
        <w:spacing w:line="480" w:lineRule="auto"/>
        <w:jc w:val="both"/>
        <w:rPr>
          <w:bCs/>
          <w:lang w:val="en-US"/>
        </w:rPr>
      </w:pPr>
      <w:r w:rsidRPr="000E5B14">
        <w:rPr>
          <w:bCs/>
          <w:lang w:val="en-US"/>
        </w:rPr>
        <w:t xml:space="preserve">After comparing all samples with each other using the Bonferroni-adjusted α-level, our results from the comparison of the discovery and validation study provided, as expected, even more support for potassium, magnesium, phosphorus and sulfur. In particular, </w:t>
      </w:r>
      <w:r>
        <w:rPr>
          <w:bCs/>
          <w:lang w:val="en-US"/>
        </w:rPr>
        <w:t>c</w:t>
      </w:r>
      <w:r w:rsidRPr="000E5B14">
        <w:rPr>
          <w:bCs/>
          <w:lang w:val="en-US"/>
        </w:rPr>
        <w:t xml:space="preserve">hromium increased in BCa patients compared to healthy controls or non-tumor bladder patients, whereas chromium levels were not different between non-tumor bladder patients and healthy controls. This finding supports </w:t>
      </w:r>
      <w:r w:rsidRPr="000E5B14">
        <w:rPr>
          <w:bCs/>
          <w:i/>
          <w:lang w:val="en-US"/>
        </w:rPr>
        <w:t>in vitro</w:t>
      </w:r>
      <w:r w:rsidRPr="000E5B14">
        <w:rPr>
          <w:bCs/>
          <w:lang w:val="en-US"/>
        </w:rPr>
        <w:t xml:space="preserve"> results that chromium can induce chromosome instability in human urothelial cells, which suggests a chromium/chromate-induced mechanism of bladder cancer</w:t>
      </w:r>
      <w:r>
        <w:rPr>
          <w:bCs/>
          <w:lang w:val="en-US"/>
        </w:rPr>
        <w:t xml:space="preserve"> </w:t>
      </w:r>
      <w:r>
        <w:rPr>
          <w:bCs/>
          <w:noProof/>
          <w:lang w:val="en-US"/>
        </w:rPr>
        <w:t>[21]</w:t>
      </w:r>
      <w:r w:rsidRPr="000E5B14">
        <w:rPr>
          <w:bCs/>
          <w:lang w:val="en-US"/>
        </w:rPr>
        <w:t>. In addition, it was shown that drinking water contaminated with chromium chlorination (and arsenic) byproducts increases the risk of BCa</w:t>
      </w:r>
      <w:r>
        <w:rPr>
          <w:bCs/>
          <w:lang w:val="en-US"/>
        </w:rPr>
        <w:t xml:space="preserve"> </w:t>
      </w:r>
      <w:r>
        <w:rPr>
          <w:bCs/>
          <w:noProof/>
          <w:lang w:val="en-US"/>
        </w:rPr>
        <w:t>[22]</w:t>
      </w:r>
      <w:r w:rsidRPr="000E5B14">
        <w:rPr>
          <w:bCs/>
          <w:lang w:val="en-US"/>
        </w:rPr>
        <w:t xml:space="preserve"> and that BCa tissue had a higher concentration of cadmium than </w:t>
      </w:r>
      <w:r>
        <w:rPr>
          <w:bCs/>
          <w:lang w:val="en-US"/>
        </w:rPr>
        <w:t xml:space="preserve">the </w:t>
      </w:r>
      <w:r w:rsidRPr="000E5B14">
        <w:rPr>
          <w:bCs/>
          <w:lang w:val="en-US"/>
        </w:rPr>
        <w:t>cadaveric control</w:t>
      </w:r>
      <w:r>
        <w:rPr>
          <w:bCs/>
          <w:lang w:val="en-US"/>
        </w:rPr>
        <w:t xml:space="preserve"> </w:t>
      </w:r>
      <w:r>
        <w:rPr>
          <w:bCs/>
          <w:noProof/>
          <w:lang w:val="en-US"/>
        </w:rPr>
        <w:t>[16]</w:t>
      </w:r>
      <w:r w:rsidRPr="000E5B14">
        <w:rPr>
          <w:bCs/>
          <w:lang w:val="en-US"/>
        </w:rPr>
        <w:t xml:space="preserve">. However, why is potassium </w:t>
      </w:r>
      <w:r w:rsidRPr="000E5B14">
        <w:rPr>
          <w:bCs/>
          <w:lang w:val="en-US"/>
        </w:rPr>
        <w:lastRenderedPageBreak/>
        <w:t>increased in the serum of BCa patients and non-tumor patients? Our non-tumor bladder patients exhibit mostly acute or chronic inflammatory diseases. It is known that patients with interstitial cystitis/painful bladder syndrome have an impaired Na</w:t>
      </w:r>
      <w:r w:rsidRPr="000E5B14">
        <w:rPr>
          <w:bCs/>
          <w:vertAlign w:val="superscript"/>
          <w:lang w:val="en-US"/>
        </w:rPr>
        <w:t>+</w:t>
      </w:r>
      <w:r w:rsidRPr="000E5B14">
        <w:rPr>
          <w:bCs/>
          <w:lang w:val="en-US"/>
        </w:rPr>
        <w:t>/K</w:t>
      </w:r>
      <w:r w:rsidRPr="000E5B14">
        <w:rPr>
          <w:bCs/>
          <w:vertAlign w:val="superscript"/>
          <w:lang w:val="en-US"/>
        </w:rPr>
        <w:t>+</w:t>
      </w:r>
      <w:r w:rsidRPr="000E5B14">
        <w:rPr>
          <w:bCs/>
          <w:lang w:val="en-US"/>
        </w:rPr>
        <w:t>-ATPase function in the epithelial bladder cells. Usually, the Na</w:t>
      </w:r>
      <w:r w:rsidRPr="000E5B14">
        <w:rPr>
          <w:bCs/>
          <w:vertAlign w:val="superscript"/>
          <w:lang w:val="en-US"/>
        </w:rPr>
        <w:t>+</w:t>
      </w:r>
      <w:r w:rsidRPr="000E5B14">
        <w:rPr>
          <w:bCs/>
          <w:lang w:val="en-US"/>
        </w:rPr>
        <w:t>/K</w:t>
      </w:r>
      <w:r w:rsidRPr="000E5B14">
        <w:rPr>
          <w:bCs/>
          <w:vertAlign w:val="superscript"/>
          <w:lang w:val="en-US"/>
        </w:rPr>
        <w:t>+</w:t>
      </w:r>
      <w:r w:rsidRPr="000E5B14">
        <w:rPr>
          <w:bCs/>
          <w:lang w:val="en-US"/>
        </w:rPr>
        <w:t>-ATPase transports controlled Na</w:t>
      </w:r>
      <w:r w:rsidRPr="000E5B14">
        <w:rPr>
          <w:bCs/>
          <w:vertAlign w:val="superscript"/>
          <w:lang w:val="en-US"/>
        </w:rPr>
        <w:t>+</w:t>
      </w:r>
      <w:r w:rsidRPr="000E5B14">
        <w:rPr>
          <w:bCs/>
          <w:lang w:val="en-US"/>
        </w:rPr>
        <w:t xml:space="preserve"> out of the cells and transports K</w:t>
      </w:r>
      <w:r w:rsidRPr="000E5B14">
        <w:rPr>
          <w:bCs/>
          <w:vertAlign w:val="superscript"/>
          <w:lang w:val="en-US"/>
        </w:rPr>
        <w:t>+</w:t>
      </w:r>
      <w:r w:rsidRPr="000E5B14">
        <w:rPr>
          <w:bCs/>
          <w:lang w:val="en-US"/>
        </w:rPr>
        <w:t xml:space="preserve"> into the cells. The Na</w:t>
      </w:r>
      <w:r w:rsidRPr="000E5B14">
        <w:rPr>
          <w:bCs/>
          <w:vertAlign w:val="superscript"/>
          <w:lang w:val="en-US"/>
        </w:rPr>
        <w:t>+</w:t>
      </w:r>
      <w:r w:rsidRPr="000E5B14">
        <w:rPr>
          <w:bCs/>
          <w:lang w:val="en-US"/>
        </w:rPr>
        <w:t>/K</w:t>
      </w:r>
      <w:r w:rsidRPr="000E5B14">
        <w:rPr>
          <w:bCs/>
          <w:vertAlign w:val="superscript"/>
          <w:lang w:val="en-US"/>
        </w:rPr>
        <w:t>+</w:t>
      </w:r>
      <w:r w:rsidRPr="000E5B14">
        <w:rPr>
          <w:bCs/>
          <w:lang w:val="en-US"/>
        </w:rPr>
        <w:t>-ATPase is also a potential regulator of tight junction formation and function, i.e., tight junctions function as urothelial barriers between urine and the underlying bladder. When the Na</w:t>
      </w:r>
      <w:r w:rsidRPr="000E5B14">
        <w:rPr>
          <w:bCs/>
          <w:vertAlign w:val="superscript"/>
          <w:lang w:val="en-US"/>
        </w:rPr>
        <w:t>+</w:t>
      </w:r>
      <w:r w:rsidRPr="000E5B14">
        <w:rPr>
          <w:bCs/>
          <w:lang w:val="en-US"/>
        </w:rPr>
        <w:t>/K</w:t>
      </w:r>
      <w:r w:rsidRPr="000E5B14">
        <w:rPr>
          <w:bCs/>
          <w:vertAlign w:val="superscript"/>
          <w:lang w:val="en-US"/>
        </w:rPr>
        <w:t>+</w:t>
      </w:r>
      <w:r w:rsidRPr="000E5B14">
        <w:rPr>
          <w:bCs/>
          <w:lang w:val="en-US"/>
        </w:rPr>
        <w:t>-ATPase function is disturbed, urine and, in this way, mostly K</w:t>
      </w:r>
      <w:r w:rsidRPr="000E5B14">
        <w:rPr>
          <w:bCs/>
          <w:vertAlign w:val="superscript"/>
          <w:lang w:val="en-US"/>
        </w:rPr>
        <w:t>+</w:t>
      </w:r>
      <w:r w:rsidRPr="000E5B14">
        <w:rPr>
          <w:bCs/>
          <w:lang w:val="en-US"/>
        </w:rPr>
        <w:t>, can pass the barriers. An increased potassium leakage causes clinical symptoms in patients with interstitial cystitis/painful bladder syndrome</w:t>
      </w:r>
      <w:r>
        <w:rPr>
          <w:bCs/>
          <w:lang w:val="en-US"/>
        </w:rPr>
        <w:t xml:space="preserve"> </w:t>
      </w:r>
      <w:r>
        <w:rPr>
          <w:bCs/>
          <w:noProof/>
          <w:lang w:val="en-US"/>
        </w:rPr>
        <w:t>[reviewed in 23]</w:t>
      </w:r>
      <w:r w:rsidRPr="000E5B14">
        <w:rPr>
          <w:bCs/>
          <w:lang w:val="en-US"/>
        </w:rPr>
        <w:t xml:space="preserve">. In addition, hyperkalemia and hyperphosphatemia, i.e., increased levels of potassium and </w:t>
      </w:r>
      <w:proofErr w:type="gramStart"/>
      <w:r w:rsidRPr="000E5B14">
        <w:rPr>
          <w:bCs/>
          <w:lang w:val="en-US"/>
        </w:rPr>
        <w:t>phosphate</w:t>
      </w:r>
      <w:r>
        <w:rPr>
          <w:bCs/>
          <w:lang w:val="en-US"/>
        </w:rPr>
        <w:t>,</w:t>
      </w:r>
      <w:proofErr w:type="gramEnd"/>
      <w:r w:rsidRPr="000E5B14">
        <w:rPr>
          <w:bCs/>
          <w:lang w:val="en-US"/>
        </w:rPr>
        <w:t xml:space="preserve"> can be part of the tumor lysis syndrome that may occur as response to chemotherapy but also spontaneously</w:t>
      </w:r>
      <w:r>
        <w:rPr>
          <w:bCs/>
          <w:lang w:val="en-US"/>
        </w:rPr>
        <w:t xml:space="preserve"> </w:t>
      </w:r>
      <w:r>
        <w:rPr>
          <w:bCs/>
          <w:noProof/>
          <w:lang w:val="en-US"/>
        </w:rPr>
        <w:t>[24]</w:t>
      </w:r>
      <w:r w:rsidRPr="000E5B14">
        <w:rPr>
          <w:bCs/>
          <w:lang w:val="en-US"/>
        </w:rPr>
        <w:t xml:space="preserve">. </w:t>
      </w:r>
    </w:p>
    <w:p w:rsidR="00DB1206" w:rsidRPr="000E5B14" w:rsidRDefault="00DB1206" w:rsidP="004A4F94">
      <w:pPr>
        <w:spacing w:line="480" w:lineRule="auto"/>
        <w:jc w:val="both"/>
        <w:rPr>
          <w:bCs/>
          <w:lang w:val="en-US"/>
        </w:rPr>
      </w:pPr>
      <w:r w:rsidRPr="001A46FF">
        <w:rPr>
          <w:bCs/>
          <w:lang w:val="en-US"/>
        </w:rPr>
        <w:t>Our study was not without shortcomings</w:t>
      </w:r>
      <w:r>
        <w:rPr>
          <w:bCs/>
          <w:lang w:val="en-US"/>
        </w:rPr>
        <w:t xml:space="preserve">. </w:t>
      </w:r>
      <w:r w:rsidRPr="000E5B14">
        <w:rPr>
          <w:bCs/>
          <w:lang w:val="en-US"/>
        </w:rPr>
        <w:t>We are far from knowing completely what the BCa and the non-tumor bladder patients take as prescribed and non-prescribed drugs. These patients are at an age when comorbidities often occur, e.g., cardiovascular, autoimmune, and diabetic diseases. Therefore, we cannot exclude treatment/drug effects on the serum levels of major and trace elements in BCa patients and non-tumor bladder patients. For example, hyperkalemia can result from general use of diuretics or from antibiotics prescribed for bladder inflammation. Furthermore, potassium infusions for treating kidney insufficiency or myasthenia of the bladder</w:t>
      </w:r>
      <w:r w:rsidRPr="000E5B14">
        <w:rPr>
          <w:lang w:val="en-US"/>
        </w:rPr>
        <w:t xml:space="preserve"> </w:t>
      </w:r>
      <w:r w:rsidRPr="000E5B14">
        <w:rPr>
          <w:bCs/>
          <w:lang w:val="en-US"/>
        </w:rPr>
        <w:t>can increase potassium levels. On the other hand, insulin treatment is known to affect potassium levels negatively</w:t>
      </w:r>
      <w:r>
        <w:rPr>
          <w:bCs/>
          <w:lang w:val="en-US"/>
        </w:rPr>
        <w:t xml:space="preserve"> </w:t>
      </w:r>
      <w:r>
        <w:rPr>
          <w:bCs/>
          <w:noProof/>
          <w:lang w:val="en-US"/>
        </w:rPr>
        <w:t>[25]</w:t>
      </w:r>
      <w:r w:rsidRPr="000E5B14">
        <w:rPr>
          <w:bCs/>
          <w:lang w:val="en-US"/>
        </w:rPr>
        <w:t>.</w:t>
      </w:r>
    </w:p>
    <w:p w:rsidR="00DB1206" w:rsidRPr="000E5B14" w:rsidRDefault="00DB1206" w:rsidP="004A4F94">
      <w:pPr>
        <w:spacing w:line="480" w:lineRule="auto"/>
        <w:jc w:val="both"/>
        <w:rPr>
          <w:bCs/>
          <w:lang w:val="en-US"/>
        </w:rPr>
      </w:pPr>
      <w:r w:rsidRPr="000E5B14">
        <w:rPr>
          <w:bCs/>
          <w:lang w:val="en-US"/>
        </w:rPr>
        <w:t>To summarize,</w:t>
      </w:r>
      <w:r w:rsidRPr="000E5B14">
        <w:rPr>
          <w:lang w:val="en-US"/>
        </w:rPr>
        <w:t xml:space="preserve"> </w:t>
      </w:r>
      <w:r w:rsidRPr="000E5B14">
        <w:rPr>
          <w:bCs/>
          <w:lang w:val="en-US"/>
        </w:rPr>
        <w:t xml:space="preserve">the serum levels of five elements were significantly different between BCa </w:t>
      </w:r>
      <w:r>
        <w:rPr>
          <w:bCs/>
          <w:lang w:val="en-US"/>
        </w:rPr>
        <w:t xml:space="preserve">patients </w:t>
      </w:r>
      <w:r w:rsidRPr="000E5B14">
        <w:rPr>
          <w:bCs/>
          <w:lang w:val="en-US"/>
        </w:rPr>
        <w:t xml:space="preserve">or non-tumor bladder patients and healthy controls, i.e., lithium, magnesium, nickel, phosphorus and potassium levels were increased. Potassium and nickel levels in BCa </w:t>
      </w:r>
      <w:r>
        <w:rPr>
          <w:bCs/>
          <w:lang w:val="en-US"/>
        </w:rPr>
        <w:t xml:space="preserve">patients </w:t>
      </w:r>
      <w:r w:rsidRPr="000E5B14">
        <w:rPr>
          <w:bCs/>
          <w:lang w:val="en-US"/>
        </w:rPr>
        <w:t>and non-tumor bladder patients were predominantly out</w:t>
      </w:r>
      <w:r>
        <w:rPr>
          <w:bCs/>
          <w:lang w:val="en-US"/>
        </w:rPr>
        <w:t>side</w:t>
      </w:r>
      <w:r w:rsidRPr="000E5B14">
        <w:rPr>
          <w:bCs/>
          <w:lang w:val="en-US"/>
        </w:rPr>
        <w:t xml:space="preserve"> of the reference range of healthy probands determined by routine laboratory diagnostics. We suggest that serum analyses for </w:t>
      </w:r>
      <w:r w:rsidRPr="000E5B14">
        <w:rPr>
          <w:bCs/>
          <w:lang w:val="en-US"/>
        </w:rPr>
        <w:lastRenderedPageBreak/>
        <w:t xml:space="preserve">the five elements, with a focus on potassium as the major element, have the potential to be diagnostic markers for the early detection of BCa </w:t>
      </w:r>
      <w:r>
        <w:rPr>
          <w:bCs/>
          <w:lang w:val="en-US"/>
        </w:rPr>
        <w:t xml:space="preserve">patients </w:t>
      </w:r>
      <w:r w:rsidRPr="000E5B14">
        <w:rPr>
          <w:bCs/>
          <w:lang w:val="en-US"/>
        </w:rPr>
        <w:t xml:space="preserve">and non-tumor bladder patients in populations </w:t>
      </w:r>
      <w:r>
        <w:rPr>
          <w:bCs/>
          <w:lang w:val="en-US"/>
        </w:rPr>
        <w:t>at risk of</w:t>
      </w:r>
      <w:r w:rsidRPr="000E5B14">
        <w:rPr>
          <w:bCs/>
          <w:lang w:val="en-US"/>
        </w:rPr>
        <w:t xml:space="preserve"> bladder diseases. </w:t>
      </w:r>
    </w:p>
    <w:p w:rsidR="00DB1206" w:rsidRPr="000E5B14" w:rsidRDefault="00DB1206" w:rsidP="004A4F94">
      <w:pPr>
        <w:spacing w:line="480" w:lineRule="auto"/>
        <w:rPr>
          <w:b/>
          <w:bCs/>
          <w:lang w:val="en-US"/>
        </w:rPr>
      </w:pPr>
    </w:p>
    <w:p w:rsidR="00DB1206" w:rsidRPr="000E5B14" w:rsidRDefault="00DB1206" w:rsidP="004A4F94">
      <w:pPr>
        <w:spacing w:line="480" w:lineRule="auto"/>
        <w:jc w:val="both"/>
        <w:rPr>
          <w:b/>
          <w:bCs/>
          <w:lang w:val="en-US"/>
        </w:rPr>
      </w:pPr>
      <w:r w:rsidRPr="000E5B14">
        <w:rPr>
          <w:b/>
          <w:bCs/>
          <w:lang w:val="en-US"/>
        </w:rPr>
        <w:t>References</w:t>
      </w:r>
    </w:p>
    <w:p w:rsidR="00340AFC" w:rsidRDefault="00340AFC" w:rsidP="00340AFC">
      <w:pPr>
        <w:spacing w:line="480" w:lineRule="auto"/>
        <w:jc w:val="both"/>
        <w:rPr>
          <w:bCs/>
          <w:lang w:val="en-US"/>
        </w:rPr>
      </w:pPr>
    </w:p>
    <w:p w:rsidR="00340AFC" w:rsidRDefault="00340AFC" w:rsidP="00586F94">
      <w:pPr>
        <w:spacing w:line="480" w:lineRule="auto"/>
        <w:ind w:left="720" w:hanging="720"/>
        <w:jc w:val="both"/>
        <w:rPr>
          <w:bCs/>
          <w:noProof/>
          <w:lang w:val="en-US"/>
        </w:rPr>
      </w:pPr>
      <w:bookmarkStart w:id="1" w:name="_ENREF_1"/>
      <w:r>
        <w:rPr>
          <w:bCs/>
          <w:noProof/>
          <w:lang w:val="en-US"/>
        </w:rPr>
        <w:t>[1]</w:t>
      </w:r>
      <w:r>
        <w:rPr>
          <w:bCs/>
          <w:noProof/>
          <w:lang w:val="en-US"/>
        </w:rPr>
        <w:tab/>
        <w:t>S. Antoni, J. Ferlay, I. Soerjomataram, A. Znaor, A. Jemal, F. Bray, Bladder Cancer Incidence and Mortality: A Global Overview and Recent Trends, Eur. Urol. 71(1) (2017) 96-108.</w:t>
      </w:r>
      <w:bookmarkEnd w:id="1"/>
    </w:p>
    <w:p w:rsidR="00340AFC" w:rsidRDefault="00340AFC" w:rsidP="00586F94">
      <w:pPr>
        <w:spacing w:line="480" w:lineRule="auto"/>
        <w:ind w:left="720" w:hanging="720"/>
        <w:jc w:val="both"/>
        <w:rPr>
          <w:bCs/>
          <w:noProof/>
          <w:lang w:val="en-US"/>
        </w:rPr>
      </w:pPr>
      <w:bookmarkStart w:id="2" w:name="_ENREF_2"/>
      <w:r>
        <w:rPr>
          <w:bCs/>
          <w:noProof/>
          <w:lang w:val="en-US"/>
        </w:rPr>
        <w:t>[2]</w:t>
      </w:r>
      <w:r>
        <w:rPr>
          <w:bCs/>
          <w:noProof/>
          <w:lang w:val="en-US"/>
        </w:rPr>
        <w:tab/>
        <w:t>E. Blaveri, J.P. Simko, J.E. Korkola, J.L. Brewer, F. Baehner, K. Mehta, S. Devries, T. Koppie, S. Pejavar, P. Carroll, F.M. Waldman, Bladder cancer outcome and subtype classification by gene expression, Clin. Cancer Res. 11(11) (2005) 4044-4055.</w:t>
      </w:r>
      <w:bookmarkEnd w:id="2"/>
    </w:p>
    <w:p w:rsidR="00340AFC" w:rsidRDefault="00340AFC" w:rsidP="00586F94">
      <w:pPr>
        <w:spacing w:line="480" w:lineRule="auto"/>
        <w:ind w:left="720" w:hanging="720"/>
        <w:jc w:val="both"/>
        <w:rPr>
          <w:bCs/>
          <w:noProof/>
          <w:lang w:val="en-US"/>
        </w:rPr>
      </w:pPr>
      <w:bookmarkStart w:id="3" w:name="_ENREF_3"/>
      <w:r>
        <w:rPr>
          <w:bCs/>
          <w:noProof/>
          <w:lang w:val="en-US"/>
        </w:rPr>
        <w:t>[3]</w:t>
      </w:r>
      <w:r>
        <w:rPr>
          <w:bCs/>
          <w:noProof/>
          <w:lang w:val="en-US"/>
        </w:rPr>
        <w:tab/>
        <w:t>D. Zaak, A. Karl, R. Knuchel, H. Stepp, A. Hartmann, O. Reich, A. Bachmann, M. Siebels, G. Popken, C. Stief, Diagnosis of urothelial carcinoma of the bladder using fluorescence endoscopy, BJU Int. 96(2) (2005) 217-222.</w:t>
      </w:r>
      <w:bookmarkEnd w:id="3"/>
    </w:p>
    <w:p w:rsidR="00340AFC" w:rsidRDefault="00340AFC" w:rsidP="00586F94">
      <w:pPr>
        <w:spacing w:line="480" w:lineRule="auto"/>
        <w:ind w:left="720" w:hanging="720"/>
        <w:jc w:val="both"/>
        <w:rPr>
          <w:bCs/>
          <w:noProof/>
          <w:lang w:val="en-US"/>
        </w:rPr>
      </w:pPr>
      <w:bookmarkStart w:id="4" w:name="_ENREF_4"/>
      <w:r>
        <w:rPr>
          <w:bCs/>
          <w:noProof/>
          <w:lang w:val="en-US"/>
        </w:rPr>
        <w:t>[4]</w:t>
      </w:r>
      <w:r>
        <w:rPr>
          <w:bCs/>
          <w:noProof/>
          <w:lang w:val="en-US"/>
        </w:rPr>
        <w:tab/>
        <w:t>C. Cordon-Cardo, R.J. Cote, G. Sauter, Genetic and molecular markers of urothelial premalignancy and malignancy, Scand. J. Urol. Nephrol. Suppl. (205) (2000) 82-93.</w:t>
      </w:r>
      <w:bookmarkEnd w:id="4"/>
    </w:p>
    <w:p w:rsidR="00340AFC" w:rsidRDefault="00340AFC" w:rsidP="00586F94">
      <w:pPr>
        <w:spacing w:line="480" w:lineRule="auto"/>
        <w:ind w:left="720" w:hanging="720"/>
        <w:jc w:val="both"/>
        <w:rPr>
          <w:bCs/>
          <w:noProof/>
          <w:lang w:val="en-US"/>
        </w:rPr>
      </w:pPr>
      <w:bookmarkStart w:id="5" w:name="_ENREF_5"/>
      <w:r>
        <w:rPr>
          <w:bCs/>
          <w:noProof/>
          <w:lang w:val="en-US"/>
        </w:rPr>
        <w:t>[5]</w:t>
      </w:r>
      <w:r>
        <w:rPr>
          <w:bCs/>
          <w:noProof/>
          <w:lang w:val="en-US"/>
        </w:rPr>
        <w:tab/>
        <w:t>P. Erben, A. Hartmann, C. Bolenz, [Molecular Characterisation of Urothelial Bladder Cancer: Will it Improve Patient Care?], Aktuelle Urol 46(3) (2015) 227-235.</w:t>
      </w:r>
      <w:bookmarkEnd w:id="5"/>
    </w:p>
    <w:p w:rsidR="00340AFC" w:rsidRDefault="00340AFC" w:rsidP="00586F94">
      <w:pPr>
        <w:spacing w:line="480" w:lineRule="auto"/>
        <w:ind w:left="720" w:hanging="720"/>
        <w:jc w:val="both"/>
        <w:rPr>
          <w:bCs/>
          <w:noProof/>
          <w:lang w:val="en-US"/>
        </w:rPr>
      </w:pPr>
      <w:bookmarkStart w:id="6" w:name="_ENREF_6"/>
      <w:r>
        <w:rPr>
          <w:bCs/>
          <w:noProof/>
          <w:lang w:val="en-US"/>
        </w:rPr>
        <w:t>[6]</w:t>
      </w:r>
      <w:r>
        <w:rPr>
          <w:bCs/>
          <w:noProof/>
          <w:lang w:val="en-US"/>
        </w:rPr>
        <w:tab/>
        <w:t>B.J. Schmitz-Drager, M. Droller, V.B. Lokeshwar, Y. Lotan, M.A. Hudson, B.W. van Rhijn, M.J. Marberger, Y. Fradet, G.P. Hemstreet, P.U. Malmstrom, O. Ogawa, P.I. Karakiewicz, S.F. Shariat, Molecular markers for bladder cancer screening, early diagnosis, and surveillance: the WHO/ICUD consensus, Urol. Int. 94(1) (2015) 1-24.</w:t>
      </w:r>
      <w:bookmarkEnd w:id="6"/>
    </w:p>
    <w:p w:rsidR="00340AFC" w:rsidRDefault="00340AFC" w:rsidP="00586F94">
      <w:pPr>
        <w:spacing w:line="480" w:lineRule="auto"/>
        <w:ind w:left="720" w:hanging="720"/>
        <w:jc w:val="both"/>
        <w:rPr>
          <w:bCs/>
          <w:noProof/>
          <w:lang w:val="en-US"/>
        </w:rPr>
      </w:pPr>
      <w:bookmarkStart w:id="7" w:name="_ENREF_7"/>
      <w:r>
        <w:rPr>
          <w:bCs/>
          <w:noProof/>
          <w:lang w:val="en-US"/>
        </w:rPr>
        <w:t>[7]</w:t>
      </w:r>
      <w:r>
        <w:rPr>
          <w:bCs/>
          <w:noProof/>
          <w:lang w:val="en-US"/>
        </w:rPr>
        <w:tab/>
        <w:t>G.J. Netto, L.J. Tafe, Emerging Bladder Cancer Biomarkers and Targets of Therapy, Urol. Clin. North Am. 43(1) (2016) 63-76.</w:t>
      </w:r>
      <w:bookmarkEnd w:id="7"/>
    </w:p>
    <w:p w:rsidR="00340AFC" w:rsidRDefault="00340AFC" w:rsidP="00586F94">
      <w:pPr>
        <w:spacing w:line="480" w:lineRule="auto"/>
        <w:ind w:left="720" w:hanging="720"/>
        <w:jc w:val="both"/>
        <w:rPr>
          <w:bCs/>
          <w:noProof/>
          <w:lang w:val="en-US"/>
        </w:rPr>
      </w:pPr>
      <w:bookmarkStart w:id="8" w:name="_ENREF_8"/>
      <w:r>
        <w:rPr>
          <w:bCs/>
          <w:noProof/>
          <w:lang w:val="en-US"/>
        </w:rPr>
        <w:lastRenderedPageBreak/>
        <w:t>[8]</w:t>
      </w:r>
      <w:r>
        <w:rPr>
          <w:bCs/>
          <w:noProof/>
          <w:lang w:val="en-US"/>
        </w:rPr>
        <w:tab/>
        <w:t>A.E. Ochoa, W. Choi, X. Su, A. Siefker-Radtke, B. Czerniak, C. Dinney, D.J. McConkey, Specific micro-RNA expression patterns distinguish the basal and luminal subtypes of muscle-invasive bladder cancer, Oncotarget 7(49) (2016) 80164-80174.</w:t>
      </w:r>
      <w:bookmarkEnd w:id="8"/>
    </w:p>
    <w:p w:rsidR="00340AFC" w:rsidRDefault="00340AFC" w:rsidP="00586F94">
      <w:pPr>
        <w:spacing w:line="480" w:lineRule="auto"/>
        <w:ind w:left="720" w:hanging="720"/>
        <w:jc w:val="both"/>
        <w:rPr>
          <w:bCs/>
          <w:noProof/>
          <w:lang w:val="en-US"/>
        </w:rPr>
      </w:pPr>
      <w:bookmarkStart w:id="9" w:name="_ENREF_9"/>
      <w:r>
        <w:rPr>
          <w:bCs/>
          <w:noProof/>
          <w:lang w:val="en-US"/>
        </w:rPr>
        <w:t>[9]</w:t>
      </w:r>
      <w:r>
        <w:rPr>
          <w:bCs/>
          <w:noProof/>
          <w:lang w:val="en-US"/>
        </w:rPr>
        <w:tab/>
        <w:t>A. Di Meo, J. Bartlett, Y. Cheng, M.D. Pasic, G.M. Yousef, Liquid biopsy: a step forward towards precision medicine in urologic malignancies, Mol. Cancer 16(1) (2017) 80.</w:t>
      </w:r>
      <w:bookmarkEnd w:id="9"/>
    </w:p>
    <w:p w:rsidR="00340AFC" w:rsidRDefault="00340AFC" w:rsidP="00586F94">
      <w:pPr>
        <w:spacing w:line="480" w:lineRule="auto"/>
        <w:ind w:left="720" w:hanging="720"/>
        <w:jc w:val="both"/>
        <w:rPr>
          <w:bCs/>
          <w:noProof/>
          <w:lang w:val="en-US"/>
        </w:rPr>
      </w:pPr>
      <w:bookmarkStart w:id="10" w:name="_ENREF_10"/>
      <w:r>
        <w:rPr>
          <w:bCs/>
          <w:noProof/>
          <w:lang w:val="en-US"/>
        </w:rPr>
        <w:t>[10]</w:t>
      </w:r>
      <w:r>
        <w:rPr>
          <w:bCs/>
          <w:noProof/>
          <w:lang w:val="en-US"/>
        </w:rPr>
        <w:tab/>
        <w:t>A. Kohler, H. Eggers, M.A. Kuczyk, A.J. Schrader, S. Steffens, [Utility of the serum CRP value for assessing the prognosis and therapeutic response of urological malignancies], Aktuelle Urol 44(6) (2013) 452-455.</w:t>
      </w:r>
      <w:bookmarkEnd w:id="10"/>
    </w:p>
    <w:p w:rsidR="00340AFC" w:rsidRDefault="00340AFC" w:rsidP="00586F94">
      <w:pPr>
        <w:spacing w:line="480" w:lineRule="auto"/>
        <w:ind w:left="720" w:hanging="720"/>
        <w:jc w:val="both"/>
        <w:rPr>
          <w:bCs/>
          <w:noProof/>
          <w:lang w:val="en-US"/>
        </w:rPr>
      </w:pPr>
      <w:bookmarkStart w:id="11" w:name="_ENREF_11"/>
      <w:r>
        <w:rPr>
          <w:bCs/>
          <w:noProof/>
          <w:lang w:val="en-US"/>
        </w:rPr>
        <w:t>[11]</w:t>
      </w:r>
      <w:r>
        <w:rPr>
          <w:bCs/>
          <w:noProof/>
          <w:lang w:val="en-US"/>
        </w:rPr>
        <w:tab/>
        <w:t>M. Lodde, Y. Fradet, The detection of genetic markers of bladder cancer in urine and serum, Curr Opin Urol 18(5) (2008) 499-503.</w:t>
      </w:r>
      <w:bookmarkEnd w:id="11"/>
    </w:p>
    <w:p w:rsidR="00340AFC" w:rsidRDefault="00340AFC" w:rsidP="00586F94">
      <w:pPr>
        <w:spacing w:line="480" w:lineRule="auto"/>
        <w:ind w:left="720" w:hanging="720"/>
        <w:jc w:val="both"/>
        <w:rPr>
          <w:bCs/>
          <w:noProof/>
          <w:lang w:val="en-US"/>
        </w:rPr>
      </w:pPr>
      <w:bookmarkStart w:id="12" w:name="_ENREF_12"/>
      <w:r>
        <w:rPr>
          <w:bCs/>
          <w:noProof/>
          <w:lang w:val="en-US"/>
        </w:rPr>
        <w:t>[12]</w:t>
      </w:r>
      <w:r>
        <w:rPr>
          <w:bCs/>
          <w:noProof/>
          <w:lang w:val="en-US"/>
        </w:rPr>
        <w:tab/>
        <w:t>P.H. Abbosh, J.E. Rosenberg, E.R. Plimack, Circulating biomarkers to guide systemic therapy for urothelial carcinoma, Urol. Oncol. 34(11) (2016) 502-509.</w:t>
      </w:r>
      <w:bookmarkEnd w:id="12"/>
    </w:p>
    <w:p w:rsidR="00340AFC" w:rsidRDefault="00340AFC" w:rsidP="00586F94">
      <w:pPr>
        <w:spacing w:line="480" w:lineRule="auto"/>
        <w:ind w:left="720" w:hanging="720"/>
        <w:jc w:val="both"/>
        <w:rPr>
          <w:bCs/>
          <w:noProof/>
          <w:lang w:val="en-US"/>
        </w:rPr>
      </w:pPr>
      <w:bookmarkStart w:id="13" w:name="_ENREF_13"/>
      <w:r>
        <w:rPr>
          <w:bCs/>
          <w:noProof/>
          <w:lang w:val="en-US"/>
        </w:rPr>
        <w:t>[13]</w:t>
      </w:r>
      <w:r>
        <w:rPr>
          <w:bCs/>
          <w:noProof/>
          <w:lang w:val="en-US"/>
        </w:rPr>
        <w:tab/>
        <w:t>M. Nagata, S. Muto, S. Horie, Molecular Biomarkers in Bladder Cancer: Novel Potential Indicators of Prognosis and Treatment Outcomes, Dis. Markers 2016 (2016) 8205836.</w:t>
      </w:r>
      <w:bookmarkEnd w:id="13"/>
    </w:p>
    <w:p w:rsidR="00340AFC" w:rsidRDefault="00340AFC" w:rsidP="00586F94">
      <w:pPr>
        <w:spacing w:line="480" w:lineRule="auto"/>
        <w:ind w:left="720" w:hanging="720"/>
        <w:jc w:val="both"/>
        <w:rPr>
          <w:bCs/>
          <w:noProof/>
          <w:lang w:val="en-US"/>
        </w:rPr>
      </w:pPr>
      <w:bookmarkStart w:id="14" w:name="_ENREF_14"/>
      <w:r>
        <w:rPr>
          <w:bCs/>
          <w:noProof/>
          <w:lang w:val="en-US"/>
        </w:rPr>
        <w:t>[14]</w:t>
      </w:r>
      <w:r>
        <w:rPr>
          <w:bCs/>
          <w:noProof/>
          <w:lang w:val="en-US"/>
        </w:rPr>
        <w:tab/>
        <w:t>S.A. Navarro Silvera, T.E. Rohan, Trace elements and cancer risk: a review of the epidemiologic evidence, Cancer Causes Control 18(1) (2007) 7-27.</w:t>
      </w:r>
      <w:bookmarkEnd w:id="14"/>
    </w:p>
    <w:p w:rsidR="00340AFC" w:rsidRDefault="00340AFC" w:rsidP="00586F94">
      <w:pPr>
        <w:spacing w:line="480" w:lineRule="auto"/>
        <w:ind w:left="720" w:hanging="720"/>
        <w:jc w:val="both"/>
        <w:rPr>
          <w:bCs/>
          <w:noProof/>
          <w:lang w:val="en-US"/>
        </w:rPr>
      </w:pPr>
      <w:bookmarkStart w:id="15" w:name="_ENREF_15"/>
      <w:r>
        <w:rPr>
          <w:bCs/>
          <w:noProof/>
          <w:lang w:val="en-US"/>
        </w:rPr>
        <w:t>[15]</w:t>
      </w:r>
      <w:r>
        <w:rPr>
          <w:bCs/>
          <w:noProof/>
          <w:lang w:val="en-US"/>
        </w:rPr>
        <w:tab/>
        <w:t>J. Garcia-Perez, G. Lopez-Abente, A. Castello, M. Gonzalez-Sanchez, P. Fernandez-Navarro, Cancer mortality in towns in the vicinity of installations for the production of cement, lime, plaster, and magnesium oxide, Chemosphere 128 (2015) 103-110.</w:t>
      </w:r>
      <w:bookmarkEnd w:id="15"/>
    </w:p>
    <w:p w:rsidR="00340AFC" w:rsidRDefault="00340AFC" w:rsidP="00586F94">
      <w:pPr>
        <w:spacing w:line="480" w:lineRule="auto"/>
        <w:ind w:left="720" w:hanging="720"/>
        <w:jc w:val="both"/>
        <w:rPr>
          <w:bCs/>
          <w:noProof/>
          <w:lang w:val="en-US"/>
        </w:rPr>
      </w:pPr>
      <w:bookmarkStart w:id="16" w:name="_ENREF_16"/>
      <w:r>
        <w:rPr>
          <w:bCs/>
          <w:noProof/>
          <w:lang w:val="en-US"/>
        </w:rPr>
        <w:t>[16]</w:t>
      </w:r>
      <w:r>
        <w:rPr>
          <w:bCs/>
          <w:noProof/>
          <w:lang w:val="en-US"/>
        </w:rPr>
        <w:tab/>
        <w:t>M. Abdel-Gawad, E. Elsobky, M.M. Shalaby, M. Abd-Elhameed, M. Abdel-Rahim, B. Ali-El-Dein, Quantitative Evaluation of Heavy Metals and Trace Elements in the Urinary Bladder: Comparison Between Cancerous, Adjacent Non-cancerous and Normal Cadaveric Tissue, Biol. Trace Elem. Res. 174(2) (2016) 280-286.</w:t>
      </w:r>
      <w:bookmarkEnd w:id="16"/>
    </w:p>
    <w:p w:rsidR="00340AFC" w:rsidRDefault="00340AFC" w:rsidP="00586F94">
      <w:pPr>
        <w:spacing w:line="480" w:lineRule="auto"/>
        <w:ind w:left="720" w:hanging="720"/>
        <w:jc w:val="both"/>
        <w:rPr>
          <w:bCs/>
          <w:noProof/>
          <w:lang w:val="en-US"/>
        </w:rPr>
      </w:pPr>
      <w:bookmarkStart w:id="17" w:name="_ENREF_17"/>
      <w:r>
        <w:rPr>
          <w:bCs/>
          <w:noProof/>
          <w:lang w:val="en-US"/>
        </w:rPr>
        <w:lastRenderedPageBreak/>
        <w:t>[17]</w:t>
      </w:r>
      <w:r>
        <w:rPr>
          <w:bCs/>
          <w:noProof/>
          <w:lang w:val="en-US"/>
        </w:rPr>
        <w:tab/>
        <w:t>I. Gecit, S. Kavak, H. Demir, M. Gunes, N. Pirincci, C. Cetin, K. Ceylan, E. Benli, I. Yildiz, Serum trace element levels in patients with bladder cancer, Asian Pac. J. Cancer Prev. 12(12) (2011) 3409-3413.</w:t>
      </w:r>
      <w:bookmarkEnd w:id="17"/>
    </w:p>
    <w:p w:rsidR="00340AFC" w:rsidRDefault="00340AFC" w:rsidP="00586F94">
      <w:pPr>
        <w:spacing w:line="480" w:lineRule="auto"/>
        <w:ind w:left="720" w:hanging="720"/>
        <w:jc w:val="both"/>
        <w:rPr>
          <w:bCs/>
          <w:noProof/>
          <w:lang w:val="en-US"/>
        </w:rPr>
      </w:pPr>
      <w:bookmarkStart w:id="18" w:name="_ENREF_18"/>
      <w:r>
        <w:rPr>
          <w:bCs/>
          <w:noProof/>
          <w:lang w:val="en-US"/>
        </w:rPr>
        <w:t>[18]</w:t>
      </w:r>
      <w:r>
        <w:rPr>
          <w:bCs/>
          <w:noProof/>
          <w:lang w:val="en-US"/>
        </w:rPr>
        <w:tab/>
        <w:t>S. Mao, S. Huang, Zinc and copper levels in bladder cancer: a systematic review and meta-analysis, Biol. Trace Elem. Res. 153(1-3) (2013) 5-10.</w:t>
      </w:r>
      <w:bookmarkEnd w:id="18"/>
    </w:p>
    <w:p w:rsidR="00340AFC" w:rsidRDefault="00340AFC" w:rsidP="00586F94">
      <w:pPr>
        <w:spacing w:line="480" w:lineRule="auto"/>
        <w:ind w:left="720" w:hanging="720"/>
        <w:jc w:val="both"/>
        <w:rPr>
          <w:bCs/>
          <w:noProof/>
          <w:lang w:val="en-US"/>
        </w:rPr>
      </w:pPr>
      <w:bookmarkStart w:id="19" w:name="_ENREF_19"/>
      <w:r>
        <w:rPr>
          <w:bCs/>
          <w:noProof/>
          <w:lang w:val="en-US"/>
        </w:rPr>
        <w:t>[19]</w:t>
      </w:r>
      <w:r>
        <w:rPr>
          <w:bCs/>
          <w:noProof/>
          <w:lang w:val="en-US"/>
        </w:rPr>
        <w:tab/>
        <w:t>T. Golabek, B. Darewicz, M. Borawska, K. Socha, R. Markiewicz, J. Kudelski, Copper, zinc, and Cu/Zn ratio in transitional cell carcinoma of the bladder, Urol. Int. 89(3) (2012) 342-347.</w:t>
      </w:r>
      <w:bookmarkEnd w:id="19"/>
    </w:p>
    <w:p w:rsidR="00340AFC" w:rsidRDefault="00340AFC" w:rsidP="00586F94">
      <w:pPr>
        <w:spacing w:line="480" w:lineRule="auto"/>
        <w:ind w:left="720" w:hanging="720"/>
        <w:jc w:val="both"/>
        <w:rPr>
          <w:bCs/>
          <w:noProof/>
          <w:lang w:val="en-US"/>
        </w:rPr>
      </w:pPr>
      <w:bookmarkStart w:id="20" w:name="_ENREF_20"/>
      <w:r>
        <w:rPr>
          <w:bCs/>
          <w:noProof/>
          <w:lang w:val="en-US"/>
        </w:rPr>
        <w:t>[20]</w:t>
      </w:r>
      <w:r>
        <w:rPr>
          <w:bCs/>
          <w:noProof/>
          <w:lang w:val="en-US"/>
        </w:rPr>
        <w:tab/>
        <w:t>K.F. Guo, Z. Zhang, J.Y. Wang, S.L. Gao, J. Liu, B. Zhan, Z.P. Chen, C.Z. Kong, Variation of urinary and serum trace elements (Ca, Zn, Cu, Se) in bladder carcinoma in China, Asian Pac. J. Cancer Prev. 13(5) (2012) 2057-2061.</w:t>
      </w:r>
      <w:bookmarkEnd w:id="20"/>
    </w:p>
    <w:p w:rsidR="00340AFC" w:rsidRDefault="00340AFC" w:rsidP="00586F94">
      <w:pPr>
        <w:spacing w:line="480" w:lineRule="auto"/>
        <w:ind w:left="720" w:hanging="720"/>
        <w:jc w:val="both"/>
        <w:rPr>
          <w:bCs/>
          <w:noProof/>
          <w:lang w:val="en-US"/>
        </w:rPr>
      </w:pPr>
      <w:bookmarkStart w:id="21" w:name="_ENREF_21"/>
      <w:r>
        <w:rPr>
          <w:bCs/>
          <w:noProof/>
          <w:lang w:val="en-US"/>
        </w:rPr>
        <w:t>[21]</w:t>
      </w:r>
      <w:r>
        <w:rPr>
          <w:bCs/>
          <w:noProof/>
          <w:lang w:val="en-US"/>
        </w:rPr>
        <w:tab/>
        <w:t>S.S. Wise, A.L. Holmes, L. Liou, R.M. Adam, J.P. Wise, Sr., Hexavalent chromium induces chromosome instability in human urothelial cells, Toxicol. Appl. Pharmacol. 296 (2016) 54-60.</w:t>
      </w:r>
      <w:bookmarkEnd w:id="21"/>
    </w:p>
    <w:p w:rsidR="00340AFC" w:rsidRDefault="00340AFC" w:rsidP="00586F94">
      <w:pPr>
        <w:spacing w:line="480" w:lineRule="auto"/>
        <w:ind w:left="720" w:hanging="720"/>
        <w:jc w:val="both"/>
        <w:rPr>
          <w:bCs/>
          <w:noProof/>
          <w:lang w:val="en-US"/>
        </w:rPr>
      </w:pPr>
      <w:bookmarkStart w:id="22" w:name="_ENREF_22"/>
      <w:r>
        <w:rPr>
          <w:bCs/>
          <w:noProof/>
          <w:lang w:val="en-US"/>
        </w:rPr>
        <w:t>[22]</w:t>
      </w:r>
      <w:r>
        <w:rPr>
          <w:bCs/>
          <w:noProof/>
          <w:lang w:val="en-US"/>
        </w:rPr>
        <w:tab/>
        <w:t>J. Ferris, O. Berbel, J. Alonso-Lopez, J. Garcia, J.A. Ortega, Environmental non-occupational risk factors associated with bladder cancer, Actas Urol. Esp. 37(9) (2013) 579-586.</w:t>
      </w:r>
      <w:bookmarkEnd w:id="22"/>
    </w:p>
    <w:p w:rsidR="00340AFC" w:rsidRDefault="00340AFC" w:rsidP="00586F94">
      <w:pPr>
        <w:spacing w:line="480" w:lineRule="auto"/>
        <w:ind w:left="720" w:hanging="720"/>
        <w:jc w:val="both"/>
        <w:rPr>
          <w:bCs/>
          <w:noProof/>
          <w:lang w:val="en-US"/>
        </w:rPr>
      </w:pPr>
      <w:bookmarkStart w:id="23" w:name="_ENREF_23"/>
      <w:r>
        <w:rPr>
          <w:bCs/>
          <w:noProof/>
          <w:lang w:val="en-US"/>
        </w:rPr>
        <w:t>[23]</w:t>
      </w:r>
      <w:r>
        <w:rPr>
          <w:bCs/>
          <w:noProof/>
          <w:lang w:val="en-US"/>
        </w:rPr>
        <w:tab/>
        <w:t>J.D. Lee, W.K. Yang, M.H. Lee, Impaired Na(+)/K(+)-ATPase Function in Patients with Interstitial Cystitis/Painful Bladder Syndrome, J. Korean Med. Sci. 31(2) (2016) 280-285.</w:t>
      </w:r>
      <w:bookmarkEnd w:id="23"/>
    </w:p>
    <w:p w:rsidR="00340AFC" w:rsidRDefault="00340AFC" w:rsidP="00586F94">
      <w:pPr>
        <w:spacing w:line="480" w:lineRule="auto"/>
        <w:ind w:left="720" w:hanging="720"/>
        <w:jc w:val="both"/>
        <w:rPr>
          <w:bCs/>
          <w:noProof/>
          <w:lang w:val="en-US"/>
        </w:rPr>
      </w:pPr>
      <w:bookmarkStart w:id="24" w:name="_ENREF_24"/>
      <w:r>
        <w:rPr>
          <w:bCs/>
          <w:noProof/>
          <w:lang w:val="en-US"/>
        </w:rPr>
        <w:t>[24]</w:t>
      </w:r>
      <w:r>
        <w:rPr>
          <w:bCs/>
          <w:noProof/>
          <w:lang w:val="en-US"/>
        </w:rPr>
        <w:tab/>
        <w:t>S. Jeha, Tumor lysis syndrome, Semin. Hematol. 38(4 Suppl 10) (2001) 4-8.</w:t>
      </w:r>
      <w:bookmarkEnd w:id="24"/>
    </w:p>
    <w:p w:rsidR="00340AFC" w:rsidRDefault="00340AFC" w:rsidP="00586F94">
      <w:pPr>
        <w:spacing w:line="480" w:lineRule="auto"/>
        <w:ind w:left="720" w:hanging="720"/>
        <w:jc w:val="both"/>
        <w:rPr>
          <w:bCs/>
          <w:noProof/>
          <w:lang w:val="en-US"/>
        </w:rPr>
      </w:pPr>
      <w:bookmarkStart w:id="25" w:name="_ENREF_25"/>
      <w:r>
        <w:rPr>
          <w:bCs/>
          <w:noProof/>
          <w:lang w:val="en-US"/>
        </w:rPr>
        <w:t>[25]</w:t>
      </w:r>
      <w:r>
        <w:rPr>
          <w:bCs/>
          <w:noProof/>
          <w:lang w:val="en-US"/>
        </w:rPr>
        <w:tab/>
        <w:t>B.F. Palmer, D.J. Clegg, Physiology and pathophysiology of potassium homeostasis, Adv Physiol Educ 40(4) (2016) 480-490.</w:t>
      </w:r>
      <w:bookmarkEnd w:id="25"/>
    </w:p>
    <w:p w:rsidR="00340AFC" w:rsidRDefault="00340AFC" w:rsidP="00340AFC">
      <w:pPr>
        <w:spacing w:line="240" w:lineRule="auto"/>
        <w:jc w:val="both"/>
        <w:rPr>
          <w:bCs/>
          <w:noProof/>
          <w:lang w:val="en-US"/>
        </w:rPr>
      </w:pPr>
    </w:p>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
          <w:bCs/>
          <w:lang w:val="en-US"/>
        </w:rPr>
      </w:pPr>
      <w:r w:rsidRPr="000E5B14">
        <w:rPr>
          <w:b/>
          <w:bCs/>
          <w:lang w:val="en-US"/>
        </w:rPr>
        <w:lastRenderedPageBreak/>
        <w:t>Acknowledgement</w:t>
      </w:r>
    </w:p>
    <w:p w:rsidR="00DB1206" w:rsidRDefault="00DB1206" w:rsidP="004A4F94">
      <w:pPr>
        <w:spacing w:line="480" w:lineRule="auto"/>
        <w:jc w:val="both"/>
        <w:rPr>
          <w:bCs/>
          <w:lang w:val="en-US"/>
        </w:rPr>
      </w:pPr>
      <w:r w:rsidRPr="000E5B14">
        <w:rPr>
          <w:bCs/>
          <w:lang w:val="en-US"/>
        </w:rPr>
        <w:t>We are very thankful for the financial support from a grant of the Förderverein Hilfe beim Prostatakrebs e.V./Movember (S.W., H.T.) and a grant of the Johannes und Frieda Marohn-Stiftung (S.W). In addition, we thank American Journal Experts for editing the manuscript.</w:t>
      </w:r>
    </w:p>
    <w:p w:rsidR="008C428E" w:rsidRPr="000E5B14" w:rsidRDefault="008C428E" w:rsidP="004A4F94">
      <w:pPr>
        <w:spacing w:line="480" w:lineRule="auto"/>
        <w:jc w:val="both"/>
        <w:rPr>
          <w:bCs/>
          <w:lang w:val="en-US"/>
        </w:rPr>
      </w:pPr>
      <w:r>
        <w:rPr>
          <w:bCs/>
          <w:lang w:val="en-US"/>
        </w:rPr>
        <w:t>Prof. Chaudhri would like to thank Prof. Schmuky for offering a guest professor position at his institute.</w:t>
      </w:r>
    </w:p>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
          <w:bCs/>
          <w:lang w:val="en-US"/>
        </w:rPr>
      </w:pPr>
      <w:r w:rsidRPr="000E5B14">
        <w:rPr>
          <w:b/>
          <w:bCs/>
          <w:lang w:val="en-US"/>
        </w:rPr>
        <w:t>Conflicts of interest</w:t>
      </w:r>
    </w:p>
    <w:p w:rsidR="00DB1206" w:rsidRPr="000E5B14" w:rsidRDefault="00DB1206" w:rsidP="004A4F94">
      <w:pPr>
        <w:spacing w:line="480" w:lineRule="auto"/>
        <w:jc w:val="both"/>
        <w:rPr>
          <w:bCs/>
          <w:lang w:val="en-US"/>
        </w:rPr>
      </w:pPr>
      <w:r w:rsidRPr="000E5B14">
        <w:rPr>
          <w:bCs/>
          <w:lang w:val="en-US"/>
        </w:rPr>
        <w:t>All authors declare to have no conflicts of interest.</w:t>
      </w:r>
    </w:p>
    <w:p w:rsidR="00DB1206" w:rsidRDefault="00DB1206">
      <w:pPr>
        <w:spacing w:line="240" w:lineRule="auto"/>
        <w:rPr>
          <w:b/>
          <w:bCs/>
          <w:lang w:val="en-US"/>
        </w:rPr>
      </w:pPr>
      <w:r>
        <w:rPr>
          <w:b/>
          <w:bCs/>
          <w:lang w:val="en-US"/>
        </w:rPr>
        <w:br w:type="page"/>
      </w:r>
    </w:p>
    <w:p w:rsidR="00DB1206" w:rsidRPr="000E5B14" w:rsidRDefault="00DB1206" w:rsidP="004A4F94">
      <w:pPr>
        <w:spacing w:line="480" w:lineRule="auto"/>
        <w:jc w:val="both"/>
        <w:rPr>
          <w:b/>
          <w:bCs/>
          <w:lang w:val="en-US"/>
        </w:rPr>
      </w:pPr>
      <w:proofErr w:type="gramStart"/>
      <w:r w:rsidRPr="000E5B14">
        <w:rPr>
          <w:b/>
          <w:bCs/>
          <w:lang w:val="en-US"/>
        </w:rPr>
        <w:lastRenderedPageBreak/>
        <w:t>Table 1.</w:t>
      </w:r>
      <w:proofErr w:type="gramEnd"/>
      <w:r w:rsidRPr="000E5B14">
        <w:rPr>
          <w:b/>
          <w:bCs/>
          <w:lang w:val="en-US"/>
        </w:rPr>
        <w:t xml:space="preserve"> Clinicopathological data of the BCa patients</w:t>
      </w:r>
    </w:p>
    <w:p w:rsidR="00DB1206" w:rsidRPr="000E5B14" w:rsidRDefault="00DB1206" w:rsidP="004A4F94">
      <w:pPr>
        <w:spacing w:line="480" w:lineRule="auto"/>
        <w:jc w:val="both"/>
        <w:rPr>
          <w:b/>
          <w:bCs/>
          <w:lang w:val="en-US"/>
        </w:rPr>
      </w:pPr>
    </w:p>
    <w:tbl>
      <w:tblPr>
        <w:tblW w:w="3960" w:type="dxa"/>
        <w:tblInd w:w="55" w:type="dxa"/>
        <w:tblCellMar>
          <w:left w:w="70" w:type="dxa"/>
          <w:right w:w="70" w:type="dxa"/>
        </w:tblCellMar>
        <w:tblLook w:val="04A0" w:firstRow="1" w:lastRow="0" w:firstColumn="1" w:lastColumn="0" w:noHBand="0" w:noVBand="1"/>
      </w:tblPr>
      <w:tblGrid>
        <w:gridCol w:w="1320"/>
        <w:gridCol w:w="1320"/>
        <w:gridCol w:w="1320"/>
      </w:tblGrid>
      <w:tr w:rsidR="00DB1206" w:rsidRPr="000E5B14" w:rsidTr="009D7F19">
        <w:trPr>
          <w:trHeight w:val="300"/>
        </w:trPr>
        <w:tc>
          <w:tcPr>
            <w:tcW w:w="1320" w:type="dxa"/>
            <w:tcBorders>
              <w:top w:val="nil"/>
              <w:left w:val="nil"/>
              <w:bottom w:val="single" w:sz="4" w:space="0" w:color="auto"/>
              <w:right w:val="nil"/>
            </w:tcBorders>
            <w:shd w:val="clear" w:color="auto" w:fill="auto"/>
            <w:noWrap/>
            <w:vAlign w:val="bottom"/>
            <w:hideMark/>
          </w:tcPr>
          <w:p w:rsidR="00DB1206" w:rsidRPr="000E5B14" w:rsidRDefault="00DB1206" w:rsidP="004A4F94">
            <w:pPr>
              <w:spacing w:line="480" w:lineRule="auto"/>
              <w:rPr>
                <w:b/>
                <w:bCs/>
                <w:color w:val="000000"/>
                <w:szCs w:val="24"/>
                <w:lang w:val="en-US"/>
              </w:rPr>
            </w:pPr>
          </w:p>
        </w:tc>
        <w:tc>
          <w:tcPr>
            <w:tcW w:w="1320" w:type="dxa"/>
            <w:tcBorders>
              <w:top w:val="nil"/>
              <w:left w:val="nil"/>
              <w:bottom w:val="single" w:sz="4" w:space="0" w:color="auto"/>
              <w:right w:val="nil"/>
            </w:tcBorders>
            <w:shd w:val="clear" w:color="auto" w:fill="auto"/>
            <w:noWrap/>
            <w:vAlign w:val="bottom"/>
            <w:hideMark/>
          </w:tcPr>
          <w:p w:rsidR="00DB1206" w:rsidRPr="000E5B14" w:rsidRDefault="00DB1206" w:rsidP="004A4F94">
            <w:pPr>
              <w:spacing w:line="480" w:lineRule="auto"/>
              <w:rPr>
                <w:b/>
                <w:bCs/>
                <w:color w:val="000000"/>
                <w:szCs w:val="24"/>
                <w:lang w:val="en-US"/>
              </w:rPr>
            </w:pPr>
            <w:r w:rsidRPr="000E5B14">
              <w:rPr>
                <w:b/>
                <w:bCs/>
                <w:color w:val="000000"/>
                <w:szCs w:val="24"/>
                <w:lang w:val="en-US"/>
              </w:rPr>
              <w:t>Discovery</w:t>
            </w:r>
          </w:p>
          <w:p w:rsidR="00DB1206" w:rsidRPr="000E5B14" w:rsidRDefault="00DB1206" w:rsidP="004A4F94">
            <w:pPr>
              <w:spacing w:line="480" w:lineRule="auto"/>
              <w:rPr>
                <w:b/>
                <w:bCs/>
                <w:color w:val="000000"/>
                <w:szCs w:val="24"/>
                <w:lang w:val="en-US"/>
              </w:rPr>
            </w:pPr>
            <w:r w:rsidRPr="000E5B14">
              <w:rPr>
                <w:b/>
                <w:bCs/>
                <w:color w:val="000000"/>
                <w:szCs w:val="24"/>
                <w:lang w:val="en-US"/>
              </w:rPr>
              <w:t>cohort</w:t>
            </w:r>
          </w:p>
        </w:tc>
        <w:tc>
          <w:tcPr>
            <w:tcW w:w="1320" w:type="dxa"/>
            <w:tcBorders>
              <w:top w:val="nil"/>
              <w:left w:val="nil"/>
              <w:bottom w:val="single" w:sz="4" w:space="0" w:color="auto"/>
              <w:right w:val="nil"/>
            </w:tcBorders>
            <w:shd w:val="clear" w:color="auto" w:fill="auto"/>
            <w:noWrap/>
            <w:vAlign w:val="bottom"/>
            <w:hideMark/>
          </w:tcPr>
          <w:p w:rsidR="00DB1206" w:rsidRPr="000E5B14" w:rsidRDefault="00DB1206" w:rsidP="004A4F94">
            <w:pPr>
              <w:spacing w:line="480" w:lineRule="auto"/>
              <w:rPr>
                <w:b/>
                <w:bCs/>
                <w:color w:val="000000"/>
                <w:szCs w:val="24"/>
                <w:lang w:val="en-US"/>
              </w:rPr>
            </w:pPr>
            <w:r w:rsidRPr="000E5B14">
              <w:rPr>
                <w:b/>
                <w:bCs/>
                <w:color w:val="000000"/>
                <w:szCs w:val="24"/>
                <w:lang w:val="en-US"/>
              </w:rPr>
              <w:t>Validation</w:t>
            </w:r>
          </w:p>
          <w:p w:rsidR="00DB1206" w:rsidRPr="000E5B14" w:rsidRDefault="00DB1206" w:rsidP="004A4F94">
            <w:pPr>
              <w:spacing w:line="480" w:lineRule="auto"/>
              <w:rPr>
                <w:b/>
                <w:bCs/>
                <w:color w:val="000000"/>
                <w:szCs w:val="24"/>
                <w:lang w:val="en-US"/>
              </w:rPr>
            </w:pPr>
            <w:r w:rsidRPr="000E5B14">
              <w:rPr>
                <w:b/>
                <w:bCs/>
                <w:color w:val="000000"/>
                <w:szCs w:val="24"/>
                <w:lang w:val="en-US"/>
              </w:rPr>
              <w:t>cohort</w:t>
            </w:r>
          </w:p>
        </w:tc>
      </w:tr>
      <w:tr w:rsidR="00DB1206" w:rsidRPr="000E5B14" w:rsidTr="009D7F19">
        <w:trPr>
          <w:trHeight w:val="285"/>
        </w:trPr>
        <w:tc>
          <w:tcPr>
            <w:tcW w:w="1320" w:type="dxa"/>
            <w:tcBorders>
              <w:top w:val="single" w:sz="4" w:space="0" w:color="auto"/>
              <w:left w:val="nil"/>
              <w:bottom w:val="nil"/>
              <w:right w:val="nil"/>
            </w:tcBorders>
            <w:shd w:val="clear" w:color="auto" w:fill="auto"/>
            <w:noWrap/>
            <w:vAlign w:val="bottom"/>
            <w:hideMark/>
          </w:tcPr>
          <w:p w:rsidR="00DB1206" w:rsidRPr="000E5B14" w:rsidRDefault="00DB1206" w:rsidP="004A4F94">
            <w:pPr>
              <w:spacing w:line="480" w:lineRule="auto"/>
              <w:rPr>
                <w:b/>
                <w:color w:val="000000"/>
                <w:szCs w:val="24"/>
                <w:lang w:val="en-US"/>
              </w:rPr>
            </w:pPr>
            <w:r w:rsidRPr="000E5B14">
              <w:rPr>
                <w:b/>
                <w:color w:val="000000"/>
                <w:szCs w:val="24"/>
                <w:lang w:val="en-US"/>
              </w:rPr>
              <w:t>N</w:t>
            </w:r>
          </w:p>
        </w:tc>
        <w:tc>
          <w:tcPr>
            <w:tcW w:w="1320" w:type="dxa"/>
            <w:tcBorders>
              <w:top w:val="single" w:sz="4" w:space="0" w:color="auto"/>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9</w:t>
            </w:r>
          </w:p>
        </w:tc>
        <w:tc>
          <w:tcPr>
            <w:tcW w:w="1320" w:type="dxa"/>
            <w:tcBorders>
              <w:top w:val="single" w:sz="4" w:space="0" w:color="auto"/>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30</w:t>
            </w:r>
          </w:p>
        </w:tc>
      </w:tr>
      <w:tr w:rsidR="00DB1206" w:rsidRPr="000E5B14" w:rsidTr="009D7F19">
        <w:trPr>
          <w:trHeight w:val="300"/>
        </w:trPr>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b/>
                <w:bCs/>
                <w:color w:val="000000"/>
                <w:szCs w:val="24"/>
                <w:lang w:val="en-US"/>
              </w:rPr>
            </w:pPr>
            <w:r w:rsidRPr="000E5B14">
              <w:rPr>
                <w:b/>
                <w:bCs/>
                <w:color w:val="000000"/>
                <w:szCs w:val="24"/>
                <w:lang w:val="en-US"/>
              </w:rPr>
              <w:t>gender</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r>
      <w:tr w:rsidR="00DB1206" w:rsidRPr="000E5B14" w:rsidTr="009D7F19">
        <w:trPr>
          <w:trHeight w:val="285"/>
        </w:trPr>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female</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2</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6</w:t>
            </w:r>
          </w:p>
        </w:tc>
      </w:tr>
      <w:tr w:rsidR="00DB1206" w:rsidRPr="000E5B14" w:rsidTr="009D7F19">
        <w:trPr>
          <w:trHeight w:val="285"/>
        </w:trPr>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male</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7</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24</w:t>
            </w:r>
          </w:p>
        </w:tc>
      </w:tr>
      <w:tr w:rsidR="00DB1206" w:rsidRPr="000E5B14" w:rsidTr="009D7F19">
        <w:trPr>
          <w:trHeight w:val="300"/>
        </w:trPr>
        <w:tc>
          <w:tcPr>
            <w:tcW w:w="2640" w:type="dxa"/>
            <w:gridSpan w:val="2"/>
            <w:tcBorders>
              <w:top w:val="nil"/>
              <w:left w:val="nil"/>
              <w:bottom w:val="nil"/>
              <w:right w:val="nil"/>
            </w:tcBorders>
            <w:shd w:val="clear" w:color="auto" w:fill="auto"/>
            <w:noWrap/>
            <w:vAlign w:val="bottom"/>
            <w:hideMark/>
          </w:tcPr>
          <w:p w:rsidR="00DB1206" w:rsidRPr="000E5B14" w:rsidRDefault="00DB1206" w:rsidP="004A4F94">
            <w:pPr>
              <w:spacing w:line="480" w:lineRule="auto"/>
              <w:rPr>
                <w:b/>
                <w:bCs/>
                <w:color w:val="000000"/>
                <w:szCs w:val="24"/>
                <w:lang w:val="en-US"/>
              </w:rPr>
            </w:pPr>
            <w:r w:rsidRPr="000E5B14">
              <w:rPr>
                <w:b/>
                <w:bCs/>
                <w:color w:val="000000"/>
                <w:szCs w:val="24"/>
                <w:lang w:val="en-US"/>
              </w:rPr>
              <w:t>tumor stage</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r>
      <w:tr w:rsidR="00DB1206" w:rsidRPr="000E5B14" w:rsidTr="009D7F19">
        <w:trPr>
          <w:trHeight w:val="285"/>
        </w:trPr>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pTa</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2</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1</w:t>
            </w:r>
          </w:p>
        </w:tc>
      </w:tr>
      <w:tr w:rsidR="00DB1206" w:rsidRPr="000E5B14" w:rsidTr="009D7F19">
        <w:trPr>
          <w:trHeight w:val="285"/>
        </w:trPr>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pTis</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0</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1</w:t>
            </w:r>
          </w:p>
        </w:tc>
      </w:tr>
      <w:tr w:rsidR="00DB1206" w:rsidRPr="000E5B14" w:rsidTr="009D7F19">
        <w:trPr>
          <w:trHeight w:val="285"/>
        </w:trPr>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pT1</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1</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6</w:t>
            </w:r>
          </w:p>
        </w:tc>
      </w:tr>
      <w:tr w:rsidR="00DB1206" w:rsidRPr="000E5B14" w:rsidTr="009D7F19">
        <w:trPr>
          <w:trHeight w:val="285"/>
        </w:trPr>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pT2</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4</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16</w:t>
            </w:r>
          </w:p>
        </w:tc>
      </w:tr>
      <w:tr w:rsidR="00DB1206" w:rsidRPr="000E5B14" w:rsidTr="009D7F19">
        <w:trPr>
          <w:trHeight w:val="285"/>
        </w:trPr>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pT3</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2</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3</w:t>
            </w:r>
          </w:p>
        </w:tc>
      </w:tr>
      <w:tr w:rsidR="00DB1206" w:rsidRPr="000E5B14" w:rsidTr="009D7F19">
        <w:trPr>
          <w:trHeight w:val="285"/>
        </w:trPr>
        <w:tc>
          <w:tcPr>
            <w:tcW w:w="1320" w:type="dxa"/>
            <w:tcBorders>
              <w:top w:val="nil"/>
              <w:left w:val="nil"/>
              <w:bottom w:val="nil"/>
              <w:right w:val="nil"/>
            </w:tcBorders>
            <w:shd w:val="clear" w:color="auto" w:fill="auto"/>
            <w:noWrap/>
            <w:vAlign w:val="bottom"/>
          </w:tcPr>
          <w:p w:rsidR="00DB1206" w:rsidRPr="000E5B14" w:rsidRDefault="00DB1206" w:rsidP="004A4F94">
            <w:pPr>
              <w:spacing w:line="480" w:lineRule="auto"/>
              <w:rPr>
                <w:color w:val="000000"/>
                <w:szCs w:val="24"/>
                <w:lang w:val="en-US"/>
              </w:rPr>
            </w:pPr>
            <w:r w:rsidRPr="000E5B14">
              <w:rPr>
                <w:color w:val="000000"/>
                <w:szCs w:val="24"/>
                <w:lang w:val="en-US"/>
              </w:rPr>
              <w:t>pT4</w:t>
            </w:r>
          </w:p>
        </w:tc>
        <w:tc>
          <w:tcPr>
            <w:tcW w:w="1320" w:type="dxa"/>
            <w:tcBorders>
              <w:top w:val="nil"/>
              <w:left w:val="nil"/>
              <w:bottom w:val="nil"/>
              <w:right w:val="nil"/>
            </w:tcBorders>
            <w:shd w:val="clear" w:color="auto" w:fill="auto"/>
            <w:noWrap/>
            <w:vAlign w:val="bottom"/>
          </w:tcPr>
          <w:p w:rsidR="00DB1206" w:rsidRPr="000E5B14" w:rsidRDefault="00DB1206" w:rsidP="004A4F94">
            <w:pPr>
              <w:spacing w:line="480" w:lineRule="auto"/>
              <w:jc w:val="right"/>
              <w:rPr>
                <w:color w:val="000000"/>
                <w:szCs w:val="24"/>
                <w:lang w:val="en-US"/>
              </w:rPr>
            </w:pPr>
            <w:r w:rsidRPr="000E5B14">
              <w:rPr>
                <w:color w:val="000000"/>
                <w:szCs w:val="24"/>
                <w:lang w:val="en-US"/>
              </w:rPr>
              <w:t>0</w:t>
            </w:r>
          </w:p>
        </w:tc>
        <w:tc>
          <w:tcPr>
            <w:tcW w:w="1320" w:type="dxa"/>
            <w:tcBorders>
              <w:top w:val="nil"/>
              <w:left w:val="nil"/>
              <w:bottom w:val="nil"/>
              <w:right w:val="nil"/>
            </w:tcBorders>
            <w:shd w:val="clear" w:color="auto" w:fill="auto"/>
            <w:noWrap/>
            <w:vAlign w:val="bottom"/>
          </w:tcPr>
          <w:p w:rsidR="00DB1206" w:rsidRPr="000E5B14" w:rsidRDefault="00DB1206" w:rsidP="004A4F94">
            <w:pPr>
              <w:spacing w:line="480" w:lineRule="auto"/>
              <w:jc w:val="right"/>
              <w:rPr>
                <w:color w:val="000000"/>
                <w:szCs w:val="24"/>
                <w:lang w:val="en-US"/>
              </w:rPr>
            </w:pPr>
            <w:r w:rsidRPr="000E5B14">
              <w:rPr>
                <w:color w:val="000000"/>
                <w:szCs w:val="24"/>
                <w:lang w:val="en-US"/>
              </w:rPr>
              <w:t>2</w:t>
            </w:r>
          </w:p>
        </w:tc>
      </w:tr>
      <w:tr w:rsidR="00DB1206" w:rsidRPr="000E5B14" w:rsidTr="009D7F19">
        <w:trPr>
          <w:trHeight w:val="285"/>
        </w:trPr>
        <w:tc>
          <w:tcPr>
            <w:tcW w:w="1320" w:type="dxa"/>
            <w:tcBorders>
              <w:top w:val="nil"/>
              <w:left w:val="nil"/>
              <w:bottom w:val="nil"/>
              <w:right w:val="nil"/>
            </w:tcBorders>
            <w:shd w:val="clear" w:color="auto" w:fill="auto"/>
            <w:noWrap/>
            <w:vAlign w:val="bottom"/>
          </w:tcPr>
          <w:p w:rsidR="00DB1206" w:rsidRPr="000E5B14" w:rsidRDefault="00DB1206" w:rsidP="004A4F94">
            <w:pPr>
              <w:spacing w:line="480" w:lineRule="auto"/>
              <w:rPr>
                <w:color w:val="000000"/>
                <w:szCs w:val="24"/>
                <w:lang w:val="en-US"/>
              </w:rPr>
            </w:pPr>
            <w:r w:rsidRPr="000E5B14">
              <w:rPr>
                <w:color w:val="000000"/>
                <w:szCs w:val="24"/>
                <w:lang w:val="en-US"/>
              </w:rPr>
              <w:t>n.d.</w:t>
            </w:r>
          </w:p>
        </w:tc>
        <w:tc>
          <w:tcPr>
            <w:tcW w:w="1320" w:type="dxa"/>
            <w:tcBorders>
              <w:top w:val="nil"/>
              <w:left w:val="nil"/>
              <w:bottom w:val="nil"/>
              <w:right w:val="nil"/>
            </w:tcBorders>
            <w:shd w:val="clear" w:color="auto" w:fill="auto"/>
            <w:noWrap/>
            <w:vAlign w:val="bottom"/>
          </w:tcPr>
          <w:p w:rsidR="00DB1206" w:rsidRPr="000E5B14" w:rsidRDefault="00DB1206" w:rsidP="004A4F94">
            <w:pPr>
              <w:spacing w:line="480" w:lineRule="auto"/>
              <w:jc w:val="right"/>
              <w:rPr>
                <w:color w:val="000000"/>
                <w:szCs w:val="24"/>
                <w:lang w:val="en-US"/>
              </w:rPr>
            </w:pPr>
            <w:r w:rsidRPr="000E5B14">
              <w:rPr>
                <w:color w:val="000000"/>
                <w:szCs w:val="24"/>
                <w:lang w:val="en-US"/>
              </w:rPr>
              <w:t>0</w:t>
            </w:r>
          </w:p>
        </w:tc>
        <w:tc>
          <w:tcPr>
            <w:tcW w:w="1320" w:type="dxa"/>
            <w:tcBorders>
              <w:top w:val="nil"/>
              <w:left w:val="nil"/>
              <w:bottom w:val="nil"/>
              <w:right w:val="nil"/>
            </w:tcBorders>
            <w:shd w:val="clear" w:color="auto" w:fill="auto"/>
            <w:noWrap/>
            <w:vAlign w:val="bottom"/>
          </w:tcPr>
          <w:p w:rsidR="00DB1206" w:rsidRPr="000E5B14" w:rsidRDefault="00DB1206" w:rsidP="004A4F94">
            <w:pPr>
              <w:spacing w:line="480" w:lineRule="auto"/>
              <w:jc w:val="right"/>
              <w:rPr>
                <w:color w:val="000000"/>
                <w:szCs w:val="24"/>
                <w:lang w:val="en-US"/>
              </w:rPr>
            </w:pPr>
            <w:r w:rsidRPr="000E5B14">
              <w:rPr>
                <w:color w:val="000000"/>
                <w:szCs w:val="24"/>
                <w:lang w:val="en-US"/>
              </w:rPr>
              <w:t>1</w:t>
            </w:r>
          </w:p>
        </w:tc>
      </w:tr>
      <w:tr w:rsidR="00DB1206" w:rsidRPr="000E5B14" w:rsidTr="009D7F19">
        <w:trPr>
          <w:trHeight w:val="300"/>
        </w:trPr>
        <w:tc>
          <w:tcPr>
            <w:tcW w:w="2640" w:type="dxa"/>
            <w:gridSpan w:val="2"/>
            <w:tcBorders>
              <w:top w:val="nil"/>
              <w:left w:val="nil"/>
              <w:bottom w:val="nil"/>
              <w:right w:val="nil"/>
            </w:tcBorders>
            <w:shd w:val="clear" w:color="auto" w:fill="auto"/>
            <w:noWrap/>
            <w:vAlign w:val="bottom"/>
            <w:hideMark/>
          </w:tcPr>
          <w:p w:rsidR="00DB1206" w:rsidRPr="000E5B14" w:rsidRDefault="00DB1206" w:rsidP="004A4F94">
            <w:pPr>
              <w:spacing w:line="480" w:lineRule="auto"/>
              <w:rPr>
                <w:b/>
                <w:bCs/>
                <w:color w:val="000000"/>
                <w:szCs w:val="24"/>
                <w:lang w:val="en-US"/>
              </w:rPr>
            </w:pPr>
            <w:r w:rsidRPr="000E5B14">
              <w:rPr>
                <w:b/>
                <w:bCs/>
                <w:color w:val="000000"/>
                <w:szCs w:val="24"/>
                <w:lang w:val="en-US"/>
              </w:rPr>
              <w:t>tumor grade</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r>
      <w:tr w:rsidR="00DB1206" w:rsidRPr="000E5B14" w:rsidTr="009D7F19">
        <w:trPr>
          <w:trHeight w:val="285"/>
        </w:trPr>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G1</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2</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0</w:t>
            </w:r>
          </w:p>
        </w:tc>
      </w:tr>
      <w:tr w:rsidR="00DB1206" w:rsidRPr="000E5B14" w:rsidTr="009D7F19">
        <w:trPr>
          <w:trHeight w:val="285"/>
        </w:trPr>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G2</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1</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2</w:t>
            </w:r>
          </w:p>
        </w:tc>
      </w:tr>
      <w:tr w:rsidR="00DB1206" w:rsidRPr="000E5B14" w:rsidTr="009D7F19">
        <w:trPr>
          <w:trHeight w:val="285"/>
        </w:trPr>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G3</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6</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25</w:t>
            </w:r>
          </w:p>
        </w:tc>
      </w:tr>
      <w:tr w:rsidR="00DB1206" w:rsidRPr="000E5B14" w:rsidTr="009D7F19">
        <w:trPr>
          <w:trHeight w:val="285"/>
        </w:trPr>
        <w:tc>
          <w:tcPr>
            <w:tcW w:w="1320" w:type="dxa"/>
            <w:tcBorders>
              <w:top w:val="nil"/>
              <w:left w:val="nil"/>
              <w:bottom w:val="nil"/>
              <w:right w:val="nil"/>
            </w:tcBorders>
            <w:shd w:val="clear" w:color="auto" w:fill="auto"/>
            <w:noWrap/>
            <w:vAlign w:val="bottom"/>
          </w:tcPr>
          <w:p w:rsidR="00DB1206" w:rsidRPr="000E5B14" w:rsidRDefault="00DB1206" w:rsidP="004A4F94">
            <w:pPr>
              <w:spacing w:line="480" w:lineRule="auto"/>
              <w:rPr>
                <w:color w:val="000000"/>
                <w:szCs w:val="24"/>
                <w:lang w:val="en-US"/>
              </w:rPr>
            </w:pPr>
            <w:r w:rsidRPr="000E5B14">
              <w:rPr>
                <w:color w:val="000000"/>
                <w:szCs w:val="24"/>
                <w:lang w:val="en-US"/>
              </w:rPr>
              <w:t>n.d.</w:t>
            </w:r>
          </w:p>
        </w:tc>
        <w:tc>
          <w:tcPr>
            <w:tcW w:w="1320" w:type="dxa"/>
            <w:tcBorders>
              <w:top w:val="nil"/>
              <w:left w:val="nil"/>
              <w:bottom w:val="nil"/>
              <w:right w:val="nil"/>
            </w:tcBorders>
            <w:shd w:val="clear" w:color="auto" w:fill="auto"/>
            <w:noWrap/>
            <w:vAlign w:val="bottom"/>
          </w:tcPr>
          <w:p w:rsidR="00DB1206" w:rsidRPr="000E5B14" w:rsidRDefault="00DB1206" w:rsidP="004A4F94">
            <w:pPr>
              <w:spacing w:line="480" w:lineRule="auto"/>
              <w:jc w:val="right"/>
              <w:rPr>
                <w:color w:val="000000"/>
                <w:szCs w:val="24"/>
                <w:lang w:val="en-US"/>
              </w:rPr>
            </w:pPr>
            <w:r w:rsidRPr="000E5B14">
              <w:rPr>
                <w:color w:val="000000"/>
                <w:szCs w:val="24"/>
                <w:lang w:val="en-US"/>
              </w:rPr>
              <w:t>0</w:t>
            </w:r>
          </w:p>
        </w:tc>
        <w:tc>
          <w:tcPr>
            <w:tcW w:w="1320" w:type="dxa"/>
            <w:tcBorders>
              <w:top w:val="nil"/>
              <w:left w:val="nil"/>
              <w:bottom w:val="nil"/>
              <w:right w:val="nil"/>
            </w:tcBorders>
            <w:shd w:val="clear" w:color="auto" w:fill="auto"/>
            <w:noWrap/>
            <w:vAlign w:val="bottom"/>
          </w:tcPr>
          <w:p w:rsidR="00DB1206" w:rsidRPr="000E5B14" w:rsidRDefault="00DB1206" w:rsidP="004A4F94">
            <w:pPr>
              <w:spacing w:line="480" w:lineRule="auto"/>
              <w:jc w:val="right"/>
              <w:rPr>
                <w:color w:val="000000"/>
                <w:szCs w:val="24"/>
                <w:lang w:val="en-US"/>
              </w:rPr>
            </w:pPr>
            <w:r w:rsidRPr="000E5B14">
              <w:rPr>
                <w:color w:val="000000"/>
                <w:szCs w:val="24"/>
                <w:lang w:val="en-US"/>
              </w:rPr>
              <w:t>3</w:t>
            </w:r>
          </w:p>
        </w:tc>
      </w:tr>
      <w:tr w:rsidR="00DB1206" w:rsidRPr="000E5B14" w:rsidTr="009D7F19">
        <w:trPr>
          <w:trHeight w:val="285"/>
        </w:trPr>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low grade</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2</w:t>
            </w:r>
          </w:p>
        </w:tc>
        <w:tc>
          <w:tcPr>
            <w:tcW w:w="1320" w:type="dxa"/>
            <w:tcBorders>
              <w:top w:val="nil"/>
              <w:left w:val="nil"/>
              <w:bottom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1</w:t>
            </w:r>
          </w:p>
        </w:tc>
      </w:tr>
      <w:tr w:rsidR="00DB1206" w:rsidRPr="000E5B14" w:rsidTr="00B579BF">
        <w:trPr>
          <w:trHeight w:val="285"/>
        </w:trPr>
        <w:tc>
          <w:tcPr>
            <w:tcW w:w="1320" w:type="dxa"/>
            <w:tcBorders>
              <w:top w:val="nil"/>
              <w:left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high grade</w:t>
            </w:r>
          </w:p>
        </w:tc>
        <w:tc>
          <w:tcPr>
            <w:tcW w:w="1320" w:type="dxa"/>
            <w:tcBorders>
              <w:top w:val="nil"/>
              <w:left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7</w:t>
            </w:r>
          </w:p>
        </w:tc>
        <w:tc>
          <w:tcPr>
            <w:tcW w:w="1320" w:type="dxa"/>
            <w:tcBorders>
              <w:top w:val="nil"/>
              <w:left w:val="nil"/>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26</w:t>
            </w:r>
          </w:p>
        </w:tc>
      </w:tr>
      <w:tr w:rsidR="00DB1206" w:rsidRPr="000E5B14" w:rsidTr="00B579BF">
        <w:trPr>
          <w:trHeight w:val="285"/>
        </w:trPr>
        <w:tc>
          <w:tcPr>
            <w:tcW w:w="1320" w:type="dxa"/>
            <w:tcBorders>
              <w:top w:val="nil"/>
              <w:left w:val="nil"/>
              <w:bottom w:val="single" w:sz="4" w:space="0" w:color="auto"/>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n.d.</w:t>
            </w:r>
          </w:p>
        </w:tc>
        <w:tc>
          <w:tcPr>
            <w:tcW w:w="1320" w:type="dxa"/>
            <w:tcBorders>
              <w:top w:val="nil"/>
              <w:left w:val="nil"/>
              <w:bottom w:val="single" w:sz="4" w:space="0" w:color="auto"/>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0</w:t>
            </w:r>
          </w:p>
        </w:tc>
        <w:tc>
          <w:tcPr>
            <w:tcW w:w="1320" w:type="dxa"/>
            <w:tcBorders>
              <w:top w:val="nil"/>
              <w:left w:val="nil"/>
              <w:bottom w:val="single" w:sz="4" w:space="0" w:color="auto"/>
              <w:right w:val="nil"/>
            </w:tcBorders>
            <w:shd w:val="clear" w:color="auto" w:fill="auto"/>
            <w:noWrap/>
            <w:vAlign w:val="bottom"/>
            <w:hideMark/>
          </w:tcPr>
          <w:p w:rsidR="00DB1206" w:rsidRPr="000E5B14" w:rsidRDefault="00DB1206" w:rsidP="004A4F94">
            <w:pPr>
              <w:spacing w:line="480" w:lineRule="auto"/>
              <w:jc w:val="right"/>
              <w:rPr>
                <w:color w:val="000000"/>
                <w:szCs w:val="24"/>
                <w:lang w:val="en-US"/>
              </w:rPr>
            </w:pPr>
            <w:r w:rsidRPr="000E5B14">
              <w:rPr>
                <w:color w:val="000000"/>
                <w:szCs w:val="24"/>
                <w:lang w:val="en-US"/>
              </w:rPr>
              <w:t>3</w:t>
            </w:r>
          </w:p>
        </w:tc>
      </w:tr>
    </w:tbl>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Cs/>
          <w:lang w:val="en-US"/>
        </w:rPr>
      </w:pPr>
      <w:proofErr w:type="gramStart"/>
      <w:r w:rsidRPr="000E5B14">
        <w:rPr>
          <w:bCs/>
          <w:lang w:val="en-US"/>
        </w:rPr>
        <w:t>n.d.-not</w:t>
      </w:r>
      <w:proofErr w:type="gramEnd"/>
      <w:r w:rsidRPr="000E5B14">
        <w:rPr>
          <w:bCs/>
          <w:lang w:val="en-US"/>
        </w:rPr>
        <w:t xml:space="preserve"> determined</w:t>
      </w:r>
    </w:p>
    <w:p w:rsidR="00DB1206" w:rsidRPr="000E5B14" w:rsidRDefault="00DB1206" w:rsidP="004A4F94">
      <w:pPr>
        <w:spacing w:line="480" w:lineRule="auto"/>
        <w:jc w:val="both"/>
        <w:rPr>
          <w:b/>
          <w:bCs/>
          <w:szCs w:val="24"/>
          <w:lang w:val="en-US"/>
        </w:rPr>
      </w:pPr>
      <w:r w:rsidRPr="000E5B14">
        <w:rPr>
          <w:b/>
          <w:bCs/>
          <w:szCs w:val="24"/>
          <w:lang w:val="en-US"/>
        </w:rPr>
        <w:lastRenderedPageBreak/>
        <w:t>Table 2A Serum concentrations for BCa patients, non-tumor bladder patients and healthy controls</w:t>
      </w:r>
    </w:p>
    <w:p w:rsidR="00DB1206" w:rsidRPr="000E5B14" w:rsidRDefault="00DB1206" w:rsidP="004A4F94">
      <w:pPr>
        <w:spacing w:line="480" w:lineRule="auto"/>
        <w:jc w:val="both"/>
        <w:rPr>
          <w:b/>
          <w:bCs/>
          <w:szCs w:val="24"/>
          <w:lang w:val="en-US"/>
        </w:rPr>
      </w:pPr>
    </w:p>
    <w:tbl>
      <w:tblPr>
        <w:tblW w:w="9282" w:type="dxa"/>
        <w:tblInd w:w="55" w:type="dxa"/>
        <w:tblCellMar>
          <w:left w:w="70" w:type="dxa"/>
          <w:right w:w="70" w:type="dxa"/>
        </w:tblCellMar>
        <w:tblLook w:val="04A0" w:firstRow="1" w:lastRow="0" w:firstColumn="1" w:lastColumn="0" w:noHBand="0" w:noVBand="1"/>
      </w:tblPr>
      <w:tblGrid>
        <w:gridCol w:w="1367"/>
        <w:gridCol w:w="1186"/>
        <w:gridCol w:w="1200"/>
        <w:gridCol w:w="1660"/>
        <w:gridCol w:w="1368"/>
        <w:gridCol w:w="1300"/>
        <w:gridCol w:w="1201"/>
      </w:tblGrid>
      <w:tr w:rsidR="00DB1206" w:rsidRPr="000E5B14" w:rsidTr="003024F7">
        <w:trPr>
          <w:trHeight w:val="315"/>
        </w:trPr>
        <w:tc>
          <w:tcPr>
            <w:tcW w:w="1367" w:type="dxa"/>
            <w:tcBorders>
              <w:top w:val="single" w:sz="8" w:space="0" w:color="auto"/>
              <w:left w:val="nil"/>
              <w:bottom w:val="single" w:sz="8" w:space="0" w:color="auto"/>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 </w:t>
            </w:r>
          </w:p>
        </w:tc>
        <w:tc>
          <w:tcPr>
            <w:tcW w:w="1186" w:type="dxa"/>
            <w:tcBorders>
              <w:top w:val="single" w:sz="8" w:space="0" w:color="auto"/>
              <w:left w:val="nil"/>
              <w:bottom w:val="single" w:sz="8" w:space="0" w:color="auto"/>
              <w:right w:val="nil"/>
            </w:tcBorders>
            <w:shd w:val="clear" w:color="auto" w:fill="auto"/>
            <w:noWrap/>
            <w:vAlign w:val="bottom"/>
            <w:hideMark/>
          </w:tcPr>
          <w:p w:rsidR="00DB1206" w:rsidRPr="000E5B14" w:rsidRDefault="00DB1206" w:rsidP="004A4F94">
            <w:pPr>
              <w:spacing w:line="480" w:lineRule="auto"/>
              <w:rPr>
                <w:color w:val="000000"/>
                <w:szCs w:val="24"/>
                <w:lang w:val="en-US"/>
              </w:rPr>
            </w:pPr>
            <w:r w:rsidRPr="000E5B14">
              <w:rPr>
                <w:color w:val="000000"/>
                <w:szCs w:val="24"/>
                <w:lang w:val="en-US"/>
              </w:rPr>
              <w:t> </w:t>
            </w:r>
          </w:p>
        </w:tc>
        <w:tc>
          <w:tcPr>
            <w:tcW w:w="1200" w:type="dxa"/>
            <w:tcBorders>
              <w:top w:val="single" w:sz="8" w:space="0" w:color="auto"/>
              <w:left w:val="nil"/>
              <w:bottom w:val="single" w:sz="8" w:space="0" w:color="auto"/>
              <w:right w:val="nil"/>
            </w:tcBorders>
            <w:shd w:val="clear" w:color="auto" w:fill="auto"/>
            <w:noWrap/>
            <w:vAlign w:val="center"/>
            <w:hideMark/>
          </w:tcPr>
          <w:p w:rsidR="00DB1206" w:rsidRPr="000E5B14" w:rsidRDefault="00DB1206" w:rsidP="004A4F94">
            <w:pPr>
              <w:spacing w:line="480" w:lineRule="auto"/>
              <w:jc w:val="center"/>
              <w:rPr>
                <w:b/>
                <w:bCs/>
                <w:color w:val="000000"/>
                <w:szCs w:val="24"/>
                <w:lang w:val="en-US"/>
              </w:rPr>
            </w:pPr>
            <w:r w:rsidRPr="000E5B14">
              <w:rPr>
                <w:b/>
                <w:bCs/>
                <w:color w:val="000000"/>
                <w:szCs w:val="24"/>
                <w:lang w:val="en-US"/>
              </w:rPr>
              <w:t>Li (µg/L)</w:t>
            </w:r>
          </w:p>
        </w:tc>
        <w:tc>
          <w:tcPr>
            <w:tcW w:w="1660" w:type="dxa"/>
            <w:tcBorders>
              <w:top w:val="single" w:sz="8" w:space="0" w:color="auto"/>
              <w:left w:val="nil"/>
              <w:bottom w:val="single" w:sz="8" w:space="0" w:color="auto"/>
              <w:right w:val="nil"/>
            </w:tcBorders>
            <w:shd w:val="clear" w:color="auto" w:fill="auto"/>
            <w:noWrap/>
            <w:vAlign w:val="center"/>
            <w:hideMark/>
          </w:tcPr>
          <w:p w:rsidR="00DB1206" w:rsidRPr="000E5B14" w:rsidRDefault="00DB1206" w:rsidP="004A4F94">
            <w:pPr>
              <w:spacing w:line="480" w:lineRule="auto"/>
              <w:jc w:val="center"/>
              <w:rPr>
                <w:b/>
                <w:bCs/>
                <w:color w:val="000000"/>
                <w:szCs w:val="24"/>
                <w:lang w:val="en-US"/>
              </w:rPr>
            </w:pPr>
            <w:r w:rsidRPr="000E5B14">
              <w:rPr>
                <w:b/>
                <w:bCs/>
                <w:color w:val="000000"/>
                <w:szCs w:val="24"/>
                <w:lang w:val="en-US"/>
              </w:rPr>
              <w:t>K (mg/L)</w:t>
            </w:r>
          </w:p>
        </w:tc>
        <w:tc>
          <w:tcPr>
            <w:tcW w:w="1368" w:type="dxa"/>
            <w:tcBorders>
              <w:top w:val="single" w:sz="8" w:space="0" w:color="auto"/>
              <w:left w:val="nil"/>
              <w:bottom w:val="single" w:sz="8" w:space="0" w:color="auto"/>
              <w:right w:val="nil"/>
            </w:tcBorders>
            <w:shd w:val="clear" w:color="auto" w:fill="auto"/>
            <w:noWrap/>
            <w:vAlign w:val="center"/>
            <w:hideMark/>
          </w:tcPr>
          <w:p w:rsidR="00DB1206" w:rsidRPr="000E5B14" w:rsidRDefault="00DB1206" w:rsidP="004A4F94">
            <w:pPr>
              <w:spacing w:line="480" w:lineRule="auto"/>
              <w:jc w:val="center"/>
              <w:rPr>
                <w:b/>
                <w:bCs/>
                <w:color w:val="000000"/>
                <w:szCs w:val="24"/>
                <w:lang w:val="en-US"/>
              </w:rPr>
            </w:pPr>
            <w:r w:rsidRPr="000E5B14">
              <w:rPr>
                <w:b/>
                <w:bCs/>
                <w:color w:val="000000"/>
                <w:szCs w:val="24"/>
                <w:lang w:val="en-US"/>
              </w:rPr>
              <w:t xml:space="preserve">Mg (mg/L) </w:t>
            </w:r>
          </w:p>
        </w:tc>
        <w:tc>
          <w:tcPr>
            <w:tcW w:w="1300" w:type="dxa"/>
            <w:tcBorders>
              <w:top w:val="single" w:sz="8" w:space="0" w:color="auto"/>
              <w:left w:val="nil"/>
              <w:bottom w:val="single" w:sz="8" w:space="0" w:color="auto"/>
              <w:right w:val="nil"/>
            </w:tcBorders>
            <w:shd w:val="clear" w:color="auto" w:fill="auto"/>
            <w:noWrap/>
            <w:vAlign w:val="center"/>
            <w:hideMark/>
          </w:tcPr>
          <w:p w:rsidR="00DB1206" w:rsidRPr="000E5B14" w:rsidRDefault="00DB1206" w:rsidP="004A4F94">
            <w:pPr>
              <w:spacing w:line="480" w:lineRule="auto"/>
              <w:jc w:val="center"/>
              <w:rPr>
                <w:b/>
                <w:bCs/>
                <w:color w:val="000000"/>
                <w:szCs w:val="24"/>
                <w:lang w:val="en-US"/>
              </w:rPr>
            </w:pPr>
            <w:r w:rsidRPr="000E5B14">
              <w:rPr>
                <w:b/>
                <w:bCs/>
                <w:color w:val="000000"/>
                <w:szCs w:val="24"/>
                <w:lang w:val="en-US"/>
              </w:rPr>
              <w:t>Ni (µg/L)</w:t>
            </w:r>
          </w:p>
        </w:tc>
        <w:tc>
          <w:tcPr>
            <w:tcW w:w="1201" w:type="dxa"/>
            <w:tcBorders>
              <w:top w:val="single" w:sz="8" w:space="0" w:color="auto"/>
              <w:left w:val="nil"/>
              <w:bottom w:val="single" w:sz="8" w:space="0" w:color="auto"/>
              <w:right w:val="nil"/>
            </w:tcBorders>
            <w:shd w:val="clear" w:color="auto" w:fill="auto"/>
            <w:noWrap/>
            <w:vAlign w:val="center"/>
            <w:hideMark/>
          </w:tcPr>
          <w:p w:rsidR="00DB1206" w:rsidRPr="000E5B14" w:rsidRDefault="00DB1206" w:rsidP="004A4F94">
            <w:pPr>
              <w:spacing w:line="480" w:lineRule="auto"/>
              <w:jc w:val="center"/>
              <w:rPr>
                <w:b/>
                <w:bCs/>
                <w:color w:val="000000"/>
                <w:szCs w:val="24"/>
                <w:lang w:val="en-US"/>
              </w:rPr>
            </w:pPr>
            <w:r w:rsidRPr="000E5B14">
              <w:rPr>
                <w:b/>
                <w:bCs/>
                <w:color w:val="000000"/>
                <w:szCs w:val="24"/>
                <w:lang w:val="en-US"/>
              </w:rPr>
              <w:t>P (mg/L)</w:t>
            </w:r>
          </w:p>
        </w:tc>
      </w:tr>
      <w:tr w:rsidR="00DB1206" w:rsidRPr="000E5B14" w:rsidTr="003024F7">
        <w:trPr>
          <w:trHeight w:val="300"/>
        </w:trPr>
        <w:tc>
          <w:tcPr>
            <w:tcW w:w="1367"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b/>
                <w:bCs/>
                <w:color w:val="000000"/>
                <w:szCs w:val="24"/>
                <w:lang w:val="en-US"/>
              </w:rPr>
            </w:pPr>
            <w:r w:rsidRPr="000E5B14">
              <w:rPr>
                <w:b/>
                <w:bCs/>
                <w:color w:val="000000"/>
                <w:szCs w:val="24"/>
                <w:lang w:val="en-US"/>
              </w:rPr>
              <w:t>BCa</w:t>
            </w:r>
          </w:p>
        </w:tc>
        <w:tc>
          <w:tcPr>
            <w:tcW w:w="1186"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color w:val="000000"/>
                <w:szCs w:val="24"/>
                <w:lang w:val="en-US"/>
              </w:rPr>
            </w:pPr>
            <w:r w:rsidRPr="000E5B14">
              <w:rPr>
                <w:color w:val="000000"/>
                <w:szCs w:val="24"/>
                <w:lang w:val="en-US"/>
              </w:rPr>
              <w:t>N</w:t>
            </w: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39</w:t>
            </w: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39</w:t>
            </w: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39</w:t>
            </w: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39</w:t>
            </w: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39</w:t>
            </w:r>
          </w:p>
        </w:tc>
      </w:tr>
      <w:tr w:rsidR="00DB1206" w:rsidRPr="000E5B14" w:rsidTr="003024F7">
        <w:trPr>
          <w:trHeight w:val="300"/>
        </w:trPr>
        <w:tc>
          <w:tcPr>
            <w:tcW w:w="1367"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color w:val="000000"/>
                <w:szCs w:val="24"/>
                <w:lang w:val="en-US"/>
              </w:rPr>
            </w:pPr>
            <w:r w:rsidRPr="000E5B14">
              <w:rPr>
                <w:color w:val="000000"/>
                <w:szCs w:val="24"/>
                <w:lang w:val="en-US"/>
              </w:rPr>
              <w:t>mean</w:t>
            </w: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2.88</w:t>
            </w: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452.8</w:t>
            </w: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18.29</w:t>
            </w: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18.59</w:t>
            </w: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155.80</w:t>
            </w:r>
          </w:p>
        </w:tc>
      </w:tr>
      <w:tr w:rsidR="00DB1206" w:rsidRPr="000E5B14" w:rsidTr="003024F7">
        <w:trPr>
          <w:trHeight w:val="300"/>
        </w:trPr>
        <w:tc>
          <w:tcPr>
            <w:tcW w:w="1367"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color w:val="000000"/>
                <w:szCs w:val="24"/>
                <w:lang w:val="en-US"/>
              </w:rPr>
            </w:pPr>
            <w:r w:rsidRPr="000E5B14">
              <w:rPr>
                <w:color w:val="000000"/>
                <w:szCs w:val="24"/>
                <w:lang w:val="en-US"/>
              </w:rPr>
              <w:t>median</w:t>
            </w: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0</w:t>
            </w: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333.0</w:t>
            </w: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18.0</w:t>
            </w: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8.25</w:t>
            </w: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134.0</w:t>
            </w:r>
          </w:p>
        </w:tc>
      </w:tr>
      <w:tr w:rsidR="00DB1206" w:rsidRPr="000E5B14" w:rsidTr="003024F7">
        <w:trPr>
          <w:trHeight w:val="300"/>
        </w:trPr>
        <w:tc>
          <w:tcPr>
            <w:tcW w:w="1367"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color w:val="000000"/>
                <w:szCs w:val="24"/>
                <w:lang w:val="en-US"/>
              </w:rPr>
            </w:pPr>
            <w:r w:rsidRPr="000E5B14">
              <w:rPr>
                <w:color w:val="000000"/>
                <w:szCs w:val="24"/>
                <w:lang w:val="en-US"/>
              </w:rPr>
              <w:t>range</w:t>
            </w: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0-18.1</w:t>
            </w: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162-1200</w:t>
            </w: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12.7-26.5</w:t>
            </w: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0-263</w:t>
            </w: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101-338</w:t>
            </w:r>
          </w:p>
        </w:tc>
      </w:tr>
      <w:tr w:rsidR="00DB1206" w:rsidRPr="000E5B14" w:rsidTr="003024F7">
        <w:trPr>
          <w:trHeight w:val="300"/>
        </w:trPr>
        <w:tc>
          <w:tcPr>
            <w:tcW w:w="1367"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p>
        </w:tc>
      </w:tr>
      <w:tr w:rsidR="00DB1206" w:rsidRPr="00B24391" w:rsidTr="003024F7">
        <w:trPr>
          <w:trHeight w:val="300"/>
        </w:trPr>
        <w:tc>
          <w:tcPr>
            <w:tcW w:w="1367" w:type="dxa"/>
            <w:vMerge w:val="restart"/>
            <w:tcBorders>
              <w:top w:val="nil"/>
              <w:left w:val="nil"/>
              <w:right w:val="nil"/>
            </w:tcBorders>
            <w:shd w:val="clear" w:color="auto" w:fill="auto"/>
            <w:noWrap/>
            <w:vAlign w:val="center"/>
            <w:hideMark/>
          </w:tcPr>
          <w:p w:rsidR="00DB1206" w:rsidRPr="000E5B14" w:rsidRDefault="00DB1206" w:rsidP="004A4F94">
            <w:pPr>
              <w:spacing w:line="480" w:lineRule="auto"/>
              <w:rPr>
                <w:b/>
                <w:bCs/>
                <w:color w:val="000000"/>
                <w:szCs w:val="24"/>
                <w:lang w:val="en-US"/>
              </w:rPr>
            </w:pPr>
            <w:r>
              <w:rPr>
                <w:b/>
                <w:bCs/>
                <w:color w:val="000000"/>
                <w:szCs w:val="24"/>
                <w:lang w:val="en-US"/>
              </w:rPr>
              <w:t>N</w:t>
            </w:r>
            <w:r w:rsidRPr="000E5B14">
              <w:rPr>
                <w:b/>
                <w:bCs/>
                <w:color w:val="000000"/>
                <w:szCs w:val="24"/>
                <w:lang w:val="en-US"/>
              </w:rPr>
              <w:t>on-tumor</w:t>
            </w:r>
          </w:p>
          <w:p w:rsidR="00DB1206" w:rsidRPr="00B24391" w:rsidRDefault="00DB1206" w:rsidP="004A4F94">
            <w:pPr>
              <w:spacing w:line="480" w:lineRule="auto"/>
              <w:rPr>
                <w:b/>
                <w:bCs/>
                <w:color w:val="000000"/>
                <w:szCs w:val="24"/>
                <w:lang w:val="en-US"/>
              </w:rPr>
            </w:pPr>
            <w:r w:rsidRPr="000E5B14">
              <w:rPr>
                <w:b/>
                <w:bCs/>
                <w:color w:val="000000"/>
                <w:szCs w:val="24"/>
                <w:lang w:val="en-US"/>
              </w:rPr>
              <w:t>bladder</w:t>
            </w:r>
            <w:r w:rsidRPr="000E5B14" w:rsidDel="00B24391">
              <w:rPr>
                <w:b/>
                <w:bCs/>
                <w:color w:val="000000"/>
                <w:szCs w:val="24"/>
                <w:lang w:val="en-US"/>
              </w:rPr>
              <w:t xml:space="preserve"> </w:t>
            </w:r>
          </w:p>
        </w:tc>
        <w:tc>
          <w:tcPr>
            <w:tcW w:w="1186" w:type="dxa"/>
            <w:tcBorders>
              <w:top w:val="nil"/>
              <w:left w:val="nil"/>
              <w:bottom w:val="nil"/>
              <w:right w:val="nil"/>
            </w:tcBorders>
            <w:shd w:val="clear" w:color="auto" w:fill="auto"/>
            <w:noWrap/>
            <w:vAlign w:val="center"/>
            <w:hideMark/>
          </w:tcPr>
          <w:p w:rsidR="00DB1206" w:rsidRPr="00B24391" w:rsidRDefault="00DB1206" w:rsidP="004A4F94">
            <w:pPr>
              <w:spacing w:line="480" w:lineRule="auto"/>
              <w:rPr>
                <w:bCs/>
                <w:color w:val="000000"/>
                <w:szCs w:val="24"/>
                <w:lang w:val="en-US"/>
              </w:rPr>
            </w:pPr>
            <w:r w:rsidRPr="00B24391">
              <w:rPr>
                <w:bCs/>
                <w:color w:val="000000"/>
                <w:szCs w:val="24"/>
                <w:lang w:val="en-US"/>
              </w:rPr>
              <w:t>N</w:t>
            </w:r>
          </w:p>
        </w:tc>
        <w:tc>
          <w:tcPr>
            <w:tcW w:w="1200" w:type="dxa"/>
            <w:tcBorders>
              <w:top w:val="nil"/>
              <w:left w:val="nil"/>
              <w:bottom w:val="nil"/>
              <w:right w:val="nil"/>
            </w:tcBorders>
            <w:shd w:val="clear" w:color="auto" w:fill="auto"/>
            <w:noWrap/>
            <w:vAlign w:val="center"/>
            <w:hideMark/>
          </w:tcPr>
          <w:p w:rsidR="00DB1206" w:rsidRPr="00B24391" w:rsidRDefault="00DB1206" w:rsidP="004A4F94">
            <w:pPr>
              <w:spacing w:line="480" w:lineRule="auto"/>
              <w:jc w:val="center"/>
              <w:rPr>
                <w:bCs/>
                <w:color w:val="000000"/>
                <w:szCs w:val="24"/>
                <w:lang w:val="en-US"/>
              </w:rPr>
            </w:pPr>
            <w:r w:rsidRPr="00B24391">
              <w:rPr>
                <w:bCs/>
                <w:color w:val="000000"/>
                <w:szCs w:val="24"/>
                <w:lang w:val="en-US"/>
              </w:rPr>
              <w:t>39</w:t>
            </w:r>
          </w:p>
        </w:tc>
        <w:tc>
          <w:tcPr>
            <w:tcW w:w="1660" w:type="dxa"/>
            <w:tcBorders>
              <w:top w:val="nil"/>
              <w:left w:val="nil"/>
              <w:bottom w:val="nil"/>
              <w:right w:val="nil"/>
            </w:tcBorders>
            <w:shd w:val="clear" w:color="auto" w:fill="auto"/>
            <w:noWrap/>
            <w:vAlign w:val="center"/>
            <w:hideMark/>
          </w:tcPr>
          <w:p w:rsidR="00DB1206" w:rsidRPr="00B24391" w:rsidRDefault="00DB1206" w:rsidP="004A4F94">
            <w:pPr>
              <w:spacing w:line="480" w:lineRule="auto"/>
              <w:jc w:val="center"/>
              <w:rPr>
                <w:bCs/>
                <w:color w:val="000000"/>
                <w:szCs w:val="24"/>
                <w:lang w:val="en-US"/>
              </w:rPr>
            </w:pPr>
            <w:r w:rsidRPr="00B24391">
              <w:rPr>
                <w:bCs/>
                <w:color w:val="000000"/>
                <w:szCs w:val="24"/>
                <w:lang w:val="en-US"/>
              </w:rPr>
              <w:t>39</w:t>
            </w:r>
          </w:p>
        </w:tc>
        <w:tc>
          <w:tcPr>
            <w:tcW w:w="1368" w:type="dxa"/>
            <w:tcBorders>
              <w:top w:val="nil"/>
              <w:left w:val="nil"/>
              <w:bottom w:val="nil"/>
              <w:right w:val="nil"/>
            </w:tcBorders>
            <w:shd w:val="clear" w:color="auto" w:fill="auto"/>
            <w:noWrap/>
            <w:vAlign w:val="center"/>
            <w:hideMark/>
          </w:tcPr>
          <w:p w:rsidR="00DB1206" w:rsidRPr="00B24391" w:rsidRDefault="00DB1206" w:rsidP="004A4F94">
            <w:pPr>
              <w:spacing w:line="480" w:lineRule="auto"/>
              <w:jc w:val="center"/>
              <w:rPr>
                <w:bCs/>
                <w:color w:val="000000"/>
                <w:szCs w:val="24"/>
                <w:lang w:val="en-US"/>
              </w:rPr>
            </w:pPr>
            <w:r w:rsidRPr="00B24391">
              <w:rPr>
                <w:bCs/>
                <w:color w:val="000000"/>
                <w:szCs w:val="24"/>
                <w:lang w:val="en-US"/>
              </w:rPr>
              <w:t>39</w:t>
            </w:r>
          </w:p>
        </w:tc>
        <w:tc>
          <w:tcPr>
            <w:tcW w:w="1300" w:type="dxa"/>
            <w:tcBorders>
              <w:top w:val="nil"/>
              <w:left w:val="nil"/>
              <w:bottom w:val="nil"/>
              <w:right w:val="nil"/>
            </w:tcBorders>
            <w:shd w:val="clear" w:color="auto" w:fill="auto"/>
            <w:noWrap/>
            <w:vAlign w:val="center"/>
            <w:hideMark/>
          </w:tcPr>
          <w:p w:rsidR="00DB1206" w:rsidRPr="00B24391" w:rsidRDefault="00DB1206" w:rsidP="004A4F94">
            <w:pPr>
              <w:spacing w:line="480" w:lineRule="auto"/>
              <w:jc w:val="center"/>
              <w:rPr>
                <w:bCs/>
                <w:color w:val="000000"/>
                <w:szCs w:val="24"/>
                <w:lang w:val="en-US"/>
              </w:rPr>
            </w:pPr>
            <w:r w:rsidRPr="00B24391">
              <w:rPr>
                <w:bCs/>
                <w:color w:val="000000"/>
                <w:szCs w:val="24"/>
                <w:lang w:val="en-US"/>
              </w:rPr>
              <w:t>39</w:t>
            </w:r>
          </w:p>
        </w:tc>
        <w:tc>
          <w:tcPr>
            <w:tcW w:w="1201" w:type="dxa"/>
            <w:tcBorders>
              <w:top w:val="nil"/>
              <w:left w:val="nil"/>
              <w:bottom w:val="nil"/>
              <w:right w:val="nil"/>
            </w:tcBorders>
            <w:shd w:val="clear" w:color="auto" w:fill="auto"/>
            <w:noWrap/>
            <w:vAlign w:val="center"/>
            <w:hideMark/>
          </w:tcPr>
          <w:p w:rsidR="00DB1206" w:rsidRPr="00B24391" w:rsidRDefault="00DB1206" w:rsidP="004A4F94">
            <w:pPr>
              <w:spacing w:line="480" w:lineRule="auto"/>
              <w:jc w:val="center"/>
              <w:rPr>
                <w:bCs/>
                <w:color w:val="000000"/>
                <w:szCs w:val="24"/>
                <w:lang w:val="en-US"/>
              </w:rPr>
            </w:pPr>
            <w:r w:rsidRPr="00B24391">
              <w:rPr>
                <w:bCs/>
                <w:color w:val="000000"/>
                <w:szCs w:val="24"/>
                <w:lang w:val="en-US"/>
              </w:rPr>
              <w:t>39</w:t>
            </w:r>
          </w:p>
        </w:tc>
      </w:tr>
      <w:tr w:rsidR="00DB1206" w:rsidRPr="000E5B14" w:rsidTr="003024F7">
        <w:trPr>
          <w:trHeight w:val="300"/>
        </w:trPr>
        <w:tc>
          <w:tcPr>
            <w:tcW w:w="1367" w:type="dxa"/>
            <w:vMerge/>
            <w:tcBorders>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color w:val="000000"/>
                <w:szCs w:val="24"/>
                <w:lang w:val="en-US"/>
              </w:rPr>
            </w:pPr>
            <w:r w:rsidRPr="000E5B14">
              <w:rPr>
                <w:color w:val="000000"/>
                <w:szCs w:val="24"/>
                <w:lang w:val="en-US"/>
              </w:rPr>
              <w:t>mean</w:t>
            </w: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2.65</w:t>
            </w: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560.9</w:t>
            </w: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19.29</w:t>
            </w: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18.90</w:t>
            </w: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161.2</w:t>
            </w:r>
          </w:p>
        </w:tc>
      </w:tr>
      <w:tr w:rsidR="00DB1206" w:rsidRPr="000E5B14" w:rsidTr="003024F7">
        <w:trPr>
          <w:trHeight w:val="300"/>
        </w:trPr>
        <w:tc>
          <w:tcPr>
            <w:tcW w:w="1367"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color w:val="000000"/>
                <w:szCs w:val="24"/>
                <w:lang w:val="en-US"/>
              </w:rPr>
            </w:pPr>
            <w:r w:rsidRPr="000E5B14">
              <w:rPr>
                <w:color w:val="000000"/>
                <w:szCs w:val="24"/>
                <w:lang w:val="en-US"/>
              </w:rPr>
              <w:t>median</w:t>
            </w: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0</w:t>
            </w: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503.0</w:t>
            </w: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19.80</w:t>
            </w: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4.26</w:t>
            </w: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157.0</w:t>
            </w:r>
          </w:p>
        </w:tc>
      </w:tr>
      <w:tr w:rsidR="00DB1206" w:rsidRPr="000E5B14" w:rsidTr="003024F7">
        <w:trPr>
          <w:trHeight w:val="300"/>
        </w:trPr>
        <w:tc>
          <w:tcPr>
            <w:tcW w:w="1367"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color w:val="000000"/>
                <w:szCs w:val="24"/>
                <w:lang w:val="en-US"/>
              </w:rPr>
            </w:pPr>
            <w:r w:rsidRPr="000E5B14">
              <w:rPr>
                <w:color w:val="000000"/>
                <w:szCs w:val="24"/>
                <w:lang w:val="en-US"/>
              </w:rPr>
              <w:t>range</w:t>
            </w: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0-24.2</w:t>
            </w: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185-1390</w:t>
            </w: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13-24.8</w:t>
            </w: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0.06-46.0</w:t>
            </w: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112-263</w:t>
            </w:r>
          </w:p>
        </w:tc>
      </w:tr>
      <w:tr w:rsidR="00DB1206" w:rsidRPr="000E5B14" w:rsidTr="003024F7">
        <w:trPr>
          <w:trHeight w:val="300"/>
        </w:trPr>
        <w:tc>
          <w:tcPr>
            <w:tcW w:w="1367"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p>
        </w:tc>
      </w:tr>
      <w:tr w:rsidR="00DB1206" w:rsidRPr="000E5B14" w:rsidTr="003024F7">
        <w:trPr>
          <w:trHeight w:val="300"/>
        </w:trPr>
        <w:tc>
          <w:tcPr>
            <w:tcW w:w="1367" w:type="dxa"/>
            <w:vMerge w:val="restart"/>
            <w:tcBorders>
              <w:top w:val="nil"/>
              <w:left w:val="nil"/>
              <w:right w:val="nil"/>
            </w:tcBorders>
            <w:shd w:val="clear" w:color="auto" w:fill="auto"/>
            <w:noWrap/>
            <w:vAlign w:val="center"/>
            <w:hideMark/>
          </w:tcPr>
          <w:p w:rsidR="00DB1206" w:rsidRPr="000E5B14" w:rsidRDefault="00DB1206" w:rsidP="004A4F94">
            <w:pPr>
              <w:spacing w:line="480" w:lineRule="auto"/>
              <w:rPr>
                <w:b/>
                <w:bCs/>
                <w:color w:val="000000"/>
                <w:szCs w:val="24"/>
                <w:lang w:val="en-US"/>
              </w:rPr>
            </w:pPr>
            <w:r>
              <w:rPr>
                <w:b/>
                <w:bCs/>
                <w:color w:val="000000"/>
                <w:szCs w:val="24"/>
                <w:lang w:val="en-US"/>
              </w:rPr>
              <w:t>H</w:t>
            </w:r>
            <w:r w:rsidRPr="000E5B14">
              <w:rPr>
                <w:b/>
                <w:bCs/>
                <w:color w:val="000000"/>
                <w:szCs w:val="24"/>
                <w:lang w:val="en-US"/>
              </w:rPr>
              <w:t xml:space="preserve">ealthy </w:t>
            </w:r>
          </w:p>
          <w:p w:rsidR="00DB1206" w:rsidRPr="000E5B14" w:rsidRDefault="00DB1206" w:rsidP="004A4F94">
            <w:pPr>
              <w:spacing w:line="480" w:lineRule="auto"/>
              <w:rPr>
                <w:b/>
                <w:bCs/>
                <w:color w:val="000000"/>
                <w:szCs w:val="24"/>
                <w:lang w:val="en-US"/>
              </w:rPr>
            </w:pPr>
            <w:r w:rsidRPr="000E5B14">
              <w:rPr>
                <w:b/>
                <w:bCs/>
                <w:color w:val="000000"/>
                <w:szCs w:val="24"/>
                <w:lang w:val="en-US"/>
              </w:rPr>
              <w:t>control</w:t>
            </w:r>
          </w:p>
        </w:tc>
        <w:tc>
          <w:tcPr>
            <w:tcW w:w="1186"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color w:val="000000"/>
                <w:szCs w:val="24"/>
                <w:lang w:val="en-US"/>
              </w:rPr>
            </w:pPr>
            <w:r w:rsidRPr="000E5B14">
              <w:rPr>
                <w:color w:val="000000"/>
                <w:szCs w:val="24"/>
                <w:lang w:val="en-US"/>
              </w:rPr>
              <w:t>N</w:t>
            </w: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30</w:t>
            </w: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30</w:t>
            </w: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30</w:t>
            </w: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30</w:t>
            </w: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30</w:t>
            </w:r>
          </w:p>
        </w:tc>
      </w:tr>
      <w:tr w:rsidR="00DB1206" w:rsidRPr="000E5B14" w:rsidTr="003024F7">
        <w:trPr>
          <w:trHeight w:val="300"/>
        </w:trPr>
        <w:tc>
          <w:tcPr>
            <w:tcW w:w="1367" w:type="dxa"/>
            <w:vMerge/>
            <w:tcBorders>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color w:val="000000"/>
                <w:szCs w:val="24"/>
                <w:lang w:val="en-US"/>
              </w:rPr>
            </w:pPr>
            <w:r w:rsidRPr="000E5B14">
              <w:rPr>
                <w:color w:val="000000"/>
                <w:szCs w:val="24"/>
                <w:lang w:val="en-US"/>
              </w:rPr>
              <w:t>mean</w:t>
            </w: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0</w:t>
            </w: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159.05</w:t>
            </w: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14.84</w:t>
            </w: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3.11</w:t>
            </w: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121.0</w:t>
            </w:r>
          </w:p>
        </w:tc>
      </w:tr>
      <w:tr w:rsidR="00DB1206" w:rsidRPr="000E5B14" w:rsidTr="003024F7">
        <w:trPr>
          <w:trHeight w:val="300"/>
        </w:trPr>
        <w:tc>
          <w:tcPr>
            <w:tcW w:w="1367"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color w:val="000000"/>
                <w:szCs w:val="24"/>
                <w:lang w:val="en-US"/>
              </w:rPr>
            </w:pPr>
            <w:r w:rsidRPr="000E5B14">
              <w:rPr>
                <w:color w:val="000000"/>
                <w:szCs w:val="24"/>
                <w:lang w:val="en-US"/>
              </w:rPr>
              <w:t>median</w:t>
            </w: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0</w:t>
            </w: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161.5</w:t>
            </w: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14.75</w:t>
            </w: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0.48</w:t>
            </w: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115.0</w:t>
            </w:r>
          </w:p>
        </w:tc>
      </w:tr>
      <w:tr w:rsidR="00DB1206" w:rsidRPr="000E5B14" w:rsidTr="003024F7">
        <w:trPr>
          <w:trHeight w:val="300"/>
        </w:trPr>
        <w:tc>
          <w:tcPr>
            <w:tcW w:w="1367"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color w:val="000000"/>
                <w:szCs w:val="24"/>
                <w:lang w:val="en-US"/>
              </w:rPr>
            </w:pPr>
            <w:r w:rsidRPr="000E5B14">
              <w:rPr>
                <w:color w:val="000000"/>
                <w:szCs w:val="24"/>
                <w:lang w:val="en-US"/>
              </w:rPr>
              <w:t>range</w:t>
            </w: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0</w:t>
            </w: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92-222</w:t>
            </w: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12.5-17.3</w:t>
            </w: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0-27.0</w:t>
            </w: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85.9-173</w:t>
            </w:r>
          </w:p>
        </w:tc>
      </w:tr>
      <w:tr w:rsidR="00DB1206" w:rsidRPr="000E5B14" w:rsidTr="003024F7">
        <w:trPr>
          <w:trHeight w:val="300"/>
        </w:trPr>
        <w:tc>
          <w:tcPr>
            <w:tcW w:w="1367" w:type="dxa"/>
            <w:tcBorders>
              <w:top w:val="nil"/>
              <w:left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200" w:type="dxa"/>
            <w:tcBorders>
              <w:top w:val="nil"/>
              <w:left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660" w:type="dxa"/>
            <w:tcBorders>
              <w:top w:val="nil"/>
              <w:left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368" w:type="dxa"/>
            <w:tcBorders>
              <w:top w:val="nil"/>
              <w:left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300" w:type="dxa"/>
            <w:tcBorders>
              <w:top w:val="nil"/>
              <w:left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201" w:type="dxa"/>
            <w:tcBorders>
              <w:top w:val="nil"/>
              <w:left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r>
      <w:tr w:rsidR="00DB1206" w:rsidRPr="000E5B14" w:rsidTr="003024F7">
        <w:trPr>
          <w:trHeight w:val="300"/>
        </w:trPr>
        <w:tc>
          <w:tcPr>
            <w:tcW w:w="1367" w:type="dxa"/>
            <w:tcBorders>
              <w:top w:val="nil"/>
              <w:left w:val="nil"/>
              <w:bottom w:val="nil"/>
              <w:right w:val="nil"/>
            </w:tcBorders>
            <w:shd w:val="clear" w:color="auto" w:fill="auto"/>
            <w:noWrap/>
            <w:vAlign w:val="bottom"/>
            <w:hideMark/>
          </w:tcPr>
          <w:p w:rsidR="00DB1206" w:rsidRPr="000E5B14" w:rsidRDefault="00DB1206" w:rsidP="004A4F94">
            <w:pPr>
              <w:spacing w:line="480" w:lineRule="auto"/>
              <w:rPr>
                <w:color w:val="000000"/>
                <w:szCs w:val="24"/>
                <w:lang w:val="en-US"/>
              </w:rPr>
            </w:pPr>
          </w:p>
        </w:tc>
        <w:tc>
          <w:tcPr>
            <w:tcW w:w="1186" w:type="dxa"/>
            <w:tcBorders>
              <w:top w:val="nil"/>
              <w:left w:val="nil"/>
              <w:bottom w:val="nil"/>
              <w:right w:val="nil"/>
            </w:tcBorders>
            <w:shd w:val="clear" w:color="auto" w:fill="auto"/>
            <w:noWrap/>
            <w:vAlign w:val="center"/>
            <w:hideMark/>
          </w:tcPr>
          <w:p w:rsidR="00DB1206" w:rsidRPr="000E5B14" w:rsidRDefault="00DB1206" w:rsidP="004A4F94">
            <w:pPr>
              <w:spacing w:line="480" w:lineRule="auto"/>
              <w:rPr>
                <w:color w:val="000000"/>
                <w:szCs w:val="24"/>
                <w:lang w:val="en-US"/>
              </w:rPr>
            </w:pPr>
            <w:r w:rsidRPr="000E5B14">
              <w:rPr>
                <w:color w:val="000000"/>
                <w:szCs w:val="24"/>
                <w:lang w:val="en-US"/>
              </w:rPr>
              <w:t xml:space="preserve">reference </w:t>
            </w:r>
          </w:p>
          <w:p w:rsidR="00DB1206" w:rsidRPr="000E5B14" w:rsidRDefault="00DB1206" w:rsidP="004A4F94">
            <w:pPr>
              <w:spacing w:line="480" w:lineRule="auto"/>
              <w:rPr>
                <w:color w:val="000000"/>
                <w:szCs w:val="24"/>
                <w:lang w:val="en-US"/>
              </w:rPr>
            </w:pPr>
            <w:r w:rsidRPr="000E5B14">
              <w:rPr>
                <w:color w:val="000000"/>
                <w:szCs w:val="24"/>
                <w:lang w:val="en-US"/>
              </w:rPr>
              <w:t>range</w:t>
            </w:r>
            <w:r w:rsidRPr="000E5B14">
              <w:rPr>
                <w:color w:val="000000"/>
                <w:szCs w:val="24"/>
                <w:vertAlign w:val="superscript"/>
                <w:lang w:val="en-US"/>
              </w:rPr>
              <w:t>1</w:t>
            </w:r>
          </w:p>
        </w:tc>
        <w:tc>
          <w:tcPr>
            <w:tcW w:w="12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n.a.</w:t>
            </w:r>
          </w:p>
        </w:tc>
        <w:tc>
          <w:tcPr>
            <w:tcW w:w="166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148.59-203.33</w:t>
            </w:r>
          </w:p>
        </w:tc>
        <w:tc>
          <w:tcPr>
            <w:tcW w:w="1368"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17.75-25.77</w:t>
            </w:r>
          </w:p>
        </w:tc>
        <w:tc>
          <w:tcPr>
            <w:tcW w:w="1300"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0.2-0.5</w:t>
            </w:r>
          </w:p>
        </w:tc>
        <w:tc>
          <w:tcPr>
            <w:tcW w:w="1201" w:type="dxa"/>
            <w:tcBorders>
              <w:top w:val="nil"/>
              <w:left w:val="nil"/>
              <w:bottom w:val="nil"/>
              <w:right w:val="nil"/>
            </w:tcBorders>
            <w:shd w:val="clear" w:color="auto" w:fill="auto"/>
            <w:noWrap/>
            <w:vAlign w:val="center"/>
            <w:hideMark/>
          </w:tcPr>
          <w:p w:rsidR="00DB1206" w:rsidRPr="000E5B14" w:rsidRDefault="00DB1206" w:rsidP="004A4F94">
            <w:pPr>
              <w:spacing w:line="480" w:lineRule="auto"/>
              <w:jc w:val="center"/>
              <w:rPr>
                <w:color w:val="000000"/>
                <w:szCs w:val="24"/>
                <w:lang w:val="en-US"/>
              </w:rPr>
            </w:pPr>
            <w:r w:rsidRPr="000E5B14">
              <w:rPr>
                <w:color w:val="000000"/>
                <w:szCs w:val="24"/>
                <w:lang w:val="en-US"/>
              </w:rPr>
              <w:t>[27 – 45]</w:t>
            </w:r>
            <w:r w:rsidRPr="000E5B14">
              <w:rPr>
                <w:color w:val="000000"/>
                <w:szCs w:val="24"/>
                <w:vertAlign w:val="superscript"/>
                <w:lang w:val="en-US"/>
              </w:rPr>
              <w:t>2</w:t>
            </w:r>
          </w:p>
        </w:tc>
      </w:tr>
      <w:tr w:rsidR="00DB1206" w:rsidRPr="000E5B14" w:rsidTr="003024F7">
        <w:trPr>
          <w:trHeight w:val="300"/>
        </w:trPr>
        <w:tc>
          <w:tcPr>
            <w:tcW w:w="1367" w:type="dxa"/>
            <w:tcBorders>
              <w:top w:val="nil"/>
              <w:left w:val="nil"/>
              <w:bottom w:val="single" w:sz="4" w:space="0" w:color="auto"/>
              <w:right w:val="nil"/>
            </w:tcBorders>
            <w:shd w:val="clear" w:color="auto" w:fill="auto"/>
            <w:noWrap/>
            <w:vAlign w:val="bottom"/>
          </w:tcPr>
          <w:p w:rsidR="00DB1206" w:rsidRPr="000E5B14" w:rsidRDefault="00DB1206" w:rsidP="004A4F94">
            <w:pPr>
              <w:spacing w:line="480" w:lineRule="auto"/>
              <w:rPr>
                <w:color w:val="000000"/>
                <w:szCs w:val="24"/>
                <w:lang w:val="en-US"/>
              </w:rPr>
            </w:pPr>
          </w:p>
        </w:tc>
        <w:tc>
          <w:tcPr>
            <w:tcW w:w="1186" w:type="dxa"/>
            <w:tcBorders>
              <w:top w:val="nil"/>
              <w:left w:val="nil"/>
              <w:bottom w:val="single" w:sz="4" w:space="0" w:color="auto"/>
              <w:right w:val="nil"/>
            </w:tcBorders>
            <w:shd w:val="clear" w:color="auto" w:fill="auto"/>
            <w:noWrap/>
            <w:vAlign w:val="center"/>
          </w:tcPr>
          <w:p w:rsidR="00DB1206" w:rsidRPr="000E5B14" w:rsidRDefault="00DB1206" w:rsidP="004A4F94">
            <w:pPr>
              <w:spacing w:line="480" w:lineRule="auto"/>
              <w:rPr>
                <w:color w:val="000000"/>
                <w:szCs w:val="24"/>
                <w:lang w:val="en-US"/>
              </w:rPr>
            </w:pPr>
            <w:r w:rsidRPr="000E5B14">
              <w:rPr>
                <w:color w:val="000000"/>
                <w:szCs w:val="24"/>
                <w:lang w:val="en-US"/>
              </w:rPr>
              <w:t>reference</w:t>
            </w:r>
          </w:p>
          <w:p w:rsidR="00DB1206" w:rsidRPr="000E5B14" w:rsidRDefault="00DB1206" w:rsidP="004A4F94">
            <w:pPr>
              <w:spacing w:line="480" w:lineRule="auto"/>
              <w:rPr>
                <w:color w:val="000000"/>
                <w:szCs w:val="24"/>
                <w:lang w:val="en-US"/>
              </w:rPr>
            </w:pPr>
            <w:r w:rsidRPr="000E5B14">
              <w:rPr>
                <w:color w:val="000000"/>
                <w:szCs w:val="24"/>
                <w:lang w:val="en-US"/>
              </w:rPr>
              <w:t>range</w:t>
            </w:r>
            <w:r w:rsidRPr="000E5B14">
              <w:rPr>
                <w:color w:val="000000"/>
                <w:szCs w:val="24"/>
                <w:vertAlign w:val="superscript"/>
                <w:lang w:val="en-US"/>
              </w:rPr>
              <w:t>3</w:t>
            </w:r>
          </w:p>
        </w:tc>
        <w:tc>
          <w:tcPr>
            <w:tcW w:w="1200" w:type="dxa"/>
            <w:tcBorders>
              <w:top w:val="nil"/>
              <w:left w:val="nil"/>
              <w:bottom w:val="single" w:sz="4" w:space="0" w:color="auto"/>
              <w:right w:val="nil"/>
            </w:tcBorders>
            <w:shd w:val="clear" w:color="auto" w:fill="auto"/>
            <w:noWrap/>
            <w:vAlign w:val="center"/>
          </w:tcPr>
          <w:p w:rsidR="00DB1206" w:rsidRPr="000E5B14" w:rsidRDefault="00DB1206" w:rsidP="004A4F94">
            <w:pPr>
              <w:spacing w:line="480" w:lineRule="auto"/>
              <w:jc w:val="center"/>
              <w:rPr>
                <w:color w:val="000000"/>
                <w:szCs w:val="24"/>
                <w:lang w:val="en-US"/>
              </w:rPr>
            </w:pPr>
            <w:r w:rsidRPr="000E5B14">
              <w:rPr>
                <w:color w:val="000000"/>
                <w:szCs w:val="24"/>
                <w:lang w:val="en-US"/>
              </w:rPr>
              <w:t>n.a.</w:t>
            </w:r>
          </w:p>
        </w:tc>
        <w:tc>
          <w:tcPr>
            <w:tcW w:w="1660" w:type="dxa"/>
            <w:tcBorders>
              <w:top w:val="nil"/>
              <w:left w:val="nil"/>
              <w:bottom w:val="single" w:sz="4" w:space="0" w:color="auto"/>
              <w:right w:val="nil"/>
            </w:tcBorders>
            <w:shd w:val="clear" w:color="auto" w:fill="auto"/>
            <w:noWrap/>
            <w:vAlign w:val="center"/>
          </w:tcPr>
          <w:p w:rsidR="00DB1206" w:rsidRPr="000E5B14" w:rsidRDefault="00DB1206" w:rsidP="004A4F94">
            <w:pPr>
              <w:spacing w:line="480" w:lineRule="auto"/>
              <w:jc w:val="center"/>
              <w:rPr>
                <w:color w:val="000000"/>
                <w:szCs w:val="24"/>
                <w:lang w:val="en-US"/>
              </w:rPr>
            </w:pPr>
            <w:r w:rsidRPr="000E5B14">
              <w:rPr>
                <w:color w:val="000000"/>
                <w:szCs w:val="24"/>
                <w:lang w:val="en-US"/>
              </w:rPr>
              <w:t>3.8-5.2</w:t>
            </w:r>
          </w:p>
        </w:tc>
        <w:tc>
          <w:tcPr>
            <w:tcW w:w="1368" w:type="dxa"/>
            <w:tcBorders>
              <w:top w:val="nil"/>
              <w:left w:val="nil"/>
              <w:bottom w:val="single" w:sz="4" w:space="0" w:color="auto"/>
              <w:right w:val="nil"/>
            </w:tcBorders>
            <w:shd w:val="clear" w:color="auto" w:fill="auto"/>
            <w:noWrap/>
            <w:vAlign w:val="center"/>
          </w:tcPr>
          <w:p w:rsidR="00DB1206" w:rsidRPr="000E5B14" w:rsidRDefault="00DB1206" w:rsidP="004A4F94">
            <w:pPr>
              <w:spacing w:line="480" w:lineRule="auto"/>
              <w:jc w:val="center"/>
              <w:rPr>
                <w:color w:val="000000"/>
                <w:szCs w:val="24"/>
                <w:lang w:val="en-US"/>
              </w:rPr>
            </w:pPr>
            <w:r w:rsidRPr="000E5B14">
              <w:rPr>
                <w:color w:val="000000"/>
                <w:szCs w:val="24"/>
                <w:lang w:val="en-US"/>
              </w:rPr>
              <w:t>0.73-1.06</w:t>
            </w:r>
          </w:p>
        </w:tc>
        <w:tc>
          <w:tcPr>
            <w:tcW w:w="1300" w:type="dxa"/>
            <w:tcBorders>
              <w:top w:val="nil"/>
              <w:left w:val="nil"/>
              <w:bottom w:val="single" w:sz="4" w:space="0" w:color="auto"/>
              <w:right w:val="nil"/>
            </w:tcBorders>
            <w:shd w:val="clear" w:color="auto" w:fill="auto"/>
            <w:noWrap/>
            <w:vAlign w:val="center"/>
          </w:tcPr>
          <w:p w:rsidR="00DB1206" w:rsidRPr="000E5B14" w:rsidRDefault="00DB1206" w:rsidP="004A4F94">
            <w:pPr>
              <w:spacing w:line="480" w:lineRule="auto"/>
              <w:jc w:val="center"/>
              <w:rPr>
                <w:color w:val="000000"/>
                <w:szCs w:val="24"/>
                <w:lang w:val="en-US"/>
              </w:rPr>
            </w:pPr>
            <w:r w:rsidRPr="000E5B14">
              <w:rPr>
                <w:color w:val="000000"/>
                <w:szCs w:val="24"/>
                <w:lang w:val="en-US"/>
              </w:rPr>
              <w:t>n.a.</w:t>
            </w:r>
          </w:p>
        </w:tc>
        <w:tc>
          <w:tcPr>
            <w:tcW w:w="1201" w:type="dxa"/>
            <w:tcBorders>
              <w:top w:val="nil"/>
              <w:left w:val="nil"/>
              <w:bottom w:val="single" w:sz="4" w:space="0" w:color="auto"/>
              <w:right w:val="nil"/>
            </w:tcBorders>
            <w:shd w:val="clear" w:color="auto" w:fill="auto"/>
            <w:noWrap/>
            <w:vAlign w:val="center"/>
          </w:tcPr>
          <w:p w:rsidR="00DB1206" w:rsidRPr="000E5B14" w:rsidRDefault="00DB1206" w:rsidP="004A4F94">
            <w:pPr>
              <w:spacing w:line="480" w:lineRule="auto"/>
              <w:jc w:val="center"/>
              <w:rPr>
                <w:color w:val="000000"/>
                <w:szCs w:val="24"/>
                <w:lang w:val="en-US"/>
              </w:rPr>
            </w:pPr>
            <w:r w:rsidRPr="000E5B14">
              <w:rPr>
                <w:color w:val="000000"/>
                <w:szCs w:val="24"/>
                <w:lang w:val="en-US"/>
              </w:rPr>
              <w:t>0.84-1.45</w:t>
            </w:r>
          </w:p>
        </w:tc>
      </w:tr>
    </w:tbl>
    <w:p w:rsidR="00DB1206" w:rsidRPr="000E5B14" w:rsidRDefault="00DB1206" w:rsidP="004A4F94">
      <w:pPr>
        <w:spacing w:line="480" w:lineRule="auto"/>
        <w:jc w:val="both"/>
        <w:rPr>
          <w:bCs/>
          <w:szCs w:val="24"/>
          <w:lang w:val="en-US"/>
        </w:rPr>
      </w:pPr>
    </w:p>
    <w:p w:rsidR="00DB1206" w:rsidRPr="000E5B14" w:rsidRDefault="00294323" w:rsidP="004A4F94">
      <w:pPr>
        <w:spacing w:line="480" w:lineRule="auto"/>
        <w:rPr>
          <w:bCs/>
          <w:szCs w:val="24"/>
          <w:lang w:val="en-US"/>
        </w:rPr>
      </w:pPr>
      <w:hyperlink w:history="1"/>
      <w:proofErr w:type="gramStart"/>
      <w:r w:rsidR="00DB1206" w:rsidRPr="000E5B14">
        <w:rPr>
          <w:bCs/>
          <w:szCs w:val="24"/>
          <w:lang w:val="en-US"/>
        </w:rPr>
        <w:t>n.a.-not</w:t>
      </w:r>
      <w:proofErr w:type="gramEnd"/>
      <w:r w:rsidR="00DB1206" w:rsidRPr="000E5B14">
        <w:rPr>
          <w:bCs/>
          <w:szCs w:val="24"/>
          <w:lang w:val="en-US"/>
        </w:rPr>
        <w:t xml:space="preserve"> applicable</w:t>
      </w:r>
    </w:p>
    <w:p w:rsidR="00DB1206" w:rsidRPr="000E5B14" w:rsidRDefault="00DB1206" w:rsidP="004A4F94">
      <w:pPr>
        <w:spacing w:line="480" w:lineRule="auto"/>
        <w:rPr>
          <w:bCs/>
          <w:szCs w:val="24"/>
          <w:lang w:val="en-US"/>
        </w:rPr>
      </w:pPr>
      <w:r w:rsidRPr="000E5B14">
        <w:rPr>
          <w:bCs/>
          <w:szCs w:val="24"/>
          <w:vertAlign w:val="superscript"/>
          <w:lang w:val="en-US"/>
        </w:rPr>
        <w:t>1</w:t>
      </w:r>
      <w:r w:rsidRPr="000E5B14">
        <w:rPr>
          <w:bCs/>
          <w:szCs w:val="24"/>
          <w:lang w:val="en-US"/>
        </w:rPr>
        <w:t>reference range (in mg/L or g/L): range for healthy probands given by routine laboratory diagnostics</w:t>
      </w:r>
    </w:p>
    <w:p w:rsidR="00DB1206" w:rsidRPr="000E5B14" w:rsidRDefault="00DB1206" w:rsidP="004A4F94">
      <w:pPr>
        <w:spacing w:line="480" w:lineRule="auto"/>
        <w:rPr>
          <w:bCs/>
          <w:szCs w:val="24"/>
          <w:lang w:val="en-US"/>
        </w:rPr>
      </w:pPr>
      <w:r w:rsidRPr="000E5B14">
        <w:rPr>
          <w:bCs/>
          <w:szCs w:val="24"/>
          <w:vertAlign w:val="superscript"/>
          <w:lang w:val="en-US"/>
        </w:rPr>
        <w:lastRenderedPageBreak/>
        <w:t>2</w:t>
      </w:r>
      <w:r w:rsidRPr="000E5B14">
        <w:rPr>
          <w:bCs/>
          <w:szCs w:val="24"/>
          <w:lang w:val="en-US"/>
        </w:rPr>
        <w:t>reference range is only given for phosphate but not for phosphorus</w:t>
      </w:r>
    </w:p>
    <w:p w:rsidR="00DB1206" w:rsidRPr="000E5B14" w:rsidRDefault="00DB1206" w:rsidP="004A4F94">
      <w:pPr>
        <w:spacing w:line="480" w:lineRule="auto"/>
        <w:rPr>
          <w:bCs/>
          <w:szCs w:val="24"/>
          <w:lang w:val="en-US"/>
        </w:rPr>
      </w:pPr>
      <w:r w:rsidRPr="000E5B14">
        <w:rPr>
          <w:bCs/>
          <w:szCs w:val="24"/>
          <w:vertAlign w:val="superscript"/>
          <w:lang w:val="en-US"/>
        </w:rPr>
        <w:t>3</w:t>
      </w:r>
      <w:r w:rsidRPr="000E5B14">
        <w:rPr>
          <w:bCs/>
          <w:szCs w:val="24"/>
          <w:lang w:val="en-US"/>
        </w:rPr>
        <w:t>reference range (in mmol/L): range for healthy probands given by routine laboratory diagnostics</w:t>
      </w:r>
    </w:p>
    <w:p w:rsidR="00DB1206" w:rsidRPr="000E5B14" w:rsidRDefault="00DB1206" w:rsidP="004A4F94">
      <w:pPr>
        <w:spacing w:line="480" w:lineRule="auto"/>
        <w:rPr>
          <w:bCs/>
          <w:szCs w:val="24"/>
          <w:lang w:val="en-US"/>
        </w:rPr>
      </w:pPr>
    </w:p>
    <w:p w:rsidR="00DB1206" w:rsidRPr="000E5B14" w:rsidRDefault="00DB1206" w:rsidP="004A4F94">
      <w:pPr>
        <w:spacing w:line="480" w:lineRule="auto"/>
        <w:rPr>
          <w:bCs/>
          <w:szCs w:val="24"/>
          <w:lang w:val="en-US"/>
        </w:rPr>
      </w:pPr>
    </w:p>
    <w:p w:rsidR="00DB1206" w:rsidRPr="000E5B14" w:rsidRDefault="00DB1206" w:rsidP="004A4F94">
      <w:pPr>
        <w:spacing w:line="480" w:lineRule="auto"/>
        <w:rPr>
          <w:bCs/>
          <w:szCs w:val="24"/>
          <w:lang w:val="en-US"/>
        </w:rPr>
      </w:pPr>
    </w:p>
    <w:p w:rsidR="00DB1206" w:rsidRPr="000E5B14" w:rsidRDefault="00DB1206" w:rsidP="004A4F94">
      <w:pPr>
        <w:spacing w:line="480" w:lineRule="auto"/>
        <w:rPr>
          <w:bCs/>
          <w:szCs w:val="24"/>
          <w:lang w:val="en-US"/>
        </w:rPr>
      </w:pPr>
      <w:r w:rsidRPr="000E5B14">
        <w:rPr>
          <w:bCs/>
          <w:szCs w:val="24"/>
          <w:lang w:val="en-US"/>
        </w:rPr>
        <w:br w:type="page"/>
      </w:r>
    </w:p>
    <w:p w:rsidR="00DB1206" w:rsidRPr="000E5B14" w:rsidRDefault="00DB1206" w:rsidP="004A4F94">
      <w:pPr>
        <w:spacing w:line="480" w:lineRule="auto"/>
        <w:jc w:val="both"/>
        <w:rPr>
          <w:b/>
          <w:bCs/>
          <w:lang w:val="en-US"/>
        </w:rPr>
      </w:pPr>
      <w:r w:rsidRPr="000E5B14">
        <w:rPr>
          <w:b/>
          <w:bCs/>
          <w:lang w:val="en-US"/>
        </w:rPr>
        <w:lastRenderedPageBreak/>
        <w:t>Table 2B Comparison of BCa patients, non-tumor bladder patients and healthy controls by their serum levels of selected major elements and trace elements</w:t>
      </w:r>
    </w:p>
    <w:p w:rsidR="00DB1206" w:rsidRPr="000E5B14" w:rsidRDefault="00DB1206" w:rsidP="004A4F94">
      <w:pPr>
        <w:spacing w:line="480" w:lineRule="auto"/>
        <w:jc w:val="both"/>
        <w:rPr>
          <w:bCs/>
          <w:lang w:val="en-US"/>
        </w:rPr>
      </w:pPr>
    </w:p>
    <w:tbl>
      <w:tblPr>
        <w:tblW w:w="9442" w:type="dxa"/>
        <w:tblLook w:val="04A0" w:firstRow="1" w:lastRow="0" w:firstColumn="1" w:lastColumn="0" w:noHBand="0" w:noVBand="1"/>
      </w:tblPr>
      <w:tblGrid>
        <w:gridCol w:w="1384"/>
        <w:gridCol w:w="3260"/>
        <w:gridCol w:w="1937"/>
        <w:gridCol w:w="2861"/>
      </w:tblGrid>
      <w:tr w:rsidR="00DB1206" w:rsidRPr="00294323" w:rsidTr="006F2D1A">
        <w:tc>
          <w:tcPr>
            <w:tcW w:w="1384" w:type="dxa"/>
            <w:tcBorders>
              <w:top w:val="single" w:sz="4" w:space="0" w:color="auto"/>
              <w:bottom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Element</w:t>
            </w:r>
          </w:p>
        </w:tc>
        <w:tc>
          <w:tcPr>
            <w:tcW w:w="3260" w:type="dxa"/>
            <w:tcBorders>
              <w:top w:val="single" w:sz="4" w:space="0" w:color="auto"/>
              <w:bottom w:val="single" w:sz="4" w:space="0" w:color="auto"/>
            </w:tcBorders>
            <w:shd w:val="clear" w:color="auto" w:fill="auto"/>
          </w:tcPr>
          <w:p w:rsidR="00DB1206" w:rsidRPr="000E5B14" w:rsidRDefault="00DB1206" w:rsidP="004A4F94">
            <w:pPr>
              <w:spacing w:line="480" w:lineRule="auto"/>
              <w:jc w:val="both"/>
              <w:rPr>
                <w:bCs/>
                <w:lang w:val="en-US"/>
              </w:rPr>
            </w:pPr>
            <w:r>
              <w:rPr>
                <w:bCs/>
                <w:lang w:val="en-US"/>
              </w:rPr>
              <w:t>N</w:t>
            </w:r>
            <w:r w:rsidRPr="000E5B14">
              <w:rPr>
                <w:bCs/>
                <w:lang w:val="en-US"/>
              </w:rPr>
              <w:t>on-tumor</w:t>
            </w:r>
            <w:r>
              <w:rPr>
                <w:bCs/>
                <w:lang w:val="en-US"/>
              </w:rPr>
              <w:t xml:space="preserve"> bladder</w:t>
            </w:r>
            <w:r w:rsidRPr="000E5B14">
              <w:rPr>
                <w:bCs/>
                <w:lang w:val="en-US"/>
              </w:rPr>
              <w:t>/</w:t>
            </w:r>
          </w:p>
          <w:p w:rsidR="00DB1206" w:rsidRPr="000E5B14" w:rsidRDefault="00DB1206" w:rsidP="004A4F94">
            <w:pPr>
              <w:spacing w:line="480" w:lineRule="auto"/>
              <w:jc w:val="both"/>
              <w:rPr>
                <w:bCs/>
                <w:lang w:val="en-US"/>
              </w:rPr>
            </w:pPr>
            <w:r w:rsidRPr="000E5B14">
              <w:rPr>
                <w:bCs/>
                <w:lang w:val="en-US"/>
              </w:rPr>
              <w:t xml:space="preserve">Healthy control </w:t>
            </w:r>
          </w:p>
          <w:p w:rsidR="00DB1206" w:rsidRPr="000E5B14" w:rsidRDefault="00DB1206" w:rsidP="004A4F94">
            <w:pPr>
              <w:spacing w:line="480" w:lineRule="auto"/>
              <w:jc w:val="both"/>
              <w:rPr>
                <w:bCs/>
                <w:lang w:val="en-US"/>
              </w:rPr>
            </w:pPr>
            <w:r w:rsidRPr="000E5B14">
              <w:rPr>
                <w:bCs/>
                <w:lang w:val="en-US"/>
              </w:rPr>
              <w:t>P-value</w:t>
            </w:r>
          </w:p>
        </w:tc>
        <w:tc>
          <w:tcPr>
            <w:tcW w:w="1937" w:type="dxa"/>
            <w:tcBorders>
              <w:top w:val="single" w:sz="4" w:space="0" w:color="auto"/>
              <w:bottom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 xml:space="preserve">BCa/ </w:t>
            </w:r>
          </w:p>
          <w:p w:rsidR="00DB1206" w:rsidRPr="000E5B14" w:rsidRDefault="00DB1206" w:rsidP="004A4F94">
            <w:pPr>
              <w:spacing w:line="480" w:lineRule="auto"/>
              <w:jc w:val="both"/>
              <w:rPr>
                <w:bCs/>
                <w:lang w:val="en-US"/>
              </w:rPr>
            </w:pPr>
            <w:r w:rsidRPr="000E5B14">
              <w:rPr>
                <w:bCs/>
                <w:lang w:val="en-US"/>
              </w:rPr>
              <w:t xml:space="preserve">Healthy control/ </w:t>
            </w:r>
          </w:p>
          <w:p w:rsidR="00DB1206" w:rsidRPr="000E5B14" w:rsidRDefault="00DB1206" w:rsidP="004A4F94">
            <w:pPr>
              <w:spacing w:line="480" w:lineRule="auto"/>
              <w:jc w:val="both"/>
              <w:rPr>
                <w:bCs/>
                <w:lang w:val="en-US"/>
              </w:rPr>
            </w:pPr>
            <w:r w:rsidRPr="000E5B14">
              <w:rPr>
                <w:bCs/>
                <w:lang w:val="en-US"/>
              </w:rPr>
              <w:t>P-value</w:t>
            </w:r>
          </w:p>
        </w:tc>
        <w:tc>
          <w:tcPr>
            <w:tcW w:w="2861" w:type="dxa"/>
            <w:tcBorders>
              <w:top w:val="single" w:sz="4" w:space="0" w:color="auto"/>
              <w:bottom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BCa/</w:t>
            </w:r>
            <w:r>
              <w:rPr>
                <w:bCs/>
                <w:lang w:val="en-US"/>
              </w:rPr>
              <w:t>N</w:t>
            </w:r>
            <w:r w:rsidRPr="000E5B14">
              <w:rPr>
                <w:bCs/>
                <w:lang w:val="en-US"/>
              </w:rPr>
              <w:t>on-tumor</w:t>
            </w:r>
            <w:r>
              <w:rPr>
                <w:bCs/>
                <w:lang w:val="en-US"/>
              </w:rPr>
              <w:t xml:space="preserve"> bladder</w:t>
            </w:r>
            <w:r w:rsidRPr="000E5B14">
              <w:rPr>
                <w:bCs/>
                <w:lang w:val="en-US"/>
              </w:rPr>
              <w:t>/</w:t>
            </w:r>
          </w:p>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Cs/>
                <w:lang w:val="en-US"/>
              </w:rPr>
            </w:pPr>
            <w:r w:rsidRPr="000E5B14">
              <w:rPr>
                <w:bCs/>
                <w:lang w:val="en-US"/>
              </w:rPr>
              <w:t>P-value</w:t>
            </w:r>
          </w:p>
        </w:tc>
      </w:tr>
      <w:tr w:rsidR="00DB1206" w:rsidRPr="000E5B14" w:rsidTr="006F2D1A">
        <w:tc>
          <w:tcPr>
            <w:tcW w:w="1384" w:type="dxa"/>
            <w:tcBorders>
              <w:top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Li (µg/L)</w:t>
            </w:r>
          </w:p>
        </w:tc>
        <w:tc>
          <w:tcPr>
            <w:tcW w:w="3260" w:type="dxa"/>
            <w:tcBorders>
              <w:top w:val="single" w:sz="4" w:space="0" w:color="auto"/>
            </w:tcBorders>
            <w:shd w:val="clear" w:color="auto" w:fill="auto"/>
          </w:tcPr>
          <w:p w:rsidR="00DB1206" w:rsidRPr="000E5B14" w:rsidRDefault="00DB1206" w:rsidP="004A4F94">
            <w:pPr>
              <w:spacing w:line="480" w:lineRule="auto"/>
              <w:jc w:val="both"/>
              <w:rPr>
                <w:b/>
                <w:bCs/>
                <w:lang w:val="en-US"/>
              </w:rPr>
            </w:pPr>
            <w:r w:rsidRPr="000E5B14">
              <w:rPr>
                <w:b/>
                <w:bCs/>
                <w:lang w:val="en-US"/>
              </w:rPr>
              <w:t>5.4e-03</w:t>
            </w:r>
          </w:p>
        </w:tc>
        <w:tc>
          <w:tcPr>
            <w:tcW w:w="1937" w:type="dxa"/>
            <w:tcBorders>
              <w:top w:val="single" w:sz="4" w:space="0" w:color="auto"/>
            </w:tcBorders>
            <w:shd w:val="clear" w:color="auto" w:fill="auto"/>
          </w:tcPr>
          <w:p w:rsidR="00DB1206" w:rsidRPr="000E5B14" w:rsidRDefault="00DB1206" w:rsidP="004A4F94">
            <w:pPr>
              <w:spacing w:line="480" w:lineRule="auto"/>
              <w:jc w:val="both"/>
              <w:rPr>
                <w:b/>
                <w:bCs/>
                <w:lang w:val="en-US"/>
              </w:rPr>
            </w:pPr>
            <w:r w:rsidRPr="000E5B14">
              <w:rPr>
                <w:b/>
                <w:bCs/>
                <w:lang w:val="en-US"/>
              </w:rPr>
              <w:t>3.1e-04</w:t>
            </w:r>
          </w:p>
        </w:tc>
        <w:tc>
          <w:tcPr>
            <w:tcW w:w="2861" w:type="dxa"/>
            <w:tcBorders>
              <w:top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0.300</w:t>
            </w:r>
          </w:p>
        </w:tc>
      </w:tr>
      <w:tr w:rsidR="00DB1206" w:rsidRPr="000E5B14" w:rsidTr="006F2D1A">
        <w:tc>
          <w:tcPr>
            <w:tcW w:w="1384" w:type="dxa"/>
            <w:shd w:val="clear" w:color="auto" w:fill="auto"/>
          </w:tcPr>
          <w:p w:rsidR="00DB1206" w:rsidRPr="000E5B14" w:rsidRDefault="00DB1206" w:rsidP="004A4F94">
            <w:pPr>
              <w:spacing w:line="480" w:lineRule="auto"/>
              <w:jc w:val="both"/>
              <w:rPr>
                <w:bCs/>
                <w:lang w:val="en-US"/>
              </w:rPr>
            </w:pPr>
            <w:r w:rsidRPr="000E5B14">
              <w:rPr>
                <w:bCs/>
                <w:lang w:val="en-US"/>
              </w:rPr>
              <w:t>K (mg/L)</w:t>
            </w:r>
          </w:p>
        </w:tc>
        <w:tc>
          <w:tcPr>
            <w:tcW w:w="3260" w:type="dxa"/>
            <w:shd w:val="clear" w:color="auto" w:fill="auto"/>
          </w:tcPr>
          <w:p w:rsidR="00DB1206" w:rsidRPr="000E5B14" w:rsidRDefault="00DB1206" w:rsidP="004A4F94">
            <w:pPr>
              <w:spacing w:line="480" w:lineRule="auto"/>
              <w:jc w:val="both"/>
              <w:rPr>
                <w:b/>
                <w:bCs/>
                <w:lang w:val="en-US"/>
              </w:rPr>
            </w:pPr>
            <w:r w:rsidRPr="000E5B14">
              <w:rPr>
                <w:b/>
                <w:bCs/>
                <w:lang w:val="en-US"/>
              </w:rPr>
              <w:t>3.3e-12</w:t>
            </w:r>
          </w:p>
        </w:tc>
        <w:tc>
          <w:tcPr>
            <w:tcW w:w="1937" w:type="dxa"/>
            <w:shd w:val="clear" w:color="auto" w:fill="auto"/>
          </w:tcPr>
          <w:p w:rsidR="00DB1206" w:rsidRPr="000E5B14" w:rsidRDefault="00DB1206" w:rsidP="004A4F94">
            <w:pPr>
              <w:spacing w:line="480" w:lineRule="auto"/>
              <w:jc w:val="both"/>
              <w:rPr>
                <w:b/>
                <w:bCs/>
                <w:lang w:val="en-US"/>
              </w:rPr>
            </w:pPr>
            <w:r w:rsidRPr="000E5B14">
              <w:rPr>
                <w:b/>
                <w:bCs/>
                <w:lang w:val="en-US"/>
              </w:rPr>
              <w:t>2.5e-10</w:t>
            </w:r>
          </w:p>
        </w:tc>
        <w:tc>
          <w:tcPr>
            <w:tcW w:w="2861" w:type="dxa"/>
            <w:shd w:val="clear" w:color="auto" w:fill="auto"/>
          </w:tcPr>
          <w:p w:rsidR="00DB1206" w:rsidRPr="000E5B14" w:rsidRDefault="00DB1206" w:rsidP="004A4F94">
            <w:pPr>
              <w:spacing w:line="480" w:lineRule="auto"/>
              <w:jc w:val="both"/>
              <w:rPr>
                <w:b/>
                <w:bCs/>
                <w:lang w:val="en-US"/>
              </w:rPr>
            </w:pPr>
            <w:r w:rsidRPr="000E5B14">
              <w:rPr>
                <w:b/>
                <w:bCs/>
                <w:lang w:val="en-US"/>
              </w:rPr>
              <w:t>0.032</w:t>
            </w:r>
          </w:p>
        </w:tc>
      </w:tr>
      <w:tr w:rsidR="00DB1206" w:rsidRPr="000E5B14" w:rsidTr="006F2D1A">
        <w:tc>
          <w:tcPr>
            <w:tcW w:w="1384" w:type="dxa"/>
            <w:shd w:val="clear" w:color="auto" w:fill="auto"/>
          </w:tcPr>
          <w:p w:rsidR="00DB1206" w:rsidRPr="000E5B14" w:rsidRDefault="00DB1206" w:rsidP="004A4F94">
            <w:pPr>
              <w:spacing w:line="480" w:lineRule="auto"/>
              <w:jc w:val="both"/>
              <w:rPr>
                <w:bCs/>
                <w:lang w:val="en-US"/>
              </w:rPr>
            </w:pPr>
            <w:r w:rsidRPr="000E5B14">
              <w:rPr>
                <w:bCs/>
                <w:lang w:val="en-US"/>
              </w:rPr>
              <w:t>Mg (mg/L)</w:t>
            </w:r>
          </w:p>
        </w:tc>
        <w:tc>
          <w:tcPr>
            <w:tcW w:w="3260" w:type="dxa"/>
            <w:shd w:val="clear" w:color="auto" w:fill="auto"/>
          </w:tcPr>
          <w:p w:rsidR="00DB1206" w:rsidRPr="000E5B14" w:rsidRDefault="00DB1206" w:rsidP="004A4F94">
            <w:pPr>
              <w:spacing w:line="480" w:lineRule="auto"/>
              <w:jc w:val="both"/>
              <w:rPr>
                <w:b/>
                <w:bCs/>
                <w:lang w:val="en-US"/>
              </w:rPr>
            </w:pPr>
            <w:r w:rsidRPr="000E5B14">
              <w:rPr>
                <w:b/>
                <w:bCs/>
                <w:lang w:val="en-US"/>
              </w:rPr>
              <w:t>3.9e-10</w:t>
            </w:r>
          </w:p>
        </w:tc>
        <w:tc>
          <w:tcPr>
            <w:tcW w:w="1937" w:type="dxa"/>
            <w:shd w:val="clear" w:color="auto" w:fill="auto"/>
          </w:tcPr>
          <w:p w:rsidR="00DB1206" w:rsidRPr="000E5B14" w:rsidRDefault="00DB1206" w:rsidP="004A4F94">
            <w:pPr>
              <w:spacing w:line="480" w:lineRule="auto"/>
              <w:jc w:val="both"/>
              <w:rPr>
                <w:b/>
                <w:bCs/>
                <w:lang w:val="en-US"/>
              </w:rPr>
            </w:pPr>
            <w:r w:rsidRPr="000E5B14">
              <w:rPr>
                <w:b/>
                <w:bCs/>
                <w:lang w:val="en-US"/>
              </w:rPr>
              <w:t>1.2e-08</w:t>
            </w:r>
          </w:p>
        </w:tc>
        <w:tc>
          <w:tcPr>
            <w:tcW w:w="2861" w:type="dxa"/>
            <w:shd w:val="clear" w:color="auto" w:fill="auto"/>
          </w:tcPr>
          <w:p w:rsidR="00DB1206" w:rsidRPr="000E5B14" w:rsidRDefault="00DB1206" w:rsidP="004A4F94">
            <w:pPr>
              <w:spacing w:line="480" w:lineRule="auto"/>
              <w:jc w:val="both"/>
              <w:rPr>
                <w:bCs/>
                <w:lang w:val="en-US"/>
              </w:rPr>
            </w:pPr>
            <w:r w:rsidRPr="000E5B14">
              <w:rPr>
                <w:bCs/>
                <w:lang w:val="en-US"/>
              </w:rPr>
              <w:t>0.061</w:t>
            </w:r>
          </w:p>
        </w:tc>
      </w:tr>
      <w:tr w:rsidR="00DB1206" w:rsidRPr="000E5B14" w:rsidTr="006F2D1A">
        <w:tc>
          <w:tcPr>
            <w:tcW w:w="1384" w:type="dxa"/>
            <w:shd w:val="clear" w:color="auto" w:fill="auto"/>
          </w:tcPr>
          <w:p w:rsidR="00DB1206" w:rsidRPr="000E5B14" w:rsidRDefault="00DB1206" w:rsidP="004A4F94">
            <w:pPr>
              <w:spacing w:line="480" w:lineRule="auto"/>
              <w:jc w:val="both"/>
              <w:rPr>
                <w:bCs/>
                <w:lang w:val="en-US"/>
              </w:rPr>
            </w:pPr>
            <w:r w:rsidRPr="000E5B14">
              <w:rPr>
                <w:bCs/>
                <w:lang w:val="en-US"/>
              </w:rPr>
              <w:t>Ni (µg/L)</w:t>
            </w:r>
          </w:p>
        </w:tc>
        <w:tc>
          <w:tcPr>
            <w:tcW w:w="3260" w:type="dxa"/>
            <w:shd w:val="clear" w:color="auto" w:fill="auto"/>
          </w:tcPr>
          <w:p w:rsidR="00DB1206" w:rsidRPr="000E5B14" w:rsidRDefault="00DB1206" w:rsidP="004A4F94">
            <w:pPr>
              <w:spacing w:line="480" w:lineRule="auto"/>
              <w:jc w:val="both"/>
              <w:rPr>
                <w:b/>
                <w:bCs/>
                <w:lang w:val="en-US"/>
              </w:rPr>
            </w:pPr>
            <w:r w:rsidRPr="000E5B14">
              <w:rPr>
                <w:b/>
                <w:bCs/>
                <w:lang w:val="en-US"/>
              </w:rPr>
              <w:t>2.1e-03</w:t>
            </w:r>
          </w:p>
        </w:tc>
        <w:tc>
          <w:tcPr>
            <w:tcW w:w="1937" w:type="dxa"/>
            <w:shd w:val="clear" w:color="auto" w:fill="auto"/>
          </w:tcPr>
          <w:p w:rsidR="00DB1206" w:rsidRPr="000E5B14" w:rsidRDefault="00DB1206" w:rsidP="004A4F94">
            <w:pPr>
              <w:spacing w:line="480" w:lineRule="auto"/>
              <w:jc w:val="both"/>
              <w:rPr>
                <w:b/>
                <w:bCs/>
                <w:lang w:val="en-US"/>
              </w:rPr>
            </w:pPr>
            <w:r w:rsidRPr="000E5B14">
              <w:rPr>
                <w:b/>
                <w:bCs/>
                <w:lang w:val="en-US"/>
              </w:rPr>
              <w:t>1.8.e-04</w:t>
            </w:r>
          </w:p>
        </w:tc>
        <w:tc>
          <w:tcPr>
            <w:tcW w:w="2861" w:type="dxa"/>
            <w:shd w:val="clear" w:color="auto" w:fill="auto"/>
          </w:tcPr>
          <w:p w:rsidR="00DB1206" w:rsidRPr="000E5B14" w:rsidRDefault="00DB1206" w:rsidP="004A4F94">
            <w:pPr>
              <w:spacing w:line="480" w:lineRule="auto"/>
              <w:jc w:val="both"/>
              <w:rPr>
                <w:bCs/>
                <w:lang w:val="en-US"/>
              </w:rPr>
            </w:pPr>
            <w:r w:rsidRPr="000E5B14">
              <w:rPr>
                <w:bCs/>
                <w:lang w:val="en-US"/>
              </w:rPr>
              <w:t>0.064</w:t>
            </w:r>
          </w:p>
        </w:tc>
      </w:tr>
      <w:tr w:rsidR="00DB1206" w:rsidRPr="000E5B14" w:rsidTr="006F2D1A">
        <w:tc>
          <w:tcPr>
            <w:tcW w:w="1384" w:type="dxa"/>
            <w:tcBorders>
              <w:bottom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P (mg/L)</w:t>
            </w:r>
          </w:p>
        </w:tc>
        <w:tc>
          <w:tcPr>
            <w:tcW w:w="3260" w:type="dxa"/>
            <w:tcBorders>
              <w:bottom w:val="single" w:sz="4" w:space="0" w:color="auto"/>
            </w:tcBorders>
            <w:shd w:val="clear" w:color="auto" w:fill="auto"/>
          </w:tcPr>
          <w:p w:rsidR="00DB1206" w:rsidRPr="000E5B14" w:rsidRDefault="00DB1206" w:rsidP="004A4F94">
            <w:pPr>
              <w:spacing w:line="480" w:lineRule="auto"/>
              <w:jc w:val="both"/>
              <w:rPr>
                <w:b/>
                <w:bCs/>
                <w:lang w:val="en-US"/>
              </w:rPr>
            </w:pPr>
            <w:r w:rsidRPr="000E5B14">
              <w:rPr>
                <w:b/>
                <w:bCs/>
                <w:lang w:val="en-US"/>
              </w:rPr>
              <w:t>7.1e-08</w:t>
            </w:r>
          </w:p>
        </w:tc>
        <w:tc>
          <w:tcPr>
            <w:tcW w:w="1937" w:type="dxa"/>
            <w:tcBorders>
              <w:bottom w:val="single" w:sz="4" w:space="0" w:color="auto"/>
            </w:tcBorders>
            <w:shd w:val="clear" w:color="auto" w:fill="auto"/>
          </w:tcPr>
          <w:p w:rsidR="00DB1206" w:rsidRPr="000E5B14" w:rsidRDefault="00DB1206" w:rsidP="004A4F94">
            <w:pPr>
              <w:spacing w:line="480" w:lineRule="auto"/>
              <w:jc w:val="both"/>
              <w:rPr>
                <w:b/>
                <w:bCs/>
                <w:lang w:val="en-US"/>
              </w:rPr>
            </w:pPr>
            <w:r w:rsidRPr="000E5B14">
              <w:rPr>
                <w:b/>
                <w:bCs/>
                <w:lang w:val="en-US"/>
              </w:rPr>
              <w:t>2.7e-04</w:t>
            </w:r>
          </w:p>
        </w:tc>
        <w:tc>
          <w:tcPr>
            <w:tcW w:w="2861" w:type="dxa"/>
            <w:tcBorders>
              <w:bottom w:val="single" w:sz="4" w:space="0" w:color="auto"/>
            </w:tcBorders>
            <w:shd w:val="clear" w:color="auto" w:fill="auto"/>
          </w:tcPr>
          <w:p w:rsidR="00DB1206" w:rsidRPr="000E5B14" w:rsidRDefault="00DB1206" w:rsidP="004A4F94">
            <w:pPr>
              <w:spacing w:line="480" w:lineRule="auto"/>
              <w:jc w:val="both"/>
              <w:rPr>
                <w:b/>
                <w:bCs/>
                <w:lang w:val="en-US"/>
              </w:rPr>
            </w:pPr>
            <w:r w:rsidRPr="000E5B14">
              <w:rPr>
                <w:b/>
                <w:bCs/>
                <w:lang w:val="en-US"/>
              </w:rPr>
              <w:t>0.022</w:t>
            </w:r>
          </w:p>
        </w:tc>
      </w:tr>
    </w:tbl>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Cs/>
          <w:lang w:val="en-US"/>
        </w:rPr>
      </w:pPr>
      <w:r w:rsidRPr="000E5B14">
        <w:rPr>
          <w:bCs/>
          <w:lang w:val="en-US"/>
        </w:rPr>
        <w:t>BCa (N=39); non-tumor bladder (N=39); healthy control (N=30)</w:t>
      </w:r>
    </w:p>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Cs/>
          <w:lang w:val="en-US"/>
        </w:rPr>
      </w:pPr>
    </w:p>
    <w:p w:rsidR="00DB1206" w:rsidRDefault="00DB1206">
      <w:pPr>
        <w:spacing w:line="240" w:lineRule="auto"/>
        <w:rPr>
          <w:b/>
          <w:bCs/>
          <w:lang w:val="en-US"/>
        </w:rPr>
      </w:pPr>
      <w:r>
        <w:rPr>
          <w:b/>
          <w:bCs/>
          <w:lang w:val="en-US"/>
        </w:rPr>
        <w:br w:type="page"/>
      </w:r>
    </w:p>
    <w:p w:rsidR="00DB1206" w:rsidRPr="000E5B14" w:rsidRDefault="00DB1206" w:rsidP="004A4F94">
      <w:pPr>
        <w:spacing w:line="480" w:lineRule="auto"/>
        <w:jc w:val="both"/>
        <w:rPr>
          <w:b/>
          <w:bCs/>
          <w:lang w:val="en-US"/>
        </w:rPr>
      </w:pPr>
      <w:r w:rsidRPr="000E5B14">
        <w:rPr>
          <w:b/>
          <w:bCs/>
          <w:lang w:val="en-US"/>
        </w:rPr>
        <w:lastRenderedPageBreak/>
        <w:t>Table 2C Comparison of BCa patients, non-tumor bladder patients and healthy controls by their serum levels of all major elements and trace elements</w:t>
      </w:r>
    </w:p>
    <w:p w:rsidR="00DB1206" w:rsidRPr="000E5B14" w:rsidRDefault="00DB1206" w:rsidP="004A4F94">
      <w:pPr>
        <w:spacing w:line="480" w:lineRule="auto"/>
        <w:jc w:val="both"/>
        <w:rPr>
          <w:b/>
          <w:bCs/>
          <w:lang w:val="en-US"/>
        </w:rPr>
      </w:pPr>
    </w:p>
    <w:tbl>
      <w:tblPr>
        <w:tblW w:w="9322" w:type="dxa"/>
        <w:tblLook w:val="04A0" w:firstRow="1" w:lastRow="0" w:firstColumn="1" w:lastColumn="0" w:noHBand="0" w:noVBand="1"/>
      </w:tblPr>
      <w:tblGrid>
        <w:gridCol w:w="1384"/>
        <w:gridCol w:w="2225"/>
        <w:gridCol w:w="2736"/>
        <w:gridCol w:w="2977"/>
      </w:tblGrid>
      <w:tr w:rsidR="00DB1206" w:rsidRPr="000D6AF5" w:rsidTr="006F2D1A">
        <w:tc>
          <w:tcPr>
            <w:tcW w:w="1384" w:type="dxa"/>
            <w:tcBorders>
              <w:top w:val="single" w:sz="4" w:space="0" w:color="auto"/>
              <w:bottom w:val="single" w:sz="4" w:space="0" w:color="auto"/>
            </w:tcBorders>
            <w:shd w:val="clear" w:color="auto" w:fill="auto"/>
          </w:tcPr>
          <w:p w:rsidR="00DB1206" w:rsidRPr="000E5B14" w:rsidRDefault="00DB1206" w:rsidP="004A4F94">
            <w:pPr>
              <w:spacing w:line="480" w:lineRule="auto"/>
              <w:jc w:val="both"/>
              <w:rPr>
                <w:bCs/>
                <w:lang w:val="en-US"/>
              </w:rPr>
            </w:pPr>
          </w:p>
        </w:tc>
        <w:tc>
          <w:tcPr>
            <w:tcW w:w="2225" w:type="dxa"/>
            <w:tcBorders>
              <w:top w:val="single" w:sz="4" w:space="0" w:color="auto"/>
              <w:bottom w:val="single" w:sz="4" w:space="0" w:color="auto"/>
            </w:tcBorders>
            <w:shd w:val="clear" w:color="auto" w:fill="auto"/>
          </w:tcPr>
          <w:p w:rsidR="00DB1206" w:rsidRPr="000E5B14" w:rsidRDefault="00DB1206" w:rsidP="004A4F94">
            <w:pPr>
              <w:spacing w:line="480" w:lineRule="auto"/>
              <w:jc w:val="both"/>
              <w:rPr>
                <w:bCs/>
                <w:lang w:val="en-US"/>
              </w:rPr>
            </w:pPr>
            <w:r>
              <w:rPr>
                <w:bCs/>
                <w:lang w:val="en-US"/>
              </w:rPr>
              <w:t>N</w:t>
            </w:r>
            <w:r w:rsidRPr="000E5B14">
              <w:rPr>
                <w:bCs/>
                <w:lang w:val="en-US"/>
              </w:rPr>
              <w:t>on-tumor</w:t>
            </w:r>
            <w:r>
              <w:rPr>
                <w:bCs/>
                <w:lang w:val="en-US"/>
              </w:rPr>
              <w:t xml:space="preserve"> bladder</w:t>
            </w:r>
            <w:r w:rsidRPr="000E5B14">
              <w:rPr>
                <w:bCs/>
                <w:lang w:val="en-US"/>
              </w:rPr>
              <w:t>/</w:t>
            </w:r>
          </w:p>
          <w:p w:rsidR="00DB1206" w:rsidRPr="000E5B14" w:rsidRDefault="00DB1206" w:rsidP="004A4F94">
            <w:pPr>
              <w:spacing w:line="480" w:lineRule="auto"/>
              <w:jc w:val="both"/>
              <w:rPr>
                <w:bCs/>
                <w:lang w:val="en-US"/>
              </w:rPr>
            </w:pPr>
            <w:r w:rsidRPr="000E5B14">
              <w:rPr>
                <w:bCs/>
                <w:lang w:val="en-US"/>
              </w:rPr>
              <w:t xml:space="preserve">Healthy control </w:t>
            </w:r>
          </w:p>
        </w:tc>
        <w:tc>
          <w:tcPr>
            <w:tcW w:w="2736" w:type="dxa"/>
            <w:tcBorders>
              <w:top w:val="single" w:sz="4" w:space="0" w:color="auto"/>
              <w:bottom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 xml:space="preserve">BCa/ </w:t>
            </w:r>
          </w:p>
          <w:p w:rsidR="00DB1206" w:rsidRPr="000E5B14" w:rsidRDefault="00DB1206" w:rsidP="004A4F94">
            <w:pPr>
              <w:spacing w:line="480" w:lineRule="auto"/>
              <w:jc w:val="both"/>
              <w:rPr>
                <w:bCs/>
                <w:lang w:val="en-US"/>
              </w:rPr>
            </w:pPr>
            <w:r w:rsidRPr="000E5B14">
              <w:rPr>
                <w:bCs/>
                <w:lang w:val="en-US"/>
              </w:rPr>
              <w:t>Healthy control</w:t>
            </w:r>
          </w:p>
        </w:tc>
        <w:tc>
          <w:tcPr>
            <w:tcW w:w="2977" w:type="dxa"/>
            <w:tcBorders>
              <w:top w:val="single" w:sz="4" w:space="0" w:color="auto"/>
              <w:bottom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BCa/</w:t>
            </w:r>
            <w:r>
              <w:rPr>
                <w:bCs/>
                <w:lang w:val="en-US"/>
              </w:rPr>
              <w:t>N</w:t>
            </w:r>
            <w:r w:rsidRPr="000E5B14">
              <w:rPr>
                <w:bCs/>
                <w:lang w:val="en-US"/>
              </w:rPr>
              <w:t>on-tumor</w:t>
            </w:r>
            <w:r>
              <w:rPr>
                <w:bCs/>
                <w:lang w:val="en-US"/>
              </w:rPr>
              <w:t xml:space="preserve"> bladder</w:t>
            </w:r>
            <w:r w:rsidRPr="000E5B14">
              <w:rPr>
                <w:bCs/>
                <w:lang w:val="en-US"/>
              </w:rPr>
              <w:t>/</w:t>
            </w:r>
          </w:p>
          <w:p w:rsidR="00DB1206" w:rsidRPr="000E5B14" w:rsidRDefault="00DB1206" w:rsidP="004A4F94">
            <w:pPr>
              <w:spacing w:line="480" w:lineRule="auto"/>
              <w:jc w:val="both"/>
              <w:rPr>
                <w:bCs/>
                <w:lang w:val="en-US"/>
              </w:rPr>
            </w:pPr>
          </w:p>
        </w:tc>
      </w:tr>
      <w:tr w:rsidR="00DB1206" w:rsidRPr="000E5B14" w:rsidTr="006F2D1A">
        <w:tc>
          <w:tcPr>
            <w:tcW w:w="1384" w:type="dxa"/>
            <w:tcBorders>
              <w:top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Increased levels</w:t>
            </w:r>
          </w:p>
        </w:tc>
        <w:tc>
          <w:tcPr>
            <w:tcW w:w="2225" w:type="dxa"/>
            <w:tcBorders>
              <w:top w:val="single" w:sz="4" w:space="0" w:color="auto"/>
            </w:tcBorders>
            <w:shd w:val="clear" w:color="auto" w:fill="auto"/>
          </w:tcPr>
          <w:p w:rsidR="00DB1206" w:rsidRPr="000E5B14" w:rsidRDefault="00DB1206" w:rsidP="004A4F94">
            <w:pPr>
              <w:spacing w:line="480" w:lineRule="auto"/>
              <w:jc w:val="both"/>
              <w:rPr>
                <w:b/>
                <w:bCs/>
                <w:lang w:val="en-US"/>
              </w:rPr>
            </w:pPr>
            <w:r w:rsidRPr="000E5B14">
              <w:rPr>
                <w:bCs/>
                <w:lang w:val="en-US"/>
              </w:rPr>
              <w:t>B, Ca, Cu, K, Mg, P, S, Se, Sr, Zn</w:t>
            </w:r>
          </w:p>
        </w:tc>
        <w:tc>
          <w:tcPr>
            <w:tcW w:w="2736" w:type="dxa"/>
            <w:tcBorders>
              <w:top w:val="single" w:sz="4" w:space="0" w:color="auto"/>
            </w:tcBorders>
            <w:shd w:val="clear" w:color="auto" w:fill="auto"/>
          </w:tcPr>
          <w:p w:rsidR="00DB1206" w:rsidRPr="000E5B14" w:rsidRDefault="00DB1206" w:rsidP="004A4F94">
            <w:pPr>
              <w:spacing w:line="480" w:lineRule="auto"/>
              <w:jc w:val="both"/>
              <w:rPr>
                <w:b/>
                <w:bCs/>
                <w:lang w:val="en-US"/>
              </w:rPr>
            </w:pPr>
            <w:r w:rsidRPr="000E5B14">
              <w:rPr>
                <w:bCs/>
                <w:lang w:val="en-US"/>
              </w:rPr>
              <w:t>B, Ca, Cr, Cu, K, Li, Mg, Ni, P, S, Sr, Zn</w:t>
            </w:r>
          </w:p>
        </w:tc>
        <w:tc>
          <w:tcPr>
            <w:tcW w:w="2977" w:type="dxa"/>
            <w:tcBorders>
              <w:top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Cr</w:t>
            </w:r>
          </w:p>
        </w:tc>
      </w:tr>
      <w:tr w:rsidR="00DB1206" w:rsidRPr="000E5B14" w:rsidTr="006F2D1A">
        <w:tc>
          <w:tcPr>
            <w:tcW w:w="1384" w:type="dxa"/>
            <w:shd w:val="clear" w:color="auto" w:fill="auto"/>
          </w:tcPr>
          <w:p w:rsidR="00DB1206" w:rsidRPr="000E5B14" w:rsidRDefault="00DB1206" w:rsidP="004A4F94">
            <w:pPr>
              <w:spacing w:line="480" w:lineRule="auto"/>
              <w:jc w:val="both"/>
              <w:rPr>
                <w:bCs/>
                <w:lang w:val="en-US"/>
              </w:rPr>
            </w:pPr>
          </w:p>
        </w:tc>
        <w:tc>
          <w:tcPr>
            <w:tcW w:w="2225" w:type="dxa"/>
            <w:shd w:val="clear" w:color="auto" w:fill="auto"/>
          </w:tcPr>
          <w:p w:rsidR="00DB1206" w:rsidRPr="000E5B14" w:rsidRDefault="00DB1206" w:rsidP="004A4F94">
            <w:pPr>
              <w:spacing w:line="480" w:lineRule="auto"/>
              <w:jc w:val="both"/>
              <w:rPr>
                <w:b/>
                <w:bCs/>
                <w:lang w:val="en-US"/>
              </w:rPr>
            </w:pPr>
          </w:p>
        </w:tc>
        <w:tc>
          <w:tcPr>
            <w:tcW w:w="2736" w:type="dxa"/>
            <w:shd w:val="clear" w:color="auto" w:fill="auto"/>
          </w:tcPr>
          <w:p w:rsidR="00DB1206" w:rsidRPr="000E5B14" w:rsidRDefault="00DB1206" w:rsidP="004A4F94">
            <w:pPr>
              <w:spacing w:line="480" w:lineRule="auto"/>
              <w:jc w:val="both"/>
              <w:rPr>
                <w:b/>
                <w:bCs/>
                <w:lang w:val="en-US"/>
              </w:rPr>
            </w:pPr>
          </w:p>
        </w:tc>
        <w:tc>
          <w:tcPr>
            <w:tcW w:w="2977" w:type="dxa"/>
            <w:shd w:val="clear" w:color="auto" w:fill="auto"/>
          </w:tcPr>
          <w:p w:rsidR="00DB1206" w:rsidRPr="000E5B14" w:rsidRDefault="00DB1206" w:rsidP="004A4F94">
            <w:pPr>
              <w:spacing w:line="480" w:lineRule="auto"/>
              <w:jc w:val="both"/>
              <w:rPr>
                <w:bCs/>
                <w:lang w:val="en-US"/>
              </w:rPr>
            </w:pPr>
          </w:p>
        </w:tc>
      </w:tr>
      <w:tr w:rsidR="00DB1206" w:rsidRPr="000E5B14" w:rsidTr="006F2D1A">
        <w:tc>
          <w:tcPr>
            <w:tcW w:w="1384" w:type="dxa"/>
            <w:tcBorders>
              <w:bottom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Decreased levels</w:t>
            </w:r>
          </w:p>
        </w:tc>
        <w:tc>
          <w:tcPr>
            <w:tcW w:w="2225" w:type="dxa"/>
            <w:tcBorders>
              <w:bottom w:val="single" w:sz="4" w:space="0" w:color="auto"/>
            </w:tcBorders>
            <w:shd w:val="clear" w:color="auto" w:fill="auto"/>
          </w:tcPr>
          <w:p w:rsidR="00DB1206" w:rsidRPr="000E5B14" w:rsidRDefault="00DB1206" w:rsidP="004A4F94">
            <w:pPr>
              <w:spacing w:line="480" w:lineRule="auto"/>
              <w:jc w:val="both"/>
              <w:rPr>
                <w:b/>
                <w:bCs/>
                <w:lang w:val="en-US"/>
              </w:rPr>
            </w:pPr>
            <w:r w:rsidRPr="000E5B14">
              <w:rPr>
                <w:bCs/>
                <w:lang w:val="en-US"/>
              </w:rPr>
              <w:t>Co, Mo, Sn</w:t>
            </w:r>
          </w:p>
        </w:tc>
        <w:tc>
          <w:tcPr>
            <w:tcW w:w="2736" w:type="dxa"/>
            <w:tcBorders>
              <w:bottom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none</w:t>
            </w:r>
          </w:p>
        </w:tc>
        <w:tc>
          <w:tcPr>
            <w:tcW w:w="2977" w:type="dxa"/>
            <w:tcBorders>
              <w:bottom w:val="single" w:sz="4" w:space="0" w:color="auto"/>
            </w:tcBorders>
            <w:shd w:val="clear" w:color="auto" w:fill="auto"/>
          </w:tcPr>
          <w:p w:rsidR="00DB1206" w:rsidRPr="000E5B14" w:rsidRDefault="00DB1206" w:rsidP="004A4F94">
            <w:pPr>
              <w:spacing w:line="480" w:lineRule="auto"/>
              <w:jc w:val="both"/>
              <w:rPr>
                <w:bCs/>
                <w:lang w:val="en-US"/>
              </w:rPr>
            </w:pPr>
            <w:r w:rsidRPr="000E5B14">
              <w:rPr>
                <w:bCs/>
                <w:lang w:val="en-US"/>
              </w:rPr>
              <w:t>Ca, K, Se, Zn</w:t>
            </w:r>
          </w:p>
        </w:tc>
      </w:tr>
    </w:tbl>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Cs/>
          <w:lang w:val="en-US"/>
        </w:rPr>
      </w:pPr>
      <w:r w:rsidRPr="000E5B14">
        <w:rPr>
          <w:bCs/>
          <w:lang w:val="en-US"/>
        </w:rPr>
        <w:t>BCa (N=39); non-tumor bladder (N=39); healthy control (N=30)</w:t>
      </w:r>
    </w:p>
    <w:p w:rsidR="00DB1206" w:rsidRPr="000E5B14" w:rsidRDefault="00DB1206" w:rsidP="004A4F94">
      <w:pPr>
        <w:spacing w:line="480" w:lineRule="auto"/>
        <w:jc w:val="both"/>
        <w:rPr>
          <w:bCs/>
          <w:lang w:val="en-US"/>
        </w:rPr>
      </w:pPr>
      <w:r w:rsidRPr="000E5B14">
        <w:rPr>
          <w:bCs/>
          <w:lang w:val="en-US"/>
        </w:rPr>
        <w:t>The Bonferroni-adjusted α-level is 0.00192: (P=0.05/26 elements)</w:t>
      </w:r>
    </w:p>
    <w:p w:rsidR="00DB1206" w:rsidRPr="000E5B14" w:rsidRDefault="00DB1206" w:rsidP="004A4F94">
      <w:pPr>
        <w:spacing w:line="480" w:lineRule="auto"/>
        <w:jc w:val="both"/>
        <w:rPr>
          <w:bCs/>
          <w:lang w:val="en-US"/>
        </w:rPr>
      </w:pPr>
    </w:p>
    <w:p w:rsidR="00DB1206" w:rsidRPr="000E5B14" w:rsidRDefault="00DB1206" w:rsidP="004A4F94">
      <w:pPr>
        <w:spacing w:line="480" w:lineRule="auto"/>
        <w:rPr>
          <w:b/>
          <w:bCs/>
          <w:lang w:val="en-US"/>
        </w:rPr>
      </w:pPr>
      <w:r w:rsidRPr="000E5B14">
        <w:rPr>
          <w:b/>
          <w:bCs/>
          <w:lang w:val="en-US"/>
        </w:rPr>
        <w:br w:type="page"/>
      </w:r>
    </w:p>
    <w:p w:rsidR="00DB1206" w:rsidRPr="000E5B14" w:rsidRDefault="00DB1206" w:rsidP="004A4F94">
      <w:pPr>
        <w:spacing w:line="480" w:lineRule="auto"/>
        <w:jc w:val="both"/>
        <w:rPr>
          <w:bCs/>
          <w:lang w:val="en-US"/>
        </w:rPr>
      </w:pPr>
      <w:r w:rsidRPr="000E5B14">
        <w:rPr>
          <w:bCs/>
          <w:lang w:val="en-US"/>
        </w:rPr>
        <w:lastRenderedPageBreak/>
        <w:tab/>
      </w:r>
      <w:r w:rsidRPr="000E5B14">
        <w:rPr>
          <w:bCs/>
          <w:lang w:val="en-US"/>
        </w:rPr>
        <w:tab/>
      </w:r>
      <w:r w:rsidRPr="000E5B14">
        <w:rPr>
          <w:bCs/>
          <w:lang w:val="en-US"/>
        </w:rPr>
        <w:tab/>
      </w:r>
      <w:r w:rsidRPr="000E5B14">
        <w:rPr>
          <w:bCs/>
          <w:lang w:val="en-US"/>
        </w:rPr>
        <w:tab/>
      </w:r>
      <w:r w:rsidRPr="000E5B14">
        <w:rPr>
          <w:bCs/>
          <w:lang w:val="en-US"/>
        </w:rPr>
        <w:tab/>
      </w:r>
      <w:r w:rsidRPr="000E5B14">
        <w:rPr>
          <w:bCs/>
          <w:lang w:val="en-US"/>
        </w:rPr>
        <w:tab/>
      </w:r>
      <w:r w:rsidRPr="000E5B14">
        <w:rPr>
          <w:bCs/>
          <w:lang w:val="en-US"/>
        </w:rPr>
        <w:tab/>
      </w:r>
    </w:p>
    <w:p w:rsidR="00DB1206" w:rsidRPr="000E5B14" w:rsidRDefault="00DB1206" w:rsidP="004A4F94">
      <w:pPr>
        <w:spacing w:line="480" w:lineRule="auto"/>
        <w:jc w:val="both"/>
        <w:rPr>
          <w:bCs/>
          <w:lang w:val="en-US"/>
        </w:rPr>
      </w:pPr>
      <w:r>
        <w:rPr>
          <w:noProof/>
        </w:rPr>
        <w:drawing>
          <wp:inline distT="0" distB="0" distL="0" distR="0" wp14:anchorId="31CE0FD6" wp14:editId="49424DA6">
            <wp:extent cx="3400425" cy="3400425"/>
            <wp:effectExtent l="0" t="0" r="0" b="0"/>
            <wp:docPr id="1"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3400425"/>
                    </a:xfrm>
                    <a:prstGeom prst="rect">
                      <a:avLst/>
                    </a:prstGeom>
                    <a:noFill/>
                    <a:ln>
                      <a:noFill/>
                    </a:ln>
                  </pic:spPr>
                </pic:pic>
              </a:graphicData>
            </a:graphic>
          </wp:inline>
        </w:drawing>
      </w:r>
    </w:p>
    <w:p w:rsidR="00DB1206" w:rsidRPr="000E5B14" w:rsidRDefault="00DB1206" w:rsidP="004A4F94">
      <w:pPr>
        <w:spacing w:line="480" w:lineRule="auto"/>
        <w:jc w:val="both"/>
        <w:rPr>
          <w:bCs/>
          <w:lang w:val="en-US"/>
        </w:rPr>
      </w:pPr>
      <w:r w:rsidRPr="000E5B14">
        <w:rPr>
          <w:b/>
          <w:bCs/>
          <w:lang w:val="en-US"/>
        </w:rPr>
        <w:t>Fig. 1 ROC analysis</w:t>
      </w:r>
      <w:r w:rsidRPr="000E5B14">
        <w:rPr>
          <w:bCs/>
          <w:lang w:val="en-US"/>
        </w:rPr>
        <w:t xml:space="preserve">: Comparison of BCa patients and healthy controls by their serum levels of potassium and magnesium </w:t>
      </w:r>
    </w:p>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Cs/>
          <w:lang w:val="en-US"/>
        </w:rPr>
      </w:pPr>
      <w:r w:rsidRPr="000E5B14">
        <w:rPr>
          <w:bCs/>
          <w:lang w:val="en-US"/>
        </w:rPr>
        <w:t xml:space="preserve">The ROC analyses calculated AUC-values for K and Mg of 0.947 and 0.9043, respectively. The optimal threshold for K (at 182.5 mg/L) gives a sensitivity of 0.9487 and a specificity of 0.8000; the optimal threshold for Mg (at 16.25 mg/L) gives a sensitivity of 0.8205 and a specificity of 0.9333. </w:t>
      </w:r>
    </w:p>
    <w:p w:rsidR="00DB1206" w:rsidRPr="000E5B14" w:rsidRDefault="00DB1206" w:rsidP="004A4F94">
      <w:pPr>
        <w:spacing w:line="480" w:lineRule="auto"/>
        <w:jc w:val="both"/>
        <w:rPr>
          <w:bCs/>
          <w:lang w:val="en-US"/>
        </w:rPr>
      </w:pPr>
    </w:p>
    <w:p w:rsidR="00DB1206" w:rsidRPr="000E5B14" w:rsidRDefault="00DB1206" w:rsidP="004A4F94">
      <w:pPr>
        <w:spacing w:line="480" w:lineRule="auto"/>
        <w:jc w:val="both"/>
        <w:rPr>
          <w:bCs/>
          <w:lang w:val="en-US"/>
        </w:rPr>
      </w:pPr>
    </w:p>
    <w:p w:rsidR="00DB1206" w:rsidRPr="000E5B14" w:rsidRDefault="00DB1206" w:rsidP="004A4F94">
      <w:pPr>
        <w:spacing w:line="480" w:lineRule="auto"/>
        <w:rPr>
          <w:bCs/>
          <w:szCs w:val="24"/>
          <w:lang w:val="en-US"/>
        </w:rPr>
      </w:pPr>
    </w:p>
    <w:p w:rsidR="00DB1206" w:rsidRPr="000E5B14" w:rsidRDefault="00DB1206" w:rsidP="004A4F94">
      <w:pPr>
        <w:spacing w:line="480" w:lineRule="auto"/>
        <w:rPr>
          <w:bCs/>
          <w:szCs w:val="24"/>
          <w:lang w:val="en-US"/>
        </w:rPr>
      </w:pPr>
    </w:p>
    <w:p w:rsidR="00DB1206" w:rsidRPr="000E5B14" w:rsidRDefault="00DB1206" w:rsidP="004A4F94">
      <w:pPr>
        <w:spacing w:line="480" w:lineRule="auto"/>
        <w:rPr>
          <w:bCs/>
          <w:szCs w:val="24"/>
          <w:lang w:val="en-US"/>
        </w:rPr>
      </w:pPr>
    </w:p>
    <w:p w:rsidR="00DB1206" w:rsidRPr="000E5B14" w:rsidRDefault="00DB1206" w:rsidP="004A4F94">
      <w:pPr>
        <w:spacing w:line="480" w:lineRule="auto"/>
        <w:rPr>
          <w:bCs/>
          <w:szCs w:val="24"/>
          <w:lang w:val="en-US"/>
        </w:rPr>
      </w:pPr>
    </w:p>
    <w:p w:rsidR="00DB1206" w:rsidRPr="000E5B14" w:rsidRDefault="00DB1206" w:rsidP="004A4F94">
      <w:pPr>
        <w:spacing w:line="480" w:lineRule="auto"/>
        <w:rPr>
          <w:bCs/>
          <w:szCs w:val="24"/>
          <w:lang w:val="en-US"/>
        </w:rPr>
      </w:pPr>
    </w:p>
    <w:p w:rsidR="00DB1206" w:rsidRPr="000E5B14" w:rsidRDefault="00DB1206" w:rsidP="004A4F94">
      <w:pPr>
        <w:spacing w:line="480" w:lineRule="auto"/>
        <w:rPr>
          <w:bCs/>
          <w:szCs w:val="24"/>
          <w:lang w:val="en-US"/>
        </w:rPr>
      </w:pPr>
    </w:p>
    <w:p w:rsidR="00DB1206" w:rsidRPr="000E5B14" w:rsidRDefault="00DB1206" w:rsidP="004A4F94">
      <w:pPr>
        <w:spacing w:line="480" w:lineRule="auto"/>
        <w:rPr>
          <w:bCs/>
          <w:szCs w:val="24"/>
          <w:lang w:val="en-US"/>
        </w:rPr>
      </w:pPr>
      <w:r>
        <w:rPr>
          <w:rFonts w:ascii="Monaco" w:hAnsi="Monaco" w:cs="Monaco"/>
          <w:noProof/>
          <w:color w:val="070087"/>
          <w:sz w:val="20"/>
        </w:rPr>
        <w:drawing>
          <wp:inline distT="0" distB="0" distL="0" distR="0" wp14:anchorId="0FA9A908" wp14:editId="7AC65592">
            <wp:extent cx="6057900" cy="6057900"/>
            <wp:effectExtent l="0" t="0" r="0" b="0"/>
            <wp:docPr id="2"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6057900"/>
                    </a:xfrm>
                    <a:prstGeom prst="rect">
                      <a:avLst/>
                    </a:prstGeom>
                    <a:noFill/>
                    <a:ln>
                      <a:noFill/>
                    </a:ln>
                  </pic:spPr>
                </pic:pic>
              </a:graphicData>
            </a:graphic>
          </wp:inline>
        </w:drawing>
      </w:r>
    </w:p>
    <w:p w:rsidR="00DB1206" w:rsidRPr="000E5B14" w:rsidRDefault="00DB1206" w:rsidP="004A4F94">
      <w:pPr>
        <w:spacing w:line="480" w:lineRule="auto"/>
        <w:rPr>
          <w:bCs/>
          <w:szCs w:val="24"/>
          <w:lang w:val="en-US"/>
        </w:rPr>
      </w:pPr>
    </w:p>
    <w:p w:rsidR="00DB1206" w:rsidRPr="000E5B14" w:rsidRDefault="00DB1206" w:rsidP="004A4F94">
      <w:pPr>
        <w:spacing w:line="480" w:lineRule="auto"/>
        <w:rPr>
          <w:bCs/>
          <w:szCs w:val="24"/>
          <w:lang w:val="en-US"/>
        </w:rPr>
      </w:pPr>
      <w:r w:rsidRPr="000E5B14">
        <w:rPr>
          <w:b/>
          <w:bCs/>
          <w:szCs w:val="24"/>
          <w:lang w:val="en-US"/>
        </w:rPr>
        <w:t>Fig. 2 Classification tree</w:t>
      </w:r>
      <w:r w:rsidRPr="000E5B14">
        <w:rPr>
          <w:bCs/>
          <w:szCs w:val="24"/>
          <w:lang w:val="en-US"/>
        </w:rPr>
        <w:t xml:space="preserve">: Model to distinguish between BCa patients, non-tumor bladder patients and healthy controls </w:t>
      </w:r>
    </w:p>
    <w:p w:rsidR="00DB1206" w:rsidRPr="000E5B14" w:rsidRDefault="00DB1206" w:rsidP="004A4F94">
      <w:pPr>
        <w:spacing w:line="480" w:lineRule="auto"/>
        <w:rPr>
          <w:bCs/>
          <w:szCs w:val="24"/>
          <w:lang w:val="en-US"/>
        </w:rPr>
      </w:pPr>
    </w:p>
    <w:p w:rsidR="00DB1206" w:rsidRPr="000E5B14" w:rsidRDefault="00DB1206" w:rsidP="004A4F94">
      <w:pPr>
        <w:spacing w:line="480" w:lineRule="auto"/>
        <w:jc w:val="both"/>
        <w:rPr>
          <w:bCs/>
          <w:lang w:val="en-US"/>
        </w:rPr>
      </w:pPr>
      <w:r w:rsidRPr="00E960BB">
        <w:rPr>
          <w:b/>
          <w:bCs/>
          <w:lang w:val="en-US"/>
        </w:rPr>
        <w:t>Suppl. Table</w:t>
      </w:r>
      <w:r w:rsidRPr="000E5B14">
        <w:rPr>
          <w:bCs/>
          <w:lang w:val="en-US"/>
        </w:rPr>
        <w:t xml:space="preserve"> Levels of major and trace elements in the serum of BCa patients, non-tumor bladder patients and healthy controls</w:t>
      </w:r>
    </w:p>
    <w:p w:rsidR="00A63143" w:rsidRPr="00126F5A" w:rsidRDefault="00A63143">
      <w:pPr>
        <w:rPr>
          <w:lang w:val="en-US"/>
        </w:rPr>
      </w:pPr>
    </w:p>
    <w:sectPr w:rsidR="00A63143" w:rsidRPr="00126F5A" w:rsidSect="00340AFC">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AF9" w:rsidRDefault="00536AF9">
      <w:pPr>
        <w:spacing w:line="240" w:lineRule="auto"/>
      </w:pPr>
      <w:r>
        <w:separator/>
      </w:r>
    </w:p>
  </w:endnote>
  <w:endnote w:type="continuationSeparator" w:id="0">
    <w:p w:rsidR="00536AF9" w:rsidRDefault="00536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BA4" w:rsidRDefault="00DB1206">
    <w:pPr>
      <w:pStyle w:val="Fuzeile"/>
      <w:jc w:val="right"/>
    </w:pPr>
    <w:r>
      <w:fldChar w:fldCharType="begin"/>
    </w:r>
    <w:r>
      <w:instrText>PAGE   \* MERGEFORMAT</w:instrText>
    </w:r>
    <w:r>
      <w:fldChar w:fldCharType="separate"/>
    </w:r>
    <w:r w:rsidR="00294323">
      <w:rPr>
        <w:noProof/>
      </w:rPr>
      <w:t>1</w:t>
    </w:r>
    <w:r>
      <w:rPr>
        <w:noProof/>
      </w:rPr>
      <w:fldChar w:fldCharType="end"/>
    </w:r>
  </w:p>
  <w:p w:rsidR="000A5BA4" w:rsidRDefault="0029432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AF9" w:rsidRDefault="00536AF9">
      <w:pPr>
        <w:spacing w:line="240" w:lineRule="auto"/>
      </w:pPr>
      <w:r>
        <w:separator/>
      </w:r>
    </w:p>
  </w:footnote>
  <w:footnote w:type="continuationSeparator" w:id="0">
    <w:p w:rsidR="00536AF9" w:rsidRDefault="00536AF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73D7C"/>
    <w:multiLevelType w:val="hybridMultilevel"/>
    <w:tmpl w:val="04962B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B1206"/>
    <w:rsid w:val="00126F5A"/>
    <w:rsid w:val="00294323"/>
    <w:rsid w:val="002E072F"/>
    <w:rsid w:val="00340AFC"/>
    <w:rsid w:val="00383B67"/>
    <w:rsid w:val="00536AF9"/>
    <w:rsid w:val="00586F94"/>
    <w:rsid w:val="00661AE2"/>
    <w:rsid w:val="008A77E3"/>
    <w:rsid w:val="008C428E"/>
    <w:rsid w:val="00A63143"/>
    <w:rsid w:val="00B75149"/>
    <w:rsid w:val="00BC1CAD"/>
    <w:rsid w:val="00D74DFA"/>
    <w:rsid w:val="00DB1206"/>
    <w:rsid w:val="00F81EA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B1206"/>
    <w:pPr>
      <w:spacing w:line="360" w:lineRule="auto"/>
    </w:pPr>
    <w:rPr>
      <w:rFonts w:ascii="Times New Roman" w:eastAsia="Times New Roman" w:hAnsi="Times New Roman" w:cs="Times New Roman"/>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B1206"/>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DB1206"/>
    <w:pPr>
      <w:tabs>
        <w:tab w:val="center" w:pos="4536"/>
        <w:tab w:val="right" w:pos="9072"/>
      </w:tabs>
      <w:spacing w:line="240" w:lineRule="auto"/>
    </w:pPr>
  </w:style>
  <w:style w:type="character" w:customStyle="1" w:styleId="KopfzeileZchn">
    <w:name w:val="Kopfzeile Zchn"/>
    <w:link w:val="Kopfzeile"/>
    <w:rsid w:val="00DB1206"/>
    <w:rPr>
      <w:rFonts w:ascii="Times New Roman" w:eastAsia="Times New Roman" w:hAnsi="Times New Roman" w:cs="Times New Roman"/>
      <w:szCs w:val="20"/>
    </w:rPr>
  </w:style>
  <w:style w:type="paragraph" w:styleId="Fuzeile">
    <w:name w:val="footer"/>
    <w:basedOn w:val="Standard"/>
    <w:link w:val="FuzeileZchn"/>
    <w:uiPriority w:val="99"/>
    <w:rsid w:val="00DB1206"/>
    <w:pPr>
      <w:tabs>
        <w:tab w:val="center" w:pos="4536"/>
        <w:tab w:val="right" w:pos="9072"/>
      </w:tabs>
      <w:spacing w:line="240" w:lineRule="auto"/>
    </w:pPr>
  </w:style>
  <w:style w:type="character" w:customStyle="1" w:styleId="FuzeileZchn">
    <w:name w:val="Fußzeile Zchn"/>
    <w:link w:val="Fuzeile"/>
    <w:uiPriority w:val="99"/>
    <w:rsid w:val="00DB1206"/>
    <w:rPr>
      <w:rFonts w:ascii="Times New Roman" w:eastAsia="Times New Roman" w:hAnsi="Times New Roman" w:cs="Times New Roman"/>
      <w:szCs w:val="20"/>
    </w:rPr>
  </w:style>
  <w:style w:type="paragraph" w:styleId="Listenabsatz">
    <w:name w:val="List Paragraph"/>
    <w:basedOn w:val="Standard"/>
    <w:uiPriority w:val="34"/>
    <w:qFormat/>
    <w:rsid w:val="00DB1206"/>
    <w:pPr>
      <w:ind w:left="720"/>
      <w:contextualSpacing/>
    </w:pPr>
  </w:style>
  <w:style w:type="paragraph" w:styleId="Sprechblasentext">
    <w:name w:val="Balloon Text"/>
    <w:basedOn w:val="Standard"/>
    <w:link w:val="SprechblasentextZchn"/>
    <w:rsid w:val="00DB1206"/>
    <w:pPr>
      <w:spacing w:line="240" w:lineRule="auto"/>
    </w:pPr>
    <w:rPr>
      <w:rFonts w:ascii="Tahoma" w:hAnsi="Tahoma" w:cs="Tahoma"/>
      <w:sz w:val="16"/>
      <w:szCs w:val="16"/>
      <w:lang w:val="en-US"/>
    </w:rPr>
  </w:style>
  <w:style w:type="character" w:customStyle="1" w:styleId="SprechblasentextZchn">
    <w:name w:val="Sprechblasentext Zchn"/>
    <w:link w:val="Sprechblasentext"/>
    <w:rsid w:val="00DB1206"/>
    <w:rPr>
      <w:rFonts w:ascii="Tahoma" w:eastAsia="Times New Roman" w:hAnsi="Tahoma" w:cs="Tahoma"/>
      <w:sz w:val="16"/>
      <w:szCs w:val="16"/>
      <w:lang w:val="en-US"/>
    </w:rPr>
  </w:style>
  <w:style w:type="character" w:styleId="Hyperlink">
    <w:name w:val="Hyperlink"/>
    <w:rsid w:val="00DB1206"/>
    <w:rPr>
      <w:color w:val="0000FF"/>
      <w:u w:val="single"/>
    </w:rPr>
  </w:style>
  <w:style w:type="character" w:styleId="BesuchterHyperlink">
    <w:name w:val="FollowedHyperlink"/>
    <w:rsid w:val="00DB1206"/>
    <w:rPr>
      <w:color w:val="800080"/>
      <w:u w:val="single"/>
    </w:rPr>
  </w:style>
  <w:style w:type="character" w:styleId="Kommentarzeichen">
    <w:name w:val="annotation reference"/>
    <w:rsid w:val="00DB1206"/>
    <w:rPr>
      <w:sz w:val="16"/>
      <w:szCs w:val="16"/>
    </w:rPr>
  </w:style>
  <w:style w:type="paragraph" w:styleId="Kommentartext">
    <w:name w:val="annotation text"/>
    <w:basedOn w:val="Standard"/>
    <w:link w:val="KommentartextZchn"/>
    <w:rsid w:val="00DB1206"/>
    <w:pPr>
      <w:spacing w:line="240" w:lineRule="auto"/>
    </w:pPr>
    <w:rPr>
      <w:rFonts w:ascii="Tahoma" w:hAnsi="Tahoma" w:cs="Tahoma"/>
      <w:sz w:val="16"/>
      <w:lang w:val="en-US"/>
    </w:rPr>
  </w:style>
  <w:style w:type="character" w:customStyle="1" w:styleId="KommentartextZchn">
    <w:name w:val="Kommentartext Zchn"/>
    <w:link w:val="Kommentartext"/>
    <w:rsid w:val="00DB1206"/>
    <w:rPr>
      <w:rFonts w:ascii="Tahoma" w:eastAsia="Times New Roman" w:hAnsi="Tahoma" w:cs="Tahoma"/>
      <w:sz w:val="16"/>
      <w:szCs w:val="20"/>
      <w:lang w:val="en-US"/>
    </w:rPr>
  </w:style>
  <w:style w:type="paragraph" w:styleId="Kommentarthema">
    <w:name w:val="annotation subject"/>
    <w:basedOn w:val="Kommentartext"/>
    <w:next w:val="Kommentartext"/>
    <w:link w:val="KommentarthemaZchn"/>
    <w:rsid w:val="00DB1206"/>
    <w:rPr>
      <w:b/>
      <w:bCs/>
    </w:rPr>
  </w:style>
  <w:style w:type="character" w:customStyle="1" w:styleId="KommentarthemaZchn">
    <w:name w:val="Kommentarthema Zchn"/>
    <w:link w:val="Kommentarthema"/>
    <w:rsid w:val="00DB1206"/>
    <w:rPr>
      <w:rFonts w:ascii="Tahoma" w:eastAsia="Times New Roman" w:hAnsi="Tahoma" w:cs="Tahoma"/>
      <w:b/>
      <w:bCs/>
      <w:sz w:val="16"/>
      <w:szCs w:val="20"/>
      <w:lang w:val="en-US"/>
    </w:rPr>
  </w:style>
  <w:style w:type="paragraph" w:styleId="berarbeitung">
    <w:name w:val="Revision"/>
    <w:hidden/>
    <w:uiPriority w:val="99"/>
    <w:semiHidden/>
    <w:rsid w:val="00DB1206"/>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B1206"/>
    <w:pPr>
      <w:spacing w:line="360" w:lineRule="auto"/>
    </w:pPr>
    <w:rPr>
      <w:rFonts w:ascii="Times New Roman" w:eastAsia="Times New Roman" w:hAnsi="Times New Roman" w:cs="Times New Roman"/>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B1206"/>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DB1206"/>
    <w:pPr>
      <w:tabs>
        <w:tab w:val="center" w:pos="4536"/>
        <w:tab w:val="right" w:pos="9072"/>
      </w:tabs>
      <w:spacing w:line="240" w:lineRule="auto"/>
    </w:pPr>
  </w:style>
  <w:style w:type="character" w:customStyle="1" w:styleId="KopfzeileZchn">
    <w:name w:val="Kopfzeile Zchn"/>
    <w:link w:val="Kopfzeile"/>
    <w:rsid w:val="00DB1206"/>
    <w:rPr>
      <w:rFonts w:ascii="Times New Roman" w:eastAsia="Times New Roman" w:hAnsi="Times New Roman" w:cs="Times New Roman"/>
      <w:szCs w:val="20"/>
    </w:rPr>
  </w:style>
  <w:style w:type="paragraph" w:styleId="Fuzeile">
    <w:name w:val="footer"/>
    <w:basedOn w:val="Standard"/>
    <w:link w:val="FuzeileZchn"/>
    <w:uiPriority w:val="99"/>
    <w:rsid w:val="00DB1206"/>
    <w:pPr>
      <w:tabs>
        <w:tab w:val="center" w:pos="4536"/>
        <w:tab w:val="right" w:pos="9072"/>
      </w:tabs>
      <w:spacing w:line="240" w:lineRule="auto"/>
    </w:pPr>
  </w:style>
  <w:style w:type="character" w:customStyle="1" w:styleId="FuzeileZchn">
    <w:name w:val="Fußzeile Zchn"/>
    <w:link w:val="Fuzeile"/>
    <w:uiPriority w:val="99"/>
    <w:rsid w:val="00DB1206"/>
    <w:rPr>
      <w:rFonts w:ascii="Times New Roman" w:eastAsia="Times New Roman" w:hAnsi="Times New Roman" w:cs="Times New Roman"/>
      <w:szCs w:val="20"/>
    </w:rPr>
  </w:style>
  <w:style w:type="paragraph" w:styleId="Listenabsatz">
    <w:name w:val="List Paragraph"/>
    <w:basedOn w:val="Standard"/>
    <w:uiPriority w:val="34"/>
    <w:qFormat/>
    <w:rsid w:val="00DB1206"/>
    <w:pPr>
      <w:ind w:left="720"/>
      <w:contextualSpacing/>
    </w:pPr>
  </w:style>
  <w:style w:type="paragraph" w:styleId="Sprechblasentext">
    <w:name w:val="Balloon Text"/>
    <w:basedOn w:val="Standard"/>
    <w:link w:val="SprechblasentextZchn"/>
    <w:rsid w:val="00DB1206"/>
    <w:pPr>
      <w:spacing w:line="240" w:lineRule="auto"/>
    </w:pPr>
    <w:rPr>
      <w:rFonts w:ascii="Tahoma" w:hAnsi="Tahoma" w:cs="Tahoma"/>
      <w:sz w:val="16"/>
      <w:szCs w:val="16"/>
      <w:lang w:val="en-US"/>
    </w:rPr>
  </w:style>
  <w:style w:type="character" w:customStyle="1" w:styleId="SprechblasentextZchn">
    <w:name w:val="Sprechblasentext Zchn"/>
    <w:link w:val="Sprechblasentext"/>
    <w:rsid w:val="00DB1206"/>
    <w:rPr>
      <w:rFonts w:ascii="Tahoma" w:eastAsia="Times New Roman" w:hAnsi="Tahoma" w:cs="Tahoma"/>
      <w:sz w:val="16"/>
      <w:szCs w:val="16"/>
      <w:lang w:val="en-US"/>
    </w:rPr>
  </w:style>
  <w:style w:type="character" w:styleId="Hyperlink">
    <w:name w:val="Hyperlink"/>
    <w:rsid w:val="00DB1206"/>
    <w:rPr>
      <w:color w:val="0000FF"/>
      <w:u w:val="single"/>
    </w:rPr>
  </w:style>
  <w:style w:type="character" w:styleId="BesuchterHyperlink">
    <w:name w:val="FollowedHyperlink"/>
    <w:rsid w:val="00DB1206"/>
    <w:rPr>
      <w:color w:val="800080"/>
      <w:u w:val="single"/>
    </w:rPr>
  </w:style>
  <w:style w:type="character" w:styleId="Kommentarzeichen">
    <w:name w:val="annotation reference"/>
    <w:rsid w:val="00DB1206"/>
    <w:rPr>
      <w:sz w:val="16"/>
      <w:szCs w:val="16"/>
    </w:rPr>
  </w:style>
  <w:style w:type="paragraph" w:styleId="Kommentartext">
    <w:name w:val="annotation text"/>
    <w:basedOn w:val="Standard"/>
    <w:link w:val="KommentartextZchn"/>
    <w:rsid w:val="00DB1206"/>
    <w:pPr>
      <w:spacing w:line="240" w:lineRule="auto"/>
    </w:pPr>
    <w:rPr>
      <w:rFonts w:ascii="Tahoma" w:hAnsi="Tahoma" w:cs="Tahoma"/>
      <w:sz w:val="16"/>
      <w:lang w:val="en-US"/>
    </w:rPr>
  </w:style>
  <w:style w:type="character" w:customStyle="1" w:styleId="KommentartextZchn">
    <w:name w:val="Kommentartext Zchn"/>
    <w:link w:val="Kommentartext"/>
    <w:rsid w:val="00DB1206"/>
    <w:rPr>
      <w:rFonts w:ascii="Tahoma" w:eastAsia="Times New Roman" w:hAnsi="Tahoma" w:cs="Tahoma"/>
      <w:sz w:val="16"/>
      <w:szCs w:val="20"/>
      <w:lang w:val="en-US"/>
    </w:rPr>
  </w:style>
  <w:style w:type="paragraph" w:styleId="Kommentarthema">
    <w:name w:val="annotation subject"/>
    <w:basedOn w:val="Kommentartext"/>
    <w:next w:val="Kommentartext"/>
    <w:link w:val="KommentarthemaZchn"/>
    <w:rsid w:val="00DB1206"/>
    <w:rPr>
      <w:b/>
      <w:bCs/>
    </w:rPr>
  </w:style>
  <w:style w:type="character" w:customStyle="1" w:styleId="KommentarthemaZchn">
    <w:name w:val="Kommentarthema Zchn"/>
    <w:link w:val="Kommentarthema"/>
    <w:rsid w:val="00DB1206"/>
    <w:rPr>
      <w:rFonts w:ascii="Tahoma" w:eastAsia="Times New Roman" w:hAnsi="Tahoma" w:cs="Tahoma"/>
      <w:b/>
      <w:bCs/>
      <w:sz w:val="16"/>
      <w:szCs w:val="20"/>
      <w:lang w:val="en-US"/>
    </w:rPr>
  </w:style>
  <w:style w:type="paragraph" w:styleId="berarbeitung">
    <w:name w:val="Revision"/>
    <w:hidden/>
    <w:uiPriority w:val="99"/>
    <w:semiHidden/>
    <w:rsid w:val="00DB120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4175</Words>
  <Characters>26306</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
    </vt:vector>
  </TitlesOfParts>
  <Company>Uni-Erlangen</Company>
  <LinksUpToDate>false</LinksUpToDate>
  <CharactersWithSpaces>30421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Wach</dc:creator>
  <cp:lastModifiedBy>Katrin.rauner</cp:lastModifiedBy>
  <cp:revision>2</cp:revision>
  <cp:lastPrinted>2018-02-06T12:35:00Z</cp:lastPrinted>
  <dcterms:created xsi:type="dcterms:W3CDTF">2018-02-06T12:36:00Z</dcterms:created>
  <dcterms:modified xsi:type="dcterms:W3CDTF">2018-02-06T12:36:00Z</dcterms:modified>
</cp:coreProperties>
</file>