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DCB" w:rsidRPr="00B22DCB" w:rsidRDefault="00DE5A8F" w:rsidP="00DE5A8F">
      <w:pPr>
        <w:spacing w:line="480" w:lineRule="auto"/>
        <w:jc w:val="both"/>
        <w:rPr>
          <w:b/>
        </w:rPr>
      </w:pPr>
      <w:r w:rsidRPr="00B22DCB">
        <w:rPr>
          <w:b/>
        </w:rPr>
        <w:t>EXOME SEQUENCING</w:t>
      </w:r>
    </w:p>
    <w:p w:rsidR="00CD5C74" w:rsidRDefault="00B22DCB" w:rsidP="00DE5A8F">
      <w:pPr>
        <w:spacing w:line="480" w:lineRule="auto"/>
        <w:jc w:val="both"/>
      </w:pPr>
      <w:r w:rsidRPr="00BD7EB4">
        <w:t xml:space="preserve">Briefly, all sample libraries were prepared using Roche </w:t>
      </w:r>
      <w:proofErr w:type="spellStart"/>
      <w:r w:rsidRPr="00BD7EB4">
        <w:t>Nimblegen</w:t>
      </w:r>
      <w:proofErr w:type="spellEnd"/>
      <w:r w:rsidRPr="00BD7EB4">
        <w:t xml:space="preserve"> or Illumina capture kits with paired-end sequencing performed using the Illumina HiSeq2000. All reads were subsequently aligned using BWA</w:t>
      </w:r>
      <w:r w:rsidR="00270CCA">
        <w:t xml:space="preserve"> </w:t>
      </w:r>
      <w:r w:rsidRPr="00BD7EB4">
        <w:fldChar w:fldCharType="begin" w:fldLock="1"/>
      </w:r>
      <w:r w:rsidR="00270CCA">
        <w:instrText>ADDIN CSL_CITATION { "citationItems" : [ { "id" : "ITEM-1", "itemData" : { "DOI" : "10.1093/bioinformatics/btp324", "ISSN" : "1367-4811", "PMID" : "19451168", "abstract" : "MOTIVATION: The enormous amount of short reads generated by the new DNA sequencing technologies call for the development of fast and accurate read alignment programs. A first generation of hash table-based methods has been developed, including MAQ, which is accurate, feature rich and fast enough to align short reads from a single individual. However, MAQ does not support gapped alignment for single-end reads, which makes it unsuitable for alignment of longer reads where indels may occur frequently. The speed of MAQ is also a concern when the alignment is scaled up to the resequencing of hundreds of individuals. RESULTS: We implemented Burrows-Wheeler Alignment tool (BWA), a new read alignment package that is based on backward search with Burrows-Wheeler Transform (BWT), to efficiently align short sequencing reads against a large reference sequence such as the human genome, allowing mismatches and gaps. BWA supports both base space reads, e.g. from Illumina sequencing machines, and color space reads from AB SOLiD machines. Evaluations on both simulated and real data suggest that BWA is approximately 10-20x faster than MAQ, while achieving similar accuracy. In addition, BWA outputs alignment in the new standard SAM (Sequence Alignment/Map) format. Variant calling and other downstream analyses after the alignment can be achieved with the open source SAMtools software package. AVAILABILITY: http://maq.sourceforge.net.", "author" : [ { "dropping-particle" : "", "family" : "Li", "given" : "Heng", "non-dropping-particle" : "", "parse-names" : false, "suffix" : "" }, { "dropping-particle" : "", "family" : "Durbin", "given" : "Richard", "non-dropping-particle" : "", "parse-names" : false, "suffix" : "" } ], "container-title" : "Bioinformatics (Oxford, England)", "id" : "ITEM-1", "issue" : "14", "issued" : { "date-parts" : [ [ "2009", "7", "15" ] ] }, "page" : "1754-60", "title" : "Fast and accurate short read alignment with Burrows-Wheeler transform.", "type" : "article-journal", "volume" : "25" }, "uris" : [ "http://www.mendeley.com/documents/?uuid=aae0712a-54a9-4cef-8f45-c7a8ee2eb632" ] } ], "mendeley" : { "formattedCitation" : "(1)", "plainTextFormattedCitation" : "(1)", "previouslyFormattedCitation" : "&lt;sup&gt;1&lt;/sup&gt;" }, "properties" : { "noteIndex" : 0 }, "schema" : "https://github.com/citation-style-language/schema/raw/master/csl-citation.json" }</w:instrText>
      </w:r>
      <w:r w:rsidRPr="00BD7EB4">
        <w:fldChar w:fldCharType="separate"/>
      </w:r>
      <w:r w:rsidR="00270CCA" w:rsidRPr="00270CCA">
        <w:rPr>
          <w:noProof/>
        </w:rPr>
        <w:t>(1)</w:t>
      </w:r>
      <w:r w:rsidRPr="00BD7EB4">
        <w:fldChar w:fldCharType="end"/>
      </w:r>
      <w:r w:rsidRPr="00BD7EB4">
        <w:t xml:space="preserve"> against the UCSC hg19 reference genome.</w:t>
      </w:r>
      <w:r w:rsidRPr="00BD7EB4">
        <w:rPr>
          <w:rFonts w:cs="ArialMT"/>
        </w:rPr>
        <w:t xml:space="preserve"> </w:t>
      </w:r>
      <w:r w:rsidRPr="00BD7EB4">
        <w:t>Variant calling and quality-based filtering for all samples were done using GATK</w:t>
      </w:r>
      <w:r w:rsidR="00270CCA">
        <w:t xml:space="preserve"> </w:t>
      </w:r>
      <w:r w:rsidRPr="00BD7EB4">
        <w:fldChar w:fldCharType="begin" w:fldLock="1"/>
      </w:r>
      <w:r w:rsidR="00270CCA">
        <w:instrText>ADDIN CSL_CITATION { "citationItems" : [ { "id" : "ITEM-1", "itemData" : { "DOI" : "10.1101/gr.107524.110", "ISSN" : "1549-5469", "PMID" : "20644199", "abstract" : "Next-generation DNA sequencing (NGS) projects, such as the 1000 Genomes Project, are already revolutionizing our understanding of genetic variation among individuals. However, the massive data sets generated by NGS--the 1000 Genome pilot alone includes nearly five terabases--make writing feature-rich, efficient, and robust analysis tools difficult for even computationally sophisticated individuals. Indeed, many professionals are limited in the scope and the ease with which they can answer scientific questions by the complexity of accessing and manipulating the data produced by these machines. Here, we discuss our Genome Analysis Toolkit (GATK), a structured programming framework designed to ease the development of efficient and robust analysis tools for next-generation DNA sequencers using the functional programming philosophy of MapReduce. The GATK provides a small but rich set of data access patterns that encompass the majority of analysis tool needs. Separating specific analysis calculations from common data management infrastructure enables us to optimize the GATK framework for correctness, stability, and CPU and memory efficiency and to enable distributed and shared memory parallelization. We highlight the capabilities of the GATK by describing the implementation and application of robust, scale-tolerant tools like coverage calculators and single nucleotide polymorphism (SNP) calling. We conclude that the GATK programming framework enables developers and analysts to quickly and easily write efficient and robust NGS tools, many of which have already been incorporated into large-scale sequencing projects like the 1000 Genomes Project and The Cancer Genome Atlas.", "author" : [ { "dropping-particle" : "", "family" : "McKenna", "given" : "Aaron", "non-dropping-particle" : "", "parse-names" : false, "suffix" : "" }, { "dropping-particle" : "", "family" : "Hanna", "given" : "Matthew", "non-dropping-particle" : "", "parse-names" : false, "suffix" : "" }, { "dropping-particle" : "", "family" : "Banks", "given" : "Eric", "non-dropping-particle" : "", "parse-names" : false, "suffix" : "" }, { "dropping-particle" : "", "family" : "Sivachenko", "given" : "Andrey", "non-dropping-particle" : "", "parse-names" : false, "suffix" : "" }, { "dropping-particle" : "", "family" : "Cibulskis", "given" : "Kristian", "non-dropping-particle" : "", "parse-names" : false, "suffix" : "" }, { "dropping-particle" : "", "family" : "Kernytsky", "given" : "Andrew", "non-dropping-particle" : "", "parse-names" : false, "suffix" : "" }, { "dropping-particle" : "", "family" : "Garimella", "given" : "Kiran", "non-dropping-particle" : "", "parse-names" : false, "suffix" : "" }, { "dropping-particle" : "", "family" : "Altshuler", "given" : "David", "non-dropping-particle" : "", "parse-names" : false, "suffix" : "" }, { "dropping-particle" : "", "family" : "Gabriel", "given" : "Stacey", "non-dropping-particle" : "", "parse-names" : false, "suffix" : "" }, { "dropping-particle" : "", "family" : "Daly", "given" : "Mark", "non-dropping-particle" : "", "parse-names" : false, "suffix" : "" }, { "dropping-particle" : "", "family" : "DePristo", "given" : "Mark a", "non-dropping-particle" : "", "parse-names" : false, "suffix" : "" } ], "container-title" : "Genome research", "id" : "ITEM-1", "issue" : "9", "issued" : { "date-parts" : [ [ "2010", "9" ] ] }, "page" : "1297-303", "title" : "The Genome Analysis Toolkit: a MapReduce framework for analyzing next-generation DNA sequencing data.", "type" : "article-journal", "volume" : "20" }, "uris" : [ "http://www.mendeley.com/documents/?uuid=efbc6543-182e-47ba-89ef-3b20a81b7395" ] } ], "mendeley" : { "formattedCitation" : "(2)", "plainTextFormattedCitation" : "(2)", "previouslyFormattedCitation" : "&lt;sup&gt;2&lt;/sup&gt;" }, "properties" : { "noteIndex" : 0 }, "schema" : "https://github.com/citation-style-language/schema/raw/master/csl-citation.json" }</w:instrText>
      </w:r>
      <w:r w:rsidRPr="00BD7EB4">
        <w:fldChar w:fldCharType="separate"/>
      </w:r>
      <w:r w:rsidR="00270CCA" w:rsidRPr="00270CCA">
        <w:rPr>
          <w:noProof/>
        </w:rPr>
        <w:t>(2)</w:t>
      </w:r>
      <w:r w:rsidRPr="00BD7EB4">
        <w:fldChar w:fldCharType="end"/>
      </w:r>
      <w:r w:rsidRPr="00BD7EB4">
        <w:t>. Variants were annotated with ANNOVAR</w:t>
      </w:r>
      <w:r w:rsidRPr="00BD7EB4">
        <w:fldChar w:fldCharType="begin" w:fldLock="1"/>
      </w:r>
      <w:r w:rsidR="00270CCA">
        <w:instrText>ADDIN CSL_CITATION { "citationItems" : [ { "id" : "ITEM-1", "itemData" : { "DOI" : "10.1093/nar/gkq603", "ISSN" : "1362-4962", "PMID" : "20601685", "abstract" : "High-throughput sequencing platforms are generating massive amounts of genetic variation data for diverse genomes, but it remains a challenge to pinpoint a small subset of functionally important variants. To fill these unmet needs, we developed the ANNOVAR tool to annotate single nucleotide variants (SNVs) and insertions/deletions, such as examining their functional consequence on genes, inferring cytogenetic bands, reporting functional importance scores, finding variants in conserved regions, or identifying variants reported in the 1000 Genomes Project and dbSNP. ANNOVAR can utilize annotation databases from the UCSC Genome Browser or any annotation data set conforming to Generic Feature Format version 3 (GFF3). We also illustrate a 'variants reduction' protocol on 4.7 million SNVs and indels from a human genome, including two causal mutations for Miller syndrome, a rare recessive disease. Through a stepwise procedure, we excluded variants that are unlikely to be causal, and identified 20 candidate genes including the causal gene. Using a desktop computer, ANNOVAR requires \u223c4 min to perform gene-based annotation and \u223c15 min to perform variants reduction on 4.7 million variants, making it practical to handle hundreds of human genomes in a day. ANNOVAR is freely available at http://www.openbioinformatics.org/annovar/.", "author" : [ { "dropping-particle" : "", "family" : "Wang", "given" : "Kai", "non-dropping-particle" : "", "parse-names" : false, "suffix" : "" }, { "dropping-particle" : "", "family" : "Li", "given" : "Mingyao", "non-dropping-particle" : "", "parse-names" : false, "suffix" : "" }, { "dropping-particle" : "", "family" : "Hakonarson", "given" : "Hakon", "non-dropping-particle" : "", "parse-names" : false, "suffix" : "" } ], "container-title" : "Nucleic acids research", "id" : "ITEM-1", "issue" : "16", "issued" : { "date-parts" : [ [ "2010", "9" ] ] }, "page" : "e164", "title" : "ANNOVAR: functional annotation of genetic variants from high-throughput sequencing data.", "type" : "article-journal", "volume" : "38" }, "uris" : [ "http://www.mendeley.com/documents/?uuid=2461a9e5-44be-4b92-a896-12364a67d716" ] } ], "mendeley" : { "formattedCitation" : "(3)", "plainTextFormattedCitation" : "(3)", "previouslyFormattedCitation" : "&lt;sup&gt;3&lt;/sup&gt;" }, "properties" : { "noteIndex" : 0 }, "schema" : "https://github.com/citation-style-language/schema/raw/master/csl-citation.json" }</w:instrText>
      </w:r>
      <w:r w:rsidRPr="00BD7EB4">
        <w:fldChar w:fldCharType="separate"/>
      </w:r>
      <w:r w:rsidR="00270CCA" w:rsidRPr="00270CCA">
        <w:rPr>
          <w:noProof/>
        </w:rPr>
        <w:t>(3)</w:t>
      </w:r>
      <w:r w:rsidRPr="00BD7EB4">
        <w:fldChar w:fldCharType="end"/>
      </w:r>
      <w:r w:rsidRPr="00BD7EB4">
        <w:t xml:space="preserve"> with allele frequency data from E</w:t>
      </w:r>
      <w:r>
        <w:t xml:space="preserve">xome </w:t>
      </w:r>
      <w:r w:rsidRPr="00BD7EB4">
        <w:t>V</w:t>
      </w:r>
      <w:r>
        <w:t xml:space="preserve">ariant </w:t>
      </w:r>
      <w:r w:rsidRPr="00BD7EB4">
        <w:t>S</w:t>
      </w:r>
      <w:r>
        <w:t>erver</w:t>
      </w:r>
      <w:r w:rsidRPr="00BD7EB4">
        <w:t xml:space="preserve"> </w:t>
      </w:r>
      <w:r>
        <w:t>(</w:t>
      </w:r>
      <w:r w:rsidRPr="00C51930">
        <w:t>http://evs.gs.washington.edu/EVS/</w:t>
      </w:r>
      <w:r>
        <w:t xml:space="preserve">) </w:t>
      </w:r>
      <w:r w:rsidRPr="00BD7EB4">
        <w:t>and 1000</w:t>
      </w:r>
      <w:r>
        <w:t xml:space="preserve"> </w:t>
      </w:r>
      <w:r w:rsidRPr="00BD7EB4">
        <w:t>G</w:t>
      </w:r>
      <w:r>
        <w:t>enomes (</w:t>
      </w:r>
      <w:hyperlink r:id="rId5" w:history="1">
        <w:r w:rsidRPr="00905890">
          <w:rPr>
            <w:rStyle w:val="Hyperlink"/>
          </w:rPr>
          <w:t>http://browser.1000genomes.org/</w:t>
        </w:r>
      </w:hyperlink>
      <w:r>
        <w:t>)</w:t>
      </w:r>
      <w:r w:rsidR="00240741">
        <w:t xml:space="preserve">, </w:t>
      </w:r>
      <w:r w:rsidR="00240741">
        <w:rPr>
          <w:lang w:val="en-US"/>
        </w:rPr>
        <w:t xml:space="preserve">well as </w:t>
      </w:r>
      <w:r w:rsidR="00240741">
        <w:t xml:space="preserve">with predicted impact of variants from the following </w:t>
      </w:r>
      <w:r w:rsidR="00240741">
        <w:rPr>
          <w:i/>
        </w:rPr>
        <w:t xml:space="preserve">in </w:t>
      </w:r>
      <w:proofErr w:type="spellStart"/>
      <w:r w:rsidR="00240741">
        <w:rPr>
          <w:i/>
        </w:rPr>
        <w:t>silico</w:t>
      </w:r>
      <w:proofErr w:type="spellEnd"/>
      <w:r w:rsidR="00240741">
        <w:rPr>
          <w:i/>
        </w:rPr>
        <w:t xml:space="preserve"> </w:t>
      </w:r>
      <w:r w:rsidR="00240741">
        <w:t>tools: SIFT</w:t>
      </w:r>
      <w:r w:rsidR="00240741">
        <w:fldChar w:fldCharType="begin" w:fldLock="1"/>
      </w:r>
      <w:r w:rsidR="00270CCA">
        <w:instrText>ADDIN CSL_CITATION { "citationItems" : [ { "id" : "ITEM-1", "itemData" : { "DOI" : "10.1101/gr.176601", "ISSN" : "1088-9051", "PMID" : "11337480", "abstract" : "Many missense substitutions are identified in single nucleotide polymorphism (SNP) data and large-scale random mutagenesis projects. Each amino acid substitution potentially affects protein function. We have constructed a tool that uses sequence homology to predict whether a substitution affects protein function. SIFT, which sorts intolerant from tolerant substitutions, classifies substitutions as tolerated or deleterious. A higher proportion of substitutions predicted to be deleterious by SIFT gives an affected phenotype than substitutions predicted to be deleterious by substitution scoring matrices in three test cases. Using SIFT before mutagenesis studies could reduce the number of functional assays required and yield a higher proportion of affected phenotypes. may be used to identify plausible disease candidates among the SNPs that cause missense substitutions.", "author" : [ { "dropping-particle" : "", "family" : "Ng", "given" : "Pauline C", "non-dropping-particle" : "", "parse-names" : false, "suffix" : "" }, { "dropping-particle" : "", "family" : "Henikoff", "given" : "Steven", "non-dropping-particle" : "", "parse-names" : false, "suffix" : "" } ], "container-title" : "Genome research", "id" : "ITEM-1", "issue" : "5", "issued" : { "date-parts" : [ [ "2001", "5" ] ] }, "page" : "863-74", "title" : "Predicting deleterious amino acid substitutions.", "type" : "article-journal", "volume" : "11" }, "uris" : [ "http://www.mendeley.com/documents/?uuid=beace1e4-1cd2-4d52-b733-4d1312e24063", "http://www.mendeley.com/documents/?uuid=62d7a9f9-afec-41b5-bf60-08369582ae80" ] } ], "mendeley" : { "formattedCitation" : "(4)", "plainTextFormattedCitation" : "(4)", "previouslyFormattedCitation" : "&lt;sup&gt;4&lt;/sup&gt;" }, "properties" : { "noteIndex" : 0 }, "schema" : "https://github.com/citation-style-language/schema/raw/master/csl-citation.json" }</w:instrText>
      </w:r>
      <w:r w:rsidR="00240741">
        <w:fldChar w:fldCharType="separate"/>
      </w:r>
      <w:r w:rsidR="00270CCA" w:rsidRPr="00270CCA">
        <w:rPr>
          <w:noProof/>
        </w:rPr>
        <w:t>(4)</w:t>
      </w:r>
      <w:r w:rsidR="00240741">
        <w:fldChar w:fldCharType="end"/>
      </w:r>
      <w:r w:rsidR="00240741">
        <w:t xml:space="preserve">, </w:t>
      </w:r>
      <w:proofErr w:type="spellStart"/>
      <w:r w:rsidR="00240741">
        <w:t>PhyloP</w:t>
      </w:r>
      <w:proofErr w:type="spellEnd"/>
      <w:r w:rsidR="00240741">
        <w:fldChar w:fldCharType="begin" w:fldLock="1"/>
      </w:r>
      <w:r w:rsidR="00270CCA">
        <w:instrText>ADDIN CSL_CITATION { "citationItems" : [ { "id" : "ITEM-1", "itemData" : { "DOI" : "10.1101/gr.097857.109", "ISSN" : "1549-5469", "PMID" : "19858363", "abstract" : "Methods for detecting nucleotide substitution rates that are faster or slower than expected under neutral drift are widely used to identify candidate functional elements in genomic sequences. However, most existing methods consider either reductions (conservation) or increases (acceleration) in rate but not both, or assume that selection acts uniformly across the branches of a phylogeny. Here we examine the more general problem of detecting departures from the neutral rate of substitution in either direction, possibly in a clade-specific manner. We consider four statistical, phylogenetic tests for addressing this problem: a likelihood ratio test, a score test, a test based on exact distributions of numbers of substitutions, and the genomic evolutionary rate profiling (GERP) test. All four tests have been implemented in a freely available program called phyloP. Based on extensive simulation experiments, these tests are remarkably similar in statistical power. With 36 mammalian species, they all appear to be capable of fairly good sensitivity with low false-positive rates in detecting strong selection at individual nucleotides, moderate selection in 3-bp elements, and weaker or clade-specific selection in longer elements. By applying phyloP to mammalian multiple alignments from the ENCODE project, we shed light on patterns of conservation/acceleration in known and predicted functional elements, approximate fractions of sites subject to constraint, and differences in clade-specific selection in the primate and glires clades. We also describe new \"Conservation\" tracks in the UCSC Genome Browser that display both phyloP and phastCons scores for genome-wide alignments of 44 vertebrate species.", "author" : [ { "dropping-particle" : "", "family" : "Pollard", "given" : "Katherine S", "non-dropping-particle" : "", "parse-names" : false, "suffix" : "" }, { "dropping-particle" : "", "family" : "Hubisz", "given" : "Melissa J", "non-dropping-particle" : "", "parse-names" : false, "suffix" : "" }, { "dropping-particle" : "", "family" : "Rosenbloom", "given" : "Kate R", "non-dropping-particle" : "", "parse-names" : false, "suffix" : "" }, { "dropping-particle" : "", "family" : "Siepel", "given" : "Adam", "non-dropping-particle" : "", "parse-names" : false, "suffix" : "" } ], "container-title" : "Genome research", "id" : "ITEM-1", "issue" : "1", "issued" : { "date-parts" : [ [ "2010", "1" ] ] }, "page" : "110-21", "title" : "Detection of nonneutral substitution rates on mammalian phylogenies.", "type" : "article-journal", "volume" : "20" }, "uris" : [ "http://www.mendeley.com/documents/?uuid=47413a91-2327-4542-a045-bf430c1dcf45", "http://www.mendeley.com/documents/?uuid=347b89b3-dd6c-4dda-8594-f08fcf1acfb5" ] } ], "mendeley" : { "formattedCitation" : "(5)", "plainTextFormattedCitation" : "(5)", "previouslyFormattedCitation" : "&lt;sup&gt;5&lt;/sup&gt;" }, "properties" : { "noteIndex" : 0 }, "schema" : "https://github.com/citation-style-language/schema/raw/master/csl-citation.json" }</w:instrText>
      </w:r>
      <w:r w:rsidR="00240741">
        <w:fldChar w:fldCharType="separate"/>
      </w:r>
      <w:r w:rsidR="00270CCA" w:rsidRPr="00270CCA">
        <w:rPr>
          <w:noProof/>
        </w:rPr>
        <w:t>(5)</w:t>
      </w:r>
      <w:r w:rsidR="00240741">
        <w:fldChar w:fldCharType="end"/>
      </w:r>
      <w:r w:rsidR="00240741">
        <w:t>, PolyPhen-2</w:t>
      </w:r>
      <w:r w:rsidR="00240741">
        <w:fldChar w:fldCharType="begin" w:fldLock="1"/>
      </w:r>
      <w:r w:rsidR="00270CCA">
        <w:instrText>ADDIN CSL_CITATION { "citationItems" : [ { "id" : "ITEM-1", "itemData" : { "DOI" : "10.1038/nmeth0410-248", "ISSN" : "1548-7105", "PMID" : "20354512", "author" : [ { "dropping-particle" : "", "family" : "Adzhubei", "given" : "Ivan a", "non-dropping-particle" : "", "parse-names" : false, "suffix" : "" }, { "dropping-particle" : "", "family" : "Schmidt", "given" : "Steffen", "non-dropping-particle" : "", "parse-names" : false, "suffix" : "" }, { "dropping-particle" : "", "family" : "Peshkin", "given" : "Leonid", "non-dropping-particle" : "", "parse-names" : false, "suffix" : "" }, { "dropping-particle" : "", "family" : "Ramensky", "given" : "Vasily E", "non-dropping-particle" : "", "parse-names" : false, "suffix" : "" }, { "dropping-particle" : "", "family" : "Gerasimova", "given" : "Anna", "non-dropping-particle" : "", "parse-names" : false, "suffix" : "" }, { "dropping-particle" : "", "family" : "Bork", "given" : "Peer", "non-dropping-particle" : "", "parse-names" : false, "suffix" : "" }, { "dropping-particle" : "", "family" : "Kondrashov", "given" : "Alexey S", "non-dropping-particle" : "", "parse-names" : false, "suffix" : "" }, { "dropping-particle" : "", "family" : "Sunyaev", "given" : "Shamil R", "non-dropping-particle" : "", "parse-names" : false, "suffix" : "" } ], "container-title" : "Nature methods", "id" : "ITEM-1", "issue" : "4", "issued" : { "date-parts" : [ [ "2010", "4" ] ] }, "page" : "248-9", "publisher" : "Nature Publishing Group", "title" : "A method and server for predicting damaging missense mutations.", "type" : "article-journal", "volume" : "7" }, "uris" : [ "http://www.mendeley.com/documents/?uuid=ba5a7132-fdb8-4389-be78-eaccd46a280c", "http://www.mendeley.com/documents/?uuid=2729293a-04bf-4aa1-a261-b29630cf7463" ] } ], "mendeley" : { "formattedCitation" : "(6)", "plainTextFormattedCitation" : "(6)", "previouslyFormattedCitation" : "&lt;sup&gt;6&lt;/sup&gt;" }, "properties" : { "noteIndex" : 0 }, "schema" : "https://github.com/citation-style-language/schema/raw/master/csl-citation.json" }</w:instrText>
      </w:r>
      <w:r w:rsidR="00240741">
        <w:fldChar w:fldCharType="separate"/>
      </w:r>
      <w:r w:rsidR="00270CCA" w:rsidRPr="00270CCA">
        <w:rPr>
          <w:noProof/>
        </w:rPr>
        <w:t>(</w:t>
      </w:r>
      <w:bookmarkStart w:id="0" w:name="_GoBack"/>
      <w:bookmarkEnd w:id="0"/>
      <w:r w:rsidR="00270CCA" w:rsidRPr="00270CCA">
        <w:rPr>
          <w:noProof/>
        </w:rPr>
        <w:t>6)</w:t>
      </w:r>
      <w:r w:rsidR="00240741">
        <w:fldChar w:fldCharType="end"/>
      </w:r>
      <w:r w:rsidR="00240741">
        <w:t>, LRT</w:t>
      </w:r>
      <w:r w:rsidR="00240741">
        <w:fldChar w:fldCharType="begin" w:fldLock="1"/>
      </w:r>
      <w:r w:rsidR="00270CCA">
        <w:instrText>ADDIN CSL_CITATION { "citationItems" : [ { "id" : "ITEM-1", "itemData" : { "DOI" : "10.1101/gr.092619.109", "ISSN" : "1549-5469", "PMID" : "19602639", "abstract" : "Each human carries a large number of deleterious mutations. Together, these mutations make a significant contribution to human disease. Identification of deleterious mutations within individual genome sequences could substantially impact an individual's health through personalized prevention and treatment of disease. Yet, distinguishing deleterious mutations from the massive number of nonfunctional variants that occur within a single genome is a considerable challenge. Using a comparative genomics data set of 32 vertebrate species we show that a likelihood ratio test (LRT) can accurately identify a subset of deleterious mutations that disrupt highly conserved amino acids within protein-coding sequences, which are likely to be unconditionally deleterious. The LRT is also able to identify known human disease alleles and performs as well as two commonly used heuristic methods, SIFT and PolyPhen. Application of the LRT to three human genomes reveals 796-837 deleterious mutations per individual, approximately 40% of which are estimated to be at &lt;5% allele frequency. However, the overlap between predictions made by the LRT, SIFT, and PolyPhen, is low; 76% of predictions are unique to one of the three methods, and only 5% of predictions are shared across all three methods. Our results indicate that only a small subset of deleterious mutations can be reliably identified, but that this subset provides the raw material for personalized medicine.", "author" : [ { "dropping-particle" : "", "family" : "Chun", "given" : "Sung", "non-dropping-particle" : "", "parse-names" : false, "suffix" : "" }, { "dropping-particle" : "", "family" : "Fay", "given" : "Justin C", "non-dropping-particle" : "", "parse-names" : false, "suffix" : "" } ], "container-title" : "Genome research", "id" : "ITEM-1", "issue" : "9", "issued" : { "date-parts" : [ [ "2009", "9" ] ] }, "page" : "1553-61", "title" : "Identification of deleterious mutations within three human genomes.", "type" : "article-journal", "volume" : "19" }, "uris" : [ "http://www.mendeley.com/documents/?uuid=cb1ed739-f24f-45b7-a672-825b80389ccf", "http://www.mendeley.com/documents/?uuid=f3bab250-916c-4874-9982-e8875a8fba8b" ] } ], "mendeley" : { "formattedCitation" : "(7)", "plainTextFormattedCitation" : "(7)", "previouslyFormattedCitation" : "&lt;sup&gt;7&lt;/sup&gt;" }, "properties" : { "noteIndex" : 0 }, "schema" : "https://github.com/citation-style-language/schema/raw/master/csl-citation.json" }</w:instrText>
      </w:r>
      <w:r w:rsidR="00240741">
        <w:fldChar w:fldCharType="separate"/>
      </w:r>
      <w:r w:rsidR="00270CCA" w:rsidRPr="00270CCA">
        <w:rPr>
          <w:noProof/>
        </w:rPr>
        <w:t>(7)</w:t>
      </w:r>
      <w:r w:rsidR="00240741">
        <w:fldChar w:fldCharType="end"/>
      </w:r>
      <w:r w:rsidR="00240741">
        <w:t xml:space="preserve">, </w:t>
      </w:r>
      <w:proofErr w:type="spellStart"/>
      <w:r w:rsidR="00240741">
        <w:t>MutationTaster</w:t>
      </w:r>
      <w:proofErr w:type="spellEnd"/>
      <w:r w:rsidR="00240741">
        <w:fldChar w:fldCharType="begin" w:fldLock="1"/>
      </w:r>
      <w:r w:rsidR="00270CCA">
        <w:instrText>ADDIN CSL_CITATION { "citationItems" : [ { "id" : "ITEM-1", "itemData" : { "DOI" : "10.1038/nmeth0810-575", "ISSN" : "1548-7105", "PMID" : "20676075", "author" : [ { "dropping-particle" : "", "family" : "Schwarz", "given" : "Jana Marie", "non-dropping-particle" : "", "parse-names" : false, "suffix" : "" }, { "dropping-particle" : "", "family" : "R\u00f6delsperger", "given" : "Christian", "non-dropping-particle" : "", "parse-names" : false, "suffix" : "" }, { "dropping-particle" : "", "family" : "Schuelke", "given" : "Markus", "non-dropping-particle" : "", "parse-names" : false, "suffix" : "" }, { "dropping-particle" : "", "family" : "Seelow", "given" : "Dominik", "non-dropping-particle" : "", "parse-names" : false, "suffix" : "" } ], "container-title" : "Nature methods", "id" : "ITEM-1", "issue" : "8", "issued" : { "date-parts" : [ [ "2010", "8" ] ] }, "page" : "575-6", "publisher" : "Nature Publishing Group", "title" : "MutationTaster evaluates disease-causing potential of sequence alterations.", "type" : "article-journal", "volume" : "7" }, "uris" : [ "http://www.mendeley.com/documents/?uuid=7afa195f-ae99-4d6c-b727-edcea725752e", "http://www.mendeley.com/documents/?uuid=89b9be1c-280f-449b-ae7c-bac452e0d1d3" ] } ], "mendeley" : { "formattedCitation" : "(8)", "plainTextFormattedCitation" : "(8)", "previouslyFormattedCitation" : "&lt;sup&gt;8&lt;/sup&gt;" }, "properties" : { "noteIndex" : 0 }, "schema" : "https://github.com/citation-style-language/schema/raw/master/csl-citation.json" }</w:instrText>
      </w:r>
      <w:r w:rsidR="00240741">
        <w:fldChar w:fldCharType="separate"/>
      </w:r>
      <w:r w:rsidR="00270CCA" w:rsidRPr="00270CCA">
        <w:rPr>
          <w:noProof/>
        </w:rPr>
        <w:t>(8)</w:t>
      </w:r>
      <w:r w:rsidR="00240741">
        <w:fldChar w:fldCharType="end"/>
      </w:r>
      <w:r w:rsidR="00240741">
        <w:t xml:space="preserve"> and GERP++</w:t>
      </w:r>
      <w:r w:rsidR="00240741">
        <w:fldChar w:fldCharType="begin" w:fldLock="1"/>
      </w:r>
      <w:r w:rsidR="00270CCA">
        <w:instrText>ADDIN CSL_CITATION { "citationItems" : [ { "id" : "ITEM-1", "itemData" : { "DOI" : "10.1371/journal.pcbi.1001025", "ISSN" : "1553-7358", "PMID" : "21152010", "abstract" : "Computational efforts to identify functional elements within genomes leverage comparative sequence information by looking for regions that exhibit evidence of selective constraint. One way of detecting constrained elements is to follow a bottom-up approach by computing constraint scores for individual positions of a multiple alignment and then defining constrained elements as segments of contiguous, highly scoring nucleotide positions. Here we present GERP++, a new tool that uses maximum likelihood evolutionary rate estimation for position-specific scoring and, in contrast to previous bottom-up methods, a novel dynamic programming approach to subsequently define constrained elements. GERP++ evaluates a richer set of candidate element breakpoints and ranks them based on statistical significance, eliminating the need for biased heuristic extension techniques. Using GERP++ we identify over 1.3 million constrained elements spanning over 7% of the human genome. We predict a higher fraction than earlier estimates largely due to the annotation of longer constrained elements, which improves one to one correspondence between predicted elements with known functional sequences. GERP++ is an efficient and effective tool to provide both nucleotide- and element-level constraint scores within deep multiple sequence alignments.", "author" : [ { "dropping-particle" : "V", "family" : "Davydov", "given" : "Eugene", "non-dropping-particle" : "", "parse-names" : false, "suffix" : "" }, { "dropping-particle" : "", "family" : "Goode", "given" : "David L", "non-dropping-particle" : "", "parse-names" : false, "suffix" : "" }, { "dropping-particle" : "", "family" : "Sirota", "given" : "Marina", "non-dropping-particle" : "", "parse-names" : false, "suffix" : "" }, { "dropping-particle" : "", "family" : "Cooper", "given" : "Gregory M", "non-dropping-particle" : "", "parse-names" : false, "suffix" : "" }, { "dropping-particle" : "", "family" : "Sidow", "given" : "Arend", "non-dropping-particle" : "", "parse-names" : false, "suffix" : "" }, { "dropping-particle" : "", "family" : "Batzoglou", "given" : "Serafim", "non-dropping-particle" : "", "parse-names" : false, "suffix" : "" } ], "container-title" : "PLoS computational biology", "id" : "ITEM-1", "issue" : "12", "issued" : { "date-parts" : [ [ "2010", "1" ] ] }, "page" : "e1001025", "title" : "Identifying a high fraction of the human genome to be under selective constraint using GERP++.", "type" : "article-journal", "volume" : "6" }, "uris" : [ "http://www.mendeley.com/documents/?uuid=e72e6699-b64e-42c8-a8de-854c6eace57b", "http://www.mendeley.com/documents/?uuid=22fc42c4-d82b-4206-8d26-8ad2705e9dea" ] } ], "mendeley" : { "formattedCitation" : "(9)", "plainTextFormattedCitation" : "(9)", "previouslyFormattedCitation" : "&lt;sup&gt;9&lt;/sup&gt;" }, "properties" : { "noteIndex" : 0 }, "schema" : "https://github.com/citation-style-language/schema/raw/master/csl-citation.json" }</w:instrText>
      </w:r>
      <w:r w:rsidR="00240741">
        <w:fldChar w:fldCharType="separate"/>
      </w:r>
      <w:r w:rsidR="00270CCA" w:rsidRPr="00270CCA">
        <w:rPr>
          <w:noProof/>
        </w:rPr>
        <w:t>(9)</w:t>
      </w:r>
      <w:r w:rsidR="00240741">
        <w:fldChar w:fldCharType="end"/>
      </w:r>
      <w:r w:rsidR="00CD5C74">
        <w:t>.</w:t>
      </w:r>
    </w:p>
    <w:p w:rsidR="00DE5A8F" w:rsidRPr="00DE5A8F" w:rsidRDefault="00DE5A8F" w:rsidP="00DE5A8F">
      <w:pPr>
        <w:spacing w:line="480" w:lineRule="auto"/>
        <w:jc w:val="both"/>
        <w:rPr>
          <w:b/>
        </w:rPr>
      </w:pPr>
      <w:r w:rsidRPr="00DE5A8F">
        <w:rPr>
          <w:b/>
        </w:rPr>
        <w:t>REFERENCES</w:t>
      </w:r>
    </w:p>
    <w:p w:rsidR="00270CCA" w:rsidRPr="00270CCA" w:rsidRDefault="00DE5A8F" w:rsidP="00270CCA">
      <w:pPr>
        <w:widowControl w:val="0"/>
        <w:autoSpaceDE w:val="0"/>
        <w:autoSpaceDN w:val="0"/>
        <w:adjustRightInd w:val="0"/>
        <w:spacing w:before="100" w:after="100" w:line="240" w:lineRule="auto"/>
        <w:ind w:left="480" w:hanging="480"/>
        <w:rPr>
          <w:rFonts w:ascii="Calibri" w:hAnsi="Calibri" w:cs="Times New Roman"/>
          <w:noProof/>
          <w:szCs w:val="24"/>
        </w:rPr>
      </w:pPr>
      <w:r>
        <w:fldChar w:fldCharType="begin" w:fldLock="1"/>
      </w:r>
      <w:r>
        <w:instrText xml:space="preserve">ADDIN Mendeley Bibliography CSL_BIBLIOGRAPHY </w:instrText>
      </w:r>
      <w:r>
        <w:fldChar w:fldCharType="separate"/>
      </w:r>
      <w:r w:rsidR="00270CCA" w:rsidRPr="00270CCA">
        <w:rPr>
          <w:rFonts w:ascii="Calibri" w:hAnsi="Calibri" w:cs="Times New Roman"/>
          <w:noProof/>
          <w:szCs w:val="24"/>
        </w:rPr>
        <w:t xml:space="preserve">1. Li,H. and Durbin,R. (2009) Fast and accurate short read alignment with Burrows-Wheeler transform. </w:t>
      </w:r>
      <w:r w:rsidR="00270CCA" w:rsidRPr="00270CCA">
        <w:rPr>
          <w:rFonts w:ascii="Calibri" w:hAnsi="Calibri" w:cs="Times New Roman"/>
          <w:i/>
          <w:iCs/>
          <w:noProof/>
          <w:szCs w:val="24"/>
        </w:rPr>
        <w:t>Bioinformatics</w:t>
      </w:r>
      <w:r w:rsidR="00270CCA" w:rsidRPr="00270CCA">
        <w:rPr>
          <w:rFonts w:ascii="Calibri" w:hAnsi="Calibri" w:cs="Times New Roman"/>
          <w:noProof/>
          <w:szCs w:val="24"/>
        </w:rPr>
        <w:t xml:space="preserve">, </w:t>
      </w:r>
      <w:r w:rsidR="00270CCA" w:rsidRPr="00270CCA">
        <w:rPr>
          <w:rFonts w:ascii="Calibri" w:hAnsi="Calibri" w:cs="Times New Roman"/>
          <w:b/>
          <w:bCs/>
          <w:noProof/>
          <w:szCs w:val="24"/>
        </w:rPr>
        <w:t>25</w:t>
      </w:r>
      <w:r w:rsidR="00270CCA" w:rsidRPr="00270CCA">
        <w:rPr>
          <w:rFonts w:ascii="Calibri" w:hAnsi="Calibri" w:cs="Times New Roman"/>
          <w:noProof/>
          <w:szCs w:val="24"/>
        </w:rPr>
        <w:t>, 1754–60.</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cs="Times New Roman"/>
          <w:noProof/>
          <w:szCs w:val="24"/>
        </w:rPr>
      </w:pPr>
      <w:r w:rsidRPr="00270CCA">
        <w:rPr>
          <w:rFonts w:ascii="Calibri" w:hAnsi="Calibri" w:cs="Times New Roman"/>
          <w:noProof/>
          <w:szCs w:val="24"/>
        </w:rPr>
        <w:t xml:space="preserve">2. McKenna,A., Hanna,M., Banks,E., Sivachenko,A., Cibulskis,K., Kernytsky,A., Garimella,K., Altshuler,D., Gabriel,S., Daly,M., </w:t>
      </w:r>
      <w:r w:rsidRPr="00270CCA">
        <w:rPr>
          <w:rFonts w:ascii="Calibri" w:hAnsi="Calibri" w:cs="Times New Roman"/>
          <w:i/>
          <w:iCs/>
          <w:noProof/>
          <w:szCs w:val="24"/>
        </w:rPr>
        <w:t>et al.</w:t>
      </w:r>
      <w:r w:rsidRPr="00270CCA">
        <w:rPr>
          <w:rFonts w:ascii="Calibri" w:hAnsi="Calibri" w:cs="Times New Roman"/>
          <w:noProof/>
          <w:szCs w:val="24"/>
        </w:rPr>
        <w:t xml:space="preserve"> (2010) The Genome Analysis Toolkit: a MapReduce framework for analyzing next-generation DNA sequencing data. </w:t>
      </w:r>
      <w:r w:rsidRPr="00270CCA">
        <w:rPr>
          <w:rFonts w:ascii="Calibri" w:hAnsi="Calibri" w:cs="Times New Roman"/>
          <w:i/>
          <w:iCs/>
          <w:noProof/>
          <w:szCs w:val="24"/>
        </w:rPr>
        <w:t>Genome Res.</w:t>
      </w:r>
      <w:r w:rsidRPr="00270CCA">
        <w:rPr>
          <w:rFonts w:ascii="Calibri" w:hAnsi="Calibri" w:cs="Times New Roman"/>
          <w:noProof/>
          <w:szCs w:val="24"/>
        </w:rPr>
        <w:t xml:space="preserve">, </w:t>
      </w:r>
      <w:r w:rsidRPr="00270CCA">
        <w:rPr>
          <w:rFonts w:ascii="Calibri" w:hAnsi="Calibri" w:cs="Times New Roman"/>
          <w:b/>
          <w:bCs/>
          <w:noProof/>
          <w:szCs w:val="24"/>
        </w:rPr>
        <w:t>20</w:t>
      </w:r>
      <w:r w:rsidRPr="00270CCA">
        <w:rPr>
          <w:rFonts w:ascii="Calibri" w:hAnsi="Calibri" w:cs="Times New Roman"/>
          <w:noProof/>
          <w:szCs w:val="24"/>
        </w:rPr>
        <w:t>, 1297–303.</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cs="Times New Roman"/>
          <w:noProof/>
          <w:szCs w:val="24"/>
        </w:rPr>
      </w:pPr>
      <w:r w:rsidRPr="00270CCA">
        <w:rPr>
          <w:rFonts w:ascii="Calibri" w:hAnsi="Calibri" w:cs="Times New Roman"/>
          <w:noProof/>
          <w:szCs w:val="24"/>
        </w:rPr>
        <w:t xml:space="preserve">3. Wang,K., Li,M. and Hakonarson,H. (2010) ANNOVAR: functional annotation of genetic variants from high-throughput sequencing data. </w:t>
      </w:r>
      <w:r w:rsidRPr="00270CCA">
        <w:rPr>
          <w:rFonts w:ascii="Calibri" w:hAnsi="Calibri" w:cs="Times New Roman"/>
          <w:i/>
          <w:iCs/>
          <w:noProof/>
          <w:szCs w:val="24"/>
        </w:rPr>
        <w:t>Nucleic Acids Res.</w:t>
      </w:r>
      <w:r w:rsidRPr="00270CCA">
        <w:rPr>
          <w:rFonts w:ascii="Calibri" w:hAnsi="Calibri" w:cs="Times New Roman"/>
          <w:noProof/>
          <w:szCs w:val="24"/>
        </w:rPr>
        <w:t xml:space="preserve">, </w:t>
      </w:r>
      <w:r w:rsidRPr="00270CCA">
        <w:rPr>
          <w:rFonts w:ascii="Calibri" w:hAnsi="Calibri" w:cs="Times New Roman"/>
          <w:b/>
          <w:bCs/>
          <w:noProof/>
          <w:szCs w:val="24"/>
        </w:rPr>
        <w:t>38</w:t>
      </w:r>
      <w:r w:rsidRPr="00270CCA">
        <w:rPr>
          <w:rFonts w:ascii="Calibri" w:hAnsi="Calibri" w:cs="Times New Roman"/>
          <w:noProof/>
          <w:szCs w:val="24"/>
        </w:rPr>
        <w:t>, e164.</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cs="Times New Roman"/>
          <w:noProof/>
          <w:szCs w:val="24"/>
        </w:rPr>
      </w:pPr>
      <w:r w:rsidRPr="00270CCA">
        <w:rPr>
          <w:rFonts w:ascii="Calibri" w:hAnsi="Calibri" w:cs="Times New Roman"/>
          <w:noProof/>
          <w:szCs w:val="24"/>
        </w:rPr>
        <w:t xml:space="preserve">4. Ng,P.C. and Henikoff,S. (2001) Predicting deleterious amino acid substitutions. </w:t>
      </w:r>
      <w:r w:rsidRPr="00270CCA">
        <w:rPr>
          <w:rFonts w:ascii="Calibri" w:hAnsi="Calibri" w:cs="Times New Roman"/>
          <w:i/>
          <w:iCs/>
          <w:noProof/>
          <w:szCs w:val="24"/>
        </w:rPr>
        <w:t>Genome Res.</w:t>
      </w:r>
      <w:r w:rsidRPr="00270CCA">
        <w:rPr>
          <w:rFonts w:ascii="Calibri" w:hAnsi="Calibri" w:cs="Times New Roman"/>
          <w:noProof/>
          <w:szCs w:val="24"/>
        </w:rPr>
        <w:t xml:space="preserve">, </w:t>
      </w:r>
      <w:r w:rsidRPr="00270CCA">
        <w:rPr>
          <w:rFonts w:ascii="Calibri" w:hAnsi="Calibri" w:cs="Times New Roman"/>
          <w:b/>
          <w:bCs/>
          <w:noProof/>
          <w:szCs w:val="24"/>
        </w:rPr>
        <w:t>11</w:t>
      </w:r>
      <w:r w:rsidRPr="00270CCA">
        <w:rPr>
          <w:rFonts w:ascii="Calibri" w:hAnsi="Calibri" w:cs="Times New Roman"/>
          <w:noProof/>
          <w:szCs w:val="24"/>
        </w:rPr>
        <w:t>, 863–74.</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cs="Times New Roman"/>
          <w:noProof/>
          <w:szCs w:val="24"/>
        </w:rPr>
      </w:pPr>
      <w:r w:rsidRPr="00270CCA">
        <w:rPr>
          <w:rFonts w:ascii="Calibri" w:hAnsi="Calibri" w:cs="Times New Roman"/>
          <w:noProof/>
          <w:szCs w:val="24"/>
        </w:rPr>
        <w:t xml:space="preserve">5. Pollard,K.S., Hubisz,M.J., Rosenbloom,K.R. and Siepel,A. (2010) Detection of nonneutral substitution rates on mammalian phylogenies. </w:t>
      </w:r>
      <w:r w:rsidRPr="00270CCA">
        <w:rPr>
          <w:rFonts w:ascii="Calibri" w:hAnsi="Calibri" w:cs="Times New Roman"/>
          <w:i/>
          <w:iCs/>
          <w:noProof/>
          <w:szCs w:val="24"/>
        </w:rPr>
        <w:t>Genome Res.</w:t>
      </w:r>
      <w:r w:rsidRPr="00270CCA">
        <w:rPr>
          <w:rFonts w:ascii="Calibri" w:hAnsi="Calibri" w:cs="Times New Roman"/>
          <w:noProof/>
          <w:szCs w:val="24"/>
        </w:rPr>
        <w:t xml:space="preserve">, </w:t>
      </w:r>
      <w:r w:rsidRPr="00270CCA">
        <w:rPr>
          <w:rFonts w:ascii="Calibri" w:hAnsi="Calibri" w:cs="Times New Roman"/>
          <w:b/>
          <w:bCs/>
          <w:noProof/>
          <w:szCs w:val="24"/>
        </w:rPr>
        <w:t>20</w:t>
      </w:r>
      <w:r w:rsidRPr="00270CCA">
        <w:rPr>
          <w:rFonts w:ascii="Calibri" w:hAnsi="Calibri" w:cs="Times New Roman"/>
          <w:noProof/>
          <w:szCs w:val="24"/>
        </w:rPr>
        <w:t>, 110–21.</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cs="Times New Roman"/>
          <w:noProof/>
          <w:szCs w:val="24"/>
        </w:rPr>
      </w:pPr>
      <w:r w:rsidRPr="00270CCA">
        <w:rPr>
          <w:rFonts w:ascii="Calibri" w:hAnsi="Calibri" w:cs="Times New Roman"/>
          <w:noProof/>
          <w:szCs w:val="24"/>
        </w:rPr>
        <w:t xml:space="preserve">6. Adzhubei,I. a, Schmidt,S., Peshkin,L., Ramensky,V.E., Gerasimova,A., Bork,P., Kondrashov,A.S. and Sunyaev,S.R. (2010) A method and server for predicting damaging missense mutations. </w:t>
      </w:r>
      <w:r w:rsidRPr="00270CCA">
        <w:rPr>
          <w:rFonts w:ascii="Calibri" w:hAnsi="Calibri" w:cs="Times New Roman"/>
          <w:i/>
          <w:iCs/>
          <w:noProof/>
          <w:szCs w:val="24"/>
        </w:rPr>
        <w:t>Nat. Methods</w:t>
      </w:r>
      <w:r w:rsidRPr="00270CCA">
        <w:rPr>
          <w:rFonts w:ascii="Calibri" w:hAnsi="Calibri" w:cs="Times New Roman"/>
          <w:noProof/>
          <w:szCs w:val="24"/>
        </w:rPr>
        <w:t xml:space="preserve">, </w:t>
      </w:r>
      <w:r w:rsidRPr="00270CCA">
        <w:rPr>
          <w:rFonts w:ascii="Calibri" w:hAnsi="Calibri" w:cs="Times New Roman"/>
          <w:b/>
          <w:bCs/>
          <w:noProof/>
          <w:szCs w:val="24"/>
        </w:rPr>
        <w:t>7</w:t>
      </w:r>
      <w:r w:rsidRPr="00270CCA">
        <w:rPr>
          <w:rFonts w:ascii="Calibri" w:hAnsi="Calibri" w:cs="Times New Roman"/>
          <w:noProof/>
          <w:szCs w:val="24"/>
        </w:rPr>
        <w:t>, 248–9.</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cs="Times New Roman"/>
          <w:noProof/>
          <w:szCs w:val="24"/>
        </w:rPr>
      </w:pPr>
      <w:r w:rsidRPr="00270CCA">
        <w:rPr>
          <w:rFonts w:ascii="Calibri" w:hAnsi="Calibri" w:cs="Times New Roman"/>
          <w:noProof/>
          <w:szCs w:val="24"/>
        </w:rPr>
        <w:t xml:space="preserve">7. Chun,S. and Fay,J.C. (2009) Identification of deleterious mutations within three human genomes. </w:t>
      </w:r>
      <w:r w:rsidRPr="00270CCA">
        <w:rPr>
          <w:rFonts w:ascii="Calibri" w:hAnsi="Calibri" w:cs="Times New Roman"/>
          <w:i/>
          <w:iCs/>
          <w:noProof/>
          <w:szCs w:val="24"/>
        </w:rPr>
        <w:t>Genome Res.</w:t>
      </w:r>
      <w:r w:rsidRPr="00270CCA">
        <w:rPr>
          <w:rFonts w:ascii="Calibri" w:hAnsi="Calibri" w:cs="Times New Roman"/>
          <w:noProof/>
          <w:szCs w:val="24"/>
        </w:rPr>
        <w:t xml:space="preserve">, </w:t>
      </w:r>
      <w:r w:rsidRPr="00270CCA">
        <w:rPr>
          <w:rFonts w:ascii="Calibri" w:hAnsi="Calibri" w:cs="Times New Roman"/>
          <w:b/>
          <w:bCs/>
          <w:noProof/>
          <w:szCs w:val="24"/>
        </w:rPr>
        <w:t>19</w:t>
      </w:r>
      <w:r w:rsidRPr="00270CCA">
        <w:rPr>
          <w:rFonts w:ascii="Calibri" w:hAnsi="Calibri" w:cs="Times New Roman"/>
          <w:noProof/>
          <w:szCs w:val="24"/>
        </w:rPr>
        <w:t>, 1553–61.</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cs="Times New Roman"/>
          <w:noProof/>
          <w:szCs w:val="24"/>
        </w:rPr>
      </w:pPr>
      <w:r w:rsidRPr="00270CCA">
        <w:rPr>
          <w:rFonts w:ascii="Calibri" w:hAnsi="Calibri" w:cs="Times New Roman"/>
          <w:noProof/>
          <w:szCs w:val="24"/>
        </w:rPr>
        <w:t xml:space="preserve">8. Schwarz,J.M., Rödelsperger,C., Schuelke,M. and Seelow,D. (2010) MutationTaster evaluates disease-causing potential of sequence alterations. </w:t>
      </w:r>
      <w:r w:rsidRPr="00270CCA">
        <w:rPr>
          <w:rFonts w:ascii="Calibri" w:hAnsi="Calibri" w:cs="Times New Roman"/>
          <w:i/>
          <w:iCs/>
          <w:noProof/>
          <w:szCs w:val="24"/>
        </w:rPr>
        <w:t>Nat. Methods</w:t>
      </w:r>
      <w:r w:rsidRPr="00270CCA">
        <w:rPr>
          <w:rFonts w:ascii="Calibri" w:hAnsi="Calibri" w:cs="Times New Roman"/>
          <w:noProof/>
          <w:szCs w:val="24"/>
        </w:rPr>
        <w:t xml:space="preserve">, </w:t>
      </w:r>
      <w:r w:rsidRPr="00270CCA">
        <w:rPr>
          <w:rFonts w:ascii="Calibri" w:hAnsi="Calibri" w:cs="Times New Roman"/>
          <w:b/>
          <w:bCs/>
          <w:noProof/>
          <w:szCs w:val="24"/>
        </w:rPr>
        <w:t>7</w:t>
      </w:r>
      <w:r w:rsidRPr="00270CCA">
        <w:rPr>
          <w:rFonts w:ascii="Calibri" w:hAnsi="Calibri" w:cs="Times New Roman"/>
          <w:noProof/>
          <w:szCs w:val="24"/>
        </w:rPr>
        <w:t>, 575–6.</w:t>
      </w:r>
    </w:p>
    <w:p w:rsidR="00270CCA" w:rsidRPr="00270CCA" w:rsidRDefault="00270CCA" w:rsidP="00270CCA">
      <w:pPr>
        <w:widowControl w:val="0"/>
        <w:autoSpaceDE w:val="0"/>
        <w:autoSpaceDN w:val="0"/>
        <w:adjustRightInd w:val="0"/>
        <w:spacing w:before="100" w:after="100" w:line="240" w:lineRule="auto"/>
        <w:ind w:left="480" w:hanging="480"/>
        <w:rPr>
          <w:rFonts w:ascii="Calibri" w:hAnsi="Calibri"/>
          <w:noProof/>
        </w:rPr>
      </w:pPr>
      <w:r w:rsidRPr="00270CCA">
        <w:rPr>
          <w:rFonts w:ascii="Calibri" w:hAnsi="Calibri" w:cs="Times New Roman"/>
          <w:noProof/>
          <w:szCs w:val="24"/>
        </w:rPr>
        <w:t xml:space="preserve">9. Davydov,E. V, Goode,D.L., Sirota,M., Cooper,G.M., Sidow,A. and Batzoglou,S. (2010) Identifying a high fraction of the human genome to be under selective constraint using GERP++. </w:t>
      </w:r>
      <w:r w:rsidRPr="00270CCA">
        <w:rPr>
          <w:rFonts w:ascii="Calibri" w:hAnsi="Calibri" w:cs="Times New Roman"/>
          <w:i/>
          <w:iCs/>
          <w:noProof/>
          <w:szCs w:val="24"/>
        </w:rPr>
        <w:t>PLoS Comput. Biol.</w:t>
      </w:r>
      <w:r w:rsidRPr="00270CCA">
        <w:rPr>
          <w:rFonts w:ascii="Calibri" w:hAnsi="Calibri" w:cs="Times New Roman"/>
          <w:noProof/>
          <w:szCs w:val="24"/>
        </w:rPr>
        <w:t xml:space="preserve">, </w:t>
      </w:r>
      <w:r w:rsidRPr="00270CCA">
        <w:rPr>
          <w:rFonts w:ascii="Calibri" w:hAnsi="Calibri" w:cs="Times New Roman"/>
          <w:b/>
          <w:bCs/>
          <w:noProof/>
          <w:szCs w:val="24"/>
        </w:rPr>
        <w:t>6</w:t>
      </w:r>
      <w:r w:rsidRPr="00270CCA">
        <w:rPr>
          <w:rFonts w:ascii="Calibri" w:hAnsi="Calibri" w:cs="Times New Roman"/>
          <w:noProof/>
          <w:szCs w:val="24"/>
        </w:rPr>
        <w:t>, e1001025.</w:t>
      </w:r>
    </w:p>
    <w:p w:rsidR="00DE5A8F" w:rsidRDefault="00DE5A8F" w:rsidP="00DE5A8F">
      <w:pPr>
        <w:pStyle w:val="NormalWeb"/>
        <w:ind w:left="480" w:hanging="480"/>
        <w:divId w:val="1183975041"/>
      </w:pPr>
      <w:r>
        <w:fldChar w:fldCharType="end"/>
      </w:r>
    </w:p>
    <w:p w:rsidR="00540C0E" w:rsidRDefault="00540C0E">
      <w:pPr>
        <w:sectPr w:rsidR="00540C0E">
          <w:pgSz w:w="11906" w:h="16838"/>
          <w:pgMar w:top="1440" w:right="1440" w:bottom="1440" w:left="1440" w:header="708" w:footer="708" w:gutter="0"/>
          <w:cols w:space="708"/>
          <w:docGrid w:linePitch="360"/>
        </w:sectPr>
      </w:pPr>
    </w:p>
    <w:p w:rsidR="00540C0E" w:rsidRDefault="00540C0E"/>
    <w:p w:rsidR="00B04D8F" w:rsidRDefault="00295ED6" w:rsidP="00DE5A8F">
      <w:pPr>
        <w:spacing w:line="480" w:lineRule="auto"/>
        <w:jc w:val="both"/>
      </w:pPr>
      <w:r>
        <w:rPr>
          <w:noProof/>
          <w:lang w:val="en-US"/>
        </w:rPr>
        <w:drawing>
          <wp:inline distT="0" distB="0" distL="0" distR="0" wp14:anchorId="2C4D0725" wp14:editId="2217E8CA">
            <wp:extent cx="5731510" cy="178879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p13a2 (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1788795"/>
                    </a:xfrm>
                    <a:prstGeom prst="rect">
                      <a:avLst/>
                    </a:prstGeom>
                  </pic:spPr>
                </pic:pic>
              </a:graphicData>
            </a:graphic>
          </wp:inline>
        </w:drawing>
      </w:r>
    </w:p>
    <w:p w:rsidR="00DE5A8F" w:rsidRDefault="00CD5C74" w:rsidP="00F770BD">
      <w:pPr>
        <w:spacing w:line="360" w:lineRule="auto"/>
        <w:jc w:val="both"/>
      </w:pPr>
      <w:r w:rsidRPr="00F770BD">
        <w:t xml:space="preserve">Supplementary Figure 1: Schematic of </w:t>
      </w:r>
      <w:r w:rsidRPr="00F770BD">
        <w:rPr>
          <w:i/>
        </w:rPr>
        <w:t>ATP13A2</w:t>
      </w:r>
      <w:r w:rsidRPr="00F770BD">
        <w:t xml:space="preserve"> </w:t>
      </w:r>
      <w:r w:rsidR="00295ED6" w:rsidRPr="00F770BD">
        <w:t xml:space="preserve">(NM_001141974, isoform 3) </w:t>
      </w:r>
      <w:r w:rsidRPr="00F770BD">
        <w:t xml:space="preserve">indicating the positions of </w:t>
      </w:r>
      <w:proofErr w:type="spellStart"/>
      <w:r w:rsidRPr="00F770BD">
        <w:t>Kufor-Rakeb</w:t>
      </w:r>
      <w:proofErr w:type="spellEnd"/>
      <w:r w:rsidRPr="00F770BD">
        <w:t xml:space="preserve"> syndrome (</w:t>
      </w:r>
      <w:r w:rsidR="007A0E8B" w:rsidRPr="00F770BD">
        <w:t xml:space="preserve">KFS, </w:t>
      </w:r>
      <w:r w:rsidRPr="00F770BD">
        <w:t>OMIM</w:t>
      </w:r>
      <w:proofErr w:type="gramStart"/>
      <w:r w:rsidRPr="00F770BD">
        <w:t>:606693</w:t>
      </w:r>
      <w:proofErr w:type="gramEnd"/>
      <w:r w:rsidRPr="00F770BD">
        <w:t>) mutations (</w:t>
      </w:r>
      <w:r w:rsidR="00295ED6" w:rsidRPr="00F770BD">
        <w:t>on top</w:t>
      </w:r>
      <w:r w:rsidRPr="00F770BD">
        <w:t xml:space="preserve">) and those found enriched in </w:t>
      </w:r>
      <w:r w:rsidRPr="00F770BD">
        <w:rPr>
          <w:i/>
        </w:rPr>
        <w:t>LRRK2</w:t>
      </w:r>
      <w:r w:rsidRPr="00F770BD">
        <w:t xml:space="preserve"> G2019S positive Parkinson’s cases (</w:t>
      </w:r>
      <w:r w:rsidR="00295ED6" w:rsidRPr="00F770BD">
        <w:t>on bottom</w:t>
      </w:r>
      <w:r w:rsidRPr="00F770BD">
        <w:t>).</w:t>
      </w:r>
      <w:r w:rsidR="00295ED6" w:rsidRPr="00F770BD">
        <w:t xml:space="preserve"> KFS mutations</w:t>
      </w:r>
      <w:r w:rsidR="0088646A" w:rsidRPr="00F770BD">
        <w:t xml:space="preserve"> are typically described in the literature using</w:t>
      </w:r>
      <w:r w:rsidR="00295ED6" w:rsidRPr="00F770BD">
        <w:t xml:space="preserve"> isoform 1 (NM_022089) </w:t>
      </w:r>
      <w:r w:rsidR="0088646A" w:rsidRPr="00F770BD">
        <w:t xml:space="preserve">and </w:t>
      </w:r>
      <w:r w:rsidR="00295ED6" w:rsidRPr="00F770BD">
        <w:t>are as follows: F182L</w:t>
      </w:r>
      <w:r w:rsidR="007A0E8B" w:rsidRPr="00F770BD">
        <w:t xml:space="preserve">, </w:t>
      </w:r>
      <w:r w:rsidR="00295ED6" w:rsidRPr="00F770BD">
        <w:t>G504R</w:t>
      </w:r>
      <w:r w:rsidR="007A0E8B" w:rsidRPr="00F770BD">
        <w:t>, G</w:t>
      </w:r>
      <w:r w:rsidR="00295ED6" w:rsidRPr="00F770BD">
        <w:t>877R</w:t>
      </w:r>
      <w:r w:rsidR="007A0E8B" w:rsidRPr="00F770BD">
        <w:t xml:space="preserve"> and L1059R.</w:t>
      </w:r>
    </w:p>
    <w:p w:rsidR="00DE5A8F" w:rsidRDefault="00DE5A8F" w:rsidP="00DE5A8F">
      <w:pPr>
        <w:spacing w:line="480" w:lineRule="auto"/>
      </w:pPr>
      <w:r>
        <w:br w:type="page"/>
      </w:r>
    </w:p>
    <w:p w:rsidR="00DE5A8F" w:rsidRPr="00DE5A8F" w:rsidRDefault="00DE5A8F" w:rsidP="00DE5A8F">
      <w:pPr>
        <w:spacing w:line="480" w:lineRule="auto"/>
        <w:jc w:val="both"/>
        <w:rPr>
          <w:b/>
        </w:rPr>
      </w:pPr>
      <w:r w:rsidRPr="00DE5A8F">
        <w:rPr>
          <w:b/>
        </w:rPr>
        <w:lastRenderedPageBreak/>
        <w:t>IPDGC CONSORTIUM MEMBERS AND AFFILIATIONS:</w:t>
      </w:r>
    </w:p>
    <w:p w:rsidR="00DE5A8F" w:rsidRDefault="00DE5A8F" w:rsidP="00DE5A8F">
      <w:pPr>
        <w:spacing w:line="480" w:lineRule="auto"/>
        <w:jc w:val="both"/>
      </w:pPr>
      <w:r>
        <w:t>All consortium members contributed to sample collection and data generation.</w:t>
      </w:r>
    </w:p>
    <w:p w:rsidR="00DE5A8F" w:rsidRDefault="00DE5A8F" w:rsidP="00DE5A8F">
      <w:pPr>
        <w:spacing w:line="480" w:lineRule="auto"/>
        <w:jc w:val="both"/>
      </w:pPr>
      <w:r>
        <w:t xml:space="preserve">Mike A </w:t>
      </w:r>
      <w:proofErr w:type="spellStart"/>
      <w:r>
        <w:t>Nalls</w:t>
      </w:r>
      <w:proofErr w:type="spellEnd"/>
      <w:r>
        <w:t xml:space="preserve"> (Laboratory of </w:t>
      </w:r>
      <w:proofErr w:type="spellStart"/>
      <w:r>
        <w:t>Neurogenetics</w:t>
      </w:r>
      <w:proofErr w:type="spellEnd"/>
      <w:r>
        <w:t xml:space="preserve">, National Institute on Aging, National Institutes of Health, Bethesda, MD, USA), Vincent </w:t>
      </w:r>
      <w:proofErr w:type="spellStart"/>
      <w:r>
        <w:t>Plagnol</w:t>
      </w:r>
      <w:proofErr w:type="spellEnd"/>
      <w:r>
        <w:t xml:space="preserve"> (UCL Genetics Institute, London, UK), Dena G Hernandez (Laboratory of </w:t>
      </w:r>
      <w:proofErr w:type="spellStart"/>
      <w:r>
        <w:t>Neurogenetics</w:t>
      </w:r>
      <w:proofErr w:type="spellEnd"/>
      <w:r>
        <w:t xml:space="preserve">, National Institute on Aging; and Department of Molecular Neuroscience, UCL Institute of Neurology, London, UK), Manu Sharma (Department for Neurodegenerative Diseases, </w:t>
      </w:r>
      <w:proofErr w:type="spellStart"/>
      <w:r>
        <w:t>Hertie</w:t>
      </w:r>
      <w:proofErr w:type="spellEnd"/>
      <w:r>
        <w:t xml:space="preserve"> Institute for Clinical Brain Research, University of </w:t>
      </w:r>
      <w:proofErr w:type="spellStart"/>
      <w:r>
        <w:t>Tübingen</w:t>
      </w:r>
      <w:proofErr w:type="spellEnd"/>
      <w:r>
        <w:t xml:space="preserve">, and DZNE, German </w:t>
      </w:r>
      <w:proofErr w:type="spellStart"/>
      <w:r>
        <w:t>Center</w:t>
      </w:r>
      <w:proofErr w:type="spellEnd"/>
      <w:r>
        <w:t xml:space="preserve"> for Neurodegenerative Diseases, </w:t>
      </w:r>
      <w:proofErr w:type="spellStart"/>
      <w:r>
        <w:t>Tübingen</w:t>
      </w:r>
      <w:proofErr w:type="spellEnd"/>
      <w:r>
        <w:t xml:space="preserve">, Germany), </w:t>
      </w:r>
      <w:proofErr w:type="spellStart"/>
      <w:r>
        <w:t>Una</w:t>
      </w:r>
      <w:proofErr w:type="spellEnd"/>
      <w:r>
        <w:t xml:space="preserve">-Marie Sheerin (Department of Molecular Neuroscience, UCL Institute of Neurology), Mohamad </w:t>
      </w:r>
      <w:proofErr w:type="spellStart"/>
      <w:r>
        <w:t>Saad</w:t>
      </w:r>
      <w:proofErr w:type="spellEnd"/>
      <w:r>
        <w:t xml:space="preserve"> (INSERM U563, CPTP, Toulouse, France; and Paul Sabatier University, Toulouse, France), Javier </w:t>
      </w:r>
      <w:proofErr w:type="spellStart"/>
      <w:r>
        <w:t>Simón</w:t>
      </w:r>
      <w:proofErr w:type="spellEnd"/>
      <w:r>
        <w:t xml:space="preserve">-Sánchez (Genetics and Epigenetics of Neurodegeneration, German </w:t>
      </w:r>
      <w:proofErr w:type="spellStart"/>
      <w:r>
        <w:t>Center</w:t>
      </w:r>
      <w:proofErr w:type="spellEnd"/>
      <w:r>
        <w:t xml:space="preserve"> for Neurodegenerative Diseases (DZNE)-</w:t>
      </w:r>
      <w:proofErr w:type="spellStart"/>
      <w:r>
        <w:t>Tübingen</w:t>
      </w:r>
      <w:proofErr w:type="spellEnd"/>
      <w:r>
        <w:t xml:space="preserve"> and </w:t>
      </w:r>
      <w:proofErr w:type="spellStart"/>
      <w:r>
        <w:t>Hertie</w:t>
      </w:r>
      <w:proofErr w:type="spellEnd"/>
      <w:r>
        <w:t xml:space="preserve"> Institute for Clinical Brain Research (HIH)), Claudia Schulte (Department for Neurodegenerative Diseases, </w:t>
      </w:r>
      <w:proofErr w:type="spellStart"/>
      <w:r>
        <w:t>Hertie</w:t>
      </w:r>
      <w:proofErr w:type="spellEnd"/>
      <w:r>
        <w:t xml:space="preserve"> Institute for Clinical Brain Research), Suzanne Lesage (Sorbonne </w:t>
      </w:r>
      <w:proofErr w:type="spellStart"/>
      <w:r>
        <w:t>Université</w:t>
      </w:r>
      <w:proofErr w:type="spellEnd"/>
      <w:r>
        <w:t xml:space="preserve">, UPMC </w:t>
      </w:r>
      <w:proofErr w:type="spellStart"/>
      <w:r>
        <w:t>Univ</w:t>
      </w:r>
      <w:proofErr w:type="spellEnd"/>
      <w:r>
        <w:t xml:space="preserve"> Paris 06, UM 1127, ICM; </w:t>
      </w:r>
      <w:proofErr w:type="spellStart"/>
      <w:r>
        <w:t>Inserm</w:t>
      </w:r>
      <w:proofErr w:type="spellEnd"/>
      <w:r>
        <w:t xml:space="preserve">, U 1127, ICM; </w:t>
      </w:r>
      <w:proofErr w:type="spellStart"/>
      <w:r>
        <w:t>Cnrs</w:t>
      </w:r>
      <w:proofErr w:type="spellEnd"/>
      <w:r>
        <w:t xml:space="preserve">, UMR 7225, ICM; ICM, Paris), </w:t>
      </w:r>
      <w:proofErr w:type="spellStart"/>
      <w:r>
        <w:t>Sigurlaug</w:t>
      </w:r>
      <w:proofErr w:type="spellEnd"/>
      <w:r>
        <w:t xml:space="preserve"> </w:t>
      </w:r>
      <w:proofErr w:type="spellStart"/>
      <w:r>
        <w:t>Sveinbjörnsdóttir</w:t>
      </w:r>
      <w:proofErr w:type="spellEnd"/>
      <w:r>
        <w:t xml:space="preserve"> (Department of Neurology, </w:t>
      </w:r>
      <w:proofErr w:type="spellStart"/>
      <w:r>
        <w:t>Landspítali</w:t>
      </w:r>
      <w:proofErr w:type="spellEnd"/>
      <w:r>
        <w:t xml:space="preserve"> University Hospital, Reykjavík, Iceland; Department of Neurology, MEHT Broomfield Hospital, Chelmsford, Essex, UK; and Queen Mary College, University of London, London, UK), </w:t>
      </w:r>
      <w:proofErr w:type="spellStart"/>
      <w:r>
        <w:t>Sampath</w:t>
      </w:r>
      <w:proofErr w:type="spellEnd"/>
      <w:r>
        <w:t xml:space="preserve"> </w:t>
      </w:r>
      <w:proofErr w:type="spellStart"/>
      <w:r>
        <w:t>Arepalli</w:t>
      </w:r>
      <w:proofErr w:type="spellEnd"/>
      <w:r>
        <w:t xml:space="preserve"> (Laboratory of </w:t>
      </w:r>
      <w:proofErr w:type="spellStart"/>
      <w:r>
        <w:t>Neurogenetics</w:t>
      </w:r>
      <w:proofErr w:type="spellEnd"/>
      <w:r>
        <w:t xml:space="preserve">, National Institute on Aging), Roger Barker (Department of Neurology, </w:t>
      </w:r>
      <w:proofErr w:type="spellStart"/>
      <w:r>
        <w:t>Addenbrooke’s</w:t>
      </w:r>
      <w:proofErr w:type="spellEnd"/>
      <w:r>
        <w:t xml:space="preserve"> Hospital, University of Cambridge, Cambridge, UK), </w:t>
      </w:r>
      <w:proofErr w:type="spellStart"/>
      <w:r>
        <w:t>Yoav</w:t>
      </w:r>
      <w:proofErr w:type="spellEnd"/>
      <w:r>
        <w:t xml:space="preserve"> Ben-</w:t>
      </w:r>
      <w:proofErr w:type="spellStart"/>
      <w:r>
        <w:t>Shlomo</w:t>
      </w:r>
      <w:proofErr w:type="spellEnd"/>
      <w:r>
        <w:t xml:space="preserve"> (School of Social and Community Medicine, University of Bristol), </w:t>
      </w:r>
      <w:proofErr w:type="spellStart"/>
      <w:r>
        <w:t>Henk</w:t>
      </w:r>
      <w:proofErr w:type="spellEnd"/>
      <w:r>
        <w:t xml:space="preserve"> W </w:t>
      </w:r>
      <w:proofErr w:type="spellStart"/>
      <w:r>
        <w:t>Berendse</w:t>
      </w:r>
      <w:proofErr w:type="spellEnd"/>
      <w:r>
        <w:t xml:space="preserve"> (Department of Neurology and Alzheimer </w:t>
      </w:r>
      <w:proofErr w:type="spellStart"/>
      <w:r>
        <w:t>Center</w:t>
      </w:r>
      <w:proofErr w:type="spellEnd"/>
      <w:r>
        <w:t xml:space="preserve">, VU University Medical </w:t>
      </w:r>
      <w:proofErr w:type="spellStart"/>
      <w:r>
        <w:t>Center</w:t>
      </w:r>
      <w:proofErr w:type="spellEnd"/>
      <w:r>
        <w:t xml:space="preserve">), Daniela Berg (Department for Neurodegenerative Diseases, </w:t>
      </w:r>
      <w:proofErr w:type="spellStart"/>
      <w:r>
        <w:t>Hertie</w:t>
      </w:r>
      <w:proofErr w:type="spellEnd"/>
      <w:r>
        <w:t xml:space="preserve"> Institute for Clinical Brain Research and DZNE, German </w:t>
      </w:r>
      <w:proofErr w:type="spellStart"/>
      <w:r>
        <w:t>Center</w:t>
      </w:r>
      <w:proofErr w:type="spellEnd"/>
      <w:r>
        <w:t xml:space="preserve"> for Neurodegenerative diseases), Kailash Bhatia (Department of Motor Neuroscience, UCL Institute of Neurology), Rob M A de </w:t>
      </w:r>
      <w:proofErr w:type="spellStart"/>
      <w:r>
        <w:t>Bie</w:t>
      </w:r>
      <w:proofErr w:type="spellEnd"/>
      <w:r>
        <w:t xml:space="preserve"> (Department of Neurology, Academic Medical </w:t>
      </w:r>
      <w:proofErr w:type="spellStart"/>
      <w:r>
        <w:t>Center</w:t>
      </w:r>
      <w:proofErr w:type="spellEnd"/>
      <w:r>
        <w:t xml:space="preserve">, University of Amsterdam, Amsterdam, Netherlands), Alessandro </w:t>
      </w:r>
      <w:proofErr w:type="spellStart"/>
      <w:r>
        <w:t>Biffi</w:t>
      </w:r>
      <w:proofErr w:type="spellEnd"/>
      <w:r>
        <w:t xml:space="preserve"> (</w:t>
      </w:r>
      <w:proofErr w:type="spellStart"/>
      <w:r>
        <w:t>Center</w:t>
      </w:r>
      <w:proofErr w:type="spellEnd"/>
      <w:r>
        <w:t xml:space="preserve"> for Human Genetic Research and </w:t>
      </w:r>
      <w:r>
        <w:lastRenderedPageBreak/>
        <w:t xml:space="preserve">Department of Neurology, Massachusetts General Hospital, Boston, MA, USA; and Program in Medical and Population Genetics, Broad Institute, Cambridge, MA, USA), Bas </w:t>
      </w:r>
      <w:proofErr w:type="spellStart"/>
      <w:r>
        <w:t>Bloem</w:t>
      </w:r>
      <w:proofErr w:type="spellEnd"/>
      <w:r>
        <w:t xml:space="preserve"> (Department of Neurology, </w:t>
      </w:r>
      <w:proofErr w:type="spellStart"/>
      <w:r>
        <w:t>Radboud</w:t>
      </w:r>
      <w:proofErr w:type="spellEnd"/>
      <w:r>
        <w:t xml:space="preserve"> University Nijmegen Medical Centre, Nijmegen, Netherlands), Zoltan </w:t>
      </w:r>
      <w:proofErr w:type="spellStart"/>
      <w:r>
        <w:t>Bochdanovits</w:t>
      </w:r>
      <w:proofErr w:type="spellEnd"/>
      <w:r>
        <w:t xml:space="preserve"> (Department of Clinical Genetics, Section of Medical Genomics, VU University Medical Centre), Michael Bonin (Department of Medical Genetics, Institute of Human Genetics, University of </w:t>
      </w:r>
      <w:proofErr w:type="spellStart"/>
      <w:r>
        <w:t>Tübingen</w:t>
      </w:r>
      <w:proofErr w:type="spellEnd"/>
      <w:r>
        <w:t xml:space="preserve">, </w:t>
      </w:r>
      <w:proofErr w:type="spellStart"/>
      <w:r>
        <w:t>Tübingen</w:t>
      </w:r>
      <w:proofErr w:type="spellEnd"/>
      <w:r>
        <w:t xml:space="preserve">, Germany), Jose M Bras (Department of Molecular Neuroscience, UCL Institute of Neurology), Kathrin </w:t>
      </w:r>
      <w:proofErr w:type="spellStart"/>
      <w:r>
        <w:t>Brockmann</w:t>
      </w:r>
      <w:proofErr w:type="spellEnd"/>
      <w:r>
        <w:t xml:space="preserve"> (Department for Neurodegenerative Diseases, </w:t>
      </w:r>
      <w:proofErr w:type="spellStart"/>
      <w:r>
        <w:t>Hertie</w:t>
      </w:r>
      <w:proofErr w:type="spellEnd"/>
      <w:r>
        <w:t xml:space="preserve"> Institute for Clinical Brain Research and DZNE, German </w:t>
      </w:r>
      <w:proofErr w:type="spellStart"/>
      <w:r>
        <w:t>Center</w:t>
      </w:r>
      <w:proofErr w:type="spellEnd"/>
      <w:r>
        <w:t xml:space="preserve"> for Neurodegenerative diseases), Janet Brooks (Laboratory of </w:t>
      </w:r>
      <w:proofErr w:type="spellStart"/>
      <w:r>
        <w:t>Neurogenetics</w:t>
      </w:r>
      <w:proofErr w:type="spellEnd"/>
      <w:r>
        <w:t xml:space="preserve">, National Institute on Aging), David J Burn (Newcastle University Clinical Ageing Research Unit, Campus for Ageing and Vitality, Newcastle upon Tyne, UK), Elisa </w:t>
      </w:r>
      <w:proofErr w:type="spellStart"/>
      <w:r>
        <w:t>Majounie</w:t>
      </w:r>
      <w:proofErr w:type="spellEnd"/>
      <w:r>
        <w:t xml:space="preserve"> (Laboratory of </w:t>
      </w:r>
      <w:proofErr w:type="spellStart"/>
      <w:r>
        <w:t>Neurogenetics</w:t>
      </w:r>
      <w:proofErr w:type="spellEnd"/>
      <w:r>
        <w:t xml:space="preserve">, National Institute on Aging), Steven </w:t>
      </w:r>
      <w:proofErr w:type="spellStart"/>
      <w:r>
        <w:t>Lubbe</w:t>
      </w:r>
      <w:proofErr w:type="spellEnd"/>
      <w:r>
        <w:t xml:space="preserve"> (Department of Clinical Neuroscience, UCL Institute of Neurology, London, UK), Iris E Jansen (Department of Clinical Genetics, VU University Medical </w:t>
      </w:r>
      <w:proofErr w:type="spellStart"/>
      <w:r>
        <w:t>Center</w:t>
      </w:r>
      <w:proofErr w:type="spellEnd"/>
      <w:r>
        <w:t xml:space="preserve">, Amsterdam, The Netherlands, and German </w:t>
      </w:r>
      <w:proofErr w:type="spellStart"/>
      <w:r>
        <w:t>Center</w:t>
      </w:r>
      <w:proofErr w:type="spellEnd"/>
      <w:r>
        <w:t xml:space="preserve"> for Neurodegenerative diseases (DZNE), </w:t>
      </w:r>
      <w:proofErr w:type="spellStart"/>
      <w:r>
        <w:t>Tübingen</w:t>
      </w:r>
      <w:proofErr w:type="spellEnd"/>
      <w:r>
        <w:t xml:space="preserve">, Germany), Gavin </w:t>
      </w:r>
      <w:proofErr w:type="spellStart"/>
      <w:r>
        <w:t>Charlesworth</w:t>
      </w:r>
      <w:proofErr w:type="spellEnd"/>
      <w:r>
        <w:t xml:space="preserve"> (Department of Molecular Neuroscience, UCL Institute of Neurology), </w:t>
      </w:r>
      <w:proofErr w:type="spellStart"/>
      <w:r>
        <w:t>Codrin</w:t>
      </w:r>
      <w:proofErr w:type="spellEnd"/>
      <w:r>
        <w:t xml:space="preserve"> </w:t>
      </w:r>
      <w:proofErr w:type="spellStart"/>
      <w:r>
        <w:t>Lungu</w:t>
      </w:r>
      <w:proofErr w:type="spellEnd"/>
      <w:r>
        <w:t xml:space="preserve"> (National Institutes of Health Parkinson Clinic, NINDS, National Institutes of Health), </w:t>
      </w:r>
      <w:proofErr w:type="spellStart"/>
      <w:r>
        <w:t>Honglei</w:t>
      </w:r>
      <w:proofErr w:type="spellEnd"/>
      <w:r>
        <w:t xml:space="preserve"> Chen (Epidemiology Branch, National Institute of Environmental Health Sciences, National Institutes of Health, NC, USA), Patrick F </w:t>
      </w:r>
      <w:proofErr w:type="spellStart"/>
      <w:r>
        <w:t>Chinnery</w:t>
      </w:r>
      <w:proofErr w:type="spellEnd"/>
      <w:r>
        <w:t xml:space="preserve"> (Neurology M4104, The Medical School, </w:t>
      </w:r>
      <w:proofErr w:type="spellStart"/>
      <w:r>
        <w:t>Framlington</w:t>
      </w:r>
      <w:proofErr w:type="spellEnd"/>
      <w:r>
        <w:t xml:space="preserve"> Place, Newcastle upon Tyne, UK), Sean Chong (Laboratory of </w:t>
      </w:r>
      <w:proofErr w:type="spellStart"/>
      <w:r>
        <w:t>Neurogenetics</w:t>
      </w:r>
      <w:proofErr w:type="spellEnd"/>
      <w:r>
        <w:t xml:space="preserve">, National Institute on Aging), Carl E Clarke (School of Clinical and Experimental Medicine, University of Birmingham, Birmingham, UK; and Department of Neurology, City Hospital, Sandwell and West Birmingham Hospitals NHS Trust, Birmingham, UK), Mark R Cookson (Laboratory of </w:t>
      </w:r>
      <w:proofErr w:type="spellStart"/>
      <w:r>
        <w:t>Neurogenetics</w:t>
      </w:r>
      <w:proofErr w:type="spellEnd"/>
      <w:r>
        <w:t xml:space="preserve">, National Institute on Aging), J Mark Cooper (Department of Clinical Neurosciences, UCL Institute of Neurology), Jean Christophe </w:t>
      </w:r>
      <w:proofErr w:type="spellStart"/>
      <w:r>
        <w:t>Corvol</w:t>
      </w:r>
      <w:proofErr w:type="spellEnd"/>
      <w:r>
        <w:t xml:space="preserve"> (Sorbonne </w:t>
      </w:r>
      <w:proofErr w:type="spellStart"/>
      <w:r>
        <w:t>Université</w:t>
      </w:r>
      <w:proofErr w:type="spellEnd"/>
      <w:r>
        <w:t xml:space="preserve">, UPMC </w:t>
      </w:r>
      <w:proofErr w:type="spellStart"/>
      <w:r>
        <w:t>Univ</w:t>
      </w:r>
      <w:proofErr w:type="spellEnd"/>
      <w:r>
        <w:t xml:space="preserve"> Paris 06, UM 1127, ICM; </w:t>
      </w:r>
      <w:proofErr w:type="spellStart"/>
      <w:r>
        <w:t>Inserm</w:t>
      </w:r>
      <w:proofErr w:type="spellEnd"/>
      <w:r>
        <w:t xml:space="preserve">, U 1127, ICM; </w:t>
      </w:r>
      <w:proofErr w:type="spellStart"/>
      <w:r>
        <w:t>Cnrs</w:t>
      </w:r>
      <w:proofErr w:type="spellEnd"/>
      <w:r>
        <w:t xml:space="preserve">, UMR 7225, ICM; ICM, Paris; and INSERM CIC-9503, </w:t>
      </w:r>
      <w:proofErr w:type="spellStart"/>
      <w:r>
        <w:t>Hôpital</w:t>
      </w:r>
      <w:proofErr w:type="spellEnd"/>
      <w:r>
        <w:t xml:space="preserve"> </w:t>
      </w:r>
      <w:proofErr w:type="spellStart"/>
      <w:r>
        <w:t>Pitié-Salpêtrière</w:t>
      </w:r>
      <w:proofErr w:type="spellEnd"/>
      <w:r>
        <w:t xml:space="preserve">, Paris, France), Carl </w:t>
      </w:r>
      <w:proofErr w:type="spellStart"/>
      <w:r>
        <w:t>Counsell</w:t>
      </w:r>
      <w:proofErr w:type="spellEnd"/>
      <w:r>
        <w:t xml:space="preserve"> (University of Aberdeen, Division of Applied Health Sciences, Population Health Section, Aberdeen, </w:t>
      </w:r>
      <w:r>
        <w:lastRenderedPageBreak/>
        <w:t xml:space="preserve">UK), Philippe </w:t>
      </w:r>
      <w:proofErr w:type="spellStart"/>
      <w:r>
        <w:t>Damier</w:t>
      </w:r>
      <w:proofErr w:type="spellEnd"/>
      <w:r>
        <w:t xml:space="preserve"> (CHU Nantes, CIC0004, Service de </w:t>
      </w:r>
      <w:proofErr w:type="spellStart"/>
      <w:r>
        <w:t>Neurologie</w:t>
      </w:r>
      <w:proofErr w:type="spellEnd"/>
      <w:r>
        <w:t xml:space="preserve">, Nantes, France), Jean-François </w:t>
      </w:r>
      <w:proofErr w:type="spellStart"/>
      <w:r>
        <w:t>Dartigues</w:t>
      </w:r>
      <w:proofErr w:type="spellEnd"/>
      <w:r>
        <w:t xml:space="preserve"> (INSERM U897, </w:t>
      </w:r>
      <w:proofErr w:type="spellStart"/>
      <w:r>
        <w:t>Université</w:t>
      </w:r>
      <w:proofErr w:type="spellEnd"/>
      <w:r>
        <w:t xml:space="preserve"> Victor </w:t>
      </w:r>
      <w:proofErr w:type="spellStart"/>
      <w:r>
        <w:t>Segalen</w:t>
      </w:r>
      <w:proofErr w:type="spellEnd"/>
      <w:r>
        <w:t xml:space="preserve">, Bordeaux, France), </w:t>
      </w:r>
      <w:proofErr w:type="spellStart"/>
      <w:r>
        <w:t>Panos</w:t>
      </w:r>
      <w:proofErr w:type="spellEnd"/>
      <w:r>
        <w:t xml:space="preserve"> </w:t>
      </w:r>
      <w:proofErr w:type="spellStart"/>
      <w:r>
        <w:t>Deloukas</w:t>
      </w:r>
      <w:proofErr w:type="spellEnd"/>
      <w:r>
        <w:t xml:space="preserve"> (</w:t>
      </w:r>
      <w:proofErr w:type="spellStart"/>
      <w:r>
        <w:t>Wellcome</w:t>
      </w:r>
      <w:proofErr w:type="spellEnd"/>
      <w:r>
        <w:t xml:space="preserve"> Trust Sanger Institute, </w:t>
      </w:r>
      <w:proofErr w:type="spellStart"/>
      <w:r>
        <w:t>Wellcome</w:t>
      </w:r>
      <w:proofErr w:type="spellEnd"/>
      <w:r>
        <w:t xml:space="preserve"> Trust Genome Campus, Cambridge, UK), </w:t>
      </w:r>
      <w:proofErr w:type="spellStart"/>
      <w:r>
        <w:t>Günther</w:t>
      </w:r>
      <w:proofErr w:type="spellEnd"/>
      <w:r>
        <w:t xml:space="preserve"> </w:t>
      </w:r>
      <w:proofErr w:type="spellStart"/>
      <w:r>
        <w:t>Deuschl</w:t>
      </w:r>
      <w:proofErr w:type="spellEnd"/>
      <w:r>
        <w:t xml:space="preserve"> (</w:t>
      </w:r>
      <w:proofErr w:type="spellStart"/>
      <w:r>
        <w:t>Klinik</w:t>
      </w:r>
      <w:proofErr w:type="spellEnd"/>
      <w:r>
        <w:t xml:space="preserve"> </w:t>
      </w:r>
      <w:proofErr w:type="spellStart"/>
      <w:r>
        <w:t>für</w:t>
      </w:r>
      <w:proofErr w:type="spellEnd"/>
      <w:r>
        <w:t xml:space="preserve"> </w:t>
      </w:r>
      <w:proofErr w:type="spellStart"/>
      <w:r>
        <w:t>Neurologie</w:t>
      </w:r>
      <w:proofErr w:type="spellEnd"/>
      <w:r>
        <w:t xml:space="preserve">, </w:t>
      </w:r>
      <w:proofErr w:type="spellStart"/>
      <w:r>
        <w:t>Universitätsklinikum</w:t>
      </w:r>
      <w:proofErr w:type="spellEnd"/>
      <w:r>
        <w:t xml:space="preserve"> Schleswig-Holstein, Campus Kiel, </w:t>
      </w:r>
      <w:proofErr w:type="spellStart"/>
      <w:r>
        <w:t>ChristianAlbrechts-Universität</w:t>
      </w:r>
      <w:proofErr w:type="spellEnd"/>
      <w:r>
        <w:t xml:space="preserve"> Kiel, Kiel, Germany), David T Dexter (Parkinson’s Disease Research Group, Faculty of Medicine, Imperial College London, London, UK), Karin D van </w:t>
      </w:r>
      <w:proofErr w:type="spellStart"/>
      <w:r>
        <w:t>Dijk</w:t>
      </w:r>
      <w:proofErr w:type="spellEnd"/>
      <w:r>
        <w:t xml:space="preserve"> (Department of Neurology and Alzheimer </w:t>
      </w:r>
      <w:proofErr w:type="spellStart"/>
      <w:r>
        <w:t>Center</w:t>
      </w:r>
      <w:proofErr w:type="spellEnd"/>
      <w:r>
        <w:t xml:space="preserve">, VU University Medical </w:t>
      </w:r>
      <w:proofErr w:type="spellStart"/>
      <w:r>
        <w:t>Center</w:t>
      </w:r>
      <w:proofErr w:type="spellEnd"/>
      <w:r>
        <w:t xml:space="preserve">), </w:t>
      </w:r>
      <w:proofErr w:type="spellStart"/>
      <w:r>
        <w:t>Allissa</w:t>
      </w:r>
      <w:proofErr w:type="spellEnd"/>
      <w:r>
        <w:t xml:space="preserve"> </w:t>
      </w:r>
      <w:proofErr w:type="spellStart"/>
      <w:r>
        <w:t>Dillman</w:t>
      </w:r>
      <w:proofErr w:type="spellEnd"/>
      <w:r>
        <w:t xml:space="preserve"> (Laboratory of </w:t>
      </w:r>
      <w:proofErr w:type="spellStart"/>
      <w:r>
        <w:t>Neurogenetics</w:t>
      </w:r>
      <w:proofErr w:type="spellEnd"/>
      <w:r>
        <w:t xml:space="preserve">, National Institute on Aging), Frank </w:t>
      </w:r>
      <w:proofErr w:type="spellStart"/>
      <w:r>
        <w:t>Durif</w:t>
      </w:r>
      <w:proofErr w:type="spellEnd"/>
      <w:r>
        <w:t xml:space="preserve"> (Service de </w:t>
      </w:r>
      <w:proofErr w:type="spellStart"/>
      <w:r>
        <w:t>Neurologie</w:t>
      </w:r>
      <w:proofErr w:type="spellEnd"/>
      <w:r>
        <w:t xml:space="preserve">, </w:t>
      </w:r>
      <w:proofErr w:type="spellStart"/>
      <w:r>
        <w:t>Hôpital</w:t>
      </w:r>
      <w:proofErr w:type="spellEnd"/>
      <w:r>
        <w:t xml:space="preserve"> Gabriel </w:t>
      </w:r>
      <w:proofErr w:type="spellStart"/>
      <w:r>
        <w:t>Montpied</w:t>
      </w:r>
      <w:proofErr w:type="spellEnd"/>
      <w:r>
        <w:t xml:space="preserve">, Clermont-Ferrand, France), Alexandra </w:t>
      </w:r>
      <w:proofErr w:type="spellStart"/>
      <w:r>
        <w:t>Dürr</w:t>
      </w:r>
      <w:proofErr w:type="spellEnd"/>
      <w:r>
        <w:t xml:space="preserve"> (Sorbonne </w:t>
      </w:r>
      <w:proofErr w:type="spellStart"/>
      <w:r>
        <w:t>Université</w:t>
      </w:r>
      <w:proofErr w:type="spellEnd"/>
      <w:r>
        <w:t xml:space="preserve">, UPMC </w:t>
      </w:r>
      <w:proofErr w:type="spellStart"/>
      <w:r>
        <w:t>Univ</w:t>
      </w:r>
      <w:proofErr w:type="spellEnd"/>
      <w:r>
        <w:t xml:space="preserve"> Paris 06, UM 1127, ICM; </w:t>
      </w:r>
      <w:proofErr w:type="spellStart"/>
      <w:r>
        <w:t>Inserm</w:t>
      </w:r>
      <w:proofErr w:type="spellEnd"/>
      <w:r>
        <w:t xml:space="preserve">, U 1127, ICM; </w:t>
      </w:r>
      <w:proofErr w:type="spellStart"/>
      <w:r>
        <w:t>Cnrs</w:t>
      </w:r>
      <w:proofErr w:type="spellEnd"/>
      <w:r>
        <w:t xml:space="preserve">, UMR 7225, ICM; ICM, Paris; and AP-HP, </w:t>
      </w:r>
      <w:proofErr w:type="spellStart"/>
      <w:r>
        <w:t>Pitié-Salpêtrière</w:t>
      </w:r>
      <w:proofErr w:type="spellEnd"/>
      <w:r>
        <w:t xml:space="preserve"> Hospital, </w:t>
      </w:r>
      <w:proofErr w:type="spellStart"/>
      <w:r>
        <w:t>Département</w:t>
      </w:r>
      <w:proofErr w:type="spellEnd"/>
      <w:r>
        <w:t xml:space="preserve"> de </w:t>
      </w:r>
      <w:proofErr w:type="spellStart"/>
      <w:r>
        <w:t>Génétique</w:t>
      </w:r>
      <w:proofErr w:type="spellEnd"/>
      <w:r>
        <w:t xml:space="preserve"> et </w:t>
      </w:r>
      <w:proofErr w:type="spellStart"/>
      <w:r>
        <w:t>Cytogénétique</w:t>
      </w:r>
      <w:proofErr w:type="spellEnd"/>
      <w:r>
        <w:t xml:space="preserve">), Sarah </w:t>
      </w:r>
      <w:proofErr w:type="spellStart"/>
      <w:r>
        <w:t>Edkins</w:t>
      </w:r>
      <w:proofErr w:type="spellEnd"/>
      <w:r>
        <w:t xml:space="preserve"> (</w:t>
      </w:r>
      <w:proofErr w:type="spellStart"/>
      <w:r>
        <w:t>Wellcome</w:t>
      </w:r>
      <w:proofErr w:type="spellEnd"/>
      <w:r>
        <w:t xml:space="preserve"> Trust Sanger Institute), Jonathan R Evans (Cambridge Centre for Brain Repair, Cambridge, UK), Thomas </w:t>
      </w:r>
      <w:proofErr w:type="spellStart"/>
      <w:r>
        <w:t>Foltynie</w:t>
      </w:r>
      <w:proofErr w:type="spellEnd"/>
      <w:r>
        <w:t xml:space="preserve"> (UCL Institute of Neurology), Jing Dong (Epidemiology Branch, National Institute of Environmental Health Sciences), Michelle Gardner (Department of Molecular Neuroscience, UCL Institute of Neurology), J Raphael Gibbs  (Laboratory of </w:t>
      </w:r>
      <w:proofErr w:type="spellStart"/>
      <w:r>
        <w:t>Neurogenetics</w:t>
      </w:r>
      <w:proofErr w:type="spellEnd"/>
      <w:r>
        <w:t xml:space="preserve">, National Institute on Aging; and Department of Molecular Neuroscience, UCL Institute of Neurology), Alison </w:t>
      </w:r>
      <w:proofErr w:type="spellStart"/>
      <w:r>
        <w:t>Goate</w:t>
      </w:r>
      <w:proofErr w:type="spellEnd"/>
      <w:r>
        <w:t xml:space="preserve"> (Department of Psychiatry, Department of Neurology, Washington University School of Medicine, MI, USA), Emma </w:t>
      </w:r>
      <w:proofErr w:type="spellStart"/>
      <w:r>
        <w:t>Gray</w:t>
      </w:r>
      <w:proofErr w:type="spellEnd"/>
      <w:r>
        <w:t xml:space="preserve"> (</w:t>
      </w:r>
      <w:proofErr w:type="spellStart"/>
      <w:r>
        <w:t>Wellcome</w:t>
      </w:r>
      <w:proofErr w:type="spellEnd"/>
      <w:r>
        <w:t xml:space="preserve"> Trust Sanger Institute), Rita </w:t>
      </w:r>
      <w:proofErr w:type="spellStart"/>
      <w:r>
        <w:t>Guerreiro</w:t>
      </w:r>
      <w:proofErr w:type="spellEnd"/>
      <w:r>
        <w:t xml:space="preserve"> (Department of Molecular Neuroscience, UCL Institute of Neurology), Clare Harris (University of Aberdeen), Jacobus J van </w:t>
      </w:r>
      <w:proofErr w:type="spellStart"/>
      <w:r>
        <w:t>Hilten</w:t>
      </w:r>
      <w:proofErr w:type="spellEnd"/>
      <w:r>
        <w:t xml:space="preserve"> (Department of Neurology, Leiden University Medical </w:t>
      </w:r>
      <w:proofErr w:type="spellStart"/>
      <w:r>
        <w:t>Center</w:t>
      </w:r>
      <w:proofErr w:type="spellEnd"/>
      <w:r>
        <w:t xml:space="preserve">, Leiden, Netherlands), Albert </w:t>
      </w:r>
      <w:proofErr w:type="spellStart"/>
      <w:r>
        <w:t>Hofman</w:t>
      </w:r>
      <w:proofErr w:type="spellEnd"/>
      <w:r>
        <w:t xml:space="preserve"> (Department of Epidemiology, Erasmus University Medical </w:t>
      </w:r>
      <w:proofErr w:type="spellStart"/>
      <w:r>
        <w:t>Center</w:t>
      </w:r>
      <w:proofErr w:type="spellEnd"/>
      <w:r>
        <w:t xml:space="preserve">, Rotterdam, Netherlands), Albert Hollenbeck (AARP, Washington DC, USA), Janice Holton (Queen Square Brain Bank for Neurological Disorders, UCL Institute of Neurology), Michele Hu (Department of Clinical Neurology, John Radcliffe Hospital, Oxford, UK), </w:t>
      </w:r>
      <w:proofErr w:type="spellStart"/>
      <w:r>
        <w:t>Xuemei</w:t>
      </w:r>
      <w:proofErr w:type="spellEnd"/>
      <w:r>
        <w:t xml:space="preserve"> Huang (Departments of Neurology, Radiology, Neurosurgery, Pharmacology, Kinesiology, and Bioengineering, Pennsylvania State University– Milton S Hershey Medical </w:t>
      </w:r>
      <w:proofErr w:type="spellStart"/>
      <w:r>
        <w:t>Center</w:t>
      </w:r>
      <w:proofErr w:type="spellEnd"/>
      <w:r>
        <w:t xml:space="preserve">, Hershey, PA, USA), Isabel </w:t>
      </w:r>
      <w:proofErr w:type="spellStart"/>
      <w:r>
        <w:t>Wurster</w:t>
      </w:r>
      <w:proofErr w:type="spellEnd"/>
      <w:r>
        <w:t xml:space="preserve"> (Department for Neurodegenerative Diseases, </w:t>
      </w:r>
      <w:proofErr w:type="spellStart"/>
      <w:r>
        <w:t>Hertie</w:t>
      </w:r>
      <w:proofErr w:type="spellEnd"/>
      <w:r>
        <w:t xml:space="preserve"> Institute for </w:t>
      </w:r>
      <w:r>
        <w:lastRenderedPageBreak/>
        <w:t xml:space="preserve">Clinical Brain Research and German </w:t>
      </w:r>
      <w:proofErr w:type="spellStart"/>
      <w:r>
        <w:t>Center</w:t>
      </w:r>
      <w:proofErr w:type="spellEnd"/>
      <w:r>
        <w:t xml:space="preserve"> for Neurodegenerative diseases), Walter </w:t>
      </w:r>
      <w:proofErr w:type="spellStart"/>
      <w:r>
        <w:t>Mätzler</w:t>
      </w:r>
      <w:proofErr w:type="spellEnd"/>
      <w:r>
        <w:t xml:space="preserve"> (Department for Neurodegenerative Diseases, </w:t>
      </w:r>
      <w:proofErr w:type="spellStart"/>
      <w:r>
        <w:t>Hertie</w:t>
      </w:r>
      <w:proofErr w:type="spellEnd"/>
      <w:r>
        <w:t xml:space="preserve"> Institute for Clinical Brain Research and German </w:t>
      </w:r>
      <w:proofErr w:type="spellStart"/>
      <w:r>
        <w:t>Center</w:t>
      </w:r>
      <w:proofErr w:type="spellEnd"/>
      <w:r>
        <w:t xml:space="preserve"> for Neurodegenerative diseases), Gavin Hudson (Neurology M4104, The Medical School, Newcastle upon Tyne, UK), Sarah E Hunt (</w:t>
      </w:r>
      <w:proofErr w:type="spellStart"/>
      <w:r>
        <w:t>Wellcome</w:t>
      </w:r>
      <w:proofErr w:type="spellEnd"/>
      <w:r>
        <w:t xml:space="preserve"> Trust Sanger Institute), Johanna </w:t>
      </w:r>
      <w:proofErr w:type="spellStart"/>
      <w:r>
        <w:t>Huttenlocher</w:t>
      </w:r>
      <w:proofErr w:type="spellEnd"/>
      <w:r>
        <w:t xml:space="preserve"> (</w:t>
      </w:r>
      <w:proofErr w:type="spellStart"/>
      <w:r>
        <w:t>deCODE</w:t>
      </w:r>
      <w:proofErr w:type="spellEnd"/>
      <w:r>
        <w:t xml:space="preserve"> genetics), Thomas </w:t>
      </w:r>
      <w:proofErr w:type="spellStart"/>
      <w:r>
        <w:t>Illig</w:t>
      </w:r>
      <w:proofErr w:type="spellEnd"/>
      <w:r>
        <w:t xml:space="preserve"> (Institute of Epidemiology, Helmholtz </w:t>
      </w:r>
      <w:proofErr w:type="spellStart"/>
      <w:r>
        <w:t>Zentrum</w:t>
      </w:r>
      <w:proofErr w:type="spellEnd"/>
      <w:r>
        <w:t xml:space="preserve"> </w:t>
      </w:r>
      <w:proofErr w:type="spellStart"/>
      <w:r>
        <w:t>München</w:t>
      </w:r>
      <w:proofErr w:type="spellEnd"/>
      <w:r>
        <w:t xml:space="preserve">, German Research Centre for Environmental Health, </w:t>
      </w:r>
      <w:proofErr w:type="spellStart"/>
      <w:r>
        <w:t>Neuherberg</w:t>
      </w:r>
      <w:proofErr w:type="spellEnd"/>
      <w:r>
        <w:t xml:space="preserve">, Germany), </w:t>
      </w:r>
      <w:proofErr w:type="spellStart"/>
      <w:r>
        <w:t>Pálmi</w:t>
      </w:r>
      <w:proofErr w:type="spellEnd"/>
      <w:r>
        <w:t xml:space="preserve"> V </w:t>
      </w:r>
      <w:proofErr w:type="spellStart"/>
      <w:r>
        <w:t>Jónsson</w:t>
      </w:r>
      <w:proofErr w:type="spellEnd"/>
      <w:r>
        <w:t xml:space="preserve"> (Department of Geriatrics, </w:t>
      </w:r>
      <w:proofErr w:type="spellStart"/>
      <w:r>
        <w:t>Landspítali</w:t>
      </w:r>
      <w:proofErr w:type="spellEnd"/>
      <w:r>
        <w:t xml:space="preserve"> University Hospital, Reykjavík, Iceland), Jean-Charles Lambert (INSERM U744, Lille, France; and </w:t>
      </w:r>
      <w:proofErr w:type="spellStart"/>
      <w:r>
        <w:t>Institut</w:t>
      </w:r>
      <w:proofErr w:type="spellEnd"/>
      <w:r>
        <w:t xml:space="preserve"> Pasteur de Lille, </w:t>
      </w:r>
      <w:proofErr w:type="spellStart"/>
      <w:r>
        <w:t>Université</w:t>
      </w:r>
      <w:proofErr w:type="spellEnd"/>
      <w:r>
        <w:t xml:space="preserve"> de Lille Nord, Lille, France), Cordelia Langford (Cambridge Centre for Brain Repair), Andrew Lees (Queen Square Brain Bank for Neurological Disorders), Peter </w:t>
      </w:r>
      <w:proofErr w:type="spellStart"/>
      <w:r>
        <w:t>Lichtner</w:t>
      </w:r>
      <w:proofErr w:type="spellEnd"/>
      <w:r>
        <w:t xml:space="preserve"> (Institute of Human Genetics, Helmholtz </w:t>
      </w:r>
      <w:proofErr w:type="spellStart"/>
      <w:r>
        <w:t>Zentrum</w:t>
      </w:r>
      <w:proofErr w:type="spellEnd"/>
      <w:r>
        <w:t xml:space="preserve"> </w:t>
      </w:r>
      <w:proofErr w:type="spellStart"/>
      <w:r>
        <w:t>München</w:t>
      </w:r>
      <w:proofErr w:type="spellEnd"/>
      <w:r>
        <w:t xml:space="preserve">, German Research Centre for Environmental Health, </w:t>
      </w:r>
      <w:proofErr w:type="spellStart"/>
      <w:r>
        <w:t>Neuherberg</w:t>
      </w:r>
      <w:proofErr w:type="spellEnd"/>
      <w:r>
        <w:t xml:space="preserve">, Germany), Patricia </w:t>
      </w:r>
      <w:proofErr w:type="spellStart"/>
      <w:r>
        <w:t>Limousin</w:t>
      </w:r>
      <w:proofErr w:type="spellEnd"/>
      <w:r>
        <w:t xml:space="preserve"> (Institute of Neurology, </w:t>
      </w:r>
      <w:proofErr w:type="spellStart"/>
      <w:r>
        <w:t>Sobell</w:t>
      </w:r>
      <w:proofErr w:type="spellEnd"/>
      <w:r>
        <w:t xml:space="preserve"> Department, Unit of Functional Neurosurgery, London, UK), </w:t>
      </w:r>
      <w:proofErr w:type="spellStart"/>
      <w:r>
        <w:t>Grisel</w:t>
      </w:r>
      <w:proofErr w:type="spellEnd"/>
      <w:r>
        <w:t xml:space="preserve"> Lopez (Section on Molecular </w:t>
      </w:r>
      <w:proofErr w:type="spellStart"/>
      <w:r>
        <w:t>Neurogenetics</w:t>
      </w:r>
      <w:proofErr w:type="spellEnd"/>
      <w:r>
        <w:t>, Medical Genetics Branch, NHGRI, National Institutes of Health), Delia Lorenz (</w:t>
      </w:r>
      <w:proofErr w:type="spellStart"/>
      <w:r>
        <w:t>Klinik</w:t>
      </w:r>
      <w:proofErr w:type="spellEnd"/>
      <w:r>
        <w:t xml:space="preserve"> </w:t>
      </w:r>
      <w:proofErr w:type="spellStart"/>
      <w:r>
        <w:t>für</w:t>
      </w:r>
      <w:proofErr w:type="spellEnd"/>
      <w:r>
        <w:t xml:space="preserve"> </w:t>
      </w:r>
      <w:proofErr w:type="spellStart"/>
      <w:r>
        <w:t>Neurologie</w:t>
      </w:r>
      <w:proofErr w:type="spellEnd"/>
      <w:r>
        <w:t xml:space="preserve">, </w:t>
      </w:r>
      <w:proofErr w:type="spellStart"/>
      <w:r>
        <w:t>Universitätsklinikum</w:t>
      </w:r>
      <w:proofErr w:type="spellEnd"/>
      <w:r>
        <w:t xml:space="preserve"> Schleswig-Holstein), </w:t>
      </w:r>
      <w:proofErr w:type="spellStart"/>
      <w:r>
        <w:t>Codrin</w:t>
      </w:r>
      <w:proofErr w:type="spellEnd"/>
      <w:r>
        <w:t xml:space="preserve"> </w:t>
      </w:r>
      <w:proofErr w:type="spellStart"/>
      <w:r>
        <w:t>Lungu</w:t>
      </w:r>
      <w:proofErr w:type="spellEnd"/>
      <w:r>
        <w:t xml:space="preserve"> (National Institutes of Health Parkinson Clinic, NINDS, National Institutes of Health), </w:t>
      </w:r>
      <w:proofErr w:type="spellStart"/>
      <w:r>
        <w:t>Alisdair</w:t>
      </w:r>
      <w:proofErr w:type="spellEnd"/>
      <w:r>
        <w:t xml:space="preserve"> McNeill (Department of Clinical Neurosciences, UCL Institute of Neurology), Catriona </w:t>
      </w:r>
      <w:proofErr w:type="spellStart"/>
      <w:r>
        <w:t>Moorby</w:t>
      </w:r>
      <w:proofErr w:type="spellEnd"/>
      <w:r>
        <w:t xml:space="preserve"> (School of Clinical and Experimental Medicine, University of Birmingham), Matthew Moore (Laboratory of </w:t>
      </w:r>
      <w:proofErr w:type="spellStart"/>
      <w:r>
        <w:t>Neurogenetics</w:t>
      </w:r>
      <w:proofErr w:type="spellEnd"/>
      <w:r>
        <w:t xml:space="preserve">, National Institute on Aging), </w:t>
      </w:r>
      <w:proofErr w:type="spellStart"/>
      <w:r>
        <w:t>Huw</w:t>
      </w:r>
      <w:proofErr w:type="spellEnd"/>
      <w:r>
        <w:t xml:space="preserve"> R Morris (National Hospital for Neurology and Neurosurgery, University College London, London, UK), Karen E Morrison (School of Clinical and Experimental Medicine, University of Birmingham; and Neurosciences Department, Queen Elizabeth Hospital, University Hospitals Birmingham NHS Foundation Trust, Birmingham, UK), Valentina Escott-Price (MRC Centre for Neuropsychiatric Genetics and Genomics, Cardiff University School of Medicine, Cardiff, UK), </w:t>
      </w:r>
      <w:proofErr w:type="spellStart"/>
      <w:r>
        <w:t>Ese</w:t>
      </w:r>
      <w:proofErr w:type="spellEnd"/>
      <w:r>
        <w:t xml:space="preserve"> </w:t>
      </w:r>
      <w:proofErr w:type="spellStart"/>
      <w:r>
        <w:t>Mudanohwo</w:t>
      </w:r>
      <w:proofErr w:type="spellEnd"/>
      <w:r>
        <w:t xml:space="preserve"> (</w:t>
      </w:r>
      <w:proofErr w:type="spellStart"/>
      <w:r>
        <w:t>Neurogenetics</w:t>
      </w:r>
      <w:proofErr w:type="spellEnd"/>
      <w:r>
        <w:t xml:space="preserve"> Unit, UCL Institute of Neurology and National Hospital for Neurology and Neurosurgery), Sean S O’Sullivan (Queen Square Brain Bank for Neurological Disorders), Justin Pearson (MRC Centre for Neuropsychiatric Genetics and Genomics), Joel S </w:t>
      </w:r>
      <w:proofErr w:type="spellStart"/>
      <w:r>
        <w:t>Perlmutter</w:t>
      </w:r>
      <w:proofErr w:type="spellEnd"/>
      <w:r>
        <w:t xml:space="preserve"> (Department of Neurology, Radiology, and Neurobiology at </w:t>
      </w:r>
      <w:r>
        <w:lastRenderedPageBreak/>
        <w:t xml:space="preserve">Washington University, St Louis), </w:t>
      </w:r>
      <w:proofErr w:type="spellStart"/>
      <w:r>
        <w:t>Hjörvar</w:t>
      </w:r>
      <w:proofErr w:type="spellEnd"/>
      <w:r>
        <w:t xml:space="preserve"> </w:t>
      </w:r>
      <w:proofErr w:type="spellStart"/>
      <w:r>
        <w:t>Pétursson</w:t>
      </w:r>
      <w:proofErr w:type="spellEnd"/>
      <w:r>
        <w:t xml:space="preserve"> (</w:t>
      </w:r>
      <w:proofErr w:type="spellStart"/>
      <w:r>
        <w:t>deCODE</w:t>
      </w:r>
      <w:proofErr w:type="spellEnd"/>
      <w:r>
        <w:t xml:space="preserve"> genetics; and Department of Medical Genetics, Institute of Human Genetics, University of </w:t>
      </w:r>
      <w:proofErr w:type="spellStart"/>
      <w:r>
        <w:t>Tübingen</w:t>
      </w:r>
      <w:proofErr w:type="spellEnd"/>
      <w:r>
        <w:t xml:space="preserve">), Pierre </w:t>
      </w:r>
      <w:proofErr w:type="spellStart"/>
      <w:r>
        <w:t>Pollak</w:t>
      </w:r>
      <w:proofErr w:type="spellEnd"/>
      <w:r>
        <w:t xml:space="preserve"> (Service de </w:t>
      </w:r>
      <w:proofErr w:type="spellStart"/>
      <w:r>
        <w:t>Neurologie</w:t>
      </w:r>
      <w:proofErr w:type="spellEnd"/>
      <w:r>
        <w:t xml:space="preserve">, CHU de Grenoble, Grenoble, France), Bart Post (Department of Neurology, </w:t>
      </w:r>
      <w:proofErr w:type="spellStart"/>
      <w:r>
        <w:t>Radboud</w:t>
      </w:r>
      <w:proofErr w:type="spellEnd"/>
      <w:r>
        <w:t xml:space="preserve"> University Nijmegen Medical Centre), Simon Potter (</w:t>
      </w:r>
      <w:proofErr w:type="spellStart"/>
      <w:r>
        <w:t>Wellcome</w:t>
      </w:r>
      <w:proofErr w:type="spellEnd"/>
      <w:r>
        <w:t xml:space="preserve"> Trust Sanger Institute), Bernard </w:t>
      </w:r>
      <w:proofErr w:type="spellStart"/>
      <w:r>
        <w:t>Ravina</w:t>
      </w:r>
      <w:proofErr w:type="spellEnd"/>
      <w:r>
        <w:t xml:space="preserve"> (Translational Neurology, Biogen Idec, MA, USA), </w:t>
      </w:r>
      <w:proofErr w:type="spellStart"/>
      <w:r>
        <w:t>Tamas</w:t>
      </w:r>
      <w:proofErr w:type="spellEnd"/>
      <w:r>
        <w:t xml:space="preserve"> </w:t>
      </w:r>
      <w:proofErr w:type="spellStart"/>
      <w:r>
        <w:t>Revesz</w:t>
      </w:r>
      <w:proofErr w:type="spellEnd"/>
      <w:r>
        <w:t xml:space="preserve"> (Queen Square Brain Bank for Neurological Disorders), Olaf </w:t>
      </w:r>
      <w:proofErr w:type="spellStart"/>
      <w:r>
        <w:t>Riess</w:t>
      </w:r>
      <w:proofErr w:type="spellEnd"/>
      <w:r>
        <w:t xml:space="preserve"> (Department of Medical Genetics, Institute of Human Genetics, University of </w:t>
      </w:r>
      <w:proofErr w:type="spellStart"/>
      <w:r>
        <w:t>Tübingen</w:t>
      </w:r>
      <w:proofErr w:type="spellEnd"/>
      <w:r>
        <w:t xml:space="preserve">), Fernando </w:t>
      </w:r>
      <w:proofErr w:type="spellStart"/>
      <w:r>
        <w:t>Rivadeneira</w:t>
      </w:r>
      <w:proofErr w:type="spellEnd"/>
      <w:r>
        <w:t xml:space="preserve"> (Departments of Epidemiology and Internal Medicine, Erasmus University Medical </w:t>
      </w:r>
      <w:proofErr w:type="spellStart"/>
      <w:r>
        <w:t>Center</w:t>
      </w:r>
      <w:proofErr w:type="spellEnd"/>
      <w:r>
        <w:t xml:space="preserve">), </w:t>
      </w:r>
      <w:proofErr w:type="spellStart"/>
      <w:r>
        <w:t>Patrizia</w:t>
      </w:r>
      <w:proofErr w:type="spellEnd"/>
      <w:r>
        <w:t xml:space="preserve"> </w:t>
      </w:r>
      <w:proofErr w:type="spellStart"/>
      <w:r>
        <w:t>Rizzu</w:t>
      </w:r>
      <w:proofErr w:type="spellEnd"/>
      <w:r>
        <w:t xml:space="preserve"> (Department of Clinical Genetics, Section of Medical Genomics, VU University Medical Centre), Mina </w:t>
      </w:r>
      <w:proofErr w:type="spellStart"/>
      <w:r>
        <w:t>Ryten</w:t>
      </w:r>
      <w:proofErr w:type="spellEnd"/>
      <w:r>
        <w:t xml:space="preserve"> (Department of Molecular Neuroscience, UCL Institute of Neurology), Stephen </w:t>
      </w:r>
      <w:proofErr w:type="spellStart"/>
      <w:r>
        <w:t>Sawcer</w:t>
      </w:r>
      <w:proofErr w:type="spellEnd"/>
      <w:r>
        <w:t xml:space="preserve"> (University of Cambridge, Department of Clinical Neurosciences, </w:t>
      </w:r>
      <w:proofErr w:type="spellStart"/>
      <w:r>
        <w:t>Addenbrooke’s</w:t>
      </w:r>
      <w:proofErr w:type="spellEnd"/>
      <w:r>
        <w:t xml:space="preserve"> hospital, Cambridge, UK), Anthony </w:t>
      </w:r>
      <w:proofErr w:type="spellStart"/>
      <w:r>
        <w:t>Schapira</w:t>
      </w:r>
      <w:proofErr w:type="spellEnd"/>
      <w:r>
        <w:t xml:space="preserve"> (Department of Clinical Neurosciences, UCL Institute of Neurology), Hans </w:t>
      </w:r>
      <w:proofErr w:type="spellStart"/>
      <w:r>
        <w:t>Scheffer</w:t>
      </w:r>
      <w:proofErr w:type="spellEnd"/>
      <w:r>
        <w:t xml:space="preserve"> (Department of Human Genetics, </w:t>
      </w:r>
      <w:proofErr w:type="spellStart"/>
      <w:r>
        <w:t>Radboud</w:t>
      </w:r>
      <w:proofErr w:type="spellEnd"/>
      <w:r>
        <w:t xml:space="preserve"> University Nijmegen Medical Centre, Nijmegen, Netherlands), Karen Shaw (Queen Square Brain Bank for Neurological Disorders), Ira </w:t>
      </w:r>
      <w:proofErr w:type="spellStart"/>
      <w:r>
        <w:t>Shoulson</w:t>
      </w:r>
      <w:proofErr w:type="spellEnd"/>
      <w:r>
        <w:t xml:space="preserve"> (Department of Neurology, University of Rochester, Rochester, NY, USA), Joshua Shulman (Departments of Neurology, Molecular and Human Genetics, and Neuroscience, Baylor College of Medicine and The Jan and Dan Duncan Neurological Research Institute, Texas Children’s Hospital), Ellen </w:t>
      </w:r>
      <w:proofErr w:type="spellStart"/>
      <w:r>
        <w:t>Sidransky</w:t>
      </w:r>
      <w:proofErr w:type="spellEnd"/>
      <w:r>
        <w:t xml:space="preserve"> (Section on Molecular </w:t>
      </w:r>
      <w:proofErr w:type="spellStart"/>
      <w:r>
        <w:t>Neurogenetics</w:t>
      </w:r>
      <w:proofErr w:type="spellEnd"/>
      <w:r>
        <w:t>, Medical Genetics Branch, NHGRI), Colin Smith (Department of Pathology, University of Edinburgh, Edinburgh, UK), Chris C A Spencer (</w:t>
      </w:r>
      <w:proofErr w:type="spellStart"/>
      <w:r>
        <w:t>Wellcome</w:t>
      </w:r>
      <w:proofErr w:type="spellEnd"/>
      <w:r>
        <w:t xml:space="preserve"> Trust Centre for Human Genetics, Oxford, UK), </w:t>
      </w:r>
      <w:proofErr w:type="spellStart"/>
      <w:r>
        <w:t>Hreinn</w:t>
      </w:r>
      <w:proofErr w:type="spellEnd"/>
      <w:r>
        <w:t xml:space="preserve"> </w:t>
      </w:r>
      <w:proofErr w:type="spellStart"/>
      <w:r>
        <w:t>Stefánsson</w:t>
      </w:r>
      <w:proofErr w:type="spellEnd"/>
      <w:r>
        <w:t xml:space="preserve"> (</w:t>
      </w:r>
      <w:proofErr w:type="spellStart"/>
      <w:r>
        <w:t>deCODE</w:t>
      </w:r>
      <w:proofErr w:type="spellEnd"/>
      <w:r>
        <w:t xml:space="preserve"> genetics), Francesco </w:t>
      </w:r>
      <w:proofErr w:type="spellStart"/>
      <w:r>
        <w:t>Bettella</w:t>
      </w:r>
      <w:proofErr w:type="spellEnd"/>
      <w:r>
        <w:t xml:space="preserve"> (</w:t>
      </w:r>
      <w:proofErr w:type="spellStart"/>
      <w:r>
        <w:t>deCODE</w:t>
      </w:r>
      <w:proofErr w:type="spellEnd"/>
      <w:r>
        <w:t xml:space="preserve"> genetics), Joanna D Stockton (School of Clinical and Experimental Medicine), Amy Strange (</w:t>
      </w:r>
      <w:proofErr w:type="spellStart"/>
      <w:r>
        <w:t>Wellcome</w:t>
      </w:r>
      <w:proofErr w:type="spellEnd"/>
      <w:r>
        <w:t xml:space="preserve"> Trust Centre for Human Genetics), Kevin Talbot (University of Oxford, Department of Clinical Neurology, John Radcliffe Hospital, Oxford, UK), Carlie M Tanner (Clinical Research Department, The Parkinson’s Institute and Clinical </w:t>
      </w:r>
      <w:proofErr w:type="spellStart"/>
      <w:r>
        <w:t>Center</w:t>
      </w:r>
      <w:proofErr w:type="spellEnd"/>
      <w:r>
        <w:t xml:space="preserve">, Sunnyvale, CA, USA), </w:t>
      </w:r>
      <w:proofErr w:type="spellStart"/>
      <w:r>
        <w:t>Avazeh</w:t>
      </w:r>
      <w:proofErr w:type="spellEnd"/>
      <w:r>
        <w:t xml:space="preserve"> </w:t>
      </w:r>
      <w:proofErr w:type="spellStart"/>
      <w:r>
        <w:t>Tashakkori-Ghanbaria</w:t>
      </w:r>
      <w:proofErr w:type="spellEnd"/>
      <w:r>
        <w:t xml:space="preserve"> (</w:t>
      </w:r>
      <w:proofErr w:type="spellStart"/>
      <w:r>
        <w:t>Wellcome</w:t>
      </w:r>
      <w:proofErr w:type="spellEnd"/>
      <w:r>
        <w:t xml:space="preserve"> Trust Sanger Institute), François </w:t>
      </w:r>
      <w:proofErr w:type="spellStart"/>
      <w:r>
        <w:t>Tison</w:t>
      </w:r>
      <w:proofErr w:type="spellEnd"/>
      <w:r>
        <w:t xml:space="preserve"> (Service de </w:t>
      </w:r>
      <w:proofErr w:type="spellStart"/>
      <w:r>
        <w:t>Neurologie</w:t>
      </w:r>
      <w:proofErr w:type="spellEnd"/>
      <w:r>
        <w:t xml:space="preserve">, </w:t>
      </w:r>
      <w:proofErr w:type="spellStart"/>
      <w:r>
        <w:t>Hôpital</w:t>
      </w:r>
      <w:proofErr w:type="spellEnd"/>
      <w:r>
        <w:t xml:space="preserve"> </w:t>
      </w:r>
      <w:proofErr w:type="spellStart"/>
      <w:r>
        <w:t>HautLévêque</w:t>
      </w:r>
      <w:proofErr w:type="spellEnd"/>
      <w:r>
        <w:t xml:space="preserve">, Pessac, France), </w:t>
      </w:r>
      <w:proofErr w:type="spellStart"/>
      <w:r>
        <w:t>Daniah</w:t>
      </w:r>
      <w:proofErr w:type="spellEnd"/>
      <w:r>
        <w:t xml:space="preserve"> </w:t>
      </w:r>
      <w:proofErr w:type="spellStart"/>
      <w:r>
        <w:t>Trabzuni</w:t>
      </w:r>
      <w:proofErr w:type="spellEnd"/>
      <w:r>
        <w:t xml:space="preserve"> (Department of Molecular Neuroscience, UCL Institute of Neurology), Bryan J </w:t>
      </w:r>
      <w:proofErr w:type="spellStart"/>
      <w:r>
        <w:t>Traynor</w:t>
      </w:r>
      <w:proofErr w:type="spellEnd"/>
      <w:r>
        <w:t xml:space="preserve"> (Laboratory of </w:t>
      </w:r>
      <w:proofErr w:type="spellStart"/>
      <w:r>
        <w:t>Neurogenetics</w:t>
      </w:r>
      <w:proofErr w:type="spellEnd"/>
      <w:r>
        <w:t xml:space="preserve">, National Institute on Aging), André G </w:t>
      </w:r>
      <w:proofErr w:type="spellStart"/>
      <w:r>
        <w:t>Uitterlinden</w:t>
      </w:r>
      <w:proofErr w:type="spellEnd"/>
      <w:r>
        <w:t xml:space="preserve"> (Departments of  Epidemiology and Internal Medicine, Erasmus University Medical </w:t>
      </w:r>
      <w:proofErr w:type="spellStart"/>
      <w:r>
        <w:t>Center</w:t>
      </w:r>
      <w:proofErr w:type="spellEnd"/>
      <w:r>
        <w:t xml:space="preserve">), </w:t>
      </w:r>
      <w:proofErr w:type="spellStart"/>
      <w:r>
        <w:t>Daan</w:t>
      </w:r>
      <w:proofErr w:type="spellEnd"/>
      <w:r>
        <w:t xml:space="preserve"> </w:t>
      </w:r>
      <w:proofErr w:type="spellStart"/>
      <w:r>
        <w:t>Velseboer</w:t>
      </w:r>
      <w:proofErr w:type="spellEnd"/>
      <w:r>
        <w:t xml:space="preserve"> (Department of Neurology, Academic Medical </w:t>
      </w:r>
      <w:proofErr w:type="spellStart"/>
      <w:r>
        <w:t>Center</w:t>
      </w:r>
      <w:proofErr w:type="spellEnd"/>
      <w:r>
        <w:t xml:space="preserve">), Marie </w:t>
      </w:r>
      <w:proofErr w:type="spellStart"/>
      <w:r>
        <w:t>Vidailhet</w:t>
      </w:r>
      <w:proofErr w:type="spellEnd"/>
      <w:r>
        <w:t xml:space="preserve"> (Sorbonne </w:t>
      </w:r>
      <w:proofErr w:type="spellStart"/>
      <w:r>
        <w:t>Université</w:t>
      </w:r>
      <w:proofErr w:type="spellEnd"/>
      <w:r>
        <w:t xml:space="preserve">, UPMC </w:t>
      </w:r>
      <w:proofErr w:type="spellStart"/>
      <w:r>
        <w:t>Univ</w:t>
      </w:r>
      <w:proofErr w:type="spellEnd"/>
      <w:r>
        <w:t xml:space="preserve"> Paris 06, UM 1127, ICM; </w:t>
      </w:r>
      <w:proofErr w:type="spellStart"/>
      <w:r>
        <w:t>Inserm</w:t>
      </w:r>
      <w:proofErr w:type="spellEnd"/>
      <w:r>
        <w:t xml:space="preserve">, U 1127, ICM; </w:t>
      </w:r>
      <w:proofErr w:type="spellStart"/>
      <w:r>
        <w:t>Cnrs</w:t>
      </w:r>
      <w:proofErr w:type="spellEnd"/>
      <w:r>
        <w:t xml:space="preserve">, UMR 7225, ICM; ICM, Paris), Robert Walker (Department of Pathology, University of Edinburgh), Bart van de </w:t>
      </w:r>
      <w:proofErr w:type="spellStart"/>
      <w:r>
        <w:t>Warrenburg</w:t>
      </w:r>
      <w:proofErr w:type="spellEnd"/>
      <w:r>
        <w:t xml:space="preserve"> (Department of Neurology, </w:t>
      </w:r>
      <w:proofErr w:type="spellStart"/>
      <w:r>
        <w:t>Radboud</w:t>
      </w:r>
      <w:proofErr w:type="spellEnd"/>
      <w:r>
        <w:t xml:space="preserve"> University Nijmegen Medical Centre), </w:t>
      </w:r>
      <w:proofErr w:type="spellStart"/>
      <w:r>
        <w:t>Mirdhu</w:t>
      </w:r>
      <w:proofErr w:type="spellEnd"/>
      <w:r>
        <w:t xml:space="preserve"> </w:t>
      </w:r>
      <w:proofErr w:type="spellStart"/>
      <w:r>
        <w:t>Wickremaratchi</w:t>
      </w:r>
      <w:proofErr w:type="spellEnd"/>
      <w:r>
        <w:t xml:space="preserve"> (Department of Neurology, Cardiff University, Cardiff, UK), Nigel Williams (MRC Centre for Neuropsychiatric Genetics and Genomics), Caroline H Williams-</w:t>
      </w:r>
      <w:proofErr w:type="spellStart"/>
      <w:r>
        <w:t>Gray</w:t>
      </w:r>
      <w:proofErr w:type="spellEnd"/>
      <w:r>
        <w:t xml:space="preserve"> (Department of Neurology, </w:t>
      </w:r>
      <w:proofErr w:type="spellStart"/>
      <w:r>
        <w:t>Addenbrooke’s</w:t>
      </w:r>
      <w:proofErr w:type="spellEnd"/>
      <w:r>
        <w:t xml:space="preserve"> Hospital), Sophie Winder-Rhodes (Department of Psychiatry and Medical Research Council and </w:t>
      </w:r>
      <w:proofErr w:type="spellStart"/>
      <w:r>
        <w:t>Wellcome</w:t>
      </w:r>
      <w:proofErr w:type="spellEnd"/>
      <w:r>
        <w:t xml:space="preserve"> Trust Behavioural and Clinical Neurosciences Institute, University of Cambridge), </w:t>
      </w:r>
      <w:proofErr w:type="spellStart"/>
      <w:r>
        <w:t>Kári</w:t>
      </w:r>
      <w:proofErr w:type="spellEnd"/>
      <w:r>
        <w:t xml:space="preserve"> </w:t>
      </w:r>
      <w:proofErr w:type="spellStart"/>
      <w:r>
        <w:t>Stefánsson</w:t>
      </w:r>
      <w:proofErr w:type="spellEnd"/>
      <w:r>
        <w:t xml:space="preserve"> (</w:t>
      </w:r>
      <w:proofErr w:type="spellStart"/>
      <w:r>
        <w:t>deCODE</w:t>
      </w:r>
      <w:proofErr w:type="spellEnd"/>
      <w:r>
        <w:t xml:space="preserve"> genetics), Maria Martinez (INSERM UMR 1043; and Paul Sabatier University), Nicholas W Wood (UCL Genetics Institute; and Department of Molecular Neuroscience, UCL Institute of Neurology), John Hardy (Department of Molecular Neuroscience, UCL Institute of Neurology), Peter </w:t>
      </w:r>
      <w:proofErr w:type="spellStart"/>
      <w:r>
        <w:t>Heutink</w:t>
      </w:r>
      <w:proofErr w:type="spellEnd"/>
      <w:r>
        <w:t xml:space="preserve"> (Department of Clinical Genetics, Section of Medical Genomics, VU University Medical Centre), Alexis Brice (Sorbonne </w:t>
      </w:r>
      <w:proofErr w:type="spellStart"/>
      <w:r>
        <w:t>Université</w:t>
      </w:r>
      <w:proofErr w:type="spellEnd"/>
      <w:r>
        <w:t xml:space="preserve">, UPMC </w:t>
      </w:r>
      <w:proofErr w:type="spellStart"/>
      <w:r>
        <w:t>Univ</w:t>
      </w:r>
      <w:proofErr w:type="spellEnd"/>
      <w:r>
        <w:t xml:space="preserve"> Paris 06, UM 1127, ICM; </w:t>
      </w:r>
      <w:proofErr w:type="spellStart"/>
      <w:r>
        <w:t>Inserm</w:t>
      </w:r>
      <w:proofErr w:type="spellEnd"/>
      <w:r>
        <w:t xml:space="preserve">, U 1127, ICM; </w:t>
      </w:r>
      <w:proofErr w:type="spellStart"/>
      <w:r>
        <w:t>Cnrs</w:t>
      </w:r>
      <w:proofErr w:type="spellEnd"/>
      <w:r>
        <w:t xml:space="preserve">, UMR 7225, ICM; ICM, Paris; AP-HP, </w:t>
      </w:r>
      <w:proofErr w:type="spellStart"/>
      <w:r>
        <w:t>Hôpital</w:t>
      </w:r>
      <w:proofErr w:type="spellEnd"/>
      <w:r>
        <w:t xml:space="preserve"> de la </w:t>
      </w:r>
      <w:proofErr w:type="spellStart"/>
      <w:r>
        <w:t>Salpêtrière</w:t>
      </w:r>
      <w:proofErr w:type="spellEnd"/>
      <w:r>
        <w:t xml:space="preserve">, </w:t>
      </w:r>
      <w:proofErr w:type="spellStart"/>
      <w:r>
        <w:t>Département</w:t>
      </w:r>
      <w:proofErr w:type="spellEnd"/>
      <w:r>
        <w:t xml:space="preserve"> de </w:t>
      </w:r>
      <w:proofErr w:type="spellStart"/>
      <w:r>
        <w:t>Génétique</w:t>
      </w:r>
      <w:proofErr w:type="spellEnd"/>
      <w:r>
        <w:t xml:space="preserve"> et </w:t>
      </w:r>
      <w:proofErr w:type="spellStart"/>
      <w:r>
        <w:t>Cytogénétique</w:t>
      </w:r>
      <w:proofErr w:type="spellEnd"/>
      <w:r>
        <w:t xml:space="preserve">), Thomas Gasser (Department for Neurodegenerative Diseases, </w:t>
      </w:r>
      <w:proofErr w:type="spellStart"/>
      <w:r>
        <w:t>Hertie</w:t>
      </w:r>
      <w:proofErr w:type="spellEnd"/>
      <w:r>
        <w:t xml:space="preserve"> Institute for Clinical Brain Research, and DZNE, German </w:t>
      </w:r>
      <w:proofErr w:type="spellStart"/>
      <w:r>
        <w:t>Center</w:t>
      </w:r>
      <w:proofErr w:type="spellEnd"/>
      <w:r>
        <w:t xml:space="preserve"> for Neurodegenerative Diseases), Andrew B Singleton (Laboratory of </w:t>
      </w:r>
      <w:proofErr w:type="spellStart"/>
      <w:r>
        <w:t>Neurogenetics</w:t>
      </w:r>
      <w:proofErr w:type="spellEnd"/>
      <w:r>
        <w:t xml:space="preserve">, National Institute on Aging). </w:t>
      </w:r>
    </w:p>
    <w:p w:rsidR="00CD5C74" w:rsidRDefault="00CD5C74" w:rsidP="00DE5A8F">
      <w:pPr>
        <w:spacing w:line="480" w:lineRule="auto"/>
        <w:jc w:val="both"/>
      </w:pPr>
    </w:p>
    <w:sectPr w:rsidR="00CD5C74" w:rsidSect="00540C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DCB"/>
    <w:rsid w:val="00240741"/>
    <w:rsid w:val="00270CCA"/>
    <w:rsid w:val="00295ED6"/>
    <w:rsid w:val="002A3141"/>
    <w:rsid w:val="00540C0E"/>
    <w:rsid w:val="007A0E8B"/>
    <w:rsid w:val="0088646A"/>
    <w:rsid w:val="00A10360"/>
    <w:rsid w:val="00B04D8F"/>
    <w:rsid w:val="00B22DCB"/>
    <w:rsid w:val="00CD5C74"/>
    <w:rsid w:val="00CF6DB9"/>
    <w:rsid w:val="00DE5A8F"/>
    <w:rsid w:val="00E76F26"/>
    <w:rsid w:val="00F770BD"/>
    <w:rsid w:val="00F82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BEF87-F57B-4D56-ABE3-8CD7905C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22DCB"/>
    <w:rPr>
      <w:sz w:val="18"/>
      <w:szCs w:val="18"/>
    </w:rPr>
  </w:style>
  <w:style w:type="paragraph" w:styleId="CommentText">
    <w:name w:val="annotation text"/>
    <w:basedOn w:val="Normal"/>
    <w:link w:val="CommentTextChar"/>
    <w:uiPriority w:val="99"/>
    <w:semiHidden/>
    <w:unhideWhenUsed/>
    <w:rsid w:val="00B22DCB"/>
    <w:pPr>
      <w:spacing w:line="240" w:lineRule="auto"/>
    </w:pPr>
    <w:rPr>
      <w:sz w:val="24"/>
      <w:szCs w:val="24"/>
    </w:rPr>
  </w:style>
  <w:style w:type="character" w:customStyle="1" w:styleId="CommentTextChar">
    <w:name w:val="Comment Text Char"/>
    <w:basedOn w:val="DefaultParagraphFont"/>
    <w:link w:val="CommentText"/>
    <w:uiPriority w:val="99"/>
    <w:semiHidden/>
    <w:rsid w:val="00B22DCB"/>
    <w:rPr>
      <w:sz w:val="24"/>
      <w:szCs w:val="24"/>
    </w:rPr>
  </w:style>
  <w:style w:type="paragraph" w:styleId="BalloonText">
    <w:name w:val="Balloon Text"/>
    <w:basedOn w:val="Normal"/>
    <w:link w:val="BalloonTextChar"/>
    <w:uiPriority w:val="99"/>
    <w:semiHidden/>
    <w:unhideWhenUsed/>
    <w:rsid w:val="00B22D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DCB"/>
    <w:rPr>
      <w:rFonts w:ascii="Tahoma" w:hAnsi="Tahoma" w:cs="Tahoma"/>
      <w:sz w:val="16"/>
      <w:szCs w:val="16"/>
    </w:rPr>
  </w:style>
  <w:style w:type="character" w:styleId="Hyperlink">
    <w:name w:val="Hyperlink"/>
    <w:basedOn w:val="DefaultParagraphFont"/>
    <w:uiPriority w:val="99"/>
    <w:unhideWhenUsed/>
    <w:rsid w:val="00B22DCB"/>
    <w:rPr>
      <w:color w:val="0000FF" w:themeColor="hyperlink"/>
      <w:u w:val="single"/>
    </w:rPr>
  </w:style>
  <w:style w:type="paragraph" w:styleId="NormalWeb">
    <w:name w:val="Normal (Web)"/>
    <w:basedOn w:val="Normal"/>
    <w:uiPriority w:val="99"/>
    <w:unhideWhenUsed/>
    <w:rsid w:val="00DE5A8F"/>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975041">
      <w:bodyDiv w:val="1"/>
      <w:marLeft w:val="0"/>
      <w:marRight w:val="0"/>
      <w:marTop w:val="0"/>
      <w:marBottom w:val="0"/>
      <w:divBdr>
        <w:top w:val="none" w:sz="0" w:space="0" w:color="auto"/>
        <w:left w:val="none" w:sz="0" w:space="0" w:color="auto"/>
        <w:bottom w:val="none" w:sz="0" w:space="0" w:color="auto"/>
        <w:right w:val="none" w:sz="0" w:space="0" w:color="auto"/>
      </w:divBdr>
      <w:divsChild>
        <w:div w:id="1971937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browser.1000genome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6597580-18F1-4FD0-9AE4-684E223F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6017</Words>
  <Characters>34301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Lubbe</dc:creator>
  <cp:lastModifiedBy>Steven J Lubbe</cp:lastModifiedBy>
  <cp:revision>11</cp:revision>
  <dcterms:created xsi:type="dcterms:W3CDTF">2015-06-09T14:22:00Z</dcterms:created>
  <dcterms:modified xsi:type="dcterms:W3CDTF">2016-07-22T10:08:00Z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sjlubbe@googlemail.com@www.mendeley.com</vt:lpwstr>
  </property>
  <property fmtid="{D5CDD505-2E9C-101B-9397-08002B2CF9AE}" pid="4" name="Mendeley Citation Style_1">
    <vt:lpwstr>http://www.zotero.org/styles/human-molecular-genetics</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http://www.zotero.org/styles/cell-reports</vt:lpwstr>
  </property>
  <property fmtid="{D5CDD505-2E9C-101B-9397-08002B2CF9AE}" pid="14" name="Mendeley Recent Style Name 4_1">
    <vt:lpwstr>Cell Reports</vt:lpwstr>
  </property>
  <property fmtid="{D5CDD505-2E9C-101B-9397-08002B2CF9AE}" pid="15" name="Mendeley Recent Style Id 5_1">
    <vt:lpwstr>http://www.zotero.org/styles/chicago-author-date</vt:lpwstr>
  </property>
  <property fmtid="{D5CDD505-2E9C-101B-9397-08002B2CF9AE}" pid="16" name="Mendeley Recent Style Name 5_1">
    <vt:lpwstr>Chicago Manual of Style 16th edition (author-date)</vt:lpwstr>
  </property>
  <property fmtid="{D5CDD505-2E9C-101B-9397-08002B2CF9AE}" pid="17" name="Mendeley Recent Style Id 6_1">
    <vt:lpwstr>http://www.zotero.org/styles/human-molecular-genetics</vt:lpwstr>
  </property>
  <property fmtid="{D5CDD505-2E9C-101B-9397-08002B2CF9AE}" pid="18" name="Mendeley Recent Style Name 6_1">
    <vt:lpwstr>Human Molecular Genetics</vt:lpwstr>
  </property>
  <property fmtid="{D5CDD505-2E9C-101B-9397-08002B2CF9AE}" pid="19" name="Mendeley Recent Style Id 7_1">
    <vt:lpwstr>http://www.zotero.org/styles/nature</vt:lpwstr>
  </property>
  <property fmtid="{D5CDD505-2E9C-101B-9397-08002B2CF9AE}" pid="20" name="Mendeley Recent Style Name 7_1">
    <vt:lpwstr>Nature</vt:lpwstr>
  </property>
  <property fmtid="{D5CDD505-2E9C-101B-9397-08002B2CF9AE}" pid="21" name="Mendeley Recent Style Id 8_1">
    <vt:lpwstr>http://www.zotero.org/styles/neuroscience-letters</vt:lpwstr>
  </property>
  <property fmtid="{D5CDD505-2E9C-101B-9397-08002B2CF9AE}" pid="22" name="Mendeley Recent Style Name 8_1">
    <vt:lpwstr>Neuroscience Letters</vt:lpwstr>
  </property>
  <property fmtid="{D5CDD505-2E9C-101B-9397-08002B2CF9AE}" pid="23" name="Mendeley Recent Style Id 9_1">
    <vt:lpwstr>http://www.zotero.org/styles/vancouver-brackets</vt:lpwstr>
  </property>
  <property fmtid="{D5CDD505-2E9C-101B-9397-08002B2CF9AE}" pid="24" name="Mendeley Recent Style Name 9_1">
    <vt:lpwstr>Vancouver (brackets)</vt:lpwstr>
  </property>
</Properties>
</file>