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B1" w:rsidRPr="00D616E1" w:rsidRDefault="00407EB1" w:rsidP="00407EB1">
      <w:pPr>
        <w:pStyle w:val="Titel"/>
        <w:rPr>
          <w:lang w:val="en-GB"/>
        </w:rPr>
      </w:pPr>
      <w:bookmarkStart w:id="0" w:name="_GoBack"/>
      <w:bookmarkEnd w:id="0"/>
      <w:r w:rsidRPr="00D616E1">
        <w:rPr>
          <w:lang w:val="en-GB"/>
        </w:rPr>
        <w:t>A decision-analytic model to assess the cost-effectiveness of etelcalcetide</w:t>
      </w:r>
      <w:r>
        <w:rPr>
          <w:lang w:val="en-GB"/>
        </w:rPr>
        <w:t xml:space="preserve"> vs cinacalcet</w:t>
      </w:r>
    </w:p>
    <w:p w:rsidR="00407EB1" w:rsidRPr="00D616E1" w:rsidRDefault="00407EB1" w:rsidP="00407EB1">
      <w:pPr>
        <w:pStyle w:val="Untertitel"/>
        <w:rPr>
          <w:lang w:val="en-GB"/>
        </w:rPr>
      </w:pPr>
      <w:r w:rsidRPr="00D616E1">
        <w:rPr>
          <w:lang w:val="en-GB"/>
        </w:rPr>
        <w:t>Björn Stollenwerk, PhD,</w:t>
      </w:r>
      <w:r w:rsidRPr="00D616E1">
        <w:rPr>
          <w:vertAlign w:val="superscript"/>
          <w:lang w:val="en-GB"/>
        </w:rPr>
        <w:t>1</w:t>
      </w:r>
      <w:r>
        <w:rPr>
          <w:vertAlign w:val="superscript"/>
          <w:lang w:val="en-GB"/>
        </w:rPr>
        <w:t>,2</w:t>
      </w:r>
      <w:r w:rsidRPr="00D616E1">
        <w:rPr>
          <w:vertAlign w:val="superscript"/>
          <w:lang w:val="en-GB"/>
        </w:rPr>
        <w:t xml:space="preserve"> </w:t>
      </w:r>
      <w:r w:rsidRPr="00D616E1">
        <w:rPr>
          <w:lang w:val="en-GB"/>
        </w:rPr>
        <w:t>Sergio Iannazzo, MBA, EngD,</w:t>
      </w:r>
      <w:r>
        <w:rPr>
          <w:vertAlign w:val="superscript"/>
          <w:lang w:val="en-GB"/>
        </w:rPr>
        <w:t>3</w:t>
      </w:r>
      <w:r w:rsidRPr="00D616E1">
        <w:rPr>
          <w:lang w:val="en-GB"/>
        </w:rPr>
        <w:t xml:space="preserve"> Ron Akehurst, BSc (Econ) (London), Hon MFPHM,</w:t>
      </w:r>
      <w:r>
        <w:rPr>
          <w:vertAlign w:val="superscript"/>
          <w:lang w:val="en-GB"/>
        </w:rPr>
        <w:t>4</w:t>
      </w:r>
      <w:r w:rsidRPr="00D616E1">
        <w:rPr>
          <w:lang w:val="en-GB"/>
        </w:rPr>
        <w:t xml:space="preserve"> Michael Adena, PhD,</w:t>
      </w:r>
      <w:r>
        <w:rPr>
          <w:vertAlign w:val="superscript"/>
          <w:lang w:val="en-GB"/>
        </w:rPr>
        <w:t>5</w:t>
      </w:r>
      <w:r w:rsidRPr="00D616E1">
        <w:rPr>
          <w:lang w:val="en-GB"/>
        </w:rPr>
        <w:t xml:space="preserve"> Andrew Briggs, DPhil,</w:t>
      </w:r>
      <w:r>
        <w:rPr>
          <w:vertAlign w:val="superscript"/>
          <w:lang w:val="en-GB"/>
        </w:rPr>
        <w:t>6</w:t>
      </w:r>
      <w:r w:rsidRPr="00D616E1">
        <w:rPr>
          <w:lang w:val="en-GB"/>
        </w:rPr>
        <w:t xml:space="preserve"> Bastian Dehmel, MD</w:t>
      </w:r>
      <w:r w:rsidRPr="00FC75BB">
        <w:rPr>
          <w:vertAlign w:val="superscript"/>
          <w:lang w:val="en-GB"/>
        </w:rPr>
        <w:t>1</w:t>
      </w:r>
      <w:r>
        <w:rPr>
          <w:vertAlign w:val="superscript"/>
          <w:lang w:val="en-GB"/>
        </w:rPr>
        <w:t>,7</w:t>
      </w:r>
      <w:r w:rsidRPr="00D616E1">
        <w:rPr>
          <w:lang w:val="en-GB"/>
        </w:rPr>
        <w:t xml:space="preserve"> Patrick Parfrey, MD, FRCPC, OC, FRSC,</w:t>
      </w:r>
      <w:r>
        <w:rPr>
          <w:vertAlign w:val="superscript"/>
          <w:lang w:val="en-GB"/>
        </w:rPr>
        <w:t>8</w:t>
      </w:r>
      <w:r w:rsidRPr="00D616E1">
        <w:rPr>
          <w:lang w:val="en-GB"/>
        </w:rPr>
        <w:t xml:space="preserve"> Vasily Belozeroff, PhD</w:t>
      </w:r>
      <w:r>
        <w:rPr>
          <w:vertAlign w:val="superscript"/>
          <w:lang w:val="en-GB"/>
        </w:rPr>
        <w:t>7</w:t>
      </w:r>
      <w:r w:rsidRPr="00D616E1">
        <w:rPr>
          <w:lang w:val="en-GB"/>
        </w:rPr>
        <w:t xml:space="preserve"> </w:t>
      </w:r>
    </w:p>
    <w:p w:rsidR="00407EB1" w:rsidRPr="00D616E1" w:rsidRDefault="00407EB1" w:rsidP="00407EB1">
      <w:pPr>
        <w:rPr>
          <w:lang w:val="en-GB"/>
        </w:rPr>
      </w:pPr>
    </w:p>
    <w:p w:rsidR="00407EB1" w:rsidRPr="0035117C" w:rsidRDefault="00407EB1" w:rsidP="00407EB1">
      <w:pPr>
        <w:rPr>
          <w:lang w:val="de-CH"/>
        </w:rPr>
      </w:pPr>
      <w:r w:rsidRPr="0035117C">
        <w:rPr>
          <w:lang w:val="de-CH"/>
        </w:rPr>
        <w:t>1 – Amgen Europe (GmbH), Dammstrasse 23, 6301 Zug, Switzerland</w:t>
      </w:r>
    </w:p>
    <w:p w:rsidR="00407EB1" w:rsidRPr="00B751B0" w:rsidRDefault="00407EB1" w:rsidP="00407EB1">
      <w:pPr>
        <w:rPr>
          <w:lang w:val="en-US"/>
        </w:rPr>
      </w:pPr>
      <w:r w:rsidRPr="00B751B0">
        <w:rPr>
          <w:lang w:val="de-CH"/>
        </w:rPr>
        <w:t xml:space="preserve">2 </w:t>
      </w:r>
      <w:r w:rsidRPr="0035117C">
        <w:rPr>
          <w:lang w:val="de-CH"/>
        </w:rPr>
        <w:t xml:space="preserve">– </w:t>
      </w:r>
      <w:r>
        <w:rPr>
          <w:lang w:val="de-CH"/>
        </w:rPr>
        <w:t xml:space="preserve">Helmholtz Zentrum München, Ingolstädter Landstr. </w:t>
      </w:r>
      <w:r w:rsidRPr="00B751B0">
        <w:rPr>
          <w:lang w:val="en-US"/>
        </w:rPr>
        <w:t xml:space="preserve">1, </w:t>
      </w:r>
      <w:r>
        <w:rPr>
          <w:lang w:val="en-US"/>
        </w:rPr>
        <w:t xml:space="preserve">85764 </w:t>
      </w:r>
      <w:r w:rsidRPr="00B751B0">
        <w:rPr>
          <w:lang w:val="en-US"/>
        </w:rPr>
        <w:t>Neuherberg, Germany</w:t>
      </w:r>
    </w:p>
    <w:p w:rsidR="00407EB1" w:rsidRPr="00D616E1" w:rsidRDefault="00407EB1" w:rsidP="00407EB1">
      <w:pPr>
        <w:rPr>
          <w:lang w:val="en-GB"/>
        </w:rPr>
      </w:pPr>
      <w:r>
        <w:rPr>
          <w:lang w:val="en-GB"/>
        </w:rPr>
        <w:t>3</w:t>
      </w:r>
      <w:r w:rsidRPr="00D616E1">
        <w:rPr>
          <w:lang w:val="en-GB"/>
        </w:rPr>
        <w:t xml:space="preserve"> – SIHS Health Economics Consulting, Via Sebastiano Caboto, 45, 10129 Torino, Italy</w:t>
      </w:r>
    </w:p>
    <w:p w:rsidR="00407EB1" w:rsidRPr="00D616E1" w:rsidRDefault="00407EB1" w:rsidP="00407EB1">
      <w:pPr>
        <w:rPr>
          <w:lang w:val="en-GB"/>
        </w:rPr>
      </w:pPr>
      <w:r>
        <w:rPr>
          <w:lang w:val="en-GB"/>
        </w:rPr>
        <w:t>4</w:t>
      </w:r>
      <w:r w:rsidRPr="00D616E1">
        <w:rPr>
          <w:lang w:val="en-GB"/>
        </w:rPr>
        <w:t xml:space="preserve"> – BresMed, North Church House, 84 Queen Street, Sheffield, S1 2DW, UK; University of Sheffield, Regent Court, 30 Regent Street, Sheffield, S1 4DA, UK</w:t>
      </w:r>
    </w:p>
    <w:p w:rsidR="00407EB1" w:rsidRPr="00D616E1" w:rsidRDefault="00407EB1" w:rsidP="00407EB1">
      <w:pPr>
        <w:rPr>
          <w:lang w:val="en-GB"/>
        </w:rPr>
      </w:pPr>
      <w:r>
        <w:rPr>
          <w:lang w:val="en-GB"/>
        </w:rPr>
        <w:t>5</w:t>
      </w:r>
      <w:r w:rsidRPr="00D616E1">
        <w:rPr>
          <w:lang w:val="en-GB"/>
        </w:rPr>
        <w:t xml:space="preserve"> – </w:t>
      </w:r>
      <w:r w:rsidRPr="00DF4865">
        <w:rPr>
          <w:lang w:val="en-GB"/>
        </w:rPr>
        <w:t>Datalytics Pty Ltd, 19/12 Trevillian Quay Kingston ACT 2603</w:t>
      </w:r>
      <w:r>
        <w:rPr>
          <w:lang w:val="en-GB"/>
        </w:rPr>
        <w:t>, Australia</w:t>
      </w:r>
    </w:p>
    <w:p w:rsidR="00407EB1" w:rsidRPr="00D616E1" w:rsidRDefault="00407EB1" w:rsidP="00407EB1">
      <w:pPr>
        <w:rPr>
          <w:lang w:val="en-GB"/>
        </w:rPr>
      </w:pPr>
      <w:r>
        <w:rPr>
          <w:lang w:val="en-GB"/>
        </w:rPr>
        <w:t>6</w:t>
      </w:r>
      <w:r w:rsidRPr="00D616E1">
        <w:rPr>
          <w:lang w:val="en-GB"/>
        </w:rPr>
        <w:t xml:space="preserve"> – Health Economics &amp; Health Technology Assessment, University of Glasgow, UK</w:t>
      </w:r>
    </w:p>
    <w:p w:rsidR="00407EB1" w:rsidRPr="00D616E1" w:rsidRDefault="00407EB1" w:rsidP="00407EB1">
      <w:pPr>
        <w:rPr>
          <w:lang w:val="en-GB"/>
        </w:rPr>
      </w:pPr>
      <w:r>
        <w:rPr>
          <w:lang w:val="en-GB"/>
        </w:rPr>
        <w:t>7</w:t>
      </w:r>
      <w:r w:rsidRPr="00D616E1">
        <w:rPr>
          <w:lang w:val="en-GB"/>
        </w:rPr>
        <w:t xml:space="preserve"> – Amgen Inc., One Amgen Center Drive, Thousand Oaks, CA 91320, USA</w:t>
      </w:r>
    </w:p>
    <w:p w:rsidR="00407EB1" w:rsidRPr="00D616E1" w:rsidRDefault="00407EB1" w:rsidP="00407EB1">
      <w:pPr>
        <w:rPr>
          <w:lang w:val="en-GB"/>
        </w:rPr>
      </w:pPr>
      <w:r>
        <w:rPr>
          <w:lang w:val="en-GB"/>
        </w:rPr>
        <w:t>8</w:t>
      </w:r>
      <w:r w:rsidRPr="00D616E1">
        <w:rPr>
          <w:lang w:val="en-GB"/>
        </w:rPr>
        <w:t xml:space="preserve"> – Memorial University, St. John's, NL A1C 5S7, P.O. Box 4200, Newfoundland, Canada</w:t>
      </w:r>
    </w:p>
    <w:p w:rsidR="00407EB1" w:rsidRPr="00D616E1" w:rsidRDefault="00407EB1" w:rsidP="00407EB1">
      <w:pPr>
        <w:rPr>
          <w:lang w:val="en-GB"/>
        </w:rPr>
      </w:pPr>
    </w:p>
    <w:p w:rsidR="00407EB1" w:rsidRPr="00D616E1" w:rsidRDefault="00407EB1" w:rsidP="00407EB1">
      <w:pPr>
        <w:rPr>
          <w:lang w:val="en-GB"/>
        </w:rPr>
      </w:pPr>
      <w:r w:rsidRPr="00D616E1">
        <w:rPr>
          <w:lang w:val="en-GB"/>
        </w:rPr>
        <w:t>Correspondence regarding this paper should be addressed to:</w:t>
      </w:r>
    </w:p>
    <w:p w:rsidR="00407EB1" w:rsidRPr="0035117C" w:rsidRDefault="00407EB1" w:rsidP="00407EB1">
      <w:pPr>
        <w:rPr>
          <w:lang w:val="de-CH"/>
        </w:rPr>
      </w:pPr>
      <w:r w:rsidRPr="0035117C">
        <w:rPr>
          <w:lang w:val="de-CH"/>
        </w:rPr>
        <w:t>Björn Stollenwerk,</w:t>
      </w:r>
    </w:p>
    <w:p w:rsidR="00407EB1" w:rsidRPr="0035117C" w:rsidRDefault="00407EB1" w:rsidP="00407EB1">
      <w:pPr>
        <w:rPr>
          <w:lang w:val="de-CH"/>
        </w:rPr>
      </w:pPr>
      <w:r w:rsidRPr="0035117C">
        <w:rPr>
          <w:lang w:val="de-CH"/>
        </w:rPr>
        <w:t>Amgen (Europe) GmbH, Dammstrasse 23</w:t>
      </w:r>
    </w:p>
    <w:p w:rsidR="00407EB1" w:rsidRPr="0035117C" w:rsidRDefault="00407EB1" w:rsidP="00407EB1">
      <w:pPr>
        <w:rPr>
          <w:lang w:val="de-CH"/>
        </w:rPr>
      </w:pPr>
      <w:r w:rsidRPr="0035117C">
        <w:rPr>
          <w:lang w:val="de-CH"/>
        </w:rPr>
        <w:lastRenderedPageBreak/>
        <w:t>P.O. Box 1557, CH-6301 Zug, Switzerland</w:t>
      </w:r>
    </w:p>
    <w:p w:rsidR="00407EB1" w:rsidRPr="0026674A" w:rsidRDefault="00407EB1" w:rsidP="00407EB1">
      <w:pPr>
        <w:rPr>
          <w:lang w:val="en-US"/>
        </w:rPr>
      </w:pPr>
      <w:r w:rsidRPr="0026674A">
        <w:rPr>
          <w:lang w:val="en-US"/>
        </w:rPr>
        <w:t>T: +41(0) 413690383</w:t>
      </w:r>
    </w:p>
    <w:p w:rsidR="00407EB1" w:rsidRPr="0026674A" w:rsidRDefault="00407EB1" w:rsidP="00407EB1">
      <w:pPr>
        <w:rPr>
          <w:lang w:val="en-US"/>
        </w:rPr>
      </w:pPr>
      <w:r w:rsidRPr="0026674A">
        <w:rPr>
          <w:lang w:val="en-US"/>
        </w:rPr>
        <w:t>M: +41(0)795437898</w:t>
      </w:r>
    </w:p>
    <w:p w:rsidR="00407EB1" w:rsidRPr="0026674A" w:rsidRDefault="00CC2C8C" w:rsidP="00407EB1">
      <w:pPr>
        <w:rPr>
          <w:lang w:val="en-US"/>
        </w:rPr>
      </w:pPr>
      <w:hyperlink r:id="rId9" w:history="1">
        <w:r w:rsidR="00407EB1" w:rsidRPr="0026674A">
          <w:rPr>
            <w:rStyle w:val="Hyperlink"/>
            <w:lang w:val="en-US"/>
          </w:rPr>
          <w:t>bjoerns@amgen.com</w:t>
        </w:r>
      </w:hyperlink>
    </w:p>
    <w:p w:rsidR="00407EB1" w:rsidRPr="0026674A" w:rsidRDefault="00407EB1" w:rsidP="00407EB1">
      <w:pPr>
        <w:rPr>
          <w:lang w:val="en-US"/>
        </w:rPr>
      </w:pPr>
    </w:p>
    <w:p w:rsidR="00407EB1" w:rsidRPr="0026674A" w:rsidRDefault="00407EB1" w:rsidP="00407EB1">
      <w:pPr>
        <w:rPr>
          <w:lang w:val="en-US"/>
        </w:rPr>
      </w:pPr>
    </w:p>
    <w:p w:rsidR="00407EB1" w:rsidRPr="00D616E1" w:rsidRDefault="00407EB1" w:rsidP="00407EB1">
      <w:pPr>
        <w:rPr>
          <w:lang w:val="en-GB"/>
        </w:rPr>
      </w:pPr>
    </w:p>
    <w:p w:rsidR="00407EB1" w:rsidRPr="00D616E1" w:rsidRDefault="00407EB1" w:rsidP="00407EB1">
      <w:pPr>
        <w:rPr>
          <w:b/>
          <w:lang w:val="en-GB"/>
        </w:rPr>
      </w:pPr>
      <w:r w:rsidRPr="00D616E1">
        <w:rPr>
          <w:b/>
          <w:lang w:val="en-GB"/>
        </w:rPr>
        <w:t xml:space="preserve">RUNNING TITLE </w:t>
      </w:r>
    </w:p>
    <w:p w:rsidR="00407EB1" w:rsidRPr="00D616E1" w:rsidRDefault="00407EB1" w:rsidP="00407EB1">
      <w:pPr>
        <w:rPr>
          <w:lang w:val="en-GB"/>
        </w:rPr>
      </w:pPr>
      <w:r w:rsidRPr="00D616E1">
        <w:rPr>
          <w:lang w:val="en-GB"/>
        </w:rPr>
        <w:t xml:space="preserve">Cost-effectiveness </w:t>
      </w:r>
      <w:r>
        <w:rPr>
          <w:lang w:val="en-GB"/>
        </w:rPr>
        <w:t>model</w:t>
      </w:r>
      <w:r w:rsidRPr="00D616E1">
        <w:rPr>
          <w:lang w:val="en-GB"/>
        </w:rPr>
        <w:t xml:space="preserve"> </w:t>
      </w:r>
      <w:r>
        <w:rPr>
          <w:lang w:val="en-GB"/>
        </w:rPr>
        <w:t xml:space="preserve">for </w:t>
      </w:r>
      <w:r w:rsidRPr="00D616E1">
        <w:rPr>
          <w:lang w:val="en-GB"/>
        </w:rPr>
        <w:t>etelcalcetide</w:t>
      </w:r>
    </w:p>
    <w:p w:rsidR="00407EB1" w:rsidRPr="00D616E1" w:rsidRDefault="00407EB1" w:rsidP="00407EB1">
      <w:pPr>
        <w:rPr>
          <w:lang w:val="en-GB"/>
        </w:rPr>
      </w:pPr>
    </w:p>
    <w:p w:rsidR="00407EB1" w:rsidRPr="005C4935" w:rsidRDefault="00407EB1" w:rsidP="00407EB1">
      <w:pPr>
        <w:rPr>
          <w:b/>
        </w:rPr>
      </w:pPr>
      <w:r>
        <w:rPr>
          <w:b/>
          <w:lang w:val="en-GB"/>
        </w:rPr>
        <w:t>COMPLIANCE WITH ETHICAL STANDARDS</w:t>
      </w:r>
    </w:p>
    <w:p w:rsidR="00407EB1" w:rsidRPr="00D616E1" w:rsidRDefault="00407EB1" w:rsidP="00407EB1">
      <w:pPr>
        <w:rPr>
          <w:lang w:val="en-GB"/>
        </w:rPr>
      </w:pPr>
      <w:r w:rsidRPr="00D616E1">
        <w:rPr>
          <w:lang w:val="en-GB"/>
        </w:rPr>
        <w:t xml:space="preserve">Financial support for this study was provided by Amgen. SI, MA, RA, PP and AB contributed to the development of the study through a consulting agreement with Amgen. BS, BD and VB are employed by Amgen. The funding agreement ensured the authors’ independence in designing the study, interpreting the data, writing, and publishing the report. </w:t>
      </w:r>
    </w:p>
    <w:p w:rsidR="00407EB1" w:rsidRPr="00D616E1" w:rsidRDefault="00407EB1" w:rsidP="00407EB1">
      <w:pPr>
        <w:rPr>
          <w:lang w:val="en-GB"/>
        </w:rPr>
      </w:pPr>
    </w:p>
    <w:p w:rsidR="00407EB1" w:rsidRPr="00D616E1" w:rsidRDefault="00407EB1" w:rsidP="00407EB1">
      <w:pPr>
        <w:rPr>
          <w:rFonts w:asciiTheme="majorHAnsi" w:eastAsiaTheme="majorEastAsia" w:hAnsiTheme="majorHAnsi" w:cstheme="majorBidi"/>
          <w:b/>
          <w:bCs/>
          <w:color w:val="2C6EAB" w:themeColor="accent1" w:themeShade="B5"/>
          <w:sz w:val="32"/>
          <w:szCs w:val="32"/>
          <w:lang w:val="en-GB"/>
        </w:rPr>
      </w:pPr>
      <w:r w:rsidRPr="00D616E1">
        <w:rPr>
          <w:lang w:val="en-GB"/>
        </w:rPr>
        <w:br w:type="page"/>
      </w:r>
    </w:p>
    <w:p w:rsidR="00407EB1" w:rsidRPr="00D616E1" w:rsidRDefault="00407EB1" w:rsidP="00407EB1">
      <w:pPr>
        <w:rPr>
          <w:b/>
          <w:lang w:val="en-GB"/>
        </w:rPr>
      </w:pPr>
      <w:r w:rsidRPr="00D616E1">
        <w:rPr>
          <w:b/>
          <w:lang w:val="en-GB"/>
        </w:rPr>
        <w:lastRenderedPageBreak/>
        <w:t>ABSTRACT</w:t>
      </w:r>
    </w:p>
    <w:p w:rsidR="00407EB1" w:rsidRPr="00D616E1" w:rsidRDefault="00407EB1" w:rsidP="00407EB1">
      <w:pPr>
        <w:rPr>
          <w:highlight w:val="yellow"/>
          <w:lang w:val="en-GB"/>
        </w:rPr>
      </w:pPr>
    </w:p>
    <w:p w:rsidR="00407EB1" w:rsidRPr="00D616E1" w:rsidRDefault="00407EB1" w:rsidP="00407EB1">
      <w:pPr>
        <w:rPr>
          <w:lang w:val="en-GB"/>
        </w:rPr>
      </w:pPr>
      <w:r w:rsidRPr="00D616E1">
        <w:rPr>
          <w:b/>
          <w:lang w:val="en-GB"/>
        </w:rPr>
        <w:t>Introduction and objective</w:t>
      </w:r>
      <w:r w:rsidRPr="00D616E1">
        <w:rPr>
          <w:lang w:val="en-GB"/>
        </w:rPr>
        <w:t xml:space="preserve">: Etelcalcetide is a novel intravenous calcimimetic for the treatment of secondary hyperparathyroidism (SHPT) in haemodialysis patients. </w:t>
      </w:r>
      <w:r>
        <w:rPr>
          <w:lang w:val="en-GB"/>
        </w:rPr>
        <w:t xml:space="preserve">The clinical efficacy and safety of etelcalcetide (in addition to phosphate binders and vitamin D </w:t>
      </w:r>
      <w:r w:rsidRPr="0021217E">
        <w:rPr>
          <w:lang w:val="en-GB"/>
        </w:rPr>
        <w:t>and/or analogs</w:t>
      </w:r>
      <w:r>
        <w:rPr>
          <w:lang w:val="en-GB"/>
        </w:rPr>
        <w:t>; PB/VD) was evaluated in three p</w:t>
      </w:r>
      <w:r w:rsidRPr="00D616E1">
        <w:rPr>
          <w:lang w:val="en-GB"/>
        </w:rPr>
        <w:t xml:space="preserve">hase 3 studies, including two placebo-controlled trials and a head-to-head study versus </w:t>
      </w:r>
      <w:r>
        <w:rPr>
          <w:lang w:val="en-GB"/>
        </w:rPr>
        <w:t xml:space="preserve">the oral calcimimetic </w:t>
      </w:r>
      <w:r w:rsidRPr="00D616E1">
        <w:rPr>
          <w:lang w:val="en-GB"/>
        </w:rPr>
        <w:t>cinacalcet. The objective of this study was to develop a decision-analytic model for economic evaluation of etelcalcetide</w:t>
      </w:r>
      <w:r>
        <w:rPr>
          <w:lang w:val="en-GB"/>
        </w:rPr>
        <w:t xml:space="preserve"> compared to cinacalcet</w:t>
      </w:r>
      <w:r w:rsidRPr="00D616E1">
        <w:rPr>
          <w:lang w:val="en-GB"/>
        </w:rPr>
        <w:t>.</w:t>
      </w:r>
    </w:p>
    <w:p w:rsidR="00407EB1" w:rsidRPr="00D616E1" w:rsidRDefault="00407EB1" w:rsidP="00407EB1">
      <w:pPr>
        <w:rPr>
          <w:lang w:val="en-GB"/>
        </w:rPr>
      </w:pPr>
      <w:r w:rsidRPr="00D616E1">
        <w:rPr>
          <w:b/>
          <w:lang w:val="en-GB"/>
        </w:rPr>
        <w:t>Methods</w:t>
      </w:r>
      <w:r w:rsidRPr="00D616E1">
        <w:rPr>
          <w:lang w:val="en-GB"/>
        </w:rPr>
        <w:t xml:space="preserve">: </w:t>
      </w:r>
      <w:r>
        <w:rPr>
          <w:lang w:val="en-GB"/>
        </w:rPr>
        <w:t xml:space="preserve">We developed a life time </w:t>
      </w:r>
      <w:r w:rsidRPr="00D616E1">
        <w:rPr>
          <w:lang w:val="en-GB"/>
        </w:rPr>
        <w:t xml:space="preserve">Markov model </w:t>
      </w:r>
      <w:r>
        <w:rPr>
          <w:lang w:val="en-GB"/>
        </w:rPr>
        <w:t xml:space="preserve">including potential treatment effects on </w:t>
      </w:r>
      <w:r w:rsidRPr="00D616E1">
        <w:rPr>
          <w:lang w:val="en-GB"/>
        </w:rPr>
        <w:t>mortality, cardiovascular events</w:t>
      </w:r>
      <w:r>
        <w:rPr>
          <w:lang w:val="en-GB"/>
        </w:rPr>
        <w:t xml:space="preserve">, </w:t>
      </w:r>
      <w:r w:rsidRPr="00D616E1">
        <w:rPr>
          <w:lang w:val="en-GB"/>
        </w:rPr>
        <w:t>fractures,</w:t>
      </w:r>
      <w:r>
        <w:rPr>
          <w:lang w:val="en-GB"/>
        </w:rPr>
        <w:t xml:space="preserve"> and</w:t>
      </w:r>
      <w:r w:rsidRPr="00D616E1">
        <w:rPr>
          <w:lang w:val="en-GB"/>
        </w:rPr>
        <w:t xml:space="preserve"> subjects’ persistence.</w:t>
      </w:r>
      <w:r>
        <w:rPr>
          <w:lang w:val="en-GB"/>
        </w:rPr>
        <w:t xml:space="preserve"> Long term efficacy of etelcalcetide was extrapolated from the reduction in parathyroid hormone (PTH) in the phase 3 trials and the available data for outcomes study in cinacalcet (EVOLVE trial). E</w:t>
      </w:r>
      <w:r w:rsidRPr="00D616E1">
        <w:rPr>
          <w:lang w:val="en-GB"/>
        </w:rPr>
        <w:t xml:space="preserve">telcalcetide was compared </w:t>
      </w:r>
      <w:r>
        <w:rPr>
          <w:lang w:val="en-GB"/>
        </w:rPr>
        <w:t>to</w:t>
      </w:r>
      <w:r w:rsidRPr="00D616E1">
        <w:rPr>
          <w:lang w:val="en-GB"/>
        </w:rPr>
        <w:t xml:space="preserve"> cinacalcet</w:t>
      </w:r>
      <w:r>
        <w:rPr>
          <w:lang w:val="en-GB"/>
        </w:rPr>
        <w:t>,</w:t>
      </w:r>
      <w:r w:rsidRPr="00D616E1">
        <w:rPr>
          <w:lang w:val="en-GB"/>
        </w:rPr>
        <w:t xml:space="preserve"> </w:t>
      </w:r>
      <w:r>
        <w:rPr>
          <w:lang w:val="en-GB"/>
        </w:rPr>
        <w:t>both in addition to PB/VD</w:t>
      </w:r>
      <w:r w:rsidRPr="00D616E1">
        <w:rPr>
          <w:lang w:val="en-GB"/>
        </w:rPr>
        <w:t xml:space="preserve">. </w:t>
      </w:r>
      <w:r>
        <w:rPr>
          <w:lang w:val="en-GB"/>
        </w:rPr>
        <w:t>W</w:t>
      </w:r>
      <w:r w:rsidRPr="00D616E1">
        <w:rPr>
          <w:lang w:val="en-GB"/>
        </w:rPr>
        <w:t>e applied unit costs averaged from five European countries</w:t>
      </w:r>
      <w:r>
        <w:rPr>
          <w:lang w:val="en-GB"/>
        </w:rPr>
        <w:t xml:space="preserve"> and </w:t>
      </w:r>
      <w:r w:rsidRPr="00D616E1">
        <w:rPr>
          <w:lang w:val="en-GB"/>
        </w:rPr>
        <w:t xml:space="preserve">a </w:t>
      </w:r>
      <w:r>
        <w:rPr>
          <w:lang w:val="en-GB"/>
        </w:rPr>
        <w:t>range</w:t>
      </w:r>
      <w:r w:rsidRPr="00D616E1">
        <w:rPr>
          <w:lang w:val="en-GB"/>
        </w:rPr>
        <w:t xml:space="preserve"> of</w:t>
      </w:r>
      <w:r>
        <w:rPr>
          <w:lang w:val="en-GB"/>
        </w:rPr>
        <w:t xml:space="preserve"> potential</w:t>
      </w:r>
      <w:r w:rsidRPr="00D616E1">
        <w:rPr>
          <w:lang w:val="en-GB"/>
        </w:rPr>
        <w:t xml:space="preserve"> pric</w:t>
      </w:r>
      <w:r>
        <w:rPr>
          <w:lang w:val="en-GB"/>
        </w:rPr>
        <w:t xml:space="preserve">ing options assuming parity price to weekly use of cinacalcet and varying it </w:t>
      </w:r>
      <w:r w:rsidRPr="00D616E1">
        <w:rPr>
          <w:lang w:val="en-GB"/>
        </w:rPr>
        <w:t xml:space="preserve">15% </w:t>
      </w:r>
      <w:r>
        <w:rPr>
          <w:lang w:val="en-GB"/>
        </w:rPr>
        <w:t xml:space="preserve">or </w:t>
      </w:r>
      <w:r w:rsidRPr="00D616E1">
        <w:rPr>
          <w:lang w:val="en-GB"/>
        </w:rPr>
        <w:t>30% higher.</w:t>
      </w:r>
      <w:r>
        <w:rPr>
          <w:lang w:val="en-GB"/>
        </w:rPr>
        <w:t xml:space="preserve"> </w:t>
      </w:r>
    </w:p>
    <w:p w:rsidR="00407EB1" w:rsidRPr="00D616E1" w:rsidRDefault="00407EB1" w:rsidP="00407EB1">
      <w:pPr>
        <w:rPr>
          <w:lang w:val="en-GB"/>
        </w:rPr>
      </w:pPr>
      <w:r w:rsidRPr="00D616E1">
        <w:rPr>
          <w:b/>
          <w:lang w:val="en-GB"/>
        </w:rPr>
        <w:t>Results</w:t>
      </w:r>
      <w:r w:rsidRPr="00D616E1">
        <w:rPr>
          <w:lang w:val="en-GB"/>
        </w:rPr>
        <w:t>: Compared with cinacalcet, the incremental cost-effectiveness ratio of etelcalcetide was €</w:t>
      </w:r>
      <w:r>
        <w:rPr>
          <w:lang w:val="en-GB"/>
        </w:rPr>
        <w:t>1.355</w:t>
      </w:r>
      <w:r w:rsidRPr="00D616E1">
        <w:rPr>
          <w:lang w:val="en-GB"/>
        </w:rPr>
        <w:t xml:space="preserve"> per QALY, €</w:t>
      </w:r>
      <w:r>
        <w:rPr>
          <w:lang w:val="en-GB"/>
        </w:rPr>
        <w:t>24,521</w:t>
      </w:r>
      <w:r w:rsidRPr="00D616E1">
        <w:rPr>
          <w:lang w:val="en-GB"/>
        </w:rPr>
        <w:t xml:space="preserve"> per QALY and €</w:t>
      </w:r>
      <w:r>
        <w:rPr>
          <w:lang w:val="en-GB"/>
        </w:rPr>
        <w:t>47,687</w:t>
      </w:r>
      <w:r w:rsidRPr="00D616E1">
        <w:rPr>
          <w:lang w:val="en-GB"/>
        </w:rPr>
        <w:t xml:space="preserve"> per QALY for the three prices explored. The results were robust across the probabilistic</w:t>
      </w:r>
      <w:r>
        <w:rPr>
          <w:lang w:val="en-GB"/>
        </w:rPr>
        <w:t xml:space="preserve"> and deterministic</w:t>
      </w:r>
      <w:r w:rsidRPr="00D616E1">
        <w:rPr>
          <w:lang w:val="en-GB"/>
        </w:rPr>
        <w:t xml:space="preserve"> sensitivity analyses.</w:t>
      </w:r>
    </w:p>
    <w:p w:rsidR="00407EB1" w:rsidRPr="00D616E1" w:rsidRDefault="00407EB1" w:rsidP="00407EB1">
      <w:pPr>
        <w:rPr>
          <w:lang w:val="en-GB"/>
        </w:rPr>
      </w:pPr>
      <w:r w:rsidRPr="00D616E1">
        <w:rPr>
          <w:b/>
          <w:lang w:val="en-GB"/>
        </w:rPr>
        <w:t>Conclusions</w:t>
      </w:r>
      <w:r w:rsidRPr="00D616E1">
        <w:rPr>
          <w:lang w:val="en-GB"/>
        </w:rPr>
        <w:t>:</w:t>
      </w:r>
      <w:r>
        <w:rPr>
          <w:lang w:val="en-GB"/>
        </w:rPr>
        <w:t xml:space="preserve"> Our modelling approach enables cost utility assessment of the novel therapy for SHPT based on the observed and extrapolated data. This model can be used for local adaptations in the context of reimbursement assessment. </w:t>
      </w:r>
    </w:p>
    <w:p w:rsidR="00407EB1" w:rsidRPr="00D616E1" w:rsidRDefault="00407EB1" w:rsidP="00407EB1">
      <w:pPr>
        <w:rPr>
          <w:lang w:val="en-GB"/>
        </w:rPr>
      </w:pPr>
    </w:p>
    <w:p w:rsidR="00407EB1" w:rsidRPr="00D616E1" w:rsidRDefault="00407EB1" w:rsidP="00407EB1">
      <w:pPr>
        <w:rPr>
          <w:rFonts w:asciiTheme="majorHAnsi" w:eastAsiaTheme="majorEastAsia" w:hAnsiTheme="majorHAnsi" w:cstheme="majorBidi"/>
          <w:b/>
          <w:bCs/>
          <w:color w:val="2C6EAB" w:themeColor="accent1" w:themeShade="B5"/>
          <w:sz w:val="32"/>
          <w:szCs w:val="32"/>
          <w:lang w:val="en-GB"/>
        </w:rPr>
      </w:pPr>
      <w:r w:rsidRPr="00D616E1">
        <w:rPr>
          <w:lang w:val="en-GB"/>
        </w:rPr>
        <w:br w:type="page"/>
      </w:r>
    </w:p>
    <w:p w:rsidR="00407EB1" w:rsidRPr="00D616E1" w:rsidRDefault="00407EB1" w:rsidP="00407EB1">
      <w:pPr>
        <w:rPr>
          <w:b/>
          <w:lang w:val="en-GB"/>
        </w:rPr>
      </w:pPr>
      <w:r w:rsidRPr="00D616E1">
        <w:rPr>
          <w:b/>
          <w:lang w:val="en-GB"/>
        </w:rPr>
        <w:lastRenderedPageBreak/>
        <w:t>KEY</w:t>
      </w:r>
      <w:r>
        <w:rPr>
          <w:b/>
          <w:lang w:val="en-GB"/>
        </w:rPr>
        <w:t xml:space="preserve"> POINTS FOR DECISION MAKERS</w:t>
      </w:r>
    </w:p>
    <w:p w:rsidR="00407EB1" w:rsidRPr="00D616E1" w:rsidRDefault="00407EB1" w:rsidP="00407EB1">
      <w:pPr>
        <w:pStyle w:val="Listenabsatz"/>
        <w:numPr>
          <w:ilvl w:val="0"/>
          <w:numId w:val="5"/>
        </w:numPr>
        <w:rPr>
          <w:lang w:val="en-GB"/>
        </w:rPr>
      </w:pPr>
      <w:r>
        <w:rPr>
          <w:lang w:val="en-GB"/>
        </w:rPr>
        <w:t xml:space="preserve">While no hard outcomes data are available for etelcalcetide, its superior efficacy in reducing parathyroid hormone, compared to the oral calcimimetic cinacalcet, enables extrapolation to improved rate of survival, </w:t>
      </w:r>
      <w:r w:rsidRPr="00D616E1">
        <w:rPr>
          <w:lang w:val="en-GB"/>
        </w:rPr>
        <w:t>cardiovascular events, fractures and parathyroidectomy.</w:t>
      </w:r>
    </w:p>
    <w:p w:rsidR="00407EB1" w:rsidRPr="00D616E1" w:rsidRDefault="00407EB1" w:rsidP="00407EB1">
      <w:pPr>
        <w:pStyle w:val="Listenabsatz"/>
        <w:numPr>
          <w:ilvl w:val="0"/>
          <w:numId w:val="5"/>
        </w:numPr>
        <w:rPr>
          <w:lang w:val="en-GB"/>
        </w:rPr>
      </w:pPr>
      <w:r w:rsidRPr="00D616E1">
        <w:rPr>
          <w:lang w:val="en-GB"/>
        </w:rPr>
        <w:t xml:space="preserve">We provide a model which can be used to assess the cost-effectiveness of etelcalcetide compared </w:t>
      </w:r>
      <w:r>
        <w:rPr>
          <w:lang w:val="en-GB"/>
        </w:rPr>
        <w:t>to</w:t>
      </w:r>
      <w:r w:rsidRPr="00D616E1">
        <w:rPr>
          <w:lang w:val="en-GB"/>
        </w:rPr>
        <w:t xml:space="preserve"> cinacalcet</w:t>
      </w:r>
      <w:r>
        <w:rPr>
          <w:lang w:val="en-GB"/>
        </w:rPr>
        <w:t>, both in addition to phosphate binders and vitamin D analogs.</w:t>
      </w:r>
    </w:p>
    <w:p w:rsidR="00407EB1" w:rsidRPr="00D616E1" w:rsidRDefault="00407EB1" w:rsidP="00407EB1">
      <w:pPr>
        <w:spacing w:line="240" w:lineRule="auto"/>
        <w:rPr>
          <w:rFonts w:asciiTheme="majorHAnsi" w:eastAsiaTheme="majorEastAsia" w:hAnsiTheme="majorHAnsi" w:cstheme="majorBidi"/>
          <w:b/>
          <w:bCs/>
          <w:color w:val="2C6EAB" w:themeColor="accent1" w:themeShade="B5"/>
          <w:sz w:val="32"/>
          <w:szCs w:val="32"/>
          <w:lang w:val="en-GB"/>
        </w:rPr>
      </w:pPr>
      <w:r w:rsidRPr="00D616E1">
        <w:rPr>
          <w:lang w:val="en-GB"/>
        </w:rPr>
        <w:br w:type="page"/>
      </w:r>
    </w:p>
    <w:p w:rsidR="00407EB1" w:rsidRPr="00D616E1" w:rsidRDefault="00407EB1" w:rsidP="00407EB1">
      <w:pPr>
        <w:pStyle w:val="berschrift1"/>
        <w:rPr>
          <w:lang w:val="en-GB"/>
        </w:rPr>
      </w:pPr>
      <w:r w:rsidRPr="00D616E1">
        <w:rPr>
          <w:lang w:val="en-GB"/>
        </w:rPr>
        <w:lastRenderedPageBreak/>
        <w:t>Introduction and objective</w:t>
      </w:r>
    </w:p>
    <w:p w:rsidR="00407EB1" w:rsidRPr="00D616E1" w:rsidRDefault="00407EB1" w:rsidP="00407EB1">
      <w:pPr>
        <w:rPr>
          <w:lang w:val="en-GB"/>
        </w:rPr>
      </w:pPr>
      <w:r w:rsidRPr="00D616E1">
        <w:rPr>
          <w:lang w:val="en-GB"/>
        </w:rPr>
        <w:t xml:space="preserve">Secondary hyperparathyroidism (SHPT) is a disease characterized by the excessive secretion of parathyroid hormone (PTH) and associated with hyperplasia of the parathyroid glands. This disorder </w:t>
      </w:r>
      <w:r>
        <w:rPr>
          <w:lang w:val="en-GB"/>
        </w:rPr>
        <w:t xml:space="preserve">is a common </w:t>
      </w:r>
      <w:r w:rsidRPr="00D616E1">
        <w:rPr>
          <w:lang w:val="en-GB"/>
        </w:rPr>
        <w:t>complication in patients with chronic kidney disease (CKD) on haemodialysis. SHPT is linked to the risk of extra skeletal calcification, reduced bone density and strength [</w:t>
      </w:r>
      <w:r w:rsidRPr="00D616E1">
        <w:rPr>
          <w:rStyle w:val="Endnotenzeichen"/>
          <w:lang w:val="en-GB"/>
        </w:rPr>
        <w:endnoteReference w:id="1"/>
      </w:r>
      <w:r w:rsidRPr="00D616E1">
        <w:rPr>
          <w:lang w:val="en-GB"/>
        </w:rPr>
        <w:t>], bone fractures</w:t>
      </w:r>
      <w:bookmarkStart w:id="1" w:name="_Ref321647870"/>
      <w:r w:rsidRPr="00D616E1">
        <w:rPr>
          <w:lang w:val="en-GB"/>
        </w:rPr>
        <w:t xml:space="preserve"> [</w:t>
      </w:r>
      <w:r w:rsidRPr="00D616E1">
        <w:rPr>
          <w:rStyle w:val="Endnotenzeichen"/>
          <w:lang w:val="en-GB"/>
        </w:rPr>
        <w:endnoteReference w:id="2"/>
      </w:r>
      <w:bookmarkEnd w:id="1"/>
      <w:r w:rsidRPr="00D616E1">
        <w:rPr>
          <w:lang w:val="en-GB"/>
        </w:rPr>
        <w:t>] morbidity and mortality</w:t>
      </w:r>
      <w:bookmarkStart w:id="2" w:name="_Ref321647763"/>
      <w:r w:rsidRPr="00D616E1">
        <w:rPr>
          <w:lang w:val="en-GB"/>
        </w:rPr>
        <w:t xml:space="preserve"> [</w:t>
      </w:r>
      <w:r w:rsidRPr="00D616E1">
        <w:rPr>
          <w:rStyle w:val="Endnotenzeichen"/>
          <w:lang w:val="en-GB"/>
        </w:rPr>
        <w:endnoteReference w:id="3"/>
      </w:r>
      <w:bookmarkEnd w:id="2"/>
      <w:r w:rsidRPr="00D616E1">
        <w:rPr>
          <w:vertAlign w:val="superscript"/>
          <w:lang w:val="en-GB"/>
        </w:rPr>
        <w:t>,</w:t>
      </w:r>
      <w:r w:rsidRPr="00D616E1">
        <w:rPr>
          <w:rStyle w:val="Endnotenzeichen"/>
          <w:lang w:val="en-GB"/>
        </w:rPr>
        <w:endnoteReference w:id="4"/>
      </w:r>
      <w:r w:rsidRPr="00D616E1">
        <w:rPr>
          <w:vertAlign w:val="superscript"/>
          <w:lang w:val="en-GB"/>
        </w:rPr>
        <w:t>,</w:t>
      </w:r>
      <w:r w:rsidRPr="00D616E1">
        <w:rPr>
          <w:rStyle w:val="Endnotenzeichen"/>
          <w:lang w:val="en-GB"/>
        </w:rPr>
        <w:endnoteReference w:id="5"/>
      </w:r>
      <w:r w:rsidRPr="00D616E1">
        <w:rPr>
          <w:lang w:val="en-GB"/>
        </w:rPr>
        <w:t>].</w:t>
      </w:r>
      <w:r>
        <w:rPr>
          <w:lang w:val="en-GB"/>
        </w:rPr>
        <w:t xml:space="preserve"> The prevalence of </w:t>
      </w:r>
      <w:r w:rsidRPr="00D616E1">
        <w:rPr>
          <w:lang w:val="en-GB"/>
        </w:rPr>
        <w:t xml:space="preserve">SHPT </w:t>
      </w:r>
      <w:r>
        <w:rPr>
          <w:lang w:val="en-GB"/>
        </w:rPr>
        <w:t>within dialysis population ranges between 30%-49% in Europe and Australia and is estimated at about 54% in North America. [</w:t>
      </w:r>
      <w:r>
        <w:rPr>
          <w:rStyle w:val="Endnotenzeichen"/>
          <w:lang w:val="en-GB"/>
        </w:rPr>
        <w:endnoteReference w:id="6"/>
      </w:r>
      <w:r>
        <w:rPr>
          <w:lang w:val="en-GB"/>
        </w:rPr>
        <w:t xml:space="preserve">] </w:t>
      </w:r>
    </w:p>
    <w:p w:rsidR="00407EB1" w:rsidRPr="00D616E1" w:rsidRDefault="00407EB1" w:rsidP="00407EB1">
      <w:pPr>
        <w:rPr>
          <w:lang w:val="en-GB"/>
        </w:rPr>
      </w:pPr>
    </w:p>
    <w:p w:rsidR="00407EB1" w:rsidRPr="00D616E1" w:rsidRDefault="00407EB1" w:rsidP="00407EB1">
      <w:pPr>
        <w:rPr>
          <w:lang w:val="en-GB"/>
        </w:rPr>
      </w:pPr>
      <w:r w:rsidRPr="00D616E1">
        <w:rPr>
          <w:lang w:val="en-GB"/>
        </w:rPr>
        <w:t xml:space="preserve">The traditional treatment of SHPT includes </w:t>
      </w:r>
      <w:r>
        <w:rPr>
          <w:lang w:val="en-GB"/>
        </w:rPr>
        <w:t>treatment</w:t>
      </w:r>
      <w:r w:rsidRPr="00D616E1">
        <w:rPr>
          <w:lang w:val="en-GB"/>
        </w:rPr>
        <w:t xml:space="preserve"> with active forms of vitamin D </w:t>
      </w:r>
      <w:r w:rsidRPr="0021217E">
        <w:rPr>
          <w:lang w:val="en-GB"/>
        </w:rPr>
        <w:t xml:space="preserve">or </w:t>
      </w:r>
      <w:r>
        <w:rPr>
          <w:lang w:val="en-GB"/>
        </w:rPr>
        <w:t xml:space="preserve">its </w:t>
      </w:r>
      <w:r w:rsidRPr="0021217E">
        <w:rPr>
          <w:lang w:val="en-GB"/>
        </w:rPr>
        <w:t xml:space="preserve">analogs </w:t>
      </w:r>
      <w:r w:rsidRPr="00D616E1">
        <w:rPr>
          <w:lang w:val="en-GB"/>
        </w:rPr>
        <w:t>and phosphate binders. In the past years, cinacalcet, the first calcimimetic agent, has been established as an additional effective therapy for this indication. For patients</w:t>
      </w:r>
      <w:r>
        <w:rPr>
          <w:lang w:val="en-GB"/>
        </w:rPr>
        <w:t xml:space="preserve"> with severe SHPT</w:t>
      </w:r>
      <w:r w:rsidRPr="00D616E1">
        <w:rPr>
          <w:lang w:val="en-GB"/>
        </w:rPr>
        <w:t xml:space="preserve"> who fail to respond adequately to medical therapy, surgical removal of parathyroid glands (parathyroidectomy) is also a viable option. The National Kidney Foundation through its Kidney Disease Outcomes Quality Initiative (K/DOQI) has established clinical practice guidelines for bone metabolism and disease in CKD. These clinical practice guidelines also specify target levels of PTH, serum calcium, and serum phosphorus [</w:t>
      </w:r>
      <w:r w:rsidRPr="00D616E1">
        <w:rPr>
          <w:rStyle w:val="Endnotenzeichen"/>
          <w:lang w:val="en-GB"/>
        </w:rPr>
        <w:endnoteReference w:id="7"/>
      </w:r>
      <w:r w:rsidRPr="00D616E1">
        <w:rPr>
          <w:lang w:val="en-GB"/>
        </w:rPr>
        <w:t>].</w:t>
      </w:r>
    </w:p>
    <w:p w:rsidR="00407EB1" w:rsidRPr="00D616E1" w:rsidRDefault="00407EB1" w:rsidP="00407EB1">
      <w:pPr>
        <w:rPr>
          <w:lang w:val="en-GB"/>
        </w:rPr>
      </w:pPr>
    </w:p>
    <w:p w:rsidR="00407EB1" w:rsidRPr="00D616E1" w:rsidRDefault="00407EB1" w:rsidP="00407EB1">
      <w:pPr>
        <w:rPr>
          <w:lang w:val="en-GB"/>
        </w:rPr>
      </w:pPr>
      <w:r w:rsidRPr="00D616E1">
        <w:rPr>
          <w:lang w:val="en-GB"/>
        </w:rPr>
        <w:t xml:space="preserve">Etelcalcetide is a novel D-amino peptide calcimimetic approved in the EU and US for the treatment of SHPT in adult haemodialysis patients. Etelcalcetide is administered intravenously three times per week at the end of each dialysis session. </w:t>
      </w:r>
      <w:r>
        <w:rPr>
          <w:lang w:val="en-GB"/>
        </w:rPr>
        <w:t>This route of administration, from the patient perspective, has been shown to be more convenient (preferred) over an oral drug</w:t>
      </w:r>
      <w:r>
        <w:rPr>
          <w:rStyle w:val="Endnotenzeichen"/>
          <w:lang w:val="en-GB"/>
        </w:rPr>
        <w:endnoteReference w:id="8"/>
      </w:r>
      <w:r>
        <w:rPr>
          <w:lang w:val="en-GB"/>
        </w:rPr>
        <w:t>. Etelcalcetide</w:t>
      </w:r>
      <w:r w:rsidRPr="00D616E1">
        <w:rPr>
          <w:lang w:val="en-GB"/>
        </w:rPr>
        <w:t xml:space="preserve"> is an allosteric activator that binds to</w:t>
      </w:r>
      <w:r>
        <w:rPr>
          <w:lang w:val="en-GB"/>
        </w:rPr>
        <w:t>,</w:t>
      </w:r>
      <w:r w:rsidRPr="00D616E1">
        <w:rPr>
          <w:lang w:val="en-GB"/>
        </w:rPr>
        <w:t xml:space="preserve"> and activates</w:t>
      </w:r>
      <w:r>
        <w:rPr>
          <w:lang w:val="en-GB"/>
        </w:rPr>
        <w:t>,</w:t>
      </w:r>
      <w:r w:rsidRPr="00D616E1">
        <w:rPr>
          <w:lang w:val="en-GB"/>
        </w:rPr>
        <w:t xml:space="preserve"> the calcium-sensing receptors in the parathyroid gland, resulting in</w:t>
      </w:r>
      <w:r>
        <w:rPr>
          <w:lang w:val="en-GB"/>
        </w:rPr>
        <w:t xml:space="preserve"> reduced PTH secretion</w:t>
      </w:r>
      <w:r w:rsidRPr="00D616E1">
        <w:rPr>
          <w:lang w:val="en-GB"/>
        </w:rPr>
        <w:t xml:space="preserve">. The efficacy of </w:t>
      </w:r>
      <w:r>
        <w:rPr>
          <w:lang w:val="en-GB"/>
        </w:rPr>
        <w:t>etelcalcetide in reducing PTH levels</w:t>
      </w:r>
      <w:r w:rsidRPr="00D616E1">
        <w:rPr>
          <w:lang w:val="en-GB"/>
        </w:rPr>
        <w:t xml:space="preserve"> </w:t>
      </w:r>
      <w:r>
        <w:rPr>
          <w:lang w:val="en-GB"/>
        </w:rPr>
        <w:t xml:space="preserve">has been established  by </w:t>
      </w:r>
      <w:r w:rsidRPr="00D616E1">
        <w:rPr>
          <w:lang w:val="en-GB"/>
        </w:rPr>
        <w:t xml:space="preserve">three Phase 3 studies, two parallel </w:t>
      </w:r>
      <w:r w:rsidRPr="00D616E1">
        <w:rPr>
          <w:lang w:val="en-GB"/>
        </w:rPr>
        <w:lastRenderedPageBreak/>
        <w:t>placebo-controlled trials [</w:t>
      </w:r>
      <w:bookmarkStart w:id="3" w:name="_Ref461008301"/>
      <w:r w:rsidRPr="00D616E1">
        <w:rPr>
          <w:rStyle w:val="Endnotenzeichen"/>
          <w:lang w:val="en-GB"/>
        </w:rPr>
        <w:endnoteReference w:id="9"/>
      </w:r>
      <w:bookmarkEnd w:id="3"/>
      <w:r w:rsidRPr="00D616E1">
        <w:rPr>
          <w:lang w:val="en-GB"/>
        </w:rPr>
        <w:t xml:space="preserve">], and a head-to-head study </w:t>
      </w:r>
      <w:r>
        <w:rPr>
          <w:lang w:val="en-GB"/>
        </w:rPr>
        <w:t xml:space="preserve">comparing </w:t>
      </w:r>
      <w:r w:rsidRPr="00D616E1">
        <w:rPr>
          <w:lang w:val="en-GB"/>
        </w:rPr>
        <w:t xml:space="preserve">etelcalcetide </w:t>
      </w:r>
      <w:r>
        <w:rPr>
          <w:lang w:val="en-GB"/>
        </w:rPr>
        <w:t>to</w:t>
      </w:r>
      <w:r w:rsidRPr="00D616E1">
        <w:rPr>
          <w:lang w:val="en-GB"/>
        </w:rPr>
        <w:t xml:space="preserve"> cinacalcet [</w:t>
      </w:r>
      <w:bookmarkStart w:id="4" w:name="_Ref461006872"/>
      <w:r w:rsidRPr="00D616E1">
        <w:rPr>
          <w:rStyle w:val="Endnotenzeichen"/>
          <w:lang w:val="en-GB"/>
        </w:rPr>
        <w:endnoteReference w:id="10"/>
      </w:r>
      <w:bookmarkEnd w:id="4"/>
      <w:r w:rsidRPr="00D616E1">
        <w:rPr>
          <w:lang w:val="en-GB"/>
        </w:rPr>
        <w:t xml:space="preserve">]. In </w:t>
      </w:r>
      <w:r>
        <w:rPr>
          <w:lang w:val="en-GB"/>
        </w:rPr>
        <w:t xml:space="preserve">the head-to-head </w:t>
      </w:r>
      <w:r w:rsidRPr="00D616E1">
        <w:rPr>
          <w:lang w:val="en-GB"/>
        </w:rPr>
        <w:t>study</w:t>
      </w:r>
      <w:r>
        <w:rPr>
          <w:lang w:val="en-GB"/>
        </w:rPr>
        <w:t>,</w:t>
      </w:r>
      <w:r w:rsidRPr="00D616E1">
        <w:rPr>
          <w:lang w:val="en-GB"/>
        </w:rPr>
        <w:t xml:space="preserve"> etelcalcetide met the primary endpoint of non-inferiority</w:t>
      </w:r>
      <w:r>
        <w:rPr>
          <w:lang w:val="en-GB"/>
        </w:rPr>
        <w:t xml:space="preserve"> </w:t>
      </w:r>
      <w:r w:rsidRPr="00D616E1">
        <w:rPr>
          <w:lang w:val="en-GB"/>
        </w:rPr>
        <w:t>measured as the proportion of patients achieving a greater than 30% PTH reduction from baseline during the efficacy assessment phase</w:t>
      </w:r>
      <w:r>
        <w:rPr>
          <w:lang w:val="en-GB"/>
        </w:rPr>
        <w:t xml:space="preserve">, and the secondary endpoints of </w:t>
      </w:r>
      <w:r w:rsidRPr="00CF31F6">
        <w:rPr>
          <w:lang w:val="en-GB"/>
        </w:rPr>
        <w:t>superiority (&gt;50% and &gt;30% reduction in PTH)</w:t>
      </w:r>
      <w:r w:rsidRPr="00D616E1">
        <w:rPr>
          <w:lang w:val="en-GB"/>
        </w:rPr>
        <w:t xml:space="preserve">. </w:t>
      </w:r>
    </w:p>
    <w:p w:rsidR="00407EB1" w:rsidRPr="00D616E1" w:rsidRDefault="00407EB1" w:rsidP="00407EB1">
      <w:pPr>
        <w:rPr>
          <w:lang w:val="en-GB"/>
        </w:rPr>
      </w:pPr>
    </w:p>
    <w:p w:rsidR="00407EB1" w:rsidRDefault="00407EB1" w:rsidP="00407EB1">
      <w:pPr>
        <w:rPr>
          <w:lang w:val="en-GB"/>
        </w:rPr>
      </w:pPr>
      <w:r w:rsidRPr="00D616E1">
        <w:rPr>
          <w:lang w:val="en-GB"/>
        </w:rPr>
        <w:t>The objective of this study was to develop a decision-analytic model for economic evaluation of etelcalcetide</w:t>
      </w:r>
      <w:r>
        <w:rPr>
          <w:lang w:val="en-GB"/>
        </w:rPr>
        <w:t xml:space="preserve"> compared to cinacalcet</w:t>
      </w:r>
      <w:r w:rsidRPr="00D616E1">
        <w:rPr>
          <w:lang w:val="en-GB"/>
        </w:rPr>
        <w:t>.</w:t>
      </w:r>
      <w:r>
        <w:rPr>
          <w:lang w:val="en-GB"/>
        </w:rPr>
        <w:t xml:space="preserve"> We expect that this model can be adapted to local settings and will be applied to inform reimbursement decisions. </w:t>
      </w:r>
    </w:p>
    <w:p w:rsidR="00407EB1" w:rsidRPr="00D616E1" w:rsidRDefault="00407EB1" w:rsidP="00407EB1">
      <w:pPr>
        <w:rPr>
          <w:lang w:val="en-GB"/>
        </w:rPr>
      </w:pPr>
    </w:p>
    <w:p w:rsidR="00407EB1" w:rsidRPr="00D616E1" w:rsidRDefault="00407EB1" w:rsidP="00407EB1">
      <w:pPr>
        <w:pStyle w:val="berschrift1"/>
        <w:rPr>
          <w:lang w:val="en-GB"/>
        </w:rPr>
      </w:pPr>
      <w:r w:rsidRPr="00D616E1">
        <w:rPr>
          <w:lang w:val="en-GB"/>
        </w:rPr>
        <w:t>Methods</w:t>
      </w:r>
    </w:p>
    <w:p w:rsidR="00407EB1" w:rsidRDefault="00407EB1" w:rsidP="00407EB1">
      <w:pPr>
        <w:rPr>
          <w:lang w:val="en-GB"/>
        </w:rPr>
      </w:pPr>
      <w:r>
        <w:rPr>
          <w:lang w:val="en-GB"/>
        </w:rPr>
        <w:t>We developed a</w:t>
      </w:r>
      <w:r w:rsidRPr="00D616E1">
        <w:rPr>
          <w:lang w:val="en-GB"/>
        </w:rPr>
        <w:t xml:space="preserve"> Markov cohort state transition model </w:t>
      </w:r>
      <w:r>
        <w:rPr>
          <w:lang w:val="en-GB"/>
        </w:rPr>
        <w:t>using a</w:t>
      </w:r>
      <w:r w:rsidRPr="00D616E1">
        <w:rPr>
          <w:lang w:val="en-GB"/>
        </w:rPr>
        <w:t xml:space="preserve"> 3-month cycle</w:t>
      </w:r>
      <w:r>
        <w:rPr>
          <w:lang w:val="en-GB"/>
        </w:rPr>
        <w:t xml:space="preserve"> length,</w:t>
      </w:r>
      <w:r w:rsidRPr="00D616E1">
        <w:rPr>
          <w:lang w:val="en-GB"/>
        </w:rPr>
        <w:t xml:space="preserve"> and a life-time horizon</w:t>
      </w:r>
      <w:r>
        <w:rPr>
          <w:lang w:val="en-GB"/>
        </w:rPr>
        <w:t xml:space="preserve">. </w:t>
      </w:r>
      <w:r w:rsidRPr="00D616E1">
        <w:rPr>
          <w:lang w:val="en-GB"/>
        </w:rPr>
        <w:t xml:space="preserve">. </w:t>
      </w:r>
      <w:r>
        <w:rPr>
          <w:lang w:val="en-GB"/>
        </w:rPr>
        <w:t xml:space="preserve">We followed the </w:t>
      </w:r>
      <w:r w:rsidRPr="00D616E1">
        <w:rPr>
          <w:lang w:val="en-GB"/>
        </w:rPr>
        <w:t xml:space="preserve">current best practice </w:t>
      </w:r>
      <w:r>
        <w:rPr>
          <w:lang w:val="en-GB"/>
        </w:rPr>
        <w:t xml:space="preserve">modelling and reporting </w:t>
      </w:r>
      <w:r w:rsidRPr="00D616E1">
        <w:rPr>
          <w:lang w:val="en-GB"/>
        </w:rPr>
        <w:t>guidelines [</w:t>
      </w:r>
      <w:r w:rsidRPr="00D616E1">
        <w:rPr>
          <w:rStyle w:val="Endnotenzeichen"/>
          <w:lang w:val="en-GB"/>
        </w:rPr>
        <w:endnoteReference w:id="11"/>
      </w:r>
      <w:r w:rsidRPr="007C4E6A">
        <w:rPr>
          <w:vertAlign w:val="superscript"/>
          <w:lang w:val="en-GB"/>
        </w:rPr>
        <w:t>,</w:t>
      </w:r>
      <w:r>
        <w:rPr>
          <w:rStyle w:val="Endnotenzeichen"/>
          <w:lang w:val="en-GB"/>
        </w:rPr>
        <w:endnoteReference w:id="12"/>
      </w:r>
      <w:r w:rsidRPr="00D616E1">
        <w:rPr>
          <w:lang w:val="en-GB"/>
        </w:rPr>
        <w:t>]</w:t>
      </w:r>
      <w:r>
        <w:rPr>
          <w:lang w:val="en-GB"/>
        </w:rPr>
        <w:t xml:space="preserve"> and considered previously published cinacalcet cost-effectiveness models as a context </w:t>
      </w:r>
      <w:r w:rsidRPr="00D616E1">
        <w:rPr>
          <w:lang w:val="en-GB"/>
        </w:rPr>
        <w:t>[</w:t>
      </w:r>
      <w:bookmarkStart w:id="5" w:name="_Ref497135375"/>
      <w:r w:rsidRPr="00D616E1">
        <w:rPr>
          <w:rStyle w:val="Endnotenzeichen"/>
          <w:lang w:val="en-GB"/>
        </w:rPr>
        <w:endnoteReference w:id="13"/>
      </w:r>
      <w:bookmarkEnd w:id="5"/>
      <w:r w:rsidRPr="00D616E1">
        <w:rPr>
          <w:vertAlign w:val="superscript"/>
          <w:lang w:val="en-GB"/>
        </w:rPr>
        <w:t xml:space="preserve">, </w:t>
      </w:r>
      <w:bookmarkStart w:id="6" w:name="_Ref497137217"/>
      <w:r w:rsidRPr="00D616E1">
        <w:rPr>
          <w:rStyle w:val="Endnotenzeichen"/>
          <w:lang w:val="en-GB"/>
        </w:rPr>
        <w:endnoteReference w:id="14"/>
      </w:r>
      <w:bookmarkEnd w:id="6"/>
      <w:r w:rsidRPr="00D616E1">
        <w:rPr>
          <w:lang w:val="en-GB"/>
        </w:rPr>
        <w:t xml:space="preserve">]. </w:t>
      </w:r>
      <w:r>
        <w:rPr>
          <w:lang w:val="en-GB"/>
        </w:rPr>
        <w:t>We conducted model validation based on the AdViSHE validation t</w:t>
      </w:r>
      <w:r w:rsidRPr="00EB2004">
        <w:rPr>
          <w:lang w:val="en-GB"/>
        </w:rPr>
        <w:t>ool</w:t>
      </w:r>
      <w:r>
        <w:rPr>
          <w:lang w:val="en-GB"/>
        </w:rPr>
        <w:t xml:space="preserve"> (see electronic supplementary material) [</w:t>
      </w:r>
      <w:r>
        <w:rPr>
          <w:rStyle w:val="Endnotenzeichen"/>
          <w:lang w:val="en-GB"/>
        </w:rPr>
        <w:endnoteReference w:id="15"/>
      </w:r>
      <w:r>
        <w:rPr>
          <w:lang w:val="en-GB"/>
        </w:rPr>
        <w:t>]. Furthermore, we applied a</w:t>
      </w:r>
      <w:r w:rsidRPr="00D616E1">
        <w:rPr>
          <w:lang w:val="en-GB"/>
        </w:rPr>
        <w:t xml:space="preserve"> life-table half-cycle correction [</w:t>
      </w:r>
      <w:r w:rsidRPr="00D616E1">
        <w:rPr>
          <w:rStyle w:val="Endnotenzeichen"/>
          <w:lang w:val="en-GB"/>
        </w:rPr>
        <w:endnoteReference w:id="16"/>
      </w:r>
      <w:r w:rsidRPr="00D616E1">
        <w:rPr>
          <w:vertAlign w:val="superscript"/>
          <w:lang w:val="en-GB"/>
        </w:rPr>
        <w:t xml:space="preserve">, </w:t>
      </w:r>
      <w:r w:rsidRPr="00D616E1">
        <w:rPr>
          <w:rStyle w:val="Endnotenzeichen"/>
          <w:lang w:val="en-GB"/>
        </w:rPr>
        <w:endnoteReference w:id="17"/>
      </w:r>
      <w:r w:rsidRPr="00D616E1">
        <w:rPr>
          <w:lang w:val="en-GB"/>
        </w:rPr>
        <w:t xml:space="preserve">]. Both costs and outcomes were discounted at an annual rate of 3%. Treatment with etelcalcetide was compared </w:t>
      </w:r>
      <w:r>
        <w:rPr>
          <w:lang w:val="en-GB"/>
        </w:rPr>
        <w:t xml:space="preserve">to cinacalcet. Both calcimimetics were assumed to be administered in addition to phosphate binders and vitamin D,or its analogs (PB/VD). As an option, we explored the comparison of etelcalcetide to ‘no calcimimetics’ (i.e. PB/VD alone) which would represent a clinical decision to use etelcalcetide after cinacalcet discontinuation (see electronic supplementary material). </w:t>
      </w:r>
      <w:r w:rsidRPr="004138B9">
        <w:rPr>
          <w:lang w:val="en-GB"/>
        </w:rPr>
        <w:t>The characteristics of the</w:t>
      </w:r>
      <w:r>
        <w:rPr>
          <w:lang w:val="en-GB"/>
        </w:rPr>
        <w:t xml:space="preserve"> model</w:t>
      </w:r>
      <w:r w:rsidRPr="004138B9">
        <w:rPr>
          <w:lang w:val="en-GB"/>
        </w:rPr>
        <w:t xml:space="preserve"> population </w:t>
      </w:r>
      <w:r>
        <w:rPr>
          <w:lang w:val="en-GB"/>
        </w:rPr>
        <w:t>were</w:t>
      </w:r>
      <w:r w:rsidRPr="004138B9">
        <w:rPr>
          <w:lang w:val="en-GB"/>
        </w:rPr>
        <w:t xml:space="preserve"> aligne</w:t>
      </w:r>
      <w:r>
        <w:rPr>
          <w:lang w:val="en-GB"/>
        </w:rPr>
        <w:t>d with etelcalcetide trials [</w:t>
      </w:r>
      <w:r>
        <w:rPr>
          <w:lang w:val="en-GB"/>
        </w:rPr>
        <w:fldChar w:fldCharType="begin"/>
      </w:r>
      <w:r>
        <w:rPr>
          <w:lang w:val="en-GB"/>
        </w:rPr>
        <w:instrText xml:space="preserve"> NOTEREF _Ref461008301 \f \h </w:instrText>
      </w:r>
      <w:r>
        <w:rPr>
          <w:lang w:val="en-GB"/>
        </w:rPr>
      </w:r>
      <w:r>
        <w:rPr>
          <w:lang w:val="en-GB"/>
        </w:rPr>
        <w:fldChar w:fldCharType="separate"/>
      </w:r>
      <w:r w:rsidRPr="002570CB">
        <w:rPr>
          <w:rStyle w:val="Endnotenzeichen"/>
        </w:rPr>
        <w:t>9</w:t>
      </w:r>
      <w:r>
        <w:rPr>
          <w:lang w:val="en-GB"/>
        </w:rPr>
        <w:fldChar w:fldCharType="end"/>
      </w:r>
      <w:r w:rsidRPr="004138B9">
        <w:rPr>
          <w:vertAlign w:val="superscript"/>
          <w:lang w:val="en-GB"/>
        </w:rPr>
        <w:t>,</w:t>
      </w:r>
      <w:r>
        <w:rPr>
          <w:lang w:val="en-GB"/>
        </w:rPr>
        <w:fldChar w:fldCharType="begin"/>
      </w:r>
      <w:r>
        <w:rPr>
          <w:lang w:val="en-GB"/>
        </w:rPr>
        <w:instrText xml:space="preserve"> NOTEREF _Ref461006872 \f \h </w:instrText>
      </w:r>
      <w:r>
        <w:rPr>
          <w:lang w:val="en-GB"/>
        </w:rPr>
      </w:r>
      <w:r>
        <w:rPr>
          <w:lang w:val="en-GB"/>
        </w:rPr>
        <w:fldChar w:fldCharType="separate"/>
      </w:r>
      <w:r w:rsidRPr="002570CB">
        <w:rPr>
          <w:rStyle w:val="Endnotenzeichen"/>
        </w:rPr>
        <w:t>10</w:t>
      </w:r>
      <w:r>
        <w:rPr>
          <w:lang w:val="en-GB"/>
        </w:rPr>
        <w:fldChar w:fldCharType="end"/>
      </w:r>
      <w:r w:rsidRPr="004138B9">
        <w:rPr>
          <w:lang w:val="en-GB"/>
        </w:rPr>
        <w:t>] and the ‘EValuation Of Cinacalcet Hydrochloride (HCl) Therapy to Lower CardioVascular Events’ (EVOLVE) trial [</w:t>
      </w:r>
      <w:bookmarkStart w:id="7" w:name="_Ref481501681"/>
      <w:r>
        <w:rPr>
          <w:rStyle w:val="Endnotenzeichen"/>
          <w:lang w:val="en-GB"/>
        </w:rPr>
        <w:endnoteReference w:id="18"/>
      </w:r>
      <w:bookmarkEnd w:id="7"/>
      <w:r w:rsidRPr="004138B9">
        <w:rPr>
          <w:lang w:val="en-GB"/>
        </w:rPr>
        <w:t xml:space="preserve">]. </w:t>
      </w:r>
      <w:r w:rsidRPr="0081715B">
        <w:rPr>
          <w:lang w:val="en-GB"/>
        </w:rPr>
        <w:t xml:space="preserve">EVOLVE </w:t>
      </w:r>
      <w:r>
        <w:rPr>
          <w:lang w:val="en-GB"/>
        </w:rPr>
        <w:t>was</w:t>
      </w:r>
      <w:r w:rsidRPr="0081715B">
        <w:rPr>
          <w:lang w:val="en-GB"/>
        </w:rPr>
        <w:t xml:space="preserve"> a global, multi-center, placebo-controlled, double-blind, event-driven trial, that assessed the </w:t>
      </w:r>
      <w:r>
        <w:rPr>
          <w:lang w:val="en-GB"/>
        </w:rPr>
        <w:t>impact</w:t>
      </w:r>
      <w:r w:rsidRPr="0081715B">
        <w:rPr>
          <w:lang w:val="en-GB"/>
        </w:rPr>
        <w:t xml:space="preserve"> of cinacalcet </w:t>
      </w:r>
      <w:r>
        <w:rPr>
          <w:lang w:val="en-GB"/>
        </w:rPr>
        <w:t xml:space="preserve">on outcomes </w:t>
      </w:r>
      <w:r w:rsidRPr="0081715B">
        <w:rPr>
          <w:lang w:val="en-GB"/>
        </w:rPr>
        <w:lastRenderedPageBreak/>
        <w:t xml:space="preserve">in an SHPT </w:t>
      </w:r>
      <w:r>
        <w:rPr>
          <w:lang w:val="en-GB"/>
        </w:rPr>
        <w:t xml:space="preserve">dialysis </w:t>
      </w:r>
      <w:r w:rsidRPr="0081715B">
        <w:rPr>
          <w:lang w:val="en-GB"/>
        </w:rPr>
        <w:t>population</w:t>
      </w:r>
      <w:r>
        <w:rPr>
          <w:lang w:val="en-GB"/>
        </w:rPr>
        <w:t xml:space="preserve"> </w:t>
      </w:r>
      <w:r w:rsidRPr="006E1A74">
        <w:rPr>
          <w:lang w:val="en-GB"/>
        </w:rPr>
        <w:t>[</w:t>
      </w:r>
      <w:r w:rsidRPr="00CD1396">
        <w:rPr>
          <w:vertAlign w:val="superscript"/>
          <w:lang w:val="en-GB"/>
        </w:rPr>
        <w:fldChar w:fldCharType="begin"/>
      </w:r>
      <w:r w:rsidRPr="00CD1396">
        <w:rPr>
          <w:vertAlign w:val="superscript"/>
          <w:lang w:val="en-GB"/>
        </w:rPr>
        <w:instrText xml:space="preserve"> NOTEREF _Ref481501681 \h  \* MERGEFORMAT </w:instrText>
      </w:r>
      <w:r w:rsidRPr="00CD1396">
        <w:rPr>
          <w:vertAlign w:val="superscript"/>
          <w:lang w:val="en-GB"/>
        </w:rPr>
      </w:r>
      <w:r w:rsidRPr="00CD1396">
        <w:rPr>
          <w:vertAlign w:val="superscript"/>
          <w:lang w:val="en-GB"/>
        </w:rPr>
        <w:fldChar w:fldCharType="separate"/>
      </w:r>
      <w:r>
        <w:rPr>
          <w:vertAlign w:val="superscript"/>
          <w:lang w:val="en-GB"/>
        </w:rPr>
        <w:t>18</w:t>
      </w:r>
      <w:r w:rsidRPr="00CD1396">
        <w:rPr>
          <w:vertAlign w:val="superscript"/>
          <w:lang w:val="en-GB"/>
        </w:rPr>
        <w:fldChar w:fldCharType="end"/>
      </w:r>
      <w:r w:rsidRPr="006E1A74">
        <w:rPr>
          <w:lang w:val="en-GB"/>
        </w:rPr>
        <w:t xml:space="preserve">]. The primary endpoint was a composite of all-cause mortality and major cardiovascular </w:t>
      </w:r>
      <w:r>
        <w:rPr>
          <w:lang w:val="en-GB"/>
        </w:rPr>
        <w:t xml:space="preserve">(CV) </w:t>
      </w:r>
      <w:r w:rsidRPr="006E1A74">
        <w:rPr>
          <w:lang w:val="en-GB"/>
        </w:rPr>
        <w:t>events</w:t>
      </w:r>
      <w:r w:rsidRPr="005D3F23">
        <w:rPr>
          <w:lang w:val="en-GB"/>
        </w:rPr>
        <w:t xml:space="preserve">. Other clinical events such as fractures and parathyroidectomy </w:t>
      </w:r>
      <w:r>
        <w:rPr>
          <w:lang w:val="en-GB"/>
        </w:rPr>
        <w:t xml:space="preserve">(PTx) </w:t>
      </w:r>
      <w:r w:rsidRPr="005D3F23">
        <w:rPr>
          <w:lang w:val="en-GB"/>
        </w:rPr>
        <w:t>were registered as secondary endpoints</w:t>
      </w:r>
      <w:r>
        <w:rPr>
          <w:lang w:val="en-GB"/>
        </w:rPr>
        <w:t xml:space="preserve"> </w:t>
      </w:r>
      <w:r w:rsidRPr="005D3F23">
        <w:rPr>
          <w:lang w:val="en-GB"/>
        </w:rPr>
        <w:t>[</w:t>
      </w:r>
      <w:r w:rsidRPr="00CD1396">
        <w:rPr>
          <w:vertAlign w:val="superscript"/>
          <w:lang w:val="en-GB"/>
        </w:rPr>
        <w:fldChar w:fldCharType="begin"/>
      </w:r>
      <w:r w:rsidRPr="00CD1396">
        <w:rPr>
          <w:vertAlign w:val="superscript"/>
          <w:lang w:val="en-GB"/>
        </w:rPr>
        <w:instrText xml:space="preserve"> NOTEREF _Ref481501681 \h  \* MERGEFORMAT </w:instrText>
      </w:r>
      <w:r w:rsidRPr="00CD1396">
        <w:rPr>
          <w:vertAlign w:val="superscript"/>
          <w:lang w:val="en-GB"/>
        </w:rPr>
      </w:r>
      <w:r w:rsidRPr="00CD1396">
        <w:rPr>
          <w:vertAlign w:val="superscript"/>
          <w:lang w:val="en-GB"/>
        </w:rPr>
        <w:fldChar w:fldCharType="separate"/>
      </w:r>
      <w:r>
        <w:rPr>
          <w:vertAlign w:val="superscript"/>
          <w:lang w:val="en-GB"/>
        </w:rPr>
        <w:t>18</w:t>
      </w:r>
      <w:r w:rsidRPr="00CD1396">
        <w:rPr>
          <w:vertAlign w:val="superscript"/>
          <w:lang w:val="en-GB"/>
        </w:rPr>
        <w:fldChar w:fldCharType="end"/>
      </w:r>
      <w:r w:rsidRPr="00CD1396">
        <w:rPr>
          <w:vertAlign w:val="superscript"/>
          <w:lang w:val="en-GB"/>
        </w:rPr>
        <w:t xml:space="preserve">, </w:t>
      </w:r>
      <w:r w:rsidRPr="00CD1396">
        <w:rPr>
          <w:rStyle w:val="Endnotenzeichen"/>
          <w:lang w:val="en-GB"/>
        </w:rPr>
        <w:endnoteReference w:id="19"/>
      </w:r>
      <w:r w:rsidRPr="006E1A74">
        <w:rPr>
          <w:lang w:val="en-GB"/>
        </w:rPr>
        <w:t>]. EVOLVE</w:t>
      </w:r>
      <w:r w:rsidRPr="0081715B">
        <w:rPr>
          <w:lang w:val="en-GB"/>
        </w:rPr>
        <w:t xml:space="preserve"> is the only long-term randomized clinical trial that directly measured the impact of calcimimetics on SHPT </w:t>
      </w:r>
      <w:r>
        <w:rPr>
          <w:lang w:val="en-GB"/>
        </w:rPr>
        <w:t>clinical</w:t>
      </w:r>
      <w:r w:rsidRPr="0081715B">
        <w:rPr>
          <w:lang w:val="en-GB"/>
        </w:rPr>
        <w:t xml:space="preserve"> outcomes</w:t>
      </w:r>
      <w:r>
        <w:rPr>
          <w:lang w:val="en-GB"/>
        </w:rPr>
        <w:t>.</w:t>
      </w:r>
    </w:p>
    <w:p w:rsidR="00407EB1" w:rsidRPr="00D616E1" w:rsidRDefault="00407EB1" w:rsidP="00407EB1">
      <w:pPr>
        <w:rPr>
          <w:lang w:val="en-GB"/>
        </w:rPr>
      </w:pPr>
    </w:p>
    <w:p w:rsidR="00407EB1" w:rsidRDefault="00407EB1" w:rsidP="00407EB1">
      <w:pPr>
        <w:rPr>
          <w:lang w:val="en-GB"/>
        </w:rPr>
      </w:pPr>
      <w:r w:rsidRPr="00D616E1">
        <w:rPr>
          <w:lang w:val="en-GB"/>
        </w:rPr>
        <w:t xml:space="preserve">The design of the model is depicted in </w:t>
      </w:r>
      <w:r w:rsidRPr="00FC75BB">
        <w:rPr>
          <w:lang w:val="en-GB"/>
        </w:rPr>
        <w:fldChar w:fldCharType="begin"/>
      </w:r>
      <w:r w:rsidRPr="00D616E1">
        <w:rPr>
          <w:lang w:val="en-GB"/>
        </w:rPr>
        <w:instrText xml:space="preserve"> REF _Ref322251580 \h </w:instrText>
      </w:r>
      <w:r w:rsidRPr="00FC75BB">
        <w:rPr>
          <w:lang w:val="en-GB"/>
        </w:rPr>
      </w:r>
      <w:r w:rsidRPr="00FC75BB">
        <w:rPr>
          <w:lang w:val="en-GB"/>
        </w:rPr>
        <w:fldChar w:fldCharType="separate"/>
      </w:r>
      <w:r w:rsidRPr="00D616E1">
        <w:rPr>
          <w:lang w:val="en-GB"/>
        </w:rPr>
        <w:t xml:space="preserve">Figure </w:t>
      </w:r>
      <w:r>
        <w:rPr>
          <w:noProof/>
          <w:lang w:val="en-GB"/>
        </w:rPr>
        <w:t>1</w:t>
      </w:r>
      <w:r w:rsidRPr="00FC75BB">
        <w:rPr>
          <w:lang w:val="en-GB"/>
        </w:rPr>
        <w:fldChar w:fldCharType="end"/>
      </w:r>
      <w:r w:rsidRPr="00D616E1">
        <w:rPr>
          <w:lang w:val="en-GB"/>
        </w:rPr>
        <w:t xml:space="preserve">. Simulated </w:t>
      </w:r>
      <w:r>
        <w:rPr>
          <w:lang w:val="en-GB"/>
        </w:rPr>
        <w:t xml:space="preserve">subjects </w:t>
      </w:r>
      <w:r w:rsidRPr="00D616E1">
        <w:rPr>
          <w:lang w:val="en-GB"/>
        </w:rPr>
        <w:t>enter the model in the “Event free” state. During the simulation</w:t>
      </w:r>
      <w:r>
        <w:rPr>
          <w:lang w:val="en-GB"/>
        </w:rPr>
        <w:t>,</w:t>
      </w:r>
      <w:r w:rsidRPr="00D616E1">
        <w:rPr>
          <w:lang w:val="en-GB"/>
        </w:rPr>
        <w:t xml:space="preserve"> the</w:t>
      </w:r>
      <w:r>
        <w:rPr>
          <w:lang w:val="en-GB"/>
        </w:rPr>
        <w:t xml:space="preserve"> subjects</w:t>
      </w:r>
      <w:r w:rsidRPr="00D616E1">
        <w:rPr>
          <w:lang w:val="en-GB"/>
        </w:rPr>
        <w:t xml:space="preserve"> can experience </w:t>
      </w:r>
      <w:r>
        <w:rPr>
          <w:lang w:val="en-GB"/>
        </w:rPr>
        <w:t>CV</w:t>
      </w:r>
      <w:r w:rsidRPr="00D616E1">
        <w:rPr>
          <w:lang w:val="en-GB"/>
        </w:rPr>
        <w:t xml:space="preserve"> events and fractures as a consequence of the disease</w:t>
      </w:r>
      <w:r>
        <w:rPr>
          <w:lang w:val="en-GB"/>
        </w:rPr>
        <w:t>,</w:t>
      </w:r>
      <w:r w:rsidRPr="00D616E1">
        <w:rPr>
          <w:lang w:val="en-GB"/>
        </w:rPr>
        <w:t xml:space="preserve"> or die. </w:t>
      </w:r>
      <w:r>
        <w:rPr>
          <w:lang w:val="en-GB"/>
        </w:rPr>
        <w:t>Subjects</w:t>
      </w:r>
      <w:r w:rsidRPr="00D616E1">
        <w:rPr>
          <w:lang w:val="en-GB"/>
        </w:rPr>
        <w:t xml:space="preserve"> who do not persist with calcimimetic treatment switch to PB/VD alone. </w:t>
      </w:r>
      <w:r>
        <w:rPr>
          <w:lang w:val="en-GB"/>
        </w:rPr>
        <w:t xml:space="preserve">Lastly, </w:t>
      </w:r>
      <w:r w:rsidRPr="00D616E1">
        <w:rPr>
          <w:lang w:val="en-GB"/>
        </w:rPr>
        <w:t xml:space="preserve">the occurrence of </w:t>
      </w:r>
      <w:r>
        <w:rPr>
          <w:lang w:val="en-GB"/>
        </w:rPr>
        <w:t>PTx</w:t>
      </w:r>
      <w:r w:rsidRPr="00D616E1">
        <w:rPr>
          <w:lang w:val="en-GB"/>
        </w:rPr>
        <w:t xml:space="preserve"> was </w:t>
      </w:r>
      <w:r>
        <w:rPr>
          <w:lang w:val="en-GB"/>
        </w:rPr>
        <w:t xml:space="preserve">simulated </w:t>
      </w:r>
      <w:r w:rsidRPr="00D616E1">
        <w:rPr>
          <w:lang w:val="en-GB"/>
        </w:rPr>
        <w:t>as this event can generate costs and short-term health consequences.</w:t>
      </w:r>
    </w:p>
    <w:p w:rsidR="00407EB1" w:rsidRDefault="00407EB1" w:rsidP="00407EB1">
      <w:pPr>
        <w:rPr>
          <w:lang w:val="en-GB"/>
        </w:rPr>
      </w:pPr>
    </w:p>
    <w:p w:rsidR="00407EB1" w:rsidRPr="00D616E1" w:rsidRDefault="00407EB1" w:rsidP="00407EB1">
      <w:pPr>
        <w:rPr>
          <w:lang w:val="en-GB"/>
        </w:rPr>
      </w:pPr>
      <w:r>
        <w:rPr>
          <w:lang w:val="en-GB"/>
        </w:rPr>
        <w:t xml:space="preserve">The decision model compares long-term outcomes </w:t>
      </w:r>
      <w:r w:rsidRPr="00D616E1">
        <w:rPr>
          <w:lang w:val="en-GB"/>
        </w:rPr>
        <w:t xml:space="preserve">(survival and quality-adjusted life-years, QALYs) and overall costs. </w:t>
      </w:r>
      <w:r>
        <w:rPr>
          <w:lang w:val="en-GB"/>
        </w:rPr>
        <w:t>Calcimimetic t</w:t>
      </w:r>
      <w:r w:rsidRPr="00D616E1">
        <w:rPr>
          <w:lang w:val="en-GB"/>
        </w:rPr>
        <w:t xml:space="preserve">reatment results in more controlled levels of SHPT biomarkers (PTH, serum calcium, and phosphorus), which </w:t>
      </w:r>
      <w:r>
        <w:rPr>
          <w:lang w:val="en-GB"/>
        </w:rPr>
        <w:t>are related to</w:t>
      </w:r>
      <w:r w:rsidRPr="00D616E1">
        <w:rPr>
          <w:lang w:val="en-GB"/>
        </w:rPr>
        <w:t xml:space="preserve"> mortality as well as</w:t>
      </w:r>
      <w:r>
        <w:rPr>
          <w:lang w:val="en-GB"/>
        </w:rPr>
        <w:t xml:space="preserve"> the</w:t>
      </w:r>
      <w:r w:rsidRPr="00D616E1">
        <w:rPr>
          <w:lang w:val="en-GB"/>
        </w:rPr>
        <w:t xml:space="preserve"> incidence of </w:t>
      </w:r>
      <w:r>
        <w:rPr>
          <w:lang w:val="en-GB"/>
        </w:rPr>
        <w:t>CV</w:t>
      </w:r>
      <w:r w:rsidRPr="00D616E1">
        <w:rPr>
          <w:lang w:val="en-GB"/>
        </w:rPr>
        <w:t xml:space="preserve"> events, fractures and </w:t>
      </w:r>
      <w:r>
        <w:rPr>
          <w:lang w:val="en-GB"/>
        </w:rPr>
        <w:t>PTx</w:t>
      </w:r>
      <w:r w:rsidRPr="00D616E1">
        <w:rPr>
          <w:lang w:val="en-GB"/>
        </w:rPr>
        <w:t xml:space="preserve">. The efficacy compared with </w:t>
      </w:r>
      <w:r>
        <w:rPr>
          <w:lang w:val="en-GB"/>
        </w:rPr>
        <w:t>‘no calcimimetic treatment’</w:t>
      </w:r>
      <w:r w:rsidRPr="00D616E1">
        <w:rPr>
          <w:lang w:val="en-GB"/>
        </w:rPr>
        <w:t xml:space="preserve"> was parameterized as a hazard ratio </w:t>
      </w:r>
      <w:r>
        <w:rPr>
          <w:lang w:val="en-GB"/>
        </w:rPr>
        <w:t xml:space="preserve">(HR) by type of event (i.e. </w:t>
      </w:r>
      <w:r w:rsidRPr="00D616E1">
        <w:rPr>
          <w:lang w:val="en-GB"/>
        </w:rPr>
        <w:t xml:space="preserve">all-cause mortality, non-fatal </w:t>
      </w:r>
      <w:r>
        <w:rPr>
          <w:lang w:val="en-GB"/>
        </w:rPr>
        <w:t>CV</w:t>
      </w:r>
      <w:r w:rsidRPr="00D616E1">
        <w:rPr>
          <w:lang w:val="en-GB"/>
        </w:rPr>
        <w:t xml:space="preserve"> events, fractures and </w:t>
      </w:r>
      <w:r>
        <w:rPr>
          <w:lang w:val="en-GB"/>
        </w:rPr>
        <w:t>PTx)</w:t>
      </w:r>
      <w:r w:rsidRPr="00D616E1">
        <w:rPr>
          <w:lang w:val="en-GB"/>
        </w:rPr>
        <w:t>. Rates of clinical events</w:t>
      </w:r>
      <w:r>
        <w:rPr>
          <w:lang w:val="en-GB"/>
        </w:rPr>
        <w:t>,</w:t>
      </w:r>
      <w:r w:rsidRPr="00D616E1">
        <w:rPr>
          <w:lang w:val="en-GB"/>
        </w:rPr>
        <w:t xml:space="preserve"> </w:t>
      </w:r>
      <w:r>
        <w:rPr>
          <w:lang w:val="en-GB"/>
        </w:rPr>
        <w:t>while on calcimimetic treatment,</w:t>
      </w:r>
      <w:r w:rsidRPr="00D616E1">
        <w:rPr>
          <w:lang w:val="en-GB"/>
        </w:rPr>
        <w:t xml:space="preserve"> were obtained by applying </w:t>
      </w:r>
      <w:r>
        <w:rPr>
          <w:lang w:val="en-GB"/>
        </w:rPr>
        <w:t>HRs</w:t>
      </w:r>
      <w:r w:rsidRPr="00D616E1">
        <w:rPr>
          <w:lang w:val="en-GB"/>
        </w:rPr>
        <w:t xml:space="preserve"> to the baseline rates </w:t>
      </w:r>
      <w:r>
        <w:rPr>
          <w:lang w:val="en-GB"/>
        </w:rPr>
        <w:t xml:space="preserve">(no calcimimetic treatment) </w:t>
      </w:r>
      <w:r w:rsidRPr="00D616E1">
        <w:rPr>
          <w:lang w:val="en-GB"/>
        </w:rPr>
        <w:t>(</w:t>
      </w:r>
      <w:r w:rsidRPr="00FC75BB">
        <w:rPr>
          <w:lang w:val="en-GB"/>
        </w:rPr>
        <w:fldChar w:fldCharType="begin"/>
      </w:r>
      <w:r w:rsidRPr="00D616E1">
        <w:rPr>
          <w:lang w:val="en-GB"/>
        </w:rPr>
        <w:instrText xml:space="preserve"> REF _Ref322258725 \h </w:instrText>
      </w:r>
      <w:r w:rsidRPr="00FC75BB">
        <w:rPr>
          <w:lang w:val="en-GB"/>
        </w:rPr>
      </w:r>
      <w:r w:rsidRPr="00FC75BB">
        <w:rPr>
          <w:lang w:val="en-GB"/>
        </w:rPr>
        <w:fldChar w:fldCharType="separate"/>
      </w:r>
      <w:r w:rsidRPr="00D616E1">
        <w:rPr>
          <w:lang w:val="en-GB"/>
        </w:rPr>
        <w:t xml:space="preserve">Table </w:t>
      </w:r>
      <w:r>
        <w:rPr>
          <w:noProof/>
          <w:lang w:val="en-GB"/>
        </w:rPr>
        <w:t>1</w:t>
      </w:r>
      <w:r w:rsidRPr="00FC75BB">
        <w:rPr>
          <w:lang w:val="en-GB"/>
        </w:rPr>
        <w:fldChar w:fldCharType="end"/>
      </w:r>
      <w:r w:rsidRPr="00D616E1">
        <w:rPr>
          <w:lang w:val="en-GB"/>
        </w:rPr>
        <w:t>) [</w:t>
      </w:r>
      <w:bookmarkStart w:id="8" w:name="_Ref322337854"/>
      <w:r>
        <w:rPr>
          <w:lang w:val="en-GB"/>
        </w:rPr>
        <w:fldChar w:fldCharType="begin"/>
      </w:r>
      <w:r>
        <w:rPr>
          <w:lang w:val="en-GB"/>
        </w:rPr>
        <w:instrText xml:space="preserve"> NOTEREF _Ref481501681 \f \h </w:instrText>
      </w:r>
      <w:r>
        <w:rPr>
          <w:lang w:val="en-GB"/>
        </w:rPr>
      </w:r>
      <w:r>
        <w:rPr>
          <w:lang w:val="en-GB"/>
        </w:rPr>
        <w:fldChar w:fldCharType="separate"/>
      </w:r>
      <w:r w:rsidRPr="002570CB">
        <w:rPr>
          <w:rStyle w:val="Endnotenzeichen"/>
        </w:rPr>
        <w:t>18</w:t>
      </w:r>
      <w:r>
        <w:rPr>
          <w:lang w:val="en-GB"/>
        </w:rPr>
        <w:fldChar w:fldCharType="end"/>
      </w:r>
      <w:r w:rsidRPr="00255610">
        <w:rPr>
          <w:vertAlign w:val="superscript"/>
          <w:lang w:val="en-GB"/>
        </w:rPr>
        <w:t>,</w:t>
      </w:r>
      <w:r w:rsidRPr="00D616E1">
        <w:rPr>
          <w:rStyle w:val="Endnotenzeichen"/>
          <w:lang w:val="en-GB"/>
        </w:rPr>
        <w:endnoteReference w:id="20"/>
      </w:r>
      <w:bookmarkEnd w:id="8"/>
      <w:r w:rsidRPr="00D616E1">
        <w:rPr>
          <w:lang w:val="en-GB"/>
        </w:rPr>
        <w:t xml:space="preserve">]. </w:t>
      </w:r>
    </w:p>
    <w:p w:rsidR="00407EB1" w:rsidRPr="00D616E1" w:rsidRDefault="00407EB1" w:rsidP="00407EB1">
      <w:pPr>
        <w:rPr>
          <w:lang w:val="en-GB"/>
        </w:rPr>
      </w:pPr>
    </w:p>
    <w:p w:rsidR="00407EB1" w:rsidRPr="00D616E1" w:rsidRDefault="00407EB1" w:rsidP="00407EB1">
      <w:pPr>
        <w:rPr>
          <w:lang w:val="en-GB"/>
        </w:rPr>
      </w:pPr>
      <w:r w:rsidRPr="00D616E1">
        <w:rPr>
          <w:lang w:val="en-GB"/>
        </w:rPr>
        <w:t xml:space="preserve">The </w:t>
      </w:r>
      <w:r>
        <w:rPr>
          <w:lang w:val="en-GB"/>
        </w:rPr>
        <w:t>HRs</w:t>
      </w:r>
      <w:r w:rsidRPr="00D616E1">
        <w:rPr>
          <w:lang w:val="en-GB"/>
        </w:rPr>
        <w:t xml:space="preserve"> for cinacalcet compared </w:t>
      </w:r>
      <w:r>
        <w:rPr>
          <w:lang w:val="en-GB"/>
        </w:rPr>
        <w:t xml:space="preserve">to ‘no calcimimetics’ </w:t>
      </w:r>
      <w:r w:rsidRPr="00D616E1">
        <w:rPr>
          <w:lang w:val="en-GB"/>
        </w:rPr>
        <w:t xml:space="preserve">were derived from </w:t>
      </w:r>
      <w:r>
        <w:rPr>
          <w:lang w:val="en-GB"/>
        </w:rPr>
        <w:t>EVOLVE</w:t>
      </w:r>
      <w:r w:rsidRPr="00D616E1">
        <w:rPr>
          <w:lang w:val="en-GB"/>
        </w:rPr>
        <w:t xml:space="preserve"> [</w:t>
      </w:r>
      <w:r>
        <w:rPr>
          <w:lang w:val="en-GB"/>
        </w:rPr>
        <w:fldChar w:fldCharType="begin"/>
      </w:r>
      <w:r>
        <w:rPr>
          <w:lang w:val="en-GB"/>
        </w:rPr>
        <w:instrText xml:space="preserve"> NOTEREF _Ref481501681 \f \h </w:instrText>
      </w:r>
      <w:r>
        <w:rPr>
          <w:lang w:val="en-GB"/>
        </w:rPr>
      </w:r>
      <w:r>
        <w:rPr>
          <w:lang w:val="en-GB"/>
        </w:rPr>
        <w:fldChar w:fldCharType="separate"/>
      </w:r>
      <w:r w:rsidRPr="002570CB">
        <w:rPr>
          <w:rStyle w:val="Endnotenzeichen"/>
        </w:rPr>
        <w:t>18</w:t>
      </w:r>
      <w:r>
        <w:rPr>
          <w:lang w:val="en-GB"/>
        </w:rPr>
        <w:fldChar w:fldCharType="end"/>
      </w:r>
      <w:r w:rsidRPr="00D616E1">
        <w:rPr>
          <w:lang w:val="en-GB"/>
        </w:rPr>
        <w:t>]</w:t>
      </w:r>
      <w:r>
        <w:rPr>
          <w:lang w:val="en-GB"/>
        </w:rPr>
        <w:t xml:space="preserve"> based on the event- specific HRs published by Belozeroff et al. [</w:t>
      </w:r>
      <w:r w:rsidRPr="000B5176">
        <w:rPr>
          <w:vertAlign w:val="superscript"/>
          <w:lang w:val="en-GB"/>
        </w:rPr>
        <w:fldChar w:fldCharType="begin"/>
      </w:r>
      <w:r w:rsidRPr="000B5176">
        <w:rPr>
          <w:vertAlign w:val="superscript"/>
          <w:lang w:val="en-GB"/>
        </w:rPr>
        <w:instrText xml:space="preserve"> NOTEREF _Ref497135375 \h </w:instrText>
      </w:r>
      <w:r>
        <w:rPr>
          <w:vertAlign w:val="superscript"/>
          <w:lang w:val="en-GB"/>
        </w:rPr>
        <w:instrText xml:space="preserve"> \* MERGEFORMAT </w:instrText>
      </w:r>
      <w:r w:rsidRPr="000B5176">
        <w:rPr>
          <w:vertAlign w:val="superscript"/>
          <w:lang w:val="en-GB"/>
        </w:rPr>
      </w:r>
      <w:r w:rsidRPr="000B5176">
        <w:rPr>
          <w:vertAlign w:val="superscript"/>
          <w:lang w:val="en-GB"/>
        </w:rPr>
        <w:fldChar w:fldCharType="separate"/>
      </w:r>
      <w:r>
        <w:rPr>
          <w:vertAlign w:val="superscript"/>
          <w:lang w:val="en-GB"/>
        </w:rPr>
        <w:t>13</w:t>
      </w:r>
      <w:r w:rsidRPr="000B5176">
        <w:rPr>
          <w:vertAlign w:val="superscript"/>
          <w:lang w:val="en-GB"/>
        </w:rPr>
        <w:fldChar w:fldCharType="end"/>
      </w:r>
      <w:r>
        <w:rPr>
          <w:lang w:val="en-GB"/>
        </w:rPr>
        <w:t>]. Among the reported HRs, the lag-censored estimates (6-months lag) were most consistent with our model structure. This is, because both the model structure and the censoring approach distinguish between subjects on vs. off treatment. The EVOLVE pre-</w:t>
      </w:r>
      <w:r>
        <w:rPr>
          <w:lang w:val="en-GB"/>
        </w:rPr>
        <w:lastRenderedPageBreak/>
        <w:t xml:space="preserve">specified 6-month lag in the referenced source accounts for the delay between the drug intake and the treatment effect. As a sensitivity analysis to using lag-censored hazard ratios, we presented an intention-to-treat (ITT)-based approach (see electronic supplementary material). </w:t>
      </w:r>
    </w:p>
    <w:p w:rsidR="00407EB1" w:rsidRPr="00D616E1" w:rsidRDefault="00407EB1" w:rsidP="00407EB1">
      <w:pPr>
        <w:rPr>
          <w:lang w:val="en-GB"/>
        </w:rPr>
      </w:pPr>
    </w:p>
    <w:p w:rsidR="00407EB1" w:rsidRDefault="00407EB1" w:rsidP="00407EB1">
      <w:pPr>
        <w:rPr>
          <w:lang w:val="en-GB"/>
        </w:rPr>
      </w:pPr>
      <w:r w:rsidRPr="00D616E1">
        <w:rPr>
          <w:lang w:val="en-GB"/>
        </w:rPr>
        <w:t xml:space="preserve">No study is available that measured the incidence of clinical events in SHPT patients treated with etelcalcetide. </w:t>
      </w:r>
      <w:r>
        <w:rPr>
          <w:lang w:val="en-GB"/>
        </w:rPr>
        <w:t xml:space="preserve">Therefore, the cinacalcet efficacy has been extrapolated based on the ability to lower PTH (see electronic supplementary material). The extrapolation was used separately for each type of event (i.e. mortality, CV events, fractures and PTx), and was based on the primary outcome of the etelcalcetide trial (i.e. the ability of the treatment to achieve a PTH reduction of at least 30% compared to baseline). </w:t>
      </w:r>
      <w:r w:rsidRPr="00CD1396">
        <w:rPr>
          <w:lang w:val="en-GB"/>
        </w:rPr>
        <w:t>More specifically, the proportion of subjects achieving the 30% PTH reduction was calculated separately for each treatment arm (etelcalcetide, cinacalcet, and placebo) across three etelcalcetide trials. Because the HR for cinacalcet is known for each event type, we used placebo as a reference and applied the share of subjects that met the primary endpoint to approximate the efficacy of etelcalcetide.</w:t>
      </w:r>
    </w:p>
    <w:p w:rsidR="00407EB1" w:rsidRDefault="00407EB1" w:rsidP="00407EB1">
      <w:pPr>
        <w:rPr>
          <w:lang w:val="en-GB"/>
        </w:rPr>
      </w:pPr>
    </w:p>
    <w:p w:rsidR="00407EB1" w:rsidRDefault="00407EB1" w:rsidP="00407EB1">
      <w:pPr>
        <w:rPr>
          <w:lang w:val="en-GB"/>
        </w:rPr>
      </w:pPr>
      <w:r>
        <w:rPr>
          <w:lang w:val="en-GB"/>
        </w:rPr>
        <w:t xml:space="preserve">The treatment effect in the model is applied as long as subjects persist on the calcimimetic treatments. As soon as subjects discontinue, the baseline incidence rates are applied. As a consequence, on a population basis, the treatment effect of the calcimimetic treatment fades out </w:t>
      </w:r>
      <w:r w:rsidRPr="00F26CEE">
        <w:rPr>
          <w:lang w:val="en-GB"/>
        </w:rPr>
        <w:t>continuously</w:t>
      </w:r>
      <w:r>
        <w:rPr>
          <w:lang w:val="en-GB"/>
        </w:rPr>
        <w:t>.</w:t>
      </w:r>
    </w:p>
    <w:p w:rsidR="00407EB1" w:rsidRDefault="00407EB1" w:rsidP="00407EB1">
      <w:pPr>
        <w:rPr>
          <w:lang w:val="en-GB"/>
        </w:rPr>
      </w:pPr>
    </w:p>
    <w:p w:rsidR="00407EB1" w:rsidRDefault="00407EB1" w:rsidP="00407EB1">
      <w:pPr>
        <w:rPr>
          <w:lang w:val="en-GB"/>
        </w:rPr>
      </w:pPr>
      <w:r>
        <w:rPr>
          <w:lang w:val="en-GB"/>
        </w:rPr>
        <w:t xml:space="preserve">We modelled discontinuation with a parametric Weibull function (see electronic supplementary material). For the base case, we used the United States (US) real world data </w:t>
      </w:r>
      <w:r w:rsidRPr="00D616E1">
        <w:rPr>
          <w:lang w:val="en-GB"/>
        </w:rPr>
        <w:t>[</w:t>
      </w:r>
      <w:bookmarkStart w:id="9" w:name="_Ref497137914"/>
      <w:r w:rsidRPr="00D616E1">
        <w:rPr>
          <w:rStyle w:val="Endnotenzeichen"/>
          <w:lang w:val="en-GB"/>
        </w:rPr>
        <w:endnoteReference w:id="21"/>
      </w:r>
      <w:bookmarkEnd w:id="9"/>
      <w:r w:rsidRPr="00D616E1">
        <w:rPr>
          <w:lang w:val="en-GB"/>
        </w:rPr>
        <w:t>]</w:t>
      </w:r>
      <w:r>
        <w:rPr>
          <w:lang w:val="en-GB"/>
        </w:rPr>
        <w:t xml:space="preserve">. To test the sensitivity of the model to persistence assumptions, we applied EVOLVE trial persistence as an upper bound, and the lowest observed real-world persistence in Europe as a lower bound (one-year persistence: EVOLVE 73%, </w:t>
      </w:r>
      <w:r>
        <w:rPr>
          <w:lang w:val="en-GB"/>
        </w:rPr>
        <w:lastRenderedPageBreak/>
        <w:t xml:space="preserve">US 27%, France 27%, Germany 22%, Italy 16%). </w:t>
      </w:r>
      <w:r w:rsidRPr="00A65E1C">
        <w:rPr>
          <w:lang w:val="en-GB"/>
        </w:rPr>
        <w:t>Given that no significant persistent difference</w:t>
      </w:r>
      <w:r>
        <w:rPr>
          <w:lang w:val="en-GB"/>
        </w:rPr>
        <w:t xml:space="preserve"> (p=0.60)</w:t>
      </w:r>
      <w:r w:rsidRPr="00A65E1C">
        <w:rPr>
          <w:lang w:val="en-GB"/>
        </w:rPr>
        <w:t xml:space="preserve"> was observed within </w:t>
      </w:r>
      <w:r>
        <w:rPr>
          <w:lang w:val="en-GB"/>
        </w:rPr>
        <w:t>the</w:t>
      </w:r>
      <w:r w:rsidRPr="00A65E1C">
        <w:rPr>
          <w:lang w:val="en-GB"/>
        </w:rPr>
        <w:t xml:space="preserve"> head-to-head trial</w:t>
      </w:r>
      <w:r>
        <w:rPr>
          <w:lang w:val="en-GB"/>
        </w:rPr>
        <w:t>,</w:t>
      </w:r>
      <w:r w:rsidRPr="00A65E1C">
        <w:rPr>
          <w:lang w:val="en-GB"/>
        </w:rPr>
        <w:t xml:space="preserve"> </w:t>
      </w:r>
      <w:r>
        <w:rPr>
          <w:lang w:val="en-GB"/>
        </w:rPr>
        <w:t>the same discontinuation probabilities were applied for both calcimimetics.</w:t>
      </w:r>
    </w:p>
    <w:p w:rsidR="00407EB1" w:rsidRPr="00D616E1" w:rsidRDefault="00407EB1" w:rsidP="00407EB1">
      <w:pPr>
        <w:rPr>
          <w:lang w:val="en-GB"/>
        </w:rPr>
      </w:pPr>
    </w:p>
    <w:p w:rsidR="00407EB1" w:rsidRPr="00D616E1" w:rsidRDefault="00407EB1" w:rsidP="00407EB1">
      <w:pPr>
        <w:rPr>
          <w:lang w:val="en-GB"/>
        </w:rPr>
      </w:pPr>
      <w:r w:rsidRPr="00D616E1">
        <w:rPr>
          <w:lang w:val="en-GB"/>
        </w:rPr>
        <w:t xml:space="preserve">The utility values </w:t>
      </w:r>
      <w:r>
        <w:rPr>
          <w:lang w:val="en-GB"/>
        </w:rPr>
        <w:t xml:space="preserve">(EQ-5D, Dolan algorithm) </w:t>
      </w:r>
      <w:r w:rsidRPr="00D616E1">
        <w:rPr>
          <w:lang w:val="en-GB"/>
        </w:rPr>
        <w:t>for each of the health states in the model were derived from a published EVOLVE analysis</w:t>
      </w:r>
      <w:r>
        <w:rPr>
          <w:lang w:val="en-GB"/>
        </w:rPr>
        <w:t xml:space="preserve"> [</w:t>
      </w:r>
      <w:bookmarkStart w:id="10" w:name="_Ref497137851"/>
      <w:r>
        <w:rPr>
          <w:rStyle w:val="Endnotenzeichen"/>
          <w:lang w:val="en-GB"/>
        </w:rPr>
        <w:endnoteReference w:id="22"/>
      </w:r>
      <w:bookmarkEnd w:id="10"/>
      <w:r>
        <w:rPr>
          <w:lang w:val="en-GB"/>
        </w:rPr>
        <w:t xml:space="preserve">] using separate estimates </w:t>
      </w:r>
      <w:r w:rsidRPr="00D616E1">
        <w:rPr>
          <w:lang w:val="en-GB"/>
        </w:rPr>
        <w:t xml:space="preserve">for ‘myocardial infarction’, ‘hospitalization for unstable angina’, ‘heart failure’ and ‘peripheral vascular event’. </w:t>
      </w:r>
      <w:r>
        <w:rPr>
          <w:lang w:val="en-GB"/>
        </w:rPr>
        <w:t xml:space="preserve">To derive a combined utility estimate for CV events, the number of events in EVOLVE were used for weighting. </w:t>
      </w:r>
      <w:r w:rsidRPr="00D616E1">
        <w:rPr>
          <w:lang w:val="en-GB"/>
        </w:rPr>
        <w:t xml:space="preserve">The </w:t>
      </w:r>
      <w:r>
        <w:rPr>
          <w:lang w:val="en-GB"/>
        </w:rPr>
        <w:t xml:space="preserve">corresponding </w:t>
      </w:r>
      <w:r w:rsidRPr="00D616E1">
        <w:rPr>
          <w:lang w:val="en-GB"/>
        </w:rPr>
        <w:t>standard error was derived via error propagation [</w:t>
      </w:r>
      <w:r w:rsidRPr="00D616E1">
        <w:rPr>
          <w:rStyle w:val="Endnotenzeichen"/>
          <w:lang w:val="en-GB"/>
        </w:rPr>
        <w:endnoteReference w:id="23"/>
      </w:r>
      <w:r w:rsidRPr="00D616E1">
        <w:rPr>
          <w:lang w:val="en-GB"/>
        </w:rPr>
        <w:t xml:space="preserve">]. </w:t>
      </w:r>
    </w:p>
    <w:p w:rsidR="00407EB1" w:rsidRPr="00D616E1" w:rsidRDefault="00407EB1" w:rsidP="00407EB1">
      <w:pPr>
        <w:rPr>
          <w:lang w:val="en-GB"/>
        </w:rPr>
      </w:pPr>
    </w:p>
    <w:p w:rsidR="00407EB1" w:rsidRPr="00D616E1" w:rsidRDefault="00407EB1" w:rsidP="00407EB1">
      <w:pPr>
        <w:rPr>
          <w:lang w:val="en-GB"/>
        </w:rPr>
      </w:pPr>
      <w:r w:rsidRPr="00D616E1">
        <w:rPr>
          <w:lang w:val="en-GB"/>
        </w:rPr>
        <w:t>T</w:t>
      </w:r>
      <w:r>
        <w:rPr>
          <w:lang w:val="en-GB"/>
        </w:rPr>
        <w:t>he cost perspective of the third-party payer was applied; the t</w:t>
      </w:r>
      <w:r w:rsidRPr="00D616E1">
        <w:rPr>
          <w:lang w:val="en-GB"/>
        </w:rPr>
        <w:t>otal cost was estimated as the sum of drug consumption, management of clinical events, and routine monitoring. Dosing for calcimimetics was quantified based on the efficacy assessment phase of the head-to-head trial [</w:t>
      </w:r>
      <w:r w:rsidRPr="00FC75BB">
        <w:rPr>
          <w:lang w:val="en-GB"/>
        </w:rPr>
        <w:fldChar w:fldCharType="begin"/>
      </w:r>
      <w:r w:rsidRPr="00D616E1">
        <w:rPr>
          <w:lang w:val="en-GB"/>
        </w:rPr>
        <w:instrText xml:space="preserve"> NOTEREF _Ref461006872 \f \h  \* MERGEFORMAT </w:instrText>
      </w:r>
      <w:r w:rsidRPr="00FC75BB">
        <w:rPr>
          <w:lang w:val="en-GB"/>
        </w:rPr>
      </w:r>
      <w:r w:rsidRPr="00FC75BB">
        <w:rPr>
          <w:lang w:val="en-GB"/>
        </w:rPr>
        <w:fldChar w:fldCharType="separate"/>
      </w:r>
      <w:r w:rsidRPr="002570CB">
        <w:rPr>
          <w:rStyle w:val="Endnotenzeichen"/>
          <w:lang w:val="en-GB"/>
        </w:rPr>
        <w:t>10</w:t>
      </w:r>
      <w:r w:rsidRPr="00FC75BB">
        <w:rPr>
          <w:lang w:val="en-GB"/>
        </w:rPr>
        <w:fldChar w:fldCharType="end"/>
      </w:r>
      <w:r w:rsidRPr="00D616E1">
        <w:rPr>
          <w:lang w:val="en-GB"/>
        </w:rPr>
        <w:t>].</w:t>
      </w:r>
      <w:r w:rsidRPr="002B670C">
        <w:rPr>
          <w:lang w:val="en-GB"/>
        </w:rPr>
        <w:t xml:space="preserve"> </w:t>
      </w:r>
      <w:r w:rsidRPr="00D616E1">
        <w:rPr>
          <w:lang w:val="en-GB"/>
        </w:rPr>
        <w:t xml:space="preserve">Consistent with the modelling approach from Garside et al. </w:t>
      </w:r>
      <w:r>
        <w:rPr>
          <w:lang w:val="en-GB"/>
        </w:rPr>
        <w:t>[</w:t>
      </w:r>
      <w:r w:rsidRPr="004B4F71">
        <w:rPr>
          <w:vertAlign w:val="superscript"/>
          <w:lang w:val="en-GB"/>
        </w:rPr>
        <w:fldChar w:fldCharType="begin"/>
      </w:r>
      <w:r w:rsidRPr="004B4F71">
        <w:rPr>
          <w:vertAlign w:val="superscript"/>
          <w:lang w:val="en-GB"/>
        </w:rPr>
        <w:instrText xml:space="preserve"> NOTEREF _Ref497137217 \h </w:instrText>
      </w:r>
      <w:r>
        <w:rPr>
          <w:vertAlign w:val="superscript"/>
          <w:lang w:val="en-GB"/>
        </w:rPr>
        <w:instrText xml:space="preserve"> \* MERGEFORMAT </w:instrText>
      </w:r>
      <w:r w:rsidRPr="004B4F71">
        <w:rPr>
          <w:vertAlign w:val="superscript"/>
          <w:lang w:val="en-GB"/>
        </w:rPr>
      </w:r>
      <w:r w:rsidRPr="004B4F71">
        <w:rPr>
          <w:vertAlign w:val="superscript"/>
          <w:lang w:val="en-GB"/>
        </w:rPr>
        <w:fldChar w:fldCharType="separate"/>
      </w:r>
      <w:r>
        <w:rPr>
          <w:vertAlign w:val="superscript"/>
          <w:lang w:val="en-GB"/>
        </w:rPr>
        <w:t>14</w:t>
      </w:r>
      <w:r w:rsidRPr="004B4F71">
        <w:rPr>
          <w:vertAlign w:val="superscript"/>
          <w:lang w:val="en-GB"/>
        </w:rPr>
        <w:fldChar w:fldCharType="end"/>
      </w:r>
      <w:r>
        <w:rPr>
          <w:lang w:val="en-GB"/>
        </w:rPr>
        <w:t>]</w:t>
      </w:r>
      <w:r w:rsidRPr="00D616E1">
        <w:rPr>
          <w:lang w:val="en-GB"/>
        </w:rPr>
        <w:t xml:space="preserve">, the same </w:t>
      </w:r>
      <w:r>
        <w:rPr>
          <w:lang w:val="en-GB"/>
        </w:rPr>
        <w:t xml:space="preserve">background </w:t>
      </w:r>
      <w:r w:rsidRPr="00D616E1">
        <w:rPr>
          <w:lang w:val="en-GB"/>
        </w:rPr>
        <w:t>PB/VD drug usage was assumed for all treatment strategies</w:t>
      </w:r>
      <w:r>
        <w:rPr>
          <w:lang w:val="en-GB"/>
        </w:rPr>
        <w:t xml:space="preserve"> </w:t>
      </w:r>
      <w:r w:rsidRPr="00D616E1">
        <w:rPr>
          <w:lang w:val="en-GB"/>
        </w:rPr>
        <w:t>(</w:t>
      </w:r>
      <w:r w:rsidRPr="00FC75BB">
        <w:rPr>
          <w:lang w:val="en-GB"/>
        </w:rPr>
        <w:fldChar w:fldCharType="begin"/>
      </w:r>
      <w:r w:rsidRPr="00D616E1">
        <w:rPr>
          <w:lang w:val="en-GB"/>
        </w:rPr>
        <w:instrText xml:space="preserve"> REF _Ref461095315 \h </w:instrText>
      </w:r>
      <w:r w:rsidRPr="00FC75BB">
        <w:rPr>
          <w:lang w:val="en-GB"/>
        </w:rPr>
      </w:r>
      <w:r w:rsidRPr="00FC75BB">
        <w:rPr>
          <w:lang w:val="en-GB"/>
        </w:rPr>
        <w:fldChar w:fldCharType="separate"/>
      </w:r>
      <w:r w:rsidRPr="00D616E1">
        <w:rPr>
          <w:lang w:val="en-GB"/>
        </w:rPr>
        <w:t xml:space="preserve">Table </w:t>
      </w:r>
      <w:r>
        <w:rPr>
          <w:noProof/>
          <w:lang w:val="en-GB"/>
        </w:rPr>
        <w:t>2</w:t>
      </w:r>
      <w:r w:rsidRPr="00FC75BB">
        <w:rPr>
          <w:lang w:val="en-GB"/>
        </w:rPr>
        <w:fldChar w:fldCharType="end"/>
      </w:r>
      <w:r w:rsidRPr="00D616E1">
        <w:rPr>
          <w:lang w:val="en-GB"/>
        </w:rPr>
        <w:t xml:space="preserve">). </w:t>
      </w:r>
    </w:p>
    <w:p w:rsidR="00407EB1" w:rsidRPr="00D616E1" w:rsidRDefault="00407EB1" w:rsidP="00407EB1">
      <w:pPr>
        <w:rPr>
          <w:b/>
          <w:bCs/>
          <w:color w:val="5B9BD5" w:themeColor="accent1"/>
          <w:sz w:val="18"/>
          <w:szCs w:val="18"/>
          <w:lang w:val="en-GB"/>
        </w:rPr>
      </w:pPr>
    </w:p>
    <w:p w:rsidR="00407EB1" w:rsidRDefault="00407EB1" w:rsidP="00407EB1">
      <w:pPr>
        <w:rPr>
          <w:lang w:val="en-GB"/>
        </w:rPr>
      </w:pPr>
      <w:r>
        <w:rPr>
          <w:lang w:val="en-GB"/>
        </w:rPr>
        <w:t>To parameterize this generic cost-</w:t>
      </w:r>
      <w:r w:rsidRPr="0048126E">
        <w:rPr>
          <w:lang w:val="en-GB"/>
        </w:rPr>
        <w:t>effectiveness model, we applied crude averages of published drug prices and event costs across five European countries (Italy, Spain, Portugal, Switzerland, Czech Republic) [</w:t>
      </w:r>
      <w:bookmarkStart w:id="11" w:name="_Ref461008564"/>
      <w:r w:rsidRPr="0048126E">
        <w:rPr>
          <w:rStyle w:val="Endnotenzeichen"/>
          <w:lang w:val="en-GB"/>
        </w:rPr>
        <w:endnoteReference w:id="24"/>
      </w:r>
      <w:bookmarkEnd w:id="11"/>
      <w:r w:rsidRPr="0048126E">
        <w:rPr>
          <w:lang w:val="en-GB"/>
        </w:rPr>
        <w:t>]. These illustrative costs refer to the year 2010. Three potential etelcalcetide pricing scenarios were illustrated: 1) same weekly calcimimetic drug cost (WCDC), 2) 15% higher WCDC (‘+15% WCDC’) and 3) 30% higher WCDC (‘+30% WCDC’). We used the weekly costs because the frequency of administration differs between calcimimetics. The ratio of average drug usage</w:t>
      </w:r>
      <w:r>
        <w:rPr>
          <w:lang w:val="en-GB"/>
        </w:rPr>
        <w:t xml:space="preserve"> was taken for price calculation.</w:t>
      </w:r>
    </w:p>
    <w:p w:rsidR="00407EB1" w:rsidRPr="00D616E1" w:rsidRDefault="00407EB1" w:rsidP="00407EB1">
      <w:pPr>
        <w:rPr>
          <w:lang w:val="en-GB"/>
        </w:rPr>
      </w:pPr>
    </w:p>
    <w:p w:rsidR="00407EB1" w:rsidRPr="00D616E1" w:rsidRDefault="00407EB1" w:rsidP="00407EB1">
      <w:pPr>
        <w:rPr>
          <w:lang w:val="en-GB"/>
        </w:rPr>
      </w:pPr>
      <w:r w:rsidRPr="00D616E1">
        <w:rPr>
          <w:lang w:val="en-GB"/>
        </w:rPr>
        <w:lastRenderedPageBreak/>
        <w:t xml:space="preserve">To assess the robustness of the model, a distribution-based probabilistic sensitivity analysis was conducted with key parameters varied simultaneously in 1,000 replications. The parameters of the uncertainty distributions were based on the point estimate and the standard error or confidence interval. The uncertainty of the primary endpoint of the etelcalcetide trials </w:t>
      </w:r>
      <w:r>
        <w:rPr>
          <w:lang w:val="en-GB"/>
        </w:rPr>
        <w:t>was</w:t>
      </w:r>
      <w:r w:rsidRPr="00D616E1">
        <w:rPr>
          <w:lang w:val="en-GB"/>
        </w:rPr>
        <w:t xml:space="preserve"> sampled via the bootstrap approach. Hazard ratios of the cinacalcet treatment effect based on the EVOLVE trial were sampled via the Log-normal distribution. Baseline event rates were sampled via the Gamma distribution. Persistence-adjustment and extrapolation of efficacy based on the primary endpoint in the etelcalcetide study was re-calculated for the sampled values.</w:t>
      </w:r>
    </w:p>
    <w:p w:rsidR="00407EB1" w:rsidRPr="00D616E1" w:rsidRDefault="00407EB1" w:rsidP="00407EB1">
      <w:pPr>
        <w:rPr>
          <w:lang w:val="en-GB"/>
        </w:rPr>
      </w:pPr>
    </w:p>
    <w:p w:rsidR="00407EB1" w:rsidRDefault="00407EB1" w:rsidP="00407EB1">
      <w:pPr>
        <w:rPr>
          <w:lang w:val="en-GB"/>
        </w:rPr>
      </w:pPr>
      <w:r w:rsidRPr="00D616E1">
        <w:rPr>
          <w:lang w:val="en-GB"/>
        </w:rPr>
        <w:t>The Gamma distribution was also applied to sample resource usage and costs. Utility decrements were sampled based on the Normal distribution, whereas absolute utility values were sampled based on the Beta distribution. The results of probabilistic sensitivity analysis were displayed as a scatter plot on the cost-effectiveness plane and as cost-effectiveness acceptability curves.</w:t>
      </w:r>
    </w:p>
    <w:p w:rsidR="00407EB1" w:rsidRDefault="00407EB1" w:rsidP="00407EB1">
      <w:pPr>
        <w:rPr>
          <w:lang w:val="en-GB"/>
        </w:rPr>
      </w:pPr>
    </w:p>
    <w:p w:rsidR="00407EB1" w:rsidRDefault="00407EB1" w:rsidP="00407EB1">
      <w:pPr>
        <w:rPr>
          <w:lang w:val="en-GB"/>
        </w:rPr>
      </w:pPr>
      <w:r>
        <w:rPr>
          <w:lang w:val="en-GB"/>
        </w:rPr>
        <w:t>We conducted a deterministic sensitivity analysis (DSA), where parameters were varied to the upper and lower bound of their 95% confidence intervals. For grouped parameters, or parameters without available standard errors (i.e. age-specific mortality, utility decrements, event costs, monitoring costs), plus/minus 20% of the point estimate were applied. The results of the DSA were displayed via a tornado diagram.</w:t>
      </w:r>
    </w:p>
    <w:p w:rsidR="00407EB1" w:rsidRDefault="00407EB1" w:rsidP="00407EB1">
      <w:pPr>
        <w:rPr>
          <w:lang w:val="en-GB"/>
        </w:rPr>
      </w:pPr>
    </w:p>
    <w:p w:rsidR="00407EB1" w:rsidRDefault="00407EB1" w:rsidP="00407EB1">
      <w:pPr>
        <w:rPr>
          <w:lang w:val="en-GB"/>
        </w:rPr>
      </w:pPr>
      <w:r>
        <w:rPr>
          <w:lang w:val="en-GB"/>
        </w:rPr>
        <w:t xml:space="preserve">We performed structural sensitivity analyses including a different approach to estimate the treatment effect (i.e. ITT hazard ratios), and different sources to quantify discontinuation. Lastly, to assess the uncertainty due to PTx, we included a scenario where the PTx incidence rate has been set to zero. </w:t>
      </w:r>
    </w:p>
    <w:p w:rsidR="00407EB1" w:rsidRPr="00D616E1" w:rsidRDefault="00407EB1" w:rsidP="00407EB1">
      <w:pPr>
        <w:rPr>
          <w:lang w:val="en-GB"/>
        </w:rPr>
      </w:pPr>
    </w:p>
    <w:p w:rsidR="00407EB1" w:rsidRPr="00D616E1" w:rsidRDefault="00407EB1" w:rsidP="00407EB1">
      <w:pPr>
        <w:pStyle w:val="berschrift1"/>
        <w:rPr>
          <w:lang w:val="en-GB"/>
        </w:rPr>
      </w:pPr>
      <w:r w:rsidRPr="00D616E1">
        <w:rPr>
          <w:lang w:val="en-GB"/>
        </w:rPr>
        <w:t xml:space="preserve">Results </w:t>
      </w:r>
    </w:p>
    <w:p w:rsidR="00407EB1" w:rsidRPr="00D616E1" w:rsidRDefault="00407EB1" w:rsidP="00407EB1">
      <w:pPr>
        <w:rPr>
          <w:lang w:val="en-GB"/>
        </w:rPr>
      </w:pPr>
      <w:r w:rsidRPr="00D616E1">
        <w:rPr>
          <w:lang w:val="en-GB"/>
        </w:rPr>
        <w:t xml:space="preserve">Lifetime total costs and outcomes </w:t>
      </w:r>
      <w:r>
        <w:rPr>
          <w:lang w:val="en-GB"/>
        </w:rPr>
        <w:t xml:space="preserve">by treatment </w:t>
      </w:r>
      <w:r w:rsidRPr="00D616E1">
        <w:rPr>
          <w:lang w:val="en-GB"/>
        </w:rPr>
        <w:t xml:space="preserve">are reported in </w:t>
      </w:r>
      <w:r w:rsidRPr="00FC75BB">
        <w:rPr>
          <w:lang w:val="en-GB"/>
        </w:rPr>
        <w:fldChar w:fldCharType="begin"/>
      </w:r>
      <w:r w:rsidRPr="00D616E1">
        <w:rPr>
          <w:lang w:val="en-GB"/>
        </w:rPr>
        <w:instrText xml:space="preserve"> REF _Ref473538292 \h  \* MERGEFORMAT </w:instrText>
      </w:r>
      <w:r w:rsidRPr="00FC75BB">
        <w:rPr>
          <w:lang w:val="en-GB"/>
        </w:rPr>
      </w:r>
      <w:r w:rsidRPr="00FC75BB">
        <w:rPr>
          <w:lang w:val="en-GB"/>
        </w:rPr>
        <w:fldChar w:fldCharType="separate"/>
      </w:r>
      <w:r w:rsidRPr="00D616E1">
        <w:rPr>
          <w:lang w:val="en-GB"/>
        </w:rPr>
        <w:t xml:space="preserve">Table </w:t>
      </w:r>
      <w:r>
        <w:rPr>
          <w:noProof/>
          <w:lang w:val="en-GB"/>
        </w:rPr>
        <w:t>3</w:t>
      </w:r>
      <w:r w:rsidRPr="00FC75BB">
        <w:rPr>
          <w:lang w:val="en-GB"/>
        </w:rPr>
        <w:fldChar w:fldCharType="end"/>
      </w:r>
      <w:r w:rsidRPr="00D616E1">
        <w:rPr>
          <w:lang w:val="en-GB"/>
        </w:rPr>
        <w:t>.</w:t>
      </w:r>
      <w:r>
        <w:rPr>
          <w:lang w:val="en-GB"/>
        </w:rPr>
        <w:t xml:space="preserve"> </w:t>
      </w:r>
      <w:r w:rsidRPr="00D616E1">
        <w:rPr>
          <w:lang w:val="en-GB"/>
        </w:rPr>
        <w:t>Etelcalcetide was more effective, providing 0.03</w:t>
      </w:r>
      <w:r>
        <w:rPr>
          <w:lang w:val="en-GB"/>
        </w:rPr>
        <w:t>2</w:t>
      </w:r>
      <w:r w:rsidRPr="00D616E1">
        <w:rPr>
          <w:lang w:val="en-GB"/>
        </w:rPr>
        <w:t xml:space="preserve"> additional </w:t>
      </w:r>
      <w:r>
        <w:rPr>
          <w:lang w:val="en-GB"/>
        </w:rPr>
        <w:t xml:space="preserve">discounted </w:t>
      </w:r>
      <w:r w:rsidRPr="00D616E1">
        <w:rPr>
          <w:lang w:val="en-GB"/>
        </w:rPr>
        <w:t xml:space="preserve">QALYs compared with cinacalcet. </w:t>
      </w:r>
      <w:r>
        <w:rPr>
          <w:lang w:val="en-GB"/>
        </w:rPr>
        <w:t>This</w:t>
      </w:r>
      <w:r w:rsidRPr="00D616E1">
        <w:rPr>
          <w:lang w:val="en-GB"/>
        </w:rPr>
        <w:t xml:space="preserve"> </w:t>
      </w:r>
      <w:r>
        <w:rPr>
          <w:lang w:val="en-GB"/>
        </w:rPr>
        <w:t>limited</w:t>
      </w:r>
      <w:r w:rsidRPr="00D616E1">
        <w:rPr>
          <w:lang w:val="en-GB"/>
        </w:rPr>
        <w:t xml:space="preserve"> QALY gain reflects the high calcimimetic discontinuation rate. </w:t>
      </w:r>
      <w:r>
        <w:rPr>
          <w:lang w:val="en-GB"/>
        </w:rPr>
        <w:t xml:space="preserve">If the weekly calcimimetics treatment costs were kept constant, the increased life-expectancy resulted in a cost increase of €49. If a price mark-up was allowed, a 30% cost increase, combined with the effect of increased life-expectancy, resulted in additional costs of €1,518 compared with cinacalcet. These incremental costs are based on the assumption that no additional administration costs are associated with etelcalcetide treatment. </w:t>
      </w:r>
      <w:r w:rsidRPr="00D616E1">
        <w:rPr>
          <w:lang w:val="en-GB"/>
        </w:rPr>
        <w:t>(</w:t>
      </w:r>
      <w:r w:rsidRPr="00FC75BB">
        <w:rPr>
          <w:lang w:val="en-GB"/>
        </w:rPr>
        <w:fldChar w:fldCharType="begin"/>
      </w:r>
      <w:r w:rsidRPr="00D616E1">
        <w:rPr>
          <w:lang w:val="en-GB"/>
        </w:rPr>
        <w:instrText xml:space="preserve"> REF _Ref473538292 \h  \* MERGEFORMAT </w:instrText>
      </w:r>
      <w:r w:rsidRPr="00FC75BB">
        <w:rPr>
          <w:lang w:val="en-GB"/>
        </w:rPr>
      </w:r>
      <w:r w:rsidRPr="00FC75BB">
        <w:rPr>
          <w:lang w:val="en-GB"/>
        </w:rPr>
        <w:fldChar w:fldCharType="separate"/>
      </w:r>
      <w:r w:rsidRPr="00D616E1">
        <w:rPr>
          <w:lang w:val="en-GB"/>
        </w:rPr>
        <w:t xml:space="preserve">Table </w:t>
      </w:r>
      <w:r>
        <w:rPr>
          <w:noProof/>
          <w:lang w:val="en-GB"/>
        </w:rPr>
        <w:t>3</w:t>
      </w:r>
      <w:r w:rsidRPr="00FC75BB">
        <w:rPr>
          <w:lang w:val="en-GB"/>
        </w:rPr>
        <w:fldChar w:fldCharType="end"/>
      </w:r>
      <w:r w:rsidRPr="00D616E1">
        <w:rPr>
          <w:lang w:val="en-GB"/>
        </w:rPr>
        <w:t>)</w:t>
      </w:r>
    </w:p>
    <w:p w:rsidR="00407EB1" w:rsidRPr="00D616E1" w:rsidRDefault="00407EB1" w:rsidP="00407EB1">
      <w:pPr>
        <w:rPr>
          <w:lang w:val="en-GB"/>
        </w:rPr>
      </w:pPr>
    </w:p>
    <w:p w:rsidR="00407EB1" w:rsidRPr="00C97A44" w:rsidRDefault="00407EB1" w:rsidP="00407EB1">
      <w:pPr>
        <w:rPr>
          <w:lang w:val="en-GB"/>
        </w:rPr>
      </w:pPr>
      <w:r w:rsidRPr="00C97A44">
        <w:rPr>
          <w:lang w:val="en-GB"/>
        </w:rPr>
        <w:t xml:space="preserve">Compared with cinacalcet, the incremental cost-effectiveness ratio </w:t>
      </w:r>
      <w:r w:rsidRPr="00D616E1">
        <w:rPr>
          <w:lang w:val="en-GB"/>
        </w:rPr>
        <w:t xml:space="preserve">(ICER) </w:t>
      </w:r>
      <w:r w:rsidRPr="00C97A44">
        <w:rPr>
          <w:lang w:val="en-GB"/>
        </w:rPr>
        <w:t>of etelcalcetide was €</w:t>
      </w:r>
      <w:r>
        <w:rPr>
          <w:lang w:val="en-GB"/>
        </w:rPr>
        <w:t>1,355</w:t>
      </w:r>
      <w:r w:rsidRPr="00C97A44">
        <w:rPr>
          <w:lang w:val="en-GB"/>
        </w:rPr>
        <w:t xml:space="preserve"> per QALY, €</w:t>
      </w:r>
      <w:r>
        <w:rPr>
          <w:lang w:val="en-GB"/>
        </w:rPr>
        <w:t>24,521</w:t>
      </w:r>
      <w:r w:rsidRPr="00C97A44">
        <w:rPr>
          <w:lang w:val="en-GB"/>
        </w:rPr>
        <w:t xml:space="preserve"> per QALY and €</w:t>
      </w:r>
      <w:r>
        <w:rPr>
          <w:lang w:val="en-GB"/>
        </w:rPr>
        <w:t>47,687</w:t>
      </w:r>
      <w:r w:rsidRPr="00C97A44">
        <w:rPr>
          <w:lang w:val="en-GB"/>
        </w:rPr>
        <w:t xml:space="preserve"> per QALY for the three </w:t>
      </w:r>
      <w:r>
        <w:rPr>
          <w:lang w:val="en-GB"/>
        </w:rPr>
        <w:t>pricing options</w:t>
      </w:r>
      <w:r w:rsidRPr="00C97A44">
        <w:rPr>
          <w:lang w:val="en-GB"/>
        </w:rPr>
        <w:t xml:space="preserve"> explored. </w:t>
      </w:r>
    </w:p>
    <w:p w:rsidR="00407EB1" w:rsidRPr="00C97A44" w:rsidRDefault="00407EB1" w:rsidP="00407EB1">
      <w:pPr>
        <w:rPr>
          <w:lang w:val="en-GB"/>
        </w:rPr>
      </w:pPr>
    </w:p>
    <w:p w:rsidR="00407EB1" w:rsidRPr="00D616E1" w:rsidRDefault="00407EB1" w:rsidP="00407EB1">
      <w:pPr>
        <w:rPr>
          <w:lang w:val="en-GB"/>
        </w:rPr>
      </w:pPr>
      <w:r w:rsidRPr="00D616E1">
        <w:rPr>
          <w:lang w:val="en-GB"/>
        </w:rPr>
        <w:t>In the probabilistic sensitivity analysis, etelcalcetide consistently yielded more QALYs than cinacalcet (</w:t>
      </w:r>
      <w:r w:rsidRPr="00FC75BB">
        <w:rPr>
          <w:lang w:val="en-GB"/>
        </w:rPr>
        <w:fldChar w:fldCharType="begin"/>
      </w:r>
      <w:r w:rsidRPr="00D616E1">
        <w:rPr>
          <w:lang w:val="en-GB"/>
        </w:rPr>
        <w:instrText xml:space="preserve"> REF _Ref322775792 \h </w:instrText>
      </w:r>
      <w:r w:rsidRPr="00FC75BB">
        <w:rPr>
          <w:lang w:val="en-GB"/>
        </w:rPr>
      </w:r>
      <w:r w:rsidRPr="00FC75BB">
        <w:rPr>
          <w:lang w:val="en-GB"/>
        </w:rPr>
        <w:fldChar w:fldCharType="separate"/>
      </w:r>
      <w:r w:rsidRPr="00D616E1">
        <w:rPr>
          <w:lang w:val="en-GB"/>
        </w:rPr>
        <w:t xml:space="preserve">Figure </w:t>
      </w:r>
      <w:r>
        <w:rPr>
          <w:noProof/>
          <w:lang w:val="en-GB"/>
        </w:rPr>
        <w:t>2</w:t>
      </w:r>
      <w:r w:rsidRPr="00FC75BB">
        <w:rPr>
          <w:lang w:val="en-GB"/>
        </w:rPr>
        <w:fldChar w:fldCharType="end"/>
      </w:r>
      <w:r w:rsidRPr="00D616E1">
        <w:rPr>
          <w:lang w:val="en-GB"/>
        </w:rPr>
        <w:t xml:space="preserve">). </w:t>
      </w:r>
    </w:p>
    <w:p w:rsidR="00407EB1" w:rsidRDefault="00407EB1" w:rsidP="00407EB1">
      <w:pPr>
        <w:rPr>
          <w:lang w:val="en-GB"/>
        </w:rPr>
      </w:pPr>
    </w:p>
    <w:p w:rsidR="00407EB1" w:rsidRDefault="00407EB1" w:rsidP="00407EB1">
      <w:pPr>
        <w:rPr>
          <w:lang w:val="en-GB"/>
        </w:rPr>
      </w:pPr>
      <w:r>
        <w:rPr>
          <w:lang w:val="en-GB"/>
        </w:rPr>
        <w:t xml:space="preserve">The tornado plot of the DSA is </w:t>
      </w:r>
      <w:r w:rsidRPr="00A82830">
        <w:rPr>
          <w:lang w:val="en-GB"/>
        </w:rPr>
        <w:t>displayed in Figure 3 (for illustration</w:t>
      </w:r>
      <w:r>
        <w:rPr>
          <w:lang w:val="en-GB"/>
        </w:rPr>
        <w:t xml:space="preserve"> purposes based on an increase of 15% of weekly calcimimetic treatment costs). The parameters with the highest impact on the ICER were the calcimimetic doses and the HR (etelcalcetide vs. cinacalcet) to reduce mortality. The order of these variables varied by pricing assumption. Other inputs with a high impact on the outcomes were the HRs on CV events, fractures, and PTx.</w:t>
      </w:r>
    </w:p>
    <w:p w:rsidR="00407EB1" w:rsidRDefault="00407EB1" w:rsidP="00407EB1">
      <w:pPr>
        <w:rPr>
          <w:lang w:val="en-GB"/>
        </w:rPr>
      </w:pPr>
    </w:p>
    <w:p w:rsidR="00407EB1" w:rsidRDefault="00407EB1" w:rsidP="00407EB1">
      <w:pPr>
        <w:rPr>
          <w:lang w:val="en-GB"/>
        </w:rPr>
      </w:pPr>
      <w:r>
        <w:rPr>
          <w:lang w:val="en-GB"/>
        </w:rPr>
        <w:lastRenderedPageBreak/>
        <w:t xml:space="preserve">The results of the structural sensitivity analyses are </w:t>
      </w:r>
      <w:r w:rsidRPr="00807DEC">
        <w:rPr>
          <w:lang w:val="en-GB"/>
        </w:rPr>
        <w:t>displayed in Table 4. A</w:t>
      </w:r>
      <w:r>
        <w:rPr>
          <w:lang w:val="en-GB"/>
        </w:rPr>
        <w:t xml:space="preserve"> higher persistence led to increased ICERs. This is because at the later stages of the Markov model the treatment costs were equal, but the expected QALYs gained per event avoided decreased. When setting the PTx rate to zero, the ICER slightly increased. Incorporating ITT efficacy into the model resulted in a higher ability of etelcalcetide to reduce events. This is because of the implicit assignment of the spill-over treatment effect post discontinuation to the treatment period. For the +15% and the +30% treatment scenarios this resulted in slightly improved ICERs.  For the pricing scenario where the weekly calcimimetic treatment costs do not differ between calcimimetics, the reduced mortality shifts people into later life-time cycles, where at similar costs to avoid one event, the QALYs per event avoided decreases, resulting in a slight increase of the ICER.</w:t>
      </w:r>
    </w:p>
    <w:p w:rsidR="00407EB1" w:rsidRPr="00D616E1" w:rsidRDefault="00407EB1" w:rsidP="00407EB1">
      <w:pPr>
        <w:pStyle w:val="berschrift1"/>
        <w:rPr>
          <w:lang w:val="en-GB"/>
        </w:rPr>
      </w:pPr>
      <w:r w:rsidRPr="00D616E1">
        <w:rPr>
          <w:lang w:val="en-GB"/>
        </w:rPr>
        <w:t>Discussion and conclusions</w:t>
      </w:r>
    </w:p>
    <w:p w:rsidR="00407EB1" w:rsidRPr="00146526" w:rsidRDefault="00407EB1" w:rsidP="00407EB1">
      <w:r>
        <w:rPr>
          <w:lang w:val="en-GB"/>
        </w:rPr>
        <w:t xml:space="preserve">We developed </w:t>
      </w:r>
      <w:r w:rsidRPr="00D616E1">
        <w:rPr>
          <w:lang w:val="en-GB"/>
        </w:rPr>
        <w:t xml:space="preserve">a model </w:t>
      </w:r>
      <w:r>
        <w:rPr>
          <w:lang w:val="en-GB"/>
        </w:rPr>
        <w:t xml:space="preserve">to </w:t>
      </w:r>
      <w:r w:rsidRPr="00D616E1">
        <w:rPr>
          <w:lang w:val="en-GB"/>
        </w:rPr>
        <w:t>assess the cost-effectiveness of etelcalcetide</w:t>
      </w:r>
      <w:r>
        <w:rPr>
          <w:lang w:val="en-GB"/>
        </w:rPr>
        <w:t xml:space="preserve"> vs. cinacalcet</w:t>
      </w:r>
      <w:r w:rsidRPr="00D616E1">
        <w:rPr>
          <w:lang w:val="en-GB"/>
        </w:rPr>
        <w:t xml:space="preserve">. </w:t>
      </w:r>
      <w:r>
        <w:rPr>
          <w:lang w:val="en-GB"/>
        </w:rPr>
        <w:t>The rationale for selecting cinacalcet as the comparator was that in most settings it corresponds to the current standard of care. The purpose of this article was not to calculate the cost-effectiveness of etelcalcetide itself. Neither did we intend to calculate for a given price and a given willingness-to-pay (WTP) threshold, how effective etelcalcetide would have to be.</w:t>
      </w:r>
    </w:p>
    <w:p w:rsidR="00407EB1" w:rsidRDefault="00407EB1" w:rsidP="00407EB1"/>
    <w:p w:rsidR="00407EB1" w:rsidRDefault="00407EB1" w:rsidP="00407EB1">
      <w:pPr>
        <w:rPr>
          <w:lang w:val="en-GB"/>
        </w:rPr>
      </w:pPr>
      <w:r w:rsidRPr="00E872F2">
        <w:rPr>
          <w:lang w:val="en-GB"/>
        </w:rPr>
        <w:t xml:space="preserve">The efficacy of cinacalcet was </w:t>
      </w:r>
      <w:r>
        <w:rPr>
          <w:lang w:val="en-GB"/>
        </w:rPr>
        <w:t xml:space="preserve">directly </w:t>
      </w:r>
      <w:r w:rsidRPr="00E872F2">
        <w:rPr>
          <w:lang w:val="en-GB"/>
        </w:rPr>
        <w:t xml:space="preserve">based on </w:t>
      </w:r>
      <w:r>
        <w:rPr>
          <w:lang w:val="en-GB"/>
        </w:rPr>
        <w:t xml:space="preserve">the hard outcome trial </w:t>
      </w:r>
      <w:r w:rsidRPr="00E872F2">
        <w:rPr>
          <w:lang w:val="en-GB"/>
        </w:rPr>
        <w:t>EVOLVE</w:t>
      </w:r>
      <w:r>
        <w:rPr>
          <w:lang w:val="en-GB"/>
        </w:rPr>
        <w:t xml:space="preserve">. </w:t>
      </w:r>
      <w:r w:rsidRPr="00E872F2">
        <w:rPr>
          <w:lang w:val="en-GB"/>
        </w:rPr>
        <w:t xml:space="preserve">In contrast, though based on a randomized trial, the efficacy of etelcalcetide was extrapolated via </w:t>
      </w:r>
      <w:r>
        <w:rPr>
          <w:lang w:val="en-GB"/>
        </w:rPr>
        <w:t>a</w:t>
      </w:r>
      <w:r w:rsidRPr="00E872F2">
        <w:rPr>
          <w:lang w:val="en-GB"/>
        </w:rPr>
        <w:t xml:space="preserve"> surrogate para</w:t>
      </w:r>
      <w:r>
        <w:rPr>
          <w:lang w:val="en-GB"/>
        </w:rPr>
        <w:t>meter</w:t>
      </w:r>
      <w:r w:rsidRPr="008D30C1">
        <w:rPr>
          <w:lang w:val="en-GB"/>
        </w:rPr>
        <w:t xml:space="preserve">. </w:t>
      </w:r>
      <w:r>
        <w:rPr>
          <w:lang w:val="en-GB"/>
        </w:rPr>
        <w:t xml:space="preserve">No hard outcomes study directly comparing etelcalcetide to cinacalcet exists, nor is there any </w:t>
      </w:r>
      <w:r w:rsidRPr="00E872F2">
        <w:rPr>
          <w:lang w:val="en-GB"/>
        </w:rPr>
        <w:t xml:space="preserve">observational studies </w:t>
      </w:r>
      <w:r>
        <w:rPr>
          <w:lang w:val="en-GB"/>
        </w:rPr>
        <w:t xml:space="preserve">as the therapy is just entering the markets. Thus, for the life-time analysis, the decision-analytic model needs to rely on surrogate parameters and efficacy extrapolation. However, this is a usual practice for economic analyses, and is also very common in </w:t>
      </w:r>
      <w:r>
        <w:rPr>
          <w:lang w:val="en-GB"/>
        </w:rPr>
        <w:lastRenderedPageBreak/>
        <w:t xml:space="preserve">the context of dialysis care where hard outcomes trials </w:t>
      </w:r>
      <w:r w:rsidRPr="001D47F9">
        <w:rPr>
          <w:lang w:val="en-GB"/>
        </w:rPr>
        <w:t>are very rare: Among eight previous studies reporting on the economics of SHPT treatment [</w:t>
      </w:r>
      <w:r w:rsidRPr="001D47F9">
        <w:rPr>
          <w:vertAlign w:val="superscript"/>
          <w:lang w:val="en-GB"/>
        </w:rPr>
        <w:fldChar w:fldCharType="begin"/>
      </w:r>
      <w:r w:rsidRPr="001D47F9">
        <w:rPr>
          <w:vertAlign w:val="superscript"/>
          <w:lang w:val="en-GB"/>
        </w:rPr>
        <w:instrText xml:space="preserve"> NOTEREF _Ref497135375 \h  \* MERGEFORMAT </w:instrText>
      </w:r>
      <w:r w:rsidRPr="001D47F9">
        <w:rPr>
          <w:vertAlign w:val="superscript"/>
          <w:lang w:val="en-GB"/>
        </w:rPr>
      </w:r>
      <w:r w:rsidRPr="001D47F9">
        <w:rPr>
          <w:vertAlign w:val="superscript"/>
          <w:lang w:val="en-GB"/>
        </w:rPr>
        <w:fldChar w:fldCharType="separate"/>
      </w:r>
      <w:r>
        <w:rPr>
          <w:vertAlign w:val="superscript"/>
          <w:lang w:val="en-GB"/>
        </w:rPr>
        <w:t>13</w:t>
      </w:r>
      <w:r w:rsidRPr="001D47F9">
        <w:rPr>
          <w:vertAlign w:val="superscript"/>
          <w:lang w:val="en-GB"/>
        </w:rPr>
        <w:fldChar w:fldCharType="end"/>
      </w:r>
      <w:r>
        <w:rPr>
          <w:vertAlign w:val="superscript"/>
          <w:lang w:val="en-GB"/>
        </w:rPr>
        <w:t xml:space="preserve">, </w:t>
      </w:r>
      <w:r>
        <w:rPr>
          <w:vertAlign w:val="superscript"/>
          <w:lang w:val="en-GB"/>
        </w:rPr>
        <w:fldChar w:fldCharType="begin"/>
      </w:r>
      <w:r>
        <w:rPr>
          <w:vertAlign w:val="superscript"/>
          <w:lang w:val="en-GB"/>
        </w:rPr>
        <w:instrText xml:space="preserve"> NOTEREF _Ref497137217 \h </w:instrText>
      </w:r>
      <w:r>
        <w:rPr>
          <w:vertAlign w:val="superscript"/>
          <w:lang w:val="en-GB"/>
        </w:rPr>
      </w:r>
      <w:r>
        <w:rPr>
          <w:vertAlign w:val="superscript"/>
          <w:lang w:val="en-GB"/>
        </w:rPr>
        <w:fldChar w:fldCharType="separate"/>
      </w:r>
      <w:r>
        <w:rPr>
          <w:vertAlign w:val="superscript"/>
          <w:lang w:val="en-GB"/>
        </w:rPr>
        <w:t>14</w:t>
      </w:r>
      <w:r>
        <w:rPr>
          <w:vertAlign w:val="superscript"/>
          <w:lang w:val="en-GB"/>
        </w:rPr>
        <w:fldChar w:fldCharType="end"/>
      </w:r>
      <w:r w:rsidRPr="001D47F9">
        <w:rPr>
          <w:vertAlign w:val="superscript"/>
          <w:lang w:val="en-GB"/>
        </w:rPr>
        <w:t xml:space="preserve">, </w:t>
      </w:r>
      <w:r w:rsidRPr="001D47F9">
        <w:rPr>
          <w:vertAlign w:val="superscript"/>
          <w:lang w:val="en-GB"/>
        </w:rPr>
        <w:fldChar w:fldCharType="begin"/>
      </w:r>
      <w:r w:rsidRPr="001D47F9">
        <w:rPr>
          <w:vertAlign w:val="superscript"/>
          <w:lang w:val="en-GB"/>
        </w:rPr>
        <w:instrText xml:space="preserve"> NOTEREF _Ref322337854 \f \h  \* MERGEFORMAT </w:instrText>
      </w:r>
      <w:r w:rsidRPr="001D47F9">
        <w:rPr>
          <w:vertAlign w:val="superscript"/>
          <w:lang w:val="en-GB"/>
        </w:rPr>
      </w:r>
      <w:r w:rsidRPr="001D47F9">
        <w:rPr>
          <w:vertAlign w:val="superscript"/>
          <w:lang w:val="en-GB"/>
        </w:rPr>
        <w:fldChar w:fldCharType="separate"/>
      </w:r>
      <w:r w:rsidRPr="002570CB">
        <w:rPr>
          <w:rStyle w:val="Endnotenzeichen"/>
        </w:rPr>
        <w:t>20</w:t>
      </w:r>
      <w:r w:rsidRPr="001D47F9">
        <w:rPr>
          <w:vertAlign w:val="superscript"/>
          <w:lang w:val="en-GB"/>
        </w:rPr>
        <w:fldChar w:fldCharType="end"/>
      </w:r>
      <w:r w:rsidRPr="001D47F9">
        <w:rPr>
          <w:vertAlign w:val="superscript"/>
          <w:lang w:val="en-GB"/>
        </w:rPr>
        <w:t xml:space="preserve">, </w:t>
      </w:r>
      <w:r w:rsidRPr="001D47F9">
        <w:rPr>
          <w:vertAlign w:val="superscript"/>
          <w:lang w:val="en-GB"/>
        </w:rPr>
        <w:fldChar w:fldCharType="begin"/>
      </w:r>
      <w:r w:rsidRPr="001D47F9">
        <w:rPr>
          <w:vertAlign w:val="superscript"/>
          <w:lang w:val="en-GB"/>
        </w:rPr>
        <w:instrText xml:space="preserve"> NOTEREF _Ref461008564 \f \h  \* MERGEFORMAT </w:instrText>
      </w:r>
      <w:r w:rsidRPr="001D47F9">
        <w:rPr>
          <w:vertAlign w:val="superscript"/>
          <w:lang w:val="en-GB"/>
        </w:rPr>
      </w:r>
      <w:r w:rsidRPr="001D47F9">
        <w:rPr>
          <w:vertAlign w:val="superscript"/>
          <w:lang w:val="en-GB"/>
        </w:rPr>
        <w:fldChar w:fldCharType="separate"/>
      </w:r>
      <w:r w:rsidRPr="002570CB">
        <w:rPr>
          <w:rStyle w:val="Endnotenzeichen"/>
        </w:rPr>
        <w:t>24</w:t>
      </w:r>
      <w:r w:rsidRPr="001D47F9">
        <w:rPr>
          <w:vertAlign w:val="superscript"/>
          <w:lang w:val="en-GB"/>
        </w:rPr>
        <w:fldChar w:fldCharType="end"/>
      </w:r>
      <w:r w:rsidRPr="001D47F9">
        <w:rPr>
          <w:vertAlign w:val="superscript"/>
          <w:lang w:val="en-GB"/>
        </w:rPr>
        <w:t xml:space="preserve">, </w:t>
      </w:r>
      <w:r w:rsidRPr="001D47F9">
        <w:rPr>
          <w:rStyle w:val="Endnotenzeichen"/>
          <w:lang w:val="en-GB"/>
        </w:rPr>
        <w:endnoteReference w:id="25"/>
      </w:r>
      <w:r w:rsidRPr="001D47F9">
        <w:rPr>
          <w:vertAlign w:val="superscript"/>
          <w:lang w:val="en-GB"/>
        </w:rPr>
        <w:t xml:space="preserve">, </w:t>
      </w:r>
      <w:bookmarkStart w:id="12" w:name="_Ref324413172"/>
      <w:r w:rsidRPr="001D47F9">
        <w:rPr>
          <w:rStyle w:val="Endnotenzeichen"/>
          <w:lang w:val="en-GB"/>
        </w:rPr>
        <w:endnoteReference w:id="26"/>
      </w:r>
      <w:bookmarkEnd w:id="12"/>
      <w:r w:rsidRPr="001D47F9">
        <w:rPr>
          <w:vertAlign w:val="superscript"/>
          <w:lang w:val="en-GB"/>
        </w:rPr>
        <w:t xml:space="preserve">, </w:t>
      </w:r>
      <w:r w:rsidRPr="001D47F9">
        <w:rPr>
          <w:rStyle w:val="Endnotenzeichen"/>
          <w:lang w:val="en-GB"/>
        </w:rPr>
        <w:endnoteReference w:id="27"/>
      </w:r>
      <w:r w:rsidRPr="001D47F9">
        <w:rPr>
          <w:vertAlign w:val="superscript"/>
          <w:lang w:val="en-GB"/>
        </w:rPr>
        <w:t xml:space="preserve">, </w:t>
      </w:r>
      <w:bookmarkStart w:id="13" w:name="_Ref324412192"/>
      <w:r w:rsidRPr="001D47F9">
        <w:rPr>
          <w:rStyle w:val="Endnotenzeichen"/>
          <w:lang w:val="en-GB"/>
        </w:rPr>
        <w:endnoteReference w:id="28"/>
      </w:r>
      <w:bookmarkEnd w:id="13"/>
      <w:r w:rsidRPr="001D47F9">
        <w:rPr>
          <w:lang w:val="en-GB"/>
        </w:rPr>
        <w:t>] only two did not use surrogate parameters [</w:t>
      </w:r>
      <w:r w:rsidRPr="001D47F9">
        <w:rPr>
          <w:vertAlign w:val="superscript"/>
          <w:lang w:val="en-GB"/>
        </w:rPr>
        <w:fldChar w:fldCharType="begin"/>
      </w:r>
      <w:r w:rsidRPr="001D47F9">
        <w:rPr>
          <w:vertAlign w:val="superscript"/>
          <w:lang w:val="en-GB"/>
        </w:rPr>
        <w:instrText xml:space="preserve"> NOTEREF _Ref497135375 \h  \* MERGEFORMAT </w:instrText>
      </w:r>
      <w:r w:rsidRPr="001D47F9">
        <w:rPr>
          <w:vertAlign w:val="superscript"/>
          <w:lang w:val="en-GB"/>
        </w:rPr>
      </w:r>
      <w:r w:rsidRPr="001D47F9">
        <w:rPr>
          <w:vertAlign w:val="superscript"/>
          <w:lang w:val="en-GB"/>
        </w:rPr>
        <w:fldChar w:fldCharType="separate"/>
      </w:r>
      <w:r>
        <w:rPr>
          <w:vertAlign w:val="superscript"/>
          <w:lang w:val="en-GB"/>
        </w:rPr>
        <w:t>13</w:t>
      </w:r>
      <w:r w:rsidRPr="001D47F9">
        <w:rPr>
          <w:vertAlign w:val="superscript"/>
          <w:lang w:val="en-GB"/>
        </w:rPr>
        <w:fldChar w:fldCharType="end"/>
      </w:r>
      <w:r w:rsidRPr="001D47F9">
        <w:rPr>
          <w:vertAlign w:val="superscript"/>
          <w:lang w:val="en-GB"/>
        </w:rPr>
        <w:t xml:space="preserve">, </w:t>
      </w:r>
      <w:r w:rsidRPr="001D47F9">
        <w:rPr>
          <w:lang w:val="en-GB"/>
        </w:rPr>
        <w:fldChar w:fldCharType="begin"/>
      </w:r>
      <w:r w:rsidRPr="001D47F9">
        <w:rPr>
          <w:lang w:val="en-GB"/>
        </w:rPr>
        <w:instrText xml:space="preserve"> NOTEREF _Ref324412192 \f \h  \* MERGEFORMAT </w:instrText>
      </w:r>
      <w:r w:rsidRPr="001D47F9">
        <w:rPr>
          <w:lang w:val="en-GB"/>
        </w:rPr>
      </w:r>
      <w:r w:rsidRPr="001D47F9">
        <w:rPr>
          <w:lang w:val="en-GB"/>
        </w:rPr>
        <w:fldChar w:fldCharType="separate"/>
      </w:r>
      <w:r w:rsidRPr="002570CB">
        <w:rPr>
          <w:rStyle w:val="Endnotenzeichen"/>
        </w:rPr>
        <w:t>28</w:t>
      </w:r>
      <w:r w:rsidRPr="001D47F9">
        <w:rPr>
          <w:lang w:val="en-GB"/>
        </w:rPr>
        <w:fldChar w:fldCharType="end"/>
      </w:r>
      <w:r w:rsidRPr="001D47F9">
        <w:rPr>
          <w:lang w:val="en-GB"/>
        </w:rPr>
        <w:t>].</w:t>
      </w:r>
      <w:r>
        <w:rPr>
          <w:lang w:val="en-GB"/>
        </w:rPr>
        <w:t xml:space="preserve"> However, as the treatment effect is an explicit input to our model, the model can easily be updated once alternative estimates become available.</w:t>
      </w:r>
    </w:p>
    <w:p w:rsidR="00407EB1" w:rsidRPr="00D616E1" w:rsidRDefault="00407EB1" w:rsidP="00407EB1">
      <w:pPr>
        <w:rPr>
          <w:lang w:val="en-GB"/>
        </w:rPr>
      </w:pPr>
    </w:p>
    <w:p w:rsidR="00407EB1" w:rsidRDefault="00407EB1" w:rsidP="00407EB1">
      <w:pPr>
        <w:rPr>
          <w:lang w:val="en-GB"/>
        </w:rPr>
      </w:pPr>
      <w:r>
        <w:rPr>
          <w:lang w:val="en-GB"/>
        </w:rPr>
        <w:t>The efficacy estimates in this publication were based on the lag-censored approach. Though not in the context of cost-effectiveness analysis, the usage of lag-censored estimates has been questioned [</w:t>
      </w:r>
      <w:r>
        <w:rPr>
          <w:rStyle w:val="Endnotenzeichen"/>
          <w:lang w:val="en-GB"/>
        </w:rPr>
        <w:endnoteReference w:id="29"/>
      </w:r>
      <w:r>
        <w:rPr>
          <w:lang w:val="en-GB"/>
        </w:rPr>
        <w:t>], and the ITT approach may be preferable, particularly to assess whether a drug has a treatment effect. In the context of economic analyses, however, the purpose is to provide a point estimate of cost-effectiveness. The ITT-based HRs are inconsistent with the model structure. Still, we found that compared to the ITT sensitivity analysis, the lag-censored estimates were more conservative. This is because the ITT-based HRs do not capture the complete spill-over effect post discontinuation.</w:t>
      </w:r>
    </w:p>
    <w:p w:rsidR="00407EB1" w:rsidRDefault="00407EB1" w:rsidP="00407EB1">
      <w:pPr>
        <w:rPr>
          <w:lang w:val="en-GB"/>
        </w:rPr>
      </w:pPr>
    </w:p>
    <w:p w:rsidR="00407EB1" w:rsidRDefault="00407EB1" w:rsidP="00407EB1">
      <w:pPr>
        <w:rPr>
          <w:lang w:val="en-GB"/>
        </w:rPr>
      </w:pPr>
      <w:r>
        <w:rPr>
          <w:lang w:val="en-GB"/>
        </w:rPr>
        <w:t>A limitation of the analysis is that the treatment effect does not vary by patient characteristics such as age. Assuming constant HRs over a wide range of potential subpopulation is a common approach in decision-analytic modelling, and is also often assumed in meta-analyses. In the current case, we applied the published efficacy estimates based on the EVOLVE trial. No robust evidence exists that could be used to quantify a treatment effect by population subgroup. Furthermore, subgroup analyses also reduce the sample size, which makes it harder to detect significant differences.</w:t>
      </w:r>
    </w:p>
    <w:p w:rsidR="00407EB1" w:rsidRPr="00D616E1" w:rsidRDefault="00407EB1" w:rsidP="00407EB1">
      <w:pPr>
        <w:rPr>
          <w:lang w:val="en-GB"/>
        </w:rPr>
      </w:pPr>
    </w:p>
    <w:p w:rsidR="00407EB1" w:rsidRDefault="00407EB1" w:rsidP="00407EB1">
      <w:pPr>
        <w:rPr>
          <w:lang w:val="en-GB"/>
        </w:rPr>
      </w:pPr>
      <w:r w:rsidRPr="00D616E1">
        <w:rPr>
          <w:lang w:val="en-GB"/>
        </w:rPr>
        <w:t xml:space="preserve">The </w:t>
      </w:r>
      <w:r>
        <w:rPr>
          <w:lang w:val="en-GB"/>
        </w:rPr>
        <w:t xml:space="preserve">current </w:t>
      </w:r>
      <w:r w:rsidRPr="00D616E1">
        <w:rPr>
          <w:lang w:val="en-GB"/>
        </w:rPr>
        <w:t xml:space="preserve">model </w:t>
      </w:r>
      <w:r>
        <w:rPr>
          <w:lang w:val="en-GB"/>
        </w:rPr>
        <w:t xml:space="preserve">was inspired by three previous cinacalcet cost-effectiveness </w:t>
      </w:r>
      <w:r w:rsidRPr="001D47F9">
        <w:rPr>
          <w:lang w:val="en-GB"/>
        </w:rPr>
        <w:t>models [</w:t>
      </w:r>
      <w:r w:rsidRPr="001D47F9">
        <w:rPr>
          <w:vertAlign w:val="superscript"/>
          <w:lang w:val="en-GB"/>
        </w:rPr>
        <w:fldChar w:fldCharType="begin"/>
      </w:r>
      <w:r w:rsidRPr="001D47F9">
        <w:rPr>
          <w:vertAlign w:val="superscript"/>
          <w:lang w:val="en-GB"/>
        </w:rPr>
        <w:instrText xml:space="preserve"> NOTEREF _Ref497135375 \h  \* MERGEFORMAT </w:instrText>
      </w:r>
      <w:r w:rsidRPr="001D47F9">
        <w:rPr>
          <w:vertAlign w:val="superscript"/>
          <w:lang w:val="en-GB"/>
        </w:rPr>
      </w:r>
      <w:r w:rsidRPr="001D47F9">
        <w:rPr>
          <w:vertAlign w:val="superscript"/>
          <w:lang w:val="en-GB"/>
        </w:rPr>
        <w:fldChar w:fldCharType="separate"/>
      </w:r>
      <w:r>
        <w:rPr>
          <w:vertAlign w:val="superscript"/>
          <w:lang w:val="en-GB"/>
        </w:rPr>
        <w:t>13</w:t>
      </w:r>
      <w:r w:rsidRPr="001D47F9">
        <w:rPr>
          <w:vertAlign w:val="superscript"/>
          <w:lang w:val="en-GB"/>
        </w:rPr>
        <w:fldChar w:fldCharType="end"/>
      </w:r>
      <w:r w:rsidRPr="001D47F9">
        <w:rPr>
          <w:vertAlign w:val="superscript"/>
          <w:lang w:val="en-GB"/>
        </w:rPr>
        <w:t xml:space="preserve">, </w:t>
      </w:r>
      <w:r w:rsidRPr="001D47F9">
        <w:rPr>
          <w:vertAlign w:val="superscript"/>
          <w:lang w:val="en-GB"/>
        </w:rPr>
        <w:fldChar w:fldCharType="begin"/>
      </w:r>
      <w:r w:rsidRPr="001D47F9">
        <w:rPr>
          <w:vertAlign w:val="superscript"/>
          <w:lang w:val="en-GB"/>
        </w:rPr>
        <w:instrText xml:space="preserve"> NOTEREF _Ref497137217 \h </w:instrText>
      </w:r>
      <w:r>
        <w:rPr>
          <w:vertAlign w:val="superscript"/>
          <w:lang w:val="en-GB"/>
        </w:rPr>
        <w:instrText xml:space="preserve"> \* MERGEFORMAT </w:instrText>
      </w:r>
      <w:r w:rsidRPr="001D47F9">
        <w:rPr>
          <w:vertAlign w:val="superscript"/>
          <w:lang w:val="en-GB"/>
        </w:rPr>
      </w:r>
      <w:r w:rsidRPr="001D47F9">
        <w:rPr>
          <w:vertAlign w:val="superscript"/>
          <w:lang w:val="en-GB"/>
        </w:rPr>
        <w:fldChar w:fldCharType="separate"/>
      </w:r>
      <w:r>
        <w:rPr>
          <w:vertAlign w:val="superscript"/>
          <w:lang w:val="en-GB"/>
        </w:rPr>
        <w:t>14</w:t>
      </w:r>
      <w:r w:rsidRPr="001D47F9">
        <w:rPr>
          <w:vertAlign w:val="superscript"/>
          <w:lang w:val="en-GB"/>
        </w:rPr>
        <w:fldChar w:fldCharType="end"/>
      </w:r>
      <w:r w:rsidRPr="001D47F9">
        <w:rPr>
          <w:vertAlign w:val="superscript"/>
          <w:lang w:val="en-GB"/>
        </w:rPr>
        <w:t xml:space="preserve">, </w:t>
      </w:r>
      <w:r w:rsidRPr="001D47F9">
        <w:rPr>
          <w:lang w:val="en-GB"/>
        </w:rPr>
        <w:fldChar w:fldCharType="begin"/>
      </w:r>
      <w:r w:rsidRPr="001D47F9">
        <w:rPr>
          <w:lang w:val="en-GB"/>
        </w:rPr>
        <w:instrText xml:space="preserve"> NOTEREF _Ref324413172 \f \h </w:instrText>
      </w:r>
      <w:r>
        <w:rPr>
          <w:lang w:val="en-GB"/>
        </w:rPr>
        <w:instrText xml:space="preserve"> \* MERGEFORMAT </w:instrText>
      </w:r>
      <w:r w:rsidRPr="001D47F9">
        <w:rPr>
          <w:lang w:val="en-GB"/>
        </w:rPr>
      </w:r>
      <w:r w:rsidRPr="001D47F9">
        <w:rPr>
          <w:lang w:val="en-GB"/>
        </w:rPr>
        <w:fldChar w:fldCharType="separate"/>
      </w:r>
      <w:r w:rsidRPr="002570CB">
        <w:rPr>
          <w:rStyle w:val="Endnotenzeichen"/>
        </w:rPr>
        <w:t>26</w:t>
      </w:r>
      <w:r w:rsidRPr="001D47F9">
        <w:rPr>
          <w:lang w:val="en-GB"/>
        </w:rPr>
        <w:fldChar w:fldCharType="end"/>
      </w:r>
      <w:r w:rsidRPr="001D47F9">
        <w:rPr>
          <w:lang w:val="en-GB"/>
        </w:rPr>
        <w:t>]. Our d</w:t>
      </w:r>
      <w:r w:rsidRPr="00D616E1">
        <w:rPr>
          <w:lang w:val="en-GB"/>
        </w:rPr>
        <w:t xml:space="preserve">efinition of health states and the clinical events </w:t>
      </w:r>
      <w:r>
        <w:rPr>
          <w:lang w:val="en-GB"/>
        </w:rPr>
        <w:t xml:space="preserve">is generally consistent with these models. However, in </w:t>
      </w:r>
      <w:r w:rsidRPr="00D616E1">
        <w:rPr>
          <w:lang w:val="en-GB"/>
        </w:rPr>
        <w:t xml:space="preserve">the </w:t>
      </w:r>
      <w:r>
        <w:rPr>
          <w:lang w:val="en-GB"/>
        </w:rPr>
        <w:t xml:space="preserve">NICE </w:t>
      </w:r>
      <w:r w:rsidRPr="00D616E1">
        <w:rPr>
          <w:lang w:val="en-GB"/>
        </w:rPr>
        <w:t>PenTAG model</w:t>
      </w:r>
      <w:r>
        <w:rPr>
          <w:lang w:val="en-GB"/>
        </w:rPr>
        <w:t xml:space="preserve"> [</w:t>
      </w:r>
      <w:r w:rsidRPr="001D47F9">
        <w:rPr>
          <w:vertAlign w:val="superscript"/>
          <w:lang w:val="en-GB"/>
        </w:rPr>
        <w:fldChar w:fldCharType="begin"/>
      </w:r>
      <w:r w:rsidRPr="001D47F9">
        <w:rPr>
          <w:vertAlign w:val="superscript"/>
          <w:lang w:val="en-GB"/>
        </w:rPr>
        <w:instrText xml:space="preserve"> NOTEREF _Ref497137217 \h </w:instrText>
      </w:r>
      <w:r>
        <w:rPr>
          <w:vertAlign w:val="superscript"/>
          <w:lang w:val="en-GB"/>
        </w:rPr>
        <w:instrText xml:space="preserve"> \* MERGEFORMAT </w:instrText>
      </w:r>
      <w:r w:rsidRPr="001D47F9">
        <w:rPr>
          <w:vertAlign w:val="superscript"/>
          <w:lang w:val="en-GB"/>
        </w:rPr>
      </w:r>
      <w:r w:rsidRPr="001D47F9">
        <w:rPr>
          <w:vertAlign w:val="superscript"/>
          <w:lang w:val="en-GB"/>
        </w:rPr>
        <w:fldChar w:fldCharType="separate"/>
      </w:r>
      <w:r>
        <w:rPr>
          <w:vertAlign w:val="superscript"/>
          <w:lang w:val="en-GB"/>
        </w:rPr>
        <w:t>14</w:t>
      </w:r>
      <w:r w:rsidRPr="001D47F9">
        <w:rPr>
          <w:vertAlign w:val="superscript"/>
          <w:lang w:val="en-GB"/>
        </w:rPr>
        <w:fldChar w:fldCharType="end"/>
      </w:r>
      <w:r>
        <w:rPr>
          <w:lang w:val="en-GB"/>
        </w:rPr>
        <w:t>]</w:t>
      </w:r>
      <w:r w:rsidRPr="00D616E1">
        <w:rPr>
          <w:lang w:val="en-GB"/>
        </w:rPr>
        <w:t xml:space="preserve"> </w:t>
      </w:r>
      <w:r>
        <w:rPr>
          <w:lang w:val="en-GB"/>
        </w:rPr>
        <w:t xml:space="preserve">PTx </w:t>
      </w:r>
      <w:r w:rsidRPr="00D616E1">
        <w:rPr>
          <w:lang w:val="en-GB"/>
        </w:rPr>
        <w:t>affect</w:t>
      </w:r>
      <w:r>
        <w:rPr>
          <w:lang w:val="en-GB"/>
        </w:rPr>
        <w:t>s</w:t>
      </w:r>
      <w:r w:rsidRPr="00D616E1">
        <w:rPr>
          <w:lang w:val="en-GB"/>
        </w:rPr>
        <w:t xml:space="preserve"> </w:t>
      </w:r>
      <w:r w:rsidRPr="00D616E1">
        <w:rPr>
          <w:lang w:val="en-GB"/>
        </w:rPr>
        <w:lastRenderedPageBreak/>
        <w:t xml:space="preserve">PTH levels and thus indirectly the incidence </w:t>
      </w:r>
      <w:r>
        <w:rPr>
          <w:lang w:val="en-GB"/>
        </w:rPr>
        <w:t xml:space="preserve">of </w:t>
      </w:r>
      <w:r w:rsidRPr="00D616E1">
        <w:rPr>
          <w:lang w:val="en-GB"/>
        </w:rPr>
        <w:t xml:space="preserve">fractures and CV events. In our model, </w:t>
      </w:r>
      <w:r>
        <w:rPr>
          <w:lang w:val="en-GB"/>
        </w:rPr>
        <w:t>aligned with</w:t>
      </w:r>
      <w:r w:rsidRPr="00D616E1">
        <w:rPr>
          <w:lang w:val="en-GB"/>
        </w:rPr>
        <w:t xml:space="preserve"> the other two </w:t>
      </w:r>
      <w:r>
        <w:rPr>
          <w:lang w:val="en-GB"/>
        </w:rPr>
        <w:t>analyses [</w:t>
      </w:r>
      <w:r w:rsidRPr="001D47F9">
        <w:rPr>
          <w:vertAlign w:val="superscript"/>
          <w:lang w:val="en-GB"/>
        </w:rPr>
        <w:fldChar w:fldCharType="begin"/>
      </w:r>
      <w:r w:rsidRPr="001D47F9">
        <w:rPr>
          <w:vertAlign w:val="superscript"/>
          <w:lang w:val="en-GB"/>
        </w:rPr>
        <w:instrText xml:space="preserve"> NOTEREF _Ref497135375 \h  \* MERGEFORMAT </w:instrText>
      </w:r>
      <w:r w:rsidRPr="001D47F9">
        <w:rPr>
          <w:vertAlign w:val="superscript"/>
          <w:lang w:val="en-GB"/>
        </w:rPr>
      </w:r>
      <w:r w:rsidRPr="001D47F9">
        <w:rPr>
          <w:vertAlign w:val="superscript"/>
          <w:lang w:val="en-GB"/>
        </w:rPr>
        <w:fldChar w:fldCharType="separate"/>
      </w:r>
      <w:r>
        <w:rPr>
          <w:vertAlign w:val="superscript"/>
          <w:lang w:val="en-GB"/>
        </w:rPr>
        <w:t>13</w:t>
      </w:r>
      <w:r w:rsidRPr="001D47F9">
        <w:rPr>
          <w:vertAlign w:val="superscript"/>
          <w:lang w:val="en-GB"/>
        </w:rPr>
        <w:fldChar w:fldCharType="end"/>
      </w:r>
      <w:r w:rsidRPr="00D616E1">
        <w:rPr>
          <w:vertAlign w:val="superscript"/>
          <w:lang w:val="en-GB"/>
        </w:rPr>
        <w:t xml:space="preserve">, </w:t>
      </w:r>
      <w:r w:rsidRPr="00FC75BB">
        <w:rPr>
          <w:lang w:val="en-GB"/>
        </w:rPr>
        <w:fldChar w:fldCharType="begin"/>
      </w:r>
      <w:r w:rsidRPr="00D616E1">
        <w:rPr>
          <w:lang w:val="en-GB"/>
        </w:rPr>
        <w:instrText xml:space="preserve"> NOTEREF _Ref324413172 \f \h </w:instrText>
      </w:r>
      <w:r w:rsidRPr="00FC75BB">
        <w:rPr>
          <w:lang w:val="en-GB"/>
        </w:rPr>
      </w:r>
      <w:r w:rsidRPr="00FC75BB">
        <w:rPr>
          <w:lang w:val="en-GB"/>
        </w:rPr>
        <w:fldChar w:fldCharType="separate"/>
      </w:r>
      <w:r w:rsidRPr="002570CB">
        <w:rPr>
          <w:rStyle w:val="Endnotenzeichen"/>
        </w:rPr>
        <w:t>26</w:t>
      </w:r>
      <w:r w:rsidRPr="00FC75BB">
        <w:rPr>
          <w:lang w:val="en-GB"/>
        </w:rPr>
        <w:fldChar w:fldCharType="end"/>
      </w:r>
      <w:r>
        <w:rPr>
          <w:lang w:val="en-GB"/>
        </w:rPr>
        <w:t>]</w:t>
      </w:r>
      <w:r w:rsidRPr="00D616E1">
        <w:rPr>
          <w:lang w:val="en-GB"/>
        </w:rPr>
        <w:t xml:space="preserve"> </w:t>
      </w:r>
      <w:r>
        <w:rPr>
          <w:lang w:val="en-GB"/>
        </w:rPr>
        <w:t>PTx</w:t>
      </w:r>
      <w:r w:rsidRPr="00D616E1">
        <w:rPr>
          <w:lang w:val="en-GB"/>
        </w:rPr>
        <w:t xml:space="preserve"> only affect</w:t>
      </w:r>
      <w:r>
        <w:rPr>
          <w:lang w:val="en-GB"/>
        </w:rPr>
        <w:t>s</w:t>
      </w:r>
      <w:r w:rsidRPr="00D616E1">
        <w:rPr>
          <w:lang w:val="en-GB"/>
        </w:rPr>
        <w:t xml:space="preserve"> the estimation of costs and quality of life. </w:t>
      </w:r>
      <w:r>
        <w:rPr>
          <w:lang w:val="en-GB"/>
        </w:rPr>
        <w:t>As outlined below, t</w:t>
      </w:r>
      <w:r w:rsidRPr="00D616E1">
        <w:rPr>
          <w:lang w:val="en-GB"/>
        </w:rPr>
        <w:t xml:space="preserve">his choice was based on the large uncertainty </w:t>
      </w:r>
      <w:r>
        <w:rPr>
          <w:lang w:val="en-GB"/>
        </w:rPr>
        <w:t>of PTx outcome</w:t>
      </w:r>
      <w:r w:rsidRPr="00D616E1">
        <w:rPr>
          <w:lang w:val="en-GB"/>
        </w:rPr>
        <w:t xml:space="preserve"> data. </w:t>
      </w:r>
    </w:p>
    <w:p w:rsidR="00407EB1" w:rsidRDefault="00407EB1" w:rsidP="00407EB1">
      <w:pPr>
        <w:rPr>
          <w:lang w:val="en-GB"/>
        </w:rPr>
      </w:pPr>
    </w:p>
    <w:p w:rsidR="00407EB1" w:rsidRDefault="00407EB1" w:rsidP="00407EB1">
      <w:pPr>
        <w:rPr>
          <w:lang w:val="en-GB"/>
        </w:rPr>
      </w:pPr>
      <w:r>
        <w:rPr>
          <w:lang w:val="en-GB"/>
        </w:rPr>
        <w:t xml:space="preserve">Furthermore, in contrast to previous models, </w:t>
      </w:r>
      <w:r w:rsidRPr="00D616E1">
        <w:rPr>
          <w:lang w:val="en-GB"/>
        </w:rPr>
        <w:t xml:space="preserve">the etelcalcetide model explicitly simulates the discontinuation. This is important, as real-world studies on </w:t>
      </w:r>
      <w:r>
        <w:rPr>
          <w:lang w:val="en-GB"/>
        </w:rPr>
        <w:t xml:space="preserve">cinacalcet </w:t>
      </w:r>
      <w:r w:rsidRPr="00D616E1">
        <w:rPr>
          <w:lang w:val="en-GB"/>
        </w:rPr>
        <w:t>discontinuation have demonstrated</w:t>
      </w:r>
      <w:r>
        <w:rPr>
          <w:lang w:val="en-GB"/>
        </w:rPr>
        <w:t xml:space="preserve"> that persistence is a key success factor of calcimimetic treatment. Based on the phase 3 trial data, we assumed the same persistence for both calcimimetics. In real world, however, due to the intravenous administration and potential improvements of gastrointestinal events, persistence may be better for etelcalcetide. </w:t>
      </w:r>
    </w:p>
    <w:p w:rsidR="00407EB1" w:rsidRDefault="00407EB1" w:rsidP="00407EB1">
      <w:pPr>
        <w:rPr>
          <w:lang w:val="en-GB"/>
        </w:rPr>
      </w:pPr>
    </w:p>
    <w:p w:rsidR="00407EB1" w:rsidRDefault="00407EB1" w:rsidP="00407EB1">
      <w:pPr>
        <w:rPr>
          <w:lang w:val="en-GB"/>
        </w:rPr>
      </w:pPr>
      <w:r>
        <w:rPr>
          <w:lang w:val="en-GB"/>
        </w:rPr>
        <w:t xml:space="preserve">In our illustration of this cost-effectiveness model, the third-party payer perspective was applied. For some settings, the considered corresponding costs may have limitations. In particular, for some settings, it may be relevant to also consider patients’ out-of-pocket costs or costs for administration. </w:t>
      </w:r>
    </w:p>
    <w:p w:rsidR="00407EB1" w:rsidRDefault="00407EB1" w:rsidP="00407EB1">
      <w:pPr>
        <w:rPr>
          <w:lang w:val="en-GB"/>
        </w:rPr>
      </w:pPr>
    </w:p>
    <w:p w:rsidR="00407EB1" w:rsidRDefault="00407EB1" w:rsidP="00407EB1">
      <w:pPr>
        <w:rPr>
          <w:lang w:val="en-GB"/>
        </w:rPr>
      </w:pPr>
      <w:r>
        <w:rPr>
          <w:lang w:val="en-GB"/>
        </w:rPr>
        <w:t xml:space="preserve">The presented model assigns equal probability of PTx to all possible transition states. A more complex model could have explicitly distinguished whether subjects can tolerate calcimimetic therapy, or it could have accounted for potential associations between the risk of fracture, CV events and PTx. Furthermore, a short-term utility decrement is accrued after PTx, but PTx has not been modelled to reduce risk of future complications and mortality. Such decision rules, however, would not only have increased model complexity, but would also have required robust input data for quantification. Increasing model complexity beyond the level of available inputs does not increase the accuracy of the results, and a higher complexity often leads to criticism. The available data on consequences of PTx is </w:t>
      </w:r>
      <w:r>
        <w:rPr>
          <w:lang w:val="en-GB"/>
        </w:rPr>
        <w:lastRenderedPageBreak/>
        <w:t>very limited: No clinical trial exists that would compare the effectiveness of PTx vs. calcimimetics. Furthermore, PTx does not automatically lead to calcimimetics discontinuation [</w:t>
      </w:r>
      <w:r>
        <w:rPr>
          <w:rStyle w:val="Endnotenzeichen"/>
          <w:lang w:val="en-GB"/>
        </w:rPr>
        <w:endnoteReference w:id="30"/>
      </w:r>
      <w:r>
        <w:rPr>
          <w:lang w:val="en-GB"/>
        </w:rPr>
        <w:t xml:space="preserve">]. </w:t>
      </w:r>
    </w:p>
    <w:p w:rsidR="00407EB1" w:rsidRDefault="00407EB1" w:rsidP="00407EB1">
      <w:pPr>
        <w:rPr>
          <w:lang w:val="en-GB"/>
        </w:rPr>
      </w:pPr>
    </w:p>
    <w:p w:rsidR="00407EB1" w:rsidRDefault="00407EB1" w:rsidP="00407EB1">
      <w:pPr>
        <w:rPr>
          <w:lang w:val="en-GB"/>
        </w:rPr>
      </w:pPr>
      <w:r>
        <w:rPr>
          <w:lang w:val="en-GB"/>
        </w:rPr>
        <w:t xml:space="preserve">In this model we followed the established </w:t>
      </w:r>
      <w:r w:rsidRPr="00473568">
        <w:rPr>
          <w:lang w:val="en-GB"/>
        </w:rPr>
        <w:t xml:space="preserve">approach </w:t>
      </w:r>
      <w:r>
        <w:rPr>
          <w:lang w:val="en-GB"/>
        </w:rPr>
        <w:t xml:space="preserve">of not including </w:t>
      </w:r>
      <w:r w:rsidRPr="00ED143D">
        <w:rPr>
          <w:lang w:val="en-GB"/>
        </w:rPr>
        <w:t>dialysis costs [</w:t>
      </w:r>
      <w:r w:rsidRPr="00ED143D">
        <w:rPr>
          <w:vertAlign w:val="superscript"/>
          <w:lang w:val="en-GB"/>
        </w:rPr>
        <w:fldChar w:fldCharType="begin"/>
      </w:r>
      <w:r w:rsidRPr="00ED143D">
        <w:rPr>
          <w:vertAlign w:val="superscript"/>
          <w:lang w:val="en-GB"/>
        </w:rPr>
        <w:instrText xml:space="preserve"> NOTEREF _Ref497135375 \h  \* MERGEFORMAT </w:instrText>
      </w:r>
      <w:r w:rsidRPr="00ED143D">
        <w:rPr>
          <w:vertAlign w:val="superscript"/>
          <w:lang w:val="en-GB"/>
        </w:rPr>
      </w:r>
      <w:r w:rsidRPr="00ED143D">
        <w:rPr>
          <w:vertAlign w:val="superscript"/>
          <w:lang w:val="en-GB"/>
        </w:rPr>
        <w:fldChar w:fldCharType="separate"/>
      </w:r>
      <w:r>
        <w:rPr>
          <w:vertAlign w:val="superscript"/>
          <w:lang w:val="en-GB"/>
        </w:rPr>
        <w:t>13</w:t>
      </w:r>
      <w:r w:rsidRPr="00ED143D">
        <w:rPr>
          <w:vertAlign w:val="superscript"/>
          <w:lang w:val="en-GB"/>
        </w:rPr>
        <w:fldChar w:fldCharType="end"/>
      </w:r>
      <w:r w:rsidRPr="00ED143D">
        <w:rPr>
          <w:vertAlign w:val="superscript"/>
          <w:lang w:val="en-GB"/>
        </w:rPr>
        <w:t xml:space="preserve">, </w:t>
      </w:r>
      <w:r w:rsidRPr="00ED143D">
        <w:rPr>
          <w:rStyle w:val="Endnotenzeichen"/>
          <w:lang w:val="en-GB"/>
        </w:rPr>
        <w:endnoteReference w:id="31"/>
      </w:r>
      <w:r w:rsidRPr="00ED143D">
        <w:rPr>
          <w:vertAlign w:val="superscript"/>
          <w:lang w:val="en-GB"/>
        </w:rPr>
        <w:t xml:space="preserve">, </w:t>
      </w:r>
      <w:r w:rsidRPr="00ED143D">
        <w:rPr>
          <w:rStyle w:val="Endnotenzeichen"/>
          <w:lang w:val="en-GB"/>
        </w:rPr>
        <w:endnoteReference w:id="32"/>
      </w:r>
      <w:r w:rsidRPr="00ED143D">
        <w:rPr>
          <w:vertAlign w:val="superscript"/>
          <w:lang w:val="en-GB"/>
        </w:rPr>
        <w:t xml:space="preserve">, </w:t>
      </w:r>
      <w:r w:rsidRPr="00ED143D">
        <w:rPr>
          <w:rStyle w:val="Endnotenzeichen"/>
          <w:lang w:val="en-GB"/>
        </w:rPr>
        <w:endnoteReference w:id="33"/>
      </w:r>
      <w:r w:rsidRPr="00ED143D">
        <w:rPr>
          <w:lang w:val="en-GB"/>
        </w:rPr>
        <w:t xml:space="preserve">]. Dialysis </w:t>
      </w:r>
      <w:r w:rsidRPr="00ED143D">
        <w:rPr>
          <w:i/>
          <w:lang w:val="en-GB"/>
        </w:rPr>
        <w:t>per se</w:t>
      </w:r>
      <w:r w:rsidRPr="00ED143D">
        <w:rPr>
          <w:lang w:val="en-GB"/>
        </w:rPr>
        <w:t xml:space="preserve"> is not a cost-effective procedure and the inclusion of its hi</w:t>
      </w:r>
      <w:r w:rsidRPr="00D616E1">
        <w:rPr>
          <w:lang w:val="en-GB"/>
        </w:rPr>
        <w:t xml:space="preserve">gh costs tends to drive the outcome of cost-effectiveness analyses </w:t>
      </w:r>
      <w:r>
        <w:rPr>
          <w:lang w:val="en-GB"/>
        </w:rPr>
        <w:t>so</w:t>
      </w:r>
      <w:r w:rsidRPr="00D616E1">
        <w:rPr>
          <w:lang w:val="en-GB"/>
        </w:rPr>
        <w:t xml:space="preserve"> that even low-priced therapies might end up with high ICERs just because they are life-extending.</w:t>
      </w:r>
    </w:p>
    <w:p w:rsidR="00407EB1" w:rsidRDefault="00407EB1" w:rsidP="00407EB1">
      <w:pPr>
        <w:rPr>
          <w:lang w:val="en-GB"/>
        </w:rPr>
      </w:pPr>
    </w:p>
    <w:p w:rsidR="00407EB1" w:rsidRDefault="00407EB1" w:rsidP="00407EB1">
      <w:pPr>
        <w:rPr>
          <w:lang w:val="en-GB"/>
        </w:rPr>
      </w:pPr>
      <w:r>
        <w:rPr>
          <w:lang w:val="en-GB"/>
        </w:rPr>
        <w:t xml:space="preserve">The results of the presented cost-effectiveness analysis strongly depend on the price of the innovative drug. This is not uncommon, in particular if there are already alternative treatments on the market. However, it may be found difficult to conclude from the results which price for etelcalcetide would be appropriate. The purpose of this article, however, was not to make suggestions on which price would be reasonable, but was to present an economic model which can be adapted to various settings. In this context, we would also like to point out how substantial input parameters may differ from country to country. For example, in the US drug and event costs have been observed to be higher than in European </w:t>
      </w:r>
      <w:r w:rsidRPr="00CD67A1">
        <w:rPr>
          <w:lang w:val="en-GB"/>
        </w:rPr>
        <w:t>settings [</w:t>
      </w:r>
      <w:r w:rsidRPr="00CD67A1">
        <w:rPr>
          <w:vertAlign w:val="superscript"/>
          <w:lang w:val="en-GB"/>
        </w:rPr>
        <w:fldChar w:fldCharType="begin"/>
      </w:r>
      <w:r w:rsidRPr="00CD67A1">
        <w:rPr>
          <w:vertAlign w:val="superscript"/>
          <w:lang w:val="en-GB"/>
        </w:rPr>
        <w:instrText xml:space="preserve"> NOTEREF _Ref497135375 \h  \* MERGEFORMAT </w:instrText>
      </w:r>
      <w:r w:rsidRPr="00CD67A1">
        <w:rPr>
          <w:vertAlign w:val="superscript"/>
          <w:lang w:val="en-GB"/>
        </w:rPr>
      </w:r>
      <w:r w:rsidRPr="00CD67A1">
        <w:rPr>
          <w:vertAlign w:val="superscript"/>
          <w:lang w:val="en-GB"/>
        </w:rPr>
        <w:fldChar w:fldCharType="separate"/>
      </w:r>
      <w:r>
        <w:rPr>
          <w:vertAlign w:val="superscript"/>
          <w:lang w:val="en-GB"/>
        </w:rPr>
        <w:t>13</w:t>
      </w:r>
      <w:r w:rsidRPr="00CD67A1">
        <w:rPr>
          <w:vertAlign w:val="superscript"/>
          <w:lang w:val="en-GB"/>
        </w:rPr>
        <w:fldChar w:fldCharType="end"/>
      </w:r>
      <w:r w:rsidRPr="00CD67A1">
        <w:rPr>
          <w:vertAlign w:val="superscript"/>
          <w:lang w:val="en-GB"/>
        </w:rPr>
        <w:t xml:space="preserve">, </w:t>
      </w:r>
      <w:r w:rsidRPr="00CD67A1">
        <w:rPr>
          <w:vertAlign w:val="superscript"/>
          <w:lang w:val="en-GB"/>
        </w:rPr>
        <w:fldChar w:fldCharType="begin"/>
      </w:r>
      <w:r w:rsidRPr="00CD67A1">
        <w:rPr>
          <w:vertAlign w:val="superscript"/>
          <w:lang w:val="en-GB"/>
        </w:rPr>
        <w:instrText xml:space="preserve"> NOTEREF _Ref324413172 \h  \* MERGEFORMAT </w:instrText>
      </w:r>
      <w:r w:rsidRPr="00CD67A1">
        <w:rPr>
          <w:vertAlign w:val="superscript"/>
          <w:lang w:val="en-GB"/>
        </w:rPr>
      </w:r>
      <w:r w:rsidRPr="00CD67A1">
        <w:rPr>
          <w:vertAlign w:val="superscript"/>
          <w:lang w:val="en-GB"/>
        </w:rPr>
        <w:fldChar w:fldCharType="separate"/>
      </w:r>
      <w:r>
        <w:rPr>
          <w:vertAlign w:val="superscript"/>
          <w:lang w:val="en-GB"/>
        </w:rPr>
        <w:t>26</w:t>
      </w:r>
      <w:r w:rsidRPr="00CD67A1">
        <w:rPr>
          <w:vertAlign w:val="superscript"/>
          <w:lang w:val="en-GB"/>
        </w:rPr>
        <w:fldChar w:fldCharType="end"/>
      </w:r>
      <w:r w:rsidRPr="00CD67A1">
        <w:rPr>
          <w:lang w:val="en-GB"/>
        </w:rPr>
        <w:t>].</w:t>
      </w:r>
    </w:p>
    <w:p w:rsidR="00407EB1" w:rsidRPr="00D616E1" w:rsidRDefault="00407EB1" w:rsidP="00407EB1">
      <w:pPr>
        <w:rPr>
          <w:lang w:val="en-GB"/>
        </w:rPr>
      </w:pPr>
    </w:p>
    <w:p w:rsidR="00407EB1" w:rsidRDefault="00407EB1" w:rsidP="00407EB1">
      <w:pPr>
        <w:rPr>
          <w:lang w:val="en-GB"/>
        </w:rPr>
      </w:pPr>
      <w:r w:rsidRPr="00D616E1">
        <w:rPr>
          <w:lang w:val="en-GB"/>
        </w:rPr>
        <w:t>In conclusion, within the limits of the modelling approach, we created a model that could be used to assess the cost-effectiveness of etelcalcetide. The cost-effectiveness of etelcalcetide itself may depend on country settings, such as country specific prices, further model inputs, and willingness-to-pay.</w:t>
      </w:r>
    </w:p>
    <w:p w:rsidR="00407EB1" w:rsidRDefault="00407EB1" w:rsidP="00407EB1"/>
    <w:p w:rsidR="00407EB1" w:rsidRDefault="00407EB1" w:rsidP="00407EB1">
      <w:pPr>
        <w:pStyle w:val="berschrift1"/>
        <w:rPr>
          <w:lang w:val="en-GB"/>
        </w:rPr>
      </w:pPr>
      <w:r w:rsidRPr="0026781E">
        <w:rPr>
          <w:lang w:val="en-GB"/>
        </w:rPr>
        <w:lastRenderedPageBreak/>
        <w:t>Data Availability Statement</w:t>
      </w:r>
    </w:p>
    <w:p w:rsidR="00407EB1" w:rsidRPr="008F149F" w:rsidRDefault="00407EB1" w:rsidP="00407EB1">
      <w:pPr>
        <w:rPr>
          <w:lang w:val="en-US"/>
        </w:rPr>
      </w:pPr>
      <w:r w:rsidRPr="008F149F">
        <w:rPr>
          <w:lang w:val="en-US"/>
        </w:rPr>
        <w:t>The authors declare that all input data to parameterize the decision-analytic model is available within the article and its electronic supplementary material. The model can entirely be re-built bas</w:t>
      </w:r>
      <w:r>
        <w:rPr>
          <w:lang w:val="en-US"/>
        </w:rPr>
        <w:t>ed on the information provided.</w:t>
      </w:r>
    </w:p>
    <w:p w:rsidR="00407EB1" w:rsidRPr="0026781E" w:rsidRDefault="00407EB1" w:rsidP="00407EB1"/>
    <w:p w:rsidR="00407EB1" w:rsidRPr="007A7062" w:rsidRDefault="00407EB1" w:rsidP="00407EB1">
      <w:pPr>
        <w:pStyle w:val="berschrift1"/>
        <w:rPr>
          <w:lang w:val="en-GB"/>
        </w:rPr>
      </w:pPr>
      <w:r w:rsidRPr="007A7062">
        <w:rPr>
          <w:lang w:val="en-GB"/>
        </w:rPr>
        <w:t>Compliance with Ethical Standards</w:t>
      </w:r>
    </w:p>
    <w:p w:rsidR="00407EB1" w:rsidRPr="007F2F34" w:rsidRDefault="00407EB1" w:rsidP="00407EB1">
      <w:pPr>
        <w:rPr>
          <w:lang w:val="en-GB"/>
        </w:rPr>
      </w:pPr>
      <w:r w:rsidRPr="00997DB3">
        <w:rPr>
          <w:sz w:val="22"/>
          <w:lang w:val="en-GB"/>
        </w:rPr>
        <w:t xml:space="preserve">Financial support for this study was provided by Amgen. SI, MA, RA, PP and AB contributed to the development of the study through a consulting agreement with Amgen. BS, BD and VB are employed by Amgen and holders of Amgen stock and/or stock options. The funding </w:t>
      </w:r>
      <w:r w:rsidRPr="00D616E1">
        <w:rPr>
          <w:lang w:val="en-GB"/>
        </w:rPr>
        <w:t>agreement ensured the authors’ independence in designing the study, interpreting the data, writing, and publishing the report.</w:t>
      </w:r>
    </w:p>
    <w:p w:rsidR="00407EB1" w:rsidRPr="00D616E1" w:rsidRDefault="00407EB1" w:rsidP="00407EB1">
      <w:pPr>
        <w:pStyle w:val="berschrift1"/>
        <w:rPr>
          <w:lang w:val="en-GB"/>
        </w:rPr>
      </w:pPr>
      <w:r w:rsidRPr="00D616E1">
        <w:rPr>
          <w:lang w:val="en-GB"/>
        </w:rPr>
        <w:t>A</w:t>
      </w:r>
      <w:r>
        <w:rPr>
          <w:lang w:val="en-GB"/>
        </w:rPr>
        <w:t>uthor Contributions</w:t>
      </w:r>
    </w:p>
    <w:p w:rsidR="00407EB1" w:rsidRPr="00D616E1" w:rsidRDefault="00407EB1" w:rsidP="00407EB1">
      <w:pPr>
        <w:rPr>
          <w:lang w:val="en-GB"/>
        </w:rPr>
      </w:pPr>
      <w:r w:rsidRPr="00D616E1">
        <w:rPr>
          <w:lang w:val="en-GB"/>
        </w:rPr>
        <w:t>All named authors meet the International Committee of Medical Journal Editors (ICMJE) criteria for authorship for this manuscript, take responsibility for the integrity of the work as a whole, and have given final approval for the version to be published. The authors thanks Amgen biostatistical department for the support provided.</w:t>
      </w:r>
    </w:p>
    <w:p w:rsidR="00407EB1" w:rsidRPr="00D616E1" w:rsidRDefault="00407EB1" w:rsidP="00407EB1">
      <w:pPr>
        <w:rPr>
          <w:rFonts w:asciiTheme="majorHAnsi" w:eastAsiaTheme="majorEastAsia" w:hAnsiTheme="majorHAnsi" w:cstheme="majorBidi"/>
          <w:b/>
          <w:bCs/>
          <w:color w:val="2C6EAB" w:themeColor="accent1" w:themeShade="B5"/>
          <w:sz w:val="32"/>
          <w:szCs w:val="32"/>
          <w:lang w:val="en-GB"/>
        </w:rPr>
      </w:pPr>
      <w:r w:rsidRPr="00D616E1">
        <w:rPr>
          <w:lang w:val="en-GB"/>
        </w:rPr>
        <w:br w:type="page"/>
      </w:r>
    </w:p>
    <w:p w:rsidR="00407EB1" w:rsidRPr="00D616E1" w:rsidRDefault="00407EB1" w:rsidP="00407EB1">
      <w:pPr>
        <w:pStyle w:val="berschrift1"/>
        <w:rPr>
          <w:lang w:val="en-GB"/>
        </w:rPr>
      </w:pPr>
      <w:r w:rsidRPr="00D616E1">
        <w:rPr>
          <w:lang w:val="en-GB"/>
        </w:rPr>
        <w:lastRenderedPageBreak/>
        <w:t>References</w:t>
      </w:r>
      <w:r w:rsidRPr="00D616E1">
        <w:rPr>
          <w:lang w:val="en-GB"/>
        </w:rPr>
        <w:br w:type="page"/>
      </w:r>
    </w:p>
    <w:p w:rsidR="00407EB1" w:rsidRPr="00D616E1" w:rsidRDefault="00407EB1" w:rsidP="00407EB1">
      <w:pPr>
        <w:pStyle w:val="berschrift1"/>
        <w:rPr>
          <w:lang w:val="en-GB"/>
        </w:rPr>
        <w:sectPr w:rsidR="00407EB1" w:rsidRPr="00D616E1" w:rsidSect="00344201">
          <w:headerReference w:type="even" r:id="rId10"/>
          <w:footerReference w:type="default" r:id="rId11"/>
          <w:headerReference w:type="first" r:id="rId12"/>
          <w:endnotePr>
            <w:numFmt w:val="decimal"/>
          </w:endnotePr>
          <w:pgSz w:w="12240" w:h="15840"/>
          <w:pgMar w:top="1440" w:right="1440" w:bottom="2160" w:left="1440" w:header="708" w:footer="708" w:gutter="0"/>
          <w:cols w:space="708"/>
        </w:sectPr>
      </w:pPr>
    </w:p>
    <w:p w:rsidR="00407EB1" w:rsidRPr="00D616E1" w:rsidRDefault="00407EB1" w:rsidP="00407EB1">
      <w:pPr>
        <w:spacing w:line="240" w:lineRule="auto"/>
        <w:rPr>
          <w:rFonts w:asciiTheme="majorHAnsi" w:eastAsiaTheme="majorEastAsia" w:hAnsiTheme="majorHAnsi" w:cstheme="majorBidi"/>
          <w:b/>
          <w:bCs/>
          <w:color w:val="2C6EAB" w:themeColor="accent1" w:themeShade="B5"/>
          <w:sz w:val="32"/>
          <w:szCs w:val="32"/>
          <w:lang w:val="en-GB"/>
        </w:rPr>
      </w:pPr>
      <w:r w:rsidRPr="00D616E1">
        <w:rPr>
          <w:lang w:val="en-GB"/>
        </w:rPr>
        <w:lastRenderedPageBreak/>
        <w:br w:type="page"/>
      </w:r>
    </w:p>
    <w:p w:rsidR="00407EB1" w:rsidRPr="00D616E1" w:rsidRDefault="00407EB1" w:rsidP="00407EB1">
      <w:pPr>
        <w:rPr>
          <w:b/>
          <w:lang w:val="en-GB"/>
        </w:rPr>
      </w:pPr>
      <w:r w:rsidRPr="00D616E1">
        <w:rPr>
          <w:b/>
          <w:lang w:val="en-GB"/>
        </w:rPr>
        <w:lastRenderedPageBreak/>
        <w:t>TABLES</w:t>
      </w:r>
    </w:p>
    <w:p w:rsidR="00407EB1" w:rsidRPr="00D616E1" w:rsidRDefault="00407EB1" w:rsidP="00407EB1">
      <w:pPr>
        <w:pStyle w:val="Beschriftung"/>
        <w:keepNext/>
        <w:rPr>
          <w:lang w:val="en-GB"/>
        </w:rPr>
      </w:pPr>
      <w:bookmarkStart w:id="14" w:name="_Ref322258725"/>
      <w:r w:rsidRPr="00D616E1">
        <w:rPr>
          <w:lang w:val="en-GB"/>
        </w:rPr>
        <w:t xml:space="preserve">Table </w:t>
      </w:r>
      <w:r w:rsidRPr="00D92167">
        <w:rPr>
          <w:lang w:val="en-GB"/>
        </w:rPr>
        <w:fldChar w:fldCharType="begin"/>
      </w:r>
      <w:r w:rsidRPr="00D616E1">
        <w:rPr>
          <w:lang w:val="en-GB"/>
        </w:rPr>
        <w:instrText xml:space="preserve"> SEQ Tabella \* ARABIC </w:instrText>
      </w:r>
      <w:r w:rsidRPr="00D92167">
        <w:rPr>
          <w:lang w:val="en-GB"/>
        </w:rPr>
        <w:fldChar w:fldCharType="separate"/>
      </w:r>
      <w:r>
        <w:rPr>
          <w:noProof/>
          <w:lang w:val="en-GB"/>
        </w:rPr>
        <w:t>1</w:t>
      </w:r>
      <w:r w:rsidRPr="00D92167">
        <w:rPr>
          <w:lang w:val="en-GB"/>
        </w:rPr>
        <w:fldChar w:fldCharType="end"/>
      </w:r>
      <w:bookmarkEnd w:id="14"/>
      <w:r w:rsidRPr="00D616E1">
        <w:rPr>
          <w:lang w:val="en-GB"/>
        </w:rPr>
        <w:t xml:space="preserve"> – Clinical input parameters</w:t>
      </w:r>
    </w:p>
    <w:tbl>
      <w:tblPr>
        <w:tblStyle w:val="Tabellenraster"/>
        <w:tblW w:w="7885" w:type="dxa"/>
        <w:tblLook w:val="04A0" w:firstRow="1" w:lastRow="0" w:firstColumn="1" w:lastColumn="0" w:noHBand="0" w:noVBand="1"/>
      </w:tblPr>
      <w:tblGrid>
        <w:gridCol w:w="2510"/>
        <w:gridCol w:w="1059"/>
        <w:gridCol w:w="1427"/>
        <w:gridCol w:w="1845"/>
        <w:gridCol w:w="1044"/>
      </w:tblGrid>
      <w:tr w:rsidR="00407EB1" w:rsidRPr="00D616E1" w:rsidTr="00360B94">
        <w:tc>
          <w:tcPr>
            <w:tcW w:w="2498" w:type="dxa"/>
          </w:tcPr>
          <w:p w:rsidR="00407EB1" w:rsidRPr="00D616E1" w:rsidRDefault="00407EB1" w:rsidP="00360B94">
            <w:pPr>
              <w:rPr>
                <w:b/>
                <w:sz w:val="18"/>
                <w:szCs w:val="18"/>
                <w:lang w:val="en-GB"/>
              </w:rPr>
            </w:pPr>
            <w:r w:rsidRPr="00D616E1">
              <w:rPr>
                <w:b/>
                <w:sz w:val="18"/>
                <w:szCs w:val="18"/>
                <w:lang w:val="en-GB"/>
              </w:rPr>
              <w:t>Parameter</w:t>
            </w:r>
          </w:p>
        </w:tc>
        <w:tc>
          <w:tcPr>
            <w:tcW w:w="1059" w:type="dxa"/>
          </w:tcPr>
          <w:p w:rsidR="00407EB1" w:rsidRPr="00D616E1" w:rsidRDefault="00407EB1" w:rsidP="00360B94">
            <w:pPr>
              <w:rPr>
                <w:b/>
                <w:sz w:val="18"/>
                <w:szCs w:val="18"/>
                <w:lang w:val="en-GB"/>
              </w:rPr>
            </w:pPr>
            <w:r w:rsidRPr="00D616E1">
              <w:rPr>
                <w:b/>
                <w:sz w:val="18"/>
                <w:szCs w:val="18"/>
                <w:lang w:val="en-GB"/>
              </w:rPr>
              <w:t>Point estimate</w:t>
            </w:r>
          </w:p>
        </w:tc>
        <w:tc>
          <w:tcPr>
            <w:tcW w:w="1475" w:type="dxa"/>
          </w:tcPr>
          <w:p w:rsidR="00407EB1" w:rsidRPr="00D616E1" w:rsidRDefault="00407EB1" w:rsidP="00360B94">
            <w:pPr>
              <w:rPr>
                <w:b/>
                <w:sz w:val="18"/>
                <w:szCs w:val="18"/>
                <w:lang w:val="en-GB"/>
              </w:rPr>
            </w:pPr>
            <w:r w:rsidRPr="00D616E1">
              <w:rPr>
                <w:b/>
                <w:sz w:val="18"/>
                <w:szCs w:val="18"/>
                <w:lang w:val="en-GB"/>
              </w:rPr>
              <w:t>SE or [95%CI]</w:t>
            </w:r>
          </w:p>
        </w:tc>
        <w:tc>
          <w:tcPr>
            <w:tcW w:w="1824" w:type="dxa"/>
          </w:tcPr>
          <w:p w:rsidR="00407EB1" w:rsidRPr="00D616E1" w:rsidRDefault="00407EB1" w:rsidP="00360B94">
            <w:pPr>
              <w:rPr>
                <w:b/>
                <w:sz w:val="18"/>
                <w:szCs w:val="18"/>
                <w:lang w:val="en-GB"/>
              </w:rPr>
            </w:pPr>
            <w:r w:rsidRPr="00D616E1">
              <w:rPr>
                <w:b/>
                <w:sz w:val="18"/>
                <w:szCs w:val="18"/>
                <w:lang w:val="en-GB"/>
              </w:rPr>
              <w:t>Notes</w:t>
            </w:r>
          </w:p>
        </w:tc>
        <w:tc>
          <w:tcPr>
            <w:tcW w:w="1029" w:type="dxa"/>
          </w:tcPr>
          <w:p w:rsidR="00407EB1" w:rsidRPr="00D616E1" w:rsidRDefault="00407EB1" w:rsidP="00360B94">
            <w:pPr>
              <w:rPr>
                <w:b/>
                <w:sz w:val="18"/>
                <w:szCs w:val="18"/>
                <w:lang w:val="en-GB"/>
              </w:rPr>
            </w:pPr>
            <w:r w:rsidRPr="00D616E1">
              <w:rPr>
                <w:b/>
                <w:sz w:val="18"/>
                <w:szCs w:val="18"/>
                <w:lang w:val="en-GB"/>
              </w:rPr>
              <w:t>Sources</w:t>
            </w:r>
          </w:p>
        </w:tc>
      </w:tr>
      <w:tr w:rsidR="00407EB1" w:rsidRPr="00EA4FA9" w:rsidTr="00360B94">
        <w:tc>
          <w:tcPr>
            <w:tcW w:w="7885" w:type="dxa"/>
            <w:gridSpan w:val="5"/>
          </w:tcPr>
          <w:p w:rsidR="00407EB1" w:rsidRPr="00D616E1" w:rsidRDefault="00407EB1" w:rsidP="00360B94">
            <w:pPr>
              <w:rPr>
                <w:b/>
                <w:i/>
                <w:sz w:val="18"/>
                <w:szCs w:val="18"/>
                <w:lang w:val="en-GB"/>
              </w:rPr>
            </w:pPr>
            <w:r w:rsidRPr="00D616E1">
              <w:rPr>
                <w:b/>
                <w:i/>
                <w:sz w:val="18"/>
                <w:szCs w:val="18"/>
                <w:lang w:val="en-GB"/>
              </w:rPr>
              <w:t>Baseline event rates (events per person year)</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All-cause death</w:t>
            </w:r>
          </w:p>
        </w:tc>
        <w:tc>
          <w:tcPr>
            <w:tcW w:w="1076" w:type="dxa"/>
          </w:tcPr>
          <w:p w:rsidR="00407EB1" w:rsidRPr="00D616E1" w:rsidRDefault="00407EB1" w:rsidP="00360B94">
            <w:pPr>
              <w:rPr>
                <w:sz w:val="18"/>
                <w:szCs w:val="18"/>
                <w:lang w:val="en-GB"/>
              </w:rPr>
            </w:pPr>
          </w:p>
        </w:tc>
        <w:tc>
          <w:tcPr>
            <w:tcW w:w="1156" w:type="dxa"/>
          </w:tcPr>
          <w:p w:rsidR="00407EB1" w:rsidRPr="00D616E1" w:rsidRDefault="00407EB1" w:rsidP="00360B94">
            <w:pPr>
              <w:rPr>
                <w:sz w:val="18"/>
                <w:szCs w:val="18"/>
                <w:lang w:val="en-GB"/>
              </w:rPr>
            </w:pPr>
          </w:p>
        </w:tc>
        <w:tc>
          <w:tcPr>
            <w:tcW w:w="1921" w:type="dxa"/>
            <w:vMerge w:val="restart"/>
          </w:tcPr>
          <w:p w:rsidR="00407EB1" w:rsidRPr="00D616E1" w:rsidRDefault="00407EB1" w:rsidP="00360B94">
            <w:pPr>
              <w:rPr>
                <w:sz w:val="18"/>
                <w:szCs w:val="18"/>
                <w:lang w:val="en-GB"/>
              </w:rPr>
            </w:pPr>
            <w:r w:rsidRPr="00D616E1">
              <w:rPr>
                <w:sz w:val="18"/>
                <w:szCs w:val="18"/>
                <w:lang w:val="en-GB"/>
              </w:rPr>
              <w:t>Age-specific annual mortality rates for dialysis patients with elevated levels of PTH, Ca, and P</w:t>
            </w:r>
          </w:p>
        </w:tc>
        <w:tc>
          <w:tcPr>
            <w:tcW w:w="1051" w:type="dxa"/>
            <w:vMerge w:val="restart"/>
          </w:tcPr>
          <w:p w:rsidR="00407EB1" w:rsidRPr="00D616E1" w:rsidRDefault="00407EB1" w:rsidP="00360B94">
            <w:pPr>
              <w:rPr>
                <w:sz w:val="18"/>
                <w:szCs w:val="18"/>
                <w:lang w:val="en-GB"/>
              </w:rPr>
            </w:pPr>
            <w:r w:rsidRPr="00D616E1">
              <w:rPr>
                <w:sz w:val="18"/>
                <w:szCs w:val="18"/>
                <w:lang w:val="en-GB"/>
              </w:rPr>
              <w:t>[</w:t>
            </w:r>
            <w:r w:rsidRPr="00D616E1">
              <w:rPr>
                <w:sz w:val="18"/>
                <w:szCs w:val="18"/>
                <w:lang w:val="en-GB"/>
              </w:rPr>
              <w:fldChar w:fldCharType="begin"/>
            </w:r>
            <w:r w:rsidRPr="00D616E1">
              <w:rPr>
                <w:sz w:val="18"/>
                <w:szCs w:val="18"/>
                <w:lang w:val="en-GB"/>
              </w:rPr>
              <w:instrText xml:space="preserve"> NOTEREF _Ref322337854 \f \h </w:instrText>
            </w:r>
            <w:r w:rsidRPr="00D616E1">
              <w:rPr>
                <w:sz w:val="18"/>
                <w:szCs w:val="18"/>
                <w:lang w:val="en-GB"/>
              </w:rPr>
            </w:r>
            <w:r w:rsidRPr="00D616E1">
              <w:rPr>
                <w:sz w:val="18"/>
                <w:szCs w:val="18"/>
                <w:lang w:val="en-GB"/>
              </w:rPr>
              <w:fldChar w:fldCharType="separate"/>
            </w:r>
            <w:r w:rsidRPr="002570CB">
              <w:rPr>
                <w:rStyle w:val="Endnotenzeichen"/>
              </w:rPr>
              <w:t>20</w:t>
            </w:r>
            <w:r w:rsidRPr="00D616E1">
              <w:rPr>
                <w:sz w:val="18"/>
                <w:szCs w:val="18"/>
                <w:lang w:val="en-GB"/>
              </w:rPr>
              <w:fldChar w:fldCharType="end"/>
            </w:r>
            <w:r w:rsidRPr="00D616E1">
              <w:rPr>
                <w:sz w:val="18"/>
                <w:szCs w:val="18"/>
                <w:lang w:val="en-GB"/>
              </w:rPr>
              <w:t>]</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- 18-34 years old</w:t>
            </w:r>
          </w:p>
        </w:tc>
        <w:tc>
          <w:tcPr>
            <w:tcW w:w="1076" w:type="dxa"/>
          </w:tcPr>
          <w:p w:rsidR="00407EB1" w:rsidRPr="00D616E1" w:rsidRDefault="00407EB1" w:rsidP="00360B94">
            <w:pPr>
              <w:rPr>
                <w:sz w:val="18"/>
                <w:szCs w:val="18"/>
                <w:lang w:val="en-GB"/>
              </w:rPr>
            </w:pPr>
            <w:r w:rsidRPr="00D616E1">
              <w:rPr>
                <w:sz w:val="18"/>
                <w:szCs w:val="18"/>
                <w:lang w:val="en-GB"/>
              </w:rPr>
              <w:t>0.045</w:t>
            </w:r>
          </w:p>
        </w:tc>
        <w:tc>
          <w:tcPr>
            <w:tcW w:w="1156" w:type="dxa"/>
          </w:tcPr>
          <w:p w:rsidR="00407EB1" w:rsidRPr="00D616E1" w:rsidRDefault="00407EB1" w:rsidP="00360B94">
            <w:pPr>
              <w:rPr>
                <w:sz w:val="18"/>
                <w:szCs w:val="18"/>
                <w:lang w:val="en-GB"/>
              </w:rPr>
            </w:pP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- 35-44 years old</w:t>
            </w:r>
          </w:p>
        </w:tc>
        <w:tc>
          <w:tcPr>
            <w:tcW w:w="1076" w:type="dxa"/>
          </w:tcPr>
          <w:p w:rsidR="00407EB1" w:rsidRPr="00D616E1" w:rsidRDefault="00407EB1" w:rsidP="00360B94">
            <w:pPr>
              <w:rPr>
                <w:sz w:val="18"/>
                <w:szCs w:val="18"/>
                <w:lang w:val="en-GB"/>
              </w:rPr>
            </w:pPr>
            <w:r w:rsidRPr="00D616E1">
              <w:rPr>
                <w:sz w:val="18"/>
                <w:szCs w:val="18"/>
                <w:lang w:val="en-GB"/>
              </w:rPr>
              <w:t>0.074</w:t>
            </w:r>
          </w:p>
        </w:tc>
        <w:tc>
          <w:tcPr>
            <w:tcW w:w="1156" w:type="dxa"/>
          </w:tcPr>
          <w:p w:rsidR="00407EB1" w:rsidRPr="00D616E1" w:rsidRDefault="00407EB1" w:rsidP="00360B94">
            <w:pPr>
              <w:rPr>
                <w:sz w:val="18"/>
                <w:szCs w:val="18"/>
                <w:lang w:val="en-GB"/>
              </w:rPr>
            </w:pP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- 45-54 years old</w:t>
            </w:r>
          </w:p>
        </w:tc>
        <w:tc>
          <w:tcPr>
            <w:tcW w:w="1076" w:type="dxa"/>
          </w:tcPr>
          <w:p w:rsidR="00407EB1" w:rsidRPr="00D616E1" w:rsidRDefault="00407EB1" w:rsidP="00360B94">
            <w:pPr>
              <w:rPr>
                <w:sz w:val="18"/>
                <w:szCs w:val="18"/>
                <w:lang w:val="en-GB"/>
              </w:rPr>
            </w:pPr>
            <w:r w:rsidRPr="00D616E1">
              <w:rPr>
                <w:sz w:val="18"/>
                <w:szCs w:val="18"/>
                <w:lang w:val="en-GB"/>
              </w:rPr>
              <w:t>0.094</w:t>
            </w:r>
          </w:p>
        </w:tc>
        <w:tc>
          <w:tcPr>
            <w:tcW w:w="1156" w:type="dxa"/>
          </w:tcPr>
          <w:p w:rsidR="00407EB1" w:rsidRPr="00D616E1" w:rsidRDefault="00407EB1" w:rsidP="00360B94">
            <w:pPr>
              <w:rPr>
                <w:sz w:val="18"/>
                <w:szCs w:val="18"/>
                <w:lang w:val="en-GB"/>
              </w:rPr>
            </w:pP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- 55-64 years old</w:t>
            </w:r>
          </w:p>
        </w:tc>
        <w:tc>
          <w:tcPr>
            <w:tcW w:w="1076" w:type="dxa"/>
          </w:tcPr>
          <w:p w:rsidR="00407EB1" w:rsidRPr="00D616E1" w:rsidRDefault="00407EB1" w:rsidP="00360B94">
            <w:pPr>
              <w:rPr>
                <w:sz w:val="18"/>
                <w:szCs w:val="18"/>
                <w:lang w:val="en-GB"/>
              </w:rPr>
            </w:pPr>
            <w:r w:rsidRPr="00D616E1">
              <w:rPr>
                <w:sz w:val="18"/>
                <w:szCs w:val="18"/>
                <w:lang w:val="en-GB"/>
              </w:rPr>
              <w:t>0.126</w:t>
            </w:r>
          </w:p>
        </w:tc>
        <w:tc>
          <w:tcPr>
            <w:tcW w:w="1156" w:type="dxa"/>
          </w:tcPr>
          <w:p w:rsidR="00407EB1" w:rsidRPr="00D616E1" w:rsidRDefault="00407EB1" w:rsidP="00360B94">
            <w:pPr>
              <w:rPr>
                <w:sz w:val="18"/>
                <w:szCs w:val="18"/>
                <w:lang w:val="en-GB"/>
              </w:rPr>
            </w:pP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- 65-74 years old</w:t>
            </w:r>
          </w:p>
        </w:tc>
        <w:tc>
          <w:tcPr>
            <w:tcW w:w="1076" w:type="dxa"/>
          </w:tcPr>
          <w:p w:rsidR="00407EB1" w:rsidRPr="00D616E1" w:rsidRDefault="00407EB1" w:rsidP="00360B94">
            <w:pPr>
              <w:rPr>
                <w:sz w:val="18"/>
                <w:szCs w:val="18"/>
                <w:lang w:val="en-GB"/>
              </w:rPr>
            </w:pPr>
            <w:r w:rsidRPr="00D616E1">
              <w:rPr>
                <w:sz w:val="18"/>
                <w:szCs w:val="18"/>
                <w:lang w:val="en-GB"/>
              </w:rPr>
              <w:t>0.165</w:t>
            </w:r>
          </w:p>
        </w:tc>
        <w:tc>
          <w:tcPr>
            <w:tcW w:w="1156" w:type="dxa"/>
          </w:tcPr>
          <w:p w:rsidR="00407EB1" w:rsidRPr="00D616E1" w:rsidRDefault="00407EB1" w:rsidP="00360B94">
            <w:pPr>
              <w:rPr>
                <w:sz w:val="18"/>
                <w:szCs w:val="18"/>
                <w:lang w:val="en-GB"/>
              </w:rPr>
            </w:pP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- 75-84 years old</w:t>
            </w:r>
          </w:p>
        </w:tc>
        <w:tc>
          <w:tcPr>
            <w:tcW w:w="1076" w:type="dxa"/>
          </w:tcPr>
          <w:p w:rsidR="00407EB1" w:rsidRPr="00D616E1" w:rsidRDefault="00407EB1" w:rsidP="00360B94">
            <w:pPr>
              <w:rPr>
                <w:sz w:val="18"/>
                <w:szCs w:val="18"/>
                <w:lang w:val="en-GB"/>
              </w:rPr>
            </w:pPr>
            <w:r w:rsidRPr="00D616E1">
              <w:rPr>
                <w:sz w:val="18"/>
                <w:szCs w:val="18"/>
                <w:lang w:val="en-GB"/>
              </w:rPr>
              <w:t>0.219</w:t>
            </w:r>
          </w:p>
        </w:tc>
        <w:tc>
          <w:tcPr>
            <w:tcW w:w="1156" w:type="dxa"/>
          </w:tcPr>
          <w:p w:rsidR="00407EB1" w:rsidRPr="00D616E1" w:rsidRDefault="00407EB1" w:rsidP="00360B94">
            <w:pPr>
              <w:rPr>
                <w:sz w:val="18"/>
                <w:szCs w:val="18"/>
                <w:lang w:val="en-GB"/>
              </w:rPr>
            </w:pP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- 85+ years old</w:t>
            </w:r>
          </w:p>
        </w:tc>
        <w:tc>
          <w:tcPr>
            <w:tcW w:w="1076" w:type="dxa"/>
          </w:tcPr>
          <w:p w:rsidR="00407EB1" w:rsidRPr="00D616E1" w:rsidRDefault="00407EB1" w:rsidP="00360B94">
            <w:pPr>
              <w:rPr>
                <w:sz w:val="18"/>
                <w:szCs w:val="18"/>
                <w:lang w:val="en-GB"/>
              </w:rPr>
            </w:pPr>
            <w:r w:rsidRPr="00D616E1">
              <w:rPr>
                <w:sz w:val="18"/>
                <w:szCs w:val="18"/>
                <w:lang w:val="en-GB"/>
              </w:rPr>
              <w:t>0.261</w:t>
            </w:r>
          </w:p>
        </w:tc>
        <w:tc>
          <w:tcPr>
            <w:tcW w:w="1156" w:type="dxa"/>
          </w:tcPr>
          <w:p w:rsidR="00407EB1" w:rsidRPr="00D616E1" w:rsidRDefault="00407EB1" w:rsidP="00360B94">
            <w:pPr>
              <w:rPr>
                <w:sz w:val="18"/>
                <w:szCs w:val="18"/>
                <w:lang w:val="en-GB"/>
              </w:rPr>
            </w:pP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Non-fatal CV</w:t>
            </w:r>
          </w:p>
        </w:tc>
        <w:tc>
          <w:tcPr>
            <w:tcW w:w="1076" w:type="dxa"/>
          </w:tcPr>
          <w:p w:rsidR="00407EB1" w:rsidRPr="00D616E1" w:rsidRDefault="00407EB1" w:rsidP="00360B94">
            <w:pPr>
              <w:rPr>
                <w:sz w:val="18"/>
                <w:szCs w:val="18"/>
                <w:lang w:val="en-GB"/>
              </w:rPr>
            </w:pPr>
          </w:p>
        </w:tc>
        <w:tc>
          <w:tcPr>
            <w:tcW w:w="1156" w:type="dxa"/>
          </w:tcPr>
          <w:p w:rsidR="00407EB1" w:rsidRPr="00D616E1" w:rsidRDefault="00407EB1" w:rsidP="00360B94">
            <w:pPr>
              <w:rPr>
                <w:sz w:val="18"/>
                <w:szCs w:val="18"/>
                <w:lang w:val="en-GB"/>
              </w:rPr>
            </w:pPr>
          </w:p>
        </w:tc>
        <w:tc>
          <w:tcPr>
            <w:tcW w:w="1921" w:type="dxa"/>
            <w:vMerge w:val="restart"/>
          </w:tcPr>
          <w:p w:rsidR="00407EB1" w:rsidRPr="00D616E1" w:rsidRDefault="00407EB1" w:rsidP="00360B94">
            <w:pPr>
              <w:rPr>
                <w:sz w:val="18"/>
                <w:szCs w:val="18"/>
                <w:lang w:val="en-GB"/>
              </w:rPr>
            </w:pPr>
            <w:r w:rsidRPr="00D616E1">
              <w:rPr>
                <w:sz w:val="18"/>
                <w:szCs w:val="18"/>
                <w:lang w:val="en-GB"/>
              </w:rPr>
              <w:t>EVOLVE trial, analysis of patient-level data</w:t>
            </w:r>
          </w:p>
        </w:tc>
        <w:tc>
          <w:tcPr>
            <w:tcW w:w="1051" w:type="dxa"/>
            <w:vMerge w:val="restart"/>
          </w:tcPr>
          <w:p w:rsidR="00407EB1" w:rsidRPr="00D616E1" w:rsidRDefault="00407EB1" w:rsidP="00360B94">
            <w:pPr>
              <w:rPr>
                <w:sz w:val="18"/>
                <w:szCs w:val="18"/>
                <w:lang w:val="en-GB"/>
              </w:rPr>
            </w:pPr>
            <w:r w:rsidRPr="00D616E1">
              <w:rPr>
                <w:sz w:val="18"/>
                <w:szCs w:val="18"/>
                <w:lang w:val="en-GB"/>
              </w:rPr>
              <w:t>EVOLVE</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first event</w:t>
            </w:r>
          </w:p>
        </w:tc>
        <w:tc>
          <w:tcPr>
            <w:tcW w:w="1076" w:type="dxa"/>
          </w:tcPr>
          <w:p w:rsidR="00407EB1" w:rsidRPr="00D616E1" w:rsidRDefault="00407EB1" w:rsidP="00360B94">
            <w:pPr>
              <w:rPr>
                <w:sz w:val="18"/>
                <w:szCs w:val="18"/>
                <w:lang w:val="en-GB"/>
              </w:rPr>
            </w:pPr>
            <w:r w:rsidRPr="00D616E1">
              <w:rPr>
                <w:sz w:val="18"/>
                <w:szCs w:val="18"/>
                <w:lang w:val="en-GB"/>
              </w:rPr>
              <w:t>0.098</w:t>
            </w:r>
          </w:p>
        </w:tc>
        <w:tc>
          <w:tcPr>
            <w:tcW w:w="1156" w:type="dxa"/>
          </w:tcPr>
          <w:p w:rsidR="00407EB1" w:rsidRPr="00D616E1" w:rsidRDefault="00407EB1" w:rsidP="00360B94">
            <w:pPr>
              <w:rPr>
                <w:sz w:val="18"/>
                <w:szCs w:val="18"/>
                <w:lang w:val="en-GB"/>
              </w:rPr>
            </w:pPr>
            <w:r w:rsidRPr="00D616E1">
              <w:rPr>
                <w:sz w:val="18"/>
                <w:szCs w:val="18"/>
                <w:lang w:val="en-GB"/>
              </w:rPr>
              <w:t>0.005</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subsequent event</w:t>
            </w:r>
          </w:p>
        </w:tc>
        <w:tc>
          <w:tcPr>
            <w:tcW w:w="1076" w:type="dxa"/>
          </w:tcPr>
          <w:p w:rsidR="00407EB1" w:rsidRPr="00D616E1" w:rsidRDefault="00407EB1" w:rsidP="00360B94">
            <w:pPr>
              <w:rPr>
                <w:sz w:val="18"/>
                <w:szCs w:val="18"/>
                <w:lang w:val="en-GB"/>
              </w:rPr>
            </w:pPr>
            <w:r w:rsidRPr="00D616E1">
              <w:rPr>
                <w:sz w:val="18"/>
                <w:szCs w:val="18"/>
                <w:lang w:val="en-GB"/>
              </w:rPr>
              <w:t>0.620</w:t>
            </w:r>
          </w:p>
        </w:tc>
        <w:tc>
          <w:tcPr>
            <w:tcW w:w="1156" w:type="dxa"/>
          </w:tcPr>
          <w:p w:rsidR="00407EB1" w:rsidRPr="00D616E1" w:rsidRDefault="00407EB1" w:rsidP="00360B94">
            <w:pPr>
              <w:rPr>
                <w:sz w:val="18"/>
                <w:szCs w:val="18"/>
                <w:lang w:val="en-GB"/>
              </w:rPr>
            </w:pPr>
            <w:r w:rsidRPr="00D616E1">
              <w:rPr>
                <w:sz w:val="18"/>
                <w:szCs w:val="18"/>
                <w:lang w:val="en-GB"/>
              </w:rPr>
              <w:t>0.047</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Non-fatal fracture</w:t>
            </w:r>
          </w:p>
        </w:tc>
        <w:tc>
          <w:tcPr>
            <w:tcW w:w="1076" w:type="dxa"/>
          </w:tcPr>
          <w:p w:rsidR="00407EB1" w:rsidRPr="00D616E1" w:rsidRDefault="00407EB1" w:rsidP="00360B94">
            <w:pPr>
              <w:rPr>
                <w:sz w:val="18"/>
                <w:szCs w:val="18"/>
                <w:lang w:val="en-GB"/>
              </w:rPr>
            </w:pPr>
          </w:p>
        </w:tc>
        <w:tc>
          <w:tcPr>
            <w:tcW w:w="1156" w:type="dxa"/>
          </w:tcPr>
          <w:p w:rsidR="00407EB1" w:rsidRPr="00D616E1" w:rsidRDefault="00407EB1" w:rsidP="00360B94">
            <w:pPr>
              <w:rPr>
                <w:sz w:val="18"/>
                <w:szCs w:val="18"/>
                <w:lang w:val="en-GB"/>
              </w:rPr>
            </w:pP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first event</w:t>
            </w:r>
          </w:p>
        </w:tc>
        <w:tc>
          <w:tcPr>
            <w:tcW w:w="1076" w:type="dxa"/>
          </w:tcPr>
          <w:p w:rsidR="00407EB1" w:rsidRPr="00D616E1" w:rsidRDefault="00407EB1" w:rsidP="00360B94">
            <w:pPr>
              <w:rPr>
                <w:sz w:val="18"/>
                <w:szCs w:val="18"/>
                <w:lang w:val="en-GB"/>
              </w:rPr>
            </w:pPr>
            <w:r w:rsidRPr="00D616E1">
              <w:rPr>
                <w:sz w:val="18"/>
                <w:szCs w:val="18"/>
                <w:lang w:val="en-GB"/>
              </w:rPr>
              <w:t>0.045</w:t>
            </w:r>
          </w:p>
        </w:tc>
        <w:tc>
          <w:tcPr>
            <w:tcW w:w="1156" w:type="dxa"/>
          </w:tcPr>
          <w:p w:rsidR="00407EB1" w:rsidRPr="00D616E1" w:rsidRDefault="00407EB1" w:rsidP="00360B94">
            <w:pPr>
              <w:rPr>
                <w:sz w:val="18"/>
                <w:szCs w:val="18"/>
                <w:lang w:val="en-GB"/>
              </w:rPr>
            </w:pPr>
            <w:r w:rsidRPr="00D616E1">
              <w:rPr>
                <w:sz w:val="18"/>
                <w:szCs w:val="18"/>
                <w:lang w:val="en-GB"/>
              </w:rPr>
              <w:t>0.003</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subsequent event</w:t>
            </w:r>
          </w:p>
        </w:tc>
        <w:tc>
          <w:tcPr>
            <w:tcW w:w="1076" w:type="dxa"/>
          </w:tcPr>
          <w:p w:rsidR="00407EB1" w:rsidRPr="00D616E1" w:rsidRDefault="00407EB1" w:rsidP="00360B94">
            <w:pPr>
              <w:rPr>
                <w:sz w:val="18"/>
                <w:szCs w:val="18"/>
                <w:lang w:val="en-GB"/>
              </w:rPr>
            </w:pPr>
            <w:r w:rsidRPr="00D616E1">
              <w:rPr>
                <w:sz w:val="18"/>
                <w:szCs w:val="18"/>
                <w:lang w:val="en-GB"/>
              </w:rPr>
              <w:t>0.114</w:t>
            </w:r>
          </w:p>
        </w:tc>
        <w:tc>
          <w:tcPr>
            <w:tcW w:w="1156" w:type="dxa"/>
          </w:tcPr>
          <w:p w:rsidR="00407EB1" w:rsidRPr="00D616E1" w:rsidRDefault="00407EB1" w:rsidP="00360B94">
            <w:pPr>
              <w:rPr>
                <w:sz w:val="18"/>
                <w:szCs w:val="18"/>
                <w:lang w:val="en-GB"/>
              </w:rPr>
            </w:pPr>
            <w:r w:rsidRPr="00D616E1">
              <w:rPr>
                <w:sz w:val="18"/>
                <w:szCs w:val="18"/>
                <w:lang w:val="en-GB"/>
              </w:rPr>
              <w:t>0.024</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PTx</w:t>
            </w:r>
          </w:p>
        </w:tc>
        <w:tc>
          <w:tcPr>
            <w:tcW w:w="1076" w:type="dxa"/>
          </w:tcPr>
          <w:p w:rsidR="00407EB1" w:rsidRPr="00D616E1" w:rsidRDefault="00407EB1" w:rsidP="00360B94">
            <w:pPr>
              <w:rPr>
                <w:sz w:val="18"/>
                <w:szCs w:val="18"/>
                <w:lang w:val="en-GB"/>
              </w:rPr>
            </w:pPr>
            <w:r w:rsidRPr="00D616E1">
              <w:rPr>
                <w:sz w:val="18"/>
                <w:szCs w:val="18"/>
                <w:lang w:val="en-GB"/>
              </w:rPr>
              <w:t>0.049</w:t>
            </w:r>
          </w:p>
        </w:tc>
        <w:tc>
          <w:tcPr>
            <w:tcW w:w="1156" w:type="dxa"/>
          </w:tcPr>
          <w:p w:rsidR="00407EB1" w:rsidRPr="00D616E1" w:rsidRDefault="00407EB1" w:rsidP="00360B94">
            <w:pPr>
              <w:rPr>
                <w:sz w:val="18"/>
                <w:szCs w:val="18"/>
                <w:lang w:val="en-GB"/>
              </w:rPr>
            </w:pPr>
            <w:r w:rsidRPr="00D616E1">
              <w:rPr>
                <w:sz w:val="18"/>
                <w:szCs w:val="18"/>
                <w:lang w:val="en-GB"/>
              </w:rPr>
              <w:t>0.003</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EA4FA9" w:rsidTr="00360B94">
        <w:tc>
          <w:tcPr>
            <w:tcW w:w="7885" w:type="dxa"/>
            <w:gridSpan w:val="5"/>
          </w:tcPr>
          <w:p w:rsidR="00407EB1" w:rsidRPr="003E4180" w:rsidRDefault="00407EB1" w:rsidP="00360B94">
            <w:pPr>
              <w:rPr>
                <w:b/>
                <w:i/>
                <w:sz w:val="18"/>
                <w:szCs w:val="18"/>
                <w:lang w:val="fr-CH"/>
              </w:rPr>
            </w:pPr>
            <w:r w:rsidRPr="003E4180">
              <w:rPr>
                <w:b/>
                <w:i/>
                <w:sz w:val="18"/>
                <w:szCs w:val="18"/>
                <w:lang w:val="fr-CH"/>
              </w:rPr>
              <w:t>HR clinical events, cinacalcet vs. placebo</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All-cause mortality</w:t>
            </w:r>
          </w:p>
        </w:tc>
        <w:tc>
          <w:tcPr>
            <w:tcW w:w="1076" w:type="dxa"/>
          </w:tcPr>
          <w:p w:rsidR="00407EB1" w:rsidRPr="00D616E1" w:rsidRDefault="00407EB1" w:rsidP="00360B94">
            <w:pPr>
              <w:rPr>
                <w:sz w:val="18"/>
                <w:szCs w:val="18"/>
                <w:lang w:val="en-GB"/>
              </w:rPr>
            </w:pPr>
            <w:r w:rsidRPr="00D616E1">
              <w:rPr>
                <w:sz w:val="18"/>
                <w:szCs w:val="18"/>
                <w:lang w:val="en-GB"/>
              </w:rPr>
              <w:t>0.80</w:t>
            </w:r>
          </w:p>
        </w:tc>
        <w:tc>
          <w:tcPr>
            <w:tcW w:w="1156" w:type="dxa"/>
          </w:tcPr>
          <w:p w:rsidR="00407EB1" w:rsidRPr="00D616E1" w:rsidRDefault="00407EB1" w:rsidP="00360B94">
            <w:pPr>
              <w:rPr>
                <w:sz w:val="18"/>
                <w:szCs w:val="18"/>
                <w:lang w:val="en-GB"/>
              </w:rPr>
            </w:pPr>
            <w:r w:rsidRPr="00D616E1">
              <w:rPr>
                <w:sz w:val="18"/>
                <w:szCs w:val="18"/>
                <w:lang w:val="en-GB"/>
              </w:rPr>
              <w:t>[0.69-0.91]</w:t>
            </w:r>
          </w:p>
        </w:tc>
        <w:tc>
          <w:tcPr>
            <w:tcW w:w="1921" w:type="dxa"/>
            <w:vMerge w:val="restart"/>
          </w:tcPr>
          <w:p w:rsidR="00407EB1" w:rsidRPr="00D616E1" w:rsidRDefault="00407EB1" w:rsidP="00360B94">
            <w:pPr>
              <w:rPr>
                <w:sz w:val="18"/>
                <w:szCs w:val="18"/>
                <w:lang w:val="en-GB"/>
              </w:rPr>
            </w:pPr>
          </w:p>
        </w:tc>
        <w:tc>
          <w:tcPr>
            <w:tcW w:w="1051" w:type="dxa"/>
            <w:vMerge w:val="restart"/>
          </w:tcPr>
          <w:p w:rsidR="00407EB1" w:rsidRPr="00255610" w:rsidRDefault="00407EB1" w:rsidP="00360B94">
            <w:pPr>
              <w:rPr>
                <w:sz w:val="18"/>
                <w:szCs w:val="18"/>
              </w:rPr>
            </w:pPr>
            <w:r w:rsidRPr="0052248A">
              <w:rPr>
                <w:sz w:val="18"/>
                <w:szCs w:val="18"/>
                <w:lang w:val="en-GB"/>
              </w:rPr>
              <w:t>[</w:t>
            </w:r>
            <w:r w:rsidRPr="00CD67A1">
              <w:rPr>
                <w:sz w:val="18"/>
                <w:szCs w:val="18"/>
                <w:vertAlign w:val="superscript"/>
                <w:lang w:val="en-GB"/>
              </w:rPr>
              <w:fldChar w:fldCharType="begin"/>
            </w:r>
            <w:r w:rsidRPr="00CD67A1">
              <w:rPr>
                <w:sz w:val="18"/>
                <w:szCs w:val="18"/>
                <w:vertAlign w:val="superscript"/>
                <w:lang w:val="en-GB"/>
              </w:rPr>
              <w:instrText xml:space="preserve"> NOTEREF _Ref497135375 \h  \* MERGEFORMAT </w:instrText>
            </w:r>
            <w:r w:rsidRPr="00CD67A1">
              <w:rPr>
                <w:sz w:val="18"/>
                <w:szCs w:val="18"/>
                <w:vertAlign w:val="superscript"/>
                <w:lang w:val="en-GB"/>
              </w:rPr>
            </w:r>
            <w:r w:rsidRPr="00CD67A1">
              <w:rPr>
                <w:sz w:val="18"/>
                <w:szCs w:val="18"/>
                <w:vertAlign w:val="superscript"/>
                <w:lang w:val="en-GB"/>
              </w:rPr>
              <w:fldChar w:fldCharType="separate"/>
            </w:r>
            <w:r>
              <w:rPr>
                <w:sz w:val="18"/>
                <w:szCs w:val="18"/>
                <w:vertAlign w:val="superscript"/>
                <w:lang w:val="en-GB"/>
              </w:rPr>
              <w:t>13</w:t>
            </w:r>
            <w:r w:rsidRPr="00CD67A1">
              <w:rPr>
                <w:sz w:val="18"/>
                <w:szCs w:val="18"/>
                <w:vertAlign w:val="superscript"/>
                <w:lang w:val="en-GB"/>
              </w:rPr>
              <w:fldChar w:fldCharType="end"/>
            </w:r>
            <w:r w:rsidRPr="00CD67A1">
              <w:rPr>
                <w:sz w:val="18"/>
                <w:szCs w:val="18"/>
                <w:lang w:val="en-GB"/>
              </w:rPr>
              <w:t>]</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CV events</w:t>
            </w:r>
          </w:p>
        </w:tc>
        <w:tc>
          <w:tcPr>
            <w:tcW w:w="1076" w:type="dxa"/>
          </w:tcPr>
          <w:p w:rsidR="00407EB1" w:rsidRPr="00D616E1" w:rsidRDefault="00407EB1" w:rsidP="00360B94">
            <w:pPr>
              <w:rPr>
                <w:sz w:val="18"/>
                <w:szCs w:val="18"/>
                <w:lang w:val="en-GB"/>
              </w:rPr>
            </w:pPr>
            <w:r w:rsidRPr="00D616E1">
              <w:rPr>
                <w:sz w:val="18"/>
                <w:szCs w:val="18"/>
                <w:lang w:val="en-GB"/>
              </w:rPr>
              <w:t>0.78</w:t>
            </w:r>
          </w:p>
        </w:tc>
        <w:tc>
          <w:tcPr>
            <w:tcW w:w="1156" w:type="dxa"/>
          </w:tcPr>
          <w:p w:rsidR="00407EB1" w:rsidRPr="00D616E1" w:rsidRDefault="00407EB1" w:rsidP="00360B94">
            <w:pPr>
              <w:rPr>
                <w:sz w:val="18"/>
                <w:szCs w:val="18"/>
                <w:lang w:val="en-GB"/>
              </w:rPr>
            </w:pPr>
            <w:r w:rsidRPr="00D616E1">
              <w:rPr>
                <w:sz w:val="18"/>
                <w:szCs w:val="18"/>
                <w:lang w:val="en-GB"/>
              </w:rPr>
              <w:t>[0.67-0.91]</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Fractures</w:t>
            </w:r>
          </w:p>
        </w:tc>
        <w:tc>
          <w:tcPr>
            <w:tcW w:w="1076" w:type="dxa"/>
          </w:tcPr>
          <w:p w:rsidR="00407EB1" w:rsidRPr="00D616E1" w:rsidRDefault="00407EB1" w:rsidP="00360B94">
            <w:pPr>
              <w:rPr>
                <w:sz w:val="18"/>
                <w:szCs w:val="18"/>
                <w:lang w:val="en-GB"/>
              </w:rPr>
            </w:pPr>
            <w:r w:rsidRPr="00D616E1">
              <w:rPr>
                <w:sz w:val="18"/>
                <w:szCs w:val="18"/>
                <w:lang w:val="en-GB"/>
              </w:rPr>
              <w:t>0.73</w:t>
            </w:r>
          </w:p>
        </w:tc>
        <w:tc>
          <w:tcPr>
            <w:tcW w:w="1156" w:type="dxa"/>
          </w:tcPr>
          <w:p w:rsidR="00407EB1" w:rsidRPr="00D616E1" w:rsidRDefault="00407EB1" w:rsidP="00360B94">
            <w:pPr>
              <w:rPr>
                <w:sz w:val="18"/>
                <w:szCs w:val="18"/>
                <w:lang w:val="en-GB"/>
              </w:rPr>
            </w:pPr>
            <w:r w:rsidRPr="00D616E1">
              <w:rPr>
                <w:sz w:val="18"/>
                <w:szCs w:val="18"/>
                <w:lang w:val="en-GB"/>
              </w:rPr>
              <w:t>[0.59-0.92]</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PTx</w:t>
            </w:r>
          </w:p>
        </w:tc>
        <w:tc>
          <w:tcPr>
            <w:tcW w:w="1076" w:type="dxa"/>
          </w:tcPr>
          <w:p w:rsidR="00407EB1" w:rsidRPr="00D616E1" w:rsidRDefault="00407EB1" w:rsidP="00360B94">
            <w:pPr>
              <w:rPr>
                <w:sz w:val="18"/>
                <w:szCs w:val="18"/>
                <w:lang w:val="en-GB"/>
              </w:rPr>
            </w:pPr>
            <w:r w:rsidRPr="00D616E1">
              <w:rPr>
                <w:sz w:val="18"/>
                <w:szCs w:val="18"/>
                <w:lang w:val="en-GB"/>
              </w:rPr>
              <w:t>0.25</w:t>
            </w:r>
          </w:p>
        </w:tc>
        <w:tc>
          <w:tcPr>
            <w:tcW w:w="1156" w:type="dxa"/>
          </w:tcPr>
          <w:p w:rsidR="00407EB1" w:rsidRPr="00D616E1" w:rsidRDefault="00407EB1" w:rsidP="00360B94">
            <w:pPr>
              <w:rPr>
                <w:sz w:val="18"/>
                <w:szCs w:val="18"/>
                <w:lang w:val="en-GB"/>
              </w:rPr>
            </w:pPr>
            <w:r w:rsidRPr="00D616E1">
              <w:rPr>
                <w:sz w:val="18"/>
                <w:szCs w:val="18"/>
                <w:lang w:val="en-GB"/>
              </w:rPr>
              <w:t>[0.19-0.33]</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EA4FA9" w:rsidTr="00360B94">
        <w:tc>
          <w:tcPr>
            <w:tcW w:w="7885" w:type="dxa"/>
            <w:gridSpan w:val="5"/>
          </w:tcPr>
          <w:p w:rsidR="00407EB1" w:rsidRPr="00D616E1" w:rsidRDefault="00407EB1" w:rsidP="00360B94">
            <w:pPr>
              <w:rPr>
                <w:b/>
                <w:i/>
                <w:sz w:val="18"/>
                <w:szCs w:val="18"/>
                <w:lang w:val="en-GB"/>
              </w:rPr>
            </w:pPr>
            <w:r w:rsidRPr="00D616E1">
              <w:rPr>
                <w:b/>
                <w:i/>
                <w:sz w:val="18"/>
                <w:szCs w:val="18"/>
                <w:lang w:val="en-GB"/>
              </w:rPr>
              <w:t>HR clinical events, etelcalcetide vs. placebo</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All-cause mortality</w:t>
            </w:r>
          </w:p>
        </w:tc>
        <w:tc>
          <w:tcPr>
            <w:tcW w:w="1076" w:type="dxa"/>
          </w:tcPr>
          <w:p w:rsidR="00407EB1" w:rsidRPr="00D616E1" w:rsidRDefault="00407EB1" w:rsidP="00360B94">
            <w:pPr>
              <w:rPr>
                <w:sz w:val="18"/>
                <w:szCs w:val="18"/>
                <w:lang w:val="en-GB"/>
              </w:rPr>
            </w:pPr>
            <w:r w:rsidRPr="00D616E1">
              <w:rPr>
                <w:sz w:val="18"/>
                <w:szCs w:val="18"/>
                <w:lang w:val="en-GB"/>
              </w:rPr>
              <w:t>0.75</w:t>
            </w:r>
          </w:p>
        </w:tc>
        <w:tc>
          <w:tcPr>
            <w:tcW w:w="1156" w:type="dxa"/>
          </w:tcPr>
          <w:p w:rsidR="00407EB1" w:rsidRPr="00D616E1" w:rsidRDefault="00407EB1" w:rsidP="00360B94">
            <w:pPr>
              <w:rPr>
                <w:sz w:val="18"/>
                <w:szCs w:val="18"/>
                <w:lang w:val="en-GB"/>
              </w:rPr>
            </w:pPr>
            <w:r w:rsidRPr="00D616E1">
              <w:rPr>
                <w:sz w:val="18"/>
                <w:szCs w:val="18"/>
                <w:lang w:val="en-GB"/>
              </w:rPr>
              <w:t>[0.62-0.89]</w:t>
            </w:r>
          </w:p>
        </w:tc>
        <w:tc>
          <w:tcPr>
            <w:tcW w:w="1921" w:type="dxa"/>
            <w:vMerge w:val="restart"/>
          </w:tcPr>
          <w:p w:rsidR="00407EB1" w:rsidRPr="00D616E1" w:rsidRDefault="00407EB1" w:rsidP="00360B94">
            <w:pPr>
              <w:rPr>
                <w:sz w:val="18"/>
                <w:szCs w:val="18"/>
                <w:lang w:val="en-GB"/>
              </w:rPr>
            </w:pPr>
          </w:p>
        </w:tc>
        <w:tc>
          <w:tcPr>
            <w:tcW w:w="1051" w:type="dxa"/>
            <w:vMerge w:val="restart"/>
          </w:tcPr>
          <w:p w:rsidR="00407EB1" w:rsidRPr="00D616E1" w:rsidRDefault="00407EB1" w:rsidP="00360B94">
            <w:pPr>
              <w:rPr>
                <w:sz w:val="18"/>
                <w:szCs w:val="18"/>
                <w:lang w:val="en-GB"/>
              </w:rPr>
            </w:pPr>
            <w:r w:rsidRPr="00CD67A1">
              <w:rPr>
                <w:sz w:val="18"/>
                <w:szCs w:val="18"/>
                <w:lang w:val="en-GB"/>
              </w:rPr>
              <w:t>[</w:t>
            </w:r>
            <w:r w:rsidRPr="00CD67A1">
              <w:rPr>
                <w:sz w:val="18"/>
                <w:szCs w:val="18"/>
                <w:vertAlign w:val="superscript"/>
                <w:lang w:val="en-GB"/>
              </w:rPr>
              <w:fldChar w:fldCharType="begin"/>
            </w:r>
            <w:r w:rsidRPr="00CD67A1">
              <w:rPr>
                <w:sz w:val="18"/>
                <w:szCs w:val="18"/>
                <w:vertAlign w:val="superscript"/>
                <w:lang w:val="en-GB"/>
              </w:rPr>
              <w:instrText xml:space="preserve"> NOTEREF _Ref461008301 \h  \* MERGEFORMAT </w:instrText>
            </w:r>
            <w:r w:rsidRPr="00CD67A1">
              <w:rPr>
                <w:sz w:val="18"/>
                <w:szCs w:val="18"/>
                <w:vertAlign w:val="superscript"/>
                <w:lang w:val="en-GB"/>
              </w:rPr>
            </w:r>
            <w:r w:rsidRPr="00CD67A1">
              <w:rPr>
                <w:sz w:val="18"/>
                <w:szCs w:val="18"/>
                <w:vertAlign w:val="superscript"/>
                <w:lang w:val="en-GB"/>
              </w:rPr>
              <w:fldChar w:fldCharType="separate"/>
            </w:r>
            <w:r>
              <w:rPr>
                <w:sz w:val="18"/>
                <w:szCs w:val="18"/>
                <w:vertAlign w:val="superscript"/>
                <w:lang w:val="en-GB"/>
              </w:rPr>
              <w:t>9</w:t>
            </w:r>
            <w:r w:rsidRPr="00CD67A1">
              <w:rPr>
                <w:sz w:val="18"/>
                <w:szCs w:val="18"/>
                <w:vertAlign w:val="superscript"/>
                <w:lang w:val="en-GB"/>
              </w:rPr>
              <w:fldChar w:fldCharType="end"/>
            </w:r>
            <w:r w:rsidRPr="00CD67A1">
              <w:rPr>
                <w:sz w:val="18"/>
                <w:szCs w:val="18"/>
                <w:vertAlign w:val="superscript"/>
                <w:lang w:val="en-GB"/>
              </w:rPr>
              <w:t xml:space="preserve">, </w:t>
            </w:r>
            <w:r w:rsidRPr="00CD67A1">
              <w:rPr>
                <w:sz w:val="18"/>
                <w:szCs w:val="18"/>
                <w:vertAlign w:val="superscript"/>
                <w:lang w:val="en-GB"/>
              </w:rPr>
              <w:fldChar w:fldCharType="begin"/>
            </w:r>
            <w:r w:rsidRPr="00CD67A1">
              <w:rPr>
                <w:sz w:val="18"/>
                <w:szCs w:val="18"/>
                <w:vertAlign w:val="superscript"/>
                <w:lang w:val="en-GB"/>
              </w:rPr>
              <w:instrText xml:space="preserve"> NOTEREF _Ref461006872 \h  \* MERGEFORMAT </w:instrText>
            </w:r>
            <w:r w:rsidRPr="00CD67A1">
              <w:rPr>
                <w:sz w:val="18"/>
                <w:szCs w:val="18"/>
                <w:vertAlign w:val="superscript"/>
                <w:lang w:val="en-GB"/>
              </w:rPr>
            </w:r>
            <w:r w:rsidRPr="00CD67A1">
              <w:rPr>
                <w:sz w:val="18"/>
                <w:szCs w:val="18"/>
                <w:vertAlign w:val="superscript"/>
                <w:lang w:val="en-GB"/>
              </w:rPr>
              <w:fldChar w:fldCharType="separate"/>
            </w:r>
            <w:r>
              <w:rPr>
                <w:sz w:val="18"/>
                <w:szCs w:val="18"/>
                <w:vertAlign w:val="superscript"/>
                <w:lang w:val="en-GB"/>
              </w:rPr>
              <w:t>10</w:t>
            </w:r>
            <w:r w:rsidRPr="00CD67A1">
              <w:rPr>
                <w:sz w:val="18"/>
                <w:szCs w:val="18"/>
                <w:vertAlign w:val="superscript"/>
                <w:lang w:val="en-GB"/>
              </w:rPr>
              <w:fldChar w:fldCharType="end"/>
            </w:r>
            <w:r w:rsidRPr="00CD67A1">
              <w:rPr>
                <w:sz w:val="18"/>
                <w:szCs w:val="18"/>
                <w:vertAlign w:val="superscript"/>
                <w:lang w:val="en-GB"/>
              </w:rPr>
              <w:t xml:space="preserve">, </w:t>
            </w:r>
            <w:r w:rsidRPr="00CD67A1">
              <w:rPr>
                <w:sz w:val="18"/>
                <w:szCs w:val="18"/>
                <w:vertAlign w:val="superscript"/>
                <w:lang w:val="en-GB"/>
              </w:rPr>
              <w:fldChar w:fldCharType="begin"/>
            </w:r>
            <w:r w:rsidRPr="00CD67A1">
              <w:rPr>
                <w:sz w:val="18"/>
                <w:szCs w:val="18"/>
                <w:vertAlign w:val="superscript"/>
                <w:lang w:val="en-GB"/>
              </w:rPr>
              <w:instrText xml:space="preserve"> NOTEREF _Ref497135375 \h  \* MERGEFORMAT </w:instrText>
            </w:r>
            <w:r w:rsidRPr="00CD67A1">
              <w:rPr>
                <w:sz w:val="18"/>
                <w:szCs w:val="18"/>
                <w:vertAlign w:val="superscript"/>
                <w:lang w:val="en-GB"/>
              </w:rPr>
            </w:r>
            <w:r w:rsidRPr="00CD67A1">
              <w:rPr>
                <w:sz w:val="18"/>
                <w:szCs w:val="18"/>
                <w:vertAlign w:val="superscript"/>
                <w:lang w:val="en-GB"/>
              </w:rPr>
              <w:fldChar w:fldCharType="separate"/>
            </w:r>
            <w:r>
              <w:rPr>
                <w:sz w:val="18"/>
                <w:szCs w:val="18"/>
                <w:vertAlign w:val="superscript"/>
                <w:lang w:val="en-GB"/>
              </w:rPr>
              <w:t>13</w:t>
            </w:r>
            <w:r w:rsidRPr="00CD67A1">
              <w:rPr>
                <w:sz w:val="18"/>
                <w:szCs w:val="18"/>
                <w:vertAlign w:val="superscript"/>
                <w:lang w:val="en-GB"/>
              </w:rPr>
              <w:fldChar w:fldCharType="end"/>
            </w:r>
            <w:r w:rsidRPr="00CD67A1">
              <w:rPr>
                <w:sz w:val="18"/>
                <w:szCs w:val="18"/>
                <w:lang w:val="en-GB"/>
              </w:rPr>
              <w:t>]</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CV events</w:t>
            </w:r>
          </w:p>
        </w:tc>
        <w:tc>
          <w:tcPr>
            <w:tcW w:w="1076" w:type="dxa"/>
          </w:tcPr>
          <w:p w:rsidR="00407EB1" w:rsidRPr="00D616E1" w:rsidRDefault="00407EB1" w:rsidP="00360B94">
            <w:pPr>
              <w:rPr>
                <w:sz w:val="18"/>
                <w:szCs w:val="18"/>
                <w:lang w:val="en-GB"/>
              </w:rPr>
            </w:pPr>
            <w:r w:rsidRPr="00D616E1">
              <w:rPr>
                <w:sz w:val="18"/>
                <w:szCs w:val="18"/>
                <w:lang w:val="en-GB"/>
              </w:rPr>
              <w:t>0.72</w:t>
            </w:r>
          </w:p>
        </w:tc>
        <w:tc>
          <w:tcPr>
            <w:tcW w:w="1156" w:type="dxa"/>
          </w:tcPr>
          <w:p w:rsidR="00407EB1" w:rsidRPr="00D616E1" w:rsidRDefault="00407EB1" w:rsidP="00360B94">
            <w:pPr>
              <w:rPr>
                <w:sz w:val="18"/>
                <w:szCs w:val="18"/>
                <w:lang w:val="en-GB"/>
              </w:rPr>
            </w:pPr>
            <w:r w:rsidRPr="00D616E1">
              <w:rPr>
                <w:sz w:val="18"/>
                <w:szCs w:val="18"/>
                <w:lang w:val="en-GB"/>
              </w:rPr>
              <w:t>[0.59-0.88]</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Fractures</w:t>
            </w:r>
          </w:p>
        </w:tc>
        <w:tc>
          <w:tcPr>
            <w:tcW w:w="1076" w:type="dxa"/>
          </w:tcPr>
          <w:p w:rsidR="00407EB1" w:rsidRPr="00D616E1" w:rsidRDefault="00407EB1" w:rsidP="00360B94">
            <w:pPr>
              <w:rPr>
                <w:sz w:val="18"/>
                <w:szCs w:val="18"/>
                <w:lang w:val="en-GB"/>
              </w:rPr>
            </w:pPr>
            <w:r w:rsidRPr="00D616E1">
              <w:rPr>
                <w:sz w:val="18"/>
                <w:szCs w:val="18"/>
                <w:lang w:val="en-GB"/>
              </w:rPr>
              <w:t>0.67</w:t>
            </w:r>
          </w:p>
        </w:tc>
        <w:tc>
          <w:tcPr>
            <w:tcW w:w="1156" w:type="dxa"/>
          </w:tcPr>
          <w:p w:rsidR="00407EB1" w:rsidRPr="00D616E1" w:rsidRDefault="00407EB1" w:rsidP="00360B94">
            <w:pPr>
              <w:rPr>
                <w:sz w:val="18"/>
                <w:szCs w:val="18"/>
                <w:lang w:val="en-GB"/>
              </w:rPr>
            </w:pPr>
            <w:r w:rsidRPr="00D616E1">
              <w:rPr>
                <w:sz w:val="18"/>
                <w:szCs w:val="18"/>
                <w:lang w:val="en-GB"/>
              </w:rPr>
              <w:t>[0.50-0.89]</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PTx</w:t>
            </w:r>
          </w:p>
        </w:tc>
        <w:tc>
          <w:tcPr>
            <w:tcW w:w="1076" w:type="dxa"/>
          </w:tcPr>
          <w:p w:rsidR="00407EB1" w:rsidRPr="00D616E1" w:rsidRDefault="00407EB1" w:rsidP="00360B94">
            <w:pPr>
              <w:rPr>
                <w:sz w:val="18"/>
                <w:szCs w:val="18"/>
                <w:lang w:val="en-GB"/>
              </w:rPr>
            </w:pPr>
            <w:r w:rsidRPr="00D616E1">
              <w:rPr>
                <w:sz w:val="18"/>
                <w:szCs w:val="18"/>
                <w:lang w:val="en-GB"/>
              </w:rPr>
              <w:t>0.17</w:t>
            </w:r>
          </w:p>
        </w:tc>
        <w:tc>
          <w:tcPr>
            <w:tcW w:w="1156" w:type="dxa"/>
          </w:tcPr>
          <w:p w:rsidR="00407EB1" w:rsidRPr="00D616E1" w:rsidRDefault="00407EB1" w:rsidP="00360B94">
            <w:pPr>
              <w:rPr>
                <w:sz w:val="18"/>
                <w:szCs w:val="18"/>
                <w:lang w:val="en-GB"/>
              </w:rPr>
            </w:pPr>
            <w:r w:rsidRPr="00D616E1">
              <w:rPr>
                <w:sz w:val="18"/>
                <w:szCs w:val="18"/>
                <w:lang w:val="en-GB"/>
              </w:rPr>
              <w:t>[0.11-0.25]</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7885" w:type="dxa"/>
            <w:gridSpan w:val="5"/>
          </w:tcPr>
          <w:p w:rsidR="00407EB1" w:rsidRPr="003E4180" w:rsidRDefault="00407EB1" w:rsidP="00360B94">
            <w:pPr>
              <w:rPr>
                <w:sz w:val="18"/>
                <w:szCs w:val="18"/>
                <w:lang w:val="fr-CH"/>
              </w:rPr>
            </w:pPr>
            <w:r w:rsidRPr="003E4180">
              <w:rPr>
                <w:b/>
                <w:i/>
                <w:sz w:val="18"/>
                <w:szCs w:val="18"/>
                <w:lang w:val="fr-CH"/>
              </w:rPr>
              <w:t>HR clinical events, etelcalcetide vs. cinacalcet</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All-cause mortality</w:t>
            </w:r>
          </w:p>
        </w:tc>
        <w:tc>
          <w:tcPr>
            <w:tcW w:w="1076" w:type="dxa"/>
          </w:tcPr>
          <w:p w:rsidR="00407EB1" w:rsidRPr="00D616E1" w:rsidRDefault="00407EB1" w:rsidP="00360B94">
            <w:pPr>
              <w:rPr>
                <w:sz w:val="18"/>
                <w:szCs w:val="18"/>
                <w:lang w:val="en-GB"/>
              </w:rPr>
            </w:pPr>
            <w:r w:rsidRPr="00D616E1">
              <w:rPr>
                <w:sz w:val="18"/>
                <w:szCs w:val="18"/>
                <w:lang w:val="en-GB"/>
              </w:rPr>
              <w:t xml:space="preserve">0.94 </w:t>
            </w:r>
          </w:p>
        </w:tc>
        <w:tc>
          <w:tcPr>
            <w:tcW w:w="1156" w:type="dxa"/>
          </w:tcPr>
          <w:p w:rsidR="00407EB1" w:rsidRPr="00D616E1" w:rsidRDefault="00407EB1" w:rsidP="00360B94">
            <w:pPr>
              <w:rPr>
                <w:sz w:val="18"/>
                <w:szCs w:val="18"/>
                <w:lang w:val="en-GB"/>
              </w:rPr>
            </w:pPr>
            <w:r w:rsidRPr="00D616E1">
              <w:rPr>
                <w:sz w:val="18"/>
                <w:szCs w:val="18"/>
                <w:lang w:val="en-GB"/>
              </w:rPr>
              <w:t>[0.88,0.98]</w:t>
            </w:r>
          </w:p>
        </w:tc>
        <w:tc>
          <w:tcPr>
            <w:tcW w:w="1921" w:type="dxa"/>
            <w:vMerge w:val="restart"/>
          </w:tcPr>
          <w:p w:rsidR="00407EB1" w:rsidRPr="00D616E1" w:rsidRDefault="00407EB1" w:rsidP="00360B94">
            <w:pPr>
              <w:rPr>
                <w:sz w:val="18"/>
                <w:szCs w:val="18"/>
                <w:lang w:val="en-GB"/>
              </w:rPr>
            </w:pPr>
          </w:p>
        </w:tc>
        <w:tc>
          <w:tcPr>
            <w:tcW w:w="1051" w:type="dxa"/>
            <w:vMerge w:val="restart"/>
          </w:tcPr>
          <w:p w:rsidR="00407EB1" w:rsidRPr="00255610" w:rsidRDefault="00407EB1" w:rsidP="00360B94">
            <w:pPr>
              <w:rPr>
                <w:sz w:val="18"/>
                <w:szCs w:val="18"/>
              </w:rPr>
            </w:pPr>
            <w:r w:rsidRPr="00CD67A1">
              <w:rPr>
                <w:sz w:val="18"/>
                <w:szCs w:val="18"/>
                <w:lang w:val="en-GB"/>
              </w:rPr>
              <w:t>[</w:t>
            </w:r>
            <w:r w:rsidRPr="00CD67A1">
              <w:rPr>
                <w:sz w:val="18"/>
                <w:szCs w:val="18"/>
                <w:vertAlign w:val="superscript"/>
                <w:lang w:val="en-GB"/>
              </w:rPr>
              <w:fldChar w:fldCharType="begin"/>
            </w:r>
            <w:r w:rsidRPr="00CD67A1">
              <w:rPr>
                <w:sz w:val="18"/>
                <w:szCs w:val="18"/>
                <w:vertAlign w:val="superscript"/>
                <w:lang w:val="en-GB"/>
              </w:rPr>
              <w:instrText xml:space="preserve"> NOTEREF _Ref461008301 \h  \* MERGEFORMAT </w:instrText>
            </w:r>
            <w:r w:rsidRPr="00CD67A1">
              <w:rPr>
                <w:sz w:val="18"/>
                <w:szCs w:val="18"/>
                <w:vertAlign w:val="superscript"/>
                <w:lang w:val="en-GB"/>
              </w:rPr>
            </w:r>
            <w:r w:rsidRPr="00CD67A1">
              <w:rPr>
                <w:sz w:val="18"/>
                <w:szCs w:val="18"/>
                <w:vertAlign w:val="superscript"/>
                <w:lang w:val="en-GB"/>
              </w:rPr>
              <w:fldChar w:fldCharType="separate"/>
            </w:r>
            <w:r>
              <w:rPr>
                <w:sz w:val="18"/>
                <w:szCs w:val="18"/>
                <w:vertAlign w:val="superscript"/>
                <w:lang w:val="en-GB"/>
              </w:rPr>
              <w:t>9</w:t>
            </w:r>
            <w:r w:rsidRPr="00CD67A1">
              <w:rPr>
                <w:sz w:val="18"/>
                <w:szCs w:val="18"/>
                <w:vertAlign w:val="superscript"/>
                <w:lang w:val="en-GB"/>
              </w:rPr>
              <w:fldChar w:fldCharType="end"/>
            </w:r>
            <w:r w:rsidRPr="00CD67A1">
              <w:rPr>
                <w:sz w:val="18"/>
                <w:szCs w:val="18"/>
                <w:vertAlign w:val="superscript"/>
                <w:lang w:val="en-GB"/>
              </w:rPr>
              <w:t xml:space="preserve">, </w:t>
            </w:r>
            <w:r w:rsidRPr="00CD67A1">
              <w:rPr>
                <w:sz w:val="18"/>
                <w:szCs w:val="18"/>
                <w:vertAlign w:val="superscript"/>
                <w:lang w:val="en-GB"/>
              </w:rPr>
              <w:fldChar w:fldCharType="begin"/>
            </w:r>
            <w:r w:rsidRPr="00CD67A1">
              <w:rPr>
                <w:sz w:val="18"/>
                <w:szCs w:val="18"/>
                <w:vertAlign w:val="superscript"/>
                <w:lang w:val="en-GB"/>
              </w:rPr>
              <w:instrText xml:space="preserve"> NOTEREF _Ref461006872 \h  \* MERGEFORMAT </w:instrText>
            </w:r>
            <w:r w:rsidRPr="00CD67A1">
              <w:rPr>
                <w:sz w:val="18"/>
                <w:szCs w:val="18"/>
                <w:vertAlign w:val="superscript"/>
                <w:lang w:val="en-GB"/>
              </w:rPr>
            </w:r>
            <w:r w:rsidRPr="00CD67A1">
              <w:rPr>
                <w:sz w:val="18"/>
                <w:szCs w:val="18"/>
                <w:vertAlign w:val="superscript"/>
                <w:lang w:val="en-GB"/>
              </w:rPr>
              <w:fldChar w:fldCharType="separate"/>
            </w:r>
            <w:r>
              <w:rPr>
                <w:sz w:val="18"/>
                <w:szCs w:val="18"/>
                <w:vertAlign w:val="superscript"/>
                <w:lang w:val="en-GB"/>
              </w:rPr>
              <w:t>10</w:t>
            </w:r>
            <w:r w:rsidRPr="00CD67A1">
              <w:rPr>
                <w:sz w:val="18"/>
                <w:szCs w:val="18"/>
                <w:vertAlign w:val="superscript"/>
                <w:lang w:val="en-GB"/>
              </w:rPr>
              <w:fldChar w:fldCharType="end"/>
            </w:r>
            <w:r w:rsidRPr="00CD67A1">
              <w:rPr>
                <w:sz w:val="18"/>
                <w:szCs w:val="18"/>
                <w:vertAlign w:val="superscript"/>
                <w:lang w:val="en-GB"/>
              </w:rPr>
              <w:t xml:space="preserve">, </w:t>
            </w:r>
            <w:r w:rsidRPr="00CD67A1">
              <w:rPr>
                <w:sz w:val="18"/>
                <w:szCs w:val="18"/>
                <w:vertAlign w:val="superscript"/>
                <w:lang w:val="en-GB"/>
              </w:rPr>
              <w:fldChar w:fldCharType="begin"/>
            </w:r>
            <w:r w:rsidRPr="00CD67A1">
              <w:rPr>
                <w:sz w:val="18"/>
                <w:szCs w:val="18"/>
                <w:vertAlign w:val="superscript"/>
                <w:lang w:val="en-GB"/>
              </w:rPr>
              <w:instrText xml:space="preserve"> NOTEREF _Ref497135375 \h  \* MERGEFORMAT </w:instrText>
            </w:r>
            <w:r w:rsidRPr="00CD67A1">
              <w:rPr>
                <w:sz w:val="18"/>
                <w:szCs w:val="18"/>
                <w:vertAlign w:val="superscript"/>
                <w:lang w:val="en-GB"/>
              </w:rPr>
            </w:r>
            <w:r w:rsidRPr="00CD67A1">
              <w:rPr>
                <w:sz w:val="18"/>
                <w:szCs w:val="18"/>
                <w:vertAlign w:val="superscript"/>
                <w:lang w:val="en-GB"/>
              </w:rPr>
              <w:fldChar w:fldCharType="separate"/>
            </w:r>
            <w:r>
              <w:rPr>
                <w:sz w:val="18"/>
                <w:szCs w:val="18"/>
                <w:vertAlign w:val="superscript"/>
                <w:lang w:val="en-GB"/>
              </w:rPr>
              <w:t>13</w:t>
            </w:r>
            <w:r w:rsidRPr="00CD67A1">
              <w:rPr>
                <w:sz w:val="18"/>
                <w:szCs w:val="18"/>
                <w:vertAlign w:val="superscript"/>
                <w:lang w:val="en-GB"/>
              </w:rPr>
              <w:fldChar w:fldCharType="end"/>
            </w:r>
            <w:r w:rsidRPr="00CD67A1">
              <w:rPr>
                <w:sz w:val="18"/>
                <w:szCs w:val="18"/>
                <w:lang w:val="en-GB"/>
              </w:rPr>
              <w:t>]</w:t>
            </w:r>
          </w:p>
          <w:p w:rsidR="00407EB1" w:rsidRPr="00255610" w:rsidRDefault="00407EB1" w:rsidP="00360B94">
            <w:pPr>
              <w:rPr>
                <w:sz w:val="18"/>
                <w:szCs w:val="18"/>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CV events</w:t>
            </w:r>
          </w:p>
        </w:tc>
        <w:tc>
          <w:tcPr>
            <w:tcW w:w="1076" w:type="dxa"/>
          </w:tcPr>
          <w:p w:rsidR="00407EB1" w:rsidRPr="00D616E1" w:rsidRDefault="00407EB1" w:rsidP="00360B94">
            <w:pPr>
              <w:rPr>
                <w:sz w:val="18"/>
                <w:szCs w:val="18"/>
                <w:lang w:val="en-GB"/>
              </w:rPr>
            </w:pPr>
            <w:r w:rsidRPr="00D616E1">
              <w:rPr>
                <w:sz w:val="18"/>
                <w:szCs w:val="18"/>
                <w:lang w:val="en-GB"/>
              </w:rPr>
              <w:t xml:space="preserve">0.93 </w:t>
            </w:r>
          </w:p>
        </w:tc>
        <w:tc>
          <w:tcPr>
            <w:tcW w:w="1156" w:type="dxa"/>
          </w:tcPr>
          <w:p w:rsidR="00407EB1" w:rsidRPr="00D616E1" w:rsidRDefault="00407EB1" w:rsidP="00360B94">
            <w:pPr>
              <w:rPr>
                <w:sz w:val="18"/>
                <w:szCs w:val="18"/>
                <w:lang w:val="en-GB"/>
              </w:rPr>
            </w:pPr>
            <w:r w:rsidRPr="00D616E1">
              <w:rPr>
                <w:sz w:val="18"/>
                <w:szCs w:val="18"/>
                <w:lang w:val="en-GB"/>
              </w:rPr>
              <w:t>[0.87,0.98]</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Fractures</w:t>
            </w:r>
          </w:p>
        </w:tc>
        <w:tc>
          <w:tcPr>
            <w:tcW w:w="1076" w:type="dxa"/>
          </w:tcPr>
          <w:p w:rsidR="00407EB1" w:rsidRPr="00D616E1" w:rsidRDefault="00407EB1" w:rsidP="00360B94">
            <w:pPr>
              <w:rPr>
                <w:sz w:val="18"/>
                <w:szCs w:val="18"/>
                <w:lang w:val="en-GB"/>
              </w:rPr>
            </w:pPr>
            <w:r w:rsidRPr="00D616E1">
              <w:rPr>
                <w:sz w:val="18"/>
                <w:szCs w:val="18"/>
                <w:lang w:val="en-GB"/>
              </w:rPr>
              <w:t xml:space="preserve">0.91 </w:t>
            </w:r>
          </w:p>
        </w:tc>
        <w:tc>
          <w:tcPr>
            <w:tcW w:w="1156" w:type="dxa"/>
          </w:tcPr>
          <w:p w:rsidR="00407EB1" w:rsidRPr="00D616E1" w:rsidRDefault="00407EB1" w:rsidP="00360B94">
            <w:pPr>
              <w:rPr>
                <w:sz w:val="18"/>
                <w:szCs w:val="18"/>
                <w:lang w:val="en-GB"/>
              </w:rPr>
            </w:pPr>
            <w:r w:rsidRPr="00D616E1">
              <w:rPr>
                <w:sz w:val="18"/>
                <w:szCs w:val="18"/>
                <w:lang w:val="en-GB"/>
              </w:rPr>
              <w:t>[0.83,0.98]</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PTx</w:t>
            </w:r>
          </w:p>
        </w:tc>
        <w:tc>
          <w:tcPr>
            <w:tcW w:w="1076" w:type="dxa"/>
          </w:tcPr>
          <w:p w:rsidR="00407EB1" w:rsidRPr="00D616E1" w:rsidRDefault="00407EB1" w:rsidP="00360B94">
            <w:pPr>
              <w:rPr>
                <w:sz w:val="18"/>
                <w:szCs w:val="18"/>
                <w:lang w:val="en-GB"/>
              </w:rPr>
            </w:pPr>
            <w:r w:rsidRPr="00D616E1">
              <w:rPr>
                <w:sz w:val="18"/>
                <w:szCs w:val="18"/>
                <w:lang w:val="en-GB"/>
              </w:rPr>
              <w:t xml:space="preserve">0.66 </w:t>
            </w:r>
          </w:p>
        </w:tc>
        <w:tc>
          <w:tcPr>
            <w:tcW w:w="1156" w:type="dxa"/>
          </w:tcPr>
          <w:p w:rsidR="00407EB1" w:rsidRPr="00D616E1" w:rsidRDefault="00407EB1" w:rsidP="00360B94">
            <w:pPr>
              <w:rPr>
                <w:sz w:val="18"/>
                <w:szCs w:val="18"/>
                <w:lang w:val="en-GB"/>
              </w:rPr>
            </w:pPr>
            <w:r w:rsidRPr="00D616E1">
              <w:rPr>
                <w:sz w:val="18"/>
                <w:szCs w:val="18"/>
                <w:lang w:val="en-GB"/>
              </w:rPr>
              <w:t>[0.51,0.81]</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EA4FA9" w:rsidTr="00360B94">
        <w:tc>
          <w:tcPr>
            <w:tcW w:w="7885" w:type="dxa"/>
            <w:gridSpan w:val="5"/>
          </w:tcPr>
          <w:p w:rsidR="00407EB1" w:rsidRPr="00D616E1" w:rsidRDefault="00407EB1" w:rsidP="00360B94">
            <w:pPr>
              <w:rPr>
                <w:b/>
                <w:i/>
                <w:sz w:val="18"/>
                <w:szCs w:val="18"/>
                <w:lang w:val="en-GB"/>
              </w:rPr>
            </w:pPr>
            <w:r w:rsidRPr="00D616E1">
              <w:rPr>
                <w:b/>
                <w:i/>
                <w:sz w:val="18"/>
                <w:szCs w:val="18"/>
                <w:lang w:val="en-GB"/>
              </w:rPr>
              <w:t>Parametric functions to model the persistence of calcimimetics</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lastRenderedPageBreak/>
              <w:t>Gamma parameter</w:t>
            </w:r>
          </w:p>
        </w:tc>
        <w:tc>
          <w:tcPr>
            <w:tcW w:w="1076" w:type="dxa"/>
          </w:tcPr>
          <w:p w:rsidR="00407EB1" w:rsidRPr="00D616E1" w:rsidRDefault="00407EB1" w:rsidP="00360B94">
            <w:pPr>
              <w:rPr>
                <w:sz w:val="18"/>
                <w:szCs w:val="18"/>
                <w:lang w:val="en-GB"/>
              </w:rPr>
            </w:pPr>
            <w:r w:rsidRPr="00D616E1">
              <w:rPr>
                <w:sz w:val="18"/>
                <w:szCs w:val="18"/>
                <w:lang w:val="en-GB"/>
              </w:rPr>
              <w:t>0.459</w:t>
            </w:r>
          </w:p>
        </w:tc>
        <w:tc>
          <w:tcPr>
            <w:tcW w:w="1156" w:type="dxa"/>
          </w:tcPr>
          <w:p w:rsidR="00407EB1" w:rsidRPr="00D616E1" w:rsidRDefault="00407EB1" w:rsidP="00360B94">
            <w:pPr>
              <w:rPr>
                <w:sz w:val="18"/>
                <w:szCs w:val="18"/>
                <w:lang w:val="en-GB"/>
              </w:rPr>
            </w:pPr>
          </w:p>
        </w:tc>
        <w:tc>
          <w:tcPr>
            <w:tcW w:w="1921" w:type="dxa"/>
            <w:vMerge w:val="restart"/>
          </w:tcPr>
          <w:p w:rsidR="00407EB1" w:rsidRPr="00D616E1" w:rsidRDefault="00407EB1" w:rsidP="00360B94">
            <w:pPr>
              <w:rPr>
                <w:sz w:val="18"/>
                <w:szCs w:val="18"/>
                <w:lang w:val="en-GB"/>
              </w:rPr>
            </w:pPr>
            <w:r w:rsidRPr="00D616E1">
              <w:rPr>
                <w:sz w:val="18"/>
                <w:szCs w:val="18"/>
                <w:lang w:val="en-GB"/>
              </w:rPr>
              <w:t>Weibull function (time in months)</w:t>
            </w:r>
          </w:p>
        </w:tc>
        <w:tc>
          <w:tcPr>
            <w:tcW w:w="1051" w:type="dxa"/>
            <w:vMerge w:val="restart"/>
          </w:tcPr>
          <w:p w:rsidR="00407EB1" w:rsidRPr="00D616E1" w:rsidRDefault="00407EB1" w:rsidP="00360B94">
            <w:pPr>
              <w:rPr>
                <w:sz w:val="18"/>
                <w:szCs w:val="18"/>
                <w:lang w:val="en-GB"/>
              </w:rPr>
            </w:pPr>
            <w:r>
              <w:rPr>
                <w:sz w:val="18"/>
                <w:szCs w:val="18"/>
                <w:lang w:val="en-GB"/>
              </w:rPr>
              <w:t>[</w:t>
            </w:r>
            <w:r w:rsidRPr="00CD67A1">
              <w:rPr>
                <w:sz w:val="18"/>
                <w:szCs w:val="18"/>
                <w:vertAlign w:val="superscript"/>
                <w:lang w:val="en-GB"/>
              </w:rPr>
              <w:fldChar w:fldCharType="begin"/>
            </w:r>
            <w:r w:rsidRPr="00CD67A1">
              <w:rPr>
                <w:sz w:val="18"/>
                <w:szCs w:val="18"/>
                <w:vertAlign w:val="superscript"/>
                <w:lang w:val="en-GB"/>
              </w:rPr>
              <w:instrText xml:space="preserve"> NOTEREF _Ref497137914 \h </w:instrText>
            </w:r>
            <w:r>
              <w:rPr>
                <w:sz w:val="18"/>
                <w:szCs w:val="18"/>
                <w:vertAlign w:val="superscript"/>
                <w:lang w:val="en-GB"/>
              </w:rPr>
              <w:instrText xml:space="preserve"> \* MERGEFORMAT </w:instrText>
            </w:r>
            <w:r w:rsidRPr="00CD67A1">
              <w:rPr>
                <w:sz w:val="18"/>
                <w:szCs w:val="18"/>
                <w:vertAlign w:val="superscript"/>
                <w:lang w:val="en-GB"/>
              </w:rPr>
            </w:r>
            <w:r w:rsidRPr="00CD67A1">
              <w:rPr>
                <w:sz w:val="18"/>
                <w:szCs w:val="18"/>
                <w:vertAlign w:val="superscript"/>
                <w:lang w:val="en-GB"/>
              </w:rPr>
              <w:fldChar w:fldCharType="separate"/>
            </w:r>
            <w:r>
              <w:rPr>
                <w:sz w:val="18"/>
                <w:szCs w:val="18"/>
                <w:vertAlign w:val="superscript"/>
                <w:lang w:val="en-GB"/>
              </w:rPr>
              <w:t>21</w:t>
            </w:r>
            <w:r w:rsidRPr="00CD67A1">
              <w:rPr>
                <w:sz w:val="18"/>
                <w:szCs w:val="18"/>
                <w:vertAlign w:val="superscript"/>
                <w:lang w:val="en-GB"/>
              </w:rPr>
              <w:fldChar w:fldCharType="end"/>
            </w:r>
            <w:r>
              <w:rPr>
                <w:sz w:val="18"/>
                <w:szCs w:val="18"/>
                <w:lang w:val="en-GB"/>
              </w:rPr>
              <w:t>]</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Lambda parameter</w:t>
            </w:r>
          </w:p>
        </w:tc>
        <w:tc>
          <w:tcPr>
            <w:tcW w:w="1076" w:type="dxa"/>
          </w:tcPr>
          <w:p w:rsidR="00407EB1" w:rsidRPr="00D616E1" w:rsidRDefault="00407EB1" w:rsidP="00360B94">
            <w:pPr>
              <w:rPr>
                <w:sz w:val="18"/>
                <w:szCs w:val="18"/>
                <w:lang w:val="en-GB"/>
              </w:rPr>
            </w:pPr>
            <w:r w:rsidRPr="00D616E1">
              <w:rPr>
                <w:sz w:val="18"/>
                <w:szCs w:val="18"/>
                <w:lang w:val="en-GB"/>
              </w:rPr>
              <w:t>0.409</w:t>
            </w:r>
          </w:p>
        </w:tc>
        <w:tc>
          <w:tcPr>
            <w:tcW w:w="1156" w:type="dxa"/>
          </w:tcPr>
          <w:p w:rsidR="00407EB1" w:rsidRPr="00D616E1" w:rsidRDefault="00407EB1" w:rsidP="00360B94">
            <w:pPr>
              <w:rPr>
                <w:sz w:val="18"/>
                <w:szCs w:val="18"/>
                <w:lang w:val="en-GB"/>
              </w:rPr>
            </w:pP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7885" w:type="dxa"/>
            <w:gridSpan w:val="5"/>
          </w:tcPr>
          <w:p w:rsidR="00407EB1" w:rsidRPr="00D616E1" w:rsidRDefault="00407EB1" w:rsidP="00360B94">
            <w:pPr>
              <w:rPr>
                <w:b/>
                <w:i/>
                <w:sz w:val="18"/>
                <w:szCs w:val="18"/>
                <w:lang w:val="en-GB"/>
              </w:rPr>
            </w:pPr>
            <w:r w:rsidRPr="00D616E1">
              <w:rPr>
                <w:b/>
                <w:i/>
                <w:sz w:val="18"/>
                <w:szCs w:val="18"/>
                <w:lang w:val="en-GB"/>
              </w:rPr>
              <w:t>HRQoL utilities</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Utility while on dialysis</w:t>
            </w:r>
          </w:p>
        </w:tc>
        <w:tc>
          <w:tcPr>
            <w:tcW w:w="1076" w:type="dxa"/>
          </w:tcPr>
          <w:p w:rsidR="00407EB1" w:rsidRPr="00D616E1" w:rsidRDefault="00407EB1" w:rsidP="00360B94">
            <w:pPr>
              <w:rPr>
                <w:sz w:val="18"/>
                <w:szCs w:val="18"/>
                <w:lang w:val="en-GB"/>
              </w:rPr>
            </w:pPr>
            <w:r w:rsidRPr="00D616E1">
              <w:rPr>
                <w:sz w:val="18"/>
                <w:szCs w:val="18"/>
                <w:lang w:val="en-GB"/>
              </w:rPr>
              <w:t>0.71</w:t>
            </w:r>
          </w:p>
        </w:tc>
        <w:tc>
          <w:tcPr>
            <w:tcW w:w="1156" w:type="dxa"/>
          </w:tcPr>
          <w:p w:rsidR="00407EB1" w:rsidRPr="00D616E1" w:rsidRDefault="00407EB1" w:rsidP="00360B94">
            <w:pPr>
              <w:rPr>
                <w:sz w:val="18"/>
                <w:szCs w:val="18"/>
                <w:lang w:val="en-GB"/>
              </w:rPr>
            </w:pPr>
            <w:r w:rsidRPr="00D616E1">
              <w:rPr>
                <w:sz w:val="18"/>
                <w:szCs w:val="18"/>
                <w:lang w:val="en-GB"/>
              </w:rPr>
              <w:t>0.013</w:t>
            </w:r>
          </w:p>
        </w:tc>
        <w:tc>
          <w:tcPr>
            <w:tcW w:w="1921" w:type="dxa"/>
          </w:tcPr>
          <w:p w:rsidR="00407EB1" w:rsidRPr="00D616E1" w:rsidRDefault="00407EB1" w:rsidP="00360B94">
            <w:pPr>
              <w:rPr>
                <w:sz w:val="18"/>
                <w:szCs w:val="18"/>
                <w:lang w:val="en-GB"/>
              </w:rPr>
            </w:pPr>
          </w:p>
        </w:tc>
        <w:tc>
          <w:tcPr>
            <w:tcW w:w="1051" w:type="dxa"/>
          </w:tcPr>
          <w:p w:rsidR="00407EB1" w:rsidRPr="00D616E1" w:rsidRDefault="00407EB1" w:rsidP="00360B94">
            <w:pPr>
              <w:rPr>
                <w:sz w:val="18"/>
                <w:szCs w:val="18"/>
                <w:lang w:val="en-GB"/>
              </w:rPr>
            </w:pPr>
            <w:r>
              <w:rPr>
                <w:sz w:val="18"/>
                <w:szCs w:val="18"/>
                <w:lang w:val="en-GB"/>
              </w:rPr>
              <w:t>[</w:t>
            </w:r>
            <w:r w:rsidRPr="00CD67A1">
              <w:rPr>
                <w:sz w:val="18"/>
                <w:szCs w:val="18"/>
                <w:vertAlign w:val="superscript"/>
                <w:lang w:val="en-GB"/>
              </w:rPr>
              <w:fldChar w:fldCharType="begin"/>
            </w:r>
            <w:r w:rsidRPr="00CD67A1">
              <w:rPr>
                <w:sz w:val="18"/>
                <w:szCs w:val="18"/>
                <w:vertAlign w:val="superscript"/>
                <w:lang w:val="en-GB"/>
              </w:rPr>
              <w:instrText xml:space="preserve"> NOTEREF _Ref497137851 \h </w:instrText>
            </w:r>
            <w:r>
              <w:rPr>
                <w:sz w:val="18"/>
                <w:szCs w:val="18"/>
                <w:vertAlign w:val="superscript"/>
                <w:lang w:val="en-GB"/>
              </w:rPr>
              <w:instrText xml:space="preserve"> \* MERGEFORMAT </w:instrText>
            </w:r>
            <w:r w:rsidRPr="00CD67A1">
              <w:rPr>
                <w:sz w:val="18"/>
                <w:szCs w:val="18"/>
                <w:vertAlign w:val="superscript"/>
                <w:lang w:val="en-GB"/>
              </w:rPr>
            </w:r>
            <w:r w:rsidRPr="00CD67A1">
              <w:rPr>
                <w:sz w:val="18"/>
                <w:szCs w:val="18"/>
                <w:vertAlign w:val="superscript"/>
                <w:lang w:val="en-GB"/>
              </w:rPr>
              <w:fldChar w:fldCharType="separate"/>
            </w:r>
            <w:r>
              <w:rPr>
                <w:sz w:val="18"/>
                <w:szCs w:val="18"/>
                <w:vertAlign w:val="superscript"/>
                <w:lang w:val="en-GB"/>
              </w:rPr>
              <w:t>22</w:t>
            </w:r>
            <w:r w:rsidRPr="00CD67A1">
              <w:rPr>
                <w:sz w:val="18"/>
                <w:szCs w:val="18"/>
                <w:vertAlign w:val="superscript"/>
                <w:lang w:val="en-GB"/>
              </w:rPr>
              <w:fldChar w:fldCharType="end"/>
            </w:r>
            <w:r>
              <w:rPr>
                <w:sz w:val="18"/>
                <w:szCs w:val="18"/>
                <w:lang w:val="en-GB"/>
              </w:rPr>
              <w:t>]</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Absolute utility decrements</w:t>
            </w:r>
          </w:p>
        </w:tc>
        <w:tc>
          <w:tcPr>
            <w:tcW w:w="1076" w:type="dxa"/>
          </w:tcPr>
          <w:p w:rsidR="00407EB1" w:rsidRPr="00D616E1" w:rsidRDefault="00407EB1" w:rsidP="00360B94">
            <w:pPr>
              <w:rPr>
                <w:sz w:val="18"/>
                <w:szCs w:val="18"/>
                <w:lang w:val="en-GB"/>
              </w:rPr>
            </w:pPr>
          </w:p>
        </w:tc>
        <w:tc>
          <w:tcPr>
            <w:tcW w:w="1156" w:type="dxa"/>
          </w:tcPr>
          <w:p w:rsidR="00407EB1" w:rsidRPr="00D616E1" w:rsidRDefault="00407EB1" w:rsidP="00360B94">
            <w:pPr>
              <w:rPr>
                <w:sz w:val="18"/>
                <w:szCs w:val="18"/>
                <w:lang w:val="en-GB"/>
              </w:rPr>
            </w:pPr>
          </w:p>
        </w:tc>
        <w:tc>
          <w:tcPr>
            <w:tcW w:w="1921" w:type="dxa"/>
          </w:tcPr>
          <w:p w:rsidR="00407EB1" w:rsidRPr="00D616E1" w:rsidRDefault="00407EB1" w:rsidP="00360B94">
            <w:pPr>
              <w:rPr>
                <w:sz w:val="18"/>
                <w:szCs w:val="18"/>
                <w:lang w:val="en-GB"/>
              </w:rPr>
            </w:pPr>
          </w:p>
        </w:tc>
        <w:tc>
          <w:tcPr>
            <w:tcW w:w="1051" w:type="dxa"/>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CV event months 1-3</w:t>
            </w:r>
          </w:p>
        </w:tc>
        <w:tc>
          <w:tcPr>
            <w:tcW w:w="1076" w:type="dxa"/>
          </w:tcPr>
          <w:p w:rsidR="00407EB1" w:rsidRPr="00D616E1" w:rsidRDefault="00407EB1" w:rsidP="00360B94">
            <w:pPr>
              <w:rPr>
                <w:sz w:val="18"/>
                <w:szCs w:val="18"/>
                <w:lang w:val="en-GB"/>
              </w:rPr>
            </w:pPr>
            <w:r w:rsidRPr="00D616E1">
              <w:rPr>
                <w:sz w:val="18"/>
                <w:szCs w:val="18"/>
                <w:lang w:val="en-GB"/>
              </w:rPr>
              <w:t>0.19</w:t>
            </w:r>
          </w:p>
        </w:tc>
        <w:tc>
          <w:tcPr>
            <w:tcW w:w="1156" w:type="dxa"/>
          </w:tcPr>
          <w:p w:rsidR="00407EB1" w:rsidRPr="00D616E1" w:rsidRDefault="00407EB1" w:rsidP="00360B94">
            <w:pPr>
              <w:rPr>
                <w:sz w:val="18"/>
                <w:szCs w:val="18"/>
                <w:lang w:val="en-GB"/>
              </w:rPr>
            </w:pPr>
            <w:r w:rsidRPr="00D616E1">
              <w:rPr>
                <w:sz w:val="18"/>
                <w:szCs w:val="18"/>
                <w:lang w:val="en-GB"/>
              </w:rPr>
              <w:t>0.014</w:t>
            </w:r>
          </w:p>
        </w:tc>
        <w:tc>
          <w:tcPr>
            <w:tcW w:w="1921" w:type="dxa"/>
            <w:vMerge w:val="restart"/>
          </w:tcPr>
          <w:p w:rsidR="00407EB1" w:rsidRPr="00D616E1" w:rsidRDefault="00407EB1" w:rsidP="00360B94">
            <w:pPr>
              <w:rPr>
                <w:sz w:val="18"/>
                <w:szCs w:val="18"/>
                <w:lang w:val="en-GB"/>
              </w:rPr>
            </w:pPr>
            <w:r w:rsidRPr="00D616E1">
              <w:rPr>
                <w:sz w:val="18"/>
                <w:szCs w:val="18"/>
                <w:lang w:val="en-GB"/>
              </w:rPr>
              <w:t>Aggregated among CV events</w:t>
            </w:r>
          </w:p>
        </w:tc>
        <w:tc>
          <w:tcPr>
            <w:tcW w:w="1051" w:type="dxa"/>
            <w:vMerge w:val="restart"/>
          </w:tcPr>
          <w:p w:rsidR="00407EB1" w:rsidRPr="00D616E1" w:rsidRDefault="00407EB1" w:rsidP="00360B94">
            <w:pPr>
              <w:rPr>
                <w:sz w:val="18"/>
                <w:szCs w:val="18"/>
                <w:lang w:val="en-GB"/>
              </w:rPr>
            </w:pPr>
            <w:r>
              <w:rPr>
                <w:sz w:val="18"/>
                <w:szCs w:val="18"/>
                <w:lang w:val="en-GB"/>
              </w:rPr>
              <w:t>[</w:t>
            </w:r>
            <w:r w:rsidRPr="00CD67A1">
              <w:rPr>
                <w:sz w:val="18"/>
                <w:szCs w:val="18"/>
                <w:vertAlign w:val="superscript"/>
                <w:lang w:val="en-GB"/>
              </w:rPr>
              <w:fldChar w:fldCharType="begin"/>
            </w:r>
            <w:r w:rsidRPr="00CD67A1">
              <w:rPr>
                <w:sz w:val="18"/>
                <w:szCs w:val="18"/>
                <w:vertAlign w:val="superscript"/>
                <w:lang w:val="en-GB"/>
              </w:rPr>
              <w:instrText xml:space="preserve"> NOTEREF _Ref497137851 \h </w:instrText>
            </w:r>
            <w:r>
              <w:rPr>
                <w:sz w:val="18"/>
                <w:szCs w:val="18"/>
                <w:vertAlign w:val="superscript"/>
                <w:lang w:val="en-GB"/>
              </w:rPr>
              <w:instrText xml:space="preserve"> \* MERGEFORMAT </w:instrText>
            </w:r>
            <w:r w:rsidRPr="00CD67A1">
              <w:rPr>
                <w:sz w:val="18"/>
                <w:szCs w:val="18"/>
                <w:vertAlign w:val="superscript"/>
                <w:lang w:val="en-GB"/>
              </w:rPr>
            </w:r>
            <w:r w:rsidRPr="00CD67A1">
              <w:rPr>
                <w:sz w:val="18"/>
                <w:szCs w:val="18"/>
                <w:vertAlign w:val="superscript"/>
                <w:lang w:val="en-GB"/>
              </w:rPr>
              <w:fldChar w:fldCharType="separate"/>
            </w:r>
            <w:r>
              <w:rPr>
                <w:sz w:val="18"/>
                <w:szCs w:val="18"/>
                <w:vertAlign w:val="superscript"/>
                <w:lang w:val="en-GB"/>
              </w:rPr>
              <w:t>22</w:t>
            </w:r>
            <w:r w:rsidRPr="00CD67A1">
              <w:rPr>
                <w:sz w:val="18"/>
                <w:szCs w:val="18"/>
                <w:vertAlign w:val="superscript"/>
                <w:lang w:val="en-GB"/>
              </w:rPr>
              <w:fldChar w:fldCharType="end"/>
            </w:r>
            <w:r>
              <w:rPr>
                <w:sz w:val="18"/>
                <w:szCs w:val="18"/>
                <w:lang w:val="en-GB"/>
              </w:rPr>
              <w:t>]</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CV event after month 3</w:t>
            </w:r>
          </w:p>
        </w:tc>
        <w:tc>
          <w:tcPr>
            <w:tcW w:w="1076" w:type="dxa"/>
          </w:tcPr>
          <w:p w:rsidR="00407EB1" w:rsidRPr="00D616E1" w:rsidRDefault="00407EB1" w:rsidP="00360B94">
            <w:pPr>
              <w:rPr>
                <w:sz w:val="18"/>
                <w:szCs w:val="18"/>
                <w:lang w:val="en-GB"/>
              </w:rPr>
            </w:pPr>
            <w:r w:rsidRPr="00D616E1">
              <w:rPr>
                <w:sz w:val="18"/>
                <w:szCs w:val="18"/>
                <w:lang w:val="en-GB"/>
              </w:rPr>
              <w:t>0.14</w:t>
            </w:r>
          </w:p>
        </w:tc>
        <w:tc>
          <w:tcPr>
            <w:tcW w:w="1156" w:type="dxa"/>
          </w:tcPr>
          <w:p w:rsidR="00407EB1" w:rsidRPr="00D616E1" w:rsidRDefault="00407EB1" w:rsidP="00360B94">
            <w:pPr>
              <w:rPr>
                <w:sz w:val="18"/>
                <w:szCs w:val="18"/>
                <w:lang w:val="en-GB"/>
              </w:rPr>
            </w:pPr>
            <w:r w:rsidRPr="00D616E1">
              <w:rPr>
                <w:sz w:val="18"/>
                <w:szCs w:val="18"/>
                <w:lang w:val="en-GB"/>
              </w:rPr>
              <w:t>0.014</w:t>
            </w:r>
          </w:p>
        </w:tc>
        <w:tc>
          <w:tcPr>
            <w:tcW w:w="1921" w:type="dxa"/>
            <w:vMerge/>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fracture months 1-3</w:t>
            </w:r>
          </w:p>
        </w:tc>
        <w:tc>
          <w:tcPr>
            <w:tcW w:w="1076" w:type="dxa"/>
          </w:tcPr>
          <w:p w:rsidR="00407EB1" w:rsidRPr="00D616E1" w:rsidRDefault="00407EB1" w:rsidP="00360B94">
            <w:pPr>
              <w:rPr>
                <w:sz w:val="18"/>
                <w:szCs w:val="18"/>
                <w:lang w:val="en-GB"/>
              </w:rPr>
            </w:pPr>
            <w:r w:rsidRPr="00D616E1">
              <w:rPr>
                <w:sz w:val="18"/>
                <w:szCs w:val="18"/>
                <w:lang w:val="en-GB"/>
              </w:rPr>
              <w:t>0.31</w:t>
            </w:r>
          </w:p>
        </w:tc>
        <w:tc>
          <w:tcPr>
            <w:tcW w:w="1156" w:type="dxa"/>
          </w:tcPr>
          <w:p w:rsidR="00407EB1" w:rsidRPr="00D616E1" w:rsidRDefault="00407EB1" w:rsidP="00360B94">
            <w:pPr>
              <w:rPr>
                <w:sz w:val="18"/>
                <w:szCs w:val="18"/>
                <w:lang w:val="en-GB"/>
              </w:rPr>
            </w:pPr>
            <w:r w:rsidRPr="00D616E1">
              <w:rPr>
                <w:sz w:val="18"/>
                <w:szCs w:val="18"/>
                <w:lang w:val="en-GB"/>
              </w:rPr>
              <w:t>0.035</w:t>
            </w:r>
          </w:p>
        </w:tc>
        <w:tc>
          <w:tcPr>
            <w:tcW w:w="1921" w:type="dxa"/>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fracture after month 3</w:t>
            </w:r>
          </w:p>
        </w:tc>
        <w:tc>
          <w:tcPr>
            <w:tcW w:w="1076" w:type="dxa"/>
          </w:tcPr>
          <w:p w:rsidR="00407EB1" w:rsidRPr="00D616E1" w:rsidRDefault="00407EB1" w:rsidP="00360B94">
            <w:pPr>
              <w:rPr>
                <w:sz w:val="18"/>
                <w:szCs w:val="18"/>
                <w:lang w:val="en-GB"/>
              </w:rPr>
            </w:pPr>
            <w:r w:rsidRPr="00D616E1">
              <w:rPr>
                <w:sz w:val="18"/>
                <w:szCs w:val="18"/>
                <w:lang w:val="en-GB"/>
              </w:rPr>
              <w:t>0.12</w:t>
            </w:r>
          </w:p>
        </w:tc>
        <w:tc>
          <w:tcPr>
            <w:tcW w:w="1156" w:type="dxa"/>
          </w:tcPr>
          <w:p w:rsidR="00407EB1" w:rsidRPr="00D616E1" w:rsidRDefault="00407EB1" w:rsidP="00360B94">
            <w:pPr>
              <w:rPr>
                <w:sz w:val="18"/>
                <w:szCs w:val="18"/>
                <w:lang w:val="en-GB"/>
              </w:rPr>
            </w:pPr>
            <w:r w:rsidRPr="00D616E1">
              <w:rPr>
                <w:sz w:val="18"/>
                <w:szCs w:val="18"/>
                <w:lang w:val="en-GB"/>
              </w:rPr>
              <w:t>0.020</w:t>
            </w:r>
          </w:p>
        </w:tc>
        <w:tc>
          <w:tcPr>
            <w:tcW w:w="1921" w:type="dxa"/>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 xml:space="preserve">   - PTx months 1-3</w:t>
            </w:r>
          </w:p>
        </w:tc>
        <w:tc>
          <w:tcPr>
            <w:tcW w:w="1076" w:type="dxa"/>
          </w:tcPr>
          <w:p w:rsidR="00407EB1" w:rsidRPr="00D616E1" w:rsidRDefault="00407EB1" w:rsidP="00360B94">
            <w:pPr>
              <w:rPr>
                <w:sz w:val="18"/>
                <w:szCs w:val="18"/>
                <w:lang w:val="en-GB"/>
              </w:rPr>
            </w:pPr>
            <w:r w:rsidRPr="00D616E1">
              <w:rPr>
                <w:sz w:val="18"/>
                <w:szCs w:val="18"/>
                <w:lang w:val="en-GB"/>
              </w:rPr>
              <w:t>0.06</w:t>
            </w:r>
          </w:p>
        </w:tc>
        <w:tc>
          <w:tcPr>
            <w:tcW w:w="1156" w:type="dxa"/>
          </w:tcPr>
          <w:p w:rsidR="00407EB1" w:rsidRPr="00D616E1" w:rsidRDefault="00407EB1" w:rsidP="00360B94">
            <w:pPr>
              <w:rPr>
                <w:sz w:val="18"/>
                <w:szCs w:val="18"/>
                <w:lang w:val="en-GB"/>
              </w:rPr>
            </w:pPr>
            <w:r w:rsidRPr="00D616E1">
              <w:rPr>
                <w:sz w:val="18"/>
                <w:szCs w:val="18"/>
                <w:lang w:val="en-GB"/>
              </w:rPr>
              <w:t>0.020</w:t>
            </w:r>
          </w:p>
        </w:tc>
        <w:tc>
          <w:tcPr>
            <w:tcW w:w="1921" w:type="dxa"/>
          </w:tcPr>
          <w:p w:rsidR="00407EB1" w:rsidRPr="00D616E1" w:rsidRDefault="00407EB1" w:rsidP="00360B94">
            <w:pPr>
              <w:rPr>
                <w:sz w:val="18"/>
                <w:szCs w:val="18"/>
                <w:lang w:val="en-GB"/>
              </w:rPr>
            </w:pPr>
          </w:p>
        </w:tc>
        <w:tc>
          <w:tcPr>
            <w:tcW w:w="1051" w:type="dxa"/>
            <w:vMerge/>
          </w:tcPr>
          <w:p w:rsidR="00407EB1" w:rsidRPr="00D616E1" w:rsidRDefault="00407EB1" w:rsidP="00360B94">
            <w:pPr>
              <w:rPr>
                <w:sz w:val="18"/>
                <w:szCs w:val="18"/>
                <w:lang w:val="en-GB"/>
              </w:rPr>
            </w:pPr>
          </w:p>
        </w:tc>
      </w:tr>
      <w:tr w:rsidR="00407EB1" w:rsidRPr="00EA4FA9" w:rsidTr="00360B94">
        <w:tc>
          <w:tcPr>
            <w:tcW w:w="2681" w:type="dxa"/>
          </w:tcPr>
          <w:p w:rsidR="00407EB1" w:rsidRPr="00D616E1" w:rsidRDefault="00407EB1" w:rsidP="00360B94">
            <w:pPr>
              <w:rPr>
                <w:sz w:val="18"/>
                <w:szCs w:val="18"/>
                <w:lang w:val="en-GB"/>
              </w:rPr>
            </w:pPr>
            <w:r w:rsidRPr="00D616E1">
              <w:rPr>
                <w:sz w:val="18"/>
                <w:szCs w:val="18"/>
                <w:lang w:val="en-GB"/>
              </w:rPr>
              <w:t xml:space="preserve">   - PTx after month 3</w:t>
            </w:r>
          </w:p>
        </w:tc>
        <w:tc>
          <w:tcPr>
            <w:tcW w:w="1076" w:type="dxa"/>
          </w:tcPr>
          <w:p w:rsidR="00407EB1" w:rsidRPr="00D616E1" w:rsidRDefault="00407EB1" w:rsidP="00360B94">
            <w:pPr>
              <w:rPr>
                <w:sz w:val="18"/>
                <w:szCs w:val="18"/>
                <w:lang w:val="en-GB"/>
              </w:rPr>
            </w:pPr>
            <w:r w:rsidRPr="00D616E1">
              <w:rPr>
                <w:sz w:val="18"/>
                <w:szCs w:val="18"/>
                <w:lang w:val="en-GB"/>
              </w:rPr>
              <w:t>0</w:t>
            </w:r>
          </w:p>
        </w:tc>
        <w:tc>
          <w:tcPr>
            <w:tcW w:w="1156" w:type="dxa"/>
          </w:tcPr>
          <w:p w:rsidR="00407EB1" w:rsidRPr="00D616E1" w:rsidRDefault="00407EB1" w:rsidP="00360B94">
            <w:pPr>
              <w:rPr>
                <w:sz w:val="18"/>
                <w:szCs w:val="18"/>
                <w:lang w:val="en-GB"/>
              </w:rPr>
            </w:pPr>
            <w:r w:rsidRPr="00D616E1">
              <w:rPr>
                <w:sz w:val="18"/>
                <w:szCs w:val="18"/>
                <w:lang w:val="en-GB"/>
              </w:rPr>
              <w:t>0</w:t>
            </w:r>
          </w:p>
        </w:tc>
        <w:tc>
          <w:tcPr>
            <w:tcW w:w="1921" w:type="dxa"/>
          </w:tcPr>
          <w:p w:rsidR="00407EB1" w:rsidRPr="00D616E1" w:rsidRDefault="00407EB1" w:rsidP="00360B94">
            <w:pPr>
              <w:rPr>
                <w:sz w:val="18"/>
                <w:szCs w:val="18"/>
                <w:lang w:val="en-GB"/>
              </w:rPr>
            </w:pPr>
            <w:r w:rsidRPr="0037542B">
              <w:rPr>
                <w:sz w:val="18"/>
                <w:szCs w:val="18"/>
                <w:lang w:val="en-GB"/>
              </w:rPr>
              <w:t>Assumption, based on non-significance (p=0.653)</w:t>
            </w:r>
          </w:p>
        </w:tc>
        <w:tc>
          <w:tcPr>
            <w:tcW w:w="1051" w:type="dxa"/>
          </w:tcPr>
          <w:p w:rsidR="00407EB1" w:rsidRPr="00D616E1" w:rsidRDefault="00407EB1" w:rsidP="00360B94">
            <w:pPr>
              <w:rPr>
                <w:sz w:val="18"/>
                <w:szCs w:val="18"/>
                <w:lang w:val="en-GB"/>
              </w:rPr>
            </w:pPr>
          </w:p>
        </w:tc>
      </w:tr>
      <w:tr w:rsidR="00407EB1" w:rsidRPr="00EA4FA9" w:rsidTr="00360B94">
        <w:tc>
          <w:tcPr>
            <w:tcW w:w="2681" w:type="dxa"/>
          </w:tcPr>
          <w:p w:rsidR="00407EB1" w:rsidRPr="00D616E1" w:rsidRDefault="00407EB1" w:rsidP="00360B94">
            <w:pPr>
              <w:rPr>
                <w:sz w:val="18"/>
                <w:szCs w:val="18"/>
                <w:lang w:val="en-GB"/>
              </w:rPr>
            </w:pPr>
            <w:r w:rsidRPr="00D616E1">
              <w:rPr>
                <w:sz w:val="18"/>
                <w:szCs w:val="18"/>
                <w:lang w:val="en-GB"/>
              </w:rPr>
              <w:t xml:space="preserve">   - </w:t>
            </w:r>
            <w:r>
              <w:rPr>
                <w:sz w:val="18"/>
                <w:szCs w:val="18"/>
                <w:lang w:val="en-GB"/>
              </w:rPr>
              <w:t>Calcimimetic treatment</w:t>
            </w:r>
          </w:p>
        </w:tc>
        <w:tc>
          <w:tcPr>
            <w:tcW w:w="1076" w:type="dxa"/>
          </w:tcPr>
          <w:p w:rsidR="00407EB1" w:rsidRPr="00D616E1" w:rsidRDefault="00407EB1" w:rsidP="00360B94">
            <w:pPr>
              <w:rPr>
                <w:sz w:val="18"/>
                <w:szCs w:val="18"/>
                <w:lang w:val="en-GB"/>
              </w:rPr>
            </w:pPr>
            <w:r w:rsidRPr="00D616E1">
              <w:rPr>
                <w:sz w:val="18"/>
                <w:szCs w:val="18"/>
                <w:lang w:val="en-GB"/>
              </w:rPr>
              <w:t>0</w:t>
            </w:r>
          </w:p>
        </w:tc>
        <w:tc>
          <w:tcPr>
            <w:tcW w:w="1156" w:type="dxa"/>
          </w:tcPr>
          <w:p w:rsidR="00407EB1" w:rsidRPr="00D616E1" w:rsidRDefault="00407EB1" w:rsidP="00360B94">
            <w:pPr>
              <w:rPr>
                <w:sz w:val="18"/>
                <w:szCs w:val="18"/>
                <w:lang w:val="en-GB"/>
              </w:rPr>
            </w:pPr>
            <w:r w:rsidRPr="00D616E1">
              <w:rPr>
                <w:sz w:val="18"/>
                <w:szCs w:val="18"/>
                <w:lang w:val="en-GB"/>
              </w:rPr>
              <w:t>0</w:t>
            </w:r>
          </w:p>
        </w:tc>
        <w:tc>
          <w:tcPr>
            <w:tcW w:w="1921" w:type="dxa"/>
          </w:tcPr>
          <w:p w:rsidR="00407EB1" w:rsidRPr="00D616E1" w:rsidRDefault="00407EB1" w:rsidP="00360B94">
            <w:pPr>
              <w:rPr>
                <w:sz w:val="18"/>
                <w:szCs w:val="18"/>
                <w:lang w:val="en-GB"/>
              </w:rPr>
            </w:pPr>
            <w:r w:rsidRPr="0037542B">
              <w:rPr>
                <w:sz w:val="18"/>
                <w:szCs w:val="18"/>
                <w:lang w:val="en-GB"/>
              </w:rPr>
              <w:t>Conservative assumption, as published point estimate implied a slight utility increase</w:t>
            </w:r>
          </w:p>
        </w:tc>
        <w:tc>
          <w:tcPr>
            <w:tcW w:w="1051" w:type="dxa"/>
          </w:tcPr>
          <w:p w:rsidR="00407EB1" w:rsidRPr="00D616E1" w:rsidRDefault="00407EB1" w:rsidP="00360B94">
            <w:pPr>
              <w:rPr>
                <w:sz w:val="18"/>
                <w:szCs w:val="18"/>
                <w:lang w:val="en-GB"/>
              </w:rPr>
            </w:pPr>
          </w:p>
        </w:tc>
      </w:tr>
    </w:tbl>
    <w:p w:rsidR="00407EB1" w:rsidRPr="00D616E1" w:rsidRDefault="00407EB1" w:rsidP="00407EB1">
      <w:pPr>
        <w:rPr>
          <w:sz w:val="18"/>
          <w:szCs w:val="18"/>
          <w:lang w:val="en-GB"/>
        </w:rPr>
      </w:pPr>
      <w:r w:rsidRPr="00D616E1">
        <w:rPr>
          <w:sz w:val="18"/>
          <w:szCs w:val="18"/>
          <w:lang w:val="en-GB"/>
        </w:rPr>
        <w:t>HR: hazard ratio; CV: cardiovascular; PTx: parathyroidectomy; SE: standard error; CI: confidence interval; na: not applicable</w:t>
      </w:r>
    </w:p>
    <w:p w:rsidR="00407EB1" w:rsidRPr="00D616E1" w:rsidRDefault="00407EB1" w:rsidP="00407EB1">
      <w:pPr>
        <w:rPr>
          <w:b/>
          <w:lang w:val="en-GB"/>
        </w:rPr>
      </w:pPr>
    </w:p>
    <w:p w:rsidR="00407EB1" w:rsidRPr="00D616E1" w:rsidRDefault="00407EB1" w:rsidP="00407EB1">
      <w:pPr>
        <w:spacing w:line="240" w:lineRule="auto"/>
        <w:rPr>
          <w:b/>
          <w:bCs/>
          <w:color w:val="5B9BD5" w:themeColor="accent1"/>
          <w:sz w:val="18"/>
          <w:szCs w:val="18"/>
          <w:lang w:val="en-GB"/>
        </w:rPr>
      </w:pPr>
      <w:bookmarkStart w:id="15" w:name="_Ref322765715"/>
      <w:r w:rsidRPr="00D616E1">
        <w:rPr>
          <w:lang w:val="en-GB"/>
        </w:rPr>
        <w:br w:type="page"/>
      </w:r>
    </w:p>
    <w:p w:rsidR="00407EB1" w:rsidRPr="00D616E1" w:rsidRDefault="00407EB1" w:rsidP="00407EB1">
      <w:pPr>
        <w:pStyle w:val="Beschriftung"/>
        <w:keepNext/>
        <w:rPr>
          <w:lang w:val="en-GB"/>
        </w:rPr>
      </w:pPr>
      <w:bookmarkStart w:id="16" w:name="_Ref461095315"/>
      <w:r w:rsidRPr="00D616E1">
        <w:rPr>
          <w:lang w:val="en-GB"/>
        </w:rPr>
        <w:lastRenderedPageBreak/>
        <w:t xml:space="preserve">Table </w:t>
      </w:r>
      <w:r w:rsidRPr="00794745">
        <w:rPr>
          <w:lang w:val="en-GB"/>
        </w:rPr>
        <w:fldChar w:fldCharType="begin"/>
      </w:r>
      <w:r w:rsidRPr="00D616E1">
        <w:rPr>
          <w:lang w:val="en-GB"/>
        </w:rPr>
        <w:instrText xml:space="preserve"> SEQ Tabella \* ARABIC </w:instrText>
      </w:r>
      <w:r w:rsidRPr="00794745">
        <w:rPr>
          <w:lang w:val="en-GB"/>
        </w:rPr>
        <w:fldChar w:fldCharType="separate"/>
      </w:r>
      <w:r>
        <w:rPr>
          <w:noProof/>
          <w:lang w:val="en-GB"/>
        </w:rPr>
        <w:t>2</w:t>
      </w:r>
      <w:r w:rsidRPr="00794745">
        <w:rPr>
          <w:lang w:val="en-GB"/>
        </w:rPr>
        <w:fldChar w:fldCharType="end"/>
      </w:r>
      <w:bookmarkEnd w:id="15"/>
      <w:bookmarkEnd w:id="16"/>
      <w:r w:rsidRPr="00D616E1">
        <w:rPr>
          <w:lang w:val="en-GB"/>
        </w:rPr>
        <w:t xml:space="preserve"> – </w:t>
      </w:r>
      <w:r>
        <w:rPr>
          <w:lang w:val="en-GB"/>
        </w:rPr>
        <w:t>Input parameters on drug usage and costs</w:t>
      </w:r>
    </w:p>
    <w:tbl>
      <w:tblPr>
        <w:tblStyle w:val="Tabellenraster"/>
        <w:tblW w:w="6917" w:type="dxa"/>
        <w:tblLayout w:type="fixed"/>
        <w:tblLook w:val="04A0" w:firstRow="1" w:lastRow="0" w:firstColumn="1" w:lastColumn="0" w:noHBand="0" w:noVBand="1"/>
      </w:tblPr>
      <w:tblGrid>
        <w:gridCol w:w="2681"/>
        <w:gridCol w:w="1076"/>
        <w:gridCol w:w="1156"/>
        <w:gridCol w:w="2004"/>
      </w:tblGrid>
      <w:tr w:rsidR="00407EB1" w:rsidRPr="00D616E1" w:rsidTr="00360B94">
        <w:tc>
          <w:tcPr>
            <w:tcW w:w="2681" w:type="dxa"/>
          </w:tcPr>
          <w:p w:rsidR="00407EB1" w:rsidRPr="00D616E1" w:rsidRDefault="00407EB1" w:rsidP="00360B94">
            <w:pPr>
              <w:rPr>
                <w:b/>
                <w:sz w:val="18"/>
                <w:szCs w:val="18"/>
                <w:lang w:val="en-GB"/>
              </w:rPr>
            </w:pPr>
            <w:r w:rsidRPr="00D616E1">
              <w:rPr>
                <w:b/>
                <w:sz w:val="18"/>
                <w:szCs w:val="18"/>
                <w:lang w:val="en-GB"/>
              </w:rPr>
              <w:t>Parameter</w:t>
            </w:r>
          </w:p>
        </w:tc>
        <w:tc>
          <w:tcPr>
            <w:tcW w:w="1076" w:type="dxa"/>
          </w:tcPr>
          <w:p w:rsidR="00407EB1" w:rsidRPr="00D616E1" w:rsidRDefault="00407EB1" w:rsidP="00360B94">
            <w:pPr>
              <w:rPr>
                <w:b/>
                <w:sz w:val="18"/>
                <w:szCs w:val="18"/>
                <w:lang w:val="en-GB"/>
              </w:rPr>
            </w:pPr>
            <w:r w:rsidRPr="00D616E1">
              <w:rPr>
                <w:b/>
                <w:sz w:val="18"/>
                <w:szCs w:val="18"/>
                <w:lang w:val="en-GB"/>
              </w:rPr>
              <w:t>Point estimate</w:t>
            </w:r>
          </w:p>
        </w:tc>
        <w:tc>
          <w:tcPr>
            <w:tcW w:w="1156" w:type="dxa"/>
          </w:tcPr>
          <w:p w:rsidR="00407EB1" w:rsidRPr="00D616E1" w:rsidRDefault="00407EB1" w:rsidP="00360B94">
            <w:pPr>
              <w:rPr>
                <w:b/>
                <w:sz w:val="18"/>
                <w:szCs w:val="18"/>
                <w:lang w:val="en-GB"/>
              </w:rPr>
            </w:pPr>
            <w:r w:rsidRPr="00D616E1">
              <w:rPr>
                <w:b/>
                <w:sz w:val="18"/>
                <w:szCs w:val="18"/>
                <w:lang w:val="en-GB"/>
              </w:rPr>
              <w:t>SE</w:t>
            </w:r>
          </w:p>
        </w:tc>
        <w:tc>
          <w:tcPr>
            <w:tcW w:w="2004" w:type="dxa"/>
          </w:tcPr>
          <w:p w:rsidR="00407EB1" w:rsidRPr="00D616E1" w:rsidRDefault="00407EB1" w:rsidP="00360B94">
            <w:pPr>
              <w:rPr>
                <w:b/>
                <w:sz w:val="18"/>
                <w:szCs w:val="18"/>
                <w:lang w:val="en-GB"/>
              </w:rPr>
            </w:pPr>
            <w:r w:rsidRPr="00D616E1">
              <w:rPr>
                <w:b/>
                <w:sz w:val="18"/>
                <w:szCs w:val="18"/>
                <w:lang w:val="en-GB"/>
              </w:rPr>
              <w:t>Sources</w:t>
            </w:r>
          </w:p>
        </w:tc>
      </w:tr>
      <w:tr w:rsidR="00407EB1" w:rsidRPr="00EA4FA9" w:rsidTr="00360B94">
        <w:tc>
          <w:tcPr>
            <w:tcW w:w="6917" w:type="dxa"/>
            <w:gridSpan w:val="4"/>
          </w:tcPr>
          <w:p w:rsidR="00407EB1" w:rsidRPr="00D616E1" w:rsidRDefault="00407EB1" w:rsidP="00360B94">
            <w:pPr>
              <w:rPr>
                <w:sz w:val="18"/>
                <w:szCs w:val="18"/>
                <w:lang w:val="en-GB"/>
              </w:rPr>
            </w:pPr>
            <w:r w:rsidRPr="00D616E1">
              <w:rPr>
                <w:b/>
                <w:i/>
                <w:sz w:val="18"/>
                <w:szCs w:val="18"/>
                <w:lang w:val="en-GB"/>
              </w:rPr>
              <w:t>Calcimimetic drug consumption (mg per day)</w:t>
            </w:r>
          </w:p>
        </w:tc>
      </w:tr>
      <w:tr w:rsidR="00407EB1" w:rsidRPr="00EA4FA9" w:rsidTr="00360B94">
        <w:tc>
          <w:tcPr>
            <w:tcW w:w="2681" w:type="dxa"/>
          </w:tcPr>
          <w:p w:rsidR="00407EB1" w:rsidRPr="00D616E1" w:rsidRDefault="00407EB1" w:rsidP="00360B94">
            <w:pPr>
              <w:rPr>
                <w:sz w:val="18"/>
                <w:szCs w:val="18"/>
                <w:lang w:val="en-GB"/>
              </w:rPr>
            </w:pPr>
            <w:r w:rsidRPr="00D616E1">
              <w:rPr>
                <w:sz w:val="18"/>
                <w:szCs w:val="18"/>
                <w:lang w:val="en-GB"/>
              </w:rPr>
              <w:t>Etelcalcetide</w:t>
            </w:r>
          </w:p>
        </w:tc>
        <w:tc>
          <w:tcPr>
            <w:tcW w:w="1076" w:type="dxa"/>
          </w:tcPr>
          <w:p w:rsidR="00407EB1" w:rsidRPr="00D616E1" w:rsidRDefault="00407EB1" w:rsidP="00360B94">
            <w:pPr>
              <w:rPr>
                <w:sz w:val="18"/>
                <w:szCs w:val="18"/>
                <w:lang w:val="en-GB"/>
              </w:rPr>
            </w:pPr>
            <w:r w:rsidRPr="00D616E1">
              <w:rPr>
                <w:sz w:val="18"/>
                <w:szCs w:val="18"/>
                <w:lang w:val="en-GB"/>
              </w:rPr>
              <w:t>3.11</w:t>
            </w:r>
          </w:p>
        </w:tc>
        <w:tc>
          <w:tcPr>
            <w:tcW w:w="1156" w:type="dxa"/>
          </w:tcPr>
          <w:p w:rsidR="00407EB1" w:rsidRPr="00D616E1" w:rsidRDefault="00407EB1" w:rsidP="00360B94">
            <w:pPr>
              <w:rPr>
                <w:sz w:val="18"/>
                <w:szCs w:val="18"/>
                <w:lang w:val="en-GB"/>
              </w:rPr>
            </w:pPr>
            <w:r w:rsidRPr="00D616E1">
              <w:rPr>
                <w:sz w:val="18"/>
                <w:szCs w:val="18"/>
                <w:lang w:val="en-GB"/>
              </w:rPr>
              <w:t>0.08</w:t>
            </w:r>
          </w:p>
        </w:tc>
        <w:tc>
          <w:tcPr>
            <w:tcW w:w="2004" w:type="dxa"/>
            <w:vMerge w:val="restart"/>
          </w:tcPr>
          <w:p w:rsidR="00407EB1" w:rsidRPr="00D616E1" w:rsidRDefault="00407EB1" w:rsidP="00360B94">
            <w:pPr>
              <w:rPr>
                <w:sz w:val="18"/>
                <w:szCs w:val="18"/>
                <w:lang w:val="en-GB"/>
              </w:rPr>
            </w:pPr>
            <w:r w:rsidRPr="00D616E1">
              <w:rPr>
                <w:sz w:val="18"/>
                <w:szCs w:val="18"/>
                <w:lang w:val="en-GB"/>
              </w:rPr>
              <w:t>Efficacy assessment phase of etelcalcetide trials [</w:t>
            </w:r>
            <w:r w:rsidRPr="00A85D6C">
              <w:rPr>
                <w:sz w:val="18"/>
                <w:szCs w:val="18"/>
                <w:lang w:val="en-GB"/>
              </w:rPr>
              <w:fldChar w:fldCharType="begin"/>
            </w:r>
            <w:r w:rsidRPr="00D616E1">
              <w:rPr>
                <w:sz w:val="18"/>
                <w:szCs w:val="18"/>
                <w:lang w:val="en-GB"/>
              </w:rPr>
              <w:instrText xml:space="preserve"> NOTEREF _Ref461008301 \f \h </w:instrText>
            </w:r>
            <w:r w:rsidRPr="00A85D6C">
              <w:rPr>
                <w:sz w:val="18"/>
                <w:szCs w:val="18"/>
                <w:lang w:val="en-GB"/>
              </w:rPr>
            </w:r>
            <w:r w:rsidRPr="00A85D6C">
              <w:rPr>
                <w:sz w:val="18"/>
                <w:szCs w:val="18"/>
                <w:lang w:val="en-GB"/>
              </w:rPr>
              <w:fldChar w:fldCharType="separate"/>
            </w:r>
            <w:r w:rsidRPr="002570CB">
              <w:rPr>
                <w:rStyle w:val="Endnotenzeichen"/>
              </w:rPr>
              <w:t>9</w:t>
            </w:r>
            <w:r w:rsidRPr="00A85D6C">
              <w:rPr>
                <w:sz w:val="18"/>
                <w:szCs w:val="18"/>
                <w:lang w:val="en-GB"/>
              </w:rPr>
              <w:fldChar w:fldCharType="end"/>
            </w:r>
            <w:r w:rsidRPr="00D616E1">
              <w:rPr>
                <w:sz w:val="18"/>
                <w:szCs w:val="18"/>
                <w:lang w:val="en-GB"/>
              </w:rPr>
              <w:t>,</w:t>
            </w:r>
            <w:r w:rsidRPr="00A85D6C">
              <w:rPr>
                <w:sz w:val="18"/>
                <w:szCs w:val="18"/>
                <w:lang w:val="en-GB"/>
              </w:rPr>
              <w:fldChar w:fldCharType="begin"/>
            </w:r>
            <w:r w:rsidRPr="00D616E1">
              <w:rPr>
                <w:sz w:val="18"/>
                <w:szCs w:val="18"/>
                <w:lang w:val="en-GB"/>
              </w:rPr>
              <w:instrText xml:space="preserve"> NOTEREF _Ref461006872 \f \h </w:instrText>
            </w:r>
            <w:r w:rsidRPr="00A85D6C">
              <w:rPr>
                <w:sz w:val="18"/>
                <w:szCs w:val="18"/>
                <w:lang w:val="en-GB"/>
              </w:rPr>
            </w:r>
            <w:r w:rsidRPr="00A85D6C">
              <w:rPr>
                <w:sz w:val="18"/>
                <w:szCs w:val="18"/>
                <w:lang w:val="en-GB"/>
              </w:rPr>
              <w:fldChar w:fldCharType="separate"/>
            </w:r>
            <w:r w:rsidRPr="002570CB">
              <w:rPr>
                <w:rStyle w:val="Endnotenzeichen"/>
              </w:rPr>
              <w:t>10</w:t>
            </w:r>
            <w:r w:rsidRPr="00A85D6C">
              <w:rPr>
                <w:sz w:val="18"/>
                <w:szCs w:val="18"/>
                <w:lang w:val="en-GB"/>
              </w:rPr>
              <w:fldChar w:fldCharType="end"/>
            </w:r>
            <w:r w:rsidRPr="00D616E1">
              <w:rPr>
                <w:sz w:val="18"/>
                <w:szCs w:val="18"/>
                <w:lang w:val="en-GB"/>
              </w:rPr>
              <w:t>]</w:t>
            </w:r>
          </w:p>
        </w:tc>
      </w:tr>
      <w:tr w:rsidR="00407EB1" w:rsidRPr="00D616E1" w:rsidTr="00360B94">
        <w:tc>
          <w:tcPr>
            <w:tcW w:w="2681" w:type="dxa"/>
          </w:tcPr>
          <w:p w:rsidR="00407EB1" w:rsidRPr="00D616E1" w:rsidRDefault="00407EB1" w:rsidP="00360B94">
            <w:pPr>
              <w:rPr>
                <w:sz w:val="18"/>
                <w:szCs w:val="18"/>
                <w:lang w:val="en-GB"/>
              </w:rPr>
            </w:pPr>
            <w:r w:rsidRPr="00D616E1">
              <w:rPr>
                <w:sz w:val="18"/>
                <w:szCs w:val="18"/>
                <w:lang w:val="en-GB"/>
              </w:rPr>
              <w:t>Cinacalcet</w:t>
            </w:r>
          </w:p>
        </w:tc>
        <w:tc>
          <w:tcPr>
            <w:tcW w:w="1076" w:type="dxa"/>
          </w:tcPr>
          <w:p w:rsidR="00407EB1" w:rsidRPr="00D616E1" w:rsidRDefault="00407EB1" w:rsidP="00360B94">
            <w:pPr>
              <w:rPr>
                <w:sz w:val="18"/>
                <w:szCs w:val="18"/>
                <w:lang w:val="en-GB"/>
              </w:rPr>
            </w:pPr>
            <w:r w:rsidRPr="00D616E1">
              <w:rPr>
                <w:sz w:val="18"/>
                <w:szCs w:val="18"/>
                <w:lang w:val="en-GB"/>
              </w:rPr>
              <w:t>64.18</w:t>
            </w:r>
          </w:p>
        </w:tc>
        <w:tc>
          <w:tcPr>
            <w:tcW w:w="1156" w:type="dxa"/>
          </w:tcPr>
          <w:p w:rsidR="00407EB1" w:rsidRPr="00D616E1" w:rsidRDefault="00407EB1" w:rsidP="00360B94">
            <w:pPr>
              <w:rPr>
                <w:sz w:val="18"/>
                <w:szCs w:val="18"/>
                <w:lang w:val="en-GB"/>
              </w:rPr>
            </w:pPr>
            <w:r w:rsidRPr="00D616E1">
              <w:rPr>
                <w:sz w:val="18"/>
                <w:szCs w:val="18"/>
                <w:lang w:val="en-GB"/>
              </w:rPr>
              <w:t>2.78</w:t>
            </w:r>
          </w:p>
        </w:tc>
        <w:tc>
          <w:tcPr>
            <w:tcW w:w="2004" w:type="dxa"/>
            <w:vMerge/>
          </w:tcPr>
          <w:p w:rsidR="00407EB1" w:rsidRPr="00D616E1" w:rsidRDefault="00407EB1" w:rsidP="00360B94">
            <w:pPr>
              <w:rPr>
                <w:sz w:val="18"/>
                <w:szCs w:val="18"/>
                <w:lang w:val="en-GB"/>
              </w:rPr>
            </w:pPr>
          </w:p>
        </w:tc>
      </w:tr>
      <w:tr w:rsidR="00407EB1" w:rsidRPr="00EA4FA9" w:rsidTr="00360B94">
        <w:tc>
          <w:tcPr>
            <w:tcW w:w="6917" w:type="dxa"/>
            <w:gridSpan w:val="4"/>
          </w:tcPr>
          <w:p w:rsidR="00407EB1" w:rsidRPr="00D616E1" w:rsidRDefault="00407EB1" w:rsidP="00360B94">
            <w:pPr>
              <w:rPr>
                <w:sz w:val="18"/>
                <w:szCs w:val="18"/>
                <w:lang w:val="en-GB"/>
              </w:rPr>
            </w:pPr>
            <w:r w:rsidRPr="00D616E1">
              <w:rPr>
                <w:b/>
                <w:i/>
                <w:sz w:val="18"/>
                <w:szCs w:val="18"/>
                <w:lang w:val="en-GB"/>
              </w:rPr>
              <w:t xml:space="preserve">Vitamin D </w:t>
            </w:r>
            <w:r w:rsidRPr="0021217E">
              <w:rPr>
                <w:b/>
                <w:i/>
                <w:sz w:val="18"/>
                <w:szCs w:val="18"/>
                <w:lang w:val="en-GB"/>
              </w:rPr>
              <w:t xml:space="preserve">and/or analogs </w:t>
            </w:r>
            <w:r w:rsidRPr="00D616E1">
              <w:rPr>
                <w:b/>
                <w:i/>
                <w:sz w:val="18"/>
                <w:szCs w:val="18"/>
                <w:lang w:val="en-GB"/>
              </w:rPr>
              <w:t>consumption (</w:t>
            </w:r>
            <w:r w:rsidRPr="00D616E1">
              <w:rPr>
                <w:b/>
                <w:i/>
                <w:sz w:val="18"/>
                <w:szCs w:val="18"/>
                <w:lang w:val="en-GB"/>
              </w:rPr>
              <w:sym w:font="Symbol" w:char="F06D"/>
            </w:r>
            <w:r w:rsidRPr="00D616E1">
              <w:rPr>
                <w:b/>
                <w:i/>
                <w:sz w:val="18"/>
                <w:szCs w:val="18"/>
                <w:lang w:val="en-GB"/>
              </w:rPr>
              <w:t>g per day)</w:t>
            </w: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Alfacalcidol (oral)</w:t>
            </w:r>
          </w:p>
        </w:tc>
        <w:tc>
          <w:tcPr>
            <w:tcW w:w="1076" w:type="dxa"/>
          </w:tcPr>
          <w:p w:rsidR="00407EB1" w:rsidRPr="00D616E1" w:rsidRDefault="00407EB1" w:rsidP="00360B94">
            <w:pPr>
              <w:rPr>
                <w:sz w:val="18"/>
                <w:szCs w:val="18"/>
                <w:lang w:val="en-GB"/>
              </w:rPr>
            </w:pPr>
            <w:r w:rsidRPr="00966E5E">
              <w:rPr>
                <w:rFonts w:cs="Arial"/>
                <w:bCs/>
                <w:kern w:val="24"/>
                <w:sz w:val="18"/>
                <w:szCs w:val="18"/>
              </w:rPr>
              <w:t xml:space="preserve">0.07 </w:t>
            </w:r>
          </w:p>
        </w:tc>
        <w:tc>
          <w:tcPr>
            <w:tcW w:w="1156" w:type="dxa"/>
          </w:tcPr>
          <w:p w:rsidR="00407EB1" w:rsidRPr="00D616E1" w:rsidRDefault="00407EB1" w:rsidP="00360B94">
            <w:pPr>
              <w:rPr>
                <w:sz w:val="18"/>
                <w:szCs w:val="18"/>
                <w:lang w:val="en-GB"/>
              </w:rPr>
            </w:pPr>
            <w:r w:rsidRPr="00966E5E">
              <w:rPr>
                <w:rFonts w:cs="Arial"/>
                <w:bCs/>
                <w:kern w:val="24"/>
                <w:sz w:val="18"/>
                <w:szCs w:val="18"/>
              </w:rPr>
              <w:t>0.005</w:t>
            </w:r>
          </w:p>
        </w:tc>
        <w:tc>
          <w:tcPr>
            <w:tcW w:w="2004" w:type="dxa"/>
            <w:vMerge w:val="restart"/>
          </w:tcPr>
          <w:p w:rsidR="00407EB1" w:rsidRPr="00D616E1" w:rsidRDefault="00407EB1" w:rsidP="00360B94">
            <w:pPr>
              <w:rPr>
                <w:sz w:val="18"/>
                <w:szCs w:val="18"/>
                <w:lang w:val="en-GB"/>
              </w:rPr>
            </w:pPr>
            <w:r w:rsidRPr="00D616E1">
              <w:rPr>
                <w:sz w:val="18"/>
                <w:szCs w:val="18"/>
                <w:lang w:val="en-GB"/>
              </w:rPr>
              <w:t>Etelcalcetide trials [</w:t>
            </w:r>
            <w:r w:rsidRPr="00966E5E">
              <w:rPr>
                <w:sz w:val="18"/>
                <w:szCs w:val="18"/>
                <w:lang w:val="en-GB"/>
              </w:rPr>
              <w:fldChar w:fldCharType="begin"/>
            </w:r>
            <w:r w:rsidRPr="00D616E1">
              <w:rPr>
                <w:sz w:val="18"/>
                <w:szCs w:val="18"/>
                <w:lang w:val="en-GB"/>
              </w:rPr>
              <w:instrText xml:space="preserve"> NOTEREF _Ref461008301 \f \h </w:instrText>
            </w:r>
            <w:r w:rsidRPr="00966E5E">
              <w:rPr>
                <w:sz w:val="18"/>
                <w:szCs w:val="18"/>
                <w:lang w:val="en-GB"/>
              </w:rPr>
            </w:r>
            <w:r w:rsidRPr="00966E5E">
              <w:rPr>
                <w:sz w:val="18"/>
                <w:szCs w:val="18"/>
                <w:lang w:val="en-GB"/>
              </w:rPr>
              <w:fldChar w:fldCharType="separate"/>
            </w:r>
            <w:r w:rsidRPr="002570CB">
              <w:rPr>
                <w:rStyle w:val="Endnotenzeichen"/>
              </w:rPr>
              <w:t>9</w:t>
            </w:r>
            <w:r w:rsidRPr="00966E5E">
              <w:rPr>
                <w:sz w:val="18"/>
                <w:szCs w:val="18"/>
                <w:lang w:val="en-GB"/>
              </w:rPr>
              <w:fldChar w:fldCharType="end"/>
            </w:r>
            <w:r w:rsidRPr="00D616E1">
              <w:rPr>
                <w:sz w:val="18"/>
                <w:szCs w:val="18"/>
                <w:lang w:val="en-GB"/>
              </w:rPr>
              <w:t>,</w:t>
            </w:r>
            <w:r w:rsidRPr="00966E5E">
              <w:rPr>
                <w:sz w:val="18"/>
                <w:szCs w:val="18"/>
                <w:lang w:val="en-GB"/>
              </w:rPr>
              <w:fldChar w:fldCharType="begin"/>
            </w:r>
            <w:r w:rsidRPr="00D616E1">
              <w:rPr>
                <w:sz w:val="18"/>
                <w:szCs w:val="18"/>
                <w:lang w:val="en-GB"/>
              </w:rPr>
              <w:instrText xml:space="preserve"> NOTEREF _Ref461006872 \f \h </w:instrText>
            </w:r>
            <w:r w:rsidRPr="00966E5E">
              <w:rPr>
                <w:sz w:val="18"/>
                <w:szCs w:val="18"/>
                <w:lang w:val="en-GB"/>
              </w:rPr>
            </w:r>
            <w:r w:rsidRPr="00966E5E">
              <w:rPr>
                <w:sz w:val="18"/>
                <w:szCs w:val="18"/>
                <w:lang w:val="en-GB"/>
              </w:rPr>
              <w:fldChar w:fldCharType="separate"/>
            </w:r>
            <w:r w:rsidRPr="002570CB">
              <w:rPr>
                <w:rStyle w:val="Endnotenzeichen"/>
              </w:rPr>
              <w:t>10</w:t>
            </w:r>
            <w:r w:rsidRPr="00966E5E">
              <w:rPr>
                <w:sz w:val="18"/>
                <w:szCs w:val="18"/>
                <w:lang w:val="en-GB"/>
              </w:rPr>
              <w:fldChar w:fldCharType="end"/>
            </w:r>
            <w:r w:rsidRPr="00D616E1">
              <w:rPr>
                <w:sz w:val="18"/>
                <w:szCs w:val="18"/>
                <w:lang w:val="en-GB"/>
              </w:rPr>
              <w:t>]</w:t>
            </w:r>
            <w:r w:rsidRPr="00CD1396">
              <w:rPr>
                <w:sz w:val="18"/>
                <w:szCs w:val="18"/>
                <w:vertAlign w:val="superscript"/>
                <w:lang w:val="en-GB"/>
              </w:rPr>
              <w:t>§</w:t>
            </w: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Alfacalcidol (IV)</w:t>
            </w:r>
          </w:p>
        </w:tc>
        <w:tc>
          <w:tcPr>
            <w:tcW w:w="1076" w:type="dxa"/>
          </w:tcPr>
          <w:p w:rsidR="00407EB1" w:rsidRPr="00D616E1" w:rsidRDefault="00407EB1" w:rsidP="00360B94">
            <w:pPr>
              <w:rPr>
                <w:sz w:val="18"/>
                <w:szCs w:val="18"/>
                <w:lang w:val="en-GB"/>
              </w:rPr>
            </w:pPr>
            <w:r w:rsidRPr="00966E5E">
              <w:rPr>
                <w:rFonts w:cs="Arial"/>
                <w:kern w:val="24"/>
                <w:sz w:val="18"/>
                <w:szCs w:val="18"/>
              </w:rPr>
              <w:t>0.009</w:t>
            </w:r>
          </w:p>
        </w:tc>
        <w:tc>
          <w:tcPr>
            <w:tcW w:w="1156" w:type="dxa"/>
          </w:tcPr>
          <w:p w:rsidR="00407EB1" w:rsidRPr="00D616E1" w:rsidRDefault="00407EB1" w:rsidP="00360B94">
            <w:pPr>
              <w:rPr>
                <w:sz w:val="18"/>
                <w:szCs w:val="18"/>
                <w:lang w:val="en-GB"/>
              </w:rPr>
            </w:pPr>
            <w:r w:rsidRPr="00966E5E">
              <w:rPr>
                <w:rFonts w:cs="Arial"/>
                <w:kern w:val="24"/>
                <w:sz w:val="18"/>
                <w:szCs w:val="18"/>
              </w:rPr>
              <w:t>0.002</w:t>
            </w:r>
          </w:p>
        </w:tc>
        <w:tc>
          <w:tcPr>
            <w:tcW w:w="2004"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Calcitriol (oral)</w:t>
            </w:r>
          </w:p>
        </w:tc>
        <w:tc>
          <w:tcPr>
            <w:tcW w:w="1076" w:type="dxa"/>
          </w:tcPr>
          <w:p w:rsidR="00407EB1" w:rsidRPr="00D616E1" w:rsidRDefault="00407EB1" w:rsidP="00360B94">
            <w:pPr>
              <w:rPr>
                <w:sz w:val="18"/>
                <w:szCs w:val="18"/>
                <w:lang w:val="en-GB"/>
              </w:rPr>
            </w:pPr>
            <w:r w:rsidRPr="00966E5E">
              <w:rPr>
                <w:rFonts w:cs="Arial"/>
                <w:kern w:val="24"/>
                <w:sz w:val="18"/>
                <w:szCs w:val="18"/>
              </w:rPr>
              <w:t xml:space="preserve">0.05 </w:t>
            </w:r>
          </w:p>
        </w:tc>
        <w:tc>
          <w:tcPr>
            <w:tcW w:w="1156" w:type="dxa"/>
          </w:tcPr>
          <w:p w:rsidR="00407EB1" w:rsidRPr="00D616E1" w:rsidRDefault="00407EB1" w:rsidP="00360B94">
            <w:pPr>
              <w:rPr>
                <w:sz w:val="18"/>
                <w:szCs w:val="18"/>
                <w:lang w:val="en-GB"/>
              </w:rPr>
            </w:pPr>
            <w:r w:rsidRPr="00966E5E">
              <w:rPr>
                <w:rFonts w:cs="Arial"/>
                <w:kern w:val="24"/>
                <w:sz w:val="18"/>
                <w:szCs w:val="18"/>
              </w:rPr>
              <w:t>0.003</w:t>
            </w:r>
          </w:p>
        </w:tc>
        <w:tc>
          <w:tcPr>
            <w:tcW w:w="2004"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Calcitriol (IV)</w:t>
            </w:r>
          </w:p>
        </w:tc>
        <w:tc>
          <w:tcPr>
            <w:tcW w:w="1076" w:type="dxa"/>
          </w:tcPr>
          <w:p w:rsidR="00407EB1" w:rsidRPr="00D616E1" w:rsidRDefault="00407EB1" w:rsidP="00360B94">
            <w:pPr>
              <w:rPr>
                <w:sz w:val="18"/>
                <w:szCs w:val="18"/>
                <w:lang w:val="en-GB"/>
              </w:rPr>
            </w:pPr>
            <w:r w:rsidRPr="00966E5E">
              <w:rPr>
                <w:rFonts w:cs="Arial"/>
                <w:kern w:val="24"/>
                <w:sz w:val="18"/>
                <w:szCs w:val="18"/>
              </w:rPr>
              <w:t>0.006</w:t>
            </w:r>
          </w:p>
        </w:tc>
        <w:tc>
          <w:tcPr>
            <w:tcW w:w="1156" w:type="dxa"/>
          </w:tcPr>
          <w:p w:rsidR="00407EB1" w:rsidRPr="00D616E1" w:rsidRDefault="00407EB1" w:rsidP="00360B94">
            <w:pPr>
              <w:rPr>
                <w:sz w:val="18"/>
                <w:szCs w:val="18"/>
                <w:lang w:val="en-GB"/>
              </w:rPr>
            </w:pPr>
            <w:r w:rsidRPr="00966E5E">
              <w:rPr>
                <w:rFonts w:cs="Arial"/>
                <w:kern w:val="24"/>
                <w:sz w:val="18"/>
                <w:szCs w:val="18"/>
              </w:rPr>
              <w:t>0.0014</w:t>
            </w:r>
          </w:p>
        </w:tc>
        <w:tc>
          <w:tcPr>
            <w:tcW w:w="2004"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Doxercalciferol (oral)</w:t>
            </w:r>
          </w:p>
        </w:tc>
        <w:tc>
          <w:tcPr>
            <w:tcW w:w="1076" w:type="dxa"/>
          </w:tcPr>
          <w:p w:rsidR="00407EB1" w:rsidRPr="00D616E1" w:rsidRDefault="00407EB1" w:rsidP="00360B94">
            <w:pPr>
              <w:rPr>
                <w:sz w:val="18"/>
                <w:szCs w:val="18"/>
                <w:lang w:val="en-GB"/>
              </w:rPr>
            </w:pPr>
            <w:r w:rsidRPr="00966E5E">
              <w:rPr>
                <w:rFonts w:cs="Arial"/>
                <w:kern w:val="24"/>
                <w:sz w:val="18"/>
                <w:szCs w:val="18"/>
              </w:rPr>
              <w:t xml:space="preserve">0.0005 </w:t>
            </w:r>
          </w:p>
        </w:tc>
        <w:tc>
          <w:tcPr>
            <w:tcW w:w="1156" w:type="dxa"/>
          </w:tcPr>
          <w:p w:rsidR="00407EB1" w:rsidRPr="00D616E1" w:rsidRDefault="00407EB1" w:rsidP="00360B94">
            <w:pPr>
              <w:rPr>
                <w:sz w:val="18"/>
                <w:szCs w:val="18"/>
                <w:lang w:val="en-GB"/>
              </w:rPr>
            </w:pPr>
            <w:r w:rsidRPr="00966E5E">
              <w:rPr>
                <w:rFonts w:cs="Arial"/>
                <w:kern w:val="24"/>
                <w:sz w:val="18"/>
                <w:szCs w:val="18"/>
              </w:rPr>
              <w:t>0.00035</w:t>
            </w:r>
          </w:p>
        </w:tc>
        <w:tc>
          <w:tcPr>
            <w:tcW w:w="2004"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Doxercalciferol (IV)</w:t>
            </w:r>
          </w:p>
        </w:tc>
        <w:tc>
          <w:tcPr>
            <w:tcW w:w="1076" w:type="dxa"/>
          </w:tcPr>
          <w:p w:rsidR="00407EB1" w:rsidRPr="00D616E1" w:rsidRDefault="00407EB1" w:rsidP="00360B94">
            <w:pPr>
              <w:rPr>
                <w:sz w:val="18"/>
                <w:szCs w:val="18"/>
                <w:lang w:val="en-GB"/>
              </w:rPr>
            </w:pPr>
            <w:r w:rsidRPr="00966E5E">
              <w:rPr>
                <w:rFonts w:cs="Arial"/>
                <w:kern w:val="24"/>
                <w:sz w:val="18"/>
                <w:szCs w:val="18"/>
              </w:rPr>
              <w:t xml:space="preserve">0.27 </w:t>
            </w:r>
          </w:p>
        </w:tc>
        <w:tc>
          <w:tcPr>
            <w:tcW w:w="1156" w:type="dxa"/>
          </w:tcPr>
          <w:p w:rsidR="00407EB1" w:rsidRPr="00D616E1" w:rsidRDefault="00407EB1" w:rsidP="00360B94">
            <w:pPr>
              <w:rPr>
                <w:sz w:val="18"/>
                <w:szCs w:val="18"/>
                <w:lang w:val="en-GB"/>
              </w:rPr>
            </w:pPr>
            <w:r w:rsidRPr="00966E5E">
              <w:rPr>
                <w:rFonts w:cs="Arial"/>
                <w:kern w:val="24"/>
                <w:sz w:val="18"/>
                <w:szCs w:val="18"/>
              </w:rPr>
              <w:t>0.018</w:t>
            </w:r>
          </w:p>
        </w:tc>
        <w:tc>
          <w:tcPr>
            <w:tcW w:w="2004"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Paricalcitol (oral)</w:t>
            </w:r>
          </w:p>
        </w:tc>
        <w:tc>
          <w:tcPr>
            <w:tcW w:w="1076" w:type="dxa"/>
          </w:tcPr>
          <w:p w:rsidR="00407EB1" w:rsidRPr="00D616E1" w:rsidRDefault="00407EB1" w:rsidP="00360B94">
            <w:pPr>
              <w:rPr>
                <w:sz w:val="18"/>
                <w:szCs w:val="18"/>
                <w:lang w:val="en-GB"/>
              </w:rPr>
            </w:pPr>
            <w:r w:rsidRPr="00966E5E">
              <w:rPr>
                <w:rFonts w:cs="Arial"/>
                <w:kern w:val="24"/>
                <w:sz w:val="18"/>
                <w:szCs w:val="18"/>
              </w:rPr>
              <w:t xml:space="preserve">0.02 </w:t>
            </w:r>
          </w:p>
        </w:tc>
        <w:tc>
          <w:tcPr>
            <w:tcW w:w="1156" w:type="dxa"/>
          </w:tcPr>
          <w:p w:rsidR="00407EB1" w:rsidRPr="00D616E1" w:rsidRDefault="00407EB1" w:rsidP="00360B94">
            <w:pPr>
              <w:rPr>
                <w:sz w:val="18"/>
                <w:szCs w:val="18"/>
                <w:lang w:val="en-GB"/>
              </w:rPr>
            </w:pPr>
            <w:r w:rsidRPr="00966E5E">
              <w:rPr>
                <w:rFonts w:cs="Arial"/>
                <w:kern w:val="24"/>
                <w:sz w:val="18"/>
                <w:szCs w:val="18"/>
              </w:rPr>
              <w:t>0.005</w:t>
            </w:r>
          </w:p>
        </w:tc>
        <w:tc>
          <w:tcPr>
            <w:tcW w:w="2004"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Paricalcitol (IV)</w:t>
            </w:r>
          </w:p>
        </w:tc>
        <w:tc>
          <w:tcPr>
            <w:tcW w:w="1076" w:type="dxa"/>
          </w:tcPr>
          <w:p w:rsidR="00407EB1" w:rsidRPr="00D616E1" w:rsidRDefault="00407EB1" w:rsidP="00360B94">
            <w:pPr>
              <w:rPr>
                <w:sz w:val="18"/>
                <w:szCs w:val="18"/>
                <w:lang w:val="en-GB"/>
              </w:rPr>
            </w:pPr>
            <w:r w:rsidRPr="00966E5E">
              <w:rPr>
                <w:rFonts w:cs="Arial"/>
                <w:kern w:val="24"/>
                <w:sz w:val="18"/>
                <w:szCs w:val="18"/>
              </w:rPr>
              <w:t xml:space="preserve">0.35 </w:t>
            </w:r>
          </w:p>
        </w:tc>
        <w:tc>
          <w:tcPr>
            <w:tcW w:w="1156" w:type="dxa"/>
          </w:tcPr>
          <w:p w:rsidR="00407EB1" w:rsidRPr="00D616E1" w:rsidRDefault="00407EB1" w:rsidP="00360B94">
            <w:pPr>
              <w:rPr>
                <w:sz w:val="18"/>
                <w:szCs w:val="18"/>
                <w:lang w:val="en-GB"/>
              </w:rPr>
            </w:pPr>
            <w:r w:rsidRPr="00966E5E">
              <w:rPr>
                <w:rFonts w:cs="Arial"/>
                <w:kern w:val="24"/>
                <w:sz w:val="18"/>
                <w:szCs w:val="18"/>
              </w:rPr>
              <w:t>0.024</w:t>
            </w:r>
          </w:p>
        </w:tc>
        <w:tc>
          <w:tcPr>
            <w:tcW w:w="2004" w:type="dxa"/>
            <w:vMerge/>
          </w:tcPr>
          <w:p w:rsidR="00407EB1" w:rsidRPr="00D616E1" w:rsidRDefault="00407EB1" w:rsidP="00360B94">
            <w:pPr>
              <w:rPr>
                <w:sz w:val="18"/>
                <w:szCs w:val="18"/>
                <w:lang w:val="en-GB"/>
              </w:rPr>
            </w:pPr>
          </w:p>
        </w:tc>
      </w:tr>
      <w:tr w:rsidR="00407EB1" w:rsidRPr="00EA4FA9" w:rsidTr="00360B94">
        <w:tc>
          <w:tcPr>
            <w:tcW w:w="6917" w:type="dxa"/>
            <w:gridSpan w:val="4"/>
          </w:tcPr>
          <w:p w:rsidR="00407EB1" w:rsidRPr="00D616E1" w:rsidRDefault="00407EB1" w:rsidP="00360B94">
            <w:pPr>
              <w:rPr>
                <w:sz w:val="18"/>
                <w:szCs w:val="18"/>
                <w:lang w:val="en-GB"/>
              </w:rPr>
            </w:pPr>
            <w:r w:rsidRPr="00D616E1">
              <w:rPr>
                <w:b/>
                <w:i/>
                <w:sz w:val="18"/>
                <w:szCs w:val="18"/>
                <w:lang w:val="en-GB"/>
              </w:rPr>
              <w:t>Phosphate binders consumption (g per day)</w:t>
            </w:r>
          </w:p>
        </w:tc>
      </w:tr>
      <w:tr w:rsidR="00407EB1" w:rsidRPr="00EA4FA9" w:rsidTr="00360B94">
        <w:tc>
          <w:tcPr>
            <w:tcW w:w="2681" w:type="dxa"/>
          </w:tcPr>
          <w:p w:rsidR="00407EB1" w:rsidRPr="00D616E1" w:rsidRDefault="00407EB1" w:rsidP="00360B94">
            <w:pPr>
              <w:rPr>
                <w:sz w:val="18"/>
                <w:szCs w:val="18"/>
                <w:lang w:val="en-GB"/>
              </w:rPr>
            </w:pPr>
            <w:r w:rsidRPr="00966E5E">
              <w:rPr>
                <w:rFonts w:cs="Arial"/>
                <w:bCs/>
                <w:kern w:val="24"/>
                <w:sz w:val="18"/>
                <w:szCs w:val="18"/>
              </w:rPr>
              <w:t>Aluminum containing</w:t>
            </w:r>
          </w:p>
        </w:tc>
        <w:tc>
          <w:tcPr>
            <w:tcW w:w="1076" w:type="dxa"/>
          </w:tcPr>
          <w:p w:rsidR="00407EB1" w:rsidRPr="00D616E1" w:rsidRDefault="00407EB1" w:rsidP="00360B94">
            <w:pPr>
              <w:rPr>
                <w:sz w:val="18"/>
                <w:szCs w:val="18"/>
                <w:lang w:val="en-GB"/>
              </w:rPr>
            </w:pPr>
            <w:r w:rsidRPr="00966E5E">
              <w:rPr>
                <w:rFonts w:cs="Arial"/>
                <w:bCs/>
                <w:kern w:val="24"/>
                <w:sz w:val="18"/>
                <w:szCs w:val="18"/>
              </w:rPr>
              <w:t xml:space="preserve">0.04 </w:t>
            </w:r>
          </w:p>
        </w:tc>
        <w:tc>
          <w:tcPr>
            <w:tcW w:w="1156" w:type="dxa"/>
          </w:tcPr>
          <w:p w:rsidR="00407EB1" w:rsidRPr="00D616E1" w:rsidRDefault="00407EB1" w:rsidP="00360B94">
            <w:pPr>
              <w:rPr>
                <w:sz w:val="18"/>
                <w:szCs w:val="18"/>
                <w:lang w:val="en-GB"/>
              </w:rPr>
            </w:pPr>
            <w:r w:rsidRPr="00966E5E">
              <w:rPr>
                <w:rFonts w:cs="Arial"/>
                <w:bCs/>
                <w:kern w:val="24"/>
                <w:sz w:val="18"/>
                <w:szCs w:val="18"/>
              </w:rPr>
              <w:t>0.007</w:t>
            </w:r>
          </w:p>
        </w:tc>
        <w:tc>
          <w:tcPr>
            <w:tcW w:w="2004" w:type="dxa"/>
            <w:vMerge w:val="restart"/>
          </w:tcPr>
          <w:p w:rsidR="00407EB1" w:rsidRPr="00D616E1" w:rsidRDefault="00407EB1" w:rsidP="00360B94">
            <w:pPr>
              <w:rPr>
                <w:sz w:val="18"/>
                <w:szCs w:val="18"/>
                <w:lang w:val="en-GB"/>
              </w:rPr>
            </w:pPr>
            <w:r w:rsidRPr="00D616E1">
              <w:rPr>
                <w:sz w:val="18"/>
                <w:szCs w:val="18"/>
                <w:lang w:val="en-GB"/>
              </w:rPr>
              <w:t>Etelcalcetide trials [</w:t>
            </w:r>
            <w:r w:rsidRPr="00966E5E">
              <w:rPr>
                <w:sz w:val="18"/>
                <w:szCs w:val="18"/>
                <w:lang w:val="en-GB"/>
              </w:rPr>
              <w:fldChar w:fldCharType="begin"/>
            </w:r>
            <w:r w:rsidRPr="00D616E1">
              <w:rPr>
                <w:sz w:val="18"/>
                <w:szCs w:val="18"/>
                <w:lang w:val="en-GB"/>
              </w:rPr>
              <w:instrText xml:space="preserve"> NOTEREF _Ref461008301 \f \h </w:instrText>
            </w:r>
            <w:r w:rsidRPr="00966E5E">
              <w:rPr>
                <w:sz w:val="18"/>
                <w:szCs w:val="18"/>
                <w:lang w:val="en-GB"/>
              </w:rPr>
            </w:r>
            <w:r w:rsidRPr="00966E5E">
              <w:rPr>
                <w:sz w:val="18"/>
                <w:szCs w:val="18"/>
                <w:lang w:val="en-GB"/>
              </w:rPr>
              <w:fldChar w:fldCharType="separate"/>
            </w:r>
            <w:r w:rsidRPr="002570CB">
              <w:rPr>
                <w:rStyle w:val="Endnotenzeichen"/>
              </w:rPr>
              <w:t>9</w:t>
            </w:r>
            <w:r w:rsidRPr="00966E5E">
              <w:rPr>
                <w:sz w:val="18"/>
                <w:szCs w:val="18"/>
                <w:lang w:val="en-GB"/>
              </w:rPr>
              <w:fldChar w:fldCharType="end"/>
            </w:r>
            <w:r w:rsidRPr="00D616E1">
              <w:rPr>
                <w:sz w:val="18"/>
                <w:szCs w:val="18"/>
                <w:lang w:val="en-GB"/>
              </w:rPr>
              <w:t>,</w:t>
            </w:r>
            <w:r w:rsidRPr="00966E5E">
              <w:rPr>
                <w:sz w:val="18"/>
                <w:szCs w:val="18"/>
                <w:lang w:val="en-GB"/>
              </w:rPr>
              <w:fldChar w:fldCharType="begin"/>
            </w:r>
            <w:r w:rsidRPr="00D616E1">
              <w:rPr>
                <w:sz w:val="18"/>
                <w:szCs w:val="18"/>
                <w:lang w:val="en-GB"/>
              </w:rPr>
              <w:instrText xml:space="preserve"> NOTEREF _Ref461006872 \f \h </w:instrText>
            </w:r>
            <w:r w:rsidRPr="00966E5E">
              <w:rPr>
                <w:sz w:val="18"/>
                <w:szCs w:val="18"/>
                <w:lang w:val="en-GB"/>
              </w:rPr>
            </w:r>
            <w:r w:rsidRPr="00966E5E">
              <w:rPr>
                <w:sz w:val="18"/>
                <w:szCs w:val="18"/>
                <w:lang w:val="en-GB"/>
              </w:rPr>
              <w:fldChar w:fldCharType="separate"/>
            </w:r>
            <w:r w:rsidRPr="002570CB">
              <w:rPr>
                <w:rStyle w:val="Endnotenzeichen"/>
              </w:rPr>
              <w:t>10</w:t>
            </w:r>
            <w:r w:rsidRPr="00966E5E">
              <w:rPr>
                <w:sz w:val="18"/>
                <w:szCs w:val="18"/>
                <w:lang w:val="en-GB"/>
              </w:rPr>
              <w:fldChar w:fldCharType="end"/>
            </w:r>
            <w:r w:rsidRPr="00D616E1">
              <w:rPr>
                <w:sz w:val="18"/>
                <w:szCs w:val="18"/>
                <w:lang w:val="en-GB"/>
              </w:rPr>
              <w:t>]</w:t>
            </w:r>
            <w:r w:rsidRPr="00415AAF">
              <w:rPr>
                <w:sz w:val="18"/>
                <w:szCs w:val="18"/>
                <w:vertAlign w:val="superscript"/>
                <w:lang w:val="en-GB"/>
              </w:rPr>
              <w:t xml:space="preserve"> §</w:t>
            </w: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Calcium (Ca) containing</w:t>
            </w:r>
          </w:p>
        </w:tc>
        <w:tc>
          <w:tcPr>
            <w:tcW w:w="1076" w:type="dxa"/>
          </w:tcPr>
          <w:p w:rsidR="00407EB1" w:rsidRPr="00D616E1" w:rsidRDefault="00407EB1" w:rsidP="00360B94">
            <w:pPr>
              <w:rPr>
                <w:sz w:val="18"/>
                <w:szCs w:val="18"/>
                <w:lang w:val="en-GB"/>
              </w:rPr>
            </w:pPr>
            <w:r w:rsidRPr="00966E5E">
              <w:rPr>
                <w:rFonts w:cs="Arial"/>
                <w:kern w:val="24"/>
                <w:sz w:val="18"/>
                <w:szCs w:val="18"/>
              </w:rPr>
              <w:t xml:space="preserve">0.57 </w:t>
            </w:r>
          </w:p>
        </w:tc>
        <w:tc>
          <w:tcPr>
            <w:tcW w:w="1156" w:type="dxa"/>
          </w:tcPr>
          <w:p w:rsidR="00407EB1" w:rsidRPr="00D616E1" w:rsidRDefault="00407EB1" w:rsidP="00360B94">
            <w:pPr>
              <w:rPr>
                <w:sz w:val="18"/>
                <w:szCs w:val="18"/>
                <w:lang w:val="en-GB"/>
              </w:rPr>
            </w:pPr>
            <w:r w:rsidRPr="00966E5E">
              <w:rPr>
                <w:rFonts w:cs="Arial"/>
                <w:kern w:val="24"/>
                <w:sz w:val="18"/>
                <w:szCs w:val="18"/>
              </w:rPr>
              <w:t>0.031</w:t>
            </w:r>
          </w:p>
        </w:tc>
        <w:tc>
          <w:tcPr>
            <w:tcW w:w="2004"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Lanthanum carbonate</w:t>
            </w:r>
          </w:p>
        </w:tc>
        <w:tc>
          <w:tcPr>
            <w:tcW w:w="1076" w:type="dxa"/>
          </w:tcPr>
          <w:p w:rsidR="00407EB1" w:rsidRPr="00D616E1" w:rsidRDefault="00407EB1" w:rsidP="00360B94">
            <w:pPr>
              <w:rPr>
                <w:sz w:val="18"/>
                <w:szCs w:val="18"/>
                <w:lang w:val="en-GB"/>
              </w:rPr>
            </w:pPr>
            <w:r w:rsidRPr="00966E5E">
              <w:rPr>
                <w:rFonts w:cs="Arial"/>
                <w:kern w:val="24"/>
                <w:sz w:val="18"/>
                <w:szCs w:val="18"/>
              </w:rPr>
              <w:t xml:space="preserve">0.21 </w:t>
            </w:r>
          </w:p>
        </w:tc>
        <w:tc>
          <w:tcPr>
            <w:tcW w:w="1156" w:type="dxa"/>
          </w:tcPr>
          <w:p w:rsidR="00407EB1" w:rsidRPr="00D616E1" w:rsidRDefault="00407EB1" w:rsidP="00360B94">
            <w:pPr>
              <w:rPr>
                <w:sz w:val="18"/>
                <w:szCs w:val="18"/>
                <w:lang w:val="en-GB"/>
              </w:rPr>
            </w:pPr>
            <w:r w:rsidRPr="00966E5E">
              <w:rPr>
                <w:rFonts w:cs="Arial"/>
                <w:kern w:val="24"/>
                <w:sz w:val="18"/>
                <w:szCs w:val="18"/>
              </w:rPr>
              <w:t>0.016</w:t>
            </w:r>
          </w:p>
        </w:tc>
        <w:tc>
          <w:tcPr>
            <w:tcW w:w="2004"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Mg containing</w:t>
            </w:r>
          </w:p>
        </w:tc>
        <w:tc>
          <w:tcPr>
            <w:tcW w:w="1076" w:type="dxa"/>
          </w:tcPr>
          <w:p w:rsidR="00407EB1" w:rsidRPr="00D616E1" w:rsidRDefault="00407EB1" w:rsidP="00360B94">
            <w:pPr>
              <w:rPr>
                <w:sz w:val="18"/>
                <w:szCs w:val="18"/>
                <w:lang w:val="en-GB"/>
              </w:rPr>
            </w:pPr>
            <w:r w:rsidRPr="00966E5E">
              <w:rPr>
                <w:rFonts w:cs="Arial"/>
                <w:kern w:val="24"/>
                <w:sz w:val="18"/>
                <w:szCs w:val="18"/>
              </w:rPr>
              <w:t xml:space="preserve">0.03 </w:t>
            </w:r>
          </w:p>
        </w:tc>
        <w:tc>
          <w:tcPr>
            <w:tcW w:w="1156" w:type="dxa"/>
          </w:tcPr>
          <w:p w:rsidR="00407EB1" w:rsidRPr="00D616E1" w:rsidRDefault="00407EB1" w:rsidP="00360B94">
            <w:pPr>
              <w:rPr>
                <w:sz w:val="18"/>
                <w:szCs w:val="18"/>
                <w:lang w:val="en-GB"/>
              </w:rPr>
            </w:pPr>
            <w:r w:rsidRPr="00966E5E">
              <w:rPr>
                <w:rFonts w:cs="Arial"/>
                <w:kern w:val="24"/>
                <w:sz w:val="18"/>
                <w:szCs w:val="18"/>
              </w:rPr>
              <w:t>0.005</w:t>
            </w:r>
          </w:p>
        </w:tc>
        <w:tc>
          <w:tcPr>
            <w:tcW w:w="2004"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Mg and Ca containing</w:t>
            </w:r>
          </w:p>
        </w:tc>
        <w:tc>
          <w:tcPr>
            <w:tcW w:w="1076" w:type="dxa"/>
          </w:tcPr>
          <w:p w:rsidR="00407EB1" w:rsidRPr="00D616E1" w:rsidRDefault="00407EB1" w:rsidP="00360B94">
            <w:pPr>
              <w:rPr>
                <w:sz w:val="18"/>
                <w:szCs w:val="18"/>
                <w:lang w:val="en-GB"/>
              </w:rPr>
            </w:pPr>
            <w:r w:rsidRPr="00966E5E">
              <w:rPr>
                <w:rFonts w:cs="Arial"/>
                <w:kern w:val="24"/>
                <w:sz w:val="18"/>
                <w:szCs w:val="18"/>
              </w:rPr>
              <w:t xml:space="preserve">0.005 </w:t>
            </w:r>
          </w:p>
        </w:tc>
        <w:tc>
          <w:tcPr>
            <w:tcW w:w="1156" w:type="dxa"/>
          </w:tcPr>
          <w:p w:rsidR="00407EB1" w:rsidRPr="00D616E1" w:rsidRDefault="00407EB1" w:rsidP="00360B94">
            <w:pPr>
              <w:rPr>
                <w:sz w:val="18"/>
                <w:szCs w:val="18"/>
                <w:lang w:val="en-GB"/>
              </w:rPr>
            </w:pPr>
            <w:r w:rsidRPr="00966E5E">
              <w:rPr>
                <w:rFonts w:cs="Arial"/>
                <w:kern w:val="24"/>
                <w:sz w:val="18"/>
                <w:szCs w:val="18"/>
              </w:rPr>
              <w:t>0.0023</w:t>
            </w:r>
          </w:p>
        </w:tc>
        <w:tc>
          <w:tcPr>
            <w:tcW w:w="2004" w:type="dxa"/>
            <w:vMerge/>
          </w:tcPr>
          <w:p w:rsidR="00407EB1" w:rsidRPr="00D616E1" w:rsidRDefault="00407EB1" w:rsidP="00360B94">
            <w:pPr>
              <w:rPr>
                <w:sz w:val="18"/>
                <w:szCs w:val="18"/>
                <w:lang w:val="en-GB"/>
              </w:rPr>
            </w:pP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Sevelamer</w:t>
            </w:r>
          </w:p>
        </w:tc>
        <w:tc>
          <w:tcPr>
            <w:tcW w:w="1076" w:type="dxa"/>
          </w:tcPr>
          <w:p w:rsidR="00407EB1" w:rsidRPr="00D616E1" w:rsidRDefault="00407EB1" w:rsidP="00360B94">
            <w:pPr>
              <w:rPr>
                <w:sz w:val="18"/>
                <w:szCs w:val="18"/>
                <w:lang w:val="en-GB"/>
              </w:rPr>
            </w:pPr>
            <w:r w:rsidRPr="00966E5E">
              <w:rPr>
                <w:rFonts w:cs="Arial"/>
                <w:kern w:val="24"/>
                <w:sz w:val="18"/>
                <w:szCs w:val="18"/>
              </w:rPr>
              <w:t xml:space="preserve">1.73 </w:t>
            </w:r>
          </w:p>
        </w:tc>
        <w:tc>
          <w:tcPr>
            <w:tcW w:w="1156" w:type="dxa"/>
          </w:tcPr>
          <w:p w:rsidR="00407EB1" w:rsidRPr="00D616E1" w:rsidRDefault="00407EB1" w:rsidP="00360B94">
            <w:pPr>
              <w:rPr>
                <w:sz w:val="18"/>
                <w:szCs w:val="18"/>
                <w:lang w:val="en-GB"/>
              </w:rPr>
            </w:pPr>
            <w:r w:rsidRPr="00966E5E">
              <w:rPr>
                <w:rFonts w:cs="Arial"/>
                <w:kern w:val="24"/>
                <w:sz w:val="18"/>
                <w:szCs w:val="18"/>
              </w:rPr>
              <w:t>0.058</w:t>
            </w:r>
          </w:p>
        </w:tc>
        <w:tc>
          <w:tcPr>
            <w:tcW w:w="2004" w:type="dxa"/>
            <w:vMerge/>
          </w:tcPr>
          <w:p w:rsidR="00407EB1" w:rsidRPr="00D616E1" w:rsidRDefault="00407EB1" w:rsidP="00360B94">
            <w:pPr>
              <w:rPr>
                <w:sz w:val="18"/>
                <w:szCs w:val="18"/>
                <w:lang w:val="en-GB"/>
              </w:rPr>
            </w:pPr>
          </w:p>
        </w:tc>
      </w:tr>
      <w:tr w:rsidR="00407EB1" w:rsidRPr="00D616E1" w:rsidTr="00360B94">
        <w:tc>
          <w:tcPr>
            <w:tcW w:w="6917" w:type="dxa"/>
            <w:gridSpan w:val="4"/>
          </w:tcPr>
          <w:p w:rsidR="00407EB1" w:rsidRPr="00D616E1" w:rsidRDefault="00407EB1" w:rsidP="00360B94">
            <w:pPr>
              <w:rPr>
                <w:b/>
                <w:sz w:val="18"/>
                <w:szCs w:val="18"/>
                <w:lang w:val="en-GB"/>
              </w:rPr>
            </w:pPr>
            <w:r w:rsidRPr="00D616E1">
              <w:rPr>
                <w:b/>
                <w:sz w:val="18"/>
                <w:szCs w:val="18"/>
                <w:lang w:val="en-GB"/>
              </w:rPr>
              <w:t>Unit costs</w:t>
            </w:r>
            <w:r>
              <w:rPr>
                <w:b/>
                <w:sz w:val="18"/>
                <w:szCs w:val="18"/>
                <w:lang w:val="en-GB"/>
              </w:rPr>
              <w:t xml:space="preserve"> (*)</w:t>
            </w:r>
          </w:p>
        </w:tc>
      </w:tr>
      <w:tr w:rsidR="00407EB1" w:rsidRPr="00EA4FA9" w:rsidTr="00360B94">
        <w:tc>
          <w:tcPr>
            <w:tcW w:w="2681" w:type="dxa"/>
          </w:tcPr>
          <w:p w:rsidR="00407EB1" w:rsidRPr="00D616E1" w:rsidRDefault="00407EB1" w:rsidP="00360B94">
            <w:pPr>
              <w:rPr>
                <w:sz w:val="18"/>
                <w:szCs w:val="18"/>
                <w:lang w:val="en-GB"/>
              </w:rPr>
            </w:pPr>
            <w:r w:rsidRPr="00966E5E">
              <w:rPr>
                <w:rFonts w:cs="Arial"/>
                <w:bCs/>
                <w:kern w:val="24"/>
                <w:sz w:val="18"/>
                <w:szCs w:val="18"/>
              </w:rPr>
              <w:t>Cinacalcet (€/mg)</w:t>
            </w:r>
          </w:p>
        </w:tc>
        <w:tc>
          <w:tcPr>
            <w:tcW w:w="1076" w:type="dxa"/>
          </w:tcPr>
          <w:p w:rsidR="00407EB1" w:rsidRPr="00D616E1" w:rsidRDefault="00407EB1" w:rsidP="00360B94">
            <w:pPr>
              <w:rPr>
                <w:sz w:val="18"/>
                <w:szCs w:val="18"/>
                <w:lang w:val="en-GB"/>
              </w:rPr>
            </w:pPr>
            <w:r w:rsidRPr="00966E5E">
              <w:rPr>
                <w:rFonts w:cs="Arial"/>
                <w:bCs/>
                <w:kern w:val="24"/>
                <w:sz w:val="18"/>
                <w:szCs w:val="18"/>
              </w:rPr>
              <w:t>€ 0.218</w:t>
            </w:r>
          </w:p>
        </w:tc>
        <w:tc>
          <w:tcPr>
            <w:tcW w:w="1156" w:type="dxa"/>
          </w:tcPr>
          <w:p w:rsidR="00407EB1" w:rsidRPr="00D616E1" w:rsidRDefault="00407EB1" w:rsidP="00360B94">
            <w:pPr>
              <w:rPr>
                <w:sz w:val="18"/>
                <w:szCs w:val="18"/>
                <w:lang w:val="en-GB"/>
              </w:rPr>
            </w:pPr>
            <w:r>
              <w:rPr>
                <w:sz w:val="18"/>
                <w:szCs w:val="18"/>
                <w:lang w:val="en-GB"/>
              </w:rPr>
              <w:t>n.a.</w:t>
            </w:r>
          </w:p>
        </w:tc>
        <w:tc>
          <w:tcPr>
            <w:tcW w:w="2004" w:type="dxa"/>
            <w:vMerge w:val="restart"/>
          </w:tcPr>
          <w:p w:rsidR="00407EB1" w:rsidRPr="00D616E1" w:rsidRDefault="00407EB1" w:rsidP="00360B94">
            <w:pPr>
              <w:rPr>
                <w:sz w:val="18"/>
                <w:szCs w:val="18"/>
                <w:lang w:val="en-GB"/>
              </w:rPr>
            </w:pPr>
            <w:r w:rsidRPr="00D616E1">
              <w:rPr>
                <w:sz w:val="18"/>
                <w:szCs w:val="18"/>
                <w:lang w:val="en-GB"/>
              </w:rPr>
              <w:t>Average of published cost data [</w:t>
            </w:r>
            <w:r w:rsidRPr="00966E5E">
              <w:rPr>
                <w:sz w:val="18"/>
                <w:szCs w:val="18"/>
                <w:lang w:val="en-GB"/>
              </w:rPr>
              <w:fldChar w:fldCharType="begin"/>
            </w:r>
            <w:r w:rsidRPr="00D616E1">
              <w:rPr>
                <w:sz w:val="18"/>
                <w:szCs w:val="18"/>
                <w:lang w:val="en-GB"/>
              </w:rPr>
              <w:instrText xml:space="preserve"> NOTEREF _Ref461008564 \f \h </w:instrText>
            </w:r>
            <w:r w:rsidRPr="00966E5E">
              <w:rPr>
                <w:sz w:val="18"/>
                <w:szCs w:val="18"/>
                <w:lang w:val="en-GB"/>
              </w:rPr>
            </w:r>
            <w:r w:rsidRPr="00966E5E">
              <w:rPr>
                <w:sz w:val="18"/>
                <w:szCs w:val="18"/>
                <w:lang w:val="en-GB"/>
              </w:rPr>
              <w:fldChar w:fldCharType="separate"/>
            </w:r>
            <w:r w:rsidRPr="002570CB">
              <w:rPr>
                <w:rStyle w:val="Endnotenzeichen"/>
              </w:rPr>
              <w:t>24</w:t>
            </w:r>
            <w:r w:rsidRPr="00966E5E">
              <w:rPr>
                <w:sz w:val="18"/>
                <w:szCs w:val="18"/>
                <w:lang w:val="en-GB"/>
              </w:rPr>
              <w:fldChar w:fldCharType="end"/>
            </w:r>
            <w:r w:rsidRPr="00D616E1">
              <w:rPr>
                <w:sz w:val="18"/>
                <w:szCs w:val="18"/>
                <w:lang w:val="en-GB"/>
              </w:rPr>
              <w:t>]</w:t>
            </w:r>
          </w:p>
        </w:tc>
      </w:tr>
      <w:tr w:rsidR="00407EB1" w:rsidRPr="00D616E1" w:rsidTr="00360B94">
        <w:tc>
          <w:tcPr>
            <w:tcW w:w="2681" w:type="dxa"/>
          </w:tcPr>
          <w:p w:rsidR="00407EB1" w:rsidRPr="00D616E1" w:rsidRDefault="00407EB1" w:rsidP="00360B94">
            <w:pPr>
              <w:rPr>
                <w:sz w:val="18"/>
                <w:szCs w:val="18"/>
                <w:lang w:val="en-GB"/>
              </w:rPr>
            </w:pPr>
            <w:r w:rsidRPr="00966E5E">
              <w:rPr>
                <w:rFonts w:cs="Arial"/>
                <w:bCs/>
                <w:kern w:val="24"/>
                <w:sz w:val="18"/>
                <w:szCs w:val="18"/>
              </w:rPr>
              <w:t>CV event costs</w:t>
            </w:r>
          </w:p>
        </w:tc>
        <w:tc>
          <w:tcPr>
            <w:tcW w:w="1076" w:type="dxa"/>
          </w:tcPr>
          <w:p w:rsidR="00407EB1" w:rsidRPr="00D616E1" w:rsidRDefault="00407EB1" w:rsidP="00360B94">
            <w:pPr>
              <w:rPr>
                <w:sz w:val="18"/>
                <w:szCs w:val="18"/>
                <w:lang w:val="en-GB"/>
              </w:rPr>
            </w:pPr>
            <w:r w:rsidRPr="00966E5E">
              <w:rPr>
                <w:rFonts w:cs="Arial"/>
                <w:kern w:val="24"/>
                <w:sz w:val="18"/>
                <w:szCs w:val="18"/>
              </w:rPr>
              <w:t>€ 3,184</w:t>
            </w:r>
          </w:p>
        </w:tc>
        <w:tc>
          <w:tcPr>
            <w:tcW w:w="1156" w:type="dxa"/>
          </w:tcPr>
          <w:p w:rsidR="00407EB1" w:rsidRPr="00D616E1" w:rsidRDefault="00407EB1" w:rsidP="00360B94">
            <w:pPr>
              <w:rPr>
                <w:sz w:val="18"/>
                <w:szCs w:val="18"/>
                <w:lang w:val="en-GB"/>
              </w:rPr>
            </w:pPr>
            <w:r>
              <w:rPr>
                <w:sz w:val="18"/>
                <w:szCs w:val="18"/>
                <w:lang w:val="en-GB"/>
              </w:rPr>
              <w:t>€ 1,163</w:t>
            </w:r>
          </w:p>
        </w:tc>
        <w:tc>
          <w:tcPr>
            <w:tcW w:w="2004" w:type="dxa"/>
            <w:vMerge/>
          </w:tcPr>
          <w:p w:rsidR="00407EB1" w:rsidRPr="00D616E1" w:rsidRDefault="00407EB1" w:rsidP="00360B94">
            <w:pPr>
              <w:rPr>
                <w:sz w:val="18"/>
                <w:szCs w:val="18"/>
                <w:lang w:val="en-GB"/>
              </w:rPr>
            </w:pPr>
          </w:p>
        </w:tc>
      </w:tr>
      <w:tr w:rsidR="00407EB1" w:rsidRPr="0048126E" w:rsidTr="00360B94">
        <w:tc>
          <w:tcPr>
            <w:tcW w:w="2681" w:type="dxa"/>
          </w:tcPr>
          <w:p w:rsidR="00407EB1" w:rsidRPr="0048126E" w:rsidRDefault="00407EB1" w:rsidP="00360B94">
            <w:pPr>
              <w:rPr>
                <w:sz w:val="18"/>
                <w:szCs w:val="18"/>
                <w:lang w:val="en-GB"/>
              </w:rPr>
            </w:pPr>
            <w:r w:rsidRPr="0048126E">
              <w:rPr>
                <w:rFonts w:cs="Arial"/>
                <w:bCs/>
                <w:kern w:val="24"/>
                <w:sz w:val="18"/>
                <w:szCs w:val="18"/>
              </w:rPr>
              <w:t>Fracture event costs</w:t>
            </w:r>
          </w:p>
        </w:tc>
        <w:tc>
          <w:tcPr>
            <w:tcW w:w="1076" w:type="dxa"/>
          </w:tcPr>
          <w:p w:rsidR="00407EB1" w:rsidRPr="0048126E" w:rsidRDefault="00407EB1" w:rsidP="00360B94">
            <w:pPr>
              <w:rPr>
                <w:sz w:val="18"/>
                <w:szCs w:val="18"/>
                <w:lang w:val="en-GB"/>
              </w:rPr>
            </w:pPr>
            <w:r w:rsidRPr="0048126E">
              <w:rPr>
                <w:rFonts w:cs="Arial"/>
                <w:kern w:val="24"/>
                <w:sz w:val="18"/>
                <w:szCs w:val="18"/>
              </w:rPr>
              <w:t>€ 2,627</w:t>
            </w:r>
          </w:p>
        </w:tc>
        <w:tc>
          <w:tcPr>
            <w:tcW w:w="1156" w:type="dxa"/>
          </w:tcPr>
          <w:p w:rsidR="00407EB1" w:rsidRPr="0048126E" w:rsidRDefault="00407EB1" w:rsidP="00360B94">
            <w:pPr>
              <w:rPr>
                <w:sz w:val="18"/>
                <w:szCs w:val="18"/>
                <w:lang w:val="en-GB"/>
              </w:rPr>
            </w:pPr>
            <w:r w:rsidRPr="0048126E">
              <w:rPr>
                <w:sz w:val="18"/>
                <w:szCs w:val="18"/>
                <w:lang w:val="en-GB"/>
              </w:rPr>
              <w:t>€ 1,053</w:t>
            </w:r>
          </w:p>
        </w:tc>
        <w:tc>
          <w:tcPr>
            <w:tcW w:w="2004" w:type="dxa"/>
            <w:vMerge/>
          </w:tcPr>
          <w:p w:rsidR="00407EB1" w:rsidRPr="0048126E" w:rsidRDefault="00407EB1" w:rsidP="00360B94">
            <w:pPr>
              <w:rPr>
                <w:sz w:val="18"/>
                <w:szCs w:val="18"/>
                <w:lang w:val="en-GB"/>
              </w:rPr>
            </w:pPr>
          </w:p>
        </w:tc>
      </w:tr>
      <w:tr w:rsidR="00407EB1" w:rsidRPr="0048126E" w:rsidTr="00360B94">
        <w:tc>
          <w:tcPr>
            <w:tcW w:w="2681" w:type="dxa"/>
          </w:tcPr>
          <w:p w:rsidR="00407EB1" w:rsidRPr="0048126E" w:rsidRDefault="00407EB1" w:rsidP="00360B94">
            <w:pPr>
              <w:rPr>
                <w:sz w:val="18"/>
                <w:szCs w:val="18"/>
                <w:lang w:val="en-GB"/>
              </w:rPr>
            </w:pPr>
            <w:r w:rsidRPr="0048126E">
              <w:rPr>
                <w:rFonts w:cs="Arial"/>
                <w:bCs/>
                <w:kern w:val="24"/>
                <w:sz w:val="18"/>
                <w:szCs w:val="18"/>
              </w:rPr>
              <w:t>PTx event costs</w:t>
            </w:r>
          </w:p>
        </w:tc>
        <w:tc>
          <w:tcPr>
            <w:tcW w:w="1076" w:type="dxa"/>
          </w:tcPr>
          <w:p w:rsidR="00407EB1" w:rsidRPr="0048126E" w:rsidRDefault="00407EB1" w:rsidP="00360B94">
            <w:pPr>
              <w:rPr>
                <w:sz w:val="18"/>
                <w:szCs w:val="18"/>
                <w:lang w:val="en-GB"/>
              </w:rPr>
            </w:pPr>
            <w:r w:rsidRPr="0048126E">
              <w:rPr>
                <w:rFonts w:cs="Arial"/>
                <w:kern w:val="24"/>
                <w:sz w:val="18"/>
                <w:szCs w:val="18"/>
              </w:rPr>
              <w:t>€ 4,249</w:t>
            </w:r>
          </w:p>
        </w:tc>
        <w:tc>
          <w:tcPr>
            <w:tcW w:w="1156" w:type="dxa"/>
          </w:tcPr>
          <w:p w:rsidR="00407EB1" w:rsidRPr="0048126E" w:rsidRDefault="00407EB1" w:rsidP="00360B94">
            <w:pPr>
              <w:rPr>
                <w:sz w:val="18"/>
                <w:szCs w:val="18"/>
                <w:lang w:val="en-GB"/>
              </w:rPr>
            </w:pPr>
            <w:r w:rsidRPr="0048126E">
              <w:rPr>
                <w:sz w:val="18"/>
                <w:szCs w:val="18"/>
                <w:lang w:val="en-GB"/>
              </w:rPr>
              <w:t>€ 2,097</w:t>
            </w:r>
          </w:p>
        </w:tc>
        <w:tc>
          <w:tcPr>
            <w:tcW w:w="2004" w:type="dxa"/>
            <w:vMerge/>
          </w:tcPr>
          <w:p w:rsidR="00407EB1" w:rsidRPr="0048126E" w:rsidRDefault="00407EB1" w:rsidP="00360B94">
            <w:pPr>
              <w:rPr>
                <w:sz w:val="18"/>
                <w:szCs w:val="18"/>
                <w:lang w:val="en-GB"/>
              </w:rPr>
            </w:pPr>
          </w:p>
        </w:tc>
      </w:tr>
      <w:tr w:rsidR="00407EB1" w:rsidRPr="0048126E" w:rsidTr="00360B94">
        <w:tc>
          <w:tcPr>
            <w:tcW w:w="2681" w:type="dxa"/>
          </w:tcPr>
          <w:p w:rsidR="00407EB1" w:rsidRPr="0048126E" w:rsidRDefault="00407EB1" w:rsidP="00360B94">
            <w:pPr>
              <w:rPr>
                <w:sz w:val="18"/>
                <w:szCs w:val="18"/>
                <w:lang w:val="en-GB"/>
              </w:rPr>
            </w:pPr>
            <w:r w:rsidRPr="0048126E">
              <w:rPr>
                <w:rFonts w:cs="Arial"/>
                <w:bCs/>
                <w:kern w:val="24"/>
                <w:sz w:val="18"/>
                <w:szCs w:val="18"/>
              </w:rPr>
              <w:t xml:space="preserve">Monitoring costs </w:t>
            </w:r>
            <w:r w:rsidRPr="0048126E">
              <w:rPr>
                <w:rFonts w:cs="Arial"/>
                <w:kern w:val="24"/>
                <w:sz w:val="18"/>
                <w:szCs w:val="18"/>
              </w:rPr>
              <w:t>(per quarter)</w:t>
            </w:r>
          </w:p>
        </w:tc>
        <w:tc>
          <w:tcPr>
            <w:tcW w:w="1076" w:type="dxa"/>
          </w:tcPr>
          <w:p w:rsidR="00407EB1" w:rsidRPr="0048126E" w:rsidRDefault="00407EB1" w:rsidP="00360B94">
            <w:pPr>
              <w:rPr>
                <w:sz w:val="18"/>
                <w:szCs w:val="18"/>
                <w:lang w:val="en-GB"/>
              </w:rPr>
            </w:pPr>
            <w:r w:rsidRPr="0048126E">
              <w:rPr>
                <w:rFonts w:cs="Arial"/>
                <w:kern w:val="24"/>
                <w:sz w:val="18"/>
                <w:szCs w:val="18"/>
              </w:rPr>
              <w:t>€ 72.9</w:t>
            </w:r>
          </w:p>
        </w:tc>
        <w:tc>
          <w:tcPr>
            <w:tcW w:w="1156" w:type="dxa"/>
          </w:tcPr>
          <w:p w:rsidR="00407EB1" w:rsidRPr="0048126E" w:rsidRDefault="00407EB1" w:rsidP="00360B94">
            <w:pPr>
              <w:rPr>
                <w:sz w:val="18"/>
                <w:szCs w:val="18"/>
                <w:lang w:val="en-GB"/>
              </w:rPr>
            </w:pPr>
            <w:r w:rsidRPr="0048126E">
              <w:rPr>
                <w:sz w:val="18"/>
                <w:szCs w:val="18"/>
                <w:lang w:val="en-GB"/>
              </w:rPr>
              <w:t>€ 4.8</w:t>
            </w:r>
          </w:p>
        </w:tc>
        <w:tc>
          <w:tcPr>
            <w:tcW w:w="2004" w:type="dxa"/>
          </w:tcPr>
          <w:p w:rsidR="00407EB1" w:rsidRPr="0048126E" w:rsidRDefault="00407EB1" w:rsidP="00360B94">
            <w:pPr>
              <w:rPr>
                <w:sz w:val="18"/>
                <w:szCs w:val="18"/>
                <w:lang w:val="en-GB"/>
              </w:rPr>
            </w:pPr>
            <w:r w:rsidRPr="0048126E">
              <w:rPr>
                <w:sz w:val="18"/>
                <w:szCs w:val="18"/>
                <w:lang w:val="en-GB"/>
              </w:rPr>
              <w:t>[</w:t>
            </w:r>
            <w:r w:rsidRPr="0048126E">
              <w:rPr>
                <w:sz w:val="18"/>
                <w:szCs w:val="18"/>
                <w:vertAlign w:val="superscript"/>
                <w:lang w:val="en-GB"/>
              </w:rPr>
              <w:fldChar w:fldCharType="begin"/>
            </w:r>
            <w:r w:rsidRPr="0048126E">
              <w:rPr>
                <w:sz w:val="18"/>
                <w:szCs w:val="18"/>
                <w:vertAlign w:val="superscript"/>
                <w:lang w:val="en-GB"/>
              </w:rPr>
              <w:instrText xml:space="preserve"> NOTEREF _Ref497137217 \h  \* MERGEFORMAT </w:instrText>
            </w:r>
            <w:r w:rsidRPr="0048126E">
              <w:rPr>
                <w:sz w:val="18"/>
                <w:szCs w:val="18"/>
                <w:vertAlign w:val="superscript"/>
                <w:lang w:val="en-GB"/>
              </w:rPr>
            </w:r>
            <w:r w:rsidRPr="0048126E">
              <w:rPr>
                <w:sz w:val="18"/>
                <w:szCs w:val="18"/>
                <w:vertAlign w:val="superscript"/>
                <w:lang w:val="en-GB"/>
              </w:rPr>
              <w:fldChar w:fldCharType="separate"/>
            </w:r>
            <w:r w:rsidRPr="0048126E">
              <w:rPr>
                <w:sz w:val="18"/>
                <w:szCs w:val="18"/>
                <w:vertAlign w:val="superscript"/>
                <w:lang w:val="en-GB"/>
              </w:rPr>
              <w:t>14</w:t>
            </w:r>
            <w:r w:rsidRPr="0048126E">
              <w:rPr>
                <w:sz w:val="18"/>
                <w:szCs w:val="18"/>
                <w:vertAlign w:val="superscript"/>
                <w:lang w:val="en-GB"/>
              </w:rPr>
              <w:fldChar w:fldCharType="end"/>
            </w:r>
            <w:r w:rsidRPr="0048126E">
              <w:rPr>
                <w:sz w:val="18"/>
                <w:szCs w:val="18"/>
                <w:lang w:val="en-GB"/>
              </w:rPr>
              <w:t>]</w:t>
            </w:r>
          </w:p>
        </w:tc>
      </w:tr>
      <w:tr w:rsidR="00407EB1" w:rsidRPr="0048126E" w:rsidTr="00360B94">
        <w:tc>
          <w:tcPr>
            <w:tcW w:w="2681" w:type="dxa"/>
          </w:tcPr>
          <w:p w:rsidR="00407EB1" w:rsidRPr="0048126E" w:rsidRDefault="00407EB1" w:rsidP="00360B94">
            <w:pPr>
              <w:rPr>
                <w:rFonts w:cs="Arial"/>
                <w:bCs/>
                <w:kern w:val="24"/>
                <w:sz w:val="18"/>
                <w:szCs w:val="18"/>
              </w:rPr>
            </w:pPr>
            <w:r w:rsidRPr="0048126E">
              <w:rPr>
                <w:rFonts w:cs="Arial"/>
                <w:bCs/>
                <w:kern w:val="24"/>
                <w:sz w:val="18"/>
                <w:szCs w:val="18"/>
              </w:rPr>
              <w:t>Vitamin D &amp; phosphate binders</w:t>
            </w:r>
          </w:p>
        </w:tc>
        <w:tc>
          <w:tcPr>
            <w:tcW w:w="4236" w:type="dxa"/>
            <w:gridSpan w:val="3"/>
          </w:tcPr>
          <w:p w:rsidR="00407EB1" w:rsidRPr="0048126E" w:rsidRDefault="00407EB1" w:rsidP="00360B94">
            <w:pPr>
              <w:rPr>
                <w:sz w:val="18"/>
                <w:szCs w:val="18"/>
                <w:lang w:val="en-GB"/>
              </w:rPr>
            </w:pPr>
            <w:r w:rsidRPr="0048126E">
              <w:rPr>
                <w:sz w:val="18"/>
                <w:szCs w:val="18"/>
                <w:lang w:val="en-GB"/>
              </w:rPr>
              <w:t>Costs were set to zero for this illustrative analysis.</w:t>
            </w:r>
          </w:p>
        </w:tc>
      </w:tr>
      <w:tr w:rsidR="00407EB1" w:rsidRPr="0048126E" w:rsidTr="00360B94">
        <w:tc>
          <w:tcPr>
            <w:tcW w:w="2681" w:type="dxa"/>
          </w:tcPr>
          <w:p w:rsidR="00407EB1" w:rsidRPr="0048126E" w:rsidRDefault="00407EB1" w:rsidP="00360B94">
            <w:pPr>
              <w:rPr>
                <w:rFonts w:cs="Arial"/>
                <w:bCs/>
                <w:kern w:val="24"/>
                <w:sz w:val="18"/>
                <w:szCs w:val="18"/>
              </w:rPr>
            </w:pPr>
            <w:r w:rsidRPr="0048126E">
              <w:rPr>
                <w:rFonts w:cs="Arial"/>
                <w:bCs/>
                <w:kern w:val="24"/>
                <w:sz w:val="18"/>
                <w:szCs w:val="18"/>
              </w:rPr>
              <w:t>Etelcalcetide</w:t>
            </w:r>
          </w:p>
        </w:tc>
        <w:tc>
          <w:tcPr>
            <w:tcW w:w="4236" w:type="dxa"/>
            <w:gridSpan w:val="3"/>
          </w:tcPr>
          <w:p w:rsidR="00407EB1" w:rsidRPr="0048126E" w:rsidRDefault="00407EB1" w:rsidP="00360B94">
            <w:pPr>
              <w:rPr>
                <w:sz w:val="18"/>
                <w:szCs w:val="18"/>
                <w:lang w:val="en-GB"/>
              </w:rPr>
            </w:pPr>
            <w:r w:rsidRPr="0048126E">
              <w:rPr>
                <w:sz w:val="18"/>
                <w:szCs w:val="18"/>
                <w:lang w:val="en-GB"/>
              </w:rPr>
              <w:t>Varies by scenario; results from the cinacalcet price via the dose ratio (multiplier) and a potential multiplier (1, 1.15, 1.3) to account for an increase in treatment costs</w:t>
            </w:r>
          </w:p>
        </w:tc>
      </w:tr>
    </w:tbl>
    <w:p w:rsidR="00407EB1" w:rsidRDefault="00407EB1" w:rsidP="00407EB1">
      <w:pPr>
        <w:rPr>
          <w:sz w:val="18"/>
          <w:szCs w:val="18"/>
          <w:lang w:val="en-GB"/>
        </w:rPr>
      </w:pPr>
      <w:r w:rsidRPr="0048126E">
        <w:rPr>
          <w:sz w:val="18"/>
          <w:szCs w:val="18"/>
          <w:lang w:val="en-GB"/>
        </w:rPr>
        <w:lastRenderedPageBreak/>
        <w:t>CV: cardiovascular; PTx: parathyroidectomy; SE: standard error; CI: confidence interval; IV: intravenous; n.a., not applicable.</w:t>
      </w:r>
    </w:p>
    <w:p w:rsidR="00407EB1" w:rsidRPr="00D616E1" w:rsidRDefault="00407EB1" w:rsidP="00407EB1">
      <w:pPr>
        <w:rPr>
          <w:sz w:val="18"/>
          <w:szCs w:val="18"/>
          <w:lang w:val="en-GB"/>
        </w:rPr>
      </w:pPr>
      <w:r>
        <w:rPr>
          <w:sz w:val="18"/>
          <w:szCs w:val="18"/>
          <w:lang w:val="en-GB"/>
        </w:rPr>
        <w:t xml:space="preserve">(*) Three price scenarios are explored for etelcalcetide: </w:t>
      </w:r>
      <w:r w:rsidRPr="00B3018D">
        <w:rPr>
          <w:sz w:val="18"/>
          <w:szCs w:val="18"/>
          <w:lang w:val="en-GB"/>
        </w:rPr>
        <w:t xml:space="preserve">1) same weekly </w:t>
      </w:r>
      <w:r>
        <w:rPr>
          <w:sz w:val="18"/>
          <w:szCs w:val="18"/>
          <w:lang w:val="en-GB"/>
        </w:rPr>
        <w:t>calcimimetic drug cost – WCDC;</w:t>
      </w:r>
      <w:r w:rsidRPr="00B3018D">
        <w:rPr>
          <w:sz w:val="18"/>
          <w:szCs w:val="18"/>
          <w:lang w:val="en-GB"/>
        </w:rPr>
        <w:t xml:space="preserve"> 2) </w:t>
      </w:r>
      <w:r>
        <w:rPr>
          <w:sz w:val="18"/>
          <w:szCs w:val="18"/>
          <w:lang w:val="en-GB"/>
        </w:rPr>
        <w:t>+15% WCDC</w:t>
      </w:r>
      <w:r w:rsidRPr="00B3018D">
        <w:rPr>
          <w:sz w:val="18"/>
          <w:szCs w:val="18"/>
          <w:lang w:val="en-GB"/>
        </w:rPr>
        <w:t xml:space="preserve"> and</w:t>
      </w:r>
      <w:r>
        <w:rPr>
          <w:sz w:val="18"/>
          <w:szCs w:val="18"/>
          <w:lang w:val="en-GB"/>
        </w:rPr>
        <w:t>;</w:t>
      </w:r>
      <w:r w:rsidRPr="00B3018D">
        <w:rPr>
          <w:sz w:val="18"/>
          <w:szCs w:val="18"/>
          <w:lang w:val="en-GB"/>
        </w:rPr>
        <w:t xml:space="preserve"> 3) </w:t>
      </w:r>
      <w:r>
        <w:rPr>
          <w:sz w:val="18"/>
          <w:szCs w:val="18"/>
          <w:lang w:val="en-GB"/>
        </w:rPr>
        <w:t>+30% WCDC</w:t>
      </w:r>
      <w:r w:rsidRPr="00B3018D">
        <w:rPr>
          <w:sz w:val="18"/>
          <w:szCs w:val="18"/>
          <w:lang w:val="en-GB"/>
        </w:rPr>
        <w:t>.</w:t>
      </w:r>
    </w:p>
    <w:p w:rsidR="00407EB1" w:rsidRPr="00CD1396" w:rsidRDefault="00407EB1" w:rsidP="00407EB1">
      <w:pPr>
        <w:spacing w:line="240" w:lineRule="auto"/>
        <w:rPr>
          <w:sz w:val="18"/>
          <w:szCs w:val="18"/>
          <w:lang w:val="en-GB"/>
        </w:rPr>
      </w:pPr>
      <w:r w:rsidRPr="00415AAF">
        <w:rPr>
          <w:sz w:val="18"/>
          <w:szCs w:val="18"/>
          <w:vertAlign w:val="superscript"/>
          <w:lang w:val="en-GB"/>
        </w:rPr>
        <w:t>§</w:t>
      </w:r>
      <w:r w:rsidRPr="00CD1396">
        <w:rPr>
          <w:sz w:val="18"/>
          <w:szCs w:val="18"/>
          <w:lang w:val="en-GB"/>
        </w:rPr>
        <w:t xml:space="preserve"> Safety analysis set</w:t>
      </w:r>
      <w:r>
        <w:rPr>
          <w:sz w:val="18"/>
          <w:szCs w:val="18"/>
          <w:lang w:val="en-GB"/>
        </w:rPr>
        <w:t>, sum of cumulative doses divided by total exposure days; SE based on bootstrapping</w:t>
      </w:r>
      <w:r w:rsidRPr="00CD1396">
        <w:rPr>
          <w:sz w:val="18"/>
          <w:szCs w:val="18"/>
          <w:lang w:val="en-GB"/>
        </w:rPr>
        <w:t>.</w:t>
      </w:r>
    </w:p>
    <w:p w:rsidR="00407EB1" w:rsidRDefault="00407EB1" w:rsidP="00407EB1">
      <w:pPr>
        <w:spacing w:line="240" w:lineRule="auto"/>
        <w:rPr>
          <w:b/>
          <w:lang w:val="en-GB"/>
        </w:rPr>
      </w:pPr>
    </w:p>
    <w:p w:rsidR="00407EB1" w:rsidRPr="00D616E1" w:rsidRDefault="00407EB1" w:rsidP="00407EB1">
      <w:pPr>
        <w:spacing w:line="240" w:lineRule="auto"/>
        <w:rPr>
          <w:b/>
          <w:lang w:val="en-GB"/>
        </w:rPr>
      </w:pPr>
    </w:p>
    <w:p w:rsidR="00407EB1" w:rsidRPr="00D616E1" w:rsidRDefault="00407EB1" w:rsidP="00407EB1">
      <w:pPr>
        <w:spacing w:line="240" w:lineRule="auto"/>
        <w:rPr>
          <w:b/>
          <w:bCs/>
          <w:color w:val="5B9BD5" w:themeColor="accent1"/>
          <w:sz w:val="18"/>
          <w:szCs w:val="18"/>
          <w:lang w:val="en-GB"/>
        </w:rPr>
      </w:pPr>
      <w:bookmarkStart w:id="17" w:name="_Ref322773688"/>
      <w:r w:rsidRPr="00D616E1">
        <w:rPr>
          <w:lang w:val="en-GB"/>
        </w:rPr>
        <w:br w:type="page"/>
      </w:r>
    </w:p>
    <w:p w:rsidR="00407EB1" w:rsidRPr="00D616E1" w:rsidRDefault="00407EB1" w:rsidP="00407EB1">
      <w:pPr>
        <w:pStyle w:val="Beschriftung"/>
        <w:keepNext/>
        <w:rPr>
          <w:lang w:val="en-GB"/>
        </w:rPr>
        <w:sectPr w:rsidR="00407EB1" w:rsidRPr="00D616E1" w:rsidSect="0094707E">
          <w:endnotePr>
            <w:numFmt w:val="decimal"/>
          </w:endnotePr>
          <w:type w:val="continuous"/>
          <w:pgSz w:w="12240" w:h="15840"/>
          <w:pgMar w:top="1440" w:right="1440" w:bottom="2160" w:left="1440" w:header="708" w:footer="708" w:gutter="0"/>
          <w:cols w:space="708"/>
        </w:sectPr>
      </w:pPr>
      <w:bookmarkStart w:id="18" w:name="_Ref461013348"/>
    </w:p>
    <w:p w:rsidR="00407EB1" w:rsidRPr="00D616E1" w:rsidRDefault="00407EB1" w:rsidP="00407EB1">
      <w:pPr>
        <w:pStyle w:val="Beschriftung"/>
        <w:keepNext/>
        <w:rPr>
          <w:lang w:val="en-GB"/>
        </w:rPr>
      </w:pPr>
      <w:bookmarkStart w:id="19" w:name="_Ref473538292"/>
      <w:r w:rsidRPr="00D616E1">
        <w:rPr>
          <w:lang w:val="en-GB"/>
        </w:rPr>
        <w:lastRenderedPageBreak/>
        <w:t xml:space="preserve">Table </w:t>
      </w:r>
      <w:r w:rsidRPr="00FC75BB">
        <w:rPr>
          <w:lang w:val="en-GB"/>
        </w:rPr>
        <w:fldChar w:fldCharType="begin"/>
      </w:r>
      <w:r w:rsidRPr="00D616E1">
        <w:rPr>
          <w:lang w:val="en-GB"/>
        </w:rPr>
        <w:instrText xml:space="preserve"> SEQ Tabella \* ARABIC </w:instrText>
      </w:r>
      <w:r w:rsidRPr="00FC75BB">
        <w:rPr>
          <w:lang w:val="en-GB"/>
        </w:rPr>
        <w:fldChar w:fldCharType="separate"/>
      </w:r>
      <w:r>
        <w:rPr>
          <w:noProof/>
          <w:lang w:val="en-GB"/>
        </w:rPr>
        <w:t>3</w:t>
      </w:r>
      <w:r w:rsidRPr="00FC75BB">
        <w:rPr>
          <w:lang w:val="en-GB"/>
        </w:rPr>
        <w:fldChar w:fldCharType="end"/>
      </w:r>
      <w:bookmarkEnd w:id="17"/>
      <w:bookmarkEnd w:id="18"/>
      <w:bookmarkEnd w:id="19"/>
      <w:r w:rsidRPr="00D616E1">
        <w:rPr>
          <w:lang w:val="en-GB"/>
        </w:rPr>
        <w:t xml:space="preserve"> - Base case results of the cost-effectiveness analysis</w:t>
      </w:r>
    </w:p>
    <w:tbl>
      <w:tblPr>
        <w:tblStyle w:val="Tabellenraster"/>
        <w:tblW w:w="12456" w:type="dxa"/>
        <w:tblLook w:val="04A0" w:firstRow="1" w:lastRow="0" w:firstColumn="1" w:lastColumn="0" w:noHBand="0" w:noVBand="1"/>
      </w:tblPr>
      <w:tblGrid>
        <w:gridCol w:w="1290"/>
        <w:gridCol w:w="1350"/>
        <w:gridCol w:w="1134"/>
        <w:gridCol w:w="1350"/>
        <w:gridCol w:w="1646"/>
        <w:gridCol w:w="1892"/>
        <w:gridCol w:w="1897"/>
        <w:gridCol w:w="1897"/>
      </w:tblGrid>
      <w:tr w:rsidR="00407EB1" w:rsidRPr="00D616E1" w:rsidTr="00360B94">
        <w:tc>
          <w:tcPr>
            <w:tcW w:w="1199" w:type="dxa"/>
          </w:tcPr>
          <w:p w:rsidR="00407EB1" w:rsidRPr="00D616E1" w:rsidRDefault="00407EB1" w:rsidP="00360B94">
            <w:pPr>
              <w:rPr>
                <w:b/>
                <w:sz w:val="18"/>
                <w:szCs w:val="18"/>
                <w:lang w:val="en-GB"/>
              </w:rPr>
            </w:pPr>
          </w:p>
        </w:tc>
        <w:tc>
          <w:tcPr>
            <w:tcW w:w="2486" w:type="dxa"/>
            <w:gridSpan w:val="2"/>
          </w:tcPr>
          <w:p w:rsidR="00407EB1" w:rsidRPr="00D616E1" w:rsidRDefault="00407EB1" w:rsidP="00360B94">
            <w:pPr>
              <w:rPr>
                <w:b/>
                <w:sz w:val="18"/>
                <w:szCs w:val="18"/>
                <w:lang w:val="en-GB"/>
              </w:rPr>
            </w:pPr>
            <w:r w:rsidRPr="00D616E1">
              <w:rPr>
                <w:b/>
                <w:sz w:val="18"/>
                <w:szCs w:val="18"/>
                <w:lang w:val="en-GB"/>
              </w:rPr>
              <w:t>LYs</w:t>
            </w:r>
          </w:p>
        </w:tc>
        <w:tc>
          <w:tcPr>
            <w:tcW w:w="3020" w:type="dxa"/>
            <w:gridSpan w:val="2"/>
          </w:tcPr>
          <w:p w:rsidR="00407EB1" w:rsidRPr="00D616E1" w:rsidRDefault="00407EB1" w:rsidP="00360B94">
            <w:pPr>
              <w:jc w:val="center"/>
              <w:rPr>
                <w:b/>
                <w:sz w:val="18"/>
                <w:szCs w:val="18"/>
                <w:lang w:val="en-GB"/>
              </w:rPr>
            </w:pPr>
            <w:r w:rsidRPr="00D616E1">
              <w:rPr>
                <w:b/>
                <w:sz w:val="18"/>
                <w:szCs w:val="18"/>
                <w:lang w:val="en-GB"/>
              </w:rPr>
              <w:t>QALYs</w:t>
            </w:r>
          </w:p>
        </w:tc>
        <w:tc>
          <w:tcPr>
            <w:tcW w:w="5751" w:type="dxa"/>
            <w:gridSpan w:val="3"/>
          </w:tcPr>
          <w:p w:rsidR="00407EB1" w:rsidRPr="00D616E1" w:rsidRDefault="00407EB1" w:rsidP="00360B94">
            <w:pPr>
              <w:jc w:val="center"/>
              <w:rPr>
                <w:b/>
                <w:sz w:val="18"/>
                <w:szCs w:val="18"/>
                <w:lang w:val="en-GB"/>
              </w:rPr>
            </w:pPr>
            <w:r w:rsidRPr="00D616E1">
              <w:rPr>
                <w:b/>
                <w:sz w:val="18"/>
                <w:szCs w:val="18"/>
                <w:lang w:val="en-GB"/>
              </w:rPr>
              <w:t>Costs (discounted)</w:t>
            </w:r>
          </w:p>
        </w:tc>
      </w:tr>
      <w:tr w:rsidR="00407EB1" w:rsidRPr="00D616E1" w:rsidTr="00360B94">
        <w:tc>
          <w:tcPr>
            <w:tcW w:w="1199" w:type="dxa"/>
          </w:tcPr>
          <w:p w:rsidR="00407EB1" w:rsidRPr="00D616E1" w:rsidRDefault="00407EB1" w:rsidP="00360B94">
            <w:pPr>
              <w:rPr>
                <w:b/>
                <w:sz w:val="18"/>
                <w:szCs w:val="18"/>
                <w:lang w:val="en-GB"/>
              </w:rPr>
            </w:pPr>
          </w:p>
        </w:tc>
        <w:tc>
          <w:tcPr>
            <w:tcW w:w="1351" w:type="dxa"/>
          </w:tcPr>
          <w:p w:rsidR="00407EB1" w:rsidRPr="00D616E1" w:rsidRDefault="00407EB1" w:rsidP="00360B94">
            <w:pPr>
              <w:rPr>
                <w:b/>
                <w:sz w:val="18"/>
                <w:szCs w:val="18"/>
                <w:lang w:val="en-GB"/>
              </w:rPr>
            </w:pPr>
            <w:r w:rsidRPr="00D616E1">
              <w:rPr>
                <w:b/>
                <w:sz w:val="18"/>
                <w:szCs w:val="18"/>
                <w:lang w:val="en-GB"/>
              </w:rPr>
              <w:t>undiscounted</w:t>
            </w:r>
          </w:p>
        </w:tc>
        <w:tc>
          <w:tcPr>
            <w:tcW w:w="1135" w:type="dxa"/>
          </w:tcPr>
          <w:p w:rsidR="00407EB1" w:rsidRPr="00D616E1" w:rsidRDefault="00407EB1" w:rsidP="00360B94">
            <w:pPr>
              <w:rPr>
                <w:b/>
                <w:sz w:val="18"/>
                <w:szCs w:val="18"/>
                <w:lang w:val="en-GB"/>
              </w:rPr>
            </w:pPr>
            <w:r w:rsidRPr="00D616E1">
              <w:rPr>
                <w:b/>
                <w:sz w:val="18"/>
                <w:szCs w:val="18"/>
                <w:lang w:val="en-GB"/>
              </w:rPr>
              <w:t>discounted</w:t>
            </w:r>
          </w:p>
        </w:tc>
        <w:tc>
          <w:tcPr>
            <w:tcW w:w="1351" w:type="dxa"/>
          </w:tcPr>
          <w:p w:rsidR="00407EB1" w:rsidRPr="00D616E1" w:rsidRDefault="00407EB1" w:rsidP="00360B94">
            <w:pPr>
              <w:rPr>
                <w:b/>
                <w:sz w:val="18"/>
                <w:szCs w:val="18"/>
                <w:lang w:val="en-GB"/>
              </w:rPr>
            </w:pPr>
            <w:r w:rsidRPr="00D616E1">
              <w:rPr>
                <w:b/>
                <w:sz w:val="18"/>
                <w:szCs w:val="18"/>
                <w:lang w:val="en-GB"/>
              </w:rPr>
              <w:t>undiscounted</w:t>
            </w:r>
          </w:p>
        </w:tc>
        <w:tc>
          <w:tcPr>
            <w:tcW w:w="1669" w:type="dxa"/>
          </w:tcPr>
          <w:p w:rsidR="00407EB1" w:rsidRPr="00D616E1" w:rsidRDefault="00407EB1" w:rsidP="00360B94">
            <w:pPr>
              <w:rPr>
                <w:b/>
                <w:sz w:val="18"/>
                <w:szCs w:val="18"/>
                <w:lang w:val="en-GB"/>
              </w:rPr>
            </w:pPr>
            <w:r w:rsidRPr="00D616E1">
              <w:rPr>
                <w:b/>
                <w:sz w:val="18"/>
                <w:szCs w:val="18"/>
                <w:lang w:val="en-GB"/>
              </w:rPr>
              <w:t>discounted</w:t>
            </w:r>
          </w:p>
        </w:tc>
        <w:tc>
          <w:tcPr>
            <w:tcW w:w="1917" w:type="dxa"/>
          </w:tcPr>
          <w:p w:rsidR="00407EB1" w:rsidRPr="00D616E1" w:rsidRDefault="00407EB1" w:rsidP="00360B94">
            <w:pPr>
              <w:rPr>
                <w:b/>
                <w:sz w:val="18"/>
                <w:szCs w:val="18"/>
                <w:lang w:val="en-GB"/>
              </w:rPr>
            </w:pPr>
            <w:r w:rsidRPr="00D616E1">
              <w:rPr>
                <w:b/>
                <w:sz w:val="18"/>
                <w:szCs w:val="18"/>
                <w:lang w:val="en-GB"/>
              </w:rPr>
              <w:t>Same WCDC</w:t>
            </w:r>
          </w:p>
        </w:tc>
        <w:tc>
          <w:tcPr>
            <w:tcW w:w="1917" w:type="dxa"/>
          </w:tcPr>
          <w:p w:rsidR="00407EB1" w:rsidRPr="00D616E1" w:rsidRDefault="00407EB1" w:rsidP="00360B94">
            <w:pPr>
              <w:rPr>
                <w:b/>
                <w:sz w:val="18"/>
                <w:szCs w:val="18"/>
                <w:lang w:val="en-GB"/>
              </w:rPr>
            </w:pPr>
            <w:r w:rsidRPr="00D616E1">
              <w:rPr>
                <w:b/>
                <w:sz w:val="18"/>
                <w:szCs w:val="18"/>
                <w:lang w:val="en-GB"/>
              </w:rPr>
              <w:t>+15% WCDC</w:t>
            </w:r>
          </w:p>
        </w:tc>
        <w:tc>
          <w:tcPr>
            <w:tcW w:w="1917" w:type="dxa"/>
          </w:tcPr>
          <w:p w:rsidR="00407EB1" w:rsidRPr="00D616E1" w:rsidRDefault="00407EB1" w:rsidP="00360B94">
            <w:pPr>
              <w:rPr>
                <w:b/>
                <w:sz w:val="18"/>
                <w:szCs w:val="18"/>
                <w:lang w:val="en-GB"/>
              </w:rPr>
            </w:pPr>
            <w:r w:rsidRPr="00D616E1">
              <w:rPr>
                <w:b/>
                <w:sz w:val="18"/>
                <w:szCs w:val="18"/>
                <w:lang w:val="en-GB"/>
              </w:rPr>
              <w:t>+30% WCDC</w:t>
            </w:r>
          </w:p>
        </w:tc>
      </w:tr>
      <w:tr w:rsidR="00407EB1" w:rsidRPr="00D616E1" w:rsidTr="00360B94">
        <w:tc>
          <w:tcPr>
            <w:tcW w:w="1199" w:type="dxa"/>
            <w:vAlign w:val="center"/>
          </w:tcPr>
          <w:p w:rsidR="00407EB1" w:rsidRPr="00D616E1" w:rsidRDefault="00407EB1" w:rsidP="00360B94">
            <w:pPr>
              <w:rPr>
                <w:rFonts w:cs="Arial"/>
                <w:color w:val="000000"/>
                <w:sz w:val="18"/>
                <w:szCs w:val="18"/>
                <w:lang w:val="en-GB"/>
              </w:rPr>
            </w:pPr>
            <w:r w:rsidRPr="00D616E1">
              <w:rPr>
                <w:rFonts w:cs="Arial"/>
                <w:color w:val="000000"/>
                <w:sz w:val="18"/>
                <w:szCs w:val="18"/>
                <w:lang w:val="en-GB"/>
              </w:rPr>
              <w:t>Etelcalcetide</w:t>
            </w:r>
          </w:p>
        </w:tc>
        <w:tc>
          <w:tcPr>
            <w:tcW w:w="1351"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7.575</w:t>
            </w:r>
          </w:p>
        </w:tc>
        <w:tc>
          <w:tcPr>
            <w:tcW w:w="1135"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6.348</w:t>
            </w:r>
          </w:p>
        </w:tc>
        <w:tc>
          <w:tcPr>
            <w:tcW w:w="1351"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4.7</w:t>
            </w:r>
            <w:r>
              <w:rPr>
                <w:rFonts w:cs="Arial"/>
                <w:color w:val="000000"/>
                <w:sz w:val="18"/>
                <w:szCs w:val="18"/>
                <w:lang w:val="en-GB"/>
              </w:rPr>
              <w:t>49</w:t>
            </w:r>
          </w:p>
        </w:tc>
        <w:tc>
          <w:tcPr>
            <w:tcW w:w="1669"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4.0</w:t>
            </w:r>
            <w:r>
              <w:rPr>
                <w:rFonts w:cs="Arial"/>
                <w:color w:val="000000"/>
                <w:sz w:val="18"/>
                <w:szCs w:val="18"/>
                <w:lang w:val="en-GB"/>
              </w:rPr>
              <w:t>32</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w:t>
            </w:r>
            <w:r>
              <w:rPr>
                <w:rFonts w:cs="Arial"/>
                <w:color w:val="000000"/>
                <w:sz w:val="18"/>
                <w:szCs w:val="18"/>
                <w:lang w:val="en-GB"/>
              </w:rPr>
              <w:t>14,195</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w:t>
            </w:r>
            <w:r>
              <w:rPr>
                <w:rFonts w:cs="Arial"/>
                <w:color w:val="000000"/>
                <w:sz w:val="18"/>
                <w:szCs w:val="18"/>
                <w:lang w:val="en-GB"/>
              </w:rPr>
              <w:t>14,932</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w:t>
            </w:r>
            <w:r>
              <w:rPr>
                <w:rFonts w:cs="Arial"/>
                <w:color w:val="000000"/>
                <w:sz w:val="18"/>
                <w:szCs w:val="18"/>
                <w:lang w:val="en-GB"/>
              </w:rPr>
              <w:t>15,670</w:t>
            </w:r>
          </w:p>
        </w:tc>
      </w:tr>
      <w:tr w:rsidR="00407EB1" w:rsidRPr="00D616E1" w:rsidTr="00360B94">
        <w:tc>
          <w:tcPr>
            <w:tcW w:w="1199" w:type="dxa"/>
            <w:vAlign w:val="center"/>
          </w:tcPr>
          <w:p w:rsidR="00407EB1" w:rsidRPr="00D616E1" w:rsidRDefault="00407EB1" w:rsidP="00360B94">
            <w:pPr>
              <w:rPr>
                <w:rFonts w:cs="Arial"/>
                <w:color w:val="000000"/>
                <w:sz w:val="18"/>
                <w:szCs w:val="18"/>
                <w:lang w:val="en-GB"/>
              </w:rPr>
            </w:pPr>
            <w:r w:rsidRPr="00D616E1">
              <w:rPr>
                <w:rFonts w:cs="Arial"/>
                <w:color w:val="000000"/>
                <w:sz w:val="18"/>
                <w:szCs w:val="18"/>
                <w:lang w:val="en-GB"/>
              </w:rPr>
              <w:t>Cinacalcet</w:t>
            </w:r>
          </w:p>
        </w:tc>
        <w:tc>
          <w:tcPr>
            <w:tcW w:w="1351"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7.520</w:t>
            </w:r>
          </w:p>
        </w:tc>
        <w:tc>
          <w:tcPr>
            <w:tcW w:w="1135"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6.304</w:t>
            </w:r>
          </w:p>
        </w:tc>
        <w:tc>
          <w:tcPr>
            <w:tcW w:w="1351"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4.7</w:t>
            </w:r>
            <w:r>
              <w:rPr>
                <w:rFonts w:cs="Arial"/>
                <w:color w:val="000000"/>
                <w:sz w:val="18"/>
                <w:szCs w:val="18"/>
                <w:lang w:val="en-GB"/>
              </w:rPr>
              <w:t>71</w:t>
            </w:r>
          </w:p>
        </w:tc>
        <w:tc>
          <w:tcPr>
            <w:tcW w:w="1669"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4.0</w:t>
            </w:r>
            <w:r>
              <w:rPr>
                <w:rFonts w:cs="Arial"/>
                <w:color w:val="000000"/>
                <w:sz w:val="18"/>
                <w:szCs w:val="18"/>
                <w:lang w:val="en-GB"/>
              </w:rPr>
              <w:t>00</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w:t>
            </w:r>
            <w:r>
              <w:rPr>
                <w:rFonts w:cs="Arial"/>
                <w:color w:val="000000"/>
                <w:sz w:val="18"/>
                <w:szCs w:val="18"/>
                <w:lang w:val="en-GB"/>
              </w:rPr>
              <w:t>14,152</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w:t>
            </w:r>
            <w:r>
              <w:rPr>
                <w:rFonts w:cs="Arial"/>
                <w:color w:val="000000"/>
                <w:sz w:val="18"/>
                <w:szCs w:val="18"/>
                <w:lang w:val="en-GB"/>
              </w:rPr>
              <w:t>14,152</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w:t>
            </w:r>
            <w:r>
              <w:rPr>
                <w:rFonts w:cs="Arial"/>
                <w:color w:val="000000"/>
                <w:sz w:val="18"/>
                <w:szCs w:val="18"/>
                <w:lang w:val="en-GB"/>
              </w:rPr>
              <w:t>14,152</w:t>
            </w:r>
          </w:p>
        </w:tc>
      </w:tr>
      <w:tr w:rsidR="00407EB1" w:rsidRPr="00D616E1" w:rsidTr="00360B94">
        <w:tc>
          <w:tcPr>
            <w:tcW w:w="12456" w:type="dxa"/>
            <w:gridSpan w:val="8"/>
          </w:tcPr>
          <w:p w:rsidR="00407EB1" w:rsidRPr="00D616E1" w:rsidRDefault="00407EB1" w:rsidP="00360B94">
            <w:pPr>
              <w:rPr>
                <w:rFonts w:cs="Arial"/>
                <w:b/>
                <w:color w:val="000000"/>
                <w:sz w:val="18"/>
                <w:szCs w:val="18"/>
                <w:lang w:val="en-GB"/>
              </w:rPr>
            </w:pPr>
            <w:r w:rsidRPr="00D616E1">
              <w:rPr>
                <w:rFonts w:cs="Arial"/>
                <w:b/>
                <w:color w:val="000000"/>
                <w:sz w:val="18"/>
                <w:szCs w:val="18"/>
                <w:lang w:val="en-GB"/>
              </w:rPr>
              <w:t>Increments</w:t>
            </w:r>
          </w:p>
        </w:tc>
      </w:tr>
      <w:tr w:rsidR="00407EB1" w:rsidRPr="00D616E1" w:rsidTr="00360B94">
        <w:tc>
          <w:tcPr>
            <w:tcW w:w="1199" w:type="dxa"/>
            <w:vAlign w:val="center"/>
          </w:tcPr>
          <w:p w:rsidR="00407EB1" w:rsidRPr="00D616E1" w:rsidRDefault="00407EB1" w:rsidP="00360B94">
            <w:pPr>
              <w:rPr>
                <w:rFonts w:cs="Arial"/>
                <w:color w:val="000000"/>
                <w:sz w:val="18"/>
                <w:szCs w:val="18"/>
                <w:lang w:val="en-GB"/>
              </w:rPr>
            </w:pPr>
            <w:r w:rsidRPr="00D616E1">
              <w:rPr>
                <w:rFonts w:cs="Arial"/>
                <w:color w:val="000000"/>
                <w:sz w:val="18"/>
                <w:szCs w:val="18"/>
                <w:lang w:val="en-GB"/>
              </w:rPr>
              <w:t>Etelcalcetide vs. cinacalcet</w:t>
            </w:r>
          </w:p>
        </w:tc>
        <w:tc>
          <w:tcPr>
            <w:tcW w:w="1351"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0.055</w:t>
            </w:r>
          </w:p>
        </w:tc>
        <w:tc>
          <w:tcPr>
            <w:tcW w:w="1135"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0.043</w:t>
            </w:r>
          </w:p>
        </w:tc>
        <w:tc>
          <w:tcPr>
            <w:tcW w:w="1351"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0.039</w:t>
            </w:r>
          </w:p>
        </w:tc>
        <w:tc>
          <w:tcPr>
            <w:tcW w:w="1669"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0.032</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€4</w:t>
            </w:r>
            <w:r>
              <w:rPr>
                <w:rFonts w:cs="Arial"/>
                <w:color w:val="000000"/>
                <w:sz w:val="18"/>
                <w:szCs w:val="18"/>
                <w:lang w:val="en-GB"/>
              </w:rPr>
              <w:t>3</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€78</w:t>
            </w:r>
            <w:r>
              <w:rPr>
                <w:rFonts w:cs="Arial"/>
                <w:color w:val="000000"/>
                <w:sz w:val="18"/>
                <w:szCs w:val="18"/>
                <w:lang w:val="en-GB"/>
              </w:rPr>
              <w:t>0</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€1,5</w:t>
            </w:r>
            <w:r>
              <w:rPr>
                <w:rFonts w:cs="Arial"/>
                <w:color w:val="000000"/>
                <w:sz w:val="18"/>
                <w:szCs w:val="18"/>
                <w:lang w:val="en-GB"/>
              </w:rPr>
              <w:t>18</w:t>
            </w:r>
          </w:p>
        </w:tc>
      </w:tr>
      <w:tr w:rsidR="00407EB1" w:rsidRPr="00D616E1" w:rsidTr="00360B94">
        <w:tc>
          <w:tcPr>
            <w:tcW w:w="12456" w:type="dxa"/>
            <w:gridSpan w:val="8"/>
          </w:tcPr>
          <w:p w:rsidR="00407EB1" w:rsidRPr="00D616E1" w:rsidRDefault="00407EB1" w:rsidP="00360B94">
            <w:pPr>
              <w:rPr>
                <w:rFonts w:cs="Arial"/>
                <w:color w:val="000000"/>
                <w:sz w:val="18"/>
                <w:szCs w:val="18"/>
                <w:lang w:val="en-GB"/>
              </w:rPr>
            </w:pPr>
            <w:r w:rsidRPr="00D616E1">
              <w:rPr>
                <w:rFonts w:cs="Arial"/>
                <w:b/>
                <w:sz w:val="18"/>
                <w:szCs w:val="18"/>
                <w:lang w:val="en-GB"/>
              </w:rPr>
              <w:t>ICER</w:t>
            </w:r>
          </w:p>
        </w:tc>
      </w:tr>
      <w:tr w:rsidR="00407EB1" w:rsidRPr="00D616E1" w:rsidTr="00360B94">
        <w:tc>
          <w:tcPr>
            <w:tcW w:w="6705" w:type="dxa"/>
            <w:gridSpan w:val="5"/>
            <w:vAlign w:val="center"/>
          </w:tcPr>
          <w:p w:rsidR="00407EB1" w:rsidRPr="00D616E1" w:rsidRDefault="00407EB1" w:rsidP="00360B94">
            <w:pPr>
              <w:rPr>
                <w:rFonts w:cs="Arial"/>
                <w:color w:val="000000"/>
                <w:sz w:val="18"/>
                <w:szCs w:val="18"/>
                <w:lang w:val="en-GB"/>
              </w:rPr>
            </w:pPr>
            <w:r w:rsidRPr="00D616E1">
              <w:rPr>
                <w:rFonts w:cs="Arial"/>
                <w:color w:val="000000"/>
                <w:sz w:val="18"/>
                <w:szCs w:val="18"/>
                <w:lang w:val="en-GB"/>
              </w:rPr>
              <w:t>Etelcalcetide vs. cinacalcet</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w:t>
            </w:r>
            <w:r>
              <w:rPr>
                <w:rFonts w:cs="Arial"/>
                <w:color w:val="000000"/>
                <w:sz w:val="18"/>
                <w:szCs w:val="18"/>
                <w:lang w:val="en-GB"/>
              </w:rPr>
              <w:t>1,355</w:t>
            </w:r>
            <w:r w:rsidRPr="00D616E1">
              <w:rPr>
                <w:rFonts w:cs="Arial"/>
                <w:color w:val="000000"/>
                <w:sz w:val="18"/>
                <w:szCs w:val="18"/>
                <w:lang w:val="en-GB"/>
              </w:rPr>
              <w:t>/QALY</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w:t>
            </w:r>
            <w:r>
              <w:rPr>
                <w:rFonts w:cs="Arial"/>
                <w:color w:val="000000"/>
                <w:sz w:val="18"/>
                <w:szCs w:val="18"/>
                <w:lang w:val="en-GB"/>
              </w:rPr>
              <w:t>24,521</w:t>
            </w:r>
            <w:r w:rsidRPr="00D616E1">
              <w:rPr>
                <w:rFonts w:cs="Arial"/>
                <w:color w:val="000000"/>
                <w:sz w:val="18"/>
                <w:szCs w:val="18"/>
                <w:lang w:val="en-GB"/>
              </w:rPr>
              <w:t>/QALY</w:t>
            </w:r>
          </w:p>
        </w:tc>
        <w:tc>
          <w:tcPr>
            <w:tcW w:w="1917" w:type="dxa"/>
          </w:tcPr>
          <w:p w:rsidR="00407EB1" w:rsidRPr="00D616E1" w:rsidRDefault="00407EB1" w:rsidP="00360B94">
            <w:pPr>
              <w:jc w:val="center"/>
              <w:rPr>
                <w:rFonts w:cs="Arial"/>
                <w:color w:val="000000"/>
                <w:sz w:val="18"/>
                <w:szCs w:val="18"/>
                <w:lang w:val="en-GB"/>
              </w:rPr>
            </w:pPr>
            <w:r w:rsidRPr="00D616E1">
              <w:rPr>
                <w:rFonts w:cs="Arial"/>
                <w:color w:val="000000"/>
                <w:sz w:val="18"/>
                <w:szCs w:val="18"/>
                <w:lang w:val="en-GB"/>
              </w:rPr>
              <w:t>€</w:t>
            </w:r>
            <w:r>
              <w:rPr>
                <w:rFonts w:cs="Arial"/>
                <w:color w:val="000000"/>
                <w:sz w:val="18"/>
                <w:szCs w:val="18"/>
                <w:lang w:val="en-GB"/>
              </w:rPr>
              <w:t>47,687</w:t>
            </w:r>
            <w:r w:rsidRPr="00D616E1">
              <w:rPr>
                <w:rFonts w:cs="Arial"/>
                <w:color w:val="000000"/>
                <w:sz w:val="18"/>
                <w:szCs w:val="18"/>
                <w:lang w:val="en-GB"/>
              </w:rPr>
              <w:t>/QALY</w:t>
            </w:r>
          </w:p>
        </w:tc>
      </w:tr>
    </w:tbl>
    <w:p w:rsidR="00407EB1" w:rsidRPr="00D616E1" w:rsidRDefault="00407EB1" w:rsidP="00407EB1">
      <w:pPr>
        <w:rPr>
          <w:sz w:val="18"/>
          <w:szCs w:val="18"/>
          <w:lang w:val="en-GB"/>
        </w:rPr>
      </w:pPr>
      <w:r w:rsidRPr="00D616E1">
        <w:rPr>
          <w:sz w:val="18"/>
          <w:szCs w:val="18"/>
          <w:lang w:val="en-GB"/>
        </w:rPr>
        <w:t xml:space="preserve">QALY: quality-adjusted life-years; ICER: incremental cost-effectiveness ratio; LY: life-years; PB/VD: phosphate binders and vitamin D </w:t>
      </w:r>
      <w:r w:rsidRPr="0021217E">
        <w:rPr>
          <w:sz w:val="18"/>
          <w:szCs w:val="18"/>
          <w:lang w:val="en-GB"/>
        </w:rPr>
        <w:t xml:space="preserve">and/or analogs </w:t>
      </w:r>
      <w:r w:rsidRPr="00D616E1">
        <w:rPr>
          <w:sz w:val="18"/>
          <w:szCs w:val="18"/>
          <w:lang w:val="en-GB"/>
        </w:rPr>
        <w:t>alone; WCDC: weekly calcimimetic drug cost.</w:t>
      </w:r>
    </w:p>
    <w:p w:rsidR="00407EB1" w:rsidRDefault="00407EB1" w:rsidP="00407EB1">
      <w:pPr>
        <w:spacing w:line="240" w:lineRule="auto"/>
        <w:rPr>
          <w:b/>
          <w:lang w:val="en-GB"/>
        </w:rPr>
      </w:pPr>
    </w:p>
    <w:p w:rsidR="00407EB1" w:rsidRDefault="00407EB1" w:rsidP="00407EB1">
      <w:pPr>
        <w:spacing w:line="240" w:lineRule="auto"/>
        <w:rPr>
          <w:b/>
          <w:lang w:val="en-GB"/>
        </w:rPr>
      </w:pPr>
      <w:r>
        <w:rPr>
          <w:b/>
          <w:lang w:val="en-GB"/>
        </w:rPr>
        <w:br w:type="page"/>
      </w:r>
    </w:p>
    <w:p w:rsidR="00407EB1" w:rsidRDefault="00407EB1" w:rsidP="00407EB1">
      <w:pPr>
        <w:pStyle w:val="Beschriftung"/>
        <w:keepNext/>
        <w:rPr>
          <w:lang w:val="en-GB"/>
        </w:rPr>
      </w:pPr>
      <w:r w:rsidRPr="00807DEC">
        <w:rPr>
          <w:lang w:val="en-GB"/>
        </w:rPr>
        <w:lastRenderedPageBreak/>
        <w:t xml:space="preserve">Table </w:t>
      </w:r>
      <w:r w:rsidRPr="00CD1396">
        <w:rPr>
          <w:lang w:val="en-GB"/>
        </w:rPr>
        <w:t>4</w:t>
      </w:r>
      <w:r w:rsidRPr="00807DEC">
        <w:rPr>
          <w:lang w:val="en-GB"/>
        </w:rPr>
        <w:t xml:space="preserve"> </w:t>
      </w:r>
      <w:r w:rsidRPr="002F2F8A">
        <w:rPr>
          <w:lang w:val="en-GB"/>
        </w:rPr>
        <w:t>–</w:t>
      </w:r>
      <w:r w:rsidRPr="00B073B8">
        <w:rPr>
          <w:lang w:val="en-GB"/>
        </w:rPr>
        <w:t xml:space="preserve"> </w:t>
      </w:r>
      <w:r w:rsidRPr="00C73EEC">
        <w:rPr>
          <w:lang w:val="en-GB"/>
        </w:rPr>
        <w:t>Structural sensitivity analysis on the incremental cost-effectiveness ration</w:t>
      </w:r>
    </w:p>
    <w:tbl>
      <w:tblPr>
        <w:tblStyle w:val="Tabellenraster"/>
        <w:tblW w:w="0" w:type="auto"/>
        <w:tblLook w:val="04A0" w:firstRow="1" w:lastRow="0" w:firstColumn="1" w:lastColumn="0" w:noHBand="0" w:noVBand="1"/>
      </w:tblPr>
      <w:tblGrid>
        <w:gridCol w:w="3114"/>
        <w:gridCol w:w="3114"/>
        <w:gridCol w:w="3114"/>
        <w:gridCol w:w="3114"/>
      </w:tblGrid>
      <w:tr w:rsidR="00407EB1" w:rsidTr="00360B94">
        <w:tc>
          <w:tcPr>
            <w:tcW w:w="3114" w:type="dxa"/>
          </w:tcPr>
          <w:p w:rsidR="00407EB1" w:rsidRDefault="00407EB1" w:rsidP="00360B94">
            <w:pPr>
              <w:rPr>
                <w:lang w:val="en-GB"/>
              </w:rPr>
            </w:pPr>
            <w:r>
              <w:rPr>
                <w:lang w:val="en-GB"/>
              </w:rPr>
              <w:t>ICER (€ per QALY)</w:t>
            </w:r>
          </w:p>
        </w:tc>
        <w:tc>
          <w:tcPr>
            <w:tcW w:w="3114" w:type="dxa"/>
          </w:tcPr>
          <w:p w:rsidR="00407EB1" w:rsidRDefault="00407EB1" w:rsidP="00360B94">
            <w:pPr>
              <w:rPr>
                <w:lang w:val="en-GB"/>
              </w:rPr>
            </w:pPr>
            <w:r w:rsidRPr="00D616E1">
              <w:rPr>
                <w:b/>
                <w:sz w:val="18"/>
                <w:szCs w:val="18"/>
                <w:lang w:val="en-GB"/>
              </w:rPr>
              <w:t>Same WCDC</w:t>
            </w:r>
          </w:p>
        </w:tc>
        <w:tc>
          <w:tcPr>
            <w:tcW w:w="3114" w:type="dxa"/>
          </w:tcPr>
          <w:p w:rsidR="00407EB1" w:rsidRDefault="00407EB1" w:rsidP="00360B94">
            <w:pPr>
              <w:rPr>
                <w:lang w:val="en-GB"/>
              </w:rPr>
            </w:pPr>
            <w:r w:rsidRPr="00D616E1">
              <w:rPr>
                <w:b/>
                <w:sz w:val="18"/>
                <w:szCs w:val="18"/>
                <w:lang w:val="en-GB"/>
              </w:rPr>
              <w:t>+15% WCDC</w:t>
            </w:r>
          </w:p>
        </w:tc>
        <w:tc>
          <w:tcPr>
            <w:tcW w:w="3114" w:type="dxa"/>
          </w:tcPr>
          <w:p w:rsidR="00407EB1" w:rsidRDefault="00407EB1" w:rsidP="00360B94">
            <w:pPr>
              <w:rPr>
                <w:lang w:val="en-GB"/>
              </w:rPr>
            </w:pPr>
            <w:r w:rsidRPr="00D616E1">
              <w:rPr>
                <w:b/>
                <w:sz w:val="18"/>
                <w:szCs w:val="18"/>
                <w:lang w:val="en-GB"/>
              </w:rPr>
              <w:t>+30% WCDC</w:t>
            </w:r>
          </w:p>
        </w:tc>
      </w:tr>
      <w:tr w:rsidR="00407EB1" w:rsidTr="00360B94">
        <w:tc>
          <w:tcPr>
            <w:tcW w:w="3114" w:type="dxa"/>
          </w:tcPr>
          <w:p w:rsidR="00407EB1" w:rsidRDefault="00407EB1" w:rsidP="00360B94">
            <w:pPr>
              <w:rPr>
                <w:lang w:val="en-GB"/>
              </w:rPr>
            </w:pPr>
            <w:r>
              <w:rPr>
                <w:lang w:val="en-GB"/>
              </w:rPr>
              <w:t>Base case</w:t>
            </w:r>
          </w:p>
        </w:tc>
        <w:tc>
          <w:tcPr>
            <w:tcW w:w="3114" w:type="dxa"/>
          </w:tcPr>
          <w:p w:rsidR="00407EB1" w:rsidRDefault="00407EB1" w:rsidP="00360B94">
            <w:pPr>
              <w:rPr>
                <w:lang w:val="en-GB"/>
              </w:rPr>
            </w:pPr>
            <w:r>
              <w:rPr>
                <w:lang w:val="en-GB"/>
              </w:rPr>
              <w:t>1,355</w:t>
            </w:r>
          </w:p>
        </w:tc>
        <w:tc>
          <w:tcPr>
            <w:tcW w:w="3114" w:type="dxa"/>
          </w:tcPr>
          <w:p w:rsidR="00407EB1" w:rsidRDefault="00407EB1" w:rsidP="00360B94">
            <w:pPr>
              <w:rPr>
                <w:lang w:val="en-GB"/>
              </w:rPr>
            </w:pPr>
            <w:r>
              <w:rPr>
                <w:lang w:val="en-GB"/>
              </w:rPr>
              <w:t>24,521</w:t>
            </w:r>
          </w:p>
        </w:tc>
        <w:tc>
          <w:tcPr>
            <w:tcW w:w="3114" w:type="dxa"/>
          </w:tcPr>
          <w:p w:rsidR="00407EB1" w:rsidRDefault="00407EB1" w:rsidP="00360B94">
            <w:pPr>
              <w:rPr>
                <w:lang w:val="en-GB"/>
              </w:rPr>
            </w:pPr>
            <w:r>
              <w:rPr>
                <w:lang w:val="en-GB"/>
              </w:rPr>
              <w:t>47,687</w:t>
            </w:r>
          </w:p>
        </w:tc>
      </w:tr>
      <w:tr w:rsidR="00407EB1" w:rsidTr="00360B94">
        <w:tc>
          <w:tcPr>
            <w:tcW w:w="3114" w:type="dxa"/>
          </w:tcPr>
          <w:p w:rsidR="00407EB1" w:rsidRDefault="00407EB1" w:rsidP="00360B94">
            <w:pPr>
              <w:rPr>
                <w:lang w:val="en-GB"/>
              </w:rPr>
            </w:pPr>
            <w:r>
              <w:rPr>
                <w:lang w:val="en-GB"/>
              </w:rPr>
              <w:t>No parathyroidectomy</w:t>
            </w:r>
          </w:p>
        </w:tc>
        <w:tc>
          <w:tcPr>
            <w:tcW w:w="3114" w:type="dxa"/>
          </w:tcPr>
          <w:p w:rsidR="00407EB1" w:rsidRDefault="00407EB1" w:rsidP="00360B94">
            <w:pPr>
              <w:rPr>
                <w:lang w:val="en-GB"/>
              </w:rPr>
            </w:pPr>
            <w:r>
              <w:rPr>
                <w:lang w:val="en-GB"/>
              </w:rPr>
              <w:t>1,727</w:t>
            </w:r>
          </w:p>
        </w:tc>
        <w:tc>
          <w:tcPr>
            <w:tcW w:w="3114" w:type="dxa"/>
          </w:tcPr>
          <w:p w:rsidR="00407EB1" w:rsidRDefault="00407EB1" w:rsidP="00360B94">
            <w:pPr>
              <w:rPr>
                <w:lang w:val="en-GB"/>
              </w:rPr>
            </w:pPr>
            <w:r>
              <w:rPr>
                <w:lang w:val="en-GB"/>
              </w:rPr>
              <w:t>24,915</w:t>
            </w:r>
          </w:p>
        </w:tc>
        <w:tc>
          <w:tcPr>
            <w:tcW w:w="3114" w:type="dxa"/>
          </w:tcPr>
          <w:p w:rsidR="00407EB1" w:rsidRDefault="00407EB1" w:rsidP="00360B94">
            <w:pPr>
              <w:rPr>
                <w:lang w:val="en-GB"/>
              </w:rPr>
            </w:pPr>
            <w:r>
              <w:rPr>
                <w:lang w:val="en-GB"/>
              </w:rPr>
              <w:t>48,103</w:t>
            </w:r>
          </w:p>
        </w:tc>
      </w:tr>
      <w:tr w:rsidR="00407EB1" w:rsidTr="00360B94">
        <w:tc>
          <w:tcPr>
            <w:tcW w:w="3114" w:type="dxa"/>
          </w:tcPr>
          <w:p w:rsidR="00407EB1" w:rsidRDefault="00407EB1" w:rsidP="00360B94">
            <w:pPr>
              <w:rPr>
                <w:lang w:val="en-GB"/>
              </w:rPr>
            </w:pPr>
            <w:r>
              <w:rPr>
                <w:lang w:val="en-GB"/>
              </w:rPr>
              <w:t>EVOLVE persistence</w:t>
            </w:r>
          </w:p>
        </w:tc>
        <w:tc>
          <w:tcPr>
            <w:tcW w:w="3114" w:type="dxa"/>
          </w:tcPr>
          <w:p w:rsidR="00407EB1" w:rsidRDefault="00407EB1" w:rsidP="00360B94">
            <w:pPr>
              <w:rPr>
                <w:lang w:val="en-GB"/>
              </w:rPr>
            </w:pPr>
            <w:r>
              <w:rPr>
                <w:lang w:val="en-GB"/>
              </w:rPr>
              <w:t>1,700</w:t>
            </w:r>
          </w:p>
        </w:tc>
        <w:tc>
          <w:tcPr>
            <w:tcW w:w="3114" w:type="dxa"/>
          </w:tcPr>
          <w:p w:rsidR="00407EB1" w:rsidRDefault="00407EB1" w:rsidP="00360B94">
            <w:pPr>
              <w:rPr>
                <w:lang w:val="en-GB"/>
              </w:rPr>
            </w:pPr>
            <w:r>
              <w:rPr>
                <w:lang w:val="en-GB"/>
              </w:rPr>
              <w:t>26,576</w:t>
            </w:r>
          </w:p>
        </w:tc>
        <w:tc>
          <w:tcPr>
            <w:tcW w:w="3114" w:type="dxa"/>
          </w:tcPr>
          <w:p w:rsidR="00407EB1" w:rsidRDefault="00407EB1" w:rsidP="00360B94">
            <w:pPr>
              <w:rPr>
                <w:lang w:val="en-GB"/>
              </w:rPr>
            </w:pPr>
            <w:r>
              <w:rPr>
                <w:lang w:val="en-GB"/>
              </w:rPr>
              <w:t>51,451</w:t>
            </w:r>
          </w:p>
        </w:tc>
      </w:tr>
      <w:tr w:rsidR="00407EB1" w:rsidTr="00360B94">
        <w:tc>
          <w:tcPr>
            <w:tcW w:w="3114" w:type="dxa"/>
          </w:tcPr>
          <w:p w:rsidR="00407EB1" w:rsidRDefault="00407EB1" w:rsidP="00360B94">
            <w:pPr>
              <w:rPr>
                <w:lang w:val="en-GB"/>
              </w:rPr>
            </w:pPr>
            <w:r>
              <w:rPr>
                <w:lang w:val="en-GB"/>
              </w:rPr>
              <w:t>16% one-year persistence</w:t>
            </w:r>
          </w:p>
        </w:tc>
        <w:tc>
          <w:tcPr>
            <w:tcW w:w="3114" w:type="dxa"/>
          </w:tcPr>
          <w:p w:rsidR="00407EB1" w:rsidRDefault="00407EB1" w:rsidP="00360B94">
            <w:pPr>
              <w:rPr>
                <w:lang w:val="en-GB"/>
              </w:rPr>
            </w:pPr>
            <w:r>
              <w:rPr>
                <w:lang w:val="en-GB"/>
              </w:rPr>
              <w:t>502</w:t>
            </w:r>
          </w:p>
        </w:tc>
        <w:tc>
          <w:tcPr>
            <w:tcW w:w="3114" w:type="dxa"/>
          </w:tcPr>
          <w:p w:rsidR="00407EB1" w:rsidRDefault="00407EB1" w:rsidP="00360B94">
            <w:pPr>
              <w:rPr>
                <w:lang w:val="en-GB"/>
              </w:rPr>
            </w:pPr>
            <w:r>
              <w:rPr>
                <w:lang w:val="en-GB"/>
              </w:rPr>
              <w:t>21,866</w:t>
            </w:r>
          </w:p>
        </w:tc>
        <w:tc>
          <w:tcPr>
            <w:tcW w:w="3114" w:type="dxa"/>
          </w:tcPr>
          <w:p w:rsidR="00407EB1" w:rsidRDefault="00407EB1" w:rsidP="00360B94">
            <w:pPr>
              <w:rPr>
                <w:lang w:val="en-GB"/>
              </w:rPr>
            </w:pPr>
            <w:r>
              <w:rPr>
                <w:lang w:val="en-GB"/>
              </w:rPr>
              <w:t>43,229</w:t>
            </w:r>
          </w:p>
        </w:tc>
      </w:tr>
      <w:tr w:rsidR="00407EB1" w:rsidTr="00360B94">
        <w:tc>
          <w:tcPr>
            <w:tcW w:w="3114" w:type="dxa"/>
          </w:tcPr>
          <w:p w:rsidR="00407EB1" w:rsidRDefault="00407EB1" w:rsidP="00360B94">
            <w:pPr>
              <w:rPr>
                <w:lang w:val="en-GB"/>
              </w:rPr>
            </w:pPr>
            <w:r>
              <w:rPr>
                <w:lang w:val="en-GB"/>
              </w:rPr>
              <w:t>Efficacy based on ITT disaggregation approach</w:t>
            </w:r>
          </w:p>
        </w:tc>
        <w:tc>
          <w:tcPr>
            <w:tcW w:w="3114" w:type="dxa"/>
          </w:tcPr>
          <w:p w:rsidR="00407EB1" w:rsidRDefault="00407EB1" w:rsidP="00360B94">
            <w:pPr>
              <w:rPr>
                <w:lang w:val="en-GB"/>
              </w:rPr>
            </w:pPr>
            <w:r>
              <w:rPr>
                <w:lang w:val="en-GB"/>
              </w:rPr>
              <w:t>1,848</w:t>
            </w:r>
          </w:p>
        </w:tc>
        <w:tc>
          <w:tcPr>
            <w:tcW w:w="3114" w:type="dxa"/>
          </w:tcPr>
          <w:p w:rsidR="00407EB1" w:rsidRDefault="00407EB1" w:rsidP="00360B94">
            <w:pPr>
              <w:rPr>
                <w:lang w:val="en-GB"/>
              </w:rPr>
            </w:pPr>
            <w:r>
              <w:rPr>
                <w:lang w:val="en-GB"/>
              </w:rPr>
              <w:t>23,614</w:t>
            </w:r>
          </w:p>
        </w:tc>
        <w:tc>
          <w:tcPr>
            <w:tcW w:w="3114" w:type="dxa"/>
          </w:tcPr>
          <w:p w:rsidR="00407EB1" w:rsidRDefault="00407EB1" w:rsidP="00360B94">
            <w:pPr>
              <w:rPr>
                <w:lang w:val="en-GB"/>
              </w:rPr>
            </w:pPr>
            <w:r>
              <w:rPr>
                <w:lang w:val="en-GB"/>
              </w:rPr>
              <w:t>45,380</w:t>
            </w:r>
          </w:p>
        </w:tc>
      </w:tr>
    </w:tbl>
    <w:p w:rsidR="00407EB1" w:rsidRPr="00D616E1" w:rsidRDefault="00407EB1" w:rsidP="00407EB1">
      <w:pPr>
        <w:rPr>
          <w:sz w:val="18"/>
          <w:szCs w:val="18"/>
          <w:lang w:val="en-GB"/>
        </w:rPr>
      </w:pPr>
      <w:r w:rsidRPr="00D616E1">
        <w:rPr>
          <w:sz w:val="18"/>
          <w:szCs w:val="18"/>
          <w:lang w:val="en-GB"/>
        </w:rPr>
        <w:t>QALY: quality-adjusted life-years; ICER: incremental cost-effectiveness ratio; WCDC</w:t>
      </w:r>
      <w:r>
        <w:rPr>
          <w:sz w:val="18"/>
          <w:szCs w:val="18"/>
          <w:lang w:val="en-GB"/>
        </w:rPr>
        <w:t>: weekly calcimimetic drug cost; ITT, intention to treat.</w:t>
      </w:r>
    </w:p>
    <w:p w:rsidR="00407EB1" w:rsidRDefault="00407EB1" w:rsidP="00407EB1">
      <w:pPr>
        <w:spacing w:line="240" w:lineRule="auto"/>
        <w:rPr>
          <w:b/>
          <w:lang w:val="en-GB"/>
        </w:rPr>
      </w:pPr>
    </w:p>
    <w:p w:rsidR="00407EB1" w:rsidRDefault="00407EB1" w:rsidP="00407EB1">
      <w:pPr>
        <w:spacing w:line="240" w:lineRule="auto"/>
        <w:rPr>
          <w:b/>
          <w:lang w:val="en-GB"/>
        </w:rPr>
      </w:pPr>
    </w:p>
    <w:p w:rsidR="00407EB1" w:rsidRPr="00D616E1" w:rsidRDefault="00407EB1" w:rsidP="00407EB1">
      <w:pPr>
        <w:spacing w:line="240" w:lineRule="auto"/>
        <w:rPr>
          <w:b/>
          <w:lang w:val="en-GB"/>
        </w:rPr>
      </w:pPr>
    </w:p>
    <w:p w:rsidR="00407EB1" w:rsidRPr="00D616E1" w:rsidRDefault="00407EB1" w:rsidP="00407EB1">
      <w:pPr>
        <w:spacing w:line="240" w:lineRule="auto"/>
        <w:rPr>
          <w:b/>
          <w:lang w:val="en-GB"/>
        </w:rPr>
      </w:pPr>
      <w:r w:rsidRPr="00D616E1">
        <w:rPr>
          <w:b/>
          <w:lang w:val="en-GB"/>
        </w:rPr>
        <w:br w:type="page"/>
      </w:r>
    </w:p>
    <w:p w:rsidR="00407EB1" w:rsidRPr="00D616E1" w:rsidRDefault="00407EB1" w:rsidP="00407EB1">
      <w:pPr>
        <w:rPr>
          <w:b/>
          <w:lang w:val="en-GB"/>
        </w:rPr>
        <w:sectPr w:rsidR="00407EB1" w:rsidRPr="00D616E1" w:rsidSect="00834A47">
          <w:endnotePr>
            <w:numFmt w:val="decimal"/>
          </w:endnotePr>
          <w:type w:val="continuous"/>
          <w:pgSz w:w="15840" w:h="12240" w:orient="landscape"/>
          <w:pgMar w:top="1440" w:right="1440" w:bottom="1440" w:left="2160" w:header="706" w:footer="706" w:gutter="0"/>
          <w:cols w:space="708"/>
        </w:sectPr>
      </w:pPr>
    </w:p>
    <w:p w:rsidR="00407EB1" w:rsidRPr="00D616E1" w:rsidRDefault="00407EB1" w:rsidP="00407EB1">
      <w:pPr>
        <w:rPr>
          <w:b/>
          <w:lang w:val="en-GB"/>
        </w:rPr>
      </w:pPr>
      <w:r w:rsidRPr="00D616E1">
        <w:rPr>
          <w:b/>
          <w:lang w:val="en-GB"/>
        </w:rPr>
        <w:lastRenderedPageBreak/>
        <w:t>FIGURES</w:t>
      </w:r>
    </w:p>
    <w:p w:rsidR="00407EB1" w:rsidRPr="00D616E1" w:rsidRDefault="00407EB1" w:rsidP="00407EB1">
      <w:pPr>
        <w:keepNext/>
        <w:rPr>
          <w:lang w:val="en-GB"/>
        </w:rPr>
      </w:pPr>
      <w:r>
        <w:rPr>
          <w:noProof/>
          <w:lang w:val="de-DE" w:eastAsia="de-DE"/>
        </w:rPr>
        <w:drawing>
          <wp:inline distT="0" distB="0" distL="0" distR="0" wp14:anchorId="19F3D946" wp14:editId="3AE3211B">
            <wp:extent cx="457263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407EB1" w:rsidRPr="00D616E1" w:rsidRDefault="00407EB1" w:rsidP="00407EB1">
      <w:pPr>
        <w:pStyle w:val="Beschriftung"/>
        <w:rPr>
          <w:b w:val="0"/>
          <w:lang w:val="en-GB"/>
        </w:rPr>
      </w:pPr>
      <w:bookmarkStart w:id="20" w:name="_Ref322251580"/>
      <w:r w:rsidRPr="00D616E1">
        <w:rPr>
          <w:lang w:val="en-GB"/>
        </w:rPr>
        <w:t xml:space="preserve">Figure </w:t>
      </w:r>
      <w:r w:rsidRPr="00FC75BB">
        <w:rPr>
          <w:lang w:val="en-GB"/>
        </w:rPr>
        <w:fldChar w:fldCharType="begin"/>
      </w:r>
      <w:r w:rsidRPr="00D616E1">
        <w:rPr>
          <w:lang w:val="en-GB"/>
        </w:rPr>
        <w:instrText xml:space="preserve"> SEQ Figura \* ARABIC </w:instrText>
      </w:r>
      <w:r w:rsidRPr="00FC75BB">
        <w:rPr>
          <w:lang w:val="en-GB"/>
        </w:rPr>
        <w:fldChar w:fldCharType="separate"/>
      </w:r>
      <w:r>
        <w:rPr>
          <w:noProof/>
          <w:lang w:val="en-GB"/>
        </w:rPr>
        <w:t>1</w:t>
      </w:r>
      <w:r w:rsidRPr="00FC75BB">
        <w:rPr>
          <w:lang w:val="en-GB"/>
        </w:rPr>
        <w:fldChar w:fldCharType="end"/>
      </w:r>
      <w:bookmarkEnd w:id="20"/>
      <w:r w:rsidRPr="00D616E1">
        <w:rPr>
          <w:lang w:val="en-GB"/>
        </w:rPr>
        <w:t xml:space="preserve"> - Illustration of the decision-analytic model</w:t>
      </w:r>
    </w:p>
    <w:p w:rsidR="00407EB1" w:rsidRPr="00D616E1" w:rsidRDefault="00407EB1" w:rsidP="00407EB1">
      <w:pPr>
        <w:spacing w:line="240" w:lineRule="auto"/>
        <w:rPr>
          <w:lang w:val="en-GB"/>
        </w:rPr>
      </w:pPr>
      <w:r w:rsidRPr="00D616E1">
        <w:rPr>
          <w:lang w:val="en-GB"/>
        </w:rPr>
        <w:br w:type="page"/>
      </w:r>
    </w:p>
    <w:p w:rsidR="00407EB1" w:rsidRPr="00D616E1" w:rsidRDefault="00407EB1" w:rsidP="00407EB1">
      <w:pPr>
        <w:keepNext/>
        <w:rPr>
          <w:lang w:val="en-GB"/>
        </w:rPr>
      </w:pPr>
      <w:r w:rsidRPr="00FC75BB">
        <w:rPr>
          <w:lang w:val="en-GB"/>
        </w:rPr>
        <w:object w:dxaOrig="5393" w:dyaOrig="7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38.5pt" o:ole="">
            <v:imagedata r:id="rId14" o:title="" croptop="1786f" cropbottom="9974f"/>
          </v:shape>
          <o:OLEObject Type="Embed" ProgID="PowerPoint.Slide.12" ShapeID="_x0000_i1025" DrawAspect="Content" ObjectID="_1582702984" r:id="rId15"/>
        </w:object>
      </w:r>
    </w:p>
    <w:p w:rsidR="00407EB1" w:rsidRPr="00D616E1" w:rsidRDefault="00407EB1" w:rsidP="00407EB1">
      <w:pPr>
        <w:pStyle w:val="Beschriftung"/>
        <w:rPr>
          <w:lang w:val="en-GB"/>
        </w:rPr>
      </w:pPr>
      <w:bookmarkStart w:id="21" w:name="_Ref322775792"/>
      <w:r w:rsidRPr="00D616E1">
        <w:rPr>
          <w:lang w:val="en-GB"/>
        </w:rPr>
        <w:t xml:space="preserve">Figure </w:t>
      </w:r>
      <w:r w:rsidRPr="00FC75BB">
        <w:rPr>
          <w:lang w:val="en-GB"/>
        </w:rPr>
        <w:fldChar w:fldCharType="begin"/>
      </w:r>
      <w:r w:rsidRPr="00D616E1">
        <w:rPr>
          <w:lang w:val="en-GB"/>
        </w:rPr>
        <w:instrText xml:space="preserve"> SEQ Figura \* ARABIC </w:instrText>
      </w:r>
      <w:r w:rsidRPr="00FC75BB">
        <w:rPr>
          <w:lang w:val="en-GB"/>
        </w:rPr>
        <w:fldChar w:fldCharType="separate"/>
      </w:r>
      <w:r>
        <w:rPr>
          <w:noProof/>
          <w:lang w:val="en-GB"/>
        </w:rPr>
        <w:t>2</w:t>
      </w:r>
      <w:r w:rsidRPr="00FC75BB">
        <w:rPr>
          <w:lang w:val="en-GB"/>
        </w:rPr>
        <w:fldChar w:fldCharType="end"/>
      </w:r>
      <w:bookmarkEnd w:id="21"/>
      <w:r w:rsidRPr="00D616E1">
        <w:rPr>
          <w:lang w:val="en-GB"/>
        </w:rPr>
        <w:t xml:space="preserve"> – Results of the probabilistic sensitivity analysis of etelcalcetide vs. cinacalcet. A) cost-effectiveness acceptability curves; B) scatter plot of 1000 PSA iterations in the cost-effectiveness plane. WCDC: weekly calcimimetic drug cost; WTP: willingness to pay; QALY: quality-adjusted life-years.</w:t>
      </w:r>
    </w:p>
    <w:p w:rsidR="00407EB1" w:rsidRPr="00D616E1" w:rsidRDefault="00407EB1" w:rsidP="00407EB1">
      <w:pPr>
        <w:spacing w:line="240" w:lineRule="auto"/>
        <w:rPr>
          <w:lang w:val="en-GB"/>
        </w:rPr>
      </w:pPr>
      <w:r w:rsidRPr="00D616E1">
        <w:rPr>
          <w:lang w:val="en-GB"/>
        </w:rPr>
        <w:br w:type="page"/>
      </w:r>
    </w:p>
    <w:p w:rsidR="00407EB1" w:rsidRDefault="00407EB1" w:rsidP="00407EB1">
      <w:pPr>
        <w:spacing w:line="240" w:lineRule="auto"/>
        <w:rPr>
          <w:lang w:val="en-GB"/>
        </w:rPr>
      </w:pPr>
    </w:p>
    <w:p w:rsidR="00407EB1" w:rsidRDefault="00407EB1" w:rsidP="00407EB1">
      <w:pPr>
        <w:spacing w:line="240" w:lineRule="auto"/>
        <w:rPr>
          <w:lang w:val="en-GB"/>
        </w:rPr>
      </w:pPr>
    </w:p>
    <w:p w:rsidR="00407EB1" w:rsidRDefault="00407EB1" w:rsidP="00407EB1">
      <w:pPr>
        <w:spacing w:line="240" w:lineRule="auto"/>
        <w:rPr>
          <w:lang w:val="en-GB"/>
        </w:rPr>
      </w:pPr>
      <w:r>
        <w:rPr>
          <w:noProof/>
          <w:lang w:val="de-DE" w:eastAsia="de-DE"/>
        </w:rPr>
        <w:drawing>
          <wp:inline distT="0" distB="0" distL="0" distR="0" wp14:anchorId="3679D802" wp14:editId="7B609E56">
            <wp:extent cx="5943600" cy="3430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5943600" cy="3430270"/>
                    </a:xfrm>
                    <a:prstGeom prst="rect">
                      <a:avLst/>
                    </a:prstGeom>
                  </pic:spPr>
                </pic:pic>
              </a:graphicData>
            </a:graphic>
          </wp:inline>
        </w:drawing>
      </w:r>
      <w:r w:rsidRPr="00D616E1">
        <w:rPr>
          <w:lang w:val="en-GB"/>
        </w:rPr>
        <w:t xml:space="preserve"> </w:t>
      </w:r>
    </w:p>
    <w:p w:rsidR="00407EB1" w:rsidRDefault="00407EB1" w:rsidP="00407EB1">
      <w:pPr>
        <w:spacing w:line="240" w:lineRule="auto"/>
        <w:rPr>
          <w:lang w:val="en-GB"/>
        </w:rPr>
      </w:pPr>
    </w:p>
    <w:p w:rsidR="00407EB1" w:rsidRDefault="00407EB1" w:rsidP="00407EB1">
      <w:pPr>
        <w:spacing w:line="240" w:lineRule="auto"/>
        <w:rPr>
          <w:lang w:val="en-GB"/>
        </w:rPr>
      </w:pPr>
      <w:r w:rsidRPr="00D616E1">
        <w:rPr>
          <w:lang w:val="en-GB"/>
        </w:rPr>
        <w:t xml:space="preserve">Figure </w:t>
      </w:r>
      <w:r>
        <w:rPr>
          <w:lang w:val="en-GB"/>
        </w:rPr>
        <w:t>3</w:t>
      </w:r>
      <w:r w:rsidRPr="00D616E1">
        <w:rPr>
          <w:lang w:val="en-GB"/>
        </w:rPr>
        <w:t xml:space="preserve"> – </w:t>
      </w:r>
      <w:r>
        <w:rPr>
          <w:lang w:val="en-GB"/>
        </w:rPr>
        <w:t>Tornado diagram on the impact on the incremental cost-effectiveness ratio (ICER), illustrated based on a cost increase of 15% of the weekly calcimimetic treatment costs.</w:t>
      </w:r>
    </w:p>
    <w:p w:rsidR="00407EB1" w:rsidRDefault="00407EB1" w:rsidP="00407EB1">
      <w:pPr>
        <w:spacing w:line="240" w:lineRule="auto"/>
        <w:rPr>
          <w:lang w:val="en-GB"/>
        </w:rPr>
      </w:pPr>
    </w:p>
    <w:p w:rsidR="00407EB1" w:rsidRDefault="00407EB1" w:rsidP="00407EB1">
      <w:pPr>
        <w:spacing w:line="240" w:lineRule="auto"/>
        <w:rPr>
          <w:lang w:val="en-GB"/>
        </w:rPr>
      </w:pPr>
      <w:r>
        <w:rPr>
          <w:lang w:val="en-GB"/>
        </w:rPr>
        <w:t>CV, cardiovascular; HR, hazard ratio; PTx, parathyroidectomy; Fx, fractures</w:t>
      </w:r>
    </w:p>
    <w:p w:rsidR="00407EB1" w:rsidRDefault="00407EB1" w:rsidP="00407EB1">
      <w:pPr>
        <w:spacing w:line="240" w:lineRule="auto"/>
        <w:rPr>
          <w:lang w:val="en-GB"/>
        </w:rPr>
      </w:pPr>
    </w:p>
    <w:p w:rsidR="00604171" w:rsidRDefault="00CC2C8C"/>
    <w:sectPr w:rsidR="00604171" w:rsidSect="000C321B">
      <w:endnotePr>
        <w:numFmt w:val="decimal"/>
      </w:endnotePr>
      <w:pgSz w:w="12240" w:h="15840"/>
      <w:pgMar w:top="1440" w:right="1440" w:bottom="216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85" w:rsidRDefault="007A4385" w:rsidP="00407EB1">
      <w:pPr>
        <w:spacing w:line="240" w:lineRule="auto"/>
      </w:pPr>
      <w:r>
        <w:separator/>
      </w:r>
    </w:p>
  </w:endnote>
  <w:endnote w:type="continuationSeparator" w:id="0">
    <w:p w:rsidR="007A4385" w:rsidRDefault="007A4385" w:rsidP="00407EB1">
      <w:pPr>
        <w:spacing w:line="240" w:lineRule="auto"/>
      </w:pPr>
      <w:r>
        <w:continuationSeparator/>
      </w:r>
    </w:p>
  </w:endnote>
  <w:endnote w:id="1">
    <w:p w:rsidR="00407EB1" w:rsidRPr="002F672D" w:rsidRDefault="00407EB1" w:rsidP="00407EB1">
      <w:pPr>
        <w:pStyle w:val="Endnotentext"/>
        <w:spacing w:before="120" w:after="120"/>
        <w:rPr>
          <w:lang w:val="fr-CH"/>
        </w:rPr>
      </w:pPr>
      <w:r w:rsidRPr="00A8104D">
        <w:rPr>
          <w:rStyle w:val="Endnotenzeichen"/>
          <w:lang w:val="en-GB"/>
        </w:rPr>
        <w:endnoteRef/>
      </w:r>
      <w:r w:rsidRPr="00A8104D">
        <w:rPr>
          <w:lang w:val="en-GB"/>
        </w:rPr>
        <w:t xml:space="preserve"> Goodman, W.G.: The consequences of uncontrolled secondary hyperparathyroidism and its treatment in chronic kidney disease. </w:t>
      </w:r>
      <w:r w:rsidRPr="002F672D">
        <w:rPr>
          <w:lang w:val="fr-CH"/>
        </w:rPr>
        <w:t>Semin Dial 17(3), 209-216 (2004).</w:t>
      </w:r>
    </w:p>
  </w:endnote>
  <w:endnote w:id="2">
    <w:p w:rsidR="00407EB1" w:rsidRPr="00A8104D" w:rsidRDefault="00407EB1" w:rsidP="00407EB1">
      <w:pPr>
        <w:pStyle w:val="Endnotentext"/>
        <w:spacing w:before="120" w:after="120"/>
        <w:rPr>
          <w:lang w:val="en-GB"/>
        </w:rPr>
      </w:pPr>
      <w:r w:rsidRPr="00A8104D">
        <w:rPr>
          <w:rStyle w:val="Endnotenzeichen"/>
          <w:lang w:val="en-GB"/>
        </w:rPr>
        <w:endnoteRef/>
      </w:r>
      <w:r w:rsidRPr="002F672D">
        <w:rPr>
          <w:lang w:val="fr-CH"/>
        </w:rPr>
        <w:t xml:space="preserve"> Jadoul M, Albert JM, Akiba T, et al. </w:t>
      </w:r>
      <w:r w:rsidRPr="00A8104D">
        <w:rPr>
          <w:lang w:val="en-GB"/>
        </w:rPr>
        <w:t>Incidence and risk factors for hip or other bone fractures among hemodialysis patients in the Dialysis Outcomes and Practice Patterns Study. Kidney Int 2006; 70: 1358-66</w:t>
      </w:r>
    </w:p>
  </w:endnote>
  <w:endnote w:id="3">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Block GA, Klassen PS, Lazarus JM, et al. Mineral metabolism, mortality, and morbidity in maintenance hemodialysis. J Am Soc Nephrol 2004; 15: 2208-18.</w:t>
      </w:r>
    </w:p>
  </w:endnote>
  <w:endnote w:id="4">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Floege, J., Kim, J., Ireland, E., Chazot, C., Drueke, T., de Francisco, A., Kronenberg, F. Marcelli, D., Passlick-Deetjen, J., Schernthaner, G., Fouqueray, B., Wheeler, D.C., Investigators, A.R.O.: Serum iPTH, calcium and phosphate, and the risk of mortality in a European haemodialysis population. Nephrol Dial Transplant 26(6), 1948-1955 (2011).</w:t>
      </w:r>
    </w:p>
  </w:endnote>
  <w:endnote w:id="5">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Natoli, J.L., Boer, R., Nathanson, B.H., Miller, R.M., Chiroli, S., Goodman, W.G., Belozeroff, V.: Is there an association between elevated or low serum levels of phosphorus, parathyroid hormone, and calcium and mortality in patients with end stage renal disease? A meta-analysis. BMC Nephrol 14, 88 (2013).</w:t>
      </w:r>
    </w:p>
  </w:endnote>
  <w:endnote w:id="6">
    <w:p w:rsidR="00407EB1" w:rsidRPr="002621B2" w:rsidRDefault="00407EB1" w:rsidP="00407EB1">
      <w:pPr>
        <w:pStyle w:val="Endnotentext"/>
        <w:rPr>
          <w:lang w:val="en-US"/>
        </w:rPr>
      </w:pPr>
      <w:r>
        <w:rPr>
          <w:rStyle w:val="Endnotenzeichen"/>
        </w:rPr>
        <w:endnoteRef/>
      </w:r>
      <w:r w:rsidRPr="002621B2">
        <w:rPr>
          <w:lang w:val="en-US"/>
        </w:rPr>
        <w:t xml:space="preserve"> </w:t>
      </w:r>
      <w:r>
        <w:rPr>
          <w:lang w:val="en-US"/>
        </w:rPr>
        <w:t>Hedgeman E, Lipworth L, Lowe K, Saran R, Do T, Fryzek J</w:t>
      </w:r>
      <w:r w:rsidRPr="002621B2">
        <w:rPr>
          <w:lang w:val="en-US"/>
        </w:rPr>
        <w:t>.</w:t>
      </w:r>
      <w:r>
        <w:rPr>
          <w:lang w:val="en-US"/>
        </w:rPr>
        <w:t xml:space="preserve"> </w:t>
      </w:r>
      <w:r w:rsidRPr="002621B2">
        <w:rPr>
          <w:lang w:val="en-US"/>
        </w:rPr>
        <w:t>International burden of chronic kidney disease and secondary hyperparathyroidism: a systematic review of the literature and available data.</w:t>
      </w:r>
      <w:r>
        <w:rPr>
          <w:lang w:val="en-US"/>
        </w:rPr>
        <w:t xml:space="preserve"> </w:t>
      </w:r>
      <w:r w:rsidRPr="002621B2">
        <w:rPr>
          <w:lang w:val="en-US"/>
        </w:rPr>
        <w:t>Int J Nephrol. 2015;2015:184321</w:t>
      </w:r>
    </w:p>
  </w:endnote>
  <w:endnote w:id="7">
    <w:p w:rsidR="00407EB1" w:rsidRPr="00A8104D" w:rsidRDefault="00407EB1" w:rsidP="00407EB1">
      <w:pPr>
        <w:pStyle w:val="Endnotentext"/>
        <w:spacing w:before="120" w:after="120"/>
        <w:rPr>
          <w:lang w:val="en-GB"/>
        </w:rPr>
      </w:pPr>
      <w:r w:rsidRPr="00A8104D">
        <w:rPr>
          <w:rStyle w:val="Endnotenzeichen"/>
          <w:lang w:val="en-GB"/>
        </w:rPr>
        <w:endnoteRef/>
      </w:r>
      <w:r>
        <w:rPr>
          <w:lang w:val="en-GB"/>
        </w:rPr>
        <w:t>KDIGO 2017 clinical practice guideline update for the diagnosis, evaluation, prevention, and treatment of chronic kidney disease – mineral and bone disorder</w:t>
      </w:r>
      <w:r w:rsidRPr="00A8104D">
        <w:rPr>
          <w:lang w:val="en-GB"/>
        </w:rPr>
        <w:t>. Kidney Int Suppl</w:t>
      </w:r>
      <w:r>
        <w:rPr>
          <w:lang w:val="en-GB"/>
        </w:rPr>
        <w:t xml:space="preserve"> 7</w:t>
      </w:r>
      <w:r w:rsidRPr="00A8104D">
        <w:rPr>
          <w:lang w:val="en-GB"/>
        </w:rPr>
        <w:t>(1), 1-</w:t>
      </w:r>
      <w:r>
        <w:rPr>
          <w:lang w:val="en-GB"/>
        </w:rPr>
        <w:t>59</w:t>
      </w:r>
      <w:r w:rsidRPr="00A8104D">
        <w:rPr>
          <w:lang w:val="en-GB"/>
        </w:rPr>
        <w:t xml:space="preserve"> (20</w:t>
      </w:r>
      <w:r>
        <w:rPr>
          <w:lang w:val="en-GB"/>
        </w:rPr>
        <w:t>17</w:t>
      </w:r>
      <w:r w:rsidRPr="00A8104D">
        <w:rPr>
          <w:lang w:val="en-GB"/>
        </w:rPr>
        <w:t>).</w:t>
      </w:r>
    </w:p>
  </w:endnote>
  <w:endnote w:id="8">
    <w:p w:rsidR="00407EB1" w:rsidRPr="005812C9" w:rsidRDefault="00407EB1" w:rsidP="00407EB1">
      <w:pPr>
        <w:pStyle w:val="Endnotentext"/>
      </w:pPr>
      <w:r>
        <w:rPr>
          <w:rStyle w:val="Endnotenzeichen"/>
        </w:rPr>
        <w:endnoteRef/>
      </w:r>
      <w:r>
        <w:t xml:space="preserve"> Hauber B, Caloyeras J, Posner J, Brommage D, Belozeroff V, Cooper K. Hemodialysis patients' preferences for the management of secondary hyperparathyroidism. BMC Nephrol. 2017;18(1):254.</w:t>
      </w:r>
    </w:p>
  </w:endnote>
  <w:endnote w:id="9">
    <w:p w:rsidR="00407EB1" w:rsidRPr="00A8104D" w:rsidRDefault="00407EB1" w:rsidP="00407EB1">
      <w:pPr>
        <w:pStyle w:val="Endnotentext"/>
        <w:spacing w:before="120" w:after="120"/>
        <w:rPr>
          <w:lang w:val="en-GB"/>
        </w:rPr>
      </w:pPr>
      <w:r w:rsidRPr="00A8104D">
        <w:rPr>
          <w:rStyle w:val="Endnotenzeichen"/>
          <w:lang w:val="en-GB"/>
        </w:rPr>
        <w:endnoteRef/>
      </w:r>
      <w:r w:rsidRPr="005812C9">
        <w:t xml:space="preserve"> Block GA, Bushinsky DA, Cunningham J, Drueke TB, Ketteler M, Kewalramani R, Martin KJ, Mix TC, Moe SM, Patel UD, Silver J, Spiegel DM, Sterling L, Walsh L, Chertow GM. </w:t>
      </w:r>
      <w:r w:rsidRPr="007462BF">
        <w:rPr>
          <w:lang w:val="en-GB"/>
        </w:rPr>
        <w:t>Effect of Etelcalcetide vs Placebo on Serum Parathyroid Hormone in Patients Receiving Hemodialysis With Secondary Hyperparathyroidism: Two Randomized Clinical Trials. JAMA. 2017 Jan 10;317(2):146-155. doi: 10.1001/jama.2016.19456.</w:t>
      </w:r>
    </w:p>
  </w:endnote>
  <w:endnote w:id="10">
    <w:p w:rsidR="00407EB1" w:rsidRPr="002F672D" w:rsidRDefault="00407EB1" w:rsidP="00407EB1">
      <w:pPr>
        <w:pStyle w:val="Endnotentext"/>
        <w:spacing w:before="120" w:after="120"/>
        <w:rPr>
          <w:lang w:val="en-US"/>
        </w:rPr>
      </w:pPr>
      <w:r w:rsidRPr="00A8104D">
        <w:rPr>
          <w:rStyle w:val="Endnotenzeichen"/>
          <w:lang w:val="en-GB"/>
        </w:rPr>
        <w:endnoteRef/>
      </w:r>
      <w:r w:rsidRPr="002F672D">
        <w:rPr>
          <w:lang w:val="en-GB"/>
        </w:rPr>
        <w:t xml:space="preserve"> Block GA, Bushinsky DA, Cheng S, Cunningham J, Dehmel B, Drueke TB, Ketteler M, Kewalramani R, Martin KJ, Moe SM, Patel UD, Silver J, Sun Y, Wang H, Chertow GM. </w:t>
      </w:r>
      <w:r w:rsidRPr="002F672D">
        <w:rPr>
          <w:lang w:val="en-US"/>
        </w:rPr>
        <w:t>Effect of Etelcalcetide vs Cinacalcet on Serum Parathyroid Hormone in Patients Receiving Hemodialysis With Secondary Hyperparathyroidism: A Randomized Clinical Trial. JAMA. 2017 Jan 10;317(2):156-164. doi: 10.1001/jama.2016.19468.</w:t>
      </w:r>
    </w:p>
  </w:endnote>
  <w:endnote w:id="11">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Siebert, U., et al., State-transition modeling: a report of the ISPOR-SMDM Modeling Good Research Practices Task Force-3. Med Decis Making, 2012. 32(5): p. 690-700.</w:t>
      </w:r>
    </w:p>
  </w:endnote>
  <w:endnote w:id="12">
    <w:p w:rsidR="00407EB1" w:rsidRPr="007C4E6A" w:rsidRDefault="00407EB1" w:rsidP="00407EB1">
      <w:pPr>
        <w:pStyle w:val="Endnotentext"/>
        <w:rPr>
          <w:lang w:val="en-US"/>
        </w:rPr>
      </w:pPr>
      <w:r>
        <w:rPr>
          <w:rStyle w:val="Endnotenzeichen"/>
        </w:rPr>
        <w:endnoteRef/>
      </w:r>
      <w:r w:rsidRPr="007C4E6A">
        <w:rPr>
          <w:lang w:val="en-US"/>
        </w:rPr>
        <w:t xml:space="preserve"> Husereau D, Drummond M, Petrou S, et al. Consolidated health economic evaluation reporting standards (CHEERS)—Explanation and elaboration: A report of the ISPOR health economic evaluations publication guidelines good reporting practices task force. Value Health 2013;16:231-50.</w:t>
      </w:r>
    </w:p>
  </w:endnote>
  <w:endnote w:id="13">
    <w:p w:rsidR="00407EB1" w:rsidRPr="00A8104D" w:rsidRDefault="00407EB1" w:rsidP="00407EB1">
      <w:pPr>
        <w:pStyle w:val="Endnotentext"/>
        <w:spacing w:before="120" w:after="120"/>
        <w:rPr>
          <w:lang w:val="en-GB"/>
        </w:rPr>
      </w:pPr>
      <w:r w:rsidRPr="00A8104D">
        <w:rPr>
          <w:rStyle w:val="Endnotenzeichen"/>
          <w:lang w:val="en-GB"/>
        </w:rPr>
        <w:endnoteRef/>
      </w:r>
      <w:r w:rsidRPr="002F672D">
        <w:rPr>
          <w:lang w:val="en-US"/>
        </w:rPr>
        <w:t xml:space="preserve"> Belozeroff V, Chertow GM, Graham CN, Dehmel B, Parfrey PS, Briggs AH. </w:t>
      </w:r>
      <w:r w:rsidRPr="00A8104D">
        <w:rPr>
          <w:lang w:val="en-GB"/>
        </w:rPr>
        <w:t>Economic Evaluation of Cinacalcet in the United States: The EVOLVE Trial. Value Health. 2015 Dec;18(8):1079-87.</w:t>
      </w:r>
    </w:p>
  </w:endnote>
  <w:endnote w:id="14">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Garside R, Pitt M, Anderson R, Mealing S, Roome C, Snaith A, D'Souza R, Welch K, Stein K. The effectiveness and cost-effectiveness of cinacalcet for secondary hyperparathyroidism in end-stage renal disease patients on dialysis: a systematic review and economic evaluation. Health Technol Assess. 2007 May;11(18):iii, xi-xiii, 1-167.</w:t>
      </w:r>
    </w:p>
  </w:endnote>
  <w:endnote w:id="15">
    <w:p w:rsidR="00407EB1" w:rsidRPr="00763246" w:rsidRDefault="00407EB1" w:rsidP="00407EB1">
      <w:pPr>
        <w:pStyle w:val="Endnotentext"/>
        <w:rPr>
          <w:lang w:val="en-US"/>
        </w:rPr>
      </w:pPr>
      <w:r>
        <w:rPr>
          <w:rStyle w:val="Endnotenzeichen"/>
        </w:rPr>
        <w:endnoteRef/>
      </w:r>
      <w:r w:rsidRPr="00763246">
        <w:rPr>
          <w:lang w:val="en-US"/>
        </w:rPr>
        <w:t xml:space="preserve"> Vemer P, Corro Ramos P, van Voorn GAK, Al MJ, Feenstra</w:t>
      </w:r>
      <w:r>
        <w:rPr>
          <w:lang w:val="en-US"/>
        </w:rPr>
        <w:t xml:space="preserve"> TL. </w:t>
      </w:r>
      <w:r w:rsidRPr="00763246">
        <w:rPr>
          <w:lang w:val="en-US"/>
        </w:rPr>
        <w:t>AdViSHE: A Validation-Ass</w:t>
      </w:r>
      <w:r>
        <w:rPr>
          <w:lang w:val="en-US"/>
        </w:rPr>
        <w:t xml:space="preserve">essment Tool of Health-Economic </w:t>
      </w:r>
      <w:r w:rsidRPr="00763246">
        <w:rPr>
          <w:lang w:val="en-US"/>
        </w:rPr>
        <w:t>Models for Decision Makers and Model Users</w:t>
      </w:r>
      <w:r>
        <w:rPr>
          <w:lang w:val="en-US"/>
        </w:rPr>
        <w:t>. PharmacoEconomics, 2016.</w:t>
      </w:r>
      <w:r w:rsidRPr="00763246">
        <w:rPr>
          <w:lang w:val="en-US"/>
        </w:rPr>
        <w:t>34:349–361</w:t>
      </w:r>
    </w:p>
  </w:endnote>
  <w:endnote w:id="16">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Barendregt, J.J., The half-cycle correction: banish rather than explain it. Med Decis Making, 2009. 29(4): p. 500-2.</w:t>
      </w:r>
    </w:p>
  </w:endnote>
  <w:endnote w:id="17">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Naimark, D.M., N.N. Kabboul, and M.D. Krahn, Response to "the life table method of half-cycle correction: getting it right". Med Decis Making, 2014. 34(3): p. 286-7.</w:t>
      </w:r>
    </w:p>
  </w:endnote>
  <w:endnote w:id="18">
    <w:p w:rsidR="00407EB1" w:rsidRPr="00255610" w:rsidRDefault="00407EB1" w:rsidP="00407EB1">
      <w:pPr>
        <w:pStyle w:val="Endnotentext"/>
        <w:rPr>
          <w:lang w:val="en-US"/>
        </w:rPr>
      </w:pPr>
      <w:r>
        <w:rPr>
          <w:rStyle w:val="Endnotenzeichen"/>
        </w:rPr>
        <w:endnoteRef/>
      </w:r>
      <w:r w:rsidRPr="00255610">
        <w:rPr>
          <w:lang w:val="en-US"/>
        </w:rPr>
        <w:t xml:space="preserve"> Evolve Trial Investigators, Chertow, G.M., Block, G.A., Correa-Rotter, R., Drueke, T.B., Floege, J., Goodman, W.G., Herzog, C.A., Kubo, Y., London, G.M., Mahaffey, K.W., Mix, T.C., Moe, S.M., Trotman, M.L., Wheeler, D.C., Parfrey, P.S.: Effect of cinacalcet on cardiovascular disease in patients undergoing dialysis. N Engl J Med 367(26), 2482-2494 (2012).</w:t>
      </w:r>
    </w:p>
  </w:endnote>
  <w:endnote w:id="19">
    <w:p w:rsidR="00407EB1" w:rsidRPr="006E1A74" w:rsidRDefault="00407EB1" w:rsidP="00407EB1">
      <w:pPr>
        <w:pStyle w:val="Endnotentext"/>
      </w:pPr>
      <w:r>
        <w:rPr>
          <w:rStyle w:val="Endnotenzeichen"/>
        </w:rPr>
        <w:endnoteRef/>
      </w:r>
      <w:r>
        <w:t xml:space="preserve"> </w:t>
      </w:r>
      <w:r w:rsidRPr="004D17EC">
        <w:rPr>
          <w:lang w:val="en-GB"/>
        </w:rPr>
        <w:t>Moe, S.M., et al., Effects of Cinacalcet on Fracture Events in Patients Receiving Hemodialysis: The EVOLVE Trial. J Am Soc Nephrol, 2015. 26(6): p. 1466-75.</w:t>
      </w:r>
    </w:p>
  </w:endnote>
  <w:endnote w:id="20">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Boer R, Lalla AM, Belozeroff V. Cost-effectiveness of cinacalcet in secondary hyperparathyroidism in the United States. J Med Econ. 2012;15(3):509-20.</w:t>
      </w:r>
    </w:p>
  </w:endnote>
  <w:endnote w:id="21">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Reams, B.D., et al., Dynamics of cinacalcet use and biochemical control in hemodialysis patients: a retrospective New-user cohort design. BMC Nephrol, 2015. 16: p. 175.</w:t>
      </w:r>
    </w:p>
  </w:endnote>
  <w:endnote w:id="22">
    <w:p w:rsidR="00407EB1" w:rsidRPr="00A93FB9" w:rsidRDefault="00407EB1" w:rsidP="00407EB1">
      <w:pPr>
        <w:pStyle w:val="Endnotentext"/>
      </w:pPr>
      <w:r>
        <w:rPr>
          <w:rStyle w:val="Endnotenzeichen"/>
        </w:rPr>
        <w:endnoteRef/>
      </w:r>
      <w:r>
        <w:t xml:space="preserve"> </w:t>
      </w:r>
      <w:r w:rsidRPr="00A8104D">
        <w:rPr>
          <w:lang w:val="en-GB"/>
        </w:rPr>
        <w:t xml:space="preserve">Briggs AH, Parfrey PS, Khan N, Tseng S, Dehmel B, Kubo Y, Chertow GM, Belozeroff V. Analyzing Health-Related Quality of Life in the EVOLVE Trial: The Joint Impact of Treatment and Clinical Events. Med Decis Making. 2016. </w:t>
      </w:r>
      <w:r w:rsidRPr="00926DDB">
        <w:rPr>
          <w:lang w:val="en-GB"/>
        </w:rPr>
        <w:t>36(8):965-72</w:t>
      </w:r>
    </w:p>
  </w:endnote>
  <w:endnote w:id="23">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Stollenwerk, B., et al., Uncertainty assessment of input parameters for economic evaluation: Gauss's error propagation, an alternative to established methods. Med Decis Making, 2010. 30(3): p. 304-13.</w:t>
      </w:r>
    </w:p>
  </w:endnote>
  <w:endnote w:id="24">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Iannazzo S, Carsi M, Chiroli S. A cost-utility analysis of cinacalcet in secondary hyperparathyroidism in five European countries. Appl Health Econ Health Policy. 2012 Mar 1;10(2):127-38.</w:t>
      </w:r>
    </w:p>
  </w:endnote>
  <w:endnote w:id="25">
    <w:p w:rsidR="00407EB1" w:rsidRPr="00A8104D" w:rsidRDefault="00407EB1" w:rsidP="00407EB1">
      <w:pPr>
        <w:pStyle w:val="Endnotentext"/>
        <w:spacing w:before="120" w:after="120"/>
        <w:rPr>
          <w:lang w:val="en-GB"/>
        </w:rPr>
      </w:pPr>
      <w:r w:rsidRPr="00A8104D">
        <w:rPr>
          <w:rStyle w:val="Endnotenzeichen"/>
          <w:lang w:val="en-GB"/>
        </w:rPr>
        <w:endnoteRef/>
      </w:r>
      <w:r w:rsidRPr="00EA4FA9">
        <w:t xml:space="preserve"> Nuijten M, Roggeri DP, Roggeri A, Novelli P, Marshall TS. </w:t>
      </w:r>
      <w:r w:rsidRPr="00A8104D">
        <w:rPr>
          <w:lang w:val="en-GB"/>
        </w:rPr>
        <w:t>Health economic evaluation of paricalcitol(®) versus cinacalcet + calcitriol (oral) in Italy. Clin Drug Investig. 2015 Apr;35(4):229-38.</w:t>
      </w:r>
    </w:p>
  </w:endnote>
  <w:endnote w:id="26">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Eandi M, Pradelli L, Iannazzo S, Chiroli S, Pontoriero G. Economic evaluation of cinacalcet in the treatment of secondary hyperparathyroidism in Italy. Pharmacoeconomics. 2010;28(11):1041-54.</w:t>
      </w:r>
    </w:p>
  </w:endnote>
  <w:endnote w:id="27">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Ray JA, Borker R, Barber B, Valentine WJ, Belozeroff V, Palmer AJ. Cost-effectiveness of early versus late cinacalcet treatment in addition to standard care for secondary renal hyperparathyroidism in the USA. Value Health. 2008 Sep-Oct;11(5):800-8.</w:t>
      </w:r>
    </w:p>
  </w:endnote>
  <w:endnote w:id="28">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St Peter WL, Fan Q, Weinhandl E, Liu J. Economic evaluation of sevelamer versus calcium-based phosphate binders in hemodialysis patients: a secondary analysis using centers for Medicare &amp; Medicaid services data. Clin J Am Soc Nephrol. 2009 Dec;4(12):1954-61</w:t>
      </w:r>
    </w:p>
  </w:endnote>
  <w:endnote w:id="29">
    <w:p w:rsidR="00407EB1" w:rsidRPr="00E66A75" w:rsidRDefault="00407EB1" w:rsidP="00407EB1">
      <w:pPr>
        <w:pStyle w:val="Endnotentext"/>
      </w:pPr>
      <w:r>
        <w:rPr>
          <w:rStyle w:val="Endnotenzeichen"/>
        </w:rPr>
        <w:endnoteRef/>
      </w:r>
      <w:r>
        <w:t xml:space="preserve"> Tripepi G, Heinze G, Jager KJ, Stel VS, Dekker FW, Zoccali C. Lag-censoring analysis: lights and shades. Nephrol Dial Transplant. 2015. 30(5):700-5.</w:t>
      </w:r>
    </w:p>
  </w:endnote>
  <w:endnote w:id="30">
    <w:p w:rsidR="00407EB1" w:rsidRPr="00B91641" w:rsidRDefault="00407EB1" w:rsidP="00407EB1">
      <w:pPr>
        <w:pStyle w:val="Endnotentext"/>
      </w:pPr>
      <w:r>
        <w:rPr>
          <w:rStyle w:val="Endnotenzeichen"/>
        </w:rPr>
        <w:endnoteRef/>
      </w:r>
      <w:r>
        <w:t xml:space="preserve"> </w:t>
      </w:r>
      <w:r w:rsidRPr="00B91641">
        <w:t xml:space="preserve">Belozeroff V, Cooper K, Hess G, Chang CL. Healthcare use and costs before and after parathyroidectomy in patients on dialysis. BMC </w:t>
      </w:r>
      <w:r>
        <w:t>HSR</w:t>
      </w:r>
      <w:r w:rsidRPr="00B91641">
        <w:t>. 2013;13(1):248.</w:t>
      </w:r>
    </w:p>
  </w:endnote>
  <w:endnote w:id="31">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Grima, D.T., et al., Cost-effectiveness analysis of therapies for chronic kidney disease patients on dialysis: a case for excluding dialysis costs. Pharmacoeconomics, 2012. 30(11): p. 981-9.</w:t>
      </w:r>
    </w:p>
  </w:endnote>
  <w:endnote w:id="32">
    <w:p w:rsidR="00407EB1" w:rsidRPr="00A8104D" w:rsidRDefault="00407EB1" w:rsidP="00407EB1">
      <w:pPr>
        <w:pStyle w:val="Endnotentext"/>
        <w:spacing w:before="120" w:after="120"/>
        <w:rPr>
          <w:lang w:val="en-GB"/>
        </w:rPr>
      </w:pPr>
      <w:r w:rsidRPr="00A8104D">
        <w:rPr>
          <w:rStyle w:val="Endnotenzeichen"/>
          <w:lang w:val="en-GB"/>
        </w:rPr>
        <w:endnoteRef/>
      </w:r>
      <w:r w:rsidRPr="00A8104D">
        <w:rPr>
          <w:lang w:val="en-GB"/>
        </w:rPr>
        <w:t xml:space="preserve"> Gutzwiller, F.S., et al., Cost Effectiveness of Sucroferric Oxyhydroxide Compared with Sevelamer Carbonate in the Treatment of Hyperphosphataemia in Patients Receiving Dialysis, from the Perspective of the National Health Service in Scotland. Pharmacoeconomics, 2015.</w:t>
      </w:r>
    </w:p>
  </w:endnote>
  <w:endnote w:id="33">
    <w:p w:rsidR="00407EB1" w:rsidRDefault="00407EB1" w:rsidP="00407EB1">
      <w:pPr>
        <w:pStyle w:val="Endnotentext"/>
        <w:spacing w:before="120" w:after="120"/>
      </w:pPr>
      <w:r w:rsidRPr="00A8104D">
        <w:rPr>
          <w:rStyle w:val="Endnotenzeichen"/>
          <w:lang w:val="en-GB"/>
        </w:rPr>
        <w:endnoteRef/>
      </w:r>
      <w:r w:rsidRPr="00A8104D">
        <w:rPr>
          <w:lang w:val="en-GB"/>
        </w:rPr>
        <w:t xml:space="preserve"> Ruggeri, M., et al., Sevelamer is cost effective versus calcium carbonate for the first-line treatment of hyperphosphatemia in new patients to hemodialysis: a patient-level economic evaluation of the INDEPENDENT-HD study. J Nephrol, 2015. 28(5): p. 593-602.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B1" w:rsidRPr="00A85AC4" w:rsidRDefault="00407EB1">
    <w:pPr>
      <w:pStyle w:val="Fuzeile"/>
      <w:rPr>
        <w:rStyle w:val="Seitenzahl"/>
        <w:sz w:val="20"/>
        <w:szCs w:val="20"/>
        <w:lang w:val="en-US"/>
      </w:rPr>
    </w:pPr>
    <w:r w:rsidRPr="00A85AC4">
      <w:rPr>
        <w:sz w:val="20"/>
        <w:szCs w:val="20"/>
        <w:lang w:val="en-US"/>
      </w:rPr>
      <w:t>Etelcalcetide CEM Manuscript</w:t>
    </w:r>
    <w:r w:rsidRPr="00A85AC4">
      <w:rPr>
        <w:sz w:val="20"/>
        <w:szCs w:val="20"/>
        <w:lang w:val="en-US"/>
      </w:rPr>
      <w:tab/>
    </w:r>
    <w:r w:rsidRPr="00A85AC4">
      <w:rPr>
        <w:sz w:val="20"/>
        <w:szCs w:val="20"/>
        <w:lang w:val="en-US"/>
      </w:rPr>
      <w:tab/>
      <w:t xml:space="preserve">Page </w:t>
    </w:r>
    <w:r w:rsidRPr="0029559B">
      <w:rPr>
        <w:rStyle w:val="Seitenzahl"/>
        <w:sz w:val="20"/>
        <w:szCs w:val="20"/>
      </w:rPr>
      <w:fldChar w:fldCharType="begin"/>
    </w:r>
    <w:r w:rsidRPr="00A85AC4">
      <w:rPr>
        <w:rStyle w:val="Seitenzahl"/>
        <w:sz w:val="20"/>
        <w:szCs w:val="20"/>
        <w:lang w:val="en-US"/>
      </w:rPr>
      <w:instrText xml:space="preserve"> PAGE </w:instrText>
    </w:r>
    <w:r w:rsidRPr="0029559B">
      <w:rPr>
        <w:rStyle w:val="Seitenzahl"/>
        <w:sz w:val="20"/>
        <w:szCs w:val="20"/>
      </w:rPr>
      <w:fldChar w:fldCharType="separate"/>
    </w:r>
    <w:r w:rsidR="00CC2C8C">
      <w:rPr>
        <w:rStyle w:val="Seitenzahl"/>
        <w:noProof/>
        <w:sz w:val="20"/>
        <w:szCs w:val="20"/>
        <w:lang w:val="en-US"/>
      </w:rPr>
      <w:t>8</w:t>
    </w:r>
    <w:r w:rsidRPr="0029559B">
      <w:rPr>
        <w:rStyle w:val="Seitenzahl"/>
        <w:sz w:val="20"/>
        <w:szCs w:val="20"/>
      </w:rPr>
      <w:fldChar w:fldCharType="end"/>
    </w:r>
  </w:p>
  <w:p w:rsidR="00407EB1" w:rsidRPr="00A85AC4" w:rsidRDefault="00407EB1">
    <w:pPr>
      <w:pStyle w:val="Fuzeile"/>
      <w:rPr>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85" w:rsidRDefault="007A4385" w:rsidP="00407EB1">
      <w:pPr>
        <w:spacing w:line="240" w:lineRule="auto"/>
      </w:pPr>
      <w:r>
        <w:separator/>
      </w:r>
    </w:p>
  </w:footnote>
  <w:footnote w:type="continuationSeparator" w:id="0">
    <w:p w:rsidR="007A4385" w:rsidRDefault="007A4385" w:rsidP="00407E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B1" w:rsidRPr="004034B1" w:rsidRDefault="00407EB1" w:rsidP="004034B1">
    <w:pPr>
      <w:pStyle w:val="Kopfzeile"/>
    </w:pPr>
    <w:fldSimple w:instr=" DOCPROPERTY bjHeaderEvenPageDocProperty \* MERGEFORMAT " w:fldLock="1">
      <w:r w:rsidRPr="004034B1">
        <w:rPr>
          <w:rFonts w:ascii="Arial" w:hAnsi="Arial" w:cs="Arial"/>
          <w:color w:val="7F7F7F"/>
          <w:sz w:val="16"/>
        </w:rPr>
        <w:t>Amgen Proprietary - For Internal Use Only</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B1" w:rsidRPr="004034B1" w:rsidRDefault="00407EB1" w:rsidP="004034B1">
    <w:pPr>
      <w:pStyle w:val="Kopfzeile"/>
    </w:pPr>
    <w:fldSimple w:instr=" DOCPROPERTY bjHeaderFirstPageDocProperty \* MERGEFORMAT " w:fldLock="1">
      <w:r w:rsidRPr="004034B1">
        <w:rPr>
          <w:rFonts w:ascii="Arial" w:hAnsi="Arial" w:cs="Arial"/>
          <w:color w:val="7F7F7F"/>
          <w:sz w:val="16"/>
        </w:rPr>
        <w:t>Amgen Proprietary - For Internal Use Only</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D346D"/>
    <w:multiLevelType w:val="hybridMultilevel"/>
    <w:tmpl w:val="CD88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747AA"/>
    <w:multiLevelType w:val="hybridMultilevel"/>
    <w:tmpl w:val="4D10BCB4"/>
    <w:lvl w:ilvl="0" w:tplc="4B78D06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9405A"/>
    <w:multiLevelType w:val="hybridMultilevel"/>
    <w:tmpl w:val="1960C8D8"/>
    <w:lvl w:ilvl="0" w:tplc="6DE202C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002294"/>
    <w:multiLevelType w:val="hybridMultilevel"/>
    <w:tmpl w:val="C73E4E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21C7A0C"/>
    <w:multiLevelType w:val="hybridMultilevel"/>
    <w:tmpl w:val="D3305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65020E9"/>
    <w:multiLevelType w:val="hybridMultilevel"/>
    <w:tmpl w:val="F8CC52C4"/>
    <w:lvl w:ilvl="0" w:tplc="7520E2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7E75B0"/>
    <w:multiLevelType w:val="hybridMultilevel"/>
    <w:tmpl w:val="85E88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5B063F4"/>
    <w:multiLevelType w:val="hybridMultilevel"/>
    <w:tmpl w:val="980C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CF3B69"/>
    <w:multiLevelType w:val="multilevel"/>
    <w:tmpl w:val="0410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nsid w:val="6C1366A8"/>
    <w:multiLevelType w:val="hybridMultilevel"/>
    <w:tmpl w:val="29BEE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39039C4"/>
    <w:multiLevelType w:val="hybridMultilevel"/>
    <w:tmpl w:val="C38C6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DE47721"/>
    <w:multiLevelType w:val="hybridMultilevel"/>
    <w:tmpl w:val="04CC6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F25155E"/>
    <w:multiLevelType w:val="hybridMultilevel"/>
    <w:tmpl w:val="FB38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8"/>
  </w:num>
  <w:num w:numId="5">
    <w:abstractNumId w:val="9"/>
  </w:num>
  <w:num w:numId="6">
    <w:abstractNumId w:val="7"/>
  </w:num>
  <w:num w:numId="7">
    <w:abstractNumId w:val="2"/>
  </w:num>
  <w:num w:numId="8">
    <w:abstractNumId w:val="3"/>
  </w:num>
  <w:num w:numId="9">
    <w:abstractNumId w:val="12"/>
  </w:num>
  <w:num w:numId="10">
    <w:abstractNumId w:val="4"/>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de-CH" w:vendorID="64" w:dllVersion="131078" w:nlCheck="1" w:checkStyle="1"/>
  <w:defaultTabStop w:val="840"/>
  <w:hyphenationZone w:val="425"/>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B1"/>
    <w:rsid w:val="00201162"/>
    <w:rsid w:val="00406616"/>
    <w:rsid w:val="00407EB1"/>
    <w:rsid w:val="00472E34"/>
    <w:rsid w:val="00543CF0"/>
    <w:rsid w:val="007A4385"/>
    <w:rsid w:val="00B53E81"/>
    <w:rsid w:val="00CC2C8C"/>
    <w:rsid w:val="00F00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1"/>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7EB1"/>
    <w:pPr>
      <w:spacing w:line="360" w:lineRule="auto"/>
    </w:pPr>
    <w:rPr>
      <w:rFonts w:eastAsiaTheme="minorEastAsia"/>
      <w:kern w:val="0"/>
      <w:sz w:val="24"/>
      <w:szCs w:val="24"/>
      <w:lang w:val="it-IT" w:eastAsia="it-IT"/>
    </w:rPr>
  </w:style>
  <w:style w:type="paragraph" w:styleId="berschrift1">
    <w:name w:val="heading 1"/>
    <w:basedOn w:val="Standard"/>
    <w:next w:val="Standard"/>
    <w:link w:val="berschrift1Zchn"/>
    <w:uiPriority w:val="9"/>
    <w:qFormat/>
    <w:rsid w:val="00407EB1"/>
    <w:pPr>
      <w:keepNext/>
      <w:keepLines/>
      <w:numPr>
        <w:numId w:val="4"/>
      </w:numPr>
      <w:spacing w:before="480"/>
      <w:outlineLvl w:val="0"/>
    </w:pPr>
    <w:rPr>
      <w:rFonts w:asciiTheme="majorHAnsi" w:eastAsiaTheme="majorEastAsia" w:hAnsiTheme="majorHAnsi" w:cstheme="majorBidi"/>
      <w:b/>
      <w:bCs/>
      <w:color w:val="2C6EAB" w:themeColor="accent1" w:themeShade="B5"/>
      <w:sz w:val="32"/>
      <w:szCs w:val="32"/>
    </w:rPr>
  </w:style>
  <w:style w:type="paragraph" w:styleId="berschrift2">
    <w:name w:val="heading 2"/>
    <w:basedOn w:val="Standard"/>
    <w:next w:val="Standard"/>
    <w:link w:val="berschrift2Zchn"/>
    <w:uiPriority w:val="9"/>
    <w:unhideWhenUsed/>
    <w:qFormat/>
    <w:rsid w:val="00407EB1"/>
    <w:pPr>
      <w:keepNext/>
      <w:keepLines/>
      <w:numPr>
        <w:ilvl w:val="1"/>
        <w:numId w:val="4"/>
      </w:numPr>
      <w:spacing w:before="20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407EB1"/>
    <w:pPr>
      <w:keepNext/>
      <w:keepLines/>
      <w:numPr>
        <w:ilvl w:val="2"/>
        <w:numId w:val="4"/>
      </w:numPr>
      <w:spacing w:before="20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iPriority w:val="9"/>
    <w:semiHidden/>
    <w:unhideWhenUsed/>
    <w:qFormat/>
    <w:rsid w:val="00407EB1"/>
    <w:pPr>
      <w:keepNext/>
      <w:keepLines/>
      <w:numPr>
        <w:ilvl w:val="3"/>
        <w:numId w:val="4"/>
      </w:numPr>
      <w:spacing w:before="20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uiPriority w:val="9"/>
    <w:semiHidden/>
    <w:unhideWhenUsed/>
    <w:qFormat/>
    <w:rsid w:val="00407EB1"/>
    <w:pPr>
      <w:keepNext/>
      <w:keepLines/>
      <w:numPr>
        <w:ilvl w:val="4"/>
        <w:numId w:val="4"/>
      </w:numPr>
      <w:spacing w:before="20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uiPriority w:val="9"/>
    <w:semiHidden/>
    <w:unhideWhenUsed/>
    <w:qFormat/>
    <w:rsid w:val="00407EB1"/>
    <w:pPr>
      <w:keepNext/>
      <w:keepLines/>
      <w:numPr>
        <w:ilvl w:val="5"/>
        <w:numId w:val="4"/>
      </w:numPr>
      <w:spacing w:before="20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uiPriority w:val="9"/>
    <w:semiHidden/>
    <w:unhideWhenUsed/>
    <w:qFormat/>
    <w:rsid w:val="00407EB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07EB1"/>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07EB1"/>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7EB1"/>
    <w:rPr>
      <w:rFonts w:asciiTheme="majorHAnsi" w:eastAsiaTheme="majorEastAsia" w:hAnsiTheme="majorHAnsi" w:cstheme="majorBidi"/>
      <w:b/>
      <w:bCs/>
      <w:color w:val="2C6EAB" w:themeColor="accent1" w:themeShade="B5"/>
      <w:kern w:val="0"/>
      <w:sz w:val="32"/>
      <w:szCs w:val="32"/>
      <w:lang w:val="it-IT" w:eastAsia="it-IT"/>
    </w:rPr>
  </w:style>
  <w:style w:type="character" w:customStyle="1" w:styleId="berschrift2Zchn">
    <w:name w:val="Überschrift 2 Zchn"/>
    <w:basedOn w:val="Absatz-Standardschriftart"/>
    <w:link w:val="berschrift2"/>
    <w:uiPriority w:val="9"/>
    <w:rsid w:val="00407EB1"/>
    <w:rPr>
      <w:rFonts w:asciiTheme="majorHAnsi" w:eastAsiaTheme="majorEastAsia" w:hAnsiTheme="majorHAnsi" w:cstheme="majorBidi"/>
      <w:b/>
      <w:bCs/>
      <w:color w:val="5B9BD5" w:themeColor="accent1"/>
      <w:kern w:val="0"/>
      <w:sz w:val="26"/>
      <w:szCs w:val="26"/>
      <w:lang w:val="it-IT" w:eastAsia="it-IT"/>
    </w:rPr>
  </w:style>
  <w:style w:type="character" w:customStyle="1" w:styleId="berschrift3Zchn">
    <w:name w:val="Überschrift 3 Zchn"/>
    <w:basedOn w:val="Absatz-Standardschriftart"/>
    <w:link w:val="berschrift3"/>
    <w:uiPriority w:val="9"/>
    <w:semiHidden/>
    <w:rsid w:val="00407EB1"/>
    <w:rPr>
      <w:rFonts w:asciiTheme="majorHAnsi" w:eastAsiaTheme="majorEastAsia" w:hAnsiTheme="majorHAnsi" w:cstheme="majorBidi"/>
      <w:b/>
      <w:bCs/>
      <w:color w:val="5B9BD5" w:themeColor="accent1"/>
      <w:kern w:val="0"/>
      <w:sz w:val="24"/>
      <w:szCs w:val="24"/>
      <w:lang w:val="it-IT" w:eastAsia="it-IT"/>
    </w:rPr>
  </w:style>
  <w:style w:type="character" w:customStyle="1" w:styleId="berschrift4Zchn">
    <w:name w:val="Überschrift 4 Zchn"/>
    <w:basedOn w:val="Absatz-Standardschriftart"/>
    <w:link w:val="berschrift4"/>
    <w:uiPriority w:val="9"/>
    <w:semiHidden/>
    <w:rsid w:val="00407EB1"/>
    <w:rPr>
      <w:rFonts w:asciiTheme="majorHAnsi" w:eastAsiaTheme="majorEastAsia" w:hAnsiTheme="majorHAnsi" w:cstheme="majorBidi"/>
      <w:b/>
      <w:bCs/>
      <w:i/>
      <w:iCs/>
      <w:color w:val="5B9BD5" w:themeColor="accent1"/>
      <w:kern w:val="0"/>
      <w:sz w:val="24"/>
      <w:szCs w:val="24"/>
      <w:lang w:val="it-IT" w:eastAsia="it-IT"/>
    </w:rPr>
  </w:style>
  <w:style w:type="character" w:customStyle="1" w:styleId="berschrift5Zchn">
    <w:name w:val="Überschrift 5 Zchn"/>
    <w:basedOn w:val="Absatz-Standardschriftart"/>
    <w:link w:val="berschrift5"/>
    <w:uiPriority w:val="9"/>
    <w:semiHidden/>
    <w:rsid w:val="00407EB1"/>
    <w:rPr>
      <w:rFonts w:asciiTheme="majorHAnsi" w:eastAsiaTheme="majorEastAsia" w:hAnsiTheme="majorHAnsi" w:cstheme="majorBidi"/>
      <w:color w:val="1F4D78" w:themeColor="accent1" w:themeShade="7F"/>
      <w:kern w:val="0"/>
      <w:sz w:val="24"/>
      <w:szCs w:val="24"/>
      <w:lang w:val="it-IT" w:eastAsia="it-IT"/>
    </w:rPr>
  </w:style>
  <w:style w:type="character" w:customStyle="1" w:styleId="berschrift6Zchn">
    <w:name w:val="Überschrift 6 Zchn"/>
    <w:basedOn w:val="Absatz-Standardschriftart"/>
    <w:link w:val="berschrift6"/>
    <w:uiPriority w:val="9"/>
    <w:semiHidden/>
    <w:rsid w:val="00407EB1"/>
    <w:rPr>
      <w:rFonts w:asciiTheme="majorHAnsi" w:eastAsiaTheme="majorEastAsia" w:hAnsiTheme="majorHAnsi" w:cstheme="majorBidi"/>
      <w:i/>
      <w:iCs/>
      <w:color w:val="1F4D78" w:themeColor="accent1" w:themeShade="7F"/>
      <w:kern w:val="0"/>
      <w:sz w:val="24"/>
      <w:szCs w:val="24"/>
      <w:lang w:val="it-IT" w:eastAsia="it-IT"/>
    </w:rPr>
  </w:style>
  <w:style w:type="character" w:customStyle="1" w:styleId="berschrift7Zchn">
    <w:name w:val="Überschrift 7 Zchn"/>
    <w:basedOn w:val="Absatz-Standardschriftart"/>
    <w:link w:val="berschrift7"/>
    <w:uiPriority w:val="9"/>
    <w:semiHidden/>
    <w:rsid w:val="00407EB1"/>
    <w:rPr>
      <w:rFonts w:asciiTheme="majorHAnsi" w:eastAsiaTheme="majorEastAsia" w:hAnsiTheme="majorHAnsi" w:cstheme="majorBidi"/>
      <w:i/>
      <w:iCs/>
      <w:color w:val="404040" w:themeColor="text1" w:themeTint="BF"/>
      <w:kern w:val="0"/>
      <w:sz w:val="24"/>
      <w:szCs w:val="24"/>
      <w:lang w:val="it-IT" w:eastAsia="it-IT"/>
    </w:rPr>
  </w:style>
  <w:style w:type="character" w:customStyle="1" w:styleId="berschrift8Zchn">
    <w:name w:val="Überschrift 8 Zchn"/>
    <w:basedOn w:val="Absatz-Standardschriftart"/>
    <w:link w:val="berschrift8"/>
    <w:uiPriority w:val="9"/>
    <w:semiHidden/>
    <w:rsid w:val="00407EB1"/>
    <w:rPr>
      <w:rFonts w:asciiTheme="majorHAnsi" w:eastAsiaTheme="majorEastAsia" w:hAnsiTheme="majorHAnsi" w:cstheme="majorBidi"/>
      <w:color w:val="404040" w:themeColor="text1" w:themeTint="BF"/>
      <w:kern w:val="0"/>
      <w:sz w:val="20"/>
      <w:szCs w:val="20"/>
      <w:lang w:val="it-IT" w:eastAsia="it-IT"/>
    </w:rPr>
  </w:style>
  <w:style w:type="character" w:customStyle="1" w:styleId="berschrift9Zchn">
    <w:name w:val="Überschrift 9 Zchn"/>
    <w:basedOn w:val="Absatz-Standardschriftart"/>
    <w:link w:val="berschrift9"/>
    <w:uiPriority w:val="9"/>
    <w:semiHidden/>
    <w:rsid w:val="00407EB1"/>
    <w:rPr>
      <w:rFonts w:asciiTheme="majorHAnsi" w:eastAsiaTheme="majorEastAsia" w:hAnsiTheme="majorHAnsi" w:cstheme="majorBidi"/>
      <w:i/>
      <w:iCs/>
      <w:color w:val="404040" w:themeColor="text1" w:themeTint="BF"/>
      <w:kern w:val="0"/>
      <w:sz w:val="20"/>
      <w:szCs w:val="20"/>
      <w:lang w:val="it-IT" w:eastAsia="it-IT"/>
    </w:rPr>
  </w:style>
  <w:style w:type="paragraph" w:styleId="Titel">
    <w:name w:val="Title"/>
    <w:basedOn w:val="Standard"/>
    <w:next w:val="Standard"/>
    <w:link w:val="TitelZchn"/>
    <w:uiPriority w:val="10"/>
    <w:qFormat/>
    <w:rsid w:val="00407EB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407EB1"/>
    <w:rPr>
      <w:rFonts w:asciiTheme="majorHAnsi" w:eastAsiaTheme="majorEastAsia" w:hAnsiTheme="majorHAnsi" w:cstheme="majorBidi"/>
      <w:color w:val="323E4F" w:themeColor="text2" w:themeShade="BF"/>
      <w:spacing w:val="5"/>
      <w:kern w:val="28"/>
      <w:sz w:val="52"/>
      <w:szCs w:val="52"/>
      <w:lang w:val="it-IT" w:eastAsia="it-IT"/>
    </w:rPr>
  </w:style>
  <w:style w:type="paragraph" w:styleId="Untertitel">
    <w:name w:val="Subtitle"/>
    <w:basedOn w:val="Standard"/>
    <w:next w:val="Standard"/>
    <w:link w:val="UntertitelZchn"/>
    <w:uiPriority w:val="11"/>
    <w:qFormat/>
    <w:rsid w:val="00407EB1"/>
    <w:pPr>
      <w:numPr>
        <w:ilvl w:val="1"/>
      </w:numPr>
    </w:pPr>
    <w:rPr>
      <w:rFonts w:asciiTheme="majorHAnsi" w:eastAsiaTheme="majorEastAsia" w:hAnsiTheme="majorHAnsi" w:cstheme="majorBidi"/>
      <w:i/>
      <w:iCs/>
      <w:color w:val="5B9BD5" w:themeColor="accent1"/>
      <w:spacing w:val="15"/>
    </w:rPr>
  </w:style>
  <w:style w:type="character" w:customStyle="1" w:styleId="UntertitelZchn">
    <w:name w:val="Untertitel Zchn"/>
    <w:basedOn w:val="Absatz-Standardschriftart"/>
    <w:link w:val="Untertitel"/>
    <w:uiPriority w:val="11"/>
    <w:rsid w:val="00407EB1"/>
    <w:rPr>
      <w:rFonts w:asciiTheme="majorHAnsi" w:eastAsiaTheme="majorEastAsia" w:hAnsiTheme="majorHAnsi" w:cstheme="majorBidi"/>
      <w:i/>
      <w:iCs/>
      <w:color w:val="5B9BD5" w:themeColor="accent1"/>
      <w:spacing w:val="15"/>
      <w:kern w:val="0"/>
      <w:sz w:val="24"/>
      <w:szCs w:val="24"/>
      <w:lang w:val="it-IT" w:eastAsia="it-IT"/>
    </w:rPr>
  </w:style>
  <w:style w:type="paragraph" w:styleId="Kopfzeile">
    <w:name w:val="header"/>
    <w:basedOn w:val="Standard"/>
    <w:link w:val="KopfzeileZchn"/>
    <w:uiPriority w:val="99"/>
    <w:unhideWhenUsed/>
    <w:rsid w:val="00407EB1"/>
    <w:pPr>
      <w:tabs>
        <w:tab w:val="center" w:pos="4819"/>
        <w:tab w:val="right" w:pos="9638"/>
      </w:tabs>
    </w:pPr>
  </w:style>
  <w:style w:type="character" w:customStyle="1" w:styleId="KopfzeileZchn">
    <w:name w:val="Kopfzeile Zchn"/>
    <w:basedOn w:val="Absatz-Standardschriftart"/>
    <w:link w:val="Kopfzeile"/>
    <w:uiPriority w:val="99"/>
    <w:rsid w:val="00407EB1"/>
    <w:rPr>
      <w:rFonts w:eastAsiaTheme="minorEastAsia"/>
      <w:kern w:val="0"/>
      <w:sz w:val="24"/>
      <w:szCs w:val="24"/>
      <w:lang w:val="it-IT" w:eastAsia="it-IT"/>
    </w:rPr>
  </w:style>
  <w:style w:type="paragraph" w:styleId="Fuzeile">
    <w:name w:val="footer"/>
    <w:basedOn w:val="Standard"/>
    <w:link w:val="FuzeileZchn"/>
    <w:uiPriority w:val="99"/>
    <w:unhideWhenUsed/>
    <w:rsid w:val="00407EB1"/>
    <w:pPr>
      <w:tabs>
        <w:tab w:val="center" w:pos="4819"/>
        <w:tab w:val="right" w:pos="9638"/>
      </w:tabs>
    </w:pPr>
  </w:style>
  <w:style w:type="character" w:customStyle="1" w:styleId="FuzeileZchn">
    <w:name w:val="Fußzeile Zchn"/>
    <w:basedOn w:val="Absatz-Standardschriftart"/>
    <w:link w:val="Fuzeile"/>
    <w:uiPriority w:val="99"/>
    <w:rsid w:val="00407EB1"/>
    <w:rPr>
      <w:rFonts w:eastAsiaTheme="minorEastAsia"/>
      <w:kern w:val="0"/>
      <w:sz w:val="24"/>
      <w:szCs w:val="24"/>
      <w:lang w:val="it-IT" w:eastAsia="it-IT"/>
    </w:rPr>
  </w:style>
  <w:style w:type="character" w:styleId="Seitenzahl">
    <w:name w:val="page number"/>
    <w:basedOn w:val="Absatz-Standardschriftart"/>
    <w:uiPriority w:val="99"/>
    <w:semiHidden/>
    <w:unhideWhenUsed/>
    <w:rsid w:val="00407EB1"/>
  </w:style>
  <w:style w:type="paragraph" w:styleId="Listenabsatz">
    <w:name w:val="List Paragraph"/>
    <w:basedOn w:val="Standard"/>
    <w:link w:val="ListenabsatzZchn"/>
    <w:uiPriority w:val="34"/>
    <w:qFormat/>
    <w:rsid w:val="00407EB1"/>
    <w:pPr>
      <w:ind w:left="720"/>
      <w:contextualSpacing/>
    </w:pPr>
  </w:style>
  <w:style w:type="paragraph" w:styleId="Sprechblasentext">
    <w:name w:val="Balloon Text"/>
    <w:basedOn w:val="Standard"/>
    <w:link w:val="SprechblasentextZchn"/>
    <w:uiPriority w:val="99"/>
    <w:semiHidden/>
    <w:unhideWhenUsed/>
    <w:rsid w:val="00407EB1"/>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07EB1"/>
    <w:rPr>
      <w:rFonts w:ascii="Lucida Grande" w:eastAsiaTheme="minorEastAsia" w:hAnsi="Lucida Grande" w:cs="Lucida Grande"/>
      <w:kern w:val="0"/>
      <w:sz w:val="18"/>
      <w:szCs w:val="18"/>
      <w:lang w:val="it-IT" w:eastAsia="it-IT"/>
    </w:rPr>
  </w:style>
  <w:style w:type="paragraph" w:styleId="Beschriftung">
    <w:name w:val="caption"/>
    <w:aliases w:val="Figure caption,Bayer Caption,IB Caption,Medical Caption,- H17,Caption Char1 Char,Caption Char Char Char,Caption Char1,Caption Table...,Caption Char1 + 8 pt,Not B....,Caption Table,...,Caption 3,figure,Caption-FUSA,caption,Char,12,12+"/>
    <w:basedOn w:val="Standard"/>
    <w:next w:val="Standard"/>
    <w:link w:val="BeschriftungZchn"/>
    <w:uiPriority w:val="35"/>
    <w:unhideWhenUsed/>
    <w:qFormat/>
    <w:rsid w:val="00407EB1"/>
    <w:pPr>
      <w:spacing w:after="200" w:line="240" w:lineRule="auto"/>
    </w:pPr>
    <w:rPr>
      <w:b/>
      <w:bCs/>
      <w:color w:val="5B9BD5" w:themeColor="accent1"/>
      <w:sz w:val="18"/>
      <w:szCs w:val="18"/>
    </w:rPr>
  </w:style>
  <w:style w:type="table" w:styleId="Tabellenraster">
    <w:name w:val="Table Grid"/>
    <w:aliases w:val="Dossier Table"/>
    <w:basedOn w:val="NormaleTabelle"/>
    <w:uiPriority w:val="59"/>
    <w:rsid w:val="00407EB1"/>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07EB1"/>
    <w:rPr>
      <w:sz w:val="18"/>
      <w:szCs w:val="18"/>
    </w:rPr>
  </w:style>
  <w:style w:type="paragraph" w:styleId="Kommentartext">
    <w:name w:val="annotation text"/>
    <w:basedOn w:val="Standard"/>
    <w:link w:val="KommentartextZchn"/>
    <w:uiPriority w:val="99"/>
    <w:unhideWhenUsed/>
    <w:rsid w:val="00407EB1"/>
    <w:pPr>
      <w:spacing w:line="240" w:lineRule="auto"/>
    </w:pPr>
  </w:style>
  <w:style w:type="character" w:customStyle="1" w:styleId="KommentartextZchn">
    <w:name w:val="Kommentartext Zchn"/>
    <w:basedOn w:val="Absatz-Standardschriftart"/>
    <w:link w:val="Kommentartext"/>
    <w:uiPriority w:val="99"/>
    <w:rsid w:val="00407EB1"/>
    <w:rPr>
      <w:rFonts w:eastAsiaTheme="minorEastAsia"/>
      <w:kern w:val="0"/>
      <w:sz w:val="24"/>
      <w:szCs w:val="24"/>
      <w:lang w:val="it-IT" w:eastAsia="it-IT"/>
    </w:rPr>
  </w:style>
  <w:style w:type="paragraph" w:styleId="Kommentarthema">
    <w:name w:val="annotation subject"/>
    <w:basedOn w:val="Kommentartext"/>
    <w:next w:val="Kommentartext"/>
    <w:link w:val="KommentarthemaZchn"/>
    <w:uiPriority w:val="99"/>
    <w:semiHidden/>
    <w:unhideWhenUsed/>
    <w:rsid w:val="00407EB1"/>
    <w:rPr>
      <w:b/>
      <w:bCs/>
      <w:sz w:val="20"/>
      <w:szCs w:val="20"/>
    </w:rPr>
  </w:style>
  <w:style w:type="character" w:customStyle="1" w:styleId="KommentarthemaZchn">
    <w:name w:val="Kommentarthema Zchn"/>
    <w:basedOn w:val="KommentartextZchn"/>
    <w:link w:val="Kommentarthema"/>
    <w:uiPriority w:val="99"/>
    <w:semiHidden/>
    <w:rsid w:val="00407EB1"/>
    <w:rPr>
      <w:rFonts w:eastAsiaTheme="minorEastAsia"/>
      <w:b/>
      <w:bCs/>
      <w:kern w:val="0"/>
      <w:sz w:val="20"/>
      <w:szCs w:val="20"/>
      <w:lang w:val="it-IT" w:eastAsia="it-IT"/>
    </w:rPr>
  </w:style>
  <w:style w:type="paragraph" w:styleId="Dokumentstruktur">
    <w:name w:val="Document Map"/>
    <w:basedOn w:val="Standard"/>
    <w:link w:val="DokumentstrukturZchn"/>
    <w:uiPriority w:val="99"/>
    <w:semiHidden/>
    <w:unhideWhenUsed/>
    <w:rsid w:val="00407EB1"/>
    <w:pPr>
      <w:spacing w:line="240" w:lineRule="auto"/>
    </w:pPr>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407EB1"/>
    <w:rPr>
      <w:rFonts w:ascii="Lucida Grande" w:eastAsiaTheme="minorEastAsia" w:hAnsi="Lucida Grande" w:cs="Lucida Grande"/>
      <w:kern w:val="0"/>
      <w:sz w:val="24"/>
      <w:szCs w:val="24"/>
      <w:lang w:val="it-IT" w:eastAsia="it-IT"/>
    </w:rPr>
  </w:style>
  <w:style w:type="paragraph" w:styleId="berarbeitung">
    <w:name w:val="Revision"/>
    <w:hidden/>
    <w:uiPriority w:val="99"/>
    <w:semiHidden/>
    <w:rsid w:val="00407EB1"/>
    <w:rPr>
      <w:rFonts w:eastAsiaTheme="minorEastAsia"/>
      <w:kern w:val="0"/>
      <w:sz w:val="24"/>
      <w:szCs w:val="24"/>
      <w:lang w:val="it-IT" w:eastAsia="it-IT"/>
    </w:rPr>
  </w:style>
  <w:style w:type="paragraph" w:styleId="Endnotentext">
    <w:name w:val="endnote text"/>
    <w:basedOn w:val="Standard"/>
    <w:link w:val="EndnotentextZchn"/>
    <w:uiPriority w:val="99"/>
    <w:unhideWhenUsed/>
    <w:rsid w:val="00407EB1"/>
    <w:pPr>
      <w:spacing w:line="240" w:lineRule="auto"/>
    </w:pPr>
  </w:style>
  <w:style w:type="character" w:customStyle="1" w:styleId="EndnotentextZchn">
    <w:name w:val="Endnotentext Zchn"/>
    <w:basedOn w:val="Absatz-Standardschriftart"/>
    <w:link w:val="Endnotentext"/>
    <w:uiPriority w:val="99"/>
    <w:rsid w:val="00407EB1"/>
    <w:rPr>
      <w:rFonts w:eastAsiaTheme="minorEastAsia"/>
      <w:kern w:val="0"/>
      <w:sz w:val="24"/>
      <w:szCs w:val="24"/>
      <w:lang w:val="it-IT" w:eastAsia="it-IT"/>
    </w:rPr>
  </w:style>
  <w:style w:type="character" w:styleId="Endnotenzeichen">
    <w:name w:val="endnote reference"/>
    <w:basedOn w:val="Absatz-Standardschriftart"/>
    <w:uiPriority w:val="99"/>
    <w:unhideWhenUsed/>
    <w:rsid w:val="00407EB1"/>
    <w:rPr>
      <w:vertAlign w:val="superscript"/>
    </w:rPr>
  </w:style>
  <w:style w:type="character" w:styleId="Hyperlink">
    <w:name w:val="Hyperlink"/>
    <w:basedOn w:val="Absatz-Standardschriftart"/>
    <w:uiPriority w:val="99"/>
    <w:unhideWhenUsed/>
    <w:rsid w:val="00407EB1"/>
    <w:rPr>
      <w:color w:val="0563C1" w:themeColor="hyperlink"/>
      <w:u w:val="single"/>
    </w:rPr>
  </w:style>
  <w:style w:type="character" w:customStyle="1" w:styleId="ListenabsatzZchn">
    <w:name w:val="Listenabsatz Zchn"/>
    <w:basedOn w:val="Absatz-Standardschriftart"/>
    <w:link w:val="Listenabsatz"/>
    <w:uiPriority w:val="34"/>
    <w:rsid w:val="00407EB1"/>
    <w:rPr>
      <w:rFonts w:eastAsiaTheme="minorEastAsia"/>
      <w:kern w:val="0"/>
      <w:sz w:val="24"/>
      <w:szCs w:val="24"/>
      <w:lang w:val="it-IT" w:eastAsia="it-IT"/>
    </w:rPr>
  </w:style>
  <w:style w:type="character" w:customStyle="1" w:styleId="BeschriftungZchn">
    <w:name w:val="Beschriftung Zchn"/>
    <w:aliases w:val="Figure caption Zchn,Bayer Caption Zchn,IB Caption Zchn,Medical Caption Zchn,- H17 Zchn,Caption Char1 Char Zchn,Caption Char Char Char Zchn,Caption Char1 Zchn,Caption Table... Zchn,Caption Char1 + 8 pt Zchn,Not B.... Zchn,... Zchn"/>
    <w:basedOn w:val="Absatz-Standardschriftart"/>
    <w:link w:val="Beschriftung"/>
    <w:uiPriority w:val="35"/>
    <w:rsid w:val="00407EB1"/>
    <w:rPr>
      <w:rFonts w:eastAsiaTheme="minorEastAsia"/>
      <w:b/>
      <w:bCs/>
      <w:color w:val="5B9BD5" w:themeColor="accent1"/>
      <w:kern w:val="0"/>
      <w:sz w:val="18"/>
      <w:szCs w:val="18"/>
      <w:lang w:val="it-IT" w:eastAsia="it-IT"/>
    </w:rPr>
  </w:style>
  <w:style w:type="paragraph" w:customStyle="1" w:styleId="title1">
    <w:name w:val="title1"/>
    <w:basedOn w:val="Standard"/>
    <w:rsid w:val="00407EB1"/>
    <w:pPr>
      <w:spacing w:line="240" w:lineRule="auto"/>
    </w:pPr>
    <w:rPr>
      <w:rFonts w:ascii="Times New Roman" w:eastAsia="Times New Roman" w:hAnsi="Times New Roman" w:cs="Times New Roman"/>
      <w:sz w:val="27"/>
      <w:szCs w:val="27"/>
      <w:lang w:val="en-US" w:eastAsia="en-US"/>
    </w:rPr>
  </w:style>
  <w:style w:type="paragraph" w:customStyle="1" w:styleId="desc2">
    <w:name w:val="desc2"/>
    <w:basedOn w:val="Standard"/>
    <w:rsid w:val="00407EB1"/>
    <w:pPr>
      <w:spacing w:line="240" w:lineRule="auto"/>
    </w:pPr>
    <w:rPr>
      <w:rFonts w:ascii="Times New Roman" w:eastAsia="Times New Roman" w:hAnsi="Times New Roman" w:cs="Times New Roman"/>
      <w:sz w:val="26"/>
      <w:szCs w:val="26"/>
      <w:lang w:val="en-US" w:eastAsia="en-US"/>
    </w:rPr>
  </w:style>
  <w:style w:type="paragraph" w:customStyle="1" w:styleId="details1">
    <w:name w:val="details1"/>
    <w:basedOn w:val="Standard"/>
    <w:rsid w:val="00407EB1"/>
    <w:pPr>
      <w:spacing w:line="240" w:lineRule="auto"/>
    </w:pPr>
    <w:rPr>
      <w:rFonts w:ascii="Times New Roman" w:eastAsia="Times New Roman" w:hAnsi="Times New Roman" w:cs="Times New Roman"/>
      <w:sz w:val="22"/>
      <w:szCs w:val="22"/>
      <w:lang w:val="en-US" w:eastAsia="en-US"/>
    </w:rPr>
  </w:style>
  <w:style w:type="character" w:customStyle="1" w:styleId="jrnl">
    <w:name w:val="jrnl"/>
    <w:basedOn w:val="Absatz-Standardschriftart"/>
    <w:rsid w:val="00407EB1"/>
  </w:style>
  <w:style w:type="paragraph" w:styleId="NurText">
    <w:name w:val="Plain Text"/>
    <w:basedOn w:val="Standard"/>
    <w:link w:val="NurTextZchn"/>
    <w:uiPriority w:val="99"/>
    <w:unhideWhenUsed/>
    <w:rsid w:val="00407EB1"/>
    <w:pPr>
      <w:spacing w:line="240" w:lineRule="auto"/>
    </w:pPr>
    <w:rPr>
      <w:rFonts w:ascii="Calibri" w:eastAsiaTheme="minorHAnsi" w:hAnsi="Calibri"/>
      <w:sz w:val="22"/>
      <w:szCs w:val="21"/>
      <w:lang w:val="en-US" w:eastAsia="en-US"/>
    </w:rPr>
  </w:style>
  <w:style w:type="character" w:customStyle="1" w:styleId="NurTextZchn">
    <w:name w:val="Nur Text Zchn"/>
    <w:basedOn w:val="Absatz-Standardschriftart"/>
    <w:link w:val="NurText"/>
    <w:uiPriority w:val="99"/>
    <w:rsid w:val="00407EB1"/>
    <w:rPr>
      <w:rFonts w:ascii="Calibri" w:hAnsi="Calibri"/>
      <w:kern w:val="0"/>
      <w:sz w:val="22"/>
      <w:szCs w:val="21"/>
    </w:rPr>
  </w:style>
  <w:style w:type="paragraph" w:styleId="Funotentext">
    <w:name w:val="footnote text"/>
    <w:basedOn w:val="Standard"/>
    <w:link w:val="FunotentextZchn"/>
    <w:uiPriority w:val="99"/>
    <w:semiHidden/>
    <w:unhideWhenUsed/>
    <w:rsid w:val="00407EB1"/>
    <w:pPr>
      <w:spacing w:line="240" w:lineRule="auto"/>
    </w:pPr>
    <w:rPr>
      <w:sz w:val="20"/>
      <w:szCs w:val="20"/>
    </w:rPr>
  </w:style>
  <w:style w:type="character" w:customStyle="1" w:styleId="FunotentextZchn">
    <w:name w:val="Fußnotentext Zchn"/>
    <w:basedOn w:val="Absatz-Standardschriftart"/>
    <w:link w:val="Funotentext"/>
    <w:uiPriority w:val="99"/>
    <w:semiHidden/>
    <w:rsid w:val="00407EB1"/>
    <w:rPr>
      <w:rFonts w:eastAsiaTheme="minorEastAsia"/>
      <w:kern w:val="0"/>
      <w:sz w:val="20"/>
      <w:szCs w:val="20"/>
      <w:lang w:val="it-IT" w:eastAsia="it-IT"/>
    </w:rPr>
  </w:style>
  <w:style w:type="character" w:styleId="Funotenzeichen">
    <w:name w:val="footnote reference"/>
    <w:basedOn w:val="Absatz-Standardschriftart"/>
    <w:uiPriority w:val="99"/>
    <w:semiHidden/>
    <w:unhideWhenUsed/>
    <w:rsid w:val="00407E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1"/>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7EB1"/>
    <w:pPr>
      <w:spacing w:line="360" w:lineRule="auto"/>
    </w:pPr>
    <w:rPr>
      <w:rFonts w:eastAsiaTheme="minorEastAsia"/>
      <w:kern w:val="0"/>
      <w:sz w:val="24"/>
      <w:szCs w:val="24"/>
      <w:lang w:val="it-IT" w:eastAsia="it-IT"/>
    </w:rPr>
  </w:style>
  <w:style w:type="paragraph" w:styleId="berschrift1">
    <w:name w:val="heading 1"/>
    <w:basedOn w:val="Standard"/>
    <w:next w:val="Standard"/>
    <w:link w:val="berschrift1Zchn"/>
    <w:uiPriority w:val="9"/>
    <w:qFormat/>
    <w:rsid w:val="00407EB1"/>
    <w:pPr>
      <w:keepNext/>
      <w:keepLines/>
      <w:numPr>
        <w:numId w:val="4"/>
      </w:numPr>
      <w:spacing w:before="480"/>
      <w:outlineLvl w:val="0"/>
    </w:pPr>
    <w:rPr>
      <w:rFonts w:asciiTheme="majorHAnsi" w:eastAsiaTheme="majorEastAsia" w:hAnsiTheme="majorHAnsi" w:cstheme="majorBidi"/>
      <w:b/>
      <w:bCs/>
      <w:color w:val="2C6EAB" w:themeColor="accent1" w:themeShade="B5"/>
      <w:sz w:val="32"/>
      <w:szCs w:val="32"/>
    </w:rPr>
  </w:style>
  <w:style w:type="paragraph" w:styleId="berschrift2">
    <w:name w:val="heading 2"/>
    <w:basedOn w:val="Standard"/>
    <w:next w:val="Standard"/>
    <w:link w:val="berschrift2Zchn"/>
    <w:uiPriority w:val="9"/>
    <w:unhideWhenUsed/>
    <w:qFormat/>
    <w:rsid w:val="00407EB1"/>
    <w:pPr>
      <w:keepNext/>
      <w:keepLines/>
      <w:numPr>
        <w:ilvl w:val="1"/>
        <w:numId w:val="4"/>
      </w:numPr>
      <w:spacing w:before="20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407EB1"/>
    <w:pPr>
      <w:keepNext/>
      <w:keepLines/>
      <w:numPr>
        <w:ilvl w:val="2"/>
        <w:numId w:val="4"/>
      </w:numPr>
      <w:spacing w:before="20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iPriority w:val="9"/>
    <w:semiHidden/>
    <w:unhideWhenUsed/>
    <w:qFormat/>
    <w:rsid w:val="00407EB1"/>
    <w:pPr>
      <w:keepNext/>
      <w:keepLines/>
      <w:numPr>
        <w:ilvl w:val="3"/>
        <w:numId w:val="4"/>
      </w:numPr>
      <w:spacing w:before="20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uiPriority w:val="9"/>
    <w:semiHidden/>
    <w:unhideWhenUsed/>
    <w:qFormat/>
    <w:rsid w:val="00407EB1"/>
    <w:pPr>
      <w:keepNext/>
      <w:keepLines/>
      <w:numPr>
        <w:ilvl w:val="4"/>
        <w:numId w:val="4"/>
      </w:numPr>
      <w:spacing w:before="20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uiPriority w:val="9"/>
    <w:semiHidden/>
    <w:unhideWhenUsed/>
    <w:qFormat/>
    <w:rsid w:val="00407EB1"/>
    <w:pPr>
      <w:keepNext/>
      <w:keepLines/>
      <w:numPr>
        <w:ilvl w:val="5"/>
        <w:numId w:val="4"/>
      </w:numPr>
      <w:spacing w:before="20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uiPriority w:val="9"/>
    <w:semiHidden/>
    <w:unhideWhenUsed/>
    <w:qFormat/>
    <w:rsid w:val="00407EB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07EB1"/>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07EB1"/>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7EB1"/>
    <w:rPr>
      <w:rFonts w:asciiTheme="majorHAnsi" w:eastAsiaTheme="majorEastAsia" w:hAnsiTheme="majorHAnsi" w:cstheme="majorBidi"/>
      <w:b/>
      <w:bCs/>
      <w:color w:val="2C6EAB" w:themeColor="accent1" w:themeShade="B5"/>
      <w:kern w:val="0"/>
      <w:sz w:val="32"/>
      <w:szCs w:val="32"/>
      <w:lang w:val="it-IT" w:eastAsia="it-IT"/>
    </w:rPr>
  </w:style>
  <w:style w:type="character" w:customStyle="1" w:styleId="berschrift2Zchn">
    <w:name w:val="Überschrift 2 Zchn"/>
    <w:basedOn w:val="Absatz-Standardschriftart"/>
    <w:link w:val="berschrift2"/>
    <w:uiPriority w:val="9"/>
    <w:rsid w:val="00407EB1"/>
    <w:rPr>
      <w:rFonts w:asciiTheme="majorHAnsi" w:eastAsiaTheme="majorEastAsia" w:hAnsiTheme="majorHAnsi" w:cstheme="majorBidi"/>
      <w:b/>
      <w:bCs/>
      <w:color w:val="5B9BD5" w:themeColor="accent1"/>
      <w:kern w:val="0"/>
      <w:sz w:val="26"/>
      <w:szCs w:val="26"/>
      <w:lang w:val="it-IT" w:eastAsia="it-IT"/>
    </w:rPr>
  </w:style>
  <w:style w:type="character" w:customStyle="1" w:styleId="berschrift3Zchn">
    <w:name w:val="Überschrift 3 Zchn"/>
    <w:basedOn w:val="Absatz-Standardschriftart"/>
    <w:link w:val="berschrift3"/>
    <w:uiPriority w:val="9"/>
    <w:semiHidden/>
    <w:rsid w:val="00407EB1"/>
    <w:rPr>
      <w:rFonts w:asciiTheme="majorHAnsi" w:eastAsiaTheme="majorEastAsia" w:hAnsiTheme="majorHAnsi" w:cstheme="majorBidi"/>
      <w:b/>
      <w:bCs/>
      <w:color w:val="5B9BD5" w:themeColor="accent1"/>
      <w:kern w:val="0"/>
      <w:sz w:val="24"/>
      <w:szCs w:val="24"/>
      <w:lang w:val="it-IT" w:eastAsia="it-IT"/>
    </w:rPr>
  </w:style>
  <w:style w:type="character" w:customStyle="1" w:styleId="berschrift4Zchn">
    <w:name w:val="Überschrift 4 Zchn"/>
    <w:basedOn w:val="Absatz-Standardschriftart"/>
    <w:link w:val="berschrift4"/>
    <w:uiPriority w:val="9"/>
    <w:semiHidden/>
    <w:rsid w:val="00407EB1"/>
    <w:rPr>
      <w:rFonts w:asciiTheme="majorHAnsi" w:eastAsiaTheme="majorEastAsia" w:hAnsiTheme="majorHAnsi" w:cstheme="majorBidi"/>
      <w:b/>
      <w:bCs/>
      <w:i/>
      <w:iCs/>
      <w:color w:val="5B9BD5" w:themeColor="accent1"/>
      <w:kern w:val="0"/>
      <w:sz w:val="24"/>
      <w:szCs w:val="24"/>
      <w:lang w:val="it-IT" w:eastAsia="it-IT"/>
    </w:rPr>
  </w:style>
  <w:style w:type="character" w:customStyle="1" w:styleId="berschrift5Zchn">
    <w:name w:val="Überschrift 5 Zchn"/>
    <w:basedOn w:val="Absatz-Standardschriftart"/>
    <w:link w:val="berschrift5"/>
    <w:uiPriority w:val="9"/>
    <w:semiHidden/>
    <w:rsid w:val="00407EB1"/>
    <w:rPr>
      <w:rFonts w:asciiTheme="majorHAnsi" w:eastAsiaTheme="majorEastAsia" w:hAnsiTheme="majorHAnsi" w:cstheme="majorBidi"/>
      <w:color w:val="1F4D78" w:themeColor="accent1" w:themeShade="7F"/>
      <w:kern w:val="0"/>
      <w:sz w:val="24"/>
      <w:szCs w:val="24"/>
      <w:lang w:val="it-IT" w:eastAsia="it-IT"/>
    </w:rPr>
  </w:style>
  <w:style w:type="character" w:customStyle="1" w:styleId="berschrift6Zchn">
    <w:name w:val="Überschrift 6 Zchn"/>
    <w:basedOn w:val="Absatz-Standardschriftart"/>
    <w:link w:val="berschrift6"/>
    <w:uiPriority w:val="9"/>
    <w:semiHidden/>
    <w:rsid w:val="00407EB1"/>
    <w:rPr>
      <w:rFonts w:asciiTheme="majorHAnsi" w:eastAsiaTheme="majorEastAsia" w:hAnsiTheme="majorHAnsi" w:cstheme="majorBidi"/>
      <w:i/>
      <w:iCs/>
      <w:color w:val="1F4D78" w:themeColor="accent1" w:themeShade="7F"/>
      <w:kern w:val="0"/>
      <w:sz w:val="24"/>
      <w:szCs w:val="24"/>
      <w:lang w:val="it-IT" w:eastAsia="it-IT"/>
    </w:rPr>
  </w:style>
  <w:style w:type="character" w:customStyle="1" w:styleId="berschrift7Zchn">
    <w:name w:val="Überschrift 7 Zchn"/>
    <w:basedOn w:val="Absatz-Standardschriftart"/>
    <w:link w:val="berschrift7"/>
    <w:uiPriority w:val="9"/>
    <w:semiHidden/>
    <w:rsid w:val="00407EB1"/>
    <w:rPr>
      <w:rFonts w:asciiTheme="majorHAnsi" w:eastAsiaTheme="majorEastAsia" w:hAnsiTheme="majorHAnsi" w:cstheme="majorBidi"/>
      <w:i/>
      <w:iCs/>
      <w:color w:val="404040" w:themeColor="text1" w:themeTint="BF"/>
      <w:kern w:val="0"/>
      <w:sz w:val="24"/>
      <w:szCs w:val="24"/>
      <w:lang w:val="it-IT" w:eastAsia="it-IT"/>
    </w:rPr>
  </w:style>
  <w:style w:type="character" w:customStyle="1" w:styleId="berschrift8Zchn">
    <w:name w:val="Überschrift 8 Zchn"/>
    <w:basedOn w:val="Absatz-Standardschriftart"/>
    <w:link w:val="berschrift8"/>
    <w:uiPriority w:val="9"/>
    <w:semiHidden/>
    <w:rsid w:val="00407EB1"/>
    <w:rPr>
      <w:rFonts w:asciiTheme="majorHAnsi" w:eastAsiaTheme="majorEastAsia" w:hAnsiTheme="majorHAnsi" w:cstheme="majorBidi"/>
      <w:color w:val="404040" w:themeColor="text1" w:themeTint="BF"/>
      <w:kern w:val="0"/>
      <w:sz w:val="20"/>
      <w:szCs w:val="20"/>
      <w:lang w:val="it-IT" w:eastAsia="it-IT"/>
    </w:rPr>
  </w:style>
  <w:style w:type="character" w:customStyle="1" w:styleId="berschrift9Zchn">
    <w:name w:val="Überschrift 9 Zchn"/>
    <w:basedOn w:val="Absatz-Standardschriftart"/>
    <w:link w:val="berschrift9"/>
    <w:uiPriority w:val="9"/>
    <w:semiHidden/>
    <w:rsid w:val="00407EB1"/>
    <w:rPr>
      <w:rFonts w:asciiTheme="majorHAnsi" w:eastAsiaTheme="majorEastAsia" w:hAnsiTheme="majorHAnsi" w:cstheme="majorBidi"/>
      <w:i/>
      <w:iCs/>
      <w:color w:val="404040" w:themeColor="text1" w:themeTint="BF"/>
      <w:kern w:val="0"/>
      <w:sz w:val="20"/>
      <w:szCs w:val="20"/>
      <w:lang w:val="it-IT" w:eastAsia="it-IT"/>
    </w:rPr>
  </w:style>
  <w:style w:type="paragraph" w:styleId="Titel">
    <w:name w:val="Title"/>
    <w:basedOn w:val="Standard"/>
    <w:next w:val="Standard"/>
    <w:link w:val="TitelZchn"/>
    <w:uiPriority w:val="10"/>
    <w:qFormat/>
    <w:rsid w:val="00407EB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407EB1"/>
    <w:rPr>
      <w:rFonts w:asciiTheme="majorHAnsi" w:eastAsiaTheme="majorEastAsia" w:hAnsiTheme="majorHAnsi" w:cstheme="majorBidi"/>
      <w:color w:val="323E4F" w:themeColor="text2" w:themeShade="BF"/>
      <w:spacing w:val="5"/>
      <w:kern w:val="28"/>
      <w:sz w:val="52"/>
      <w:szCs w:val="52"/>
      <w:lang w:val="it-IT" w:eastAsia="it-IT"/>
    </w:rPr>
  </w:style>
  <w:style w:type="paragraph" w:styleId="Untertitel">
    <w:name w:val="Subtitle"/>
    <w:basedOn w:val="Standard"/>
    <w:next w:val="Standard"/>
    <w:link w:val="UntertitelZchn"/>
    <w:uiPriority w:val="11"/>
    <w:qFormat/>
    <w:rsid w:val="00407EB1"/>
    <w:pPr>
      <w:numPr>
        <w:ilvl w:val="1"/>
      </w:numPr>
    </w:pPr>
    <w:rPr>
      <w:rFonts w:asciiTheme="majorHAnsi" w:eastAsiaTheme="majorEastAsia" w:hAnsiTheme="majorHAnsi" w:cstheme="majorBidi"/>
      <w:i/>
      <w:iCs/>
      <w:color w:val="5B9BD5" w:themeColor="accent1"/>
      <w:spacing w:val="15"/>
    </w:rPr>
  </w:style>
  <w:style w:type="character" w:customStyle="1" w:styleId="UntertitelZchn">
    <w:name w:val="Untertitel Zchn"/>
    <w:basedOn w:val="Absatz-Standardschriftart"/>
    <w:link w:val="Untertitel"/>
    <w:uiPriority w:val="11"/>
    <w:rsid w:val="00407EB1"/>
    <w:rPr>
      <w:rFonts w:asciiTheme="majorHAnsi" w:eastAsiaTheme="majorEastAsia" w:hAnsiTheme="majorHAnsi" w:cstheme="majorBidi"/>
      <w:i/>
      <w:iCs/>
      <w:color w:val="5B9BD5" w:themeColor="accent1"/>
      <w:spacing w:val="15"/>
      <w:kern w:val="0"/>
      <w:sz w:val="24"/>
      <w:szCs w:val="24"/>
      <w:lang w:val="it-IT" w:eastAsia="it-IT"/>
    </w:rPr>
  </w:style>
  <w:style w:type="paragraph" w:styleId="Kopfzeile">
    <w:name w:val="header"/>
    <w:basedOn w:val="Standard"/>
    <w:link w:val="KopfzeileZchn"/>
    <w:uiPriority w:val="99"/>
    <w:unhideWhenUsed/>
    <w:rsid w:val="00407EB1"/>
    <w:pPr>
      <w:tabs>
        <w:tab w:val="center" w:pos="4819"/>
        <w:tab w:val="right" w:pos="9638"/>
      </w:tabs>
    </w:pPr>
  </w:style>
  <w:style w:type="character" w:customStyle="1" w:styleId="KopfzeileZchn">
    <w:name w:val="Kopfzeile Zchn"/>
    <w:basedOn w:val="Absatz-Standardschriftart"/>
    <w:link w:val="Kopfzeile"/>
    <w:uiPriority w:val="99"/>
    <w:rsid w:val="00407EB1"/>
    <w:rPr>
      <w:rFonts w:eastAsiaTheme="minorEastAsia"/>
      <w:kern w:val="0"/>
      <w:sz w:val="24"/>
      <w:szCs w:val="24"/>
      <w:lang w:val="it-IT" w:eastAsia="it-IT"/>
    </w:rPr>
  </w:style>
  <w:style w:type="paragraph" w:styleId="Fuzeile">
    <w:name w:val="footer"/>
    <w:basedOn w:val="Standard"/>
    <w:link w:val="FuzeileZchn"/>
    <w:uiPriority w:val="99"/>
    <w:unhideWhenUsed/>
    <w:rsid w:val="00407EB1"/>
    <w:pPr>
      <w:tabs>
        <w:tab w:val="center" w:pos="4819"/>
        <w:tab w:val="right" w:pos="9638"/>
      </w:tabs>
    </w:pPr>
  </w:style>
  <w:style w:type="character" w:customStyle="1" w:styleId="FuzeileZchn">
    <w:name w:val="Fußzeile Zchn"/>
    <w:basedOn w:val="Absatz-Standardschriftart"/>
    <w:link w:val="Fuzeile"/>
    <w:uiPriority w:val="99"/>
    <w:rsid w:val="00407EB1"/>
    <w:rPr>
      <w:rFonts w:eastAsiaTheme="minorEastAsia"/>
      <w:kern w:val="0"/>
      <w:sz w:val="24"/>
      <w:szCs w:val="24"/>
      <w:lang w:val="it-IT" w:eastAsia="it-IT"/>
    </w:rPr>
  </w:style>
  <w:style w:type="character" w:styleId="Seitenzahl">
    <w:name w:val="page number"/>
    <w:basedOn w:val="Absatz-Standardschriftart"/>
    <w:uiPriority w:val="99"/>
    <w:semiHidden/>
    <w:unhideWhenUsed/>
    <w:rsid w:val="00407EB1"/>
  </w:style>
  <w:style w:type="paragraph" w:styleId="Listenabsatz">
    <w:name w:val="List Paragraph"/>
    <w:basedOn w:val="Standard"/>
    <w:link w:val="ListenabsatzZchn"/>
    <w:uiPriority w:val="34"/>
    <w:qFormat/>
    <w:rsid w:val="00407EB1"/>
    <w:pPr>
      <w:ind w:left="720"/>
      <w:contextualSpacing/>
    </w:pPr>
  </w:style>
  <w:style w:type="paragraph" w:styleId="Sprechblasentext">
    <w:name w:val="Balloon Text"/>
    <w:basedOn w:val="Standard"/>
    <w:link w:val="SprechblasentextZchn"/>
    <w:uiPriority w:val="99"/>
    <w:semiHidden/>
    <w:unhideWhenUsed/>
    <w:rsid w:val="00407EB1"/>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07EB1"/>
    <w:rPr>
      <w:rFonts w:ascii="Lucida Grande" w:eastAsiaTheme="minorEastAsia" w:hAnsi="Lucida Grande" w:cs="Lucida Grande"/>
      <w:kern w:val="0"/>
      <w:sz w:val="18"/>
      <w:szCs w:val="18"/>
      <w:lang w:val="it-IT" w:eastAsia="it-IT"/>
    </w:rPr>
  </w:style>
  <w:style w:type="paragraph" w:styleId="Beschriftung">
    <w:name w:val="caption"/>
    <w:aliases w:val="Figure caption,Bayer Caption,IB Caption,Medical Caption,- H17,Caption Char1 Char,Caption Char Char Char,Caption Char1,Caption Table...,Caption Char1 + 8 pt,Not B....,Caption Table,...,Caption 3,figure,Caption-FUSA,caption,Char,12,12+"/>
    <w:basedOn w:val="Standard"/>
    <w:next w:val="Standard"/>
    <w:link w:val="BeschriftungZchn"/>
    <w:uiPriority w:val="35"/>
    <w:unhideWhenUsed/>
    <w:qFormat/>
    <w:rsid w:val="00407EB1"/>
    <w:pPr>
      <w:spacing w:after="200" w:line="240" w:lineRule="auto"/>
    </w:pPr>
    <w:rPr>
      <w:b/>
      <w:bCs/>
      <w:color w:val="5B9BD5" w:themeColor="accent1"/>
      <w:sz w:val="18"/>
      <w:szCs w:val="18"/>
    </w:rPr>
  </w:style>
  <w:style w:type="table" w:styleId="Tabellenraster">
    <w:name w:val="Table Grid"/>
    <w:aliases w:val="Dossier Table"/>
    <w:basedOn w:val="NormaleTabelle"/>
    <w:uiPriority w:val="59"/>
    <w:rsid w:val="00407EB1"/>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07EB1"/>
    <w:rPr>
      <w:sz w:val="18"/>
      <w:szCs w:val="18"/>
    </w:rPr>
  </w:style>
  <w:style w:type="paragraph" w:styleId="Kommentartext">
    <w:name w:val="annotation text"/>
    <w:basedOn w:val="Standard"/>
    <w:link w:val="KommentartextZchn"/>
    <w:uiPriority w:val="99"/>
    <w:unhideWhenUsed/>
    <w:rsid w:val="00407EB1"/>
    <w:pPr>
      <w:spacing w:line="240" w:lineRule="auto"/>
    </w:pPr>
  </w:style>
  <w:style w:type="character" w:customStyle="1" w:styleId="KommentartextZchn">
    <w:name w:val="Kommentartext Zchn"/>
    <w:basedOn w:val="Absatz-Standardschriftart"/>
    <w:link w:val="Kommentartext"/>
    <w:uiPriority w:val="99"/>
    <w:rsid w:val="00407EB1"/>
    <w:rPr>
      <w:rFonts w:eastAsiaTheme="minorEastAsia"/>
      <w:kern w:val="0"/>
      <w:sz w:val="24"/>
      <w:szCs w:val="24"/>
      <w:lang w:val="it-IT" w:eastAsia="it-IT"/>
    </w:rPr>
  </w:style>
  <w:style w:type="paragraph" w:styleId="Kommentarthema">
    <w:name w:val="annotation subject"/>
    <w:basedOn w:val="Kommentartext"/>
    <w:next w:val="Kommentartext"/>
    <w:link w:val="KommentarthemaZchn"/>
    <w:uiPriority w:val="99"/>
    <w:semiHidden/>
    <w:unhideWhenUsed/>
    <w:rsid w:val="00407EB1"/>
    <w:rPr>
      <w:b/>
      <w:bCs/>
      <w:sz w:val="20"/>
      <w:szCs w:val="20"/>
    </w:rPr>
  </w:style>
  <w:style w:type="character" w:customStyle="1" w:styleId="KommentarthemaZchn">
    <w:name w:val="Kommentarthema Zchn"/>
    <w:basedOn w:val="KommentartextZchn"/>
    <w:link w:val="Kommentarthema"/>
    <w:uiPriority w:val="99"/>
    <w:semiHidden/>
    <w:rsid w:val="00407EB1"/>
    <w:rPr>
      <w:rFonts w:eastAsiaTheme="minorEastAsia"/>
      <w:b/>
      <w:bCs/>
      <w:kern w:val="0"/>
      <w:sz w:val="20"/>
      <w:szCs w:val="20"/>
      <w:lang w:val="it-IT" w:eastAsia="it-IT"/>
    </w:rPr>
  </w:style>
  <w:style w:type="paragraph" w:styleId="Dokumentstruktur">
    <w:name w:val="Document Map"/>
    <w:basedOn w:val="Standard"/>
    <w:link w:val="DokumentstrukturZchn"/>
    <w:uiPriority w:val="99"/>
    <w:semiHidden/>
    <w:unhideWhenUsed/>
    <w:rsid w:val="00407EB1"/>
    <w:pPr>
      <w:spacing w:line="240" w:lineRule="auto"/>
    </w:pPr>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407EB1"/>
    <w:rPr>
      <w:rFonts w:ascii="Lucida Grande" w:eastAsiaTheme="minorEastAsia" w:hAnsi="Lucida Grande" w:cs="Lucida Grande"/>
      <w:kern w:val="0"/>
      <w:sz w:val="24"/>
      <w:szCs w:val="24"/>
      <w:lang w:val="it-IT" w:eastAsia="it-IT"/>
    </w:rPr>
  </w:style>
  <w:style w:type="paragraph" w:styleId="berarbeitung">
    <w:name w:val="Revision"/>
    <w:hidden/>
    <w:uiPriority w:val="99"/>
    <w:semiHidden/>
    <w:rsid w:val="00407EB1"/>
    <w:rPr>
      <w:rFonts w:eastAsiaTheme="minorEastAsia"/>
      <w:kern w:val="0"/>
      <w:sz w:val="24"/>
      <w:szCs w:val="24"/>
      <w:lang w:val="it-IT" w:eastAsia="it-IT"/>
    </w:rPr>
  </w:style>
  <w:style w:type="paragraph" w:styleId="Endnotentext">
    <w:name w:val="endnote text"/>
    <w:basedOn w:val="Standard"/>
    <w:link w:val="EndnotentextZchn"/>
    <w:uiPriority w:val="99"/>
    <w:unhideWhenUsed/>
    <w:rsid w:val="00407EB1"/>
    <w:pPr>
      <w:spacing w:line="240" w:lineRule="auto"/>
    </w:pPr>
  </w:style>
  <w:style w:type="character" w:customStyle="1" w:styleId="EndnotentextZchn">
    <w:name w:val="Endnotentext Zchn"/>
    <w:basedOn w:val="Absatz-Standardschriftart"/>
    <w:link w:val="Endnotentext"/>
    <w:uiPriority w:val="99"/>
    <w:rsid w:val="00407EB1"/>
    <w:rPr>
      <w:rFonts w:eastAsiaTheme="minorEastAsia"/>
      <w:kern w:val="0"/>
      <w:sz w:val="24"/>
      <w:szCs w:val="24"/>
      <w:lang w:val="it-IT" w:eastAsia="it-IT"/>
    </w:rPr>
  </w:style>
  <w:style w:type="character" w:styleId="Endnotenzeichen">
    <w:name w:val="endnote reference"/>
    <w:basedOn w:val="Absatz-Standardschriftart"/>
    <w:uiPriority w:val="99"/>
    <w:unhideWhenUsed/>
    <w:rsid w:val="00407EB1"/>
    <w:rPr>
      <w:vertAlign w:val="superscript"/>
    </w:rPr>
  </w:style>
  <w:style w:type="character" w:styleId="Hyperlink">
    <w:name w:val="Hyperlink"/>
    <w:basedOn w:val="Absatz-Standardschriftart"/>
    <w:uiPriority w:val="99"/>
    <w:unhideWhenUsed/>
    <w:rsid w:val="00407EB1"/>
    <w:rPr>
      <w:color w:val="0563C1" w:themeColor="hyperlink"/>
      <w:u w:val="single"/>
    </w:rPr>
  </w:style>
  <w:style w:type="character" w:customStyle="1" w:styleId="ListenabsatzZchn">
    <w:name w:val="Listenabsatz Zchn"/>
    <w:basedOn w:val="Absatz-Standardschriftart"/>
    <w:link w:val="Listenabsatz"/>
    <w:uiPriority w:val="34"/>
    <w:rsid w:val="00407EB1"/>
    <w:rPr>
      <w:rFonts w:eastAsiaTheme="minorEastAsia"/>
      <w:kern w:val="0"/>
      <w:sz w:val="24"/>
      <w:szCs w:val="24"/>
      <w:lang w:val="it-IT" w:eastAsia="it-IT"/>
    </w:rPr>
  </w:style>
  <w:style w:type="character" w:customStyle="1" w:styleId="BeschriftungZchn">
    <w:name w:val="Beschriftung Zchn"/>
    <w:aliases w:val="Figure caption Zchn,Bayer Caption Zchn,IB Caption Zchn,Medical Caption Zchn,- H17 Zchn,Caption Char1 Char Zchn,Caption Char Char Char Zchn,Caption Char1 Zchn,Caption Table... Zchn,Caption Char1 + 8 pt Zchn,Not B.... Zchn,... Zchn"/>
    <w:basedOn w:val="Absatz-Standardschriftart"/>
    <w:link w:val="Beschriftung"/>
    <w:uiPriority w:val="35"/>
    <w:rsid w:val="00407EB1"/>
    <w:rPr>
      <w:rFonts w:eastAsiaTheme="minorEastAsia"/>
      <w:b/>
      <w:bCs/>
      <w:color w:val="5B9BD5" w:themeColor="accent1"/>
      <w:kern w:val="0"/>
      <w:sz w:val="18"/>
      <w:szCs w:val="18"/>
      <w:lang w:val="it-IT" w:eastAsia="it-IT"/>
    </w:rPr>
  </w:style>
  <w:style w:type="paragraph" w:customStyle="1" w:styleId="title1">
    <w:name w:val="title1"/>
    <w:basedOn w:val="Standard"/>
    <w:rsid w:val="00407EB1"/>
    <w:pPr>
      <w:spacing w:line="240" w:lineRule="auto"/>
    </w:pPr>
    <w:rPr>
      <w:rFonts w:ascii="Times New Roman" w:eastAsia="Times New Roman" w:hAnsi="Times New Roman" w:cs="Times New Roman"/>
      <w:sz w:val="27"/>
      <w:szCs w:val="27"/>
      <w:lang w:val="en-US" w:eastAsia="en-US"/>
    </w:rPr>
  </w:style>
  <w:style w:type="paragraph" w:customStyle="1" w:styleId="desc2">
    <w:name w:val="desc2"/>
    <w:basedOn w:val="Standard"/>
    <w:rsid w:val="00407EB1"/>
    <w:pPr>
      <w:spacing w:line="240" w:lineRule="auto"/>
    </w:pPr>
    <w:rPr>
      <w:rFonts w:ascii="Times New Roman" w:eastAsia="Times New Roman" w:hAnsi="Times New Roman" w:cs="Times New Roman"/>
      <w:sz w:val="26"/>
      <w:szCs w:val="26"/>
      <w:lang w:val="en-US" w:eastAsia="en-US"/>
    </w:rPr>
  </w:style>
  <w:style w:type="paragraph" w:customStyle="1" w:styleId="details1">
    <w:name w:val="details1"/>
    <w:basedOn w:val="Standard"/>
    <w:rsid w:val="00407EB1"/>
    <w:pPr>
      <w:spacing w:line="240" w:lineRule="auto"/>
    </w:pPr>
    <w:rPr>
      <w:rFonts w:ascii="Times New Roman" w:eastAsia="Times New Roman" w:hAnsi="Times New Roman" w:cs="Times New Roman"/>
      <w:sz w:val="22"/>
      <w:szCs w:val="22"/>
      <w:lang w:val="en-US" w:eastAsia="en-US"/>
    </w:rPr>
  </w:style>
  <w:style w:type="character" w:customStyle="1" w:styleId="jrnl">
    <w:name w:val="jrnl"/>
    <w:basedOn w:val="Absatz-Standardschriftart"/>
    <w:rsid w:val="00407EB1"/>
  </w:style>
  <w:style w:type="paragraph" w:styleId="NurText">
    <w:name w:val="Plain Text"/>
    <w:basedOn w:val="Standard"/>
    <w:link w:val="NurTextZchn"/>
    <w:uiPriority w:val="99"/>
    <w:unhideWhenUsed/>
    <w:rsid w:val="00407EB1"/>
    <w:pPr>
      <w:spacing w:line="240" w:lineRule="auto"/>
    </w:pPr>
    <w:rPr>
      <w:rFonts w:ascii="Calibri" w:eastAsiaTheme="minorHAnsi" w:hAnsi="Calibri"/>
      <w:sz w:val="22"/>
      <w:szCs w:val="21"/>
      <w:lang w:val="en-US" w:eastAsia="en-US"/>
    </w:rPr>
  </w:style>
  <w:style w:type="character" w:customStyle="1" w:styleId="NurTextZchn">
    <w:name w:val="Nur Text Zchn"/>
    <w:basedOn w:val="Absatz-Standardschriftart"/>
    <w:link w:val="NurText"/>
    <w:uiPriority w:val="99"/>
    <w:rsid w:val="00407EB1"/>
    <w:rPr>
      <w:rFonts w:ascii="Calibri" w:hAnsi="Calibri"/>
      <w:kern w:val="0"/>
      <w:sz w:val="22"/>
      <w:szCs w:val="21"/>
    </w:rPr>
  </w:style>
  <w:style w:type="paragraph" w:styleId="Funotentext">
    <w:name w:val="footnote text"/>
    <w:basedOn w:val="Standard"/>
    <w:link w:val="FunotentextZchn"/>
    <w:uiPriority w:val="99"/>
    <w:semiHidden/>
    <w:unhideWhenUsed/>
    <w:rsid w:val="00407EB1"/>
    <w:pPr>
      <w:spacing w:line="240" w:lineRule="auto"/>
    </w:pPr>
    <w:rPr>
      <w:sz w:val="20"/>
      <w:szCs w:val="20"/>
    </w:rPr>
  </w:style>
  <w:style w:type="character" w:customStyle="1" w:styleId="FunotentextZchn">
    <w:name w:val="Fußnotentext Zchn"/>
    <w:basedOn w:val="Absatz-Standardschriftart"/>
    <w:link w:val="Funotentext"/>
    <w:uiPriority w:val="99"/>
    <w:semiHidden/>
    <w:rsid w:val="00407EB1"/>
    <w:rPr>
      <w:rFonts w:eastAsiaTheme="minorEastAsia"/>
      <w:kern w:val="0"/>
      <w:sz w:val="20"/>
      <w:szCs w:val="20"/>
      <w:lang w:val="it-IT" w:eastAsia="it-IT"/>
    </w:rPr>
  </w:style>
  <w:style w:type="character" w:styleId="Funotenzeichen">
    <w:name w:val="footnote reference"/>
    <w:basedOn w:val="Absatz-Standardschriftart"/>
    <w:uiPriority w:val="99"/>
    <w:semiHidden/>
    <w:unhideWhenUsed/>
    <w:rsid w:val="00407E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PowerPoint_Slide1.sldx"/><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joerns@amgen.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8490d18d-1e1f-4ae2-adbe-3f6683173bee" value=""/>
  <element uid="7349a702-6462-4442-88eb-c64cd513835c" value=""/>
  <element uid="03e9b10b-a1f9-4a88-9630-476473f62285" value=""/>
</sisl>
</file>

<file path=customXml/itemProps1.xml><?xml version="1.0" encoding="utf-8"?>
<ds:datastoreItem xmlns:ds="http://schemas.openxmlformats.org/officeDocument/2006/customXml" ds:itemID="{930DA487-FFE0-40AF-A585-43B5116F5A1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4500</Words>
  <Characters>28353</Characters>
  <Application>Microsoft Office Word</Application>
  <DocSecurity>4</DocSecurity>
  <Lines>236</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32788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Stollenwerk, Bjoern</dc:creator>
  <cp:keywords>*$%PUB-*$%GenBus</cp:keywords>
  <cp:lastModifiedBy>Katrin.rauner</cp:lastModifiedBy>
  <cp:revision>2</cp:revision>
  <dcterms:created xsi:type="dcterms:W3CDTF">2018-03-16T09:57:00Z</dcterms:created>
  <dcterms:modified xsi:type="dcterms:W3CDTF">2018-03-16T09:57:00Z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a9ceb394-1e58-4f3c-ac52-3e9ea5536630</vt:lpwstr>
  </property>
  <property fmtid="{D5CDD505-2E9C-101B-9397-08002B2CF9AE}" pid="3" name="bjSaver">
    <vt:lpwstr>WHD8ksdBZQdsvzs7XnY5twnHPXTR1p/z</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uid="8490d18d-1e1f-4ae2-adbe-3f6683173bee" value="" /&gt;&lt;element uid="7349a702-6462-4442-88eb-c64cd513835c" value="" /&gt;&lt;element uid="03e9b10b-a1f9-4a88-9630-476473f62285" value="" /&gt;&lt;/sisl&gt;</vt:lpwstr>
  </property>
  <property fmtid="{D5CDD505-2E9C-101B-9397-08002B2CF9AE}" pid="6" name="bjDocumentSecurityLabel">
    <vt:lpwstr>Public - General Business</vt:lpwstr>
  </property>
</Properties>
</file>