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0E" w:rsidRPr="008219BB" w:rsidRDefault="001D520E" w:rsidP="001D520E">
      <w:pPr>
        <w:rPr>
          <w:rFonts w:cs="Arial"/>
          <w:szCs w:val="22"/>
        </w:rPr>
      </w:pPr>
      <w:bookmarkStart w:id="0" w:name="_GoBack"/>
      <w:bookmarkEnd w:id="0"/>
      <w:r w:rsidRPr="008219BB">
        <w:rPr>
          <w:rFonts w:cs="Arial"/>
          <w:szCs w:val="22"/>
        </w:rPr>
        <w:t>Review for the special Issue of the journal Plant Molecular Biology on "Plant Beneficial Microbes"</w:t>
      </w:r>
    </w:p>
    <w:p w:rsidR="001D520E" w:rsidRPr="008219BB" w:rsidRDefault="001D520E" w:rsidP="001D520E">
      <w:pPr>
        <w:rPr>
          <w:rFonts w:cs="Arial"/>
          <w:szCs w:val="22"/>
        </w:rPr>
      </w:pPr>
    </w:p>
    <w:p w:rsidR="001D520E" w:rsidRPr="008219BB" w:rsidRDefault="001D520E" w:rsidP="001D520E">
      <w:pPr>
        <w:pStyle w:val="Titel"/>
        <w:spacing w:line="360" w:lineRule="auto"/>
        <w:rPr>
          <w:rFonts w:ascii="Arial" w:hAnsi="Arial" w:cs="Arial"/>
          <w:b/>
          <w:sz w:val="22"/>
          <w:szCs w:val="22"/>
        </w:rPr>
      </w:pPr>
      <w:r w:rsidRPr="008219BB">
        <w:rPr>
          <w:rFonts w:ascii="Arial" w:hAnsi="Arial" w:cs="Arial"/>
          <w:b/>
          <w:sz w:val="22"/>
          <w:szCs w:val="22"/>
        </w:rPr>
        <w:t xml:space="preserve">Beneficial effects of </w:t>
      </w:r>
      <w:r>
        <w:rPr>
          <w:rFonts w:ascii="Arial" w:hAnsi="Arial" w:cs="Arial"/>
          <w:b/>
          <w:sz w:val="22"/>
          <w:szCs w:val="22"/>
        </w:rPr>
        <w:t>bacteria-</w:t>
      </w:r>
      <w:r w:rsidRPr="008219BB">
        <w:rPr>
          <w:rFonts w:ascii="Arial" w:hAnsi="Arial" w:cs="Arial"/>
          <w:b/>
          <w:sz w:val="22"/>
          <w:szCs w:val="22"/>
        </w:rPr>
        <w:t>plant communication based on quorum sensing molecules</w:t>
      </w:r>
      <w:r>
        <w:rPr>
          <w:rFonts w:ascii="Arial" w:hAnsi="Arial" w:cs="Arial"/>
          <w:b/>
          <w:sz w:val="22"/>
          <w:szCs w:val="22"/>
        </w:rPr>
        <w:t xml:space="preserve"> of the </w:t>
      </w:r>
      <w:r w:rsidRPr="007D0A8F">
        <w:rPr>
          <w:rFonts w:ascii="Arial" w:hAnsi="Arial" w:cs="Arial"/>
          <w:i/>
          <w:sz w:val="22"/>
          <w:szCs w:val="22"/>
        </w:rPr>
        <w:t>N</w:t>
      </w:r>
      <w:r>
        <w:rPr>
          <w:rFonts w:ascii="Arial" w:hAnsi="Arial" w:cs="Arial"/>
          <w:b/>
          <w:sz w:val="22"/>
          <w:szCs w:val="22"/>
        </w:rPr>
        <w:t>-acyl homoserine lactone group</w:t>
      </w:r>
    </w:p>
    <w:p w:rsidR="001D520E" w:rsidRPr="008219BB" w:rsidRDefault="001D520E" w:rsidP="001D520E">
      <w:pPr>
        <w:rPr>
          <w:rFonts w:cs="Arial"/>
          <w:szCs w:val="22"/>
        </w:rPr>
      </w:pPr>
    </w:p>
    <w:p w:rsidR="001D520E" w:rsidRPr="008219BB" w:rsidRDefault="001D520E" w:rsidP="001D520E">
      <w:pPr>
        <w:rPr>
          <w:rFonts w:cs="Arial"/>
          <w:szCs w:val="22"/>
          <w:vertAlign w:val="superscript"/>
        </w:rPr>
      </w:pPr>
      <w:r w:rsidRPr="008219BB">
        <w:rPr>
          <w:rFonts w:cs="Arial"/>
          <w:szCs w:val="22"/>
        </w:rPr>
        <w:t>Adam Schikora</w:t>
      </w:r>
      <w:r w:rsidRPr="008219BB">
        <w:rPr>
          <w:rFonts w:cs="Arial"/>
          <w:szCs w:val="22"/>
          <w:vertAlign w:val="superscript"/>
        </w:rPr>
        <w:t>1</w:t>
      </w:r>
      <w:r>
        <w:rPr>
          <w:rFonts w:cs="Arial"/>
          <w:szCs w:val="22"/>
          <w:vertAlign w:val="superscript"/>
        </w:rPr>
        <w:t>*</w:t>
      </w:r>
      <w:r w:rsidRPr="008219BB">
        <w:rPr>
          <w:rFonts w:cs="Arial"/>
          <w:szCs w:val="22"/>
        </w:rPr>
        <w:t>, Sebastian T. Schenk</w:t>
      </w:r>
      <w:r w:rsidRPr="008219BB">
        <w:rPr>
          <w:rFonts w:cs="Arial"/>
          <w:szCs w:val="22"/>
          <w:vertAlign w:val="superscript"/>
        </w:rPr>
        <w:t>2</w:t>
      </w:r>
      <w:r w:rsidRPr="008219BB">
        <w:rPr>
          <w:rFonts w:cs="Arial"/>
          <w:szCs w:val="22"/>
        </w:rPr>
        <w:t xml:space="preserve"> and Anton Hartmann</w:t>
      </w:r>
      <w:r w:rsidRPr="008219BB">
        <w:rPr>
          <w:rFonts w:cs="Arial"/>
          <w:szCs w:val="22"/>
          <w:vertAlign w:val="superscript"/>
        </w:rPr>
        <w:t xml:space="preserve"> 3</w:t>
      </w:r>
    </w:p>
    <w:p w:rsidR="001D520E" w:rsidRPr="008219BB" w:rsidRDefault="001D520E" w:rsidP="001D520E">
      <w:pPr>
        <w:rPr>
          <w:rFonts w:cs="Arial"/>
          <w:szCs w:val="22"/>
        </w:rPr>
      </w:pPr>
    </w:p>
    <w:p w:rsidR="001D520E" w:rsidRPr="008219BB" w:rsidRDefault="001D520E" w:rsidP="001D520E">
      <w:pPr>
        <w:rPr>
          <w:rFonts w:cs="Arial"/>
          <w:szCs w:val="22"/>
        </w:rPr>
      </w:pPr>
      <w:r w:rsidRPr="008219BB">
        <w:rPr>
          <w:rFonts w:cs="Arial"/>
          <w:szCs w:val="22"/>
          <w:vertAlign w:val="superscript"/>
        </w:rPr>
        <w:t>1</w:t>
      </w:r>
      <w:r w:rsidRPr="008219BB">
        <w:rPr>
          <w:rFonts w:cs="Arial"/>
          <w:szCs w:val="22"/>
        </w:rPr>
        <w:t xml:space="preserve"> Institute for Phytopathology, Research Centre for Biosystems, Land Use and Nutrition (IFZ), Justus Liebig University Giessen, Heinrich-Buff-Ring 26-32, 35392 Giessen, Germany</w:t>
      </w:r>
    </w:p>
    <w:p w:rsidR="001D520E" w:rsidRPr="008219BB" w:rsidRDefault="001D520E" w:rsidP="001D520E">
      <w:pPr>
        <w:rPr>
          <w:rFonts w:cs="Arial"/>
          <w:szCs w:val="22"/>
        </w:rPr>
      </w:pPr>
      <w:r w:rsidRPr="008219BB">
        <w:rPr>
          <w:rFonts w:cs="Arial"/>
          <w:szCs w:val="22"/>
          <w:vertAlign w:val="superscript"/>
        </w:rPr>
        <w:t>2</w:t>
      </w:r>
      <w:r w:rsidRPr="008219BB">
        <w:rPr>
          <w:rFonts w:cs="Arial"/>
          <w:szCs w:val="22"/>
        </w:rPr>
        <w:t xml:space="preserve"> </w:t>
      </w:r>
      <w:r>
        <w:rPr>
          <w:rFonts w:cs="Arial"/>
          <w:szCs w:val="22"/>
        </w:rPr>
        <w:t>Institute of Plant Sciences - Paris-Saclay</w:t>
      </w:r>
      <w:r w:rsidRPr="008219BB">
        <w:rPr>
          <w:rFonts w:cs="Arial"/>
          <w:szCs w:val="22"/>
        </w:rPr>
        <w:t>, INRA/CNRS,</w:t>
      </w:r>
      <w:r>
        <w:rPr>
          <w:rFonts w:cs="Arial"/>
          <w:szCs w:val="22"/>
        </w:rPr>
        <w:t xml:space="preserve"> 630 rue de Noetzlin, Plateau du Moulon</w:t>
      </w:r>
      <w:r w:rsidRPr="008219BB">
        <w:rPr>
          <w:rFonts w:cs="Arial"/>
          <w:szCs w:val="22"/>
        </w:rPr>
        <w:t>, 91</w:t>
      </w:r>
      <w:r>
        <w:rPr>
          <w:rFonts w:cs="Arial"/>
          <w:szCs w:val="22"/>
        </w:rPr>
        <w:t>405 Orsay</w:t>
      </w:r>
      <w:r w:rsidRPr="008219BB">
        <w:rPr>
          <w:rFonts w:cs="Arial"/>
          <w:szCs w:val="22"/>
        </w:rPr>
        <w:t>, France</w:t>
      </w:r>
    </w:p>
    <w:p w:rsidR="001D520E" w:rsidRPr="008219BB" w:rsidRDefault="001D520E" w:rsidP="001D520E">
      <w:pPr>
        <w:rPr>
          <w:rFonts w:cs="Arial"/>
          <w:szCs w:val="22"/>
        </w:rPr>
      </w:pPr>
      <w:r w:rsidRPr="00F60CE1">
        <w:rPr>
          <w:rFonts w:cs="Arial"/>
          <w:szCs w:val="22"/>
          <w:vertAlign w:val="superscript"/>
        </w:rPr>
        <w:t>3</w:t>
      </w:r>
      <w:r w:rsidRPr="00F60CE1">
        <w:rPr>
          <w:rFonts w:cs="Arial"/>
          <w:szCs w:val="22"/>
        </w:rPr>
        <w:t xml:space="preserve"> Helmholtz Zentrum München, </w:t>
      </w:r>
      <w:r w:rsidRPr="007D0A8F">
        <w:rPr>
          <w:rFonts w:cs="Arial"/>
          <w:szCs w:val="22"/>
        </w:rPr>
        <w:t>German Research Center for Environmental Health</w:t>
      </w:r>
      <w:r>
        <w:rPr>
          <w:rFonts w:cs="Arial"/>
          <w:szCs w:val="22"/>
        </w:rPr>
        <w:t xml:space="preserve"> (GmbH)</w:t>
      </w:r>
      <w:r w:rsidRPr="007D0A8F">
        <w:rPr>
          <w:rFonts w:cs="Arial"/>
          <w:szCs w:val="22"/>
        </w:rPr>
        <w:t>, Department for Environmental Sciences, Research Unit Microbe-Plant Interactions</w:t>
      </w:r>
      <w:r>
        <w:rPr>
          <w:rFonts w:cs="Arial"/>
          <w:szCs w:val="22"/>
        </w:rPr>
        <w:t xml:space="preserve">, Ingolstädter Landstr. </w:t>
      </w:r>
      <w:r w:rsidRPr="008219BB">
        <w:rPr>
          <w:rFonts w:cs="Arial"/>
          <w:szCs w:val="22"/>
        </w:rPr>
        <w:t>1, 85764 Neuherberg, Germany</w:t>
      </w:r>
    </w:p>
    <w:p w:rsidR="001D520E" w:rsidRPr="008219BB" w:rsidRDefault="001D520E" w:rsidP="001D520E">
      <w:pPr>
        <w:rPr>
          <w:rFonts w:cs="Arial"/>
          <w:szCs w:val="22"/>
        </w:rPr>
      </w:pPr>
    </w:p>
    <w:p w:rsidR="001D520E" w:rsidRPr="008219BB" w:rsidRDefault="001D520E" w:rsidP="001D520E">
      <w:pPr>
        <w:rPr>
          <w:rFonts w:cs="Arial"/>
          <w:b/>
          <w:szCs w:val="22"/>
        </w:rPr>
      </w:pPr>
      <w:r w:rsidRPr="008219BB">
        <w:rPr>
          <w:rFonts w:cs="Arial"/>
          <w:b/>
          <w:szCs w:val="22"/>
        </w:rPr>
        <w:t xml:space="preserve">*Corresponding Author: </w:t>
      </w:r>
    </w:p>
    <w:p w:rsidR="001D520E" w:rsidRDefault="001D520E" w:rsidP="001D520E">
      <w:pPr>
        <w:rPr>
          <w:rFonts w:cs="Arial"/>
          <w:szCs w:val="22"/>
        </w:rPr>
      </w:pPr>
      <w:r>
        <w:rPr>
          <w:rFonts w:cs="Arial"/>
          <w:szCs w:val="22"/>
        </w:rPr>
        <w:t>Adam Schikora</w:t>
      </w:r>
      <w:r w:rsidRPr="008219BB">
        <w:rPr>
          <w:rFonts w:cs="Arial"/>
          <w:szCs w:val="22"/>
        </w:rPr>
        <w:t>, e</w:t>
      </w:r>
      <w:r w:rsidR="00BF3CE9">
        <w:rPr>
          <w:rFonts w:cs="Arial"/>
          <w:szCs w:val="22"/>
        </w:rPr>
        <w:t>-</w:t>
      </w:r>
      <w:r w:rsidRPr="008219BB">
        <w:rPr>
          <w:rFonts w:cs="Arial"/>
          <w:szCs w:val="22"/>
        </w:rPr>
        <w:t xml:space="preserve">mail: </w:t>
      </w:r>
      <w:r>
        <w:rPr>
          <w:rFonts w:cs="Arial"/>
          <w:szCs w:val="22"/>
        </w:rPr>
        <w:t>adam.schikora@agrar.uni-giessen.de</w:t>
      </w:r>
    </w:p>
    <w:p w:rsidR="001D520E" w:rsidRPr="008219BB" w:rsidRDefault="001D520E" w:rsidP="001D520E">
      <w:pPr>
        <w:rPr>
          <w:rFonts w:cs="Arial"/>
          <w:szCs w:val="22"/>
        </w:rPr>
      </w:pPr>
      <w:r w:rsidRPr="008219BB">
        <w:rPr>
          <w:rFonts w:cs="Arial"/>
          <w:szCs w:val="22"/>
        </w:rPr>
        <w:t>Phone: +49</w:t>
      </w:r>
      <w:r>
        <w:rPr>
          <w:rFonts w:cs="Arial"/>
          <w:szCs w:val="22"/>
        </w:rPr>
        <w:t xml:space="preserve"> 641 9937497</w:t>
      </w:r>
      <w:r w:rsidRPr="008219BB">
        <w:rPr>
          <w:rFonts w:cs="Arial"/>
          <w:szCs w:val="22"/>
        </w:rPr>
        <w:t xml:space="preserve">, Fax: +49 </w:t>
      </w:r>
      <w:r>
        <w:rPr>
          <w:rFonts w:cs="Arial"/>
          <w:szCs w:val="22"/>
        </w:rPr>
        <w:t>641 9937499</w:t>
      </w:r>
    </w:p>
    <w:p w:rsidR="001D520E" w:rsidRPr="008219BB" w:rsidRDefault="001D520E" w:rsidP="001D520E">
      <w:pPr>
        <w:rPr>
          <w:rFonts w:cs="Arial"/>
          <w:szCs w:val="22"/>
        </w:rPr>
      </w:pPr>
    </w:p>
    <w:p w:rsidR="001D520E" w:rsidRPr="008219BB" w:rsidRDefault="001D520E" w:rsidP="001D520E">
      <w:pPr>
        <w:rPr>
          <w:rFonts w:cs="Arial"/>
          <w:szCs w:val="22"/>
        </w:rPr>
      </w:pPr>
      <w:r w:rsidRPr="008219BB">
        <w:rPr>
          <w:rFonts w:cs="Arial"/>
          <w:b/>
          <w:szCs w:val="22"/>
        </w:rPr>
        <w:t>Key Words:</w:t>
      </w:r>
    </w:p>
    <w:p w:rsidR="001D520E" w:rsidRPr="008219BB" w:rsidRDefault="001D520E" w:rsidP="001D520E">
      <w:pPr>
        <w:rPr>
          <w:rFonts w:cs="Arial"/>
          <w:szCs w:val="22"/>
        </w:rPr>
      </w:pPr>
      <w:r w:rsidRPr="008219BB">
        <w:rPr>
          <w:rFonts w:cs="Arial"/>
          <w:szCs w:val="22"/>
        </w:rPr>
        <w:t>Quorum sensing, AHL-priming, Inter-kingdom communication, LuxR-solos, Quorum quenching</w:t>
      </w:r>
    </w:p>
    <w:p w:rsidR="001D520E" w:rsidRPr="008219BB" w:rsidRDefault="001D520E" w:rsidP="001D520E">
      <w:pPr>
        <w:rPr>
          <w:rFonts w:cs="Arial"/>
          <w:szCs w:val="22"/>
        </w:rPr>
      </w:pPr>
    </w:p>
    <w:p w:rsidR="001D520E" w:rsidRPr="008219BB" w:rsidRDefault="001D520E" w:rsidP="001D520E">
      <w:pPr>
        <w:pStyle w:val="berschrift1"/>
        <w:rPr>
          <w:rFonts w:ascii="Arial" w:hAnsi="Arial" w:cs="Arial"/>
          <w:sz w:val="22"/>
          <w:szCs w:val="22"/>
        </w:rPr>
      </w:pPr>
      <w:r w:rsidRPr="008219BB">
        <w:rPr>
          <w:rFonts w:ascii="Arial" w:hAnsi="Arial" w:cs="Arial"/>
          <w:sz w:val="22"/>
          <w:szCs w:val="22"/>
        </w:rPr>
        <w:t>Abstract:</w:t>
      </w:r>
    </w:p>
    <w:p w:rsidR="001D520E" w:rsidRPr="008219BB" w:rsidRDefault="001D520E" w:rsidP="001D520E">
      <w:pPr>
        <w:rPr>
          <w:rFonts w:cs="Arial"/>
          <w:szCs w:val="22"/>
        </w:rPr>
      </w:pPr>
      <w:r w:rsidRPr="008219BB">
        <w:rPr>
          <w:rFonts w:cs="Arial"/>
          <w:szCs w:val="22"/>
        </w:rPr>
        <w:t xml:space="preserve">Bacterial quorum sensing (QS) mechanisms play a crucial role in the proper performance </w:t>
      </w:r>
      <w:r>
        <w:rPr>
          <w:rFonts w:cs="Arial"/>
          <w:szCs w:val="22"/>
        </w:rPr>
        <w:t xml:space="preserve">and ecological fitness </w:t>
      </w:r>
      <w:r w:rsidRPr="008219BB">
        <w:rPr>
          <w:rFonts w:cs="Arial"/>
          <w:szCs w:val="22"/>
        </w:rPr>
        <w:t xml:space="preserve">of bacterial populations. Many key physiological processes are regulated in </w:t>
      </w:r>
      <w:r>
        <w:rPr>
          <w:rFonts w:cs="Arial"/>
          <w:szCs w:val="22"/>
        </w:rPr>
        <w:t xml:space="preserve">a </w:t>
      </w:r>
      <w:r w:rsidRPr="008219BB">
        <w:rPr>
          <w:rFonts w:cs="Arial"/>
          <w:szCs w:val="22"/>
        </w:rPr>
        <w:t>QS-dependent manner</w:t>
      </w:r>
      <w:r>
        <w:rPr>
          <w:rFonts w:cs="Arial"/>
          <w:szCs w:val="22"/>
        </w:rPr>
        <w:t xml:space="preserve"> by auto-inducer molecules, like </w:t>
      </w:r>
      <w:r w:rsidRPr="007D0A8F">
        <w:rPr>
          <w:rFonts w:cs="Arial"/>
          <w:i/>
          <w:szCs w:val="22"/>
        </w:rPr>
        <w:t>N</w:t>
      </w:r>
      <w:r>
        <w:rPr>
          <w:rFonts w:cs="Arial"/>
          <w:szCs w:val="22"/>
        </w:rPr>
        <w:t>-acyl homoserine lactones (AHLs) in numerous Gram-negative bacteria</w:t>
      </w:r>
      <w:r w:rsidRPr="008219BB">
        <w:rPr>
          <w:rFonts w:cs="Arial"/>
          <w:szCs w:val="22"/>
        </w:rPr>
        <w:t>. In addition, the interaction between bacteria and eukaryotic host</w:t>
      </w:r>
      <w:r>
        <w:rPr>
          <w:rFonts w:cs="Arial"/>
          <w:szCs w:val="22"/>
        </w:rPr>
        <w:t>s</w:t>
      </w:r>
      <w:r w:rsidRPr="008219BB">
        <w:rPr>
          <w:rFonts w:cs="Arial"/>
          <w:szCs w:val="22"/>
        </w:rPr>
        <w:t xml:space="preserve"> are also regulated by </w:t>
      </w:r>
      <w:r>
        <w:rPr>
          <w:rFonts w:cs="Arial"/>
          <w:szCs w:val="22"/>
        </w:rPr>
        <w:t>AHLs</w:t>
      </w:r>
      <w:r w:rsidRPr="008219BB">
        <w:rPr>
          <w:rFonts w:cs="Arial"/>
          <w:szCs w:val="22"/>
        </w:rPr>
        <w:t xml:space="preserve">. </w:t>
      </w:r>
      <w:r>
        <w:rPr>
          <w:rFonts w:cs="Arial"/>
          <w:szCs w:val="22"/>
        </w:rPr>
        <w:t>T</w:t>
      </w:r>
      <w:r w:rsidRPr="008219BB">
        <w:rPr>
          <w:rFonts w:cs="Arial"/>
          <w:szCs w:val="22"/>
        </w:rPr>
        <w:t>hose mechanisms gained much attention</w:t>
      </w:r>
      <w:r>
        <w:rPr>
          <w:rFonts w:cs="Arial"/>
          <w:szCs w:val="22"/>
        </w:rPr>
        <w:t>,</w:t>
      </w:r>
      <w:r w:rsidRPr="008219BB">
        <w:rPr>
          <w:rFonts w:cs="Arial"/>
          <w:szCs w:val="22"/>
        </w:rPr>
        <w:t xml:space="preserve"> because of the positive effects of </w:t>
      </w:r>
      <w:r>
        <w:rPr>
          <w:rFonts w:cs="Arial"/>
          <w:szCs w:val="22"/>
        </w:rPr>
        <w:t xml:space="preserve">different AHL molecules </w:t>
      </w:r>
      <w:r w:rsidRPr="008219BB">
        <w:rPr>
          <w:rFonts w:cs="Arial"/>
          <w:szCs w:val="22"/>
        </w:rPr>
        <w:t xml:space="preserve">on plants. The positive impact ranges from growth promotion to induced resistance and is quite contrasting to the rather negative effects </w:t>
      </w:r>
      <w:r w:rsidRPr="008219BB">
        <w:rPr>
          <w:rFonts w:cs="Arial"/>
          <w:szCs w:val="22"/>
        </w:rPr>
        <w:lastRenderedPageBreak/>
        <w:t xml:space="preserve">observed in the interactions between </w:t>
      </w:r>
      <w:r>
        <w:rPr>
          <w:rFonts w:cs="Arial"/>
          <w:szCs w:val="22"/>
        </w:rPr>
        <w:t xml:space="preserve">bacterial AHL molecules and </w:t>
      </w:r>
      <w:r w:rsidRPr="008219BB">
        <w:rPr>
          <w:rFonts w:cs="Arial"/>
          <w:szCs w:val="22"/>
        </w:rPr>
        <w:t>animals</w:t>
      </w:r>
      <w:r>
        <w:rPr>
          <w:rFonts w:cs="Arial"/>
          <w:szCs w:val="22"/>
        </w:rPr>
        <w:t>.</w:t>
      </w:r>
      <w:r w:rsidRPr="008219BB">
        <w:rPr>
          <w:rFonts w:cs="Arial"/>
          <w:szCs w:val="22"/>
        </w:rPr>
        <w:t xml:space="preserve"> </w:t>
      </w:r>
      <w:r>
        <w:rPr>
          <w:rFonts w:cs="Arial"/>
          <w:szCs w:val="22"/>
        </w:rPr>
        <w:t xml:space="preserve">Only very recently, </w:t>
      </w:r>
      <w:r w:rsidRPr="008219BB">
        <w:rPr>
          <w:rFonts w:cs="Arial"/>
          <w:szCs w:val="22"/>
        </w:rPr>
        <w:t xml:space="preserve">we </w:t>
      </w:r>
      <w:r>
        <w:rPr>
          <w:rFonts w:cs="Arial"/>
          <w:szCs w:val="22"/>
        </w:rPr>
        <w:t>began</w:t>
      </w:r>
      <w:r w:rsidRPr="008219BB">
        <w:rPr>
          <w:rFonts w:cs="Arial"/>
          <w:szCs w:val="22"/>
        </w:rPr>
        <w:t xml:space="preserve"> to understand the molecular mechanisms underpinning plant responses to </w:t>
      </w:r>
      <w:r>
        <w:rPr>
          <w:rFonts w:cs="Arial"/>
          <w:szCs w:val="22"/>
        </w:rPr>
        <w:t xml:space="preserve">AHL </w:t>
      </w:r>
      <w:r w:rsidRPr="008219BB">
        <w:rPr>
          <w:rFonts w:cs="Arial"/>
          <w:szCs w:val="22"/>
        </w:rPr>
        <w:t>molecules. In this review</w:t>
      </w:r>
      <w:r>
        <w:rPr>
          <w:rFonts w:cs="Arial"/>
          <w:szCs w:val="22"/>
        </w:rPr>
        <w:t>,</w:t>
      </w:r>
      <w:r w:rsidRPr="008219BB">
        <w:rPr>
          <w:rFonts w:cs="Arial"/>
          <w:szCs w:val="22"/>
        </w:rPr>
        <w:t xml:space="preserve"> we gathered the </w:t>
      </w:r>
      <w:r>
        <w:rPr>
          <w:rFonts w:cs="Arial"/>
          <w:szCs w:val="22"/>
        </w:rPr>
        <w:t>latest</w:t>
      </w:r>
      <w:r w:rsidRPr="008219BB">
        <w:rPr>
          <w:rFonts w:cs="Arial"/>
          <w:szCs w:val="22"/>
        </w:rPr>
        <w:t xml:space="preserve"> information in th</w:t>
      </w:r>
      <w:r>
        <w:rPr>
          <w:rFonts w:cs="Arial"/>
          <w:szCs w:val="22"/>
        </w:rPr>
        <w:t>is</w:t>
      </w:r>
      <w:r w:rsidRPr="008219BB">
        <w:rPr>
          <w:rFonts w:cs="Arial"/>
          <w:szCs w:val="22"/>
        </w:rPr>
        <w:t xml:space="preserve"> </w:t>
      </w:r>
      <w:r>
        <w:rPr>
          <w:rFonts w:cs="Arial"/>
          <w:szCs w:val="22"/>
        </w:rPr>
        <w:t xml:space="preserve">research </w:t>
      </w:r>
      <w:r w:rsidRPr="008219BB">
        <w:rPr>
          <w:rFonts w:cs="Arial"/>
          <w:szCs w:val="22"/>
        </w:rPr>
        <w:t xml:space="preserve">field. The first part of this review gives an overview on the bacterial aspects of quorum sensing. </w:t>
      </w:r>
      <w:r>
        <w:rPr>
          <w:rFonts w:cs="Arial"/>
          <w:szCs w:val="22"/>
        </w:rPr>
        <w:t xml:space="preserve">Then, </w:t>
      </w:r>
      <w:r w:rsidRPr="008219BB">
        <w:rPr>
          <w:rFonts w:cs="Arial"/>
          <w:szCs w:val="22"/>
        </w:rPr>
        <w:t>we focus on the impact of AHLs on plant growth and AHL-priming</w:t>
      </w:r>
      <w:r>
        <w:rPr>
          <w:rFonts w:cs="Arial"/>
          <w:szCs w:val="22"/>
        </w:rPr>
        <w:t>,</w:t>
      </w:r>
      <w:r w:rsidRPr="008219BB">
        <w:rPr>
          <w:rFonts w:cs="Arial"/>
          <w:szCs w:val="22"/>
        </w:rPr>
        <w:t xml:space="preserve"> as one of the most underst</w:t>
      </w:r>
      <w:r>
        <w:rPr>
          <w:rFonts w:cs="Arial"/>
          <w:szCs w:val="22"/>
        </w:rPr>
        <w:t>ood</w:t>
      </w:r>
      <w:r w:rsidRPr="008219BB">
        <w:rPr>
          <w:rFonts w:cs="Arial"/>
          <w:szCs w:val="22"/>
        </w:rPr>
        <w:t xml:space="preserve"> phenomenon in respect to the inter-kingdom interactions based on </w:t>
      </w:r>
      <w:r>
        <w:rPr>
          <w:rFonts w:cs="Arial"/>
          <w:szCs w:val="22"/>
        </w:rPr>
        <w:t>AHL-</w:t>
      </w:r>
      <w:r w:rsidRPr="008219BB">
        <w:rPr>
          <w:rFonts w:cs="Arial"/>
          <w:szCs w:val="22"/>
        </w:rPr>
        <w:t xml:space="preserve">quorum sensing molecules. </w:t>
      </w:r>
      <w:r>
        <w:rPr>
          <w:rFonts w:cs="Arial"/>
          <w:szCs w:val="22"/>
        </w:rPr>
        <w:t>Finally w</w:t>
      </w:r>
      <w:r w:rsidRPr="008219BB">
        <w:rPr>
          <w:rFonts w:cs="Arial"/>
          <w:szCs w:val="22"/>
        </w:rPr>
        <w:t xml:space="preserve">e discuss the potential benefits for our understanding of </w:t>
      </w:r>
      <w:r>
        <w:rPr>
          <w:rFonts w:cs="Arial"/>
          <w:szCs w:val="22"/>
        </w:rPr>
        <w:t>bacteria-</w:t>
      </w:r>
      <w:r w:rsidRPr="008219BB">
        <w:rPr>
          <w:rFonts w:cs="Arial"/>
          <w:szCs w:val="22"/>
        </w:rPr>
        <w:t>plant interaction as well as for the future agricultur</w:t>
      </w:r>
      <w:r>
        <w:rPr>
          <w:rFonts w:cs="Arial"/>
          <w:szCs w:val="22"/>
        </w:rPr>
        <w:t>al</w:t>
      </w:r>
      <w:r w:rsidRPr="008219BB">
        <w:rPr>
          <w:rFonts w:cs="Arial"/>
          <w:szCs w:val="22"/>
        </w:rPr>
        <w:t xml:space="preserve"> applications, which may result from </w:t>
      </w:r>
      <w:r>
        <w:rPr>
          <w:rFonts w:cs="Arial"/>
          <w:szCs w:val="22"/>
        </w:rPr>
        <w:t xml:space="preserve">a profound understanding of </w:t>
      </w:r>
      <w:r w:rsidRPr="008219BB">
        <w:rPr>
          <w:rFonts w:cs="Arial"/>
          <w:szCs w:val="22"/>
        </w:rPr>
        <w:t>AHL-plant interactions.</w:t>
      </w:r>
    </w:p>
    <w:p w:rsidR="001D520E" w:rsidRDefault="001D520E" w:rsidP="001D520E">
      <w:pPr>
        <w:pStyle w:val="berschrift1"/>
        <w:rPr>
          <w:rFonts w:ascii="Arial" w:hAnsi="Arial" w:cs="Arial"/>
          <w:sz w:val="22"/>
          <w:szCs w:val="22"/>
        </w:rPr>
      </w:pPr>
      <w:r w:rsidRPr="008219BB">
        <w:rPr>
          <w:rFonts w:ascii="Arial" w:hAnsi="Arial" w:cs="Arial"/>
          <w:sz w:val="22"/>
          <w:szCs w:val="22"/>
        </w:rPr>
        <w:t>Bacterial communication systems</w:t>
      </w:r>
    </w:p>
    <w:p w:rsidR="001D520E" w:rsidRDefault="001D520E" w:rsidP="001D520E">
      <w:r>
        <w:t xml:space="preserve">Bacteria living in communities, like biofilms on abiotic or biotic surfaces, and also free-living, planktonic bacteria produce small molecules (chemical signals) in order to organize concerted activities in a process called autoinduction (AI). The signal molecules are generated constitutively at a very low rate and released from the cell into the medium. A receptor protein / transcription factor (R-protein) senses the concentration. When the concentration of these signal molecules reaches, due to an increased cell density or habitat conditions, a threshold level (quorum) the R-protein AI complex induces the transcription of key AI biosynthesis genes (I-gene), thus accelerating the response intensity </w:t>
      </w:r>
      <w:r>
        <w:rPr>
          <w:noProof/>
        </w:rPr>
        <w:t>(Fuqua and Winans 1994)</w:t>
      </w:r>
      <w:r>
        <w:t xml:space="preserve">. This autoinduction process is able to integrate additional environmental and physiological signals and optimize the expression of a series of target genes. In this manner the expression of the genetic diversity and capacity of bacteria can be organized very efficiently. Autoinducers are the basis of “quorum sensing” (signaling a critical cell density). Sometimes, because of the more general aspect integrating the optimized gene expression, the term “efficiency sensing” was used </w:t>
      </w:r>
      <w:r>
        <w:rPr>
          <w:noProof/>
        </w:rPr>
        <w:t>(Hense et al. 2007)</w:t>
      </w:r>
      <w:r>
        <w:t xml:space="preserve">. Since this behavior has exceptional evolutionary importance, autoinducing systems are found ample in nature. AI-systems guarantee homeostatic control of costly cooperative behavior, like the secretion of public goods or switch to pathogenic or mutualistic life styles. The production of AI-signals constitutes a pre-assessment strategy with core principles described by the hybrid “push-pull” model </w:t>
      </w:r>
      <w:r>
        <w:rPr>
          <w:noProof/>
        </w:rPr>
        <w:t>(Hense and Schuster 2015)</w:t>
      </w:r>
      <w:r>
        <w:t>.</w:t>
      </w:r>
    </w:p>
    <w:p w:rsidR="001D520E" w:rsidRDefault="001D520E" w:rsidP="001D520E">
      <w:r>
        <w:t xml:space="preserve">In many Gram-negative bacteria, </w:t>
      </w:r>
      <w:r w:rsidRPr="009F5B7C">
        <w:rPr>
          <w:i/>
        </w:rPr>
        <w:t>N</w:t>
      </w:r>
      <w:r>
        <w:t xml:space="preserve">-acyl homoserine lactones (AHLs) are frequently used as autoinducers (Figure 1). These molecules consist of a hydrophilic lactone ring and a carbon chain with quite different length (C4 to C18), which changes the molecule from hydrophilic to strongly hydrophobic. The C3-atom can be </w:t>
      </w:r>
      <w:r>
        <w:lastRenderedPageBreak/>
        <w:t xml:space="preserve">unsubstituted, substituted with a carbonyl group or hydroxylated. In some cases even double bonds are formed in the lipid chain. While the product of a </w:t>
      </w:r>
      <w:r w:rsidRPr="006A39B5">
        <w:rPr>
          <w:i/>
        </w:rPr>
        <w:t>luxI</w:t>
      </w:r>
      <w:r>
        <w:t xml:space="preserve">-type gene performs the biosynthesis, hydrolytic enzymes with lactonase activity can degrade these signal molecules. This seems to guarantee, that the important AI-signal truly functions as a signal for specific physiological or environmental circumstances, examples for this can be found in </w:t>
      </w:r>
      <w:r w:rsidRPr="009F5B7C">
        <w:rPr>
          <w:i/>
        </w:rPr>
        <w:t>Agrobacterium tumefaciens</w:t>
      </w:r>
      <w:r>
        <w:t xml:space="preserve"> or </w:t>
      </w:r>
      <w:r w:rsidRPr="009F5B7C">
        <w:rPr>
          <w:i/>
        </w:rPr>
        <w:t>Pseudomonas putida</w:t>
      </w:r>
      <w:r>
        <w:t xml:space="preserve"> </w:t>
      </w:r>
      <w:r>
        <w:rPr>
          <w:noProof/>
        </w:rPr>
        <w:t>(Buddrus-Schiemann et al. 2014)</w:t>
      </w:r>
      <w:r>
        <w:t xml:space="preserve">. There are also bacteria with just the lactonase activity, apparently using the released AHLs as carbon sources, such actives are called quorum quenching. Some other variations of the autoduction system in bacteria are bacteria having just the LuxR-gene, so-called “LuxR-solos” </w:t>
      </w:r>
      <w:r>
        <w:rPr>
          <w:noProof/>
        </w:rPr>
        <w:t>(Patel et al. 2013)</w:t>
      </w:r>
      <w:r>
        <w:t xml:space="preserve">. These bacteria are able to sense AI, but are unable to produce their own AI. Interestingly, some of the LuxR solos have evolved from the ability to bind AHLs and respond to other molecules/signals. </w:t>
      </w:r>
    </w:p>
    <w:p w:rsidR="001D520E" w:rsidRDefault="001D520E" w:rsidP="001D520E">
      <w:r>
        <w:t xml:space="preserve">The relevance of the signaling systems based on AHLs is reflected in the abundance of quorum quenching activities in plants and animals, which obviously have the function to destroy the signaling activity of bacterial pathogens. Many plant extracts, e.g. from garlic </w:t>
      </w:r>
      <w:r>
        <w:rPr>
          <w:noProof/>
        </w:rPr>
        <w:t>(Bjarnsholt et al. 2005)</w:t>
      </w:r>
      <w:r>
        <w:t xml:space="preserve"> or horseradish </w:t>
      </w:r>
      <w:r>
        <w:rPr>
          <w:noProof/>
        </w:rPr>
        <w:t>(Jakobsen et al. 2012)</w:t>
      </w:r>
      <w:r>
        <w:t xml:space="preserve">, inhibit quorum sensing. Those extracts may have distinctive inhibitory activities against many bacteria, including pathogens like </w:t>
      </w:r>
      <w:r w:rsidRPr="009F5B7C">
        <w:rPr>
          <w:i/>
        </w:rPr>
        <w:t>Pseudomonas aeruginosa</w:t>
      </w:r>
      <w:r>
        <w:t xml:space="preserve"> </w:t>
      </w:r>
      <w:r>
        <w:rPr>
          <w:noProof/>
        </w:rPr>
        <w:t>(Jakobsen et al. 2012)</w:t>
      </w:r>
      <w:r>
        <w:t xml:space="preserve">. In the </w:t>
      </w:r>
      <w:r w:rsidRPr="009F5B7C">
        <w:rPr>
          <w:i/>
        </w:rPr>
        <w:t>Brassicaceae</w:t>
      </w:r>
      <w:r>
        <w:t xml:space="preserve"> family, Iberin and related isothiocyanate compounds, are shown to specifically block the expression of QS-regulated genes in </w:t>
      </w:r>
      <w:r w:rsidRPr="009F5B7C">
        <w:rPr>
          <w:i/>
        </w:rPr>
        <w:t>P. aeruginosa</w:t>
      </w:r>
      <w:r>
        <w:t xml:space="preserve">. These are just some examples of how plants regulate the AHL-signaling of associated Gram-negative bacteria. In addition to these defense-oriented responses to pathogenic bacteria, below we discuss the beneficial responses to AHLs observed in different plants. </w:t>
      </w:r>
    </w:p>
    <w:p w:rsidR="001D520E" w:rsidRPr="008219BB" w:rsidRDefault="001D520E" w:rsidP="001D520E">
      <w:pPr>
        <w:pStyle w:val="berschrift1"/>
        <w:rPr>
          <w:rFonts w:ascii="Arial" w:hAnsi="Arial" w:cs="Arial"/>
          <w:sz w:val="22"/>
          <w:szCs w:val="22"/>
        </w:rPr>
      </w:pPr>
      <w:r>
        <w:rPr>
          <w:rFonts w:ascii="Arial" w:hAnsi="Arial" w:cs="Arial"/>
          <w:sz w:val="22"/>
          <w:szCs w:val="22"/>
        </w:rPr>
        <w:t xml:space="preserve">AHL-molecules </w:t>
      </w:r>
      <w:r w:rsidRPr="008219BB">
        <w:rPr>
          <w:rFonts w:ascii="Arial" w:hAnsi="Arial" w:cs="Arial"/>
          <w:sz w:val="22"/>
          <w:szCs w:val="22"/>
        </w:rPr>
        <w:t xml:space="preserve">modulate </w:t>
      </w:r>
      <w:r>
        <w:rPr>
          <w:rFonts w:ascii="Arial" w:hAnsi="Arial" w:cs="Arial"/>
          <w:sz w:val="22"/>
          <w:szCs w:val="22"/>
        </w:rPr>
        <w:t>plant performance in different ways</w:t>
      </w:r>
    </w:p>
    <w:p w:rsidR="001D520E" w:rsidRPr="008219BB" w:rsidRDefault="001D520E" w:rsidP="001D520E">
      <w:pPr>
        <w:rPr>
          <w:rFonts w:cs="Arial"/>
          <w:szCs w:val="22"/>
        </w:rPr>
      </w:pPr>
      <w:r>
        <w:rPr>
          <w:rFonts w:cs="Arial"/>
          <w:szCs w:val="22"/>
        </w:rPr>
        <w:t>T</w:t>
      </w:r>
      <w:r w:rsidRPr="008219BB">
        <w:rPr>
          <w:rFonts w:cs="Arial"/>
          <w:szCs w:val="22"/>
        </w:rPr>
        <w:t>he first study report</w:t>
      </w:r>
      <w:r>
        <w:rPr>
          <w:rFonts w:cs="Arial"/>
          <w:szCs w:val="22"/>
        </w:rPr>
        <w:t xml:space="preserve">ing </w:t>
      </w:r>
      <w:r w:rsidRPr="008219BB">
        <w:rPr>
          <w:rFonts w:cs="Arial"/>
          <w:szCs w:val="22"/>
        </w:rPr>
        <w:t xml:space="preserve">an impact of </w:t>
      </w:r>
      <w:r>
        <w:rPr>
          <w:rFonts w:cs="Arial"/>
          <w:szCs w:val="22"/>
        </w:rPr>
        <w:t xml:space="preserve">bacterial </w:t>
      </w:r>
      <w:r w:rsidRPr="008219BB">
        <w:rPr>
          <w:rFonts w:cs="Arial"/>
          <w:szCs w:val="22"/>
        </w:rPr>
        <w:t xml:space="preserve">AHLs </w:t>
      </w:r>
      <w:r>
        <w:rPr>
          <w:rFonts w:cs="Arial"/>
          <w:szCs w:val="22"/>
        </w:rPr>
        <w:t>on</w:t>
      </w:r>
      <w:r w:rsidRPr="008219BB">
        <w:rPr>
          <w:rFonts w:cs="Arial"/>
          <w:szCs w:val="22"/>
        </w:rPr>
        <w:t xml:space="preserve"> plant physiology </w:t>
      </w:r>
      <w:r>
        <w:rPr>
          <w:rFonts w:cs="Arial"/>
          <w:szCs w:val="22"/>
        </w:rPr>
        <w:t>was published m</w:t>
      </w:r>
      <w:r w:rsidRPr="008219BB">
        <w:rPr>
          <w:rFonts w:cs="Arial"/>
          <w:szCs w:val="22"/>
        </w:rPr>
        <w:t>ore th</w:t>
      </w:r>
      <w:r>
        <w:rPr>
          <w:rFonts w:cs="Arial"/>
          <w:szCs w:val="22"/>
        </w:rPr>
        <w:t>an a decade ago</w:t>
      </w:r>
      <w:r w:rsidRPr="008219BB">
        <w:rPr>
          <w:rFonts w:cs="Arial"/>
          <w:szCs w:val="22"/>
        </w:rPr>
        <w:t xml:space="preserve"> </w:t>
      </w:r>
      <w:r w:rsidRPr="008219BB">
        <w:rPr>
          <w:rFonts w:cs="Arial"/>
          <w:noProof/>
          <w:szCs w:val="22"/>
        </w:rPr>
        <w:t>(Mathesius et al. 2003)</w:t>
      </w:r>
      <w:r w:rsidRPr="008219BB">
        <w:rPr>
          <w:rFonts w:cs="Arial"/>
          <w:szCs w:val="22"/>
        </w:rPr>
        <w:t xml:space="preserve">. The authors performed a differential proteome analysis and revealed that amongst defense- and stress-related proteins, also proteins associated with flavonoid metabolism, hormones and several regulatory proteins (including protein degradation and synthesis) were differentially accumulated in AHL-treated plants. </w:t>
      </w:r>
      <w:r>
        <w:rPr>
          <w:rFonts w:cs="Arial"/>
          <w:szCs w:val="22"/>
        </w:rPr>
        <w:t>T</w:t>
      </w:r>
      <w:r w:rsidRPr="008219BB">
        <w:rPr>
          <w:rFonts w:cs="Arial"/>
          <w:szCs w:val="22"/>
        </w:rPr>
        <w:t xml:space="preserve">he authors </w:t>
      </w:r>
      <w:r>
        <w:rPr>
          <w:rFonts w:cs="Arial"/>
          <w:szCs w:val="22"/>
        </w:rPr>
        <w:t xml:space="preserve">also </w:t>
      </w:r>
      <w:r w:rsidRPr="008219BB">
        <w:rPr>
          <w:rFonts w:cs="Arial"/>
          <w:szCs w:val="22"/>
        </w:rPr>
        <w:t xml:space="preserve">provided the first report on an activation of the auxin-responsible </w:t>
      </w:r>
      <w:r w:rsidRPr="008219BB">
        <w:rPr>
          <w:rFonts w:cs="Arial"/>
          <w:i/>
          <w:szCs w:val="22"/>
        </w:rPr>
        <w:t>GH3</w:t>
      </w:r>
      <w:r w:rsidRPr="008219BB">
        <w:rPr>
          <w:rFonts w:cs="Arial"/>
          <w:szCs w:val="22"/>
        </w:rPr>
        <w:t xml:space="preserve"> promoter after application of AHLs </w:t>
      </w:r>
      <w:r w:rsidRPr="008219BB">
        <w:rPr>
          <w:rFonts w:cs="Arial"/>
          <w:noProof/>
          <w:szCs w:val="22"/>
        </w:rPr>
        <w:t>(Mathesius et al. 2003)</w:t>
      </w:r>
      <w:r w:rsidRPr="008219BB">
        <w:rPr>
          <w:rFonts w:cs="Arial"/>
          <w:szCs w:val="22"/>
        </w:rPr>
        <w:t xml:space="preserve">. During the following years several detailed studies on the relation between the changed auxin level and the modification of plant growth upon </w:t>
      </w:r>
      <w:r w:rsidRPr="008219BB">
        <w:rPr>
          <w:rFonts w:cs="Arial"/>
          <w:szCs w:val="22"/>
        </w:rPr>
        <w:lastRenderedPageBreak/>
        <w:t>AHL perception were published. Very remarkable was the fact that in addition to an up-regulation of auxin-related genes, genes related to cytokinin were down</w:t>
      </w:r>
      <w:r>
        <w:rPr>
          <w:rFonts w:cs="Arial"/>
          <w:szCs w:val="22"/>
        </w:rPr>
        <w:t>-</w:t>
      </w:r>
      <w:r w:rsidRPr="008219BB">
        <w:rPr>
          <w:rFonts w:cs="Arial"/>
          <w:szCs w:val="22"/>
        </w:rPr>
        <w:t xml:space="preserve">regulated </w:t>
      </w:r>
      <w:r w:rsidRPr="008219BB">
        <w:rPr>
          <w:rFonts w:cs="Arial"/>
          <w:noProof/>
          <w:szCs w:val="22"/>
        </w:rPr>
        <w:t>(von Rad et al. 2008)</w:t>
      </w:r>
      <w:r w:rsidRPr="008219BB">
        <w:rPr>
          <w:rFonts w:cs="Arial"/>
          <w:szCs w:val="22"/>
        </w:rPr>
        <w:t xml:space="preserve">. The resulting change in the ratio between auxin and cytokinin could explain the </w:t>
      </w:r>
      <w:r>
        <w:rPr>
          <w:rFonts w:cs="Arial"/>
          <w:szCs w:val="22"/>
        </w:rPr>
        <w:t xml:space="preserve">root </w:t>
      </w:r>
      <w:r w:rsidRPr="008219BB">
        <w:rPr>
          <w:rFonts w:cs="Arial"/>
          <w:szCs w:val="22"/>
        </w:rPr>
        <w:t xml:space="preserve">growth-promoting effect observed after the application of </w:t>
      </w:r>
      <w:r>
        <w:rPr>
          <w:rFonts w:cs="Arial"/>
          <w:szCs w:val="22"/>
        </w:rPr>
        <w:t xml:space="preserve">C4- and C6- short side chain </w:t>
      </w:r>
      <w:r w:rsidRPr="008219BB">
        <w:rPr>
          <w:rFonts w:cs="Arial"/>
          <w:szCs w:val="22"/>
        </w:rPr>
        <w:t xml:space="preserve">AHLs. Using another system, the AHL-induced basipetal auxin transport was postulated to play a crucial role in the formation of adventitious roots, as observed </w:t>
      </w:r>
      <w:r>
        <w:rPr>
          <w:rFonts w:cs="Arial"/>
          <w:szCs w:val="22"/>
        </w:rPr>
        <w:t>in</w:t>
      </w:r>
      <w:r w:rsidRPr="008219BB">
        <w:rPr>
          <w:rFonts w:cs="Arial"/>
          <w:szCs w:val="22"/>
        </w:rPr>
        <w:t xml:space="preserve"> mung bean plants </w:t>
      </w:r>
      <w:r w:rsidRPr="008219BB">
        <w:rPr>
          <w:rFonts w:cs="Arial"/>
          <w:noProof/>
          <w:szCs w:val="22"/>
        </w:rPr>
        <w:t>(Bai et al. 2012)</w:t>
      </w:r>
      <w:r w:rsidRPr="008219BB">
        <w:rPr>
          <w:rFonts w:cs="Arial"/>
          <w:szCs w:val="22"/>
        </w:rPr>
        <w:t>. Importantly, this effect seems to depend on cyclic GMP signaling and H</w:t>
      </w:r>
      <w:r w:rsidRPr="008219BB">
        <w:rPr>
          <w:rFonts w:cs="Arial"/>
          <w:szCs w:val="22"/>
          <w:vertAlign w:val="subscript"/>
        </w:rPr>
        <w:t>2</w:t>
      </w:r>
      <w:r w:rsidRPr="008219BB">
        <w:rPr>
          <w:rFonts w:cs="Arial"/>
          <w:szCs w:val="22"/>
        </w:rPr>
        <w:t>O</w:t>
      </w:r>
      <w:r w:rsidRPr="008219BB">
        <w:rPr>
          <w:rFonts w:cs="Arial"/>
          <w:szCs w:val="22"/>
          <w:vertAlign w:val="subscript"/>
        </w:rPr>
        <w:t>2</w:t>
      </w:r>
      <w:r w:rsidRPr="008219BB">
        <w:rPr>
          <w:rFonts w:cs="Arial"/>
          <w:szCs w:val="22"/>
        </w:rPr>
        <w:t xml:space="preserve"> and NO production (see also the chapter Perception of AHLs). </w:t>
      </w:r>
    </w:p>
    <w:p w:rsidR="001D520E" w:rsidRPr="008219BB" w:rsidRDefault="001D520E" w:rsidP="001D520E">
      <w:pPr>
        <w:rPr>
          <w:rFonts w:cs="Arial"/>
          <w:szCs w:val="22"/>
        </w:rPr>
      </w:pPr>
      <w:r w:rsidRPr="008219BB">
        <w:rPr>
          <w:rFonts w:cs="Arial"/>
          <w:szCs w:val="22"/>
        </w:rPr>
        <w:t xml:space="preserve">Based on the observations from recent studies and our own experiments, we proposed a dual function of the AHL molecules in </w:t>
      </w:r>
      <w:r w:rsidRPr="008219BB">
        <w:rPr>
          <w:rFonts w:cs="Arial"/>
          <w:i/>
          <w:szCs w:val="22"/>
        </w:rPr>
        <w:t>Arabidopsis</w:t>
      </w:r>
      <w:r w:rsidRPr="008219BB">
        <w:rPr>
          <w:rFonts w:cs="Arial"/>
          <w:szCs w:val="22"/>
        </w:rPr>
        <w:t xml:space="preserve"> </w:t>
      </w:r>
      <w:r w:rsidRPr="008219BB">
        <w:rPr>
          <w:rFonts w:cs="Arial"/>
          <w:i/>
          <w:szCs w:val="22"/>
        </w:rPr>
        <w:t xml:space="preserve">thaliana </w:t>
      </w:r>
      <w:r w:rsidRPr="008219BB">
        <w:rPr>
          <w:rFonts w:cs="Arial"/>
          <w:noProof/>
          <w:szCs w:val="22"/>
        </w:rPr>
        <w:t>(Hartmann and Schikora 2012; Schenk et al. 2012)</w:t>
      </w:r>
      <w:r w:rsidRPr="008219BB">
        <w:rPr>
          <w:rFonts w:cs="Arial"/>
          <w:szCs w:val="22"/>
        </w:rPr>
        <w:t xml:space="preserve">. AHLs with a short acyl chain, like C4 or C6, where shown to increase the growth rate and primary root elongation </w:t>
      </w:r>
      <w:r w:rsidRPr="008219BB">
        <w:rPr>
          <w:rFonts w:cs="Arial"/>
          <w:noProof/>
          <w:szCs w:val="22"/>
        </w:rPr>
        <w:t>(Bai et al. 2012; Liu et al. 2012; Schenk et al. 2012; von Rad et al. 2008)</w:t>
      </w:r>
      <w:r w:rsidRPr="008219BB">
        <w:rPr>
          <w:rFonts w:cs="Arial"/>
          <w:szCs w:val="22"/>
        </w:rPr>
        <w:t xml:space="preserve">. In contrast, molecules with longer acyl chains (e.g. C12 and C14) induced resistance in a phenomenon named AHL-priming </w:t>
      </w:r>
      <w:r w:rsidRPr="008219BB">
        <w:rPr>
          <w:rFonts w:cs="Arial"/>
          <w:noProof/>
          <w:szCs w:val="22"/>
        </w:rPr>
        <w:t>(Schenk et al. 2014; Schenk and Schikora 2015; Schikora et al. 2011)</w:t>
      </w:r>
      <w:r w:rsidRPr="008219BB">
        <w:rPr>
          <w:rFonts w:cs="Arial"/>
          <w:szCs w:val="22"/>
        </w:rPr>
        <w:t>. The impact of AHLs on plant growth in other plant</w:t>
      </w:r>
      <w:r>
        <w:rPr>
          <w:rFonts w:cs="Arial"/>
          <w:szCs w:val="22"/>
        </w:rPr>
        <w:t xml:space="preserve"> </w:t>
      </w:r>
      <w:r w:rsidRPr="008219BB">
        <w:rPr>
          <w:rFonts w:cs="Arial"/>
          <w:szCs w:val="22"/>
        </w:rPr>
        <w:t>s</w:t>
      </w:r>
      <w:r>
        <w:rPr>
          <w:rFonts w:cs="Arial"/>
          <w:szCs w:val="22"/>
        </w:rPr>
        <w:t>pecies</w:t>
      </w:r>
      <w:r w:rsidRPr="008219BB">
        <w:rPr>
          <w:rFonts w:cs="Arial"/>
          <w:szCs w:val="22"/>
        </w:rPr>
        <w:t xml:space="preserve"> seems more complex, nonetheless very specific, as demonstrated in mung bean and </w:t>
      </w:r>
      <w:r w:rsidRPr="008219BB">
        <w:rPr>
          <w:rFonts w:cs="Arial"/>
          <w:i/>
          <w:szCs w:val="22"/>
        </w:rPr>
        <w:t>Medicago</w:t>
      </w:r>
      <w:r w:rsidRPr="008219BB">
        <w:rPr>
          <w:rFonts w:cs="Arial"/>
          <w:szCs w:val="22"/>
        </w:rPr>
        <w:t xml:space="preserve"> </w:t>
      </w:r>
      <w:r w:rsidRPr="008219BB">
        <w:rPr>
          <w:rFonts w:cs="Arial"/>
          <w:i/>
          <w:szCs w:val="22"/>
        </w:rPr>
        <w:t>truncatula</w:t>
      </w:r>
      <w:r w:rsidRPr="008219BB">
        <w:rPr>
          <w:rFonts w:cs="Arial"/>
          <w:szCs w:val="22"/>
        </w:rPr>
        <w:t xml:space="preserve"> plants. 3-oxo-C14-HSL produced by </w:t>
      </w:r>
      <w:r w:rsidRPr="008219BB">
        <w:rPr>
          <w:rFonts w:cs="Arial"/>
          <w:i/>
          <w:szCs w:val="22"/>
        </w:rPr>
        <w:t>Sinorhizobium meliloti</w:t>
      </w:r>
      <w:r w:rsidRPr="008219BB">
        <w:rPr>
          <w:rFonts w:cs="Arial"/>
          <w:szCs w:val="22"/>
        </w:rPr>
        <w:t xml:space="preserve"> enhanced the nodulation in roots </w:t>
      </w:r>
      <w:r>
        <w:rPr>
          <w:rFonts w:cs="Arial"/>
          <w:szCs w:val="22"/>
        </w:rPr>
        <w:t xml:space="preserve">of </w:t>
      </w:r>
      <w:r w:rsidRPr="001A585A">
        <w:rPr>
          <w:rFonts w:cs="Arial"/>
          <w:i/>
          <w:szCs w:val="22"/>
        </w:rPr>
        <w:t>Medicago truncatula</w:t>
      </w:r>
      <w:r>
        <w:rPr>
          <w:rFonts w:cs="Arial"/>
          <w:szCs w:val="22"/>
        </w:rPr>
        <w:t xml:space="preserve"> </w:t>
      </w:r>
      <w:r w:rsidRPr="008219BB">
        <w:rPr>
          <w:rFonts w:cs="Arial"/>
          <w:noProof/>
          <w:szCs w:val="22"/>
        </w:rPr>
        <w:t>(Veliz-Vallejos et al. 2014)</w:t>
      </w:r>
      <w:r w:rsidRPr="008219BB">
        <w:rPr>
          <w:rFonts w:cs="Arial"/>
          <w:szCs w:val="22"/>
        </w:rPr>
        <w:t xml:space="preserve">. Very striking was the fact that the increased number of nodules was observed only after a treatment with 3-oxo-C14-HSL, </w:t>
      </w:r>
      <w:r>
        <w:rPr>
          <w:rFonts w:cs="Arial"/>
          <w:szCs w:val="22"/>
        </w:rPr>
        <w:t xml:space="preserve">the predominant AHL of </w:t>
      </w:r>
      <w:r w:rsidRPr="001A585A">
        <w:rPr>
          <w:rFonts w:cs="Arial"/>
          <w:i/>
          <w:szCs w:val="22"/>
        </w:rPr>
        <w:t>S. meliloti</w:t>
      </w:r>
      <w:r>
        <w:rPr>
          <w:rFonts w:cs="Arial"/>
          <w:szCs w:val="22"/>
        </w:rPr>
        <w:t xml:space="preserve">, </w:t>
      </w:r>
      <w:r w:rsidRPr="008219BB">
        <w:rPr>
          <w:rFonts w:cs="Arial"/>
          <w:szCs w:val="22"/>
        </w:rPr>
        <w:t xml:space="preserve">treatment with other AHLs showed no effect. </w:t>
      </w:r>
      <w:r>
        <w:rPr>
          <w:rFonts w:cs="Arial"/>
          <w:szCs w:val="22"/>
        </w:rPr>
        <w:t>I</w:t>
      </w:r>
      <w:r w:rsidRPr="008219BB">
        <w:rPr>
          <w:rFonts w:cs="Arial"/>
          <w:szCs w:val="22"/>
        </w:rPr>
        <w:t xml:space="preserve">n mung bean </w:t>
      </w:r>
      <w:r>
        <w:rPr>
          <w:rFonts w:cs="Arial"/>
          <w:szCs w:val="22"/>
        </w:rPr>
        <w:t xml:space="preserve">plants </w:t>
      </w:r>
      <w:r w:rsidRPr="008219BB">
        <w:rPr>
          <w:rFonts w:cs="Arial"/>
          <w:szCs w:val="22"/>
        </w:rPr>
        <w:t xml:space="preserve">only the 3-oxo-C10-HSL, and not the unsubstituted C10-HSL or C12-HSL, was able to induce adventitious roots </w:t>
      </w:r>
      <w:r w:rsidRPr="008219BB">
        <w:rPr>
          <w:rFonts w:cs="Arial"/>
          <w:noProof/>
          <w:szCs w:val="22"/>
        </w:rPr>
        <w:t>(Bai et al. 2012)</w:t>
      </w:r>
      <w:r w:rsidRPr="008219BB">
        <w:rPr>
          <w:rFonts w:cs="Arial"/>
          <w:szCs w:val="22"/>
        </w:rPr>
        <w:t xml:space="preserve">. Although several reports linked the growth-modulating effect of AHLs to auxin, some postulated that the impact of 3-oxo-C10-HSL on </w:t>
      </w:r>
      <w:r w:rsidRPr="008219BB">
        <w:rPr>
          <w:rFonts w:cs="Arial"/>
          <w:i/>
          <w:szCs w:val="22"/>
        </w:rPr>
        <w:t>Arabidopsis</w:t>
      </w:r>
      <w:r w:rsidRPr="008219BB">
        <w:rPr>
          <w:rFonts w:cs="Arial"/>
          <w:szCs w:val="22"/>
        </w:rPr>
        <w:t xml:space="preserve"> (an increased formation of lateral roots) is independent o</w:t>
      </w:r>
      <w:r>
        <w:rPr>
          <w:rFonts w:cs="Arial"/>
          <w:szCs w:val="22"/>
        </w:rPr>
        <w:t>n</w:t>
      </w:r>
      <w:r w:rsidRPr="008219BB">
        <w:rPr>
          <w:rFonts w:cs="Arial"/>
          <w:szCs w:val="22"/>
        </w:rPr>
        <w:t xml:space="preserve"> auxin concentration </w:t>
      </w:r>
      <w:r w:rsidRPr="008219BB">
        <w:rPr>
          <w:rFonts w:cs="Arial"/>
          <w:noProof/>
          <w:szCs w:val="22"/>
        </w:rPr>
        <w:t>(Ortiz-Castro et al. 2008)</w:t>
      </w:r>
      <w:r w:rsidRPr="008219BB">
        <w:rPr>
          <w:rFonts w:cs="Arial"/>
          <w:szCs w:val="22"/>
        </w:rPr>
        <w:t xml:space="preserve">. Yet another mechanism, based on changes in transpiration rate, was proposed recently by Palmer and coworkers </w:t>
      </w:r>
      <w:r w:rsidRPr="008219BB">
        <w:rPr>
          <w:rFonts w:cs="Arial"/>
          <w:noProof/>
          <w:szCs w:val="22"/>
        </w:rPr>
        <w:t>(Palmer et al. 2014)</w:t>
      </w:r>
      <w:r w:rsidRPr="008219BB">
        <w:rPr>
          <w:rFonts w:cs="Arial"/>
          <w:szCs w:val="22"/>
        </w:rPr>
        <w:t xml:space="preserve">. The authors postulate that AHLs could be metabolized to </w:t>
      </w:r>
      <w:r w:rsidRPr="008219BB">
        <w:rPr>
          <w:rFonts w:cs="Arial"/>
          <w:i/>
          <w:szCs w:val="22"/>
        </w:rPr>
        <w:t>L</w:t>
      </w:r>
      <w:r w:rsidRPr="008219BB">
        <w:rPr>
          <w:rFonts w:cs="Arial"/>
          <w:szCs w:val="22"/>
        </w:rPr>
        <w:t xml:space="preserve">-homoserine, which increase stomata opening and consequently </w:t>
      </w:r>
      <w:r>
        <w:rPr>
          <w:rFonts w:cs="Arial"/>
          <w:szCs w:val="22"/>
        </w:rPr>
        <w:t xml:space="preserve">foster </w:t>
      </w:r>
      <w:r w:rsidRPr="008219BB">
        <w:rPr>
          <w:rFonts w:cs="Arial"/>
          <w:szCs w:val="22"/>
        </w:rPr>
        <w:t xml:space="preserve">the water and mineral flow through the plant. </w:t>
      </w:r>
    </w:p>
    <w:p w:rsidR="001D520E" w:rsidRPr="008219BB" w:rsidRDefault="001D520E" w:rsidP="001D520E">
      <w:pPr>
        <w:pStyle w:val="berschrift1"/>
        <w:rPr>
          <w:rFonts w:ascii="Arial" w:hAnsi="Arial" w:cs="Arial"/>
          <w:sz w:val="22"/>
          <w:szCs w:val="22"/>
        </w:rPr>
      </w:pPr>
      <w:r w:rsidRPr="008219BB">
        <w:rPr>
          <w:rFonts w:ascii="Arial" w:hAnsi="Arial" w:cs="Arial"/>
          <w:sz w:val="22"/>
          <w:szCs w:val="22"/>
        </w:rPr>
        <w:t xml:space="preserve">Uptake and physiological influence </w:t>
      </w:r>
      <w:r>
        <w:rPr>
          <w:rFonts w:ascii="Arial" w:hAnsi="Arial" w:cs="Arial"/>
          <w:sz w:val="22"/>
          <w:szCs w:val="22"/>
        </w:rPr>
        <w:t>of AHL</w:t>
      </w:r>
    </w:p>
    <w:p w:rsidR="001D520E" w:rsidRPr="008219BB" w:rsidRDefault="001D520E" w:rsidP="001D520E">
      <w:pPr>
        <w:rPr>
          <w:rFonts w:cs="Arial"/>
          <w:szCs w:val="22"/>
        </w:rPr>
      </w:pPr>
      <w:r w:rsidRPr="008219BB">
        <w:rPr>
          <w:rFonts w:cs="Arial"/>
          <w:szCs w:val="22"/>
        </w:rPr>
        <w:t xml:space="preserve">The strong impact of AHLs on plants raised the question whether those molecules act via a systemic signal (or signals), which would be initiated after the perception of </w:t>
      </w:r>
      <w:r>
        <w:rPr>
          <w:rFonts w:cs="Arial"/>
          <w:szCs w:val="22"/>
        </w:rPr>
        <w:t>AHLs</w:t>
      </w:r>
      <w:r w:rsidRPr="008219BB">
        <w:rPr>
          <w:rFonts w:cs="Arial"/>
          <w:szCs w:val="22"/>
        </w:rPr>
        <w:t xml:space="preserve"> on </w:t>
      </w:r>
      <w:r>
        <w:rPr>
          <w:rFonts w:cs="Arial"/>
          <w:szCs w:val="22"/>
        </w:rPr>
        <w:t xml:space="preserve">the </w:t>
      </w:r>
      <w:r w:rsidRPr="008219BB">
        <w:rPr>
          <w:rFonts w:cs="Arial"/>
          <w:szCs w:val="22"/>
        </w:rPr>
        <w:t xml:space="preserve">root surface, or whether they are taken up into the plant’s tissues and </w:t>
      </w:r>
      <w:r w:rsidRPr="008219BB">
        <w:rPr>
          <w:rFonts w:cs="Arial"/>
          <w:szCs w:val="22"/>
        </w:rPr>
        <w:lastRenderedPageBreak/>
        <w:t>act locally</w:t>
      </w:r>
      <w:r>
        <w:rPr>
          <w:rFonts w:cs="Arial"/>
          <w:szCs w:val="22"/>
        </w:rPr>
        <w:t>.</w:t>
      </w:r>
      <w:r w:rsidRPr="008219BB">
        <w:rPr>
          <w:rFonts w:cs="Arial"/>
          <w:szCs w:val="22"/>
        </w:rPr>
        <w:t xml:space="preserve"> </w:t>
      </w:r>
      <w:r>
        <w:rPr>
          <w:rFonts w:cs="Arial"/>
          <w:szCs w:val="22"/>
        </w:rPr>
        <w:t>O</w:t>
      </w:r>
      <w:r w:rsidRPr="008219BB">
        <w:rPr>
          <w:rFonts w:cs="Arial"/>
          <w:szCs w:val="22"/>
        </w:rPr>
        <w:t xml:space="preserve">nly </w:t>
      </w:r>
      <w:r>
        <w:rPr>
          <w:rFonts w:cs="Arial"/>
          <w:szCs w:val="22"/>
        </w:rPr>
        <w:t>few</w:t>
      </w:r>
      <w:r w:rsidRPr="008219BB">
        <w:rPr>
          <w:rFonts w:cs="Arial"/>
          <w:szCs w:val="22"/>
        </w:rPr>
        <w:t xml:space="preserve"> reports addressed this question in a systemic manner. Using radioactively labeled C8- and C10-HSL</w:t>
      </w:r>
      <w:r>
        <w:rPr>
          <w:rFonts w:cs="Arial"/>
          <w:szCs w:val="22"/>
        </w:rPr>
        <w:t>,</w:t>
      </w:r>
      <w:r w:rsidRPr="008219BB">
        <w:rPr>
          <w:rFonts w:cs="Arial"/>
          <w:szCs w:val="22"/>
        </w:rPr>
        <w:t xml:space="preserve"> Sieper and colleagues reported an ATP-dependent transport of AHLs within barley </w:t>
      </w:r>
      <w:r>
        <w:rPr>
          <w:rFonts w:cs="Arial"/>
          <w:szCs w:val="22"/>
        </w:rPr>
        <w:t>roots</w:t>
      </w:r>
      <w:r w:rsidRPr="008219BB">
        <w:rPr>
          <w:rFonts w:cs="Arial"/>
          <w:szCs w:val="22"/>
        </w:rPr>
        <w:t xml:space="preserve">. The majority of the molecules were transported within the central cylinder. </w:t>
      </w:r>
      <w:r>
        <w:rPr>
          <w:rFonts w:cs="Arial"/>
          <w:szCs w:val="22"/>
        </w:rPr>
        <w:t>The transport rate of the AHL-</w:t>
      </w:r>
      <w:r w:rsidRPr="008219BB">
        <w:rPr>
          <w:rFonts w:cs="Arial"/>
          <w:szCs w:val="22"/>
        </w:rPr>
        <w:t xml:space="preserve">molecules within the </w:t>
      </w:r>
      <w:r>
        <w:rPr>
          <w:rFonts w:cs="Arial"/>
          <w:szCs w:val="22"/>
        </w:rPr>
        <w:t>root and shoot</w:t>
      </w:r>
      <w:r w:rsidRPr="008219BB">
        <w:rPr>
          <w:rFonts w:cs="Arial"/>
          <w:szCs w:val="22"/>
        </w:rPr>
        <w:t xml:space="preserve"> tissue</w:t>
      </w:r>
      <w:r>
        <w:rPr>
          <w:rFonts w:cs="Arial"/>
          <w:szCs w:val="22"/>
        </w:rPr>
        <w:t>s</w:t>
      </w:r>
      <w:r w:rsidRPr="008219BB">
        <w:rPr>
          <w:rFonts w:cs="Arial"/>
          <w:szCs w:val="22"/>
        </w:rPr>
        <w:t xml:space="preserve"> correlate</w:t>
      </w:r>
      <w:r>
        <w:rPr>
          <w:rFonts w:cs="Arial"/>
          <w:szCs w:val="22"/>
        </w:rPr>
        <w:t>d</w:t>
      </w:r>
      <w:r w:rsidRPr="008219BB">
        <w:rPr>
          <w:rFonts w:cs="Arial"/>
          <w:szCs w:val="22"/>
        </w:rPr>
        <w:t xml:space="preserve"> negatively with the length of the acyl chain </w:t>
      </w:r>
      <w:r w:rsidRPr="008219BB">
        <w:rPr>
          <w:rFonts w:cs="Arial"/>
          <w:noProof/>
          <w:szCs w:val="22"/>
        </w:rPr>
        <w:t>(Sieper et al. 2013)</w:t>
      </w:r>
      <w:r w:rsidRPr="008219BB">
        <w:rPr>
          <w:rFonts w:cs="Arial"/>
          <w:szCs w:val="22"/>
        </w:rPr>
        <w:t xml:space="preserve">. Similarly, in </w:t>
      </w:r>
      <w:r w:rsidRPr="008219BB">
        <w:rPr>
          <w:rFonts w:cs="Arial"/>
          <w:i/>
          <w:szCs w:val="22"/>
        </w:rPr>
        <w:t>Arabidopsis</w:t>
      </w:r>
      <w:r w:rsidRPr="008219BB">
        <w:rPr>
          <w:rFonts w:cs="Arial"/>
          <w:szCs w:val="22"/>
        </w:rPr>
        <w:t xml:space="preserve"> the short-chain AHL</w:t>
      </w:r>
      <w:r>
        <w:rPr>
          <w:rFonts w:cs="Arial"/>
          <w:szCs w:val="22"/>
        </w:rPr>
        <w:t>,</w:t>
      </w:r>
      <w:r w:rsidRPr="008219BB">
        <w:rPr>
          <w:rFonts w:cs="Arial"/>
          <w:szCs w:val="22"/>
        </w:rPr>
        <w:t xml:space="preserve"> C6-HSL</w:t>
      </w:r>
      <w:r>
        <w:rPr>
          <w:rFonts w:cs="Arial"/>
          <w:szCs w:val="22"/>
        </w:rPr>
        <w:t>,</w:t>
      </w:r>
      <w:r w:rsidRPr="008219BB">
        <w:rPr>
          <w:rFonts w:cs="Arial"/>
          <w:szCs w:val="22"/>
        </w:rPr>
        <w:t xml:space="preserve"> was relocated into leaves</w:t>
      </w:r>
      <w:r>
        <w:rPr>
          <w:rFonts w:cs="Arial"/>
          <w:szCs w:val="22"/>
        </w:rPr>
        <w:t xml:space="preserve"> after application </w:t>
      </w:r>
      <w:r w:rsidRPr="008219BB">
        <w:rPr>
          <w:rFonts w:cs="Arial"/>
          <w:szCs w:val="22"/>
        </w:rPr>
        <w:t>to roots</w:t>
      </w:r>
      <w:r>
        <w:rPr>
          <w:rFonts w:cs="Arial"/>
          <w:szCs w:val="22"/>
        </w:rPr>
        <w:t>. H</w:t>
      </w:r>
      <w:r w:rsidRPr="008219BB">
        <w:rPr>
          <w:rFonts w:cs="Arial"/>
          <w:szCs w:val="22"/>
        </w:rPr>
        <w:t>owever, the long</w:t>
      </w:r>
      <w:r>
        <w:rPr>
          <w:rFonts w:cs="Arial"/>
          <w:szCs w:val="22"/>
        </w:rPr>
        <w:t xml:space="preserve"> carbon carbon </w:t>
      </w:r>
      <w:r w:rsidRPr="008219BB">
        <w:rPr>
          <w:rFonts w:cs="Arial"/>
          <w:szCs w:val="22"/>
        </w:rPr>
        <w:t>chain AHL</w:t>
      </w:r>
      <w:r>
        <w:rPr>
          <w:rFonts w:cs="Arial"/>
          <w:szCs w:val="22"/>
        </w:rPr>
        <w:t>,</w:t>
      </w:r>
      <w:r w:rsidRPr="008219BB">
        <w:rPr>
          <w:rFonts w:cs="Arial"/>
          <w:szCs w:val="22"/>
        </w:rPr>
        <w:t xml:space="preserve"> oxo-C14-HSL</w:t>
      </w:r>
      <w:r>
        <w:rPr>
          <w:rFonts w:cs="Arial"/>
          <w:szCs w:val="22"/>
        </w:rPr>
        <w:t>,</w:t>
      </w:r>
      <w:r w:rsidRPr="008219BB">
        <w:rPr>
          <w:rFonts w:cs="Arial"/>
          <w:szCs w:val="22"/>
        </w:rPr>
        <w:t xml:space="preserve"> was not</w:t>
      </w:r>
      <w:r>
        <w:rPr>
          <w:rFonts w:cs="Arial"/>
          <w:szCs w:val="22"/>
        </w:rPr>
        <w:t xml:space="preserve"> transported</w:t>
      </w:r>
      <w:r w:rsidRPr="008219BB">
        <w:rPr>
          <w:rFonts w:cs="Arial"/>
          <w:szCs w:val="22"/>
        </w:rPr>
        <w:t xml:space="preserve"> </w:t>
      </w:r>
      <w:r w:rsidRPr="008219BB">
        <w:rPr>
          <w:rFonts w:cs="Arial"/>
          <w:noProof/>
          <w:szCs w:val="22"/>
        </w:rPr>
        <w:t>(Schikora et al. 2011)</w:t>
      </w:r>
      <w:r w:rsidRPr="008219BB">
        <w:rPr>
          <w:rFonts w:cs="Arial"/>
          <w:szCs w:val="22"/>
        </w:rPr>
        <w:t xml:space="preserve">. Both studies </w:t>
      </w:r>
      <w:r>
        <w:rPr>
          <w:rFonts w:cs="Arial"/>
          <w:szCs w:val="22"/>
        </w:rPr>
        <w:t>confirm earlier</w:t>
      </w:r>
      <w:r w:rsidRPr="008219BB">
        <w:rPr>
          <w:rFonts w:cs="Arial"/>
          <w:szCs w:val="22"/>
        </w:rPr>
        <w:t xml:space="preserve"> report on barley (</w:t>
      </w:r>
      <w:r w:rsidRPr="008219BB">
        <w:rPr>
          <w:rFonts w:cs="Arial"/>
          <w:i/>
          <w:szCs w:val="22"/>
        </w:rPr>
        <w:t>Hordeum vulgare</w:t>
      </w:r>
      <w:r w:rsidRPr="008219BB">
        <w:rPr>
          <w:rFonts w:cs="Arial"/>
          <w:szCs w:val="22"/>
        </w:rPr>
        <w:t>) and yam beans (</w:t>
      </w:r>
      <w:r w:rsidRPr="008219BB">
        <w:rPr>
          <w:rFonts w:cs="Arial"/>
          <w:i/>
          <w:szCs w:val="22"/>
        </w:rPr>
        <w:t>Pachyrhizus erosus</w:t>
      </w:r>
      <w:r w:rsidRPr="008219BB">
        <w:rPr>
          <w:rFonts w:cs="Arial"/>
          <w:szCs w:val="22"/>
        </w:rPr>
        <w:t xml:space="preserve">) </w:t>
      </w:r>
      <w:r w:rsidRPr="008219BB">
        <w:rPr>
          <w:rFonts w:cs="Arial"/>
          <w:noProof/>
          <w:szCs w:val="22"/>
        </w:rPr>
        <w:t>(Götz et al. 2007)</w:t>
      </w:r>
      <w:r w:rsidRPr="008219BB">
        <w:rPr>
          <w:rFonts w:cs="Arial"/>
          <w:szCs w:val="22"/>
        </w:rPr>
        <w:t>. More recent study on the same plants revealed that C6-, C8- and C10-</w:t>
      </w:r>
      <w:r>
        <w:rPr>
          <w:rFonts w:cs="Arial"/>
          <w:szCs w:val="22"/>
        </w:rPr>
        <w:t>HSLs</w:t>
      </w:r>
      <w:r w:rsidRPr="008219BB">
        <w:rPr>
          <w:rFonts w:cs="Arial"/>
          <w:szCs w:val="22"/>
        </w:rPr>
        <w:t xml:space="preserve"> influence the activity of specific detoxification enzymes, namely glutathione S-transferase and dehydro</w:t>
      </w:r>
      <w:r>
        <w:rPr>
          <w:rFonts w:cs="Arial"/>
          <w:szCs w:val="22"/>
        </w:rPr>
        <w:t>-</w:t>
      </w:r>
      <w:r w:rsidRPr="008219BB">
        <w:rPr>
          <w:rFonts w:cs="Arial"/>
          <w:szCs w:val="22"/>
        </w:rPr>
        <w:t>ascorbate reductase in barley</w:t>
      </w:r>
      <w:r>
        <w:rPr>
          <w:rFonts w:cs="Arial"/>
          <w:szCs w:val="22"/>
        </w:rPr>
        <w:t xml:space="preserve"> with the largest influence on the leaf-located enzyme even when C6-HSL was applied to the roots; </w:t>
      </w:r>
      <w:r w:rsidRPr="008219BB">
        <w:rPr>
          <w:rFonts w:cs="Arial"/>
          <w:szCs w:val="22"/>
        </w:rPr>
        <w:t>in yam bean</w:t>
      </w:r>
      <w:r>
        <w:rPr>
          <w:rFonts w:cs="Arial"/>
          <w:szCs w:val="22"/>
        </w:rPr>
        <w:t xml:space="preserve"> no influence was measured</w:t>
      </w:r>
      <w:r w:rsidRPr="008219BB">
        <w:rPr>
          <w:rFonts w:cs="Arial"/>
          <w:noProof/>
          <w:szCs w:val="22"/>
        </w:rPr>
        <w:t xml:space="preserve"> (Götz-Rösch et al. 2015)</w:t>
      </w:r>
      <w:r w:rsidRPr="008219BB">
        <w:rPr>
          <w:rFonts w:cs="Arial"/>
          <w:szCs w:val="22"/>
        </w:rPr>
        <w:t xml:space="preserve">. This difference might be due to </w:t>
      </w:r>
      <w:r>
        <w:rPr>
          <w:rFonts w:cs="Arial"/>
          <w:szCs w:val="22"/>
        </w:rPr>
        <w:t>lack of AHL-</w:t>
      </w:r>
      <w:r w:rsidRPr="008219BB">
        <w:rPr>
          <w:rFonts w:cs="Arial"/>
          <w:szCs w:val="22"/>
        </w:rPr>
        <w:t xml:space="preserve">transport to the shoot in yam bean probably caused by a lactonase-driven degradation. Yet another interesting example is the modification of plant cells in AHL-primed plants (see below). In this primed stage, plants upregulate the transcription of several genes related to secondary metabolism (e.g. phenols) as well as </w:t>
      </w:r>
      <w:r>
        <w:rPr>
          <w:rFonts w:cs="Arial"/>
          <w:szCs w:val="22"/>
        </w:rPr>
        <w:t xml:space="preserve">to </w:t>
      </w:r>
      <w:r w:rsidRPr="008219BB">
        <w:rPr>
          <w:rFonts w:cs="Arial"/>
          <w:szCs w:val="22"/>
        </w:rPr>
        <w:t xml:space="preserve">cell wall. In consequence upon a challenge with pathogens, those plants accumulate callose and phenolic compounds </w:t>
      </w:r>
      <w:r w:rsidRPr="008219BB">
        <w:rPr>
          <w:rFonts w:cs="Arial"/>
          <w:noProof/>
          <w:szCs w:val="22"/>
        </w:rPr>
        <w:t>(Schenk and Schikora 2015)</w:t>
      </w:r>
      <w:r w:rsidRPr="008219BB">
        <w:rPr>
          <w:rFonts w:cs="Arial"/>
          <w:szCs w:val="22"/>
        </w:rPr>
        <w:t xml:space="preserve">. The first report on interaction between the perception of AHLs and plant reproduction </w:t>
      </w:r>
      <w:r>
        <w:rPr>
          <w:rFonts w:cs="Arial"/>
          <w:szCs w:val="22"/>
        </w:rPr>
        <w:t>was</w:t>
      </w:r>
      <w:r w:rsidRPr="008219BB">
        <w:rPr>
          <w:rFonts w:cs="Arial"/>
          <w:szCs w:val="22"/>
        </w:rPr>
        <w:t xml:space="preserve"> a study on the green macroalgae </w:t>
      </w:r>
      <w:r w:rsidRPr="008219BB">
        <w:rPr>
          <w:rFonts w:cs="Arial"/>
          <w:i/>
          <w:szCs w:val="22"/>
        </w:rPr>
        <w:t>Ulva</w:t>
      </w:r>
      <w:r w:rsidRPr="008219BB">
        <w:rPr>
          <w:rFonts w:cs="Arial"/>
          <w:szCs w:val="22"/>
        </w:rPr>
        <w:t xml:space="preserve"> and the red macroalgae </w:t>
      </w:r>
      <w:r w:rsidRPr="008219BB">
        <w:rPr>
          <w:rFonts w:cs="Arial"/>
          <w:i/>
          <w:szCs w:val="22"/>
        </w:rPr>
        <w:t>Gracilaria</w:t>
      </w:r>
      <w:r w:rsidRPr="008219BB">
        <w:rPr>
          <w:rFonts w:cs="Arial"/>
          <w:szCs w:val="22"/>
        </w:rPr>
        <w:t>. Here, the short-chained C4- and C6-</w:t>
      </w:r>
      <w:r>
        <w:rPr>
          <w:rFonts w:cs="Arial"/>
          <w:szCs w:val="22"/>
        </w:rPr>
        <w:t>HSL</w:t>
      </w:r>
      <w:r w:rsidRPr="008219BB">
        <w:rPr>
          <w:rFonts w:cs="Arial"/>
          <w:szCs w:val="22"/>
        </w:rPr>
        <w:t>s produced by bacteria in biofilms stimulated the release of carpospores</w:t>
      </w:r>
      <w:r w:rsidRPr="008219BB">
        <w:rPr>
          <w:rFonts w:cs="Arial"/>
          <w:noProof/>
          <w:szCs w:val="22"/>
        </w:rPr>
        <w:t xml:space="preserve"> (Singh et al. 2015)</w:t>
      </w:r>
      <w:r w:rsidRPr="008219BB">
        <w:rPr>
          <w:rFonts w:cs="Arial"/>
          <w:szCs w:val="22"/>
        </w:rPr>
        <w:t>. Interestingly, algae’s cystocarps and the cystocarp-bearing plantlets treated with AHLs had a protein pattern different from the pattern in control algae.</w:t>
      </w:r>
    </w:p>
    <w:p w:rsidR="001D520E" w:rsidRPr="008219BB" w:rsidRDefault="001D520E" w:rsidP="001D520E">
      <w:pPr>
        <w:pStyle w:val="berschrift1"/>
        <w:rPr>
          <w:rFonts w:ascii="Arial" w:hAnsi="Arial" w:cs="Arial"/>
          <w:sz w:val="22"/>
          <w:szCs w:val="22"/>
        </w:rPr>
      </w:pPr>
      <w:r w:rsidRPr="008219BB">
        <w:rPr>
          <w:rFonts w:ascii="Arial" w:hAnsi="Arial" w:cs="Arial"/>
          <w:sz w:val="22"/>
          <w:szCs w:val="22"/>
        </w:rPr>
        <w:t>AHLs prime for induced resistance</w:t>
      </w:r>
    </w:p>
    <w:p w:rsidR="001D520E" w:rsidRPr="008219BB" w:rsidRDefault="001D520E" w:rsidP="001D520E">
      <w:pPr>
        <w:rPr>
          <w:rFonts w:cs="Arial"/>
          <w:szCs w:val="22"/>
        </w:rPr>
      </w:pPr>
      <w:r w:rsidRPr="008219BB">
        <w:rPr>
          <w:rFonts w:cs="Arial"/>
          <w:szCs w:val="22"/>
        </w:rPr>
        <w:t>In preparation for an upcoming biotic or abiotic stress, plants can strengthen their defense mechanisms with a sensibilisation mechanism, called priming. Diverse low-</w:t>
      </w:r>
      <w:r>
        <w:rPr>
          <w:rFonts w:cs="Arial"/>
          <w:szCs w:val="22"/>
        </w:rPr>
        <w:t xml:space="preserve">molecular weight </w:t>
      </w:r>
      <w:r w:rsidRPr="008219BB">
        <w:rPr>
          <w:rFonts w:cs="Arial"/>
          <w:szCs w:val="22"/>
        </w:rPr>
        <w:t xml:space="preserve">metabolites </w:t>
      </w:r>
      <w:r>
        <w:rPr>
          <w:rFonts w:cs="Arial"/>
          <w:szCs w:val="22"/>
        </w:rPr>
        <w:t>and</w:t>
      </w:r>
      <w:r w:rsidRPr="008219BB">
        <w:rPr>
          <w:rFonts w:cs="Arial"/>
          <w:szCs w:val="22"/>
        </w:rPr>
        <w:t xml:space="preserve"> natural compounds can induce this </w:t>
      </w:r>
      <w:r>
        <w:rPr>
          <w:rFonts w:cs="Arial"/>
          <w:szCs w:val="22"/>
        </w:rPr>
        <w:t>state</w:t>
      </w:r>
      <w:r w:rsidRPr="008219BB">
        <w:rPr>
          <w:rFonts w:cs="Arial"/>
          <w:szCs w:val="22"/>
        </w:rPr>
        <w:t xml:space="preserve">. In the last decades several priming phenomena </w:t>
      </w:r>
      <w:r>
        <w:rPr>
          <w:rFonts w:cs="Arial"/>
          <w:szCs w:val="22"/>
        </w:rPr>
        <w:t>were described</w:t>
      </w:r>
      <w:r w:rsidRPr="008219BB">
        <w:rPr>
          <w:rFonts w:cs="Arial"/>
          <w:szCs w:val="22"/>
        </w:rPr>
        <w:t xml:space="preserve"> which </w:t>
      </w:r>
      <w:r>
        <w:rPr>
          <w:rFonts w:cs="Arial"/>
          <w:szCs w:val="22"/>
        </w:rPr>
        <w:t xml:space="preserve">generally result in </w:t>
      </w:r>
      <w:r w:rsidRPr="008219BB">
        <w:rPr>
          <w:rFonts w:cs="Arial"/>
          <w:szCs w:val="22"/>
        </w:rPr>
        <w:t xml:space="preserve">a stronger and faster response to </w:t>
      </w:r>
      <w:r>
        <w:rPr>
          <w:rFonts w:cs="Arial"/>
          <w:szCs w:val="22"/>
        </w:rPr>
        <w:t>a</w:t>
      </w:r>
      <w:r w:rsidRPr="008219BB">
        <w:rPr>
          <w:rFonts w:cs="Arial"/>
          <w:szCs w:val="22"/>
        </w:rPr>
        <w:t xml:space="preserve"> stress agent. Priming </w:t>
      </w:r>
      <w:r>
        <w:rPr>
          <w:rFonts w:cs="Arial"/>
          <w:szCs w:val="22"/>
        </w:rPr>
        <w:t xml:space="preserve">has been shown e.g. for </w:t>
      </w:r>
      <w:r w:rsidRPr="008219BB">
        <w:rPr>
          <w:rFonts w:cs="Arial"/>
          <w:szCs w:val="22"/>
        </w:rPr>
        <w:t>β-aminobutyric acid (BABA), which improves plants ability to resist biotic and abiotic stresses</w:t>
      </w:r>
      <w:r w:rsidRPr="008219BB">
        <w:rPr>
          <w:rFonts w:cs="Arial"/>
          <w:noProof/>
          <w:szCs w:val="22"/>
        </w:rPr>
        <w:t xml:space="preserve"> (Ton et al. 2005)</w:t>
      </w:r>
      <w:r>
        <w:rPr>
          <w:rFonts w:cs="Arial"/>
          <w:noProof/>
          <w:szCs w:val="22"/>
        </w:rPr>
        <w:t>. T</w:t>
      </w:r>
      <w:r w:rsidRPr="008219BB">
        <w:rPr>
          <w:rFonts w:cs="Arial"/>
          <w:noProof/>
          <w:szCs w:val="22"/>
        </w:rPr>
        <w:t>he mobile metabolite azelaic acid primes the plant for higher salicylic acid</w:t>
      </w:r>
      <w:r>
        <w:rPr>
          <w:rFonts w:cs="Arial"/>
          <w:noProof/>
          <w:szCs w:val="22"/>
        </w:rPr>
        <w:t>-related</w:t>
      </w:r>
      <w:r w:rsidRPr="008219BB">
        <w:rPr>
          <w:rFonts w:cs="Arial"/>
          <w:noProof/>
          <w:szCs w:val="22"/>
        </w:rPr>
        <w:t xml:space="preserve"> defense response (Jung et al. 2009)</w:t>
      </w:r>
      <w:r>
        <w:rPr>
          <w:rFonts w:cs="Arial"/>
          <w:noProof/>
          <w:szCs w:val="22"/>
        </w:rPr>
        <w:t>. Also</w:t>
      </w:r>
      <w:r w:rsidRPr="008219BB">
        <w:rPr>
          <w:rFonts w:cs="Arial"/>
          <w:noProof/>
          <w:szCs w:val="22"/>
        </w:rPr>
        <w:t xml:space="preserve"> pipecolic acid</w:t>
      </w:r>
      <w:r>
        <w:rPr>
          <w:rFonts w:cs="Arial"/>
          <w:noProof/>
          <w:szCs w:val="22"/>
        </w:rPr>
        <w:t xml:space="preserve"> </w:t>
      </w:r>
      <w:r>
        <w:rPr>
          <w:rFonts w:cs="Arial"/>
          <w:noProof/>
          <w:szCs w:val="22"/>
        </w:rPr>
        <w:lastRenderedPageBreak/>
        <w:t>can</w:t>
      </w:r>
      <w:r w:rsidRPr="008219BB">
        <w:rPr>
          <w:rFonts w:cs="Arial"/>
          <w:noProof/>
          <w:szCs w:val="22"/>
        </w:rPr>
        <w:t xml:space="preserve"> sensit</w:t>
      </w:r>
      <w:r>
        <w:rPr>
          <w:rFonts w:cs="Arial"/>
          <w:noProof/>
          <w:szCs w:val="22"/>
        </w:rPr>
        <w:t>i</w:t>
      </w:r>
      <w:r w:rsidRPr="008219BB">
        <w:rPr>
          <w:rFonts w:cs="Arial"/>
          <w:noProof/>
          <w:szCs w:val="22"/>
        </w:rPr>
        <w:t xml:space="preserve">ze plants for systemic aquired resistance (Navarova et al. 2012). Other priming inducers comprise biocontrol bacteria, which can prepare the plant for an upcoming pathogen attack (Ryu et al. 2003). In the last years, many molecular aspects of priming were </w:t>
      </w:r>
      <w:r w:rsidRPr="008219BB">
        <w:rPr>
          <w:rFonts w:cs="Arial"/>
          <w:szCs w:val="22"/>
        </w:rPr>
        <w:t xml:space="preserve">discovered, including an involvement of MAP-kinases, modifications of histones in promoter regions of defense-associated transcription factors, and other epigenetic mechanisms conveying a trans-generational memory effect </w:t>
      </w:r>
      <w:r w:rsidRPr="008219BB">
        <w:rPr>
          <w:rFonts w:cs="Arial"/>
          <w:noProof/>
          <w:szCs w:val="22"/>
        </w:rPr>
        <w:t>(Beckers et al. 2009; Jaskiewicz et al. 2011; Luna et al. 2012)</w:t>
      </w:r>
      <w:r w:rsidRPr="008219BB">
        <w:rPr>
          <w:rFonts w:cs="Arial"/>
          <w:szCs w:val="22"/>
        </w:rPr>
        <w:t xml:space="preserve">. </w:t>
      </w:r>
    </w:p>
    <w:p w:rsidR="001D520E" w:rsidRPr="008219BB" w:rsidRDefault="001D520E" w:rsidP="001D520E">
      <w:pPr>
        <w:rPr>
          <w:rFonts w:cs="Arial"/>
          <w:szCs w:val="22"/>
        </w:rPr>
      </w:pPr>
      <w:r>
        <w:rPr>
          <w:rFonts w:cs="Arial"/>
          <w:szCs w:val="22"/>
        </w:rPr>
        <w:t>Several reports documented that also AHLs are able to function as priming agents. AHLs</w:t>
      </w:r>
      <w:r w:rsidRPr="008219BB">
        <w:rPr>
          <w:rFonts w:cs="Arial"/>
          <w:szCs w:val="22"/>
        </w:rPr>
        <w:t xml:space="preserve"> induce resistance against a broad spectrum of plant pathogens in different plant species. </w:t>
      </w:r>
      <w:r>
        <w:rPr>
          <w:rFonts w:cs="Arial"/>
          <w:szCs w:val="22"/>
        </w:rPr>
        <w:t xml:space="preserve">Short and medium length carbon chain </w:t>
      </w:r>
      <w:r w:rsidRPr="008219BB">
        <w:rPr>
          <w:rFonts w:cs="Arial"/>
          <w:szCs w:val="22"/>
        </w:rPr>
        <w:t>AHL</w:t>
      </w:r>
      <w:r>
        <w:rPr>
          <w:rFonts w:cs="Arial"/>
          <w:szCs w:val="22"/>
        </w:rPr>
        <w:t>s</w:t>
      </w:r>
      <w:r w:rsidRPr="008219BB">
        <w:rPr>
          <w:rFonts w:cs="Arial"/>
          <w:szCs w:val="22"/>
        </w:rPr>
        <w:t xml:space="preserve"> produced by </w:t>
      </w:r>
      <w:r w:rsidRPr="008219BB">
        <w:rPr>
          <w:rFonts w:cs="Arial"/>
          <w:i/>
          <w:szCs w:val="22"/>
        </w:rPr>
        <w:t>Serratia liquefaciens</w:t>
      </w:r>
      <w:r w:rsidRPr="008219BB">
        <w:rPr>
          <w:rFonts w:cs="Arial"/>
          <w:szCs w:val="22"/>
        </w:rPr>
        <w:t xml:space="preserve"> strain MG1 and </w:t>
      </w:r>
      <w:r w:rsidRPr="008219BB">
        <w:rPr>
          <w:rFonts w:cs="Arial"/>
          <w:i/>
          <w:szCs w:val="22"/>
        </w:rPr>
        <w:t>Pseudomonas putida</w:t>
      </w:r>
      <w:r w:rsidRPr="008219BB">
        <w:rPr>
          <w:rFonts w:cs="Arial"/>
          <w:szCs w:val="22"/>
        </w:rPr>
        <w:t xml:space="preserve"> strain IsoF were responsible for an induced systemic resistance against the fungal leaf pathogen </w:t>
      </w:r>
      <w:r w:rsidRPr="008219BB">
        <w:rPr>
          <w:rFonts w:cs="Arial"/>
          <w:i/>
          <w:szCs w:val="22"/>
        </w:rPr>
        <w:t>Alternaria alternat</w:t>
      </w:r>
      <w:r>
        <w:rPr>
          <w:rFonts w:cs="Arial"/>
          <w:i/>
          <w:szCs w:val="22"/>
        </w:rPr>
        <w:t>a</w:t>
      </w:r>
      <w:r w:rsidRPr="008219BB">
        <w:rPr>
          <w:rFonts w:cs="Arial"/>
          <w:i/>
          <w:szCs w:val="22"/>
        </w:rPr>
        <w:t xml:space="preserve"> </w:t>
      </w:r>
      <w:r w:rsidRPr="008219BB">
        <w:rPr>
          <w:rFonts w:cs="Arial"/>
          <w:szCs w:val="22"/>
        </w:rPr>
        <w:t xml:space="preserve">in tomato plants </w:t>
      </w:r>
      <w:r w:rsidRPr="008219BB">
        <w:rPr>
          <w:rFonts w:cs="Arial"/>
          <w:noProof/>
          <w:szCs w:val="22"/>
        </w:rPr>
        <w:t>(Hartmann et al. 2004; Schuhegger et al. 2006)</w:t>
      </w:r>
      <w:r w:rsidRPr="008219BB">
        <w:rPr>
          <w:rFonts w:cs="Arial"/>
          <w:szCs w:val="22"/>
        </w:rPr>
        <w:t xml:space="preserve">. </w:t>
      </w:r>
      <w:r>
        <w:rPr>
          <w:rFonts w:cs="Arial"/>
          <w:szCs w:val="22"/>
        </w:rPr>
        <w:t>The</w:t>
      </w:r>
      <w:r w:rsidRPr="008219BB">
        <w:rPr>
          <w:rFonts w:cs="Arial"/>
          <w:szCs w:val="22"/>
        </w:rPr>
        <w:t xml:space="preserve"> AHL-induced resistance was proposed to depend on salicylic acid (SA)- and ethylene-related defense reactions. Pang et al., (2009) </w:t>
      </w:r>
      <w:r>
        <w:rPr>
          <w:rFonts w:cs="Arial"/>
          <w:szCs w:val="22"/>
        </w:rPr>
        <w:t>demonstrated</w:t>
      </w:r>
      <w:r w:rsidRPr="008219BB">
        <w:rPr>
          <w:rFonts w:cs="Arial"/>
          <w:szCs w:val="22"/>
        </w:rPr>
        <w:t xml:space="preserve"> resistance induction by AHLs produced by the strain </w:t>
      </w:r>
      <w:r w:rsidRPr="008219BB">
        <w:rPr>
          <w:rFonts w:cs="Arial"/>
          <w:i/>
          <w:szCs w:val="22"/>
        </w:rPr>
        <w:t>Serratia plymuthica</w:t>
      </w:r>
      <w:r w:rsidRPr="008219BB">
        <w:rPr>
          <w:rFonts w:cs="Arial"/>
          <w:szCs w:val="22"/>
        </w:rPr>
        <w:t xml:space="preserve"> HRO-C48, which protected cucumber plants against the damping-off disease-causing </w:t>
      </w:r>
      <w:r w:rsidRPr="008219BB">
        <w:rPr>
          <w:rFonts w:cs="Arial"/>
          <w:i/>
          <w:szCs w:val="22"/>
        </w:rPr>
        <w:t>Pythium apahnidermatum</w:t>
      </w:r>
      <w:r w:rsidRPr="008219BB">
        <w:rPr>
          <w:rFonts w:cs="Arial"/>
          <w:szCs w:val="22"/>
        </w:rPr>
        <w:t xml:space="preserve"> </w:t>
      </w:r>
      <w:r w:rsidRPr="008219BB">
        <w:rPr>
          <w:rFonts w:cs="Arial"/>
          <w:noProof/>
          <w:szCs w:val="22"/>
        </w:rPr>
        <w:t>(Pang et al. 2009)</w:t>
      </w:r>
      <w:r w:rsidRPr="008219BB">
        <w:rPr>
          <w:rFonts w:cs="Arial"/>
          <w:szCs w:val="22"/>
        </w:rPr>
        <w:t xml:space="preserve">. Furthermore, the authors described an AHL-dependent stimulation of systemic resistance to </w:t>
      </w:r>
      <w:r w:rsidRPr="008219BB">
        <w:rPr>
          <w:rFonts w:cs="Arial"/>
          <w:i/>
          <w:szCs w:val="22"/>
        </w:rPr>
        <w:t>Botrytis cinerea</w:t>
      </w:r>
      <w:r w:rsidRPr="008219BB">
        <w:rPr>
          <w:rFonts w:cs="Arial"/>
          <w:szCs w:val="22"/>
        </w:rPr>
        <w:t xml:space="preserve"> in beans and tomatoes </w:t>
      </w:r>
      <w:r w:rsidRPr="008219BB">
        <w:rPr>
          <w:rFonts w:cs="Arial"/>
          <w:noProof/>
          <w:szCs w:val="22"/>
        </w:rPr>
        <w:t>(Pang et al. 2009)</w:t>
      </w:r>
      <w:r w:rsidRPr="008219BB">
        <w:rPr>
          <w:rFonts w:cs="Arial"/>
          <w:szCs w:val="22"/>
        </w:rPr>
        <w:t xml:space="preserve">. In </w:t>
      </w:r>
      <w:r>
        <w:rPr>
          <w:rFonts w:cs="Arial"/>
          <w:szCs w:val="22"/>
        </w:rPr>
        <w:t>addition</w:t>
      </w:r>
      <w:r w:rsidRPr="008219BB">
        <w:rPr>
          <w:rFonts w:cs="Arial"/>
          <w:szCs w:val="22"/>
        </w:rPr>
        <w:t xml:space="preserve"> to AHL-producing bacteria, pure </w:t>
      </w:r>
      <w:r>
        <w:rPr>
          <w:rFonts w:cs="Arial"/>
          <w:szCs w:val="22"/>
        </w:rPr>
        <w:t>AHL-</w:t>
      </w:r>
      <w:r w:rsidRPr="008219BB">
        <w:rPr>
          <w:rFonts w:cs="Arial"/>
          <w:szCs w:val="22"/>
        </w:rPr>
        <w:t xml:space="preserve">molecules also have </w:t>
      </w:r>
      <w:r>
        <w:rPr>
          <w:rFonts w:cs="Arial"/>
          <w:szCs w:val="22"/>
        </w:rPr>
        <w:t xml:space="preserve">resistance </w:t>
      </w:r>
      <w:r w:rsidRPr="008219BB">
        <w:rPr>
          <w:rFonts w:cs="Arial"/>
          <w:szCs w:val="22"/>
        </w:rPr>
        <w:t>priming</w:t>
      </w:r>
      <w:r>
        <w:rPr>
          <w:rFonts w:cs="Arial"/>
          <w:szCs w:val="22"/>
        </w:rPr>
        <w:t xml:space="preserve"> </w:t>
      </w:r>
      <w:r w:rsidRPr="008219BB">
        <w:rPr>
          <w:rFonts w:cs="Arial"/>
          <w:szCs w:val="22"/>
        </w:rPr>
        <w:t>properties. The long chain AHL</w:t>
      </w:r>
      <w:r>
        <w:rPr>
          <w:rFonts w:cs="Arial"/>
          <w:szCs w:val="22"/>
        </w:rPr>
        <w:t>,</w:t>
      </w:r>
      <w:r w:rsidRPr="008219BB">
        <w:rPr>
          <w:rFonts w:cs="Arial"/>
          <w:szCs w:val="22"/>
        </w:rPr>
        <w:t xml:space="preserve"> oxo-C14-HSL</w:t>
      </w:r>
      <w:r>
        <w:rPr>
          <w:rFonts w:cs="Arial"/>
          <w:szCs w:val="22"/>
        </w:rPr>
        <w:t>,</w:t>
      </w:r>
      <w:r w:rsidRPr="008219BB">
        <w:rPr>
          <w:rFonts w:cs="Arial"/>
          <w:szCs w:val="22"/>
        </w:rPr>
        <w:t xml:space="preserve"> activates resistance towards different obligate biotrophic pathogens such as </w:t>
      </w:r>
      <w:r w:rsidRPr="008219BB">
        <w:rPr>
          <w:rFonts w:cs="Arial"/>
          <w:i/>
          <w:szCs w:val="22"/>
        </w:rPr>
        <w:t>Golovinomyces orontii</w:t>
      </w:r>
      <w:r w:rsidRPr="008219BB">
        <w:rPr>
          <w:rFonts w:cs="Arial"/>
          <w:szCs w:val="22"/>
        </w:rPr>
        <w:t xml:space="preserve"> and </w:t>
      </w:r>
      <w:r w:rsidRPr="008219BB">
        <w:rPr>
          <w:rFonts w:cs="Arial"/>
          <w:i/>
          <w:szCs w:val="22"/>
        </w:rPr>
        <w:t>Blumeria graminis</w:t>
      </w:r>
      <w:r w:rsidRPr="008219BB">
        <w:rPr>
          <w:rFonts w:cs="Arial"/>
          <w:szCs w:val="22"/>
        </w:rPr>
        <w:t xml:space="preserve"> in </w:t>
      </w:r>
      <w:r w:rsidRPr="008219BB">
        <w:rPr>
          <w:rFonts w:cs="Arial"/>
          <w:i/>
          <w:szCs w:val="22"/>
        </w:rPr>
        <w:t>Arabidopsis</w:t>
      </w:r>
      <w:r w:rsidRPr="008219BB">
        <w:rPr>
          <w:rFonts w:cs="Arial"/>
          <w:szCs w:val="22"/>
        </w:rPr>
        <w:t xml:space="preserve"> and barley, respectively, as well as against the hemibiotrophic pathogen </w:t>
      </w:r>
      <w:r w:rsidRPr="008219BB">
        <w:rPr>
          <w:rFonts w:cs="Arial"/>
          <w:i/>
          <w:szCs w:val="22"/>
        </w:rPr>
        <w:t xml:space="preserve">Pseudomonas syringae </w:t>
      </w:r>
      <w:r w:rsidRPr="008219BB">
        <w:rPr>
          <w:rFonts w:cs="Arial"/>
          <w:szCs w:val="22"/>
        </w:rPr>
        <w:t>pathovar</w:t>
      </w:r>
      <w:r w:rsidRPr="008219BB">
        <w:rPr>
          <w:rFonts w:cs="Arial"/>
          <w:i/>
          <w:szCs w:val="22"/>
        </w:rPr>
        <w:t xml:space="preserve"> tomato</w:t>
      </w:r>
      <w:r w:rsidRPr="008219BB">
        <w:rPr>
          <w:rFonts w:cs="Arial"/>
          <w:szCs w:val="22"/>
        </w:rPr>
        <w:t xml:space="preserve"> (</w:t>
      </w:r>
      <w:r w:rsidRPr="008219BB">
        <w:rPr>
          <w:rFonts w:cs="Arial"/>
          <w:i/>
          <w:szCs w:val="22"/>
        </w:rPr>
        <w:t>Pst</w:t>
      </w:r>
      <w:r w:rsidRPr="008219BB">
        <w:rPr>
          <w:rFonts w:cs="Arial"/>
          <w:szCs w:val="22"/>
        </w:rPr>
        <w:t xml:space="preserve">) in </w:t>
      </w:r>
      <w:r w:rsidRPr="008219BB">
        <w:rPr>
          <w:rFonts w:cs="Arial"/>
          <w:i/>
          <w:szCs w:val="22"/>
        </w:rPr>
        <w:t>Arabidopsis</w:t>
      </w:r>
      <w:r w:rsidRPr="008219BB">
        <w:rPr>
          <w:rFonts w:cs="Arial"/>
          <w:szCs w:val="22"/>
        </w:rPr>
        <w:t xml:space="preserve"> </w:t>
      </w:r>
      <w:r w:rsidRPr="008219BB">
        <w:rPr>
          <w:rFonts w:cs="Arial"/>
          <w:noProof/>
          <w:szCs w:val="22"/>
        </w:rPr>
        <w:t>(Schenk et al. 2014; Schikora et al. 2011)</w:t>
      </w:r>
      <w:r w:rsidRPr="008219BB">
        <w:rPr>
          <w:rFonts w:cs="Arial"/>
          <w:szCs w:val="22"/>
        </w:rPr>
        <w:t xml:space="preserve">. Similarly to previous observations, the resistance against </w:t>
      </w:r>
      <w:r w:rsidRPr="008219BB">
        <w:rPr>
          <w:rFonts w:cs="Arial"/>
          <w:i/>
          <w:szCs w:val="22"/>
        </w:rPr>
        <w:t>Pst</w:t>
      </w:r>
      <w:r w:rsidRPr="008219BB">
        <w:rPr>
          <w:rFonts w:cs="Arial"/>
          <w:szCs w:val="22"/>
        </w:rPr>
        <w:t xml:space="preserve"> was enhanced also by the oxo-C14-HSL-producing </w:t>
      </w:r>
      <w:r w:rsidRPr="008219BB">
        <w:rPr>
          <w:rFonts w:cs="Arial"/>
          <w:i/>
          <w:szCs w:val="22"/>
        </w:rPr>
        <w:t>Sinorhizobium meliloti</w:t>
      </w:r>
      <w:r w:rsidRPr="008219BB">
        <w:rPr>
          <w:rFonts w:cs="Arial"/>
          <w:szCs w:val="22"/>
        </w:rPr>
        <w:t xml:space="preserve"> strain </w:t>
      </w:r>
      <w:r w:rsidRPr="008219BB">
        <w:rPr>
          <w:rFonts w:cs="Arial"/>
          <w:i/>
          <w:szCs w:val="22"/>
        </w:rPr>
        <w:t>expR</w:t>
      </w:r>
      <w:r w:rsidRPr="008219BB">
        <w:rPr>
          <w:rFonts w:cs="Arial"/>
          <w:szCs w:val="22"/>
        </w:rPr>
        <w:t>+</w:t>
      </w:r>
      <w:r>
        <w:rPr>
          <w:rFonts w:cs="Arial"/>
          <w:szCs w:val="22"/>
        </w:rPr>
        <w:t xml:space="preserve"> in</w:t>
      </w:r>
      <w:r w:rsidRPr="008219BB">
        <w:rPr>
          <w:rFonts w:cs="Arial"/>
          <w:szCs w:val="22"/>
        </w:rPr>
        <w:t xml:space="preserve"> </w:t>
      </w:r>
      <w:r w:rsidRPr="008219BB">
        <w:rPr>
          <w:rFonts w:cs="Arial"/>
          <w:i/>
          <w:szCs w:val="22"/>
        </w:rPr>
        <w:t>Arabidopsis</w:t>
      </w:r>
      <w:r w:rsidRPr="008219BB">
        <w:rPr>
          <w:rFonts w:cs="Arial"/>
          <w:szCs w:val="22"/>
        </w:rPr>
        <w:t xml:space="preserve"> </w:t>
      </w:r>
      <w:r w:rsidRPr="008219BB">
        <w:rPr>
          <w:rFonts w:cs="Arial"/>
          <w:noProof/>
          <w:szCs w:val="22"/>
        </w:rPr>
        <w:t>(Zarkani et al. 2013)</w:t>
      </w:r>
      <w:r w:rsidRPr="008219BB">
        <w:rPr>
          <w:rFonts w:cs="Arial"/>
          <w:szCs w:val="22"/>
        </w:rPr>
        <w:t xml:space="preserve">. The </w:t>
      </w:r>
      <w:r>
        <w:rPr>
          <w:rFonts w:cs="Arial"/>
          <w:szCs w:val="22"/>
        </w:rPr>
        <w:t xml:space="preserve">potential </w:t>
      </w:r>
      <w:r w:rsidRPr="008219BB">
        <w:rPr>
          <w:rFonts w:cs="Arial"/>
          <w:szCs w:val="22"/>
        </w:rPr>
        <w:t xml:space="preserve">significance of AHL-priming for agriculture became </w:t>
      </w:r>
      <w:r>
        <w:rPr>
          <w:rFonts w:cs="Arial"/>
          <w:szCs w:val="22"/>
        </w:rPr>
        <w:t xml:space="preserve">more obvious with </w:t>
      </w:r>
      <w:r w:rsidRPr="008219BB">
        <w:rPr>
          <w:rFonts w:cs="Arial"/>
          <w:szCs w:val="22"/>
        </w:rPr>
        <w:t xml:space="preserve">a study on the resistance against </w:t>
      </w:r>
      <w:r w:rsidRPr="008219BB">
        <w:rPr>
          <w:rFonts w:cs="Arial"/>
          <w:i/>
          <w:szCs w:val="22"/>
        </w:rPr>
        <w:t>Blumeria graminis</w:t>
      </w:r>
      <w:r w:rsidRPr="008219BB">
        <w:rPr>
          <w:rFonts w:cs="Arial"/>
          <w:szCs w:val="22"/>
        </w:rPr>
        <w:t xml:space="preserve">, </w:t>
      </w:r>
      <w:r w:rsidRPr="008219BB">
        <w:rPr>
          <w:rFonts w:cs="Arial"/>
          <w:i/>
          <w:szCs w:val="22"/>
        </w:rPr>
        <w:t>Puccinia graminis</w:t>
      </w:r>
      <w:r w:rsidRPr="008219BB">
        <w:rPr>
          <w:rFonts w:cs="Arial"/>
          <w:szCs w:val="22"/>
        </w:rPr>
        <w:t xml:space="preserve"> and </w:t>
      </w:r>
      <w:r w:rsidRPr="008219BB">
        <w:rPr>
          <w:rFonts w:cs="Arial"/>
          <w:i/>
          <w:szCs w:val="22"/>
        </w:rPr>
        <w:t>Phytophtora infestan</w:t>
      </w:r>
      <w:r>
        <w:rPr>
          <w:rFonts w:cs="Arial"/>
          <w:i/>
          <w:szCs w:val="22"/>
        </w:rPr>
        <w:t>s</w:t>
      </w:r>
      <w:r w:rsidRPr="008219BB">
        <w:rPr>
          <w:rFonts w:cs="Arial"/>
          <w:i/>
          <w:szCs w:val="22"/>
        </w:rPr>
        <w:t>,</w:t>
      </w:r>
      <w:r w:rsidRPr="008219BB">
        <w:rPr>
          <w:rFonts w:cs="Arial"/>
          <w:szCs w:val="22"/>
        </w:rPr>
        <w:t xml:space="preserve"> induced by the same AHL-producing </w:t>
      </w:r>
      <w:r w:rsidRPr="008219BB">
        <w:rPr>
          <w:rFonts w:cs="Arial"/>
          <w:i/>
          <w:szCs w:val="22"/>
        </w:rPr>
        <w:t>S. meliloti</w:t>
      </w:r>
      <w:r w:rsidRPr="008219BB">
        <w:rPr>
          <w:rFonts w:cs="Arial"/>
          <w:szCs w:val="22"/>
        </w:rPr>
        <w:t xml:space="preserve"> strain </w:t>
      </w:r>
      <w:r w:rsidRPr="008219BB">
        <w:rPr>
          <w:rFonts w:cs="Arial"/>
          <w:i/>
          <w:szCs w:val="22"/>
        </w:rPr>
        <w:t>expR</w:t>
      </w:r>
      <w:r w:rsidRPr="008219BB">
        <w:rPr>
          <w:rFonts w:cs="Arial"/>
          <w:szCs w:val="22"/>
        </w:rPr>
        <w:t>+</w:t>
      </w:r>
      <w:r>
        <w:rPr>
          <w:rFonts w:cs="Arial"/>
          <w:szCs w:val="22"/>
        </w:rPr>
        <w:t>,</w:t>
      </w:r>
      <w:r w:rsidRPr="008219BB">
        <w:rPr>
          <w:rFonts w:cs="Arial"/>
          <w:szCs w:val="22"/>
        </w:rPr>
        <w:t xml:space="preserve"> </w:t>
      </w:r>
      <w:r>
        <w:rPr>
          <w:rFonts w:cs="Arial"/>
          <w:szCs w:val="22"/>
        </w:rPr>
        <w:t xml:space="preserve">which induced resistance </w:t>
      </w:r>
      <w:r w:rsidRPr="008219BB">
        <w:rPr>
          <w:rFonts w:cs="Arial"/>
          <w:szCs w:val="22"/>
        </w:rPr>
        <w:t xml:space="preserve">in barley, wheat and tomato </w:t>
      </w:r>
      <w:r w:rsidRPr="008219BB">
        <w:rPr>
          <w:rFonts w:cs="Arial"/>
          <w:noProof/>
          <w:szCs w:val="22"/>
        </w:rPr>
        <w:t>(Hernández-Reyes et al. 2014)</w:t>
      </w:r>
      <w:r w:rsidRPr="008219BB">
        <w:rPr>
          <w:rFonts w:cs="Arial"/>
          <w:szCs w:val="22"/>
        </w:rPr>
        <w:t xml:space="preserve">. The AHL-effects triggered by </w:t>
      </w:r>
      <w:r w:rsidRPr="008219BB">
        <w:rPr>
          <w:rFonts w:cs="Arial"/>
          <w:i/>
          <w:szCs w:val="22"/>
        </w:rPr>
        <w:t>S.</w:t>
      </w:r>
      <w:r>
        <w:rPr>
          <w:rFonts w:cs="Arial"/>
          <w:i/>
          <w:szCs w:val="22"/>
        </w:rPr>
        <w:t xml:space="preserve"> </w:t>
      </w:r>
      <w:r w:rsidRPr="008219BB">
        <w:rPr>
          <w:rFonts w:cs="Arial"/>
          <w:i/>
          <w:szCs w:val="22"/>
        </w:rPr>
        <w:t>meliloti expR+</w:t>
      </w:r>
      <w:r w:rsidRPr="008219BB">
        <w:rPr>
          <w:rFonts w:cs="Arial"/>
          <w:szCs w:val="22"/>
        </w:rPr>
        <w:t xml:space="preserve"> seems to be based on an enhanced production of reactive oxygen species (ROS). The induced accumulation of ROS in AHL-primed plants was observed in barley plants, which showed an elevated level of hypersensitive response (HR) after infection with </w:t>
      </w:r>
      <w:r w:rsidRPr="008219BB">
        <w:rPr>
          <w:rFonts w:cs="Arial"/>
          <w:i/>
          <w:szCs w:val="22"/>
        </w:rPr>
        <w:t>Blumeria graminis</w:t>
      </w:r>
      <w:r w:rsidRPr="008219BB">
        <w:rPr>
          <w:rFonts w:cs="Arial"/>
          <w:szCs w:val="22"/>
        </w:rPr>
        <w:t>. This high level of HR correlated with increased number of vesicle formation at the si</w:t>
      </w:r>
      <w:r>
        <w:rPr>
          <w:rFonts w:cs="Arial"/>
          <w:szCs w:val="22"/>
        </w:rPr>
        <w:t>t</w:t>
      </w:r>
      <w:r w:rsidRPr="008219BB">
        <w:rPr>
          <w:rFonts w:cs="Arial"/>
          <w:szCs w:val="22"/>
        </w:rPr>
        <w:t>e of infection and increased transcription of</w:t>
      </w:r>
      <w:r>
        <w:rPr>
          <w:rFonts w:cs="Arial"/>
          <w:szCs w:val="22"/>
        </w:rPr>
        <w:t xml:space="preserve"> the</w:t>
      </w:r>
      <w:r w:rsidRPr="008219BB">
        <w:rPr>
          <w:rFonts w:cs="Arial"/>
          <w:szCs w:val="22"/>
        </w:rPr>
        <w:t xml:space="preserve"> </w:t>
      </w:r>
      <w:r w:rsidRPr="008219BB">
        <w:rPr>
          <w:rFonts w:cs="Arial"/>
          <w:i/>
          <w:szCs w:val="22"/>
        </w:rPr>
        <w:t>Peroxidase7</w:t>
      </w:r>
      <w:r w:rsidRPr="008219BB">
        <w:rPr>
          <w:rFonts w:cs="Arial"/>
          <w:szCs w:val="22"/>
        </w:rPr>
        <w:t xml:space="preserve"> (</w:t>
      </w:r>
      <w:r w:rsidRPr="008219BB">
        <w:rPr>
          <w:rFonts w:cs="Arial"/>
          <w:i/>
          <w:szCs w:val="22"/>
        </w:rPr>
        <w:t>HvPRX7</w:t>
      </w:r>
      <w:r w:rsidRPr="008219BB">
        <w:rPr>
          <w:rFonts w:cs="Arial"/>
          <w:szCs w:val="22"/>
        </w:rPr>
        <w:t xml:space="preserve">) gene </w:t>
      </w:r>
      <w:r w:rsidRPr="008219BB">
        <w:rPr>
          <w:rFonts w:cs="Arial"/>
          <w:noProof/>
          <w:szCs w:val="22"/>
        </w:rPr>
        <w:t xml:space="preserve">(Hernández-Reyes et </w:t>
      </w:r>
      <w:r w:rsidRPr="008219BB">
        <w:rPr>
          <w:rFonts w:cs="Arial"/>
          <w:noProof/>
          <w:szCs w:val="22"/>
        </w:rPr>
        <w:lastRenderedPageBreak/>
        <w:t>al. 2014)</w:t>
      </w:r>
      <w:r w:rsidRPr="008219BB">
        <w:rPr>
          <w:rFonts w:cs="Arial"/>
          <w:szCs w:val="22"/>
        </w:rPr>
        <w:t xml:space="preserve">. Very recently, the molecular mechanism of the AHL-induced priming was deciphered in </w:t>
      </w:r>
      <w:r w:rsidRPr="008219BB">
        <w:rPr>
          <w:rFonts w:cs="Arial"/>
          <w:i/>
          <w:szCs w:val="22"/>
        </w:rPr>
        <w:t>Arabidopsis</w:t>
      </w:r>
      <w:r w:rsidRPr="008219BB">
        <w:rPr>
          <w:rFonts w:cs="Arial"/>
          <w:szCs w:val="22"/>
        </w:rPr>
        <w:t xml:space="preserve"> </w:t>
      </w:r>
      <w:r w:rsidRPr="008219BB">
        <w:rPr>
          <w:rFonts w:cs="Arial"/>
          <w:noProof/>
          <w:szCs w:val="22"/>
        </w:rPr>
        <w:t>(Schenk and Schikora 2015)</w:t>
      </w:r>
      <w:r>
        <w:rPr>
          <w:rFonts w:cs="Arial"/>
          <w:szCs w:val="22"/>
        </w:rPr>
        <w:t>, we postulated a</w:t>
      </w:r>
      <w:r w:rsidRPr="008219BB">
        <w:rPr>
          <w:rFonts w:cs="Arial"/>
          <w:szCs w:val="22"/>
        </w:rPr>
        <w:t xml:space="preserve"> SA and oxylipin-dependent pathway, which could activate cell wall and stomata-based defense responses </w:t>
      </w:r>
      <w:r w:rsidRPr="008219BB">
        <w:rPr>
          <w:rFonts w:cs="Arial"/>
          <w:noProof/>
          <w:szCs w:val="22"/>
        </w:rPr>
        <w:t>(Schenk et al. 2014)</w:t>
      </w:r>
      <w:r w:rsidRPr="008219BB">
        <w:rPr>
          <w:rFonts w:cs="Arial"/>
          <w:szCs w:val="22"/>
        </w:rPr>
        <w:t xml:space="preserve">. Schuhegger and colleagues </w:t>
      </w:r>
      <w:r>
        <w:rPr>
          <w:rFonts w:cs="Arial"/>
          <w:szCs w:val="22"/>
        </w:rPr>
        <w:t>also suggested also t</w:t>
      </w:r>
      <w:r w:rsidRPr="008219BB">
        <w:rPr>
          <w:rFonts w:cs="Arial"/>
          <w:szCs w:val="22"/>
        </w:rPr>
        <w:t xml:space="preserve">he involvement of SA in AHL-systemic effects on plants in tomato plants </w:t>
      </w:r>
      <w:r w:rsidRPr="008219BB">
        <w:rPr>
          <w:rFonts w:cs="Arial"/>
          <w:noProof/>
          <w:szCs w:val="22"/>
        </w:rPr>
        <w:t>(Schuhegger et al. 2006)</w:t>
      </w:r>
      <w:r>
        <w:rPr>
          <w:rFonts w:cs="Arial"/>
          <w:szCs w:val="22"/>
        </w:rPr>
        <w:t xml:space="preserve">. Those first findings were later corroborated </w:t>
      </w:r>
      <w:r w:rsidRPr="008219BB">
        <w:rPr>
          <w:rFonts w:cs="Arial"/>
          <w:szCs w:val="22"/>
        </w:rPr>
        <w:t>by mutant analysis</w:t>
      </w:r>
      <w:r>
        <w:rPr>
          <w:rFonts w:cs="Arial"/>
          <w:szCs w:val="22"/>
        </w:rPr>
        <w:t xml:space="preserve"> in</w:t>
      </w:r>
      <w:r w:rsidRPr="008219BB">
        <w:rPr>
          <w:rFonts w:cs="Arial"/>
          <w:szCs w:val="22"/>
        </w:rPr>
        <w:t xml:space="preserve"> </w:t>
      </w:r>
      <w:r w:rsidRPr="005E40C4">
        <w:rPr>
          <w:rFonts w:cs="Arial"/>
          <w:i/>
          <w:szCs w:val="22"/>
        </w:rPr>
        <w:t>Arabidopsis</w:t>
      </w:r>
      <w:r w:rsidRPr="006619E2">
        <w:rPr>
          <w:rFonts w:cs="Arial"/>
          <w:szCs w:val="22"/>
        </w:rPr>
        <w:t>:</w:t>
      </w:r>
      <w:r>
        <w:rPr>
          <w:rFonts w:cs="Arial"/>
          <w:szCs w:val="22"/>
        </w:rPr>
        <w:t xml:space="preserve"> m</w:t>
      </w:r>
      <w:r w:rsidRPr="008219BB">
        <w:rPr>
          <w:rFonts w:cs="Arial"/>
          <w:szCs w:val="22"/>
        </w:rPr>
        <w:t xml:space="preserve">utants impaired in SA-signaling, such as </w:t>
      </w:r>
      <w:r w:rsidRPr="008219BB">
        <w:rPr>
          <w:rFonts w:cs="Arial"/>
          <w:i/>
          <w:szCs w:val="22"/>
        </w:rPr>
        <w:t>npr1-1</w:t>
      </w:r>
      <w:r w:rsidRPr="008219BB">
        <w:rPr>
          <w:rFonts w:cs="Arial"/>
          <w:szCs w:val="22"/>
        </w:rPr>
        <w:t xml:space="preserve"> or </w:t>
      </w:r>
      <w:r w:rsidRPr="008219BB">
        <w:rPr>
          <w:rFonts w:cs="Arial"/>
          <w:i/>
          <w:szCs w:val="22"/>
        </w:rPr>
        <w:t>tga2/5/6,</w:t>
      </w:r>
      <w:r w:rsidRPr="008219BB">
        <w:rPr>
          <w:rFonts w:cs="Arial"/>
          <w:szCs w:val="22"/>
        </w:rPr>
        <w:t xml:space="preserve"> as well as the mutant </w:t>
      </w:r>
      <w:r>
        <w:rPr>
          <w:rFonts w:cs="Arial"/>
          <w:szCs w:val="22"/>
        </w:rPr>
        <w:t xml:space="preserve">in </w:t>
      </w:r>
      <w:r w:rsidRPr="008219BB">
        <w:rPr>
          <w:rFonts w:cs="Arial"/>
          <w:szCs w:val="22"/>
        </w:rPr>
        <w:t>oxylipin</w:t>
      </w:r>
      <w:r>
        <w:rPr>
          <w:rFonts w:cs="Arial"/>
          <w:szCs w:val="22"/>
        </w:rPr>
        <w:t xml:space="preserve"> synthesis,</w:t>
      </w:r>
      <w:r w:rsidRPr="008219BB">
        <w:rPr>
          <w:rFonts w:cs="Arial"/>
          <w:i/>
          <w:szCs w:val="22"/>
        </w:rPr>
        <w:t xml:space="preserve"> lox2</w:t>
      </w:r>
      <w:r>
        <w:rPr>
          <w:rFonts w:cs="Arial"/>
          <w:szCs w:val="22"/>
        </w:rPr>
        <w:t>,</w:t>
      </w:r>
      <w:r w:rsidRPr="008219BB">
        <w:rPr>
          <w:rFonts w:cs="Arial"/>
          <w:szCs w:val="22"/>
        </w:rPr>
        <w:t xml:space="preserve"> failed to induce AHL-priming. In addition, an enhanced accumulation of SA and </w:t>
      </w:r>
      <w:r>
        <w:rPr>
          <w:rFonts w:cs="Arial"/>
          <w:szCs w:val="22"/>
        </w:rPr>
        <w:t>the</w:t>
      </w:r>
      <w:r w:rsidRPr="008219BB">
        <w:rPr>
          <w:rFonts w:cs="Arial"/>
          <w:szCs w:val="22"/>
        </w:rPr>
        <w:t xml:space="preserve"> defense-related hormone OPDA was detected in AHL-primed plants </w:t>
      </w:r>
      <w:r w:rsidRPr="008219BB">
        <w:rPr>
          <w:rFonts w:cs="Arial"/>
          <w:noProof/>
          <w:szCs w:val="22"/>
        </w:rPr>
        <w:t>(Schenk et al. 2014)</w:t>
      </w:r>
      <w:r w:rsidRPr="008219BB">
        <w:rPr>
          <w:rFonts w:cs="Arial"/>
          <w:szCs w:val="22"/>
        </w:rPr>
        <w:t xml:space="preserve">. </w:t>
      </w:r>
      <w:r>
        <w:rPr>
          <w:rFonts w:cs="Arial"/>
          <w:szCs w:val="22"/>
        </w:rPr>
        <w:t>T</w:t>
      </w:r>
      <w:r w:rsidRPr="008219BB">
        <w:rPr>
          <w:rFonts w:cs="Arial"/>
          <w:szCs w:val="22"/>
        </w:rPr>
        <w:t xml:space="preserve">he strong upregulation of oxylipin-dependent </w:t>
      </w:r>
      <w:r w:rsidRPr="008219BB">
        <w:rPr>
          <w:rFonts w:cs="Arial"/>
          <w:i/>
          <w:szCs w:val="22"/>
        </w:rPr>
        <w:t>GST6, GSTU19, HSP70, HSP17</w:t>
      </w:r>
      <w:r w:rsidRPr="008219BB">
        <w:rPr>
          <w:rFonts w:cs="Arial"/>
          <w:szCs w:val="22"/>
        </w:rPr>
        <w:t xml:space="preserve"> and </w:t>
      </w:r>
      <w:r>
        <w:rPr>
          <w:rFonts w:cs="Arial"/>
          <w:szCs w:val="22"/>
        </w:rPr>
        <w:t>of</w:t>
      </w:r>
      <w:r w:rsidRPr="008219BB">
        <w:rPr>
          <w:rFonts w:cs="Arial"/>
          <w:szCs w:val="22"/>
        </w:rPr>
        <w:t xml:space="preserve"> </w:t>
      </w:r>
      <w:r w:rsidRPr="008219BB">
        <w:rPr>
          <w:rFonts w:cs="Arial"/>
          <w:i/>
          <w:szCs w:val="22"/>
        </w:rPr>
        <w:t>cytochrome P450</w:t>
      </w:r>
      <w:r w:rsidRPr="008219BB">
        <w:rPr>
          <w:rFonts w:cs="Arial"/>
          <w:szCs w:val="22"/>
        </w:rPr>
        <w:t xml:space="preserve"> (</w:t>
      </w:r>
      <w:r w:rsidRPr="008219BB">
        <w:rPr>
          <w:rFonts w:cs="Arial"/>
          <w:i/>
          <w:szCs w:val="22"/>
        </w:rPr>
        <w:t>CYP81D11</w:t>
      </w:r>
      <w:r w:rsidRPr="008219BB">
        <w:rPr>
          <w:rFonts w:cs="Arial"/>
          <w:szCs w:val="22"/>
        </w:rPr>
        <w:t>)</w:t>
      </w:r>
      <w:r>
        <w:rPr>
          <w:rFonts w:cs="Arial"/>
          <w:szCs w:val="22"/>
        </w:rPr>
        <w:t>,</w:t>
      </w:r>
      <w:r w:rsidRPr="008219BB">
        <w:rPr>
          <w:rFonts w:cs="Arial"/>
          <w:szCs w:val="22"/>
        </w:rPr>
        <w:t xml:space="preserve"> all of them are usually regulated by OPDA treatment </w:t>
      </w:r>
      <w:r w:rsidRPr="008219BB">
        <w:rPr>
          <w:rFonts w:cs="Arial"/>
          <w:noProof/>
          <w:szCs w:val="22"/>
        </w:rPr>
        <w:t>(Mueller et al. 2008)</w:t>
      </w:r>
      <w:r>
        <w:rPr>
          <w:rFonts w:cs="Arial"/>
          <w:szCs w:val="22"/>
        </w:rPr>
        <w:t>,</w:t>
      </w:r>
      <w:r w:rsidRPr="008219BB">
        <w:rPr>
          <w:rFonts w:cs="Arial"/>
          <w:szCs w:val="22"/>
        </w:rPr>
        <w:t xml:space="preserve"> after oxo-C14-HSL pretreatment and following inoculation with </w:t>
      </w:r>
      <w:r w:rsidRPr="008219BB">
        <w:rPr>
          <w:rFonts w:cs="Arial"/>
          <w:i/>
          <w:szCs w:val="22"/>
        </w:rPr>
        <w:t xml:space="preserve">Pst </w:t>
      </w:r>
      <w:r>
        <w:rPr>
          <w:rFonts w:cs="Arial"/>
          <w:szCs w:val="22"/>
        </w:rPr>
        <w:t xml:space="preserve">was in line with this observation </w:t>
      </w:r>
      <w:r w:rsidRPr="008219BB">
        <w:rPr>
          <w:rFonts w:cs="Arial"/>
          <w:noProof/>
          <w:szCs w:val="22"/>
        </w:rPr>
        <w:t>(Schenk et al. 2014)</w:t>
      </w:r>
      <w:r w:rsidRPr="008219BB">
        <w:rPr>
          <w:rFonts w:cs="Arial"/>
          <w:szCs w:val="22"/>
        </w:rPr>
        <w:t xml:space="preserve">. Altogether, </w:t>
      </w:r>
      <w:r>
        <w:rPr>
          <w:rFonts w:cs="Arial"/>
          <w:szCs w:val="22"/>
        </w:rPr>
        <w:t xml:space="preserve">several evidences </w:t>
      </w:r>
      <w:r w:rsidRPr="008219BB">
        <w:rPr>
          <w:rFonts w:cs="Arial"/>
          <w:szCs w:val="22"/>
        </w:rPr>
        <w:t xml:space="preserve">indicate the importance of oxylipins (and SA) in AHL-priming. </w:t>
      </w:r>
    </w:p>
    <w:p w:rsidR="001D520E" w:rsidRPr="008219BB" w:rsidRDefault="001D520E" w:rsidP="001D520E">
      <w:pPr>
        <w:rPr>
          <w:rFonts w:cs="Arial"/>
          <w:szCs w:val="22"/>
        </w:rPr>
      </w:pPr>
      <w:r w:rsidRPr="008219BB">
        <w:rPr>
          <w:rFonts w:cs="Arial"/>
          <w:szCs w:val="22"/>
        </w:rPr>
        <w:t xml:space="preserve">In addition to the changed transcriptome and hormonal balance, modification of the </w:t>
      </w:r>
      <w:r>
        <w:rPr>
          <w:rFonts w:cs="Arial"/>
          <w:szCs w:val="22"/>
        </w:rPr>
        <w:t>cell</w:t>
      </w:r>
      <w:r w:rsidRPr="008219BB">
        <w:rPr>
          <w:rFonts w:cs="Arial"/>
          <w:szCs w:val="22"/>
        </w:rPr>
        <w:t xml:space="preserve"> wall could account for the defense mechanisms induced upon AHL-priming. Higher number of papilla formed at the si</w:t>
      </w:r>
      <w:r>
        <w:rPr>
          <w:rFonts w:cs="Arial"/>
          <w:szCs w:val="22"/>
        </w:rPr>
        <w:t>t</w:t>
      </w:r>
      <w:r w:rsidRPr="008219BB">
        <w:rPr>
          <w:rFonts w:cs="Arial"/>
          <w:szCs w:val="22"/>
        </w:rPr>
        <w:t xml:space="preserve">e of fungal infection </w:t>
      </w:r>
      <w:r w:rsidRPr="008219BB">
        <w:rPr>
          <w:rFonts w:cs="Arial"/>
          <w:noProof/>
          <w:szCs w:val="22"/>
        </w:rPr>
        <w:t>(Schikora et al. 2011)</w:t>
      </w:r>
      <w:r w:rsidRPr="008219BB">
        <w:rPr>
          <w:rFonts w:cs="Arial"/>
          <w:szCs w:val="22"/>
        </w:rPr>
        <w:t xml:space="preserve"> enhanced accumulation of callose and cell wall-bound phenolic compounds as well as accumulation of lignins </w:t>
      </w:r>
      <w:r w:rsidRPr="008219BB">
        <w:rPr>
          <w:rFonts w:cs="Arial"/>
          <w:noProof/>
          <w:szCs w:val="22"/>
        </w:rPr>
        <w:t>(Schenk et al. 2014)</w:t>
      </w:r>
      <w:r w:rsidRPr="008219BB">
        <w:rPr>
          <w:rFonts w:cs="Arial"/>
          <w:szCs w:val="22"/>
        </w:rPr>
        <w:t xml:space="preserve">, suggest that cell wall undergoes substantial changes during AHL-priming. Another AHL-resistance phenotype could be the increased amount of closed stomata in response to </w:t>
      </w:r>
      <w:r w:rsidRPr="008219BB">
        <w:rPr>
          <w:rFonts w:cs="Arial"/>
          <w:i/>
          <w:szCs w:val="22"/>
        </w:rPr>
        <w:t>Pst</w:t>
      </w:r>
      <w:r w:rsidRPr="008219BB">
        <w:rPr>
          <w:rFonts w:cs="Arial"/>
          <w:szCs w:val="22"/>
        </w:rPr>
        <w:t xml:space="preserve"> challenge in oxo-C14-HSL-pretreated plants </w:t>
      </w:r>
      <w:r w:rsidRPr="008219BB">
        <w:rPr>
          <w:rFonts w:cs="Arial"/>
          <w:noProof/>
          <w:szCs w:val="22"/>
        </w:rPr>
        <w:t>(Schenk et al. 2014)</w:t>
      </w:r>
      <w:r w:rsidRPr="008219BB">
        <w:rPr>
          <w:rFonts w:cs="Arial"/>
          <w:szCs w:val="22"/>
        </w:rPr>
        <w:t xml:space="preserve">. This AHL-induced stomata defense response seems similar to the flg22-induced stomata closure described as RES-oxylipin and SA-dependent by </w:t>
      </w:r>
      <w:r>
        <w:rPr>
          <w:rFonts w:cs="Arial"/>
          <w:noProof/>
          <w:szCs w:val="22"/>
        </w:rPr>
        <w:t>(Montillet et al. 2013)</w:t>
      </w:r>
      <w:r w:rsidRPr="008219BB">
        <w:rPr>
          <w:rFonts w:cs="Arial"/>
          <w:szCs w:val="22"/>
        </w:rPr>
        <w:t>.</w:t>
      </w:r>
    </w:p>
    <w:p w:rsidR="001D520E" w:rsidRPr="008219BB" w:rsidRDefault="001D520E" w:rsidP="001D520E">
      <w:pPr>
        <w:pStyle w:val="berschrift1"/>
        <w:rPr>
          <w:rFonts w:ascii="Arial" w:hAnsi="Arial" w:cs="Arial"/>
          <w:sz w:val="22"/>
          <w:szCs w:val="22"/>
        </w:rPr>
      </w:pPr>
      <w:r>
        <w:rPr>
          <w:rFonts w:ascii="Arial" w:hAnsi="Arial" w:cs="Arial"/>
          <w:sz w:val="22"/>
          <w:szCs w:val="22"/>
        </w:rPr>
        <w:t>Comparison of p</w:t>
      </w:r>
      <w:r w:rsidRPr="008219BB">
        <w:rPr>
          <w:rFonts w:ascii="Arial" w:hAnsi="Arial" w:cs="Arial"/>
          <w:sz w:val="22"/>
          <w:szCs w:val="22"/>
        </w:rPr>
        <w:t>erception of AHLs</w:t>
      </w:r>
      <w:r>
        <w:rPr>
          <w:rFonts w:ascii="Arial" w:hAnsi="Arial" w:cs="Arial"/>
          <w:sz w:val="22"/>
          <w:szCs w:val="22"/>
        </w:rPr>
        <w:t xml:space="preserve"> in plant and animal cells</w:t>
      </w:r>
    </w:p>
    <w:p w:rsidR="001D520E" w:rsidRPr="008219BB" w:rsidRDefault="001D520E" w:rsidP="001D520E">
      <w:pPr>
        <w:rPr>
          <w:rFonts w:cs="Arial"/>
          <w:szCs w:val="22"/>
        </w:rPr>
      </w:pPr>
      <w:r w:rsidRPr="008219BB">
        <w:rPr>
          <w:rFonts w:cs="Arial"/>
          <w:szCs w:val="22"/>
        </w:rPr>
        <w:t xml:space="preserve">In mammalian cells, AHLs can trigger multiple signaling pathways including calcium mobilization, activation of Rho GTPases, MAPK, and NFκB. Those pathways control diverse functions and behaviors modified upon AHL perception, such as cytoskeleton remodeling, chemotaxis, migration, phagocytosis, epithelial barrier function, differentiation, proliferation, apoptosis, and production of immune mediators. </w:t>
      </w:r>
      <w:r>
        <w:rPr>
          <w:rFonts w:cs="Arial"/>
          <w:szCs w:val="22"/>
        </w:rPr>
        <w:t>However, i</w:t>
      </w:r>
      <w:r w:rsidRPr="008219BB">
        <w:rPr>
          <w:rFonts w:cs="Arial"/>
          <w:szCs w:val="22"/>
        </w:rPr>
        <w:t xml:space="preserve">n contrast to plant cells, the biological activity requires more than 10 C-atoms in the acyl chain. Recently, these findings were reviewed </w:t>
      </w:r>
      <w:r>
        <w:rPr>
          <w:rFonts w:cs="Arial"/>
          <w:szCs w:val="22"/>
        </w:rPr>
        <w:t xml:space="preserve">by </w:t>
      </w:r>
      <w:r w:rsidRPr="008219BB">
        <w:rPr>
          <w:rFonts w:cs="Arial"/>
          <w:noProof/>
          <w:szCs w:val="22"/>
        </w:rPr>
        <w:t>(Holm and Vikström 2014)</w:t>
      </w:r>
      <w:r w:rsidRPr="008219BB">
        <w:rPr>
          <w:rFonts w:cs="Arial"/>
          <w:szCs w:val="22"/>
        </w:rPr>
        <w:t xml:space="preserve">. </w:t>
      </w:r>
      <w:r>
        <w:rPr>
          <w:rFonts w:cs="Arial"/>
          <w:szCs w:val="22"/>
        </w:rPr>
        <w:t xml:space="preserve">Similar to </w:t>
      </w:r>
      <w:r w:rsidRPr="008219BB">
        <w:rPr>
          <w:rFonts w:cs="Arial"/>
          <w:szCs w:val="22"/>
        </w:rPr>
        <w:t>animal cells, where the MAP kinases p38 and p44/42 are involved in the resp</w:t>
      </w:r>
      <w:r>
        <w:rPr>
          <w:rFonts w:cs="Arial"/>
          <w:szCs w:val="22"/>
        </w:rPr>
        <w:t>o</w:t>
      </w:r>
      <w:r w:rsidRPr="008219BB">
        <w:rPr>
          <w:rFonts w:cs="Arial"/>
          <w:szCs w:val="22"/>
        </w:rPr>
        <w:t xml:space="preserve">nse to AHLs, the AHL-priming was abolished in plants lacking </w:t>
      </w:r>
      <w:r w:rsidRPr="008219BB">
        <w:rPr>
          <w:rFonts w:cs="Arial"/>
          <w:szCs w:val="22"/>
        </w:rPr>
        <w:lastRenderedPageBreak/>
        <w:t>MPK6</w:t>
      </w:r>
      <w:r>
        <w:rPr>
          <w:rFonts w:cs="Arial"/>
          <w:szCs w:val="22"/>
        </w:rPr>
        <w:t xml:space="preserve"> </w:t>
      </w:r>
      <w:r w:rsidRPr="008219BB">
        <w:rPr>
          <w:rFonts w:cs="Arial"/>
          <w:noProof/>
          <w:szCs w:val="22"/>
        </w:rPr>
        <w:t>(Schikora et al. 2011)</w:t>
      </w:r>
      <w:r w:rsidRPr="008219BB">
        <w:rPr>
          <w:rFonts w:cs="Arial"/>
          <w:szCs w:val="22"/>
        </w:rPr>
        <w:t xml:space="preserve">. Similarly, the Ca-signaling plays an important role during perception of AHL in animals and plants. For example in animals, the 3O-C12-HSL can </w:t>
      </w:r>
      <w:r>
        <w:rPr>
          <w:rFonts w:cs="Arial"/>
          <w:szCs w:val="22"/>
        </w:rPr>
        <w:t>increase the</w:t>
      </w:r>
      <w:r w:rsidRPr="008219BB">
        <w:rPr>
          <w:rFonts w:cs="Arial"/>
          <w:szCs w:val="22"/>
        </w:rPr>
        <w:t xml:space="preserve"> intracellular calcium</w:t>
      </w:r>
      <w:r>
        <w:rPr>
          <w:rFonts w:cs="Arial"/>
          <w:szCs w:val="22"/>
        </w:rPr>
        <w:t xml:space="preserve"> concentrations</w:t>
      </w:r>
      <w:r w:rsidRPr="008219BB">
        <w:rPr>
          <w:rFonts w:cs="Arial"/>
          <w:szCs w:val="22"/>
        </w:rPr>
        <w:t xml:space="preserve"> through influx from surrounding and release from thapsigargin-sensitive stores </w:t>
      </w:r>
      <w:r w:rsidRPr="008219BB">
        <w:rPr>
          <w:rFonts w:cs="Arial"/>
          <w:noProof/>
          <w:szCs w:val="22"/>
        </w:rPr>
        <w:t>(Vikström et al. 2010)</w:t>
      </w:r>
      <w:r w:rsidRPr="008219BB">
        <w:rPr>
          <w:rFonts w:cs="Arial"/>
          <w:szCs w:val="22"/>
        </w:rPr>
        <w:t>. In plants, treatment with C4-HSL induced a transient and immediate increase in cytosolic Ca</w:t>
      </w:r>
      <w:r w:rsidRPr="008219BB">
        <w:rPr>
          <w:rFonts w:cs="Arial"/>
          <w:szCs w:val="22"/>
          <w:vertAlign w:val="superscript"/>
        </w:rPr>
        <w:t>2+</w:t>
      </w:r>
      <w:r w:rsidRPr="008219BB">
        <w:rPr>
          <w:rFonts w:cs="Arial"/>
          <w:szCs w:val="22"/>
        </w:rPr>
        <w:t xml:space="preserve"> levels. Since pretreatments with La</w:t>
      </w:r>
      <w:r w:rsidRPr="008219BB">
        <w:rPr>
          <w:rFonts w:cs="Arial"/>
          <w:szCs w:val="22"/>
          <w:vertAlign w:val="superscript"/>
        </w:rPr>
        <w:t>3+</w:t>
      </w:r>
      <w:r w:rsidRPr="008219BB">
        <w:rPr>
          <w:rFonts w:cs="Arial"/>
          <w:szCs w:val="22"/>
        </w:rPr>
        <w:t xml:space="preserve">, verapamil or ethylene glycol tetraacetic acid (EGTA) inhibited this increase, </w:t>
      </w:r>
      <w:r>
        <w:rPr>
          <w:rFonts w:cs="Arial"/>
          <w:szCs w:val="22"/>
        </w:rPr>
        <w:t xml:space="preserve">but </w:t>
      </w:r>
      <w:r w:rsidRPr="008219BB">
        <w:rPr>
          <w:rFonts w:cs="Arial"/>
          <w:szCs w:val="22"/>
        </w:rPr>
        <w:t>a pretreatment with Li</w:t>
      </w:r>
      <w:r w:rsidRPr="008219BB">
        <w:rPr>
          <w:rFonts w:cs="Arial"/>
          <w:szCs w:val="22"/>
          <w:vertAlign w:val="superscript"/>
        </w:rPr>
        <w:t>+</w:t>
      </w:r>
      <w:r w:rsidRPr="008219BB">
        <w:rPr>
          <w:rFonts w:cs="Arial"/>
          <w:szCs w:val="22"/>
        </w:rPr>
        <w:t xml:space="preserve"> </w:t>
      </w:r>
      <w:r>
        <w:rPr>
          <w:rFonts w:cs="Arial"/>
          <w:szCs w:val="22"/>
        </w:rPr>
        <w:t>failed to do so</w:t>
      </w:r>
      <w:r w:rsidRPr="008219BB">
        <w:rPr>
          <w:rFonts w:cs="Arial"/>
          <w:szCs w:val="22"/>
        </w:rPr>
        <w:t>, the contributing Ca</w:t>
      </w:r>
      <w:r w:rsidRPr="008219BB">
        <w:rPr>
          <w:rFonts w:cs="Arial"/>
          <w:szCs w:val="22"/>
          <w:vertAlign w:val="superscript"/>
        </w:rPr>
        <w:t>2+</w:t>
      </w:r>
      <w:r w:rsidRPr="008219BB">
        <w:rPr>
          <w:rFonts w:cs="Arial"/>
          <w:szCs w:val="22"/>
        </w:rPr>
        <w:t xml:space="preserve"> was, similarly to animals, mobilized from the extracellular medium </w:t>
      </w:r>
      <w:r w:rsidRPr="008219BB">
        <w:rPr>
          <w:rFonts w:cs="Arial"/>
          <w:i/>
          <w:szCs w:val="22"/>
        </w:rPr>
        <w:t>via</w:t>
      </w:r>
      <w:r w:rsidRPr="008219BB">
        <w:rPr>
          <w:rFonts w:cs="Arial"/>
          <w:szCs w:val="22"/>
        </w:rPr>
        <w:t xml:space="preserve"> the plasma membrane Ca</w:t>
      </w:r>
      <w:r w:rsidRPr="008219BB">
        <w:rPr>
          <w:rFonts w:cs="Arial"/>
          <w:szCs w:val="22"/>
          <w:vertAlign w:val="superscript"/>
        </w:rPr>
        <w:t>2+</w:t>
      </w:r>
      <w:r w:rsidRPr="008219BB">
        <w:rPr>
          <w:rFonts w:cs="Arial"/>
          <w:szCs w:val="22"/>
        </w:rPr>
        <w:t xml:space="preserve"> channels </w:t>
      </w:r>
      <w:r w:rsidRPr="008219BB">
        <w:rPr>
          <w:rFonts w:cs="Arial"/>
          <w:noProof/>
          <w:szCs w:val="22"/>
        </w:rPr>
        <w:t>(Song et al. 2011)</w:t>
      </w:r>
      <w:r w:rsidRPr="008219BB">
        <w:rPr>
          <w:rFonts w:cs="Arial"/>
          <w:szCs w:val="22"/>
        </w:rPr>
        <w:t>. Moreover, a recent study on 3-oxo-C6-HSL revealed that</w:t>
      </w:r>
      <w:r>
        <w:rPr>
          <w:rFonts w:cs="Arial"/>
          <w:szCs w:val="22"/>
        </w:rPr>
        <w:t xml:space="preserve"> in</w:t>
      </w:r>
      <w:r w:rsidRPr="008219BB">
        <w:rPr>
          <w:rFonts w:cs="Arial"/>
          <w:szCs w:val="22"/>
        </w:rPr>
        <w:t xml:space="preserve"> </w:t>
      </w:r>
      <w:r w:rsidRPr="008219BB">
        <w:rPr>
          <w:rFonts w:cs="Arial"/>
          <w:i/>
          <w:szCs w:val="22"/>
        </w:rPr>
        <w:t>Arabidopsis</w:t>
      </w:r>
      <w:r w:rsidRPr="008219BB">
        <w:rPr>
          <w:rFonts w:cs="Arial"/>
          <w:szCs w:val="22"/>
        </w:rPr>
        <w:t xml:space="preserve"> mutants in calmodulin (CaM) </w:t>
      </w:r>
      <w:r>
        <w:rPr>
          <w:rFonts w:cs="Arial"/>
          <w:szCs w:val="22"/>
        </w:rPr>
        <w:t xml:space="preserve">genes do not show </w:t>
      </w:r>
      <w:r w:rsidRPr="008219BB">
        <w:rPr>
          <w:rFonts w:cs="Arial"/>
          <w:szCs w:val="22"/>
        </w:rPr>
        <w:t>the growth-promoting effect</w:t>
      </w:r>
      <w:r>
        <w:rPr>
          <w:rFonts w:cs="Arial"/>
          <w:szCs w:val="22"/>
        </w:rPr>
        <w:t xml:space="preserve"> of C6-HSL, </w:t>
      </w:r>
      <w:r w:rsidRPr="008219BB">
        <w:rPr>
          <w:rFonts w:cs="Arial"/>
          <w:szCs w:val="22"/>
        </w:rPr>
        <w:t>otherwise observed after treatment with C6-HSL</w:t>
      </w:r>
      <w:r>
        <w:rPr>
          <w:rFonts w:cs="Arial"/>
          <w:szCs w:val="22"/>
        </w:rPr>
        <w:t xml:space="preserve"> in wild type plants </w:t>
      </w:r>
      <w:r>
        <w:rPr>
          <w:rFonts w:cs="Arial"/>
          <w:noProof/>
          <w:szCs w:val="22"/>
        </w:rPr>
        <w:t>(von Rad et al. 2008; Zhao et al. 2015)</w:t>
      </w:r>
      <w:r w:rsidRPr="008219BB">
        <w:rPr>
          <w:rFonts w:cs="Arial"/>
          <w:szCs w:val="22"/>
        </w:rPr>
        <w:t>. A very interesting</w:t>
      </w:r>
      <w:r>
        <w:rPr>
          <w:rFonts w:cs="Arial"/>
          <w:szCs w:val="22"/>
        </w:rPr>
        <w:t xml:space="preserve"> but </w:t>
      </w:r>
      <w:r w:rsidRPr="008219BB">
        <w:rPr>
          <w:rFonts w:cs="Arial"/>
          <w:szCs w:val="22"/>
        </w:rPr>
        <w:t xml:space="preserve">still rather elusive, is the role of G-proteins in </w:t>
      </w:r>
      <w:r>
        <w:rPr>
          <w:rFonts w:cs="Arial"/>
          <w:szCs w:val="22"/>
        </w:rPr>
        <w:t xml:space="preserve">the </w:t>
      </w:r>
      <w:r w:rsidRPr="008219BB">
        <w:rPr>
          <w:rFonts w:cs="Arial"/>
          <w:szCs w:val="22"/>
        </w:rPr>
        <w:t>perception</w:t>
      </w:r>
      <w:r>
        <w:rPr>
          <w:rFonts w:cs="Arial"/>
          <w:szCs w:val="22"/>
        </w:rPr>
        <w:t xml:space="preserve"> of short side chain AHLs in </w:t>
      </w:r>
      <w:r w:rsidRPr="0031493C">
        <w:rPr>
          <w:rFonts w:cs="Arial"/>
          <w:i/>
          <w:szCs w:val="22"/>
        </w:rPr>
        <w:t>Arabidopsis</w:t>
      </w:r>
      <w:r w:rsidRPr="008219BB">
        <w:rPr>
          <w:rFonts w:cs="Arial"/>
          <w:szCs w:val="22"/>
        </w:rPr>
        <w:t xml:space="preserve">. Whereas in animal cells, the IQ-motif-containing GTPase-activating protein IQGAP1 interacts directly with 3-oxo-C12-HSL </w:t>
      </w:r>
      <w:r w:rsidRPr="008219BB">
        <w:rPr>
          <w:rFonts w:cs="Arial"/>
          <w:noProof/>
          <w:szCs w:val="22"/>
        </w:rPr>
        <w:t>(Karlsson et al. 2012)</w:t>
      </w:r>
      <w:r w:rsidRPr="008219BB">
        <w:rPr>
          <w:rFonts w:cs="Arial"/>
          <w:szCs w:val="22"/>
        </w:rPr>
        <w:t xml:space="preserve">, such interaction for plant proteins remains uncharacterized. Analysis of mutants in the G-protein coupled receptors GCR1 and two others (named: cand2 and cand7) as well as the canonical subunit G-alpha GPA1 revealed that those proteins are required </w:t>
      </w:r>
      <w:r>
        <w:rPr>
          <w:rFonts w:cs="Arial"/>
          <w:szCs w:val="22"/>
        </w:rPr>
        <w:t>for the stimulatory effect of C6- and C8-HSLs</w:t>
      </w:r>
      <w:r w:rsidRPr="008219BB">
        <w:rPr>
          <w:rFonts w:cs="Arial"/>
          <w:szCs w:val="22"/>
        </w:rPr>
        <w:t xml:space="preserve"> in </w:t>
      </w:r>
      <w:r w:rsidRPr="0031493C">
        <w:rPr>
          <w:rFonts w:cs="Arial"/>
          <w:i/>
          <w:szCs w:val="22"/>
        </w:rPr>
        <w:t>Arabidopsis</w:t>
      </w:r>
      <w:r>
        <w:rPr>
          <w:rFonts w:cs="Arial"/>
          <w:szCs w:val="22"/>
        </w:rPr>
        <w:t xml:space="preserve"> </w:t>
      </w:r>
      <w:r>
        <w:rPr>
          <w:rFonts w:cs="Arial"/>
          <w:noProof/>
          <w:szCs w:val="22"/>
        </w:rPr>
        <w:t>(Jin et al. 2012; von Rad et al. 2008; Zhao et al. 2015)</w:t>
      </w:r>
      <w:r w:rsidRPr="008219BB">
        <w:rPr>
          <w:rFonts w:cs="Arial"/>
          <w:szCs w:val="22"/>
        </w:rPr>
        <w:t xml:space="preserve">. Nevertheless, besides those very promising results, </w:t>
      </w:r>
      <w:r w:rsidRPr="008219BB">
        <w:rPr>
          <w:rFonts w:cs="Arial"/>
          <w:i/>
          <w:szCs w:val="22"/>
        </w:rPr>
        <w:t>bona fide</w:t>
      </w:r>
      <w:r w:rsidRPr="008219BB">
        <w:rPr>
          <w:rFonts w:cs="Arial"/>
          <w:szCs w:val="22"/>
        </w:rPr>
        <w:t xml:space="preserve"> AHL-interactor proteins in plants remain still undiscovered.</w:t>
      </w:r>
    </w:p>
    <w:p w:rsidR="001D520E" w:rsidRPr="00964342" w:rsidRDefault="001D520E" w:rsidP="001D520E">
      <w:pPr>
        <w:pStyle w:val="berschrift1"/>
        <w:rPr>
          <w:rFonts w:ascii="Arial" w:hAnsi="Arial" w:cs="Arial"/>
          <w:sz w:val="22"/>
          <w:szCs w:val="22"/>
        </w:rPr>
      </w:pPr>
      <w:r w:rsidRPr="00964342">
        <w:rPr>
          <w:rFonts w:ascii="Arial" w:hAnsi="Arial" w:cs="Arial"/>
          <w:sz w:val="22"/>
          <w:szCs w:val="22"/>
        </w:rPr>
        <w:t>Potential use of quorum sensing mechanisms</w:t>
      </w:r>
    </w:p>
    <w:p w:rsidR="001D520E" w:rsidRPr="00964342" w:rsidRDefault="001D520E" w:rsidP="001D520E">
      <w:pPr>
        <w:rPr>
          <w:rFonts w:cs="Arial"/>
          <w:szCs w:val="22"/>
        </w:rPr>
      </w:pPr>
      <w:r>
        <w:rPr>
          <w:rFonts w:cs="Arial"/>
          <w:szCs w:val="22"/>
        </w:rPr>
        <w:t xml:space="preserve">The increasing demand for food as well as the concerns about food quality are today the driving forces leading to new strategies in agriculture. Efficient (crop) plant protection methods hold a great potential to ensure sufficient and high-quality food supply. Amongst them, the use of </w:t>
      </w:r>
      <w:r w:rsidRPr="002E3A92">
        <w:rPr>
          <w:rFonts w:cs="Arial"/>
          <w:i/>
          <w:szCs w:val="22"/>
        </w:rPr>
        <w:t>biologicals</w:t>
      </w:r>
      <w:r>
        <w:rPr>
          <w:rFonts w:cs="Arial"/>
          <w:szCs w:val="22"/>
        </w:rPr>
        <w:t xml:space="preserve"> or </w:t>
      </w:r>
      <w:r w:rsidRPr="002E3A92">
        <w:rPr>
          <w:rFonts w:cs="Arial"/>
          <w:i/>
          <w:szCs w:val="22"/>
        </w:rPr>
        <w:t>biocontrol agents</w:t>
      </w:r>
      <w:r>
        <w:rPr>
          <w:rFonts w:cs="Arial"/>
          <w:szCs w:val="22"/>
        </w:rPr>
        <w:t xml:space="preserve">, even though widely spread, still didn't reveal its full abilities. Today several products based on bacterial inoculum, mainly consisting of </w:t>
      </w:r>
      <w:r w:rsidRPr="006E45A7">
        <w:rPr>
          <w:rFonts w:cs="Arial"/>
          <w:i/>
          <w:szCs w:val="22"/>
        </w:rPr>
        <w:t>Bacillus</w:t>
      </w:r>
      <w:r>
        <w:rPr>
          <w:rFonts w:cs="Arial"/>
          <w:szCs w:val="22"/>
        </w:rPr>
        <w:t xml:space="preserve">, </w:t>
      </w:r>
      <w:r w:rsidRPr="006E45A7">
        <w:rPr>
          <w:rFonts w:cs="Arial"/>
          <w:i/>
          <w:szCs w:val="22"/>
        </w:rPr>
        <w:t>Psudomonas</w:t>
      </w:r>
      <w:r>
        <w:rPr>
          <w:rFonts w:cs="Arial"/>
          <w:szCs w:val="22"/>
        </w:rPr>
        <w:t xml:space="preserve"> or </w:t>
      </w:r>
      <w:r w:rsidRPr="006E45A7">
        <w:rPr>
          <w:rFonts w:cs="Arial"/>
          <w:i/>
          <w:szCs w:val="22"/>
        </w:rPr>
        <w:t>Seratia</w:t>
      </w:r>
      <w:r>
        <w:rPr>
          <w:rFonts w:cs="Arial"/>
          <w:szCs w:val="22"/>
        </w:rPr>
        <w:t xml:space="preserve"> spp., reached the market. Our research however, show that the use of N</w:t>
      </w:r>
      <w:r w:rsidRPr="006E45A7">
        <w:rPr>
          <w:rFonts w:cs="Arial"/>
          <w:szCs w:val="22"/>
          <w:vertAlign w:val="subscript"/>
        </w:rPr>
        <w:t>2</w:t>
      </w:r>
      <w:r>
        <w:rPr>
          <w:rFonts w:cs="Arial"/>
          <w:szCs w:val="22"/>
        </w:rPr>
        <w:t xml:space="preserve">-fixiting </w:t>
      </w:r>
      <w:r w:rsidRPr="006E45A7">
        <w:rPr>
          <w:rFonts w:cs="Arial"/>
          <w:i/>
          <w:szCs w:val="22"/>
        </w:rPr>
        <w:t>Rhizobia</w:t>
      </w:r>
      <w:r>
        <w:rPr>
          <w:rFonts w:cs="Arial"/>
          <w:szCs w:val="22"/>
        </w:rPr>
        <w:t xml:space="preserve"> (e.g. </w:t>
      </w:r>
      <w:r w:rsidRPr="006E45A7">
        <w:rPr>
          <w:rFonts w:cs="Arial"/>
          <w:i/>
          <w:szCs w:val="22"/>
        </w:rPr>
        <w:t>S. meliloti</w:t>
      </w:r>
      <w:r>
        <w:rPr>
          <w:rFonts w:cs="Arial"/>
          <w:szCs w:val="22"/>
        </w:rPr>
        <w:t xml:space="preserve">) with enhanced production of specific AHLs, could enhance the beneficial effects of bacteria and enlarge the impact to plant species usually not associated with the particular strain </w:t>
      </w:r>
      <w:r>
        <w:rPr>
          <w:rFonts w:cs="Arial"/>
          <w:noProof/>
          <w:szCs w:val="22"/>
        </w:rPr>
        <w:t>(Hernández-Reyes et al. 2014; Zarkani et al. 2013)</w:t>
      </w:r>
      <w:r>
        <w:rPr>
          <w:rFonts w:cs="Arial"/>
          <w:szCs w:val="22"/>
        </w:rPr>
        <w:t xml:space="preserve">. Such strategy could be a great addition, or alternative to those which are currently used. On a different scale, a profound understanding of the interaction </w:t>
      </w:r>
      <w:r>
        <w:rPr>
          <w:rFonts w:cs="Arial"/>
          <w:szCs w:val="22"/>
        </w:rPr>
        <w:lastRenderedPageBreak/>
        <w:t>between bacterial quorum sensing molecules and eukaryotic cells could open new possibilities also in medicine. During the infection process AI molecules not only govern the bacterial ability to form biofilms, expression of virulence factors and other density-regulated features, they also play crucial role in the interaction with animal and human cells by regulating their vital functions. Therefore</w:t>
      </w:r>
      <w:r w:rsidRPr="00A9717C">
        <w:rPr>
          <w:rFonts w:cs="Arial"/>
          <w:szCs w:val="22"/>
        </w:rPr>
        <w:t xml:space="preserve">, </w:t>
      </w:r>
      <w:r>
        <w:rPr>
          <w:rFonts w:cs="Arial"/>
          <w:szCs w:val="22"/>
        </w:rPr>
        <w:t>the possibility to</w:t>
      </w:r>
      <w:r w:rsidRPr="00A9717C">
        <w:rPr>
          <w:rFonts w:cs="Arial"/>
          <w:szCs w:val="22"/>
        </w:rPr>
        <w:t xml:space="preserve"> interfer</w:t>
      </w:r>
      <w:r>
        <w:rPr>
          <w:rFonts w:cs="Arial"/>
          <w:szCs w:val="22"/>
        </w:rPr>
        <w:t>e</w:t>
      </w:r>
      <w:r w:rsidRPr="00A9717C">
        <w:rPr>
          <w:rFonts w:cs="Arial"/>
          <w:szCs w:val="22"/>
        </w:rPr>
        <w:t xml:space="preserve"> with </w:t>
      </w:r>
      <w:r>
        <w:rPr>
          <w:rFonts w:cs="Arial"/>
          <w:szCs w:val="22"/>
        </w:rPr>
        <w:t xml:space="preserve">bacterial </w:t>
      </w:r>
      <w:r w:rsidRPr="00A9717C">
        <w:rPr>
          <w:rFonts w:cs="Arial"/>
          <w:szCs w:val="22"/>
        </w:rPr>
        <w:t xml:space="preserve">QS </w:t>
      </w:r>
      <w:r>
        <w:rPr>
          <w:rFonts w:cs="Arial"/>
          <w:szCs w:val="22"/>
        </w:rPr>
        <w:t>or with the impact of AL-molecules on eukaryotic targets could be the center of new strategies</w:t>
      </w:r>
      <w:r w:rsidRPr="00A9717C">
        <w:rPr>
          <w:rFonts w:cs="Arial"/>
          <w:szCs w:val="22"/>
        </w:rPr>
        <w:t xml:space="preserve"> to overcome infectious diseases and biofilm formation</w:t>
      </w:r>
      <w:r>
        <w:rPr>
          <w:rFonts w:cs="Arial"/>
          <w:szCs w:val="22"/>
        </w:rPr>
        <w:t xml:space="preserve"> </w:t>
      </w:r>
      <w:r>
        <w:rPr>
          <w:rFonts w:cs="Arial"/>
          <w:noProof/>
          <w:szCs w:val="22"/>
        </w:rPr>
        <w:t>(Jakobsen et al. 2013; LaSarre and Federle 2013)</w:t>
      </w:r>
      <w:r>
        <w:rPr>
          <w:rFonts w:cs="Arial"/>
          <w:szCs w:val="22"/>
        </w:rPr>
        <w:t>.</w:t>
      </w:r>
    </w:p>
    <w:p w:rsidR="001D520E" w:rsidRPr="008219BB" w:rsidRDefault="001D520E" w:rsidP="001D520E">
      <w:pPr>
        <w:pStyle w:val="berschrift1"/>
        <w:rPr>
          <w:rFonts w:ascii="Arial" w:hAnsi="Arial" w:cs="Arial"/>
          <w:sz w:val="22"/>
          <w:szCs w:val="22"/>
        </w:rPr>
      </w:pPr>
      <w:r w:rsidRPr="00964342">
        <w:rPr>
          <w:rFonts w:ascii="Arial" w:hAnsi="Arial" w:cs="Arial"/>
          <w:sz w:val="22"/>
          <w:szCs w:val="22"/>
        </w:rPr>
        <w:t>Acknowledgments</w:t>
      </w:r>
      <w:r w:rsidRPr="008219BB">
        <w:rPr>
          <w:rFonts w:ascii="Arial" w:hAnsi="Arial" w:cs="Arial"/>
          <w:sz w:val="22"/>
          <w:szCs w:val="22"/>
        </w:rPr>
        <w:t xml:space="preserve"> </w:t>
      </w:r>
    </w:p>
    <w:p w:rsidR="001D520E" w:rsidRPr="008219BB" w:rsidRDefault="001D520E" w:rsidP="001D520E">
      <w:pPr>
        <w:rPr>
          <w:rFonts w:cs="Arial"/>
          <w:szCs w:val="22"/>
        </w:rPr>
      </w:pPr>
      <w:r>
        <w:rPr>
          <w:rFonts w:cs="Arial"/>
          <w:szCs w:val="22"/>
        </w:rPr>
        <w:t>The authors would like to apologize to all colleagues, whose work was not cited</w:t>
      </w:r>
      <w:r w:rsidRPr="008219BB">
        <w:rPr>
          <w:rFonts w:cs="Arial"/>
          <w:szCs w:val="22"/>
        </w:rPr>
        <w:t xml:space="preserve"> </w:t>
      </w:r>
      <w:r>
        <w:rPr>
          <w:rFonts w:cs="Arial"/>
          <w:szCs w:val="22"/>
        </w:rPr>
        <w:t xml:space="preserve">due to the space limitation. </w:t>
      </w:r>
      <w:r w:rsidRPr="00556C99">
        <w:t xml:space="preserve">AS is supported by the </w:t>
      </w:r>
      <w:r>
        <w:t>grant 13HS026 “</w:t>
      </w:r>
      <w:r w:rsidRPr="00400A0F">
        <w:rPr>
          <w:i/>
        </w:rPr>
        <w:t>plantinfect</w:t>
      </w:r>
      <w:r>
        <w:t xml:space="preserve">” from the </w:t>
      </w:r>
      <w:r w:rsidRPr="00556C99">
        <w:t>Federal Office for Agriculture and Food (BLE), Germany.</w:t>
      </w:r>
      <w:r>
        <w:t xml:space="preserve"> The French fellowship program AgreenSkills supports STS. AH acknowledges the additional funding of the interdisciplinary research topic “Molecular Interactions in the Rhizosphere” by Helmholtz Zentrum München.</w:t>
      </w:r>
    </w:p>
    <w:p w:rsidR="001D520E" w:rsidRDefault="001D520E" w:rsidP="001D520E">
      <w:pPr>
        <w:pStyle w:val="berschrift1"/>
        <w:rPr>
          <w:rFonts w:ascii="Arial" w:hAnsi="Arial" w:cs="Arial"/>
          <w:sz w:val="22"/>
          <w:szCs w:val="22"/>
        </w:rPr>
      </w:pPr>
      <w:r w:rsidRPr="008219BB">
        <w:rPr>
          <w:rFonts w:ascii="Arial" w:hAnsi="Arial" w:cs="Arial"/>
          <w:sz w:val="22"/>
          <w:szCs w:val="22"/>
        </w:rPr>
        <w:t>References</w:t>
      </w:r>
    </w:p>
    <w:p w:rsidR="001D520E" w:rsidRPr="00CC542E" w:rsidRDefault="001D520E" w:rsidP="001D520E">
      <w:pPr>
        <w:pStyle w:val="EndNoteBibliography"/>
        <w:ind w:left="720" w:hanging="720"/>
        <w:rPr>
          <w:noProof/>
        </w:rPr>
      </w:pPr>
      <w:r w:rsidRPr="00CC542E">
        <w:rPr>
          <w:noProof/>
        </w:rPr>
        <w:t>Bai X, Todd CD, Desikan R, Yang Y, Hu X (2012) N-3-Oxo-Decanoyl-L-Homoserine-Lactone Activates Auxin-Induced Adventitious Root Formation via Hydrogen Peroxide- and Nitric Oxide-Dependent Cyclic GMP Signaling in Mung Bean Plant Physiol 158:725-736 doi:10.1104/pp.111.185769</w:t>
      </w:r>
    </w:p>
    <w:p w:rsidR="001D520E" w:rsidRPr="00CC542E" w:rsidRDefault="001D520E" w:rsidP="00E6477C">
      <w:pPr>
        <w:pStyle w:val="EndNoteBibliography"/>
        <w:ind w:left="720" w:hanging="720"/>
        <w:rPr>
          <w:noProof/>
        </w:rPr>
      </w:pPr>
      <w:r w:rsidRPr="00CC542E">
        <w:rPr>
          <w:noProof/>
        </w:rPr>
        <w:t>Beckers GJ, Jaskiewicz M, Liu Y, Underwood WR, He SY, Zhang S, Conrath U (2009) Mitogen-activated protein kinases 3 and 6 are required for full priming of stress responses in Arabidopsis thaliana Plant Cell 21:944-953 doi:tpc.108.062158 [pii]</w:t>
      </w:r>
      <w:r w:rsidR="00E6477C">
        <w:rPr>
          <w:noProof/>
        </w:rPr>
        <w:t xml:space="preserve"> </w:t>
      </w:r>
      <w:r w:rsidRPr="00CC542E">
        <w:rPr>
          <w:noProof/>
        </w:rPr>
        <w:t>10.1105/tpc.108.062158</w:t>
      </w:r>
    </w:p>
    <w:p w:rsidR="001D520E" w:rsidRPr="00CC542E" w:rsidRDefault="001D520E" w:rsidP="001D520E">
      <w:pPr>
        <w:pStyle w:val="EndNoteBibliography"/>
        <w:ind w:left="720" w:hanging="720"/>
        <w:rPr>
          <w:noProof/>
        </w:rPr>
      </w:pPr>
      <w:r w:rsidRPr="00CC542E">
        <w:rPr>
          <w:noProof/>
        </w:rPr>
        <w:t>Bjarnsholt T et al. (2005) Garlic blocks quorum sensing and promotes rapid clearing of pulmonary Pseudomonas aeruginosa infections Microbiology 151:3873-3880 doi:10.1099/mic.0.27955-0</w:t>
      </w:r>
    </w:p>
    <w:p w:rsidR="001D520E" w:rsidRPr="00CC542E" w:rsidRDefault="001D520E" w:rsidP="001D520E">
      <w:pPr>
        <w:pStyle w:val="EndNoteBibliography"/>
        <w:ind w:left="720" w:hanging="720"/>
        <w:rPr>
          <w:noProof/>
        </w:rPr>
      </w:pPr>
      <w:r w:rsidRPr="000B4D41">
        <w:rPr>
          <w:noProof/>
          <w:lang w:val="de-DE"/>
        </w:rPr>
        <w:t xml:space="preserve">Buddrus-Schiemann K et al. </w:t>
      </w:r>
      <w:r w:rsidRPr="00CC542E">
        <w:rPr>
          <w:noProof/>
        </w:rPr>
        <w:t>(2014) Analysis of N-acylhomoserine lactone dynamics in continuous cultures of Pseudomonas putida IsoF by use of ELISA and UHPLC/qTOF-MS-derived measurements and mathematical models Anal Bioanal Chem 406:6373-6383 doi:10.1007/s00216-014-8063-6</w:t>
      </w:r>
    </w:p>
    <w:p w:rsidR="001D520E" w:rsidRPr="00CC542E" w:rsidRDefault="001D520E" w:rsidP="001D520E">
      <w:pPr>
        <w:pStyle w:val="EndNoteBibliography"/>
        <w:ind w:left="720" w:hanging="720"/>
        <w:rPr>
          <w:noProof/>
        </w:rPr>
      </w:pPr>
      <w:r w:rsidRPr="00CC542E">
        <w:rPr>
          <w:noProof/>
        </w:rPr>
        <w:t>Fuqua WC, Winans SC (1994) A LuxR-LuxI type regulatory system activates Agrobacterium Ti plasmid conjugal transfer in the presence of a plant tumor metabolite J Bacteriol 176:2796-2806</w:t>
      </w:r>
    </w:p>
    <w:p w:rsidR="001D520E" w:rsidRPr="00CC542E" w:rsidRDefault="001D520E" w:rsidP="001D520E">
      <w:pPr>
        <w:pStyle w:val="EndNoteBibliography"/>
        <w:ind w:left="720" w:hanging="720"/>
        <w:rPr>
          <w:noProof/>
        </w:rPr>
      </w:pPr>
      <w:r w:rsidRPr="00CC542E">
        <w:rPr>
          <w:noProof/>
        </w:rPr>
        <w:t>Götz C et al. (2007) Uptake, degradation and chiral discrimination of N-acyl-D/L-homoserine lactones by barley (Hordeum vulgare) and yam bean (Pachyrhizus erosus) plants Anal Bioanal Chem 389:1447-1457 doi:10.1007/s00216-007-1579-2</w:t>
      </w:r>
    </w:p>
    <w:p w:rsidR="001D520E" w:rsidRPr="00CC542E" w:rsidRDefault="001D520E" w:rsidP="001D520E">
      <w:pPr>
        <w:pStyle w:val="EndNoteBibliography"/>
        <w:ind w:left="720" w:hanging="720"/>
        <w:rPr>
          <w:noProof/>
        </w:rPr>
      </w:pPr>
      <w:r w:rsidRPr="00CC542E">
        <w:rPr>
          <w:noProof/>
        </w:rPr>
        <w:t>Götz-Rösch C, Sieper T, Fekete A, Schmitt-Kopplin P, Hartmann A, Schroder P (2015) Influence of bacterial N-acyl-homoserine lactones on growth parameters, pigments, antioxidative capacities and the xenobiotic phase II detoxification enzymes in barley and yam bean Front Plant Sci 6:205 doi:10.3389/fpls.2015.00205</w:t>
      </w:r>
    </w:p>
    <w:p w:rsidR="001D520E" w:rsidRPr="00CC542E" w:rsidRDefault="001D520E" w:rsidP="001D520E">
      <w:pPr>
        <w:pStyle w:val="EndNoteBibliography"/>
        <w:ind w:left="720" w:hanging="720"/>
        <w:rPr>
          <w:noProof/>
        </w:rPr>
      </w:pPr>
      <w:r w:rsidRPr="00CC542E">
        <w:rPr>
          <w:noProof/>
        </w:rPr>
        <w:lastRenderedPageBreak/>
        <w:t>Hartmann A et al. N-acyl homoserine lactones of rhizosphere bacteria trigger systemic resistance in tomato plants. In: Lugtenberg B, Tikhonovich I, Provorov N (eds) 11. International Congress on Molecular Plant-Microbe Interactions, St. Petersburg, Russia, 2004. Biology of Plant-Microbe Interactions. APS Press, St. Paul, Minnesota, USA, pp 554-556</w:t>
      </w:r>
    </w:p>
    <w:p w:rsidR="001D520E" w:rsidRPr="00CC542E" w:rsidRDefault="001D520E" w:rsidP="001D520E">
      <w:pPr>
        <w:pStyle w:val="EndNoteBibliography"/>
        <w:ind w:left="720" w:hanging="720"/>
        <w:rPr>
          <w:noProof/>
        </w:rPr>
      </w:pPr>
      <w:r w:rsidRPr="00CC542E">
        <w:rPr>
          <w:noProof/>
        </w:rPr>
        <w:t>Hartmann A, Schikora A (2012) Quorum sensing of bacteria and trans-kingdom interactions of N-acyl homoserine lactones with eukaryotes Journal of chemical ecology 38:704-713 doi:10.1007/s10886-012-0141-7</w:t>
      </w:r>
    </w:p>
    <w:p w:rsidR="001D520E" w:rsidRPr="00CC542E" w:rsidRDefault="001D520E" w:rsidP="001D520E">
      <w:pPr>
        <w:pStyle w:val="EndNoteBibliography"/>
        <w:ind w:left="720" w:hanging="720"/>
        <w:rPr>
          <w:noProof/>
        </w:rPr>
      </w:pPr>
      <w:r w:rsidRPr="00CC542E">
        <w:rPr>
          <w:noProof/>
        </w:rPr>
        <w:t>Heidel A, Barazani O, Baldwin I (2010) Interaction between herbivore defense and microbial signaling: bacterial quorum-sensing compounds weaken JA-mediated herbivore resistance in Nicotiana attenuata Chemoecology 20:149-154 doi:10.1007/s00049-009-0031-9</w:t>
      </w:r>
    </w:p>
    <w:p w:rsidR="001D520E" w:rsidRPr="00CC542E" w:rsidRDefault="001D520E" w:rsidP="001D520E">
      <w:pPr>
        <w:pStyle w:val="EndNoteBibliography"/>
        <w:ind w:left="720" w:hanging="720"/>
        <w:rPr>
          <w:noProof/>
        </w:rPr>
      </w:pPr>
      <w:r w:rsidRPr="00CC542E">
        <w:rPr>
          <w:noProof/>
        </w:rPr>
        <w:t>Hense BA, Kuttler C, Mueller J, Rothballer M, Hartmann A, Kreft JU (2007) Opinion - Does efficiency sensing unify diffusion and quorum sensing? Nat Rev Microbiol 5:230-239 doi:Doi 10.1038/Nrmicro1600</w:t>
      </w:r>
    </w:p>
    <w:p w:rsidR="001D520E" w:rsidRPr="00CC542E" w:rsidRDefault="001D520E" w:rsidP="001D520E">
      <w:pPr>
        <w:pStyle w:val="EndNoteBibliography"/>
        <w:ind w:left="720" w:hanging="720"/>
        <w:rPr>
          <w:noProof/>
        </w:rPr>
      </w:pPr>
      <w:r w:rsidRPr="00CC542E">
        <w:rPr>
          <w:noProof/>
        </w:rPr>
        <w:t>Hense BA, Schuster M (2015) Core principles of bacterial autoinducer systems Microbiol Mol Biol Rev 79:153-169 doi:10.1128/MMBR.00024-14</w:t>
      </w:r>
    </w:p>
    <w:p w:rsidR="001D520E" w:rsidRPr="00CC542E" w:rsidRDefault="001D520E" w:rsidP="001D520E">
      <w:pPr>
        <w:pStyle w:val="EndNoteBibliography"/>
        <w:ind w:left="720" w:hanging="720"/>
        <w:rPr>
          <w:noProof/>
        </w:rPr>
      </w:pPr>
      <w:r w:rsidRPr="00CC542E">
        <w:rPr>
          <w:noProof/>
        </w:rPr>
        <w:t>Hernández-Reyes C, Schenk ST, Neumann C, Kogel KH, Schikora A (2014) N-acyl-homoserine lactones-producing bacteria protect plants against plant and human pathogens Microb Biotechnol doi:10.1111/1751-7915.12177</w:t>
      </w:r>
    </w:p>
    <w:p w:rsidR="001D520E" w:rsidRPr="00CC542E" w:rsidRDefault="001D520E" w:rsidP="001D520E">
      <w:pPr>
        <w:pStyle w:val="EndNoteBibliography"/>
        <w:ind w:left="720" w:hanging="720"/>
        <w:rPr>
          <w:noProof/>
        </w:rPr>
      </w:pPr>
      <w:r w:rsidRPr="00CC542E">
        <w:rPr>
          <w:noProof/>
        </w:rPr>
        <w:t>Holm A, Vikström E (2014) Quorum sensing communication between bacteria and human cells: signals, targets, and functions Front Plant Sci 5:309 doi:10.3389/fpls.2014.00309</w:t>
      </w:r>
    </w:p>
    <w:p w:rsidR="001D520E" w:rsidRPr="00CC542E" w:rsidRDefault="001D520E" w:rsidP="001D520E">
      <w:pPr>
        <w:pStyle w:val="EndNoteBibliography"/>
        <w:ind w:left="720" w:hanging="720"/>
        <w:rPr>
          <w:noProof/>
        </w:rPr>
      </w:pPr>
      <w:r w:rsidRPr="00CC542E">
        <w:rPr>
          <w:noProof/>
        </w:rPr>
        <w:t>Jakobsen TH, Bjarnsholt T, Jensen PO, Givskov M, Hoiby N (2013) Targeting quorum sensing in Pseudomonas aeruginosa biofilms: current and emerging inhibitors Future Microbiol 8:901-921 doi:10.2217/fmb.13.57</w:t>
      </w:r>
    </w:p>
    <w:p w:rsidR="001D520E" w:rsidRPr="00CC542E" w:rsidRDefault="001D520E" w:rsidP="001D520E">
      <w:pPr>
        <w:pStyle w:val="EndNoteBibliography"/>
        <w:ind w:left="720" w:hanging="720"/>
        <w:rPr>
          <w:noProof/>
        </w:rPr>
      </w:pPr>
      <w:r w:rsidRPr="00CC542E">
        <w:rPr>
          <w:noProof/>
        </w:rPr>
        <w:t>Jakobsen TH et al. (2012) Food as a source for quorum sensing inhibitors: iberin from horseradish revealed as a quorum sensing inhibitor of Pseudomonas aeruginosa Appl Environ Microbiol 78:2410-2421 doi:10.1128/AEM.05992-11</w:t>
      </w:r>
    </w:p>
    <w:p w:rsidR="001D520E" w:rsidRPr="00CC542E" w:rsidRDefault="001D520E" w:rsidP="001D520E">
      <w:pPr>
        <w:pStyle w:val="EndNoteBibliography"/>
        <w:ind w:left="720" w:hanging="720"/>
        <w:rPr>
          <w:noProof/>
        </w:rPr>
      </w:pPr>
      <w:r w:rsidRPr="00CC542E">
        <w:rPr>
          <w:noProof/>
        </w:rPr>
        <w:t>Jaskiewicz M, Conrath U, Peterhansel C (2011) Chromatin modification acts as a memory for systemic acquired resistance in the plant stress response EMBO reports 12:50-55 doi:10.1038/embor.2010.186</w:t>
      </w:r>
    </w:p>
    <w:p w:rsidR="001D520E" w:rsidRPr="00CC542E" w:rsidRDefault="001D520E" w:rsidP="001D520E">
      <w:pPr>
        <w:pStyle w:val="EndNoteBibliography"/>
        <w:ind w:left="720" w:hanging="720"/>
        <w:rPr>
          <w:noProof/>
        </w:rPr>
      </w:pPr>
      <w:r w:rsidRPr="00CC542E">
        <w:rPr>
          <w:noProof/>
        </w:rPr>
        <w:t>Jin G et al. (2012) Two G-protein-coupled-receptor candidates, Cand2 and Cand7, are involved in Arabidopsis root growth mediated by the bacterial quorum-sensing signals N-acyl-homoserine lactones Biochem Biophys Res Commun 417:991-995 doi:10.1016/j.bbrc.2011.12.066</w:t>
      </w:r>
    </w:p>
    <w:p w:rsidR="001D520E" w:rsidRPr="00CC542E" w:rsidRDefault="001D520E" w:rsidP="001D520E">
      <w:pPr>
        <w:pStyle w:val="EndNoteBibliography"/>
        <w:ind w:left="720" w:hanging="720"/>
        <w:rPr>
          <w:noProof/>
        </w:rPr>
      </w:pPr>
      <w:r w:rsidRPr="00CC542E">
        <w:rPr>
          <w:noProof/>
        </w:rPr>
        <w:t>Jung HW, Tschaplinski TJ, Wang L, Glazebrook J, Greenberg JT (2009) Priming in systemic plant immunity Science 324:89-91 doi:10.1126/science.1170025</w:t>
      </w:r>
    </w:p>
    <w:p w:rsidR="001D520E" w:rsidRPr="00CC542E" w:rsidRDefault="001D520E" w:rsidP="00E6477C">
      <w:pPr>
        <w:pStyle w:val="EndNoteBibliography"/>
        <w:ind w:left="720" w:hanging="720"/>
        <w:rPr>
          <w:noProof/>
        </w:rPr>
      </w:pPr>
      <w:r w:rsidRPr="00CC542E">
        <w:rPr>
          <w:noProof/>
        </w:rPr>
        <w:t>Karlsson T, Turkina MV, Yakymenko O, Magnusson KE, Vikstrom E (2012) The Pseudomonas aeruginosa N-acylhomoserine lactone quorum sensing molecules target IQGAP1 and modulate epithelial cell migration PLoS Pathog 8:e1002953 doi:10.1371/journal.ppat.1002953PPATHOGENS-D-11-02789 [pii]</w:t>
      </w:r>
    </w:p>
    <w:p w:rsidR="001D520E" w:rsidRPr="00CC542E" w:rsidRDefault="001D520E" w:rsidP="001D520E">
      <w:pPr>
        <w:pStyle w:val="EndNoteBibliography"/>
        <w:ind w:left="720" w:hanging="720"/>
        <w:rPr>
          <w:noProof/>
        </w:rPr>
      </w:pPr>
      <w:r w:rsidRPr="00CC542E">
        <w:rPr>
          <w:noProof/>
        </w:rPr>
        <w:t>LaSarre B, Federle MJ (2013) Exploiting quorum sensing to confuse bacterial pathogens Microbiol Mol Biol Rev 77:73-111 doi:10.1128/MMBR.00046-12</w:t>
      </w:r>
    </w:p>
    <w:p w:rsidR="001D520E" w:rsidRPr="00CC542E" w:rsidRDefault="001D520E" w:rsidP="001D520E">
      <w:pPr>
        <w:pStyle w:val="EndNoteBibliography"/>
        <w:ind w:left="720" w:hanging="720"/>
        <w:rPr>
          <w:noProof/>
        </w:rPr>
      </w:pPr>
      <w:r w:rsidRPr="00CC542E">
        <w:rPr>
          <w:noProof/>
        </w:rPr>
        <w:t>Liu F, Bian Z, Jia Z, Zhao Q, Song S (2012) The GCR1 and GPA1 participate in promotion of Arabidopsis primary root elongation induced by N-acyl-homoserine lactones, the bacterial quorum-sensing signals Mol Plant Microbe Interact 25:677-683 doi:10.1094/MPMI-10-11-0274</w:t>
      </w:r>
    </w:p>
    <w:p w:rsidR="001D520E" w:rsidRPr="00CC542E" w:rsidRDefault="001D520E" w:rsidP="001D520E">
      <w:pPr>
        <w:pStyle w:val="EndNoteBibliography"/>
        <w:ind w:left="720" w:hanging="720"/>
        <w:rPr>
          <w:noProof/>
        </w:rPr>
      </w:pPr>
      <w:r w:rsidRPr="00CC542E">
        <w:rPr>
          <w:noProof/>
        </w:rPr>
        <w:t>Luna E, Bruce TJ, Roberts MR, Flors V, Ton J (2012) Next-generation systemic acquired resistance Plant Physiol 158:844-853 doi:10.1104/pp.111.187468</w:t>
      </w:r>
    </w:p>
    <w:p w:rsidR="001D520E" w:rsidRPr="00CC542E" w:rsidRDefault="001D520E" w:rsidP="001D520E">
      <w:pPr>
        <w:pStyle w:val="EndNoteBibliography"/>
        <w:ind w:left="720" w:hanging="720"/>
        <w:rPr>
          <w:noProof/>
        </w:rPr>
      </w:pPr>
      <w:r w:rsidRPr="00CC542E">
        <w:rPr>
          <w:noProof/>
        </w:rPr>
        <w:t>Mathesius U, Mulders S, Gao M, Teplitski M, Caetano-Anolles G, Rolfe BG, Bauer WD (2003) Extensive and specific responses of a eukaryote to bacterial quorum-sensing signals Proc Natl Acad Sci U S A 100:1444-1449 doi:10.1073/pnas.262672599</w:t>
      </w:r>
    </w:p>
    <w:p w:rsidR="001D520E" w:rsidRPr="00CC542E" w:rsidRDefault="001D520E" w:rsidP="001D520E">
      <w:pPr>
        <w:pStyle w:val="EndNoteBibliography"/>
        <w:ind w:left="720" w:hanging="720"/>
        <w:rPr>
          <w:noProof/>
        </w:rPr>
      </w:pPr>
      <w:r w:rsidRPr="00CC542E">
        <w:rPr>
          <w:noProof/>
        </w:rPr>
        <w:lastRenderedPageBreak/>
        <w:t>Miao C, Liu F, Zhao Q, Jia Z, Song S (2012) A proteomic analysis of Arabidopsis thaliana seedling responses to 3-oxo-octanoyl-homoserine lactone, a bacterial quorum-sensing signal Biochem Biophys Res Commun 427:293-298 doi:10.1016/j.bbrc.2012.09.044</w:t>
      </w:r>
    </w:p>
    <w:p w:rsidR="001D520E" w:rsidRPr="00CC542E" w:rsidRDefault="001D520E" w:rsidP="00E6477C">
      <w:pPr>
        <w:pStyle w:val="EndNoteBibliography"/>
        <w:ind w:left="720" w:hanging="720"/>
        <w:rPr>
          <w:noProof/>
        </w:rPr>
      </w:pPr>
      <w:r w:rsidRPr="00CC542E">
        <w:rPr>
          <w:noProof/>
        </w:rPr>
        <w:t>Montillet JL et al. (2013) An Abscisic Acid-Independent Oxylipin Pathway Controls Stomatal Closure and Immune Defense in Arabidopsis PLoS biology 11 doi: 10.1371/Journal.Pbio.1001513</w:t>
      </w:r>
    </w:p>
    <w:p w:rsidR="001D520E" w:rsidRPr="00CC542E" w:rsidRDefault="001D520E" w:rsidP="001D520E">
      <w:pPr>
        <w:pStyle w:val="EndNoteBibliography"/>
        <w:ind w:left="720" w:hanging="720"/>
        <w:rPr>
          <w:noProof/>
        </w:rPr>
      </w:pPr>
      <w:r w:rsidRPr="00CC542E">
        <w:rPr>
          <w:noProof/>
        </w:rPr>
        <w:t>Mueller S, Hilbert B, Dueckershoff K, Roitsch T, Krischke M, Mueller MJ, Berger S (2008) General detoxification and stress responses are mediated by oxidized lipids through TGA transcription factors in Arabidopsis Plant Cell 20:768-785 doi:Doi 10.1105/Tpc.107.054809</w:t>
      </w:r>
    </w:p>
    <w:p w:rsidR="001D520E" w:rsidRPr="00CC542E" w:rsidRDefault="001D520E" w:rsidP="001D520E">
      <w:pPr>
        <w:pStyle w:val="EndNoteBibliography"/>
        <w:ind w:left="720" w:hanging="720"/>
        <w:rPr>
          <w:noProof/>
        </w:rPr>
      </w:pPr>
      <w:r w:rsidRPr="00CC542E">
        <w:rPr>
          <w:noProof/>
        </w:rPr>
        <w:t>Navarova H, Bernsdorff F, Doring AC, Zeier J (2012) Pipecolic acid, an endogenous mediator of defense amplification and priming, is a critical regulator of inducible plant immunity Plant Cell 24:5123-5141 doi:10.1105/tpc.112.103564</w:t>
      </w:r>
    </w:p>
    <w:p w:rsidR="001D520E" w:rsidRPr="00CC542E" w:rsidRDefault="001D520E" w:rsidP="00E6477C">
      <w:pPr>
        <w:pStyle w:val="EndNoteBibliography"/>
        <w:ind w:left="720" w:hanging="720"/>
        <w:rPr>
          <w:noProof/>
        </w:rPr>
      </w:pPr>
      <w:r w:rsidRPr="00CC542E">
        <w:rPr>
          <w:noProof/>
        </w:rPr>
        <w:t>Ortiz-Castro R, Martinez-Trujillo M, Lopez-Bucio J (2008) N-acyl-L-homoserine lactones: a class of bacterial quorum-sensing signals alter post-embryonic root development in Arabidopsis thaliana Plant Cell Environ 31:1497-1509 doi:PCE1863 [pii]</w:t>
      </w:r>
      <w:r w:rsidR="00E6477C">
        <w:rPr>
          <w:noProof/>
        </w:rPr>
        <w:t xml:space="preserve"> </w:t>
      </w:r>
      <w:r w:rsidRPr="00CC542E">
        <w:rPr>
          <w:noProof/>
        </w:rPr>
        <w:t>10.1111/j.1365-3040.2008.01863.x</w:t>
      </w:r>
    </w:p>
    <w:p w:rsidR="001D520E" w:rsidRPr="00CC542E" w:rsidRDefault="001D520E" w:rsidP="001D520E">
      <w:pPr>
        <w:pStyle w:val="EndNoteBibliography"/>
        <w:ind w:left="720" w:hanging="720"/>
        <w:rPr>
          <w:noProof/>
        </w:rPr>
      </w:pPr>
      <w:r w:rsidRPr="00CC542E">
        <w:rPr>
          <w:noProof/>
        </w:rPr>
        <w:t>Palmer AG, Senechal AC, Mukherjee A, Ane JM, Blackwell HE (2014) Plant responses to bacterial N-acyl L-homoserine lactones are dependent on enzymatic degradation to L-homoserine ACS Chem Biol 9:1834-1845 doi:10.1021/cb500191a</w:t>
      </w:r>
    </w:p>
    <w:p w:rsidR="001D520E" w:rsidRPr="00CC542E" w:rsidRDefault="001D520E" w:rsidP="001D520E">
      <w:pPr>
        <w:pStyle w:val="EndNoteBibliography"/>
        <w:ind w:left="720" w:hanging="720"/>
        <w:rPr>
          <w:noProof/>
        </w:rPr>
      </w:pPr>
      <w:r w:rsidRPr="00CC542E">
        <w:rPr>
          <w:noProof/>
        </w:rPr>
        <w:t>Pang YD, Liu XG, Ma YX, Chernin L, Berg G, Gao KX (2009) Induction of systemic resistance, root colonisation and biocontrol activities of the rhizospheric strain of Serratia plymuthica are dependent on N-acyl homoserine lactones European Journal of Plant Pathology 124:261-268 doi:Doi 10.1007/S10658-008-9411-1</w:t>
      </w:r>
    </w:p>
    <w:p w:rsidR="001D520E" w:rsidRPr="00CC542E" w:rsidRDefault="001D520E" w:rsidP="001D520E">
      <w:pPr>
        <w:pStyle w:val="EndNoteBibliography"/>
        <w:ind w:left="720" w:hanging="720"/>
        <w:rPr>
          <w:noProof/>
        </w:rPr>
      </w:pPr>
      <w:r w:rsidRPr="00CC542E">
        <w:rPr>
          <w:noProof/>
        </w:rPr>
        <w:t>Patel HK, Suarez-Moreno ZR, Degrassi G, Subramoni S, Gonzalez JF, Venturi V (2013) Bacterial LuxR solos have evolved to respond to different molecules including signals from plants Front Plant Sci 4:447 doi:10.3389/fpls.2013.00447</w:t>
      </w:r>
    </w:p>
    <w:p w:rsidR="001D520E" w:rsidRPr="00CC542E" w:rsidRDefault="001D520E" w:rsidP="001D520E">
      <w:pPr>
        <w:pStyle w:val="EndNoteBibliography"/>
        <w:ind w:left="720" w:hanging="720"/>
        <w:rPr>
          <w:noProof/>
        </w:rPr>
      </w:pPr>
      <w:r w:rsidRPr="00CC542E">
        <w:rPr>
          <w:noProof/>
        </w:rPr>
        <w:t>Ryu CM, Farag MA, Hu CH, Reddy MS, Wei HX, Pare PW, Kloepper JW (2003) Bacterial volatiles promote growth in Arabidopsis Proc Natl Acad Sci U S A 100:4927-4932 doi:10.1073/pnas.0730845100</w:t>
      </w:r>
    </w:p>
    <w:p w:rsidR="001D520E" w:rsidRPr="00CC542E" w:rsidRDefault="001D520E" w:rsidP="001D520E">
      <w:pPr>
        <w:pStyle w:val="EndNoteBibliography"/>
        <w:ind w:left="720" w:hanging="720"/>
        <w:rPr>
          <w:noProof/>
        </w:rPr>
      </w:pPr>
      <w:r w:rsidRPr="00CC542E">
        <w:rPr>
          <w:noProof/>
        </w:rPr>
        <w:t>Schenk ST et al. (2014) N-Acyl-Homoserine Lactone Primes Plants for Cell Wall Reinforcement and Induces Resistance to Bacterial Pathogens via the Salicylic Acid/Oxylipin Pathway Plant Cell 26:2708-2723 doi:10.1105/tpc.114.126763</w:t>
      </w:r>
    </w:p>
    <w:p w:rsidR="001D520E" w:rsidRPr="00CC542E" w:rsidRDefault="001D520E" w:rsidP="001D520E">
      <w:pPr>
        <w:pStyle w:val="EndNoteBibliography"/>
        <w:ind w:left="720" w:hanging="720"/>
        <w:rPr>
          <w:noProof/>
        </w:rPr>
      </w:pPr>
      <w:r w:rsidRPr="00CC542E">
        <w:rPr>
          <w:noProof/>
        </w:rPr>
        <w:t>Schenk ST, Schikora A (2015) AHL-priming functions via oxylipin and salicylic acid Front Plant Sci 5:784 doi:10.3389/fpls.2014.00784</w:t>
      </w:r>
    </w:p>
    <w:p w:rsidR="001D520E" w:rsidRPr="00CC542E" w:rsidRDefault="001D520E" w:rsidP="001D520E">
      <w:pPr>
        <w:pStyle w:val="EndNoteBibliography"/>
        <w:ind w:left="720" w:hanging="720"/>
        <w:rPr>
          <w:noProof/>
        </w:rPr>
      </w:pPr>
      <w:r w:rsidRPr="00CC542E">
        <w:rPr>
          <w:noProof/>
        </w:rPr>
        <w:t>Schenk ST, Stein E, Kogel KH, Schikora A (2012) Arabidopsis growth and defense are modulated by bacterial quorum sensing molecules Plant Signal Behav 7:178-181 doi:10.4161/psb.18789</w:t>
      </w:r>
    </w:p>
    <w:p w:rsidR="001D520E" w:rsidRPr="00CC542E" w:rsidRDefault="001D520E" w:rsidP="001D520E">
      <w:pPr>
        <w:pStyle w:val="EndNoteBibliography"/>
        <w:ind w:left="720" w:hanging="720"/>
        <w:rPr>
          <w:noProof/>
        </w:rPr>
      </w:pPr>
      <w:r w:rsidRPr="00CC542E">
        <w:rPr>
          <w:noProof/>
        </w:rPr>
        <w:t>Schikora A, Schenk ST, Stein E, Molitor A, Zuccaro A, Kogel KH (2011) N-acyl-homoserine lactone confers resistance towards biotrophic and hemibiotrophic pathogens via altered activation of AtMPK6 Plant Physiol 157:1407-1418 doi:10.1104/pp.111.180604</w:t>
      </w:r>
    </w:p>
    <w:p w:rsidR="001D520E" w:rsidRPr="00CC542E" w:rsidRDefault="001D520E" w:rsidP="001D520E">
      <w:pPr>
        <w:pStyle w:val="EndNoteBibliography"/>
        <w:ind w:left="720" w:hanging="720"/>
        <w:rPr>
          <w:noProof/>
        </w:rPr>
      </w:pPr>
      <w:r w:rsidRPr="00CC542E">
        <w:rPr>
          <w:noProof/>
        </w:rPr>
        <w:t>Schuhegger R et al. (2006) Induction of systemic resistance in tomato by N-acyl-L-homoserine lactone-producing rhizosphere bacteria Plant Cell Environ 29:909-918</w:t>
      </w:r>
    </w:p>
    <w:p w:rsidR="001D520E" w:rsidRPr="00CC542E" w:rsidRDefault="001D520E" w:rsidP="001D520E">
      <w:pPr>
        <w:pStyle w:val="EndNoteBibliography"/>
        <w:ind w:left="720" w:hanging="720"/>
        <w:rPr>
          <w:noProof/>
        </w:rPr>
      </w:pPr>
      <w:r w:rsidRPr="00CC542E">
        <w:rPr>
          <w:noProof/>
        </w:rPr>
        <w:t>Sieper T, Forczek S, Matucha M, Kramer P, Hartmann A, Schroder P (2013) N-acyl-homoserine lactone uptake and systemic transport in barley rest upon active parts of the plant The New phytologist 201:545-555 doi:10.1111/nph.12519</w:t>
      </w:r>
    </w:p>
    <w:p w:rsidR="001D520E" w:rsidRPr="00CC542E" w:rsidRDefault="001D520E" w:rsidP="001D520E">
      <w:pPr>
        <w:pStyle w:val="EndNoteBibliography"/>
        <w:ind w:left="720" w:hanging="720"/>
        <w:rPr>
          <w:noProof/>
        </w:rPr>
      </w:pPr>
      <w:r w:rsidRPr="00CC542E">
        <w:rPr>
          <w:noProof/>
        </w:rPr>
        <w:lastRenderedPageBreak/>
        <w:t>Singh RP, Baghel RS, Reddy CR, Jha B (2015) Effect of quorum sensing signals produced by seaweed-associated bacteria on carpospore liberation from Gracilaria dura Front Plant Sci 6:117 doi:10.3389/fpls.2015.00117</w:t>
      </w:r>
    </w:p>
    <w:p w:rsidR="001D520E" w:rsidRPr="00CC542E" w:rsidRDefault="001D520E" w:rsidP="001D520E">
      <w:pPr>
        <w:pStyle w:val="EndNoteBibliography"/>
        <w:ind w:left="720" w:hanging="720"/>
        <w:rPr>
          <w:noProof/>
        </w:rPr>
      </w:pPr>
      <w:r w:rsidRPr="00CC542E">
        <w:rPr>
          <w:noProof/>
        </w:rPr>
        <w:t>Song S, Jia Z, Xu J, Zhang Z, Bian Z (2011) N-butyryl-homoserine lactone, a bacterial quorum-sensing signaling molecule, induces intracellular calcium elevation in Arabidopsis root cells Biochem Biophys Res Commun 414:355-360 doi:10.1016/j.bbrc.2011.09.076</w:t>
      </w:r>
    </w:p>
    <w:p w:rsidR="001D520E" w:rsidRPr="00CC542E" w:rsidRDefault="001D520E" w:rsidP="001D520E">
      <w:pPr>
        <w:pStyle w:val="EndNoteBibliography"/>
        <w:ind w:left="720" w:hanging="720"/>
        <w:rPr>
          <w:noProof/>
        </w:rPr>
      </w:pPr>
      <w:r w:rsidRPr="00CC542E">
        <w:rPr>
          <w:noProof/>
        </w:rPr>
        <w:t>Ton J et al. (2005) Dissecting the beta-aminobutyric acid-induced priming phenomenon in Arabidopsis Plant Cell 17:987-999 doi:10.1105/tpc.104.029728</w:t>
      </w:r>
    </w:p>
    <w:p w:rsidR="001D520E" w:rsidRPr="00CC542E" w:rsidRDefault="001D520E" w:rsidP="001D520E">
      <w:pPr>
        <w:pStyle w:val="EndNoteBibliography"/>
        <w:ind w:left="720" w:hanging="720"/>
        <w:rPr>
          <w:noProof/>
        </w:rPr>
      </w:pPr>
      <w:r w:rsidRPr="00CC542E">
        <w:rPr>
          <w:noProof/>
        </w:rPr>
        <w:t>Veliz-Vallejos DF, van Noorden GE, Yuan M, Mathesius U (2014) A Sinorhizobium meliloti-specific N-acyl homoserine lactone quorum-sensing signal increases nodule numbers in Medicago truncatula independent of autoregulation Front Plant Sci 5:551 doi:10.3389/fpls.2014.00551</w:t>
      </w:r>
    </w:p>
    <w:p w:rsidR="001D520E" w:rsidRPr="00CC542E" w:rsidRDefault="001D520E" w:rsidP="001D520E">
      <w:pPr>
        <w:pStyle w:val="EndNoteBibliography"/>
        <w:ind w:left="720" w:hanging="720"/>
        <w:rPr>
          <w:noProof/>
        </w:rPr>
      </w:pPr>
      <w:r w:rsidRPr="00CC542E">
        <w:rPr>
          <w:noProof/>
        </w:rPr>
        <w:t>Vikström E, Bui L, Konradsson P, Magnusson KE (2010) Role of calcium signalling and phosphorylations in disruption of the epithelial junctions by Pseudomonas aeruginosa quorum sensing molecule Eur J Cell Biol 89:584-597 doi:10.1016/j.ejcb.2010.03.002</w:t>
      </w:r>
    </w:p>
    <w:p w:rsidR="001D520E" w:rsidRPr="00CC542E" w:rsidRDefault="001D520E" w:rsidP="001D520E">
      <w:pPr>
        <w:pStyle w:val="EndNoteBibliography"/>
        <w:ind w:left="720" w:hanging="720"/>
        <w:rPr>
          <w:noProof/>
        </w:rPr>
      </w:pPr>
      <w:r w:rsidRPr="000B4D41">
        <w:rPr>
          <w:noProof/>
          <w:lang w:val="de-DE"/>
        </w:rPr>
        <w:t xml:space="preserve">von Rad U et al. </w:t>
      </w:r>
      <w:r w:rsidRPr="00CC542E">
        <w:rPr>
          <w:noProof/>
        </w:rPr>
        <w:t>(2008) Response of Arabidopsis thaliana to N-hexanoyl-DL-homoserine-lactone, a bacterial quorum sensing molecule produced in the rhizosphere Planta 229:73-85 doi:10.1007/s00425-008-0811-4</w:t>
      </w:r>
    </w:p>
    <w:p w:rsidR="001D520E" w:rsidRPr="00CC542E" w:rsidRDefault="001D520E" w:rsidP="001D520E">
      <w:pPr>
        <w:pStyle w:val="EndNoteBibliography"/>
        <w:ind w:left="720" w:hanging="720"/>
        <w:rPr>
          <w:noProof/>
        </w:rPr>
      </w:pPr>
      <w:r w:rsidRPr="00CC542E">
        <w:rPr>
          <w:noProof/>
        </w:rPr>
        <w:t>Zarkani AA et al. (2013) Homoserine lactones influence the reaction of plants to rhizobia Int J Mol Sci 14:17122-17146 doi:10.3390/ijms140817122</w:t>
      </w:r>
    </w:p>
    <w:p w:rsidR="001D520E" w:rsidRPr="00CC542E" w:rsidRDefault="001D520E" w:rsidP="001D520E">
      <w:pPr>
        <w:pStyle w:val="EndNoteBibliography"/>
        <w:ind w:left="720" w:hanging="720"/>
        <w:rPr>
          <w:noProof/>
        </w:rPr>
      </w:pPr>
      <w:r w:rsidRPr="00CC542E">
        <w:rPr>
          <w:noProof/>
        </w:rPr>
        <w:t>Zhao Q, Zhang C, Jia Z, Huang Y, Li H, Song S (2015) Involvement of calmodulin in regulation of primary root elongation by N-3-oxo-hexanoyl homoserine lactone in Arabidopsis thaliana Front Plant Sci 5:807 doi:10.3389/fpls.2014.00807</w:t>
      </w:r>
    </w:p>
    <w:p w:rsidR="001D520E" w:rsidRDefault="001D520E" w:rsidP="001D520E">
      <w:pPr>
        <w:rPr>
          <w:szCs w:val="22"/>
        </w:rPr>
      </w:pPr>
    </w:p>
    <w:p w:rsidR="001D520E" w:rsidRDefault="001D520E" w:rsidP="001D520E">
      <w:pPr>
        <w:pStyle w:val="berschrift1"/>
        <w:rPr>
          <w:rFonts w:ascii="Arial" w:hAnsi="Arial" w:cs="Arial"/>
          <w:sz w:val="22"/>
          <w:szCs w:val="22"/>
        </w:rPr>
      </w:pPr>
      <w:r w:rsidRPr="008219BB">
        <w:rPr>
          <w:rFonts w:ascii="Arial" w:hAnsi="Arial" w:cs="Arial"/>
          <w:sz w:val="22"/>
          <w:szCs w:val="22"/>
        </w:rPr>
        <w:t>Figures and Tables</w:t>
      </w:r>
    </w:p>
    <w:p w:rsidR="001D520E" w:rsidRPr="008219BB" w:rsidRDefault="001D520E" w:rsidP="001D520E">
      <w:pPr>
        <w:pStyle w:val="berschrift2"/>
        <w:rPr>
          <w:rFonts w:ascii="Arial" w:hAnsi="Arial" w:cs="Arial"/>
          <w:sz w:val="22"/>
          <w:szCs w:val="22"/>
        </w:rPr>
      </w:pPr>
      <w:r w:rsidRPr="008219BB">
        <w:rPr>
          <w:rFonts w:ascii="Arial" w:hAnsi="Arial" w:cs="Arial"/>
          <w:sz w:val="22"/>
          <w:szCs w:val="22"/>
        </w:rPr>
        <w:t>Table 1</w:t>
      </w:r>
    </w:p>
    <w:p w:rsidR="001D520E" w:rsidRPr="008219BB" w:rsidRDefault="001D520E" w:rsidP="001D520E">
      <w:pPr>
        <w:rPr>
          <w:rFonts w:cs="Arial"/>
          <w:szCs w:val="22"/>
        </w:rPr>
      </w:pPr>
      <w:r w:rsidRPr="008219BB">
        <w:rPr>
          <w:rFonts w:cs="Arial"/>
          <w:szCs w:val="22"/>
        </w:rPr>
        <w:t>Different effects were observed on plants after application of pure AHL molecules or inoculation with AHL-producing bacteria. The findings are arranged accordingly to the increasing</w:t>
      </w:r>
      <w:r>
        <w:rPr>
          <w:rFonts w:cs="Arial"/>
          <w:szCs w:val="22"/>
        </w:rPr>
        <w:t xml:space="preserve"> length of the AHL acyl chain. </w:t>
      </w:r>
    </w:p>
    <w:tbl>
      <w:tblPr>
        <w:tblW w:w="8364" w:type="dxa"/>
        <w:tblInd w:w="5" w:type="dxa"/>
        <w:tblCellMar>
          <w:left w:w="0" w:type="dxa"/>
          <w:right w:w="0" w:type="dxa"/>
        </w:tblCellMar>
        <w:tblLook w:val="0020" w:firstRow="1" w:lastRow="0" w:firstColumn="0" w:lastColumn="0" w:noHBand="0" w:noVBand="0"/>
      </w:tblPr>
      <w:tblGrid>
        <w:gridCol w:w="2267"/>
        <w:gridCol w:w="2375"/>
        <w:gridCol w:w="2096"/>
        <w:gridCol w:w="1626"/>
      </w:tblGrid>
      <w:tr w:rsidR="001D520E" w:rsidRPr="00A05D43" w:rsidTr="001D520E">
        <w:trPr>
          <w:trHeight w:val="312"/>
        </w:trPr>
        <w:tc>
          <w:tcPr>
            <w:tcW w:w="2267" w:type="dxa"/>
            <w:tcBorders>
              <w:top w:val="single" w:sz="4" w:space="0" w:color="auto"/>
              <w:left w:val="single" w:sz="4" w:space="0" w:color="auto"/>
              <w:bottom w:val="single" w:sz="8" w:space="0" w:color="000000"/>
              <w:right w:val="single" w:sz="4" w:space="0" w:color="auto"/>
            </w:tcBorders>
          </w:tcPr>
          <w:p w:rsidR="001D520E" w:rsidRPr="00A05D43" w:rsidRDefault="001D520E" w:rsidP="001D520E">
            <w:pPr>
              <w:spacing w:line="240" w:lineRule="auto"/>
              <w:jc w:val="left"/>
              <w:rPr>
                <w:rFonts w:cs="Arial"/>
                <w:lang w:val="de-DE"/>
              </w:rPr>
            </w:pPr>
            <w:r w:rsidRPr="00A05D43">
              <w:rPr>
                <w:rFonts w:cs="Arial"/>
                <w:b/>
                <w:bCs/>
                <w:szCs w:val="22"/>
              </w:rPr>
              <w:t>AHL</w:t>
            </w:r>
          </w:p>
        </w:tc>
        <w:tc>
          <w:tcPr>
            <w:tcW w:w="2375" w:type="dxa"/>
            <w:tcBorders>
              <w:top w:val="single" w:sz="4" w:space="0" w:color="auto"/>
              <w:left w:val="single" w:sz="4" w:space="0" w:color="auto"/>
              <w:bottom w:val="single" w:sz="8" w:space="0" w:color="000000"/>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b/>
                <w:bCs/>
                <w:szCs w:val="22"/>
              </w:rPr>
              <w:t>Effect</w:t>
            </w:r>
          </w:p>
        </w:tc>
        <w:tc>
          <w:tcPr>
            <w:tcW w:w="2096" w:type="dxa"/>
            <w:tcBorders>
              <w:top w:val="single" w:sz="4" w:space="0" w:color="auto"/>
              <w:left w:val="single" w:sz="4" w:space="0" w:color="auto"/>
              <w:bottom w:val="single" w:sz="8" w:space="0" w:color="000000"/>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b/>
                <w:bCs/>
                <w:szCs w:val="22"/>
              </w:rPr>
              <w:t>Plant</w:t>
            </w:r>
          </w:p>
        </w:tc>
        <w:tc>
          <w:tcPr>
            <w:tcW w:w="1626" w:type="dxa"/>
            <w:tcBorders>
              <w:top w:val="single" w:sz="4" w:space="0" w:color="auto"/>
              <w:left w:val="single" w:sz="4" w:space="0" w:color="auto"/>
              <w:bottom w:val="single" w:sz="8" w:space="0" w:color="000000"/>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b/>
                <w:bCs/>
                <w:szCs w:val="22"/>
              </w:rPr>
              <w:t>Reference</w:t>
            </w:r>
          </w:p>
        </w:tc>
      </w:tr>
      <w:tr w:rsidR="001D520E" w:rsidRPr="00A05D43" w:rsidTr="001D520E">
        <w:trPr>
          <w:trHeight w:val="600"/>
        </w:trPr>
        <w:tc>
          <w:tcPr>
            <w:tcW w:w="2267" w:type="dxa"/>
            <w:tcBorders>
              <w:top w:val="single" w:sz="8" w:space="0" w:color="000000"/>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C4-HSL</w:t>
            </w:r>
          </w:p>
        </w:tc>
        <w:tc>
          <w:tcPr>
            <w:tcW w:w="2375" w:type="dxa"/>
            <w:tcBorders>
              <w:top w:val="single" w:sz="8" w:space="0" w:color="000000"/>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Intracellular Ca</w:t>
            </w:r>
            <w:r w:rsidRPr="00A05D43">
              <w:rPr>
                <w:rFonts w:cs="Arial"/>
                <w:szCs w:val="22"/>
                <w:vertAlign w:val="superscript"/>
              </w:rPr>
              <w:t>2+</w:t>
            </w:r>
            <w:r w:rsidRPr="00A05D43">
              <w:rPr>
                <w:rFonts w:cs="Arial"/>
                <w:szCs w:val="22"/>
              </w:rPr>
              <w:t xml:space="preserve"> elevation</w:t>
            </w:r>
          </w:p>
        </w:tc>
        <w:tc>
          <w:tcPr>
            <w:tcW w:w="2096" w:type="dxa"/>
            <w:tcBorders>
              <w:top w:val="single" w:sz="8" w:space="0" w:color="000000"/>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p>
        </w:tc>
        <w:tc>
          <w:tcPr>
            <w:tcW w:w="1626" w:type="dxa"/>
            <w:tcBorders>
              <w:top w:val="single" w:sz="8" w:space="0" w:color="000000"/>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(Song et al. 2011)</w:t>
            </w:r>
          </w:p>
        </w:tc>
      </w:tr>
      <w:tr w:rsidR="001D520E" w:rsidRPr="00BF3CE9" w:rsidTr="001D520E">
        <w:trPr>
          <w:trHeight w:val="632"/>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C4-HSL, C6-HSL, C8-HSL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Primary root growth</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lang w:val="de-DE"/>
              </w:rPr>
              <w:t>(Liu et al. 2012; von Rad et al. 2008)</w:t>
            </w:r>
          </w:p>
        </w:tc>
      </w:tr>
      <w:tr w:rsidR="001D520E" w:rsidRPr="00A05D43" w:rsidTr="001D520E">
        <w:trPr>
          <w:trHeight w:val="998"/>
        </w:trPr>
        <w:tc>
          <w:tcPr>
            <w:tcW w:w="2267" w:type="dxa"/>
            <w:tcBorders>
              <w:top w:val="nil"/>
              <w:left w:val="single" w:sz="4" w:space="0" w:color="auto"/>
              <w:bottom w:val="nil"/>
              <w:right w:val="single" w:sz="4" w:space="0" w:color="auto"/>
            </w:tcBorders>
          </w:tcPr>
          <w:p w:rsidR="001D520E" w:rsidRPr="0031493C" w:rsidRDefault="001D520E" w:rsidP="001D520E">
            <w:pPr>
              <w:spacing w:line="240" w:lineRule="auto"/>
              <w:jc w:val="left"/>
              <w:rPr>
                <w:rFonts w:cs="Arial"/>
                <w:lang w:val="en-GB"/>
              </w:rPr>
            </w:pPr>
            <w:r w:rsidRPr="00A05D43">
              <w:rPr>
                <w:rFonts w:cs="Arial"/>
                <w:szCs w:val="22"/>
              </w:rPr>
              <w:t>Serratia liquefaciens (C4-HSL, C6-HSL)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Resistance against necrotrophic pathogens, SA-levels, defense-gene regulation</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Tomato</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(Schuhegger et al. 2006)</w:t>
            </w:r>
          </w:p>
        </w:tc>
      </w:tr>
      <w:tr w:rsidR="001D520E" w:rsidRPr="00A05D43" w:rsidTr="001D520E">
        <w:trPr>
          <w:trHeight w:val="670"/>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lastRenderedPageBreak/>
              <w:t>Serratia phymuthica</w:t>
            </w:r>
            <w:r w:rsidRPr="00A05D43">
              <w:rPr>
                <w:rFonts w:cs="Arial"/>
                <w:szCs w:val="22"/>
                <w:lang w:val="de-DE"/>
              </w:rPr>
              <w:t xml:space="preserve"> </w:t>
            </w:r>
            <w:r w:rsidRPr="00A05D43">
              <w:rPr>
                <w:rFonts w:cs="Arial"/>
                <w:szCs w:val="22"/>
              </w:rPr>
              <w:t>(AHL+)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 xml:space="preserve">Resistance against necrotophic pathogens </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 xml:space="preserve">Tomato, Beans, Cucumber </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(Pang et al. 2009)</w:t>
            </w:r>
          </w:p>
        </w:tc>
      </w:tr>
      <w:tr w:rsidR="001D520E" w:rsidRPr="00A05D43" w:rsidTr="001D520E">
        <w:trPr>
          <w:trHeight w:val="591"/>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C6-HSL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Transcriptom data, auxin/cytokini level</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(von Rad et al. 2008)</w:t>
            </w:r>
          </w:p>
        </w:tc>
      </w:tr>
      <w:tr w:rsidR="001D520E" w:rsidRPr="00A05D43" w:rsidTr="001D520E">
        <w:trPr>
          <w:trHeight w:val="766"/>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oxo-C6-HSL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Primary root growth, calmodulin signaling</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(Zhao et al. 2015)</w:t>
            </w:r>
          </w:p>
        </w:tc>
      </w:tr>
      <w:tr w:rsidR="001D520E" w:rsidRPr="00A05D43" w:rsidTr="001D520E">
        <w:trPr>
          <w:trHeight w:val="387"/>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 xml:space="preserve">C6-HSL </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 xml:space="preserve">Herbivore susceptibility </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i/>
                <w:lang w:val="de-DE"/>
              </w:rPr>
            </w:pPr>
            <w:r w:rsidRPr="00A05D43">
              <w:rPr>
                <w:rFonts w:cs="Arial"/>
                <w:i/>
                <w:szCs w:val="22"/>
              </w:rPr>
              <w:t>N. attenuata</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(Heidel et al. 2010)</w:t>
            </w:r>
          </w:p>
        </w:tc>
      </w:tr>
      <w:tr w:rsidR="001D520E" w:rsidRPr="00A05D43" w:rsidTr="001D520E">
        <w:trPr>
          <w:trHeight w:val="679"/>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C6-HSL, C8-HSL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 xml:space="preserve">Root growth, plant biomass increase </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r w:rsidRPr="00A05D43">
              <w:rPr>
                <w:rFonts w:cs="Arial"/>
                <w:szCs w:val="22"/>
              </w:rPr>
              <w:t xml:space="preserve"> </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(Schenk et al. 2012)</w:t>
            </w:r>
          </w:p>
        </w:tc>
      </w:tr>
      <w:tr w:rsidR="001D520E" w:rsidRPr="00A05D43" w:rsidTr="001D520E">
        <w:trPr>
          <w:trHeight w:val="372"/>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oxo-C8-HSL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 xml:space="preserve">Proteomic analyses </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Arabidopsis</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(Miao et al. 2012)</w:t>
            </w:r>
          </w:p>
        </w:tc>
      </w:tr>
      <w:tr w:rsidR="001D520E" w:rsidRPr="00A05D43" w:rsidTr="001D520E">
        <w:trPr>
          <w:trHeight w:val="665"/>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oxo-C8-HSL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Primary root growth promotion, ethylene-level</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(Palmer et al. 2014)</w:t>
            </w:r>
          </w:p>
        </w:tc>
      </w:tr>
      <w:tr w:rsidR="001D520E" w:rsidRPr="00A05D43" w:rsidTr="001D520E">
        <w:trPr>
          <w:trHeight w:val="787"/>
        </w:trPr>
        <w:tc>
          <w:tcPr>
            <w:tcW w:w="2267" w:type="dxa"/>
            <w:tcBorders>
              <w:top w:val="nil"/>
              <w:left w:val="single" w:sz="4" w:space="0" w:color="auto"/>
              <w:bottom w:val="nil"/>
              <w:right w:val="single" w:sz="4" w:space="0" w:color="auto"/>
            </w:tcBorders>
          </w:tcPr>
          <w:p w:rsidR="001D520E" w:rsidRPr="0031493C" w:rsidRDefault="001D520E" w:rsidP="001D520E">
            <w:pPr>
              <w:spacing w:line="240" w:lineRule="auto"/>
              <w:jc w:val="left"/>
              <w:rPr>
                <w:rFonts w:cs="Arial"/>
                <w:lang w:val="en-GB"/>
              </w:rPr>
            </w:pPr>
            <w:r w:rsidRPr="00A05D43">
              <w:rPr>
                <w:rFonts w:cs="Arial"/>
                <w:szCs w:val="22"/>
              </w:rPr>
              <w:t xml:space="preserve">C6-HSL, oxo-C10-HSL, </w:t>
            </w:r>
          </w:p>
          <w:p w:rsidR="001D520E" w:rsidRPr="00A05D43" w:rsidRDefault="001D520E" w:rsidP="001D520E">
            <w:pPr>
              <w:spacing w:line="240" w:lineRule="auto"/>
              <w:jc w:val="left"/>
              <w:rPr>
                <w:rFonts w:cs="Arial"/>
                <w:lang w:val="de-DE"/>
              </w:rPr>
            </w:pPr>
            <w:r w:rsidRPr="00A05D43">
              <w:rPr>
                <w:rFonts w:cs="Arial"/>
                <w:szCs w:val="22"/>
              </w:rPr>
              <w:t xml:space="preserve">oxo-C14-HSL, </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Transcriptom</w:t>
            </w:r>
            <w:r>
              <w:rPr>
                <w:rFonts w:cs="Arial"/>
                <w:szCs w:val="22"/>
              </w:rPr>
              <w:t>e</w:t>
            </w:r>
            <w:r w:rsidRPr="00A05D43">
              <w:rPr>
                <w:rFonts w:cs="Arial"/>
                <w:szCs w:val="22"/>
              </w:rPr>
              <w:t xml:space="preserve"> data </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r w:rsidRPr="00A05D43">
              <w:rPr>
                <w:rFonts w:cs="Arial"/>
                <w:szCs w:val="22"/>
              </w:rPr>
              <w:t xml:space="preserve"> </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(Schenk et al. 2014)</w:t>
            </w:r>
          </w:p>
        </w:tc>
      </w:tr>
      <w:tr w:rsidR="001D520E" w:rsidRPr="00A05D43" w:rsidTr="001D520E">
        <w:trPr>
          <w:trHeight w:val="787"/>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oxo-C10-HSL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Axin-induced adventitious root formation</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 xml:space="preserve">Mung beans </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(Bai et al. 2012)</w:t>
            </w:r>
          </w:p>
        </w:tc>
      </w:tr>
      <w:tr w:rsidR="001D520E" w:rsidRPr="00A05D43" w:rsidTr="001D520E">
        <w:trPr>
          <w:trHeight w:val="787"/>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oxo-C10-HSL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Root development, root hair formation</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(Ortiz-Castro et al. 2008)</w:t>
            </w:r>
          </w:p>
        </w:tc>
      </w:tr>
      <w:tr w:rsidR="001D520E" w:rsidRPr="00A05D43" w:rsidTr="001D520E">
        <w:trPr>
          <w:trHeight w:val="787"/>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C10-HSL, C12-HSL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 xml:space="preserve">Inhibition of primary root growth </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(Zhao et al. 2015)</w:t>
            </w:r>
          </w:p>
        </w:tc>
      </w:tr>
      <w:tr w:rsidR="001D520E" w:rsidRPr="00A05D43" w:rsidTr="001D520E">
        <w:trPr>
          <w:trHeight w:val="787"/>
        </w:trPr>
        <w:tc>
          <w:tcPr>
            <w:tcW w:w="2267" w:type="dxa"/>
            <w:tcBorders>
              <w:top w:val="nil"/>
              <w:left w:val="single" w:sz="4" w:space="0" w:color="auto"/>
              <w:bottom w:val="nil"/>
              <w:right w:val="single" w:sz="4" w:space="0" w:color="auto"/>
            </w:tcBorders>
          </w:tcPr>
          <w:p w:rsidR="001D520E" w:rsidRPr="0031493C" w:rsidRDefault="001D520E" w:rsidP="001D520E">
            <w:pPr>
              <w:spacing w:line="240" w:lineRule="auto"/>
              <w:jc w:val="left"/>
              <w:rPr>
                <w:rFonts w:cs="Arial"/>
                <w:lang w:val="en-GB"/>
              </w:rPr>
            </w:pPr>
            <w:r w:rsidRPr="00A05D43">
              <w:rPr>
                <w:rFonts w:cs="Arial"/>
                <w:szCs w:val="22"/>
              </w:rPr>
              <w:t>oxo-C12-HSL, oxo-C16-HSL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 xml:space="preserve">Proteomic data, auxin-response </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i/>
                <w:lang w:val="de-DE"/>
              </w:rPr>
            </w:pPr>
            <w:r w:rsidRPr="00A05D43">
              <w:rPr>
                <w:rFonts w:cs="Arial"/>
                <w:i/>
                <w:szCs w:val="22"/>
              </w:rPr>
              <w:t xml:space="preserve">M. truncatula, </w:t>
            </w:r>
            <w:r w:rsidRPr="00A05D43">
              <w:rPr>
                <w:rFonts w:cs="Arial"/>
                <w:szCs w:val="22"/>
              </w:rPr>
              <w:t xml:space="preserve">White Clover </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(Mathesius et al. 2003)</w:t>
            </w:r>
          </w:p>
        </w:tc>
      </w:tr>
      <w:tr w:rsidR="001D520E" w:rsidRPr="008219BB" w:rsidTr="001D520E">
        <w:tblPrEx>
          <w:tblLook w:val="0420" w:firstRow="1" w:lastRow="0" w:firstColumn="0" w:lastColumn="0" w:noHBand="0" w:noVBand="1"/>
        </w:tblPrEx>
        <w:trPr>
          <w:trHeight w:val="787"/>
        </w:trPr>
        <w:tc>
          <w:tcPr>
            <w:tcW w:w="2267" w:type="dxa"/>
            <w:tcBorders>
              <w:top w:val="nil"/>
              <w:left w:val="single" w:sz="4" w:space="0" w:color="auto"/>
              <w:bottom w:val="nil"/>
              <w:right w:val="single" w:sz="4" w:space="0" w:color="auto"/>
            </w:tcBorders>
          </w:tcPr>
          <w:p w:rsidR="001D520E" w:rsidRPr="008219BB" w:rsidRDefault="001D520E" w:rsidP="001D520E">
            <w:pPr>
              <w:spacing w:line="240" w:lineRule="auto"/>
              <w:jc w:val="left"/>
              <w:rPr>
                <w:rFonts w:cs="Arial"/>
                <w:szCs w:val="22"/>
                <w:lang w:val="de-DE"/>
              </w:rPr>
            </w:pPr>
            <w:r w:rsidRPr="008219BB">
              <w:rPr>
                <w:rFonts w:cs="Arial"/>
                <w:i/>
                <w:iCs/>
                <w:szCs w:val="22"/>
              </w:rPr>
              <w:t xml:space="preserve">Sinorihzobium meliloti </w:t>
            </w:r>
          </w:p>
          <w:p w:rsidR="001D520E" w:rsidRPr="008219BB" w:rsidRDefault="001D520E" w:rsidP="001D520E">
            <w:pPr>
              <w:spacing w:line="240" w:lineRule="auto"/>
              <w:jc w:val="left"/>
              <w:rPr>
                <w:rFonts w:cs="Arial"/>
                <w:szCs w:val="22"/>
              </w:rPr>
            </w:pPr>
            <w:r w:rsidRPr="008219BB">
              <w:rPr>
                <w:rFonts w:cs="Arial"/>
                <w:szCs w:val="22"/>
              </w:rPr>
              <w:t>(oxo-C14-HSL)</w:t>
            </w:r>
          </w:p>
        </w:tc>
        <w:tc>
          <w:tcPr>
            <w:tcW w:w="2375" w:type="dxa"/>
            <w:tcBorders>
              <w:top w:val="nil"/>
              <w:left w:val="single" w:sz="4" w:space="0" w:color="auto"/>
              <w:bottom w:val="nil"/>
              <w:right w:val="single" w:sz="4" w:space="0" w:color="auto"/>
            </w:tcBorders>
            <w:shd w:val="clear" w:color="auto" w:fill="auto"/>
            <w:tcMar>
              <w:top w:w="104" w:type="dxa"/>
              <w:left w:w="108" w:type="dxa"/>
              <w:bottom w:w="104" w:type="dxa"/>
              <w:right w:w="108" w:type="dxa"/>
            </w:tcMar>
          </w:tcPr>
          <w:p w:rsidR="001D520E" w:rsidRPr="008219BB" w:rsidRDefault="001D520E" w:rsidP="001D520E">
            <w:pPr>
              <w:spacing w:line="240" w:lineRule="auto"/>
              <w:jc w:val="left"/>
              <w:rPr>
                <w:rFonts w:cs="Arial"/>
                <w:szCs w:val="22"/>
              </w:rPr>
            </w:pPr>
            <w:r>
              <w:rPr>
                <w:rFonts w:cs="Arial"/>
                <w:szCs w:val="22"/>
              </w:rPr>
              <w:t>Enhanced</w:t>
            </w:r>
            <w:r w:rsidRPr="008219BB">
              <w:rPr>
                <w:rFonts w:cs="Arial"/>
                <w:szCs w:val="22"/>
              </w:rPr>
              <w:t xml:space="preserve"> nodulation in roots</w:t>
            </w:r>
          </w:p>
        </w:tc>
        <w:tc>
          <w:tcPr>
            <w:tcW w:w="2096" w:type="dxa"/>
            <w:tcBorders>
              <w:top w:val="nil"/>
              <w:left w:val="single" w:sz="4" w:space="0" w:color="auto"/>
              <w:bottom w:val="nil"/>
              <w:right w:val="single" w:sz="4" w:space="0" w:color="auto"/>
            </w:tcBorders>
            <w:shd w:val="clear" w:color="auto" w:fill="auto"/>
            <w:tcMar>
              <w:top w:w="104" w:type="dxa"/>
              <w:left w:w="108" w:type="dxa"/>
              <w:bottom w:w="104" w:type="dxa"/>
              <w:right w:w="108" w:type="dxa"/>
            </w:tcMar>
          </w:tcPr>
          <w:p w:rsidR="001D520E" w:rsidRPr="008219BB" w:rsidRDefault="001D520E" w:rsidP="001D520E">
            <w:pPr>
              <w:spacing w:line="240" w:lineRule="auto"/>
              <w:jc w:val="left"/>
              <w:rPr>
                <w:rFonts w:cs="Arial"/>
                <w:i/>
                <w:szCs w:val="22"/>
              </w:rPr>
            </w:pPr>
            <w:r w:rsidRPr="008219BB">
              <w:rPr>
                <w:rFonts w:cs="Arial"/>
                <w:i/>
                <w:szCs w:val="22"/>
              </w:rPr>
              <w:t>M. truncatula</w:t>
            </w:r>
          </w:p>
        </w:tc>
        <w:tc>
          <w:tcPr>
            <w:tcW w:w="1626" w:type="dxa"/>
            <w:tcBorders>
              <w:top w:val="nil"/>
              <w:left w:val="single" w:sz="4" w:space="0" w:color="auto"/>
              <w:bottom w:val="nil"/>
              <w:right w:val="single" w:sz="4" w:space="0" w:color="auto"/>
            </w:tcBorders>
            <w:shd w:val="clear" w:color="auto" w:fill="auto"/>
            <w:tcMar>
              <w:top w:w="104" w:type="dxa"/>
              <w:left w:w="108" w:type="dxa"/>
              <w:bottom w:w="104" w:type="dxa"/>
              <w:right w:w="108" w:type="dxa"/>
            </w:tcMar>
          </w:tcPr>
          <w:p w:rsidR="001D520E" w:rsidRPr="008219BB" w:rsidRDefault="001D520E" w:rsidP="001D520E">
            <w:pPr>
              <w:spacing w:line="240" w:lineRule="auto"/>
              <w:jc w:val="left"/>
              <w:rPr>
                <w:rFonts w:cs="Arial"/>
                <w:szCs w:val="22"/>
              </w:rPr>
            </w:pPr>
            <w:r>
              <w:rPr>
                <w:rFonts w:cs="Arial"/>
                <w:noProof/>
                <w:szCs w:val="22"/>
              </w:rPr>
              <w:t>(Vikström et al. 2010)</w:t>
            </w:r>
          </w:p>
        </w:tc>
      </w:tr>
      <w:tr w:rsidR="001D520E" w:rsidRPr="00A05D43" w:rsidTr="001D520E">
        <w:trPr>
          <w:trHeight w:val="787"/>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t>oxo-C14-HSL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 xml:space="preserve">Resistance to biotrophic pathogenes, activation of MAP-Kinases, defense- gene regulation </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r w:rsidRPr="00A05D43">
              <w:rPr>
                <w:rFonts w:cs="Arial"/>
                <w:szCs w:val="22"/>
              </w:rPr>
              <w:t xml:space="preserve">, Barley </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(Schikora et al. 2011)</w:t>
            </w:r>
          </w:p>
        </w:tc>
      </w:tr>
      <w:tr w:rsidR="001D520E" w:rsidRPr="00A05D43" w:rsidTr="001D520E">
        <w:trPr>
          <w:trHeight w:val="787"/>
        </w:trPr>
        <w:tc>
          <w:tcPr>
            <w:tcW w:w="2267" w:type="dxa"/>
            <w:tcBorders>
              <w:top w:val="nil"/>
              <w:left w:val="single" w:sz="4" w:space="0" w:color="auto"/>
              <w:bottom w:val="nil"/>
              <w:right w:val="single" w:sz="4" w:space="0" w:color="auto"/>
            </w:tcBorders>
          </w:tcPr>
          <w:p w:rsidR="001D520E" w:rsidRPr="00A05D43" w:rsidRDefault="001D520E" w:rsidP="001D520E">
            <w:pPr>
              <w:spacing w:line="240" w:lineRule="auto"/>
              <w:jc w:val="left"/>
              <w:rPr>
                <w:rFonts w:cs="Arial"/>
                <w:lang w:val="de-DE"/>
              </w:rPr>
            </w:pPr>
            <w:r w:rsidRPr="00A05D43">
              <w:rPr>
                <w:rFonts w:cs="Arial"/>
                <w:szCs w:val="22"/>
              </w:rPr>
              <w:lastRenderedPageBreak/>
              <w:t>oxo-C14-HSL</w:t>
            </w:r>
          </w:p>
        </w:tc>
        <w:tc>
          <w:tcPr>
            <w:tcW w:w="2375" w:type="dxa"/>
            <w:tcBorders>
              <w:top w:val="nil"/>
              <w:left w:val="single" w:sz="4" w:space="0" w:color="auto"/>
              <w:bottom w:val="nil"/>
              <w:right w:val="single" w:sz="4" w:space="0" w:color="auto"/>
            </w:tcBorders>
            <w:tcMar>
              <w:top w:w="104" w:type="dxa"/>
              <w:left w:w="108" w:type="dxa"/>
              <w:bottom w:w="104" w:type="dxa"/>
              <w:right w:w="108" w:type="dxa"/>
            </w:tcMar>
          </w:tcPr>
          <w:p w:rsidR="001D520E" w:rsidRPr="0031493C" w:rsidRDefault="001D520E" w:rsidP="001D520E">
            <w:pPr>
              <w:spacing w:line="240" w:lineRule="auto"/>
              <w:jc w:val="left"/>
              <w:rPr>
                <w:rFonts w:cs="Arial"/>
                <w:lang w:val="en-GB"/>
              </w:rPr>
            </w:pPr>
            <w:r w:rsidRPr="00A05D43">
              <w:rPr>
                <w:rFonts w:cs="Arial"/>
                <w:szCs w:val="22"/>
              </w:rPr>
              <w:t>SA/oxylipine- related defense against biotrophic pathogenes</w:t>
            </w:r>
          </w:p>
        </w:tc>
        <w:tc>
          <w:tcPr>
            <w:tcW w:w="209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i/>
                <w:szCs w:val="22"/>
              </w:rPr>
              <w:t>Arabidopsis</w:t>
            </w:r>
            <w:r w:rsidRPr="00A05D43">
              <w:rPr>
                <w:rFonts w:cs="Arial"/>
                <w:szCs w:val="22"/>
              </w:rPr>
              <w:t xml:space="preserve"> </w:t>
            </w:r>
          </w:p>
        </w:tc>
        <w:tc>
          <w:tcPr>
            <w:tcW w:w="1626" w:type="dxa"/>
            <w:tcBorders>
              <w:top w:val="nil"/>
              <w:left w:val="single" w:sz="4" w:space="0" w:color="auto"/>
              <w:bottom w:val="nil"/>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(Schenk et al. 2014)</w:t>
            </w:r>
          </w:p>
        </w:tc>
      </w:tr>
      <w:tr w:rsidR="001D520E" w:rsidRPr="00A05D43" w:rsidTr="001D520E">
        <w:trPr>
          <w:trHeight w:val="787"/>
        </w:trPr>
        <w:tc>
          <w:tcPr>
            <w:tcW w:w="2267" w:type="dxa"/>
            <w:tcBorders>
              <w:top w:val="nil"/>
              <w:left w:val="single" w:sz="4" w:space="0" w:color="auto"/>
              <w:bottom w:val="single" w:sz="4" w:space="0" w:color="auto"/>
              <w:right w:val="single" w:sz="4" w:space="0" w:color="auto"/>
            </w:tcBorders>
          </w:tcPr>
          <w:p w:rsidR="001D520E" w:rsidRPr="00A05D43" w:rsidRDefault="00BF3CE9" w:rsidP="001D520E">
            <w:pPr>
              <w:spacing w:line="240" w:lineRule="auto"/>
              <w:jc w:val="left"/>
              <w:rPr>
                <w:rFonts w:cs="Arial"/>
                <w:lang w:val="de-DE"/>
              </w:rPr>
            </w:pPr>
            <w:r w:rsidRPr="00BF3CE9">
              <w:rPr>
                <w:rFonts w:cs="Arial"/>
                <w:i/>
                <w:iCs/>
                <w:szCs w:val="22"/>
                <w:lang w:val="de-DE"/>
              </w:rPr>
              <w:t>Sinorhi</w:t>
            </w:r>
            <w:r w:rsidR="001D520E" w:rsidRPr="00BF3CE9">
              <w:rPr>
                <w:rFonts w:cs="Arial"/>
                <w:i/>
                <w:iCs/>
                <w:szCs w:val="22"/>
                <w:lang w:val="de-DE"/>
              </w:rPr>
              <w:t xml:space="preserve">zobium meliloti </w:t>
            </w:r>
          </w:p>
          <w:p w:rsidR="001D520E" w:rsidRPr="00A05D43" w:rsidRDefault="001D520E" w:rsidP="001D520E">
            <w:pPr>
              <w:spacing w:line="240" w:lineRule="auto"/>
              <w:jc w:val="left"/>
              <w:rPr>
                <w:rFonts w:cs="Arial"/>
                <w:lang w:val="de-DE"/>
              </w:rPr>
            </w:pPr>
            <w:r w:rsidRPr="00BF3CE9">
              <w:rPr>
                <w:rFonts w:cs="Arial"/>
                <w:szCs w:val="22"/>
                <w:lang w:val="de-DE"/>
              </w:rPr>
              <w:t xml:space="preserve">(oxo-C14-HSL) </w:t>
            </w:r>
          </w:p>
        </w:tc>
        <w:tc>
          <w:tcPr>
            <w:tcW w:w="2375" w:type="dxa"/>
            <w:tcBorders>
              <w:top w:val="nil"/>
              <w:left w:val="single" w:sz="4" w:space="0" w:color="auto"/>
              <w:bottom w:val="single" w:sz="4" w:space="0" w:color="auto"/>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 xml:space="preserve">Resistance against biotrophic pathogens </w:t>
            </w:r>
          </w:p>
        </w:tc>
        <w:tc>
          <w:tcPr>
            <w:tcW w:w="2096" w:type="dxa"/>
            <w:tcBorders>
              <w:top w:val="nil"/>
              <w:left w:val="single" w:sz="4" w:space="0" w:color="auto"/>
              <w:bottom w:val="single" w:sz="4" w:space="0" w:color="auto"/>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sidRPr="00A05D43">
              <w:rPr>
                <w:rFonts w:cs="Arial"/>
                <w:szCs w:val="22"/>
              </w:rPr>
              <w:t xml:space="preserve">Tomato, Barley, Wheat, </w:t>
            </w:r>
            <w:r w:rsidRPr="00A05D43">
              <w:rPr>
                <w:rFonts w:cs="Arial"/>
                <w:i/>
                <w:szCs w:val="22"/>
              </w:rPr>
              <w:t>Arabidopsis</w:t>
            </w:r>
          </w:p>
        </w:tc>
        <w:tc>
          <w:tcPr>
            <w:tcW w:w="1626" w:type="dxa"/>
            <w:tcBorders>
              <w:top w:val="nil"/>
              <w:left w:val="single" w:sz="4" w:space="0" w:color="auto"/>
              <w:bottom w:val="single" w:sz="4" w:space="0" w:color="auto"/>
              <w:right w:val="single" w:sz="4" w:space="0" w:color="auto"/>
            </w:tcBorders>
            <w:tcMar>
              <w:top w:w="104" w:type="dxa"/>
              <w:left w:w="108" w:type="dxa"/>
              <w:bottom w:w="104" w:type="dxa"/>
              <w:right w:w="108" w:type="dxa"/>
            </w:tcMar>
          </w:tcPr>
          <w:p w:rsidR="001D520E" w:rsidRPr="00A05D43" w:rsidRDefault="001D520E" w:rsidP="001D520E">
            <w:pPr>
              <w:spacing w:line="240" w:lineRule="auto"/>
              <w:jc w:val="left"/>
              <w:rPr>
                <w:rFonts w:cs="Arial"/>
                <w:lang w:val="de-DE"/>
              </w:rPr>
            </w:pPr>
            <w:r>
              <w:rPr>
                <w:rFonts w:cs="Arial"/>
                <w:noProof/>
                <w:szCs w:val="22"/>
              </w:rPr>
              <w:t>(Hernández-Reyes et al. 2014)</w:t>
            </w:r>
          </w:p>
        </w:tc>
      </w:tr>
    </w:tbl>
    <w:p w:rsidR="001D520E" w:rsidRDefault="001D520E" w:rsidP="001D520E">
      <w:pPr>
        <w:rPr>
          <w:rFonts w:cs="Arial"/>
          <w:szCs w:val="22"/>
        </w:rPr>
      </w:pPr>
    </w:p>
    <w:p w:rsidR="001D520E" w:rsidRPr="0031493C" w:rsidRDefault="001D520E" w:rsidP="001D520E">
      <w:pPr>
        <w:pStyle w:val="berschrift1"/>
        <w:rPr>
          <w:rFonts w:ascii="Arial" w:hAnsi="Arial" w:cs="Arial"/>
          <w:sz w:val="22"/>
          <w:szCs w:val="22"/>
        </w:rPr>
      </w:pPr>
      <w:r w:rsidRPr="0031493C">
        <w:rPr>
          <w:rFonts w:ascii="Arial" w:hAnsi="Arial" w:cs="Arial"/>
          <w:sz w:val="22"/>
          <w:szCs w:val="22"/>
        </w:rPr>
        <w:t>Figure 1</w:t>
      </w:r>
    </w:p>
    <w:p w:rsidR="001D520E" w:rsidRDefault="001D520E" w:rsidP="001D520E">
      <w:r>
        <w:t>Shown is t</w:t>
      </w:r>
      <w:r w:rsidRPr="0031493C">
        <w:t xml:space="preserve">he general structure of </w:t>
      </w:r>
      <w:r w:rsidRPr="0031493C">
        <w:rPr>
          <w:i/>
        </w:rPr>
        <w:t>N</w:t>
      </w:r>
      <w:r w:rsidRPr="0031493C">
        <w:t>-ac</w:t>
      </w:r>
      <w:r w:rsidR="00BF3CE9">
        <w:t>yl</w:t>
      </w:r>
      <w:r w:rsidRPr="0031493C">
        <w:t xml:space="preserve"> homoserine lactones (AHLs)</w:t>
      </w:r>
      <w:r>
        <w:t xml:space="preserve">, </w:t>
      </w:r>
      <w:r w:rsidRPr="0031493C">
        <w:t>the AI-molecules in many Gramm-negative bacteria</w:t>
      </w:r>
      <w:r>
        <w:t>. R - acyl chain can range from 4 to 18 carbon atoms.</w:t>
      </w:r>
    </w:p>
    <w:p w:rsidR="001D520E" w:rsidRPr="008219BB" w:rsidRDefault="001D520E" w:rsidP="001D520E">
      <w:pPr>
        <w:rPr>
          <w:rFonts w:cs="Arial"/>
          <w:szCs w:val="22"/>
        </w:rPr>
      </w:pPr>
      <w:r>
        <w:rPr>
          <w:rFonts w:cs="Arial"/>
          <w:noProof/>
          <w:szCs w:val="22"/>
          <w:lang w:val="de-DE" w:eastAsia="de-DE"/>
        </w:rPr>
        <w:drawing>
          <wp:anchor distT="0" distB="0" distL="114300" distR="114300" simplePos="0" relativeHeight="251659264" behindDoc="0" locked="0" layoutInCell="1" allowOverlap="1" wp14:anchorId="47B0D5D6" wp14:editId="66084563">
            <wp:simplePos x="0" y="0"/>
            <wp:positionH relativeFrom="column">
              <wp:posOffset>0</wp:posOffset>
            </wp:positionH>
            <wp:positionV relativeFrom="paragraph">
              <wp:posOffset>325120</wp:posOffset>
            </wp:positionV>
            <wp:extent cx="3812540" cy="24955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yl_Homoserine_Lactone.tif"/>
                    <pic:cNvPicPr/>
                  </pic:nvPicPr>
                  <pic:blipFill>
                    <a:blip r:embed="rId7">
                      <a:extLst>
                        <a:ext uri="{28A0092B-C50C-407E-A947-70E740481C1C}">
                          <a14:useLocalDpi xmlns:a14="http://schemas.microsoft.com/office/drawing/2010/main" val="0"/>
                        </a:ext>
                      </a:extLst>
                    </a:blip>
                    <a:stretch>
                      <a:fillRect/>
                    </a:stretch>
                  </pic:blipFill>
                  <pic:spPr>
                    <a:xfrm>
                      <a:off x="0" y="0"/>
                      <a:ext cx="3812540" cy="2495550"/>
                    </a:xfrm>
                    <a:prstGeom prst="rect">
                      <a:avLst/>
                    </a:prstGeom>
                  </pic:spPr>
                </pic:pic>
              </a:graphicData>
            </a:graphic>
            <wp14:sizeRelH relativeFrom="page">
              <wp14:pctWidth>0</wp14:pctWidth>
            </wp14:sizeRelH>
            <wp14:sizeRelV relativeFrom="page">
              <wp14:pctHeight>0</wp14:pctHeight>
            </wp14:sizeRelV>
          </wp:anchor>
        </w:drawing>
      </w:r>
    </w:p>
    <w:p w:rsidR="000C6DA1" w:rsidRDefault="000C6DA1"/>
    <w:sectPr w:rsidR="000C6DA1" w:rsidSect="001D520E">
      <w:headerReference w:type="default" r:id="rId8"/>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76" w:rsidRDefault="002E6876">
      <w:pPr>
        <w:spacing w:line="240" w:lineRule="auto"/>
      </w:pPr>
      <w:r>
        <w:separator/>
      </w:r>
    </w:p>
  </w:endnote>
  <w:endnote w:type="continuationSeparator" w:id="0">
    <w:p w:rsidR="002E6876" w:rsidRDefault="002E6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7C" w:rsidRDefault="00E6477C" w:rsidP="001D520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E6477C" w:rsidRDefault="00E6477C" w:rsidP="001D520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7C" w:rsidRDefault="00E6477C" w:rsidP="001D520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F6F3C">
      <w:rPr>
        <w:rStyle w:val="Seitenzahl"/>
        <w:noProof/>
      </w:rPr>
      <w:t>1</w:t>
    </w:r>
    <w:r>
      <w:rPr>
        <w:rStyle w:val="Seitenzahl"/>
      </w:rPr>
      <w:fldChar w:fldCharType="end"/>
    </w:r>
  </w:p>
  <w:p w:rsidR="00E6477C" w:rsidRDefault="00E6477C" w:rsidP="001D520E">
    <w:pPr>
      <w:pStyle w:val="Fuzeile"/>
      <w:pBdr>
        <w:top w:val="single" w:sz="4"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76" w:rsidRDefault="002E6876">
      <w:pPr>
        <w:spacing w:line="240" w:lineRule="auto"/>
      </w:pPr>
      <w:r>
        <w:separator/>
      </w:r>
    </w:p>
  </w:footnote>
  <w:footnote w:type="continuationSeparator" w:id="0">
    <w:p w:rsidR="002E6876" w:rsidRDefault="002E68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7C" w:rsidRDefault="00E6477C" w:rsidP="001D520E">
    <w:pPr>
      <w:pStyle w:val="Kopfzeile"/>
      <w:pBdr>
        <w:bottom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D520E"/>
    <w:rsid w:val="00092388"/>
    <w:rsid w:val="000C6DA1"/>
    <w:rsid w:val="00143BC8"/>
    <w:rsid w:val="00181936"/>
    <w:rsid w:val="00196297"/>
    <w:rsid w:val="001D520E"/>
    <w:rsid w:val="001E667C"/>
    <w:rsid w:val="001E7772"/>
    <w:rsid w:val="001F6F3C"/>
    <w:rsid w:val="002E6876"/>
    <w:rsid w:val="003626DB"/>
    <w:rsid w:val="004F5791"/>
    <w:rsid w:val="005D5EF2"/>
    <w:rsid w:val="00665140"/>
    <w:rsid w:val="008C4913"/>
    <w:rsid w:val="00913F23"/>
    <w:rsid w:val="0092609C"/>
    <w:rsid w:val="0098258B"/>
    <w:rsid w:val="009C200E"/>
    <w:rsid w:val="00A02D69"/>
    <w:rsid w:val="00A05120"/>
    <w:rsid w:val="00A57672"/>
    <w:rsid w:val="00B640F3"/>
    <w:rsid w:val="00BA4929"/>
    <w:rsid w:val="00BF3CE9"/>
    <w:rsid w:val="00C93E09"/>
    <w:rsid w:val="00CC53B8"/>
    <w:rsid w:val="00E6477C"/>
    <w:rsid w:val="00F75FA5"/>
    <w:rsid w:val="00FA7F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520E"/>
    <w:pPr>
      <w:spacing w:line="360" w:lineRule="auto"/>
      <w:jc w:val="both"/>
    </w:pPr>
    <w:rPr>
      <w:rFonts w:ascii="Arial" w:eastAsia="MS ??" w:hAnsi="Arial" w:cs="Times New Roman"/>
      <w:sz w:val="22"/>
    </w:rPr>
  </w:style>
  <w:style w:type="paragraph" w:styleId="berschrift1">
    <w:name w:val="heading 1"/>
    <w:basedOn w:val="Standard"/>
    <w:next w:val="Standard"/>
    <w:link w:val="berschrift1Zchn"/>
    <w:uiPriority w:val="99"/>
    <w:qFormat/>
    <w:rsid w:val="001D520E"/>
    <w:pPr>
      <w:keepNext/>
      <w:keepLines/>
      <w:spacing w:before="480"/>
      <w:outlineLvl w:val="0"/>
    </w:pPr>
    <w:rPr>
      <w:rFonts w:ascii="Calibri" w:eastAsia="MS ????" w:hAnsi="Calibri"/>
      <w:b/>
      <w:bCs/>
      <w:color w:val="345A8A"/>
      <w:sz w:val="32"/>
      <w:szCs w:val="32"/>
    </w:rPr>
  </w:style>
  <w:style w:type="paragraph" w:styleId="berschrift2">
    <w:name w:val="heading 2"/>
    <w:basedOn w:val="Standard"/>
    <w:next w:val="Standard"/>
    <w:link w:val="berschrift2Zchn"/>
    <w:uiPriority w:val="99"/>
    <w:qFormat/>
    <w:rsid w:val="001D520E"/>
    <w:pPr>
      <w:keepNext/>
      <w:keepLines/>
      <w:spacing w:before="200"/>
      <w:outlineLvl w:val="1"/>
    </w:pPr>
    <w:rPr>
      <w:rFonts w:ascii="Calibri" w:eastAsia="MS ????" w:hAnsi="Calibri"/>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1D520E"/>
    <w:rPr>
      <w:rFonts w:ascii="Calibri" w:eastAsia="MS ????" w:hAnsi="Calibri" w:cs="Times New Roman"/>
      <w:b/>
      <w:bCs/>
      <w:color w:val="345A8A"/>
      <w:sz w:val="32"/>
      <w:szCs w:val="32"/>
    </w:rPr>
  </w:style>
  <w:style w:type="character" w:customStyle="1" w:styleId="berschrift2Zchn">
    <w:name w:val="Überschrift 2 Zchn"/>
    <w:basedOn w:val="Absatz-Standardschriftart"/>
    <w:link w:val="berschrift2"/>
    <w:uiPriority w:val="99"/>
    <w:rsid w:val="001D520E"/>
    <w:rPr>
      <w:rFonts w:ascii="Calibri" w:eastAsia="MS ????" w:hAnsi="Calibri" w:cs="Times New Roman"/>
      <w:b/>
      <w:bCs/>
      <w:color w:val="4F81BD"/>
      <w:sz w:val="26"/>
      <w:szCs w:val="26"/>
    </w:rPr>
  </w:style>
  <w:style w:type="paragraph" w:styleId="Kopfzeile">
    <w:name w:val="header"/>
    <w:basedOn w:val="Standard"/>
    <w:link w:val="KopfzeileZchn"/>
    <w:uiPriority w:val="99"/>
    <w:rsid w:val="001D520E"/>
    <w:pPr>
      <w:tabs>
        <w:tab w:val="center" w:pos="4153"/>
        <w:tab w:val="right" w:pos="8306"/>
      </w:tabs>
      <w:spacing w:line="240" w:lineRule="auto"/>
    </w:pPr>
  </w:style>
  <w:style w:type="character" w:customStyle="1" w:styleId="KopfzeileZchn">
    <w:name w:val="Kopfzeile Zchn"/>
    <w:basedOn w:val="Absatz-Standardschriftart"/>
    <w:link w:val="Kopfzeile"/>
    <w:uiPriority w:val="99"/>
    <w:rsid w:val="001D520E"/>
    <w:rPr>
      <w:rFonts w:ascii="Arial" w:eastAsia="MS ??" w:hAnsi="Arial" w:cs="Times New Roman"/>
      <w:sz w:val="22"/>
    </w:rPr>
  </w:style>
  <w:style w:type="paragraph" w:styleId="Fuzeile">
    <w:name w:val="footer"/>
    <w:basedOn w:val="Standard"/>
    <w:link w:val="FuzeileZchn"/>
    <w:uiPriority w:val="99"/>
    <w:rsid w:val="001D520E"/>
    <w:pPr>
      <w:tabs>
        <w:tab w:val="center" w:pos="4153"/>
        <w:tab w:val="right" w:pos="8306"/>
      </w:tabs>
      <w:spacing w:line="240" w:lineRule="auto"/>
    </w:pPr>
  </w:style>
  <w:style w:type="character" w:customStyle="1" w:styleId="FuzeileZchn">
    <w:name w:val="Fußzeile Zchn"/>
    <w:basedOn w:val="Absatz-Standardschriftart"/>
    <w:link w:val="Fuzeile"/>
    <w:uiPriority w:val="99"/>
    <w:rsid w:val="001D520E"/>
    <w:rPr>
      <w:rFonts w:ascii="Arial" w:eastAsia="MS ??" w:hAnsi="Arial" w:cs="Times New Roman"/>
      <w:sz w:val="22"/>
    </w:rPr>
  </w:style>
  <w:style w:type="character" w:styleId="Seitenzahl">
    <w:name w:val="page number"/>
    <w:basedOn w:val="Absatz-Standardschriftart"/>
    <w:uiPriority w:val="99"/>
    <w:semiHidden/>
    <w:rsid w:val="001D520E"/>
    <w:rPr>
      <w:rFonts w:cs="Times New Roman"/>
    </w:rPr>
  </w:style>
  <w:style w:type="character" w:styleId="Hyperlink">
    <w:name w:val="Hyperlink"/>
    <w:basedOn w:val="Absatz-Standardschriftart"/>
    <w:uiPriority w:val="99"/>
    <w:rsid w:val="001D520E"/>
    <w:rPr>
      <w:rFonts w:cs="Times New Roman"/>
      <w:color w:val="0000FF"/>
      <w:u w:val="single"/>
    </w:rPr>
  </w:style>
  <w:style w:type="character" w:styleId="Zeilennummer">
    <w:name w:val="line number"/>
    <w:basedOn w:val="Absatz-Standardschriftart"/>
    <w:uiPriority w:val="99"/>
    <w:semiHidden/>
    <w:rsid w:val="001D520E"/>
    <w:rPr>
      <w:rFonts w:cs="Times New Roman"/>
    </w:rPr>
  </w:style>
  <w:style w:type="paragraph" w:styleId="Titel">
    <w:name w:val="Title"/>
    <w:basedOn w:val="Standard"/>
    <w:next w:val="Standard"/>
    <w:link w:val="TitelZchn"/>
    <w:uiPriority w:val="99"/>
    <w:qFormat/>
    <w:rsid w:val="001D520E"/>
    <w:pPr>
      <w:pBdr>
        <w:bottom w:val="single" w:sz="8" w:space="4" w:color="4F81BD"/>
      </w:pBdr>
      <w:spacing w:after="300" w:line="240" w:lineRule="auto"/>
      <w:contextualSpacing/>
    </w:pPr>
    <w:rPr>
      <w:rFonts w:ascii="Calibri" w:eastAsia="MS ????" w:hAnsi="Calibri"/>
      <w:color w:val="17365D"/>
      <w:spacing w:val="5"/>
      <w:kern w:val="28"/>
      <w:sz w:val="52"/>
      <w:szCs w:val="52"/>
    </w:rPr>
  </w:style>
  <w:style w:type="character" w:customStyle="1" w:styleId="TitelZchn">
    <w:name w:val="Titel Zchn"/>
    <w:basedOn w:val="Absatz-Standardschriftart"/>
    <w:link w:val="Titel"/>
    <w:uiPriority w:val="99"/>
    <w:rsid w:val="001D520E"/>
    <w:rPr>
      <w:rFonts w:ascii="Calibri" w:eastAsia="MS ????" w:hAnsi="Calibri" w:cs="Times New Roman"/>
      <w:color w:val="17365D"/>
      <w:spacing w:val="5"/>
      <w:kern w:val="28"/>
      <w:sz w:val="52"/>
      <w:szCs w:val="52"/>
    </w:rPr>
  </w:style>
  <w:style w:type="paragraph" w:styleId="Sprechblasentext">
    <w:name w:val="Balloon Text"/>
    <w:basedOn w:val="Standard"/>
    <w:link w:val="SprechblasentextZchn"/>
    <w:uiPriority w:val="99"/>
    <w:semiHidden/>
    <w:rsid w:val="001D520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20E"/>
    <w:rPr>
      <w:rFonts w:ascii="Tahoma" w:eastAsia="MS ??" w:hAnsi="Tahoma" w:cs="Tahoma"/>
      <w:sz w:val="16"/>
      <w:szCs w:val="16"/>
    </w:rPr>
  </w:style>
  <w:style w:type="paragraph" w:customStyle="1" w:styleId="EndNoteBibliographyTitle">
    <w:name w:val="EndNote Bibliography Title"/>
    <w:basedOn w:val="Standard"/>
    <w:uiPriority w:val="99"/>
    <w:rsid w:val="001D520E"/>
    <w:pPr>
      <w:jc w:val="center"/>
    </w:pPr>
    <w:rPr>
      <w:rFonts w:cs="Arial"/>
    </w:rPr>
  </w:style>
  <w:style w:type="paragraph" w:customStyle="1" w:styleId="EndNoteBibliography">
    <w:name w:val="EndNote Bibliography"/>
    <w:basedOn w:val="Standard"/>
    <w:uiPriority w:val="99"/>
    <w:rsid w:val="001D520E"/>
    <w:pPr>
      <w:spacing w:line="240" w:lineRule="auto"/>
    </w:pPr>
    <w:rPr>
      <w:rFonts w:cs="Arial"/>
    </w:rPr>
  </w:style>
  <w:style w:type="character" w:styleId="Kommentarzeichen">
    <w:name w:val="annotation reference"/>
    <w:basedOn w:val="Absatz-Standardschriftart"/>
    <w:uiPriority w:val="99"/>
    <w:semiHidden/>
    <w:unhideWhenUsed/>
    <w:rsid w:val="001D520E"/>
    <w:rPr>
      <w:sz w:val="16"/>
      <w:szCs w:val="16"/>
    </w:rPr>
  </w:style>
  <w:style w:type="paragraph" w:styleId="Kommentartext">
    <w:name w:val="annotation text"/>
    <w:basedOn w:val="Standard"/>
    <w:link w:val="KommentartextZchn"/>
    <w:uiPriority w:val="99"/>
    <w:semiHidden/>
    <w:unhideWhenUsed/>
    <w:rsid w:val="001D52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520E"/>
    <w:rPr>
      <w:rFonts w:ascii="Arial" w:eastAsia="MS ??"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1D520E"/>
    <w:rPr>
      <w:b/>
      <w:bCs/>
    </w:rPr>
  </w:style>
  <w:style w:type="character" w:customStyle="1" w:styleId="KommentarthemaZchn">
    <w:name w:val="Kommentarthema Zchn"/>
    <w:basedOn w:val="KommentartextZchn"/>
    <w:link w:val="Kommentarthema"/>
    <w:uiPriority w:val="99"/>
    <w:semiHidden/>
    <w:rsid w:val="001D520E"/>
    <w:rPr>
      <w:rFonts w:ascii="Arial" w:eastAsia="MS ??"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520E"/>
    <w:pPr>
      <w:spacing w:line="360" w:lineRule="auto"/>
      <w:jc w:val="both"/>
    </w:pPr>
    <w:rPr>
      <w:rFonts w:ascii="Arial" w:eastAsia="MS ??" w:hAnsi="Arial" w:cs="Times New Roman"/>
      <w:sz w:val="22"/>
    </w:rPr>
  </w:style>
  <w:style w:type="paragraph" w:styleId="berschrift1">
    <w:name w:val="heading 1"/>
    <w:basedOn w:val="Standard"/>
    <w:next w:val="Standard"/>
    <w:link w:val="berschrift1Zchn"/>
    <w:uiPriority w:val="99"/>
    <w:qFormat/>
    <w:rsid w:val="001D520E"/>
    <w:pPr>
      <w:keepNext/>
      <w:keepLines/>
      <w:spacing w:before="480"/>
      <w:outlineLvl w:val="0"/>
    </w:pPr>
    <w:rPr>
      <w:rFonts w:ascii="Calibri" w:eastAsia="MS ????" w:hAnsi="Calibri"/>
      <w:b/>
      <w:bCs/>
      <w:color w:val="345A8A"/>
      <w:sz w:val="32"/>
      <w:szCs w:val="32"/>
    </w:rPr>
  </w:style>
  <w:style w:type="paragraph" w:styleId="berschrift2">
    <w:name w:val="heading 2"/>
    <w:basedOn w:val="Standard"/>
    <w:next w:val="Standard"/>
    <w:link w:val="berschrift2Zchn"/>
    <w:uiPriority w:val="99"/>
    <w:qFormat/>
    <w:rsid w:val="001D520E"/>
    <w:pPr>
      <w:keepNext/>
      <w:keepLines/>
      <w:spacing w:before="200"/>
      <w:outlineLvl w:val="1"/>
    </w:pPr>
    <w:rPr>
      <w:rFonts w:ascii="Calibri" w:eastAsia="MS ????" w:hAnsi="Calibri"/>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1D520E"/>
    <w:rPr>
      <w:rFonts w:ascii="Calibri" w:eastAsia="MS ????" w:hAnsi="Calibri" w:cs="Times New Roman"/>
      <w:b/>
      <w:bCs/>
      <w:color w:val="345A8A"/>
      <w:sz w:val="32"/>
      <w:szCs w:val="32"/>
    </w:rPr>
  </w:style>
  <w:style w:type="character" w:customStyle="1" w:styleId="berschrift2Zchn">
    <w:name w:val="Überschrift 2 Zchn"/>
    <w:basedOn w:val="Absatz-Standardschriftart"/>
    <w:link w:val="berschrift2"/>
    <w:uiPriority w:val="99"/>
    <w:rsid w:val="001D520E"/>
    <w:rPr>
      <w:rFonts w:ascii="Calibri" w:eastAsia="MS ????" w:hAnsi="Calibri" w:cs="Times New Roman"/>
      <w:b/>
      <w:bCs/>
      <w:color w:val="4F81BD"/>
      <w:sz w:val="26"/>
      <w:szCs w:val="26"/>
    </w:rPr>
  </w:style>
  <w:style w:type="paragraph" w:styleId="Kopfzeile">
    <w:name w:val="header"/>
    <w:basedOn w:val="Standard"/>
    <w:link w:val="KopfzeileZchn"/>
    <w:uiPriority w:val="99"/>
    <w:rsid w:val="001D520E"/>
    <w:pPr>
      <w:tabs>
        <w:tab w:val="center" w:pos="4153"/>
        <w:tab w:val="right" w:pos="8306"/>
      </w:tabs>
      <w:spacing w:line="240" w:lineRule="auto"/>
    </w:pPr>
  </w:style>
  <w:style w:type="character" w:customStyle="1" w:styleId="KopfzeileZchn">
    <w:name w:val="Kopfzeile Zchn"/>
    <w:basedOn w:val="Absatz-Standardschriftart"/>
    <w:link w:val="Kopfzeile"/>
    <w:uiPriority w:val="99"/>
    <w:rsid w:val="001D520E"/>
    <w:rPr>
      <w:rFonts w:ascii="Arial" w:eastAsia="MS ??" w:hAnsi="Arial" w:cs="Times New Roman"/>
      <w:sz w:val="22"/>
    </w:rPr>
  </w:style>
  <w:style w:type="paragraph" w:styleId="Fuzeile">
    <w:name w:val="footer"/>
    <w:basedOn w:val="Standard"/>
    <w:link w:val="FuzeileZchn"/>
    <w:uiPriority w:val="99"/>
    <w:rsid w:val="001D520E"/>
    <w:pPr>
      <w:tabs>
        <w:tab w:val="center" w:pos="4153"/>
        <w:tab w:val="right" w:pos="8306"/>
      </w:tabs>
      <w:spacing w:line="240" w:lineRule="auto"/>
    </w:pPr>
  </w:style>
  <w:style w:type="character" w:customStyle="1" w:styleId="FuzeileZchn">
    <w:name w:val="Fußzeile Zchn"/>
    <w:basedOn w:val="Absatz-Standardschriftart"/>
    <w:link w:val="Fuzeile"/>
    <w:uiPriority w:val="99"/>
    <w:rsid w:val="001D520E"/>
    <w:rPr>
      <w:rFonts w:ascii="Arial" w:eastAsia="MS ??" w:hAnsi="Arial" w:cs="Times New Roman"/>
      <w:sz w:val="22"/>
    </w:rPr>
  </w:style>
  <w:style w:type="character" w:styleId="Seitenzahl">
    <w:name w:val="page number"/>
    <w:basedOn w:val="Absatz-Standardschriftart"/>
    <w:uiPriority w:val="99"/>
    <w:semiHidden/>
    <w:rsid w:val="001D520E"/>
    <w:rPr>
      <w:rFonts w:cs="Times New Roman"/>
    </w:rPr>
  </w:style>
  <w:style w:type="character" w:styleId="Hyperlink">
    <w:name w:val="Hyperlink"/>
    <w:basedOn w:val="Absatz-Standardschriftart"/>
    <w:uiPriority w:val="99"/>
    <w:rsid w:val="001D520E"/>
    <w:rPr>
      <w:rFonts w:cs="Times New Roman"/>
      <w:color w:val="0000FF"/>
      <w:u w:val="single"/>
    </w:rPr>
  </w:style>
  <w:style w:type="character" w:styleId="Zeilennummer">
    <w:name w:val="line number"/>
    <w:basedOn w:val="Absatz-Standardschriftart"/>
    <w:uiPriority w:val="99"/>
    <w:semiHidden/>
    <w:rsid w:val="001D520E"/>
    <w:rPr>
      <w:rFonts w:cs="Times New Roman"/>
    </w:rPr>
  </w:style>
  <w:style w:type="paragraph" w:styleId="Titel">
    <w:name w:val="Title"/>
    <w:basedOn w:val="Standard"/>
    <w:next w:val="Standard"/>
    <w:link w:val="TitelZchn"/>
    <w:uiPriority w:val="99"/>
    <w:qFormat/>
    <w:rsid w:val="001D520E"/>
    <w:pPr>
      <w:pBdr>
        <w:bottom w:val="single" w:sz="8" w:space="4" w:color="4F81BD"/>
      </w:pBdr>
      <w:spacing w:after="300" w:line="240" w:lineRule="auto"/>
      <w:contextualSpacing/>
    </w:pPr>
    <w:rPr>
      <w:rFonts w:ascii="Calibri" w:eastAsia="MS ????" w:hAnsi="Calibri"/>
      <w:color w:val="17365D"/>
      <w:spacing w:val="5"/>
      <w:kern w:val="28"/>
      <w:sz w:val="52"/>
      <w:szCs w:val="52"/>
    </w:rPr>
  </w:style>
  <w:style w:type="character" w:customStyle="1" w:styleId="TitelZchn">
    <w:name w:val="Titel Zchn"/>
    <w:basedOn w:val="Absatz-Standardschriftart"/>
    <w:link w:val="Titel"/>
    <w:uiPriority w:val="99"/>
    <w:rsid w:val="001D520E"/>
    <w:rPr>
      <w:rFonts w:ascii="Calibri" w:eastAsia="MS ????" w:hAnsi="Calibri" w:cs="Times New Roman"/>
      <w:color w:val="17365D"/>
      <w:spacing w:val="5"/>
      <w:kern w:val="28"/>
      <w:sz w:val="52"/>
      <w:szCs w:val="52"/>
    </w:rPr>
  </w:style>
  <w:style w:type="paragraph" w:styleId="Sprechblasentext">
    <w:name w:val="Balloon Text"/>
    <w:basedOn w:val="Standard"/>
    <w:link w:val="SprechblasentextZchn"/>
    <w:uiPriority w:val="99"/>
    <w:semiHidden/>
    <w:rsid w:val="001D520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20E"/>
    <w:rPr>
      <w:rFonts w:ascii="Tahoma" w:eastAsia="MS ??" w:hAnsi="Tahoma" w:cs="Tahoma"/>
      <w:sz w:val="16"/>
      <w:szCs w:val="16"/>
    </w:rPr>
  </w:style>
  <w:style w:type="paragraph" w:customStyle="1" w:styleId="EndNoteBibliographyTitle">
    <w:name w:val="EndNote Bibliography Title"/>
    <w:basedOn w:val="Standard"/>
    <w:uiPriority w:val="99"/>
    <w:rsid w:val="001D520E"/>
    <w:pPr>
      <w:jc w:val="center"/>
    </w:pPr>
    <w:rPr>
      <w:rFonts w:cs="Arial"/>
    </w:rPr>
  </w:style>
  <w:style w:type="paragraph" w:customStyle="1" w:styleId="EndNoteBibliography">
    <w:name w:val="EndNote Bibliography"/>
    <w:basedOn w:val="Standard"/>
    <w:uiPriority w:val="99"/>
    <w:rsid w:val="001D520E"/>
    <w:pPr>
      <w:spacing w:line="240" w:lineRule="auto"/>
    </w:pPr>
    <w:rPr>
      <w:rFonts w:cs="Arial"/>
    </w:rPr>
  </w:style>
  <w:style w:type="character" w:styleId="Kommentarzeichen">
    <w:name w:val="annotation reference"/>
    <w:basedOn w:val="Absatz-Standardschriftart"/>
    <w:uiPriority w:val="99"/>
    <w:semiHidden/>
    <w:unhideWhenUsed/>
    <w:rsid w:val="001D520E"/>
    <w:rPr>
      <w:sz w:val="16"/>
      <w:szCs w:val="16"/>
    </w:rPr>
  </w:style>
  <w:style w:type="paragraph" w:styleId="Kommentartext">
    <w:name w:val="annotation text"/>
    <w:basedOn w:val="Standard"/>
    <w:link w:val="KommentartextZchn"/>
    <w:uiPriority w:val="99"/>
    <w:semiHidden/>
    <w:unhideWhenUsed/>
    <w:rsid w:val="001D52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520E"/>
    <w:rPr>
      <w:rFonts w:ascii="Arial" w:eastAsia="MS ??"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1D520E"/>
    <w:rPr>
      <w:b/>
      <w:bCs/>
    </w:rPr>
  </w:style>
  <w:style w:type="character" w:customStyle="1" w:styleId="KommentarthemaZchn">
    <w:name w:val="Kommentarthema Zchn"/>
    <w:basedOn w:val="KommentartextZchn"/>
    <w:link w:val="Kommentarthema"/>
    <w:uiPriority w:val="99"/>
    <w:semiHidden/>
    <w:rsid w:val="001D520E"/>
    <w:rPr>
      <w:rFonts w:ascii="Arial" w:eastAsia="MS ??"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4815</Words>
  <Characters>30337</Characters>
  <Application>Microsoft Office Word</Application>
  <DocSecurity>0</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IPAZ</Company>
  <LinksUpToDate>false</LinksUpToDate>
  <CharactersWithSpaces>35082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Schikora</dc:creator>
  <cp:lastModifiedBy>Katrin.rauner</cp:lastModifiedBy>
  <cp:revision>2</cp:revision>
  <dcterms:created xsi:type="dcterms:W3CDTF">2018-04-27T10:17:00Z</dcterms:created>
  <dcterms:modified xsi:type="dcterms:W3CDTF">2018-04-27T10:17:00Z</dcterms:modified>
</cp:coreProperties>
</file>