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646" w:rsidRPr="00F27646" w:rsidRDefault="00F27646" w:rsidP="00F27646">
      <w:pPr>
        <w:rPr>
          <w:rFonts w:cs="Arial"/>
          <w:b/>
          <w:szCs w:val="20"/>
          <w:lang w:val="en-US"/>
        </w:rPr>
      </w:pPr>
      <w:r w:rsidRPr="00F27646">
        <w:rPr>
          <w:rFonts w:cs="Arial"/>
          <w:b/>
          <w:lang w:val="en-US"/>
        </w:rPr>
        <w:t>The</w:t>
      </w:r>
      <w:r w:rsidRPr="00F27646">
        <w:rPr>
          <w:rFonts w:cs="Arial"/>
          <w:b/>
          <w:szCs w:val="20"/>
          <w:lang w:val="en-US"/>
        </w:rPr>
        <w:t xml:space="preserve"> 3</w:t>
      </w:r>
      <w:bookmarkStart w:id="0" w:name="_GoBack"/>
      <w:bookmarkEnd w:id="0"/>
      <w:r w:rsidRPr="00F27646">
        <w:rPr>
          <w:rFonts w:cs="Arial"/>
          <w:b/>
          <w:szCs w:val="20"/>
          <w:lang w:val="en-US"/>
        </w:rPr>
        <w:t>-year cost-effectiveness of a nurse-based case management versus usual care for elderly patients with myocardial infarction: Results from the KORINNA follow-up study</w:t>
      </w:r>
    </w:p>
    <w:p w:rsidR="00F27646" w:rsidRPr="00F27646" w:rsidRDefault="00F27646" w:rsidP="00F27646">
      <w:pPr>
        <w:rPr>
          <w:rFonts w:cs="Arial"/>
          <w:szCs w:val="20"/>
          <w:lang w:val="en-US"/>
        </w:rPr>
      </w:pPr>
    </w:p>
    <w:p w:rsidR="00F27646" w:rsidRPr="00F27646" w:rsidRDefault="00F27646" w:rsidP="00F27646">
      <w:pPr>
        <w:pStyle w:val="berschrift1"/>
        <w:rPr>
          <w:lang w:val="en-US"/>
        </w:rPr>
      </w:pPr>
      <w:r w:rsidRPr="00F27646">
        <w:rPr>
          <w:lang w:val="en-US"/>
        </w:rPr>
        <w:t>1</w:t>
      </w:r>
      <w:r w:rsidRPr="00F27646">
        <w:rPr>
          <w:lang w:val="en-US"/>
        </w:rPr>
        <w:tab/>
        <w:t>Introduction</w:t>
      </w:r>
    </w:p>
    <w:p w:rsidR="00F27646" w:rsidRPr="00F27646" w:rsidRDefault="00F27646" w:rsidP="00F27646">
      <w:pPr>
        <w:rPr>
          <w:rFonts w:cs="Arial"/>
          <w:szCs w:val="20"/>
          <w:lang w:val="en-US"/>
        </w:rPr>
      </w:pPr>
      <w:r w:rsidRPr="00F27646">
        <w:rPr>
          <w:rFonts w:cs="Arial"/>
          <w:szCs w:val="20"/>
          <w:lang w:val="en-US"/>
        </w:rPr>
        <w:t>Coronary heart disease (CHD) is a major cause of mortality worldwide (13.2%) with an increasing prevalence over the past decade (1). Although recommended by the European Association of Cardiovascular Prevention and Rehabilitation (2), only 36.5% of patients with CHD participate in secondary prevention programmes such as cardiac rehabilitation in Europe (3). A different approach for secondary prevention is a nurse-based case management programme</w:t>
      </w:r>
      <w:r w:rsidR="00643F67">
        <w:rPr>
          <w:rFonts w:cs="Arial"/>
          <w:szCs w:val="20"/>
          <w:lang w:val="en-US"/>
        </w:rPr>
        <w:t>,</w:t>
      </w:r>
      <w:r w:rsidRPr="00F27646">
        <w:rPr>
          <w:rFonts w:cs="Arial"/>
          <w:szCs w:val="20"/>
          <w:lang w:val="en-US"/>
        </w:rPr>
        <w:t xml:space="preserve"> which is considered as a low-cost and effective alternative to cardiac rehabilitation (4). In Germany</w:t>
      </w:r>
      <w:r w:rsidR="00643F67">
        <w:rPr>
          <w:rFonts w:cs="Arial"/>
          <w:szCs w:val="20"/>
          <w:lang w:val="en-US"/>
        </w:rPr>
        <w:t>,</w:t>
      </w:r>
      <w:r w:rsidRPr="00F27646">
        <w:rPr>
          <w:rFonts w:cs="Arial"/>
          <w:szCs w:val="20"/>
          <w:lang w:val="en-US"/>
        </w:rPr>
        <w:t xml:space="preserve"> no nurse-based case management programmes are currently available although only 51.6% of patients with a cardiac event receive cardiac rehabilitation (3). In addition, elderly patients participate less frequent in cardiac rehabilitation (3) although they present more adverse health outcomes than younger patients who have been diagnosed with CHD (5). Several studies have shown that case management can reduce hospitalisation and increase quality of life, but only a few studies have focused on patients with acute myocardial infarction (AMI) and elderly patients (4, 6-8). Moreover, studies evaluating the cost-effectiveness of case management are scarce and did not consider long-term effects and costs.</w:t>
      </w:r>
    </w:p>
    <w:p w:rsidR="00F27646" w:rsidRPr="00F27646" w:rsidRDefault="00F27646" w:rsidP="00F27646">
      <w:pPr>
        <w:rPr>
          <w:rFonts w:cs="Arial"/>
          <w:szCs w:val="20"/>
          <w:lang w:val="en-US"/>
        </w:rPr>
      </w:pPr>
      <w:r w:rsidRPr="00F27646">
        <w:rPr>
          <w:rFonts w:cs="Arial"/>
          <w:szCs w:val="20"/>
          <w:lang w:val="en-US"/>
        </w:rPr>
        <w:t>We conducted the KORINNA study (‘Coronary infarction follow-up in the elderly’) to analyse whether case management in elderly people with an AMI can postpone unplanned readmission or death (combined endpoint) within 1 year after hospital discharge.(9). To analyse long-term effects, the KORINNA study was extended for another 2 years. The findings regarding readmissions or death have been published elsewhere (10, 11) and showed that differences between groups were neither significant after the first year nor after three years. Analysis of secondary outcomes demonstrated that case management can improve blood lipid levels, functional status and malnutrition risk after one year (12) and that improvements of functioning and malnutrition risk were maintained or results even advanced further after three years (10). The one-year cost-effectiveness analysis showed that case management was associated with improvements in self-rated health, but there were no significant differences in quality-adjusted life years (QALYs) or health care costs between treatment arms (13).</w:t>
      </w:r>
    </w:p>
    <w:p w:rsidR="00F27646" w:rsidRPr="00F27646" w:rsidRDefault="00F27646" w:rsidP="00F27646">
      <w:pPr>
        <w:rPr>
          <w:rFonts w:cs="Arial"/>
          <w:szCs w:val="20"/>
          <w:lang w:val="en-US"/>
        </w:rPr>
      </w:pPr>
      <w:r w:rsidRPr="00F27646">
        <w:rPr>
          <w:rFonts w:cs="Arial"/>
          <w:szCs w:val="20"/>
          <w:lang w:val="en-US"/>
        </w:rPr>
        <w:lastRenderedPageBreak/>
        <w:t>Up to this point, no study has yet evaluated the cost-effectiveness of a case management programme in elderly patients with an AMI after hospital discharge. There are only three studies that performed a formal cost-effectiveness analysis for patients with CHD (14-16) and five studies for patients with heart failure (17-21) estimating cost per QALY with different results.</w:t>
      </w:r>
    </w:p>
    <w:p w:rsidR="00F27646" w:rsidRPr="00F27646" w:rsidRDefault="00F27646" w:rsidP="00F27646">
      <w:pPr>
        <w:rPr>
          <w:rFonts w:cs="Arial"/>
          <w:szCs w:val="20"/>
          <w:lang w:val="en-US"/>
        </w:rPr>
      </w:pPr>
      <w:r w:rsidRPr="00F27646">
        <w:rPr>
          <w:rFonts w:cs="Arial"/>
          <w:szCs w:val="20"/>
          <w:lang w:val="en-US"/>
        </w:rPr>
        <w:t>The objective of our paper was to assess the three-year cost-effectiveness of the case management programme KORINNA from a societal perspective.</w:t>
      </w:r>
    </w:p>
    <w:p w:rsidR="00F27646" w:rsidRPr="00F27646" w:rsidRDefault="00F27646" w:rsidP="00F27646">
      <w:pPr>
        <w:pStyle w:val="berschrift1"/>
        <w:rPr>
          <w:lang w:val="en-US"/>
        </w:rPr>
      </w:pPr>
      <w:r w:rsidRPr="00F27646">
        <w:rPr>
          <w:lang w:val="en-US"/>
        </w:rPr>
        <w:t>2</w:t>
      </w:r>
      <w:r w:rsidRPr="00F27646">
        <w:rPr>
          <w:lang w:val="en-US"/>
        </w:rPr>
        <w:tab/>
        <w:t>Methods</w:t>
      </w:r>
    </w:p>
    <w:p w:rsidR="00F27646" w:rsidRPr="00F27646" w:rsidRDefault="00F27646" w:rsidP="00F27646">
      <w:pPr>
        <w:rPr>
          <w:rFonts w:cs="Arial"/>
          <w:szCs w:val="20"/>
          <w:lang w:val="en-US"/>
        </w:rPr>
      </w:pPr>
      <w:r w:rsidRPr="00F27646">
        <w:rPr>
          <w:rFonts w:cs="Arial"/>
          <w:szCs w:val="20"/>
          <w:lang w:val="en-US"/>
        </w:rPr>
        <w:t>The randomised controlled KORINNA trial evaluated a case management intervention by trained nurses in elderly patients with AMI.</w:t>
      </w:r>
    </w:p>
    <w:p w:rsidR="00F27646" w:rsidRPr="00F27646" w:rsidRDefault="00F27646" w:rsidP="00F27646">
      <w:pPr>
        <w:rPr>
          <w:rFonts w:cs="Arial"/>
          <w:szCs w:val="20"/>
          <w:lang w:val="en-US"/>
        </w:rPr>
      </w:pPr>
      <w:r w:rsidRPr="00F27646">
        <w:rPr>
          <w:rFonts w:cs="Arial"/>
          <w:szCs w:val="20"/>
          <w:lang w:val="en-US"/>
        </w:rPr>
        <w:t>Between September 2008 and May 2010, 340 patients were enrolled. Inclusion criteria consisted of aged 65 years or older with an acute first or recurrent AMI treated in t</w:t>
      </w:r>
      <w:r w:rsidR="00643F67">
        <w:rPr>
          <w:rFonts w:cs="Arial"/>
          <w:szCs w:val="20"/>
          <w:lang w:val="en-US"/>
        </w:rPr>
        <w:t>he Central Hospital of Augsburg</w:t>
      </w:r>
      <w:r w:rsidRPr="00F27646">
        <w:rPr>
          <w:rFonts w:cs="Arial"/>
          <w:szCs w:val="20"/>
          <w:lang w:val="en-US"/>
        </w:rPr>
        <w:t>, which is the major hospital for the population of 830,000 in the Greater Augsburg area, southern Germany. Exclusion criteria were planned or present residence in a nursing home, severe comorbidity associated with a life expectancy of less than one year (e.g. terminal cancer), insufficient ability to speak German and lack of ability due to cognitive disorders or willingness to consent.</w:t>
      </w:r>
    </w:p>
    <w:p w:rsidR="00F27646" w:rsidRPr="00F27646" w:rsidRDefault="00F27646" w:rsidP="00F27646">
      <w:pPr>
        <w:rPr>
          <w:rFonts w:cs="Arial"/>
          <w:szCs w:val="20"/>
          <w:lang w:val="en-US"/>
        </w:rPr>
      </w:pPr>
      <w:r w:rsidRPr="00F27646">
        <w:rPr>
          <w:rFonts w:cs="Arial"/>
          <w:szCs w:val="20"/>
          <w:lang w:val="en-US"/>
        </w:rPr>
        <w:t>All patients were assigned to either the intervention or control groups based on randomised blocks within strata for gender, age (65–69 vs. 70–79 vs. 80+) and number of comorbidities (none, diabetes or chronic heart failure, both).</w:t>
      </w:r>
    </w:p>
    <w:p w:rsidR="00F27646" w:rsidRPr="00F27646" w:rsidRDefault="00F27646" w:rsidP="00F27646">
      <w:pPr>
        <w:rPr>
          <w:rFonts w:cs="Arial"/>
          <w:szCs w:val="20"/>
          <w:lang w:val="en-US"/>
        </w:rPr>
      </w:pPr>
      <w:r w:rsidRPr="00F27646">
        <w:rPr>
          <w:rFonts w:cs="Arial"/>
          <w:szCs w:val="20"/>
          <w:lang w:val="en-US"/>
        </w:rPr>
        <w:t>Baseline assessment was performed shortly before hospital discharge. In the first year, participants were interviewed quarterly; in the second and third years, participants were interviewed annually, either by computer-assisted telephone interview (CATI) or in a face-to-face interview for outcome assessment. In the case of CATI, plausibility checks were included and in the case of face-to-face interviews</w:t>
      </w:r>
      <w:r w:rsidR="00643F67">
        <w:rPr>
          <w:rFonts w:cs="Arial"/>
          <w:szCs w:val="20"/>
          <w:lang w:val="en-US"/>
        </w:rPr>
        <w:t>,</w:t>
      </w:r>
      <w:r w:rsidRPr="00F27646">
        <w:rPr>
          <w:rFonts w:cs="Arial"/>
          <w:szCs w:val="20"/>
          <w:lang w:val="en-US"/>
        </w:rPr>
        <w:t xml:space="preserve"> double data entry was applied. Economic analyses were performed from the societal perspective. Owing to 36-month follow-up, analyses of costs and effects were performed without and including a discount rate of 3% (22).</w:t>
      </w:r>
    </w:p>
    <w:p w:rsidR="00F27646" w:rsidRPr="00F27646" w:rsidRDefault="00F27646" w:rsidP="00F27646">
      <w:pPr>
        <w:rPr>
          <w:rFonts w:cs="Arial"/>
          <w:szCs w:val="20"/>
          <w:lang w:val="en-US"/>
        </w:rPr>
      </w:pPr>
      <w:r w:rsidRPr="00F27646">
        <w:rPr>
          <w:rFonts w:cs="Arial"/>
          <w:szCs w:val="20"/>
          <w:lang w:val="en-US"/>
        </w:rPr>
        <w:t xml:space="preserve">The trial was approved by the Ethics Committee of the Bavarian Chamber of Physicians. The registration number is ISRCTN02893746. Further details on design and sample size calculation can </w:t>
      </w:r>
      <w:r w:rsidRPr="00F27646">
        <w:rPr>
          <w:rFonts w:cs="Arial"/>
          <w:szCs w:val="20"/>
          <w:lang w:val="en-US"/>
        </w:rPr>
        <w:lastRenderedPageBreak/>
        <w:t>be found in the study protocol, which has been published elsewhere (9). The intervention and observation period spanned three years.</w:t>
      </w:r>
    </w:p>
    <w:p w:rsidR="00F27646" w:rsidRPr="00F27646" w:rsidRDefault="00F27646" w:rsidP="00F27646">
      <w:pPr>
        <w:pStyle w:val="berschrift1"/>
        <w:rPr>
          <w:lang w:val="en-US"/>
        </w:rPr>
      </w:pPr>
      <w:r w:rsidRPr="00F27646">
        <w:rPr>
          <w:lang w:val="en-US"/>
        </w:rPr>
        <w:t>2.1</w:t>
      </w:r>
      <w:r w:rsidRPr="00F27646">
        <w:rPr>
          <w:lang w:val="en-US"/>
        </w:rPr>
        <w:tab/>
        <w:t>Comparators</w:t>
      </w:r>
    </w:p>
    <w:p w:rsidR="00F27646" w:rsidRPr="00F27646" w:rsidRDefault="00F27646" w:rsidP="00F27646">
      <w:pPr>
        <w:rPr>
          <w:rFonts w:cs="Arial"/>
          <w:szCs w:val="20"/>
          <w:lang w:val="en-US"/>
        </w:rPr>
      </w:pPr>
      <w:r w:rsidRPr="00F27646">
        <w:rPr>
          <w:rFonts w:cs="Arial"/>
          <w:szCs w:val="20"/>
          <w:lang w:val="en-US"/>
        </w:rPr>
        <w:t>The control group received usual care, i. e. patients regularly visit their physician, may receive cardiac rehabilitation or be treated in a long-term disease management programme offered by health insurance companies (23). The intervention was described in detail elsewhere (10, 11). In brief, shortly before hospital discharge</w:t>
      </w:r>
      <w:r w:rsidR="00643F67">
        <w:rPr>
          <w:rFonts w:cs="Arial"/>
          <w:szCs w:val="20"/>
          <w:lang w:val="en-US"/>
        </w:rPr>
        <w:t>,</w:t>
      </w:r>
      <w:r w:rsidRPr="00F27646">
        <w:rPr>
          <w:rFonts w:cs="Arial"/>
          <w:szCs w:val="20"/>
          <w:lang w:val="en-US"/>
        </w:rPr>
        <w:t xml:space="preserve"> patients received an information booklet and a first home visit or an appointment for a telephone call was arranged. At least one home visit and quarterly telephone calls were carried out in the first year, and two telephone calls in each of the following two years (every 6 months), with additional visits and calls according to the patient’s needs and risk level. The risk level, which was assessed by the study nurse during the home visits and telephone calls, based on compliance, social network and New York Heart Association Functional Classification (NYHA) class. The risk level classification suggested by Russell et al. was used (11, 24). In a structured interview, the nurses provided counselling on the intake of medication, nutrition, physical activity, weight control and general health behaviour. During the home visits, additional measurements of vital functions (e.g. blood pressure, pulse rate) and blood glucose were performed.</w:t>
      </w:r>
    </w:p>
    <w:p w:rsidR="00F27646" w:rsidRPr="00F27646" w:rsidRDefault="00F27646" w:rsidP="00F27646">
      <w:pPr>
        <w:pStyle w:val="berschrift1"/>
        <w:rPr>
          <w:lang w:val="en-US"/>
        </w:rPr>
      </w:pPr>
      <w:r w:rsidRPr="00F27646">
        <w:rPr>
          <w:lang w:val="en-US"/>
        </w:rPr>
        <w:t>2.2</w:t>
      </w:r>
      <w:r w:rsidRPr="00F27646">
        <w:rPr>
          <w:lang w:val="en-US"/>
        </w:rPr>
        <w:tab/>
        <w:t>Effects</w:t>
      </w:r>
    </w:p>
    <w:p w:rsidR="00F27646" w:rsidRPr="00F27646" w:rsidRDefault="00F27646" w:rsidP="00F27646">
      <w:pPr>
        <w:rPr>
          <w:rFonts w:cs="Arial"/>
          <w:szCs w:val="20"/>
          <w:lang w:val="en-US"/>
        </w:rPr>
      </w:pPr>
      <w:r w:rsidRPr="00F27646">
        <w:rPr>
          <w:rFonts w:cs="Arial"/>
          <w:szCs w:val="20"/>
          <w:lang w:val="en-US"/>
        </w:rPr>
        <w:t>In all interviews, health-related quality of life was assessed using the generic EuroQol five-dimensional questionnaire with three levels each (EQ-5D-3L) and the visual analogue scale (VAS). Validity and reliability of the EQ-5D-3L in patients after AMI have been shown in several studies (25, 26). The primary effect measure in the economic evaluation was QALYs, based on EQ-5D-3L health states converted into utility scores using the German time trade-off (TTO) scoring algorithm (27). QALYs were estimated for each individual as the area under the curve through linear interpolation of values for the periods between measurements (28). When patients died during the observation period, their values were set to 0 from the day of death. It was assumed that, prior to death, the utility function declined linearly from the observed preceding value.</w:t>
      </w:r>
    </w:p>
    <w:p w:rsidR="00F27646" w:rsidRPr="00F27646" w:rsidRDefault="00F27646" w:rsidP="00F27646">
      <w:pPr>
        <w:rPr>
          <w:rFonts w:cs="Arial"/>
          <w:szCs w:val="20"/>
          <w:lang w:val="en-US"/>
        </w:rPr>
      </w:pPr>
      <w:r w:rsidRPr="00F27646">
        <w:rPr>
          <w:rFonts w:cs="Arial"/>
          <w:szCs w:val="20"/>
          <w:lang w:val="en-US"/>
        </w:rPr>
        <w:lastRenderedPageBreak/>
        <w:t>To assess the sensitivity of results to different health state valuation methods, a sensitivity analysis considered life years adjusted by patients’ self-rated health as measured by their VAS scores (VAS-ALs). To ensure comparability with utility-based QALYs, VAS scores were transformed to the zero-to-one scale before constructing VAS-ALs.</w:t>
      </w:r>
    </w:p>
    <w:p w:rsidR="00F27646" w:rsidRPr="00F27646" w:rsidRDefault="00F27646" w:rsidP="00F27646">
      <w:pPr>
        <w:rPr>
          <w:rFonts w:cs="Arial"/>
          <w:szCs w:val="20"/>
          <w:lang w:val="en-US"/>
        </w:rPr>
      </w:pPr>
      <w:r w:rsidRPr="00F27646">
        <w:rPr>
          <w:rFonts w:cs="Arial"/>
          <w:szCs w:val="20"/>
          <w:lang w:val="en-US"/>
        </w:rPr>
        <w:t>Secondary objectives were to examine EQ-5D-3L TTO-based utility scores and VAS scores among survivors over time.</w:t>
      </w:r>
    </w:p>
    <w:p w:rsidR="00F27646" w:rsidRPr="00F27646" w:rsidRDefault="00F27646" w:rsidP="00F27646">
      <w:pPr>
        <w:pStyle w:val="berschrift1"/>
        <w:rPr>
          <w:lang w:val="en-US"/>
        </w:rPr>
      </w:pPr>
      <w:r w:rsidRPr="00F27646">
        <w:rPr>
          <w:lang w:val="en-US"/>
        </w:rPr>
        <w:t>2.3</w:t>
      </w:r>
      <w:r w:rsidRPr="00F27646">
        <w:rPr>
          <w:lang w:val="en-US"/>
        </w:rPr>
        <w:tab/>
        <w:t>Costs</w:t>
      </w:r>
    </w:p>
    <w:p w:rsidR="00F27646" w:rsidRPr="00F27646" w:rsidRDefault="00F27646" w:rsidP="00F27646">
      <w:pPr>
        <w:rPr>
          <w:rFonts w:cs="Arial"/>
          <w:szCs w:val="20"/>
          <w:lang w:val="en-US"/>
        </w:rPr>
      </w:pPr>
      <w:r w:rsidRPr="00F27646">
        <w:rPr>
          <w:rFonts w:cs="Arial"/>
          <w:szCs w:val="20"/>
          <w:lang w:val="en-US"/>
        </w:rPr>
        <w:t>Cost measurements were conducted from the societal perspective and data collection was not limited to disease-related services. In accordance with the study protocol (9), in the first year, medical resource use was collected quarterly and in the second and third years annually. Indirect costs were not considered because of participants’ retirement. All unit prices were reported for the year 2012 and are presented in Euros. Intervention costs consisted of labour costs for study nurses to perform the case management (€31.33/hour; overhead costs and wage rates of the Central Hospital of Augsburg) and travel costs (€0.30/km). The average time that nurses spent making telephone calls was documented by computer-assisted telephone interview (19 minutes) and for home visits (117 minutes) by logbooks. Based on this information, costs per telephone call (€10) and per home visit (€57.40) were calculated.</w:t>
      </w:r>
    </w:p>
    <w:p w:rsidR="00F27646" w:rsidRPr="00F27646" w:rsidRDefault="00F27646" w:rsidP="00F27646">
      <w:pPr>
        <w:rPr>
          <w:rFonts w:cs="Arial"/>
          <w:szCs w:val="20"/>
          <w:lang w:val="en-US"/>
        </w:rPr>
      </w:pPr>
      <w:r w:rsidRPr="00F27646">
        <w:rPr>
          <w:rFonts w:cs="Arial"/>
          <w:szCs w:val="20"/>
          <w:lang w:val="en-US"/>
        </w:rPr>
        <w:t>Costs from inpatient care were calculated according to days spent in the hospital, separated in days spent in general ward and days spent in intensive care unit. Self-reported admissions were validated by the study physician using information from hospital records and discharge letters and where required readjusted and completed. For the Central Hospital of Augsburg, all hospital records were available for the 3-year period. For every participant admitted at least once to any other hospital, all hospital records and discharge letters were requested from these hospitals. Costs of all other healthcare components (i.e. physicians, physiotherapists, ambulatory clinic in the hospital, rehabilitation, drugs and direct non-healthcare resources) were calculated from patients’ self-reported resource use. Single missing values of these other costs were replaced by patients’ cost data from subsequent time frame (29, 30).</w:t>
      </w:r>
    </w:p>
    <w:p w:rsidR="00F27646" w:rsidRPr="00F27646" w:rsidRDefault="00F27646" w:rsidP="00F27646">
      <w:pPr>
        <w:rPr>
          <w:rFonts w:cs="Arial"/>
          <w:szCs w:val="20"/>
          <w:lang w:val="en-US"/>
        </w:rPr>
      </w:pPr>
      <w:r w:rsidRPr="00F27646">
        <w:rPr>
          <w:rFonts w:cs="Arial"/>
          <w:szCs w:val="20"/>
          <w:lang w:val="en-US"/>
        </w:rPr>
        <w:lastRenderedPageBreak/>
        <w:t>Unit price calculation was primarily based on estimates published by Bock et al.(31), which provide valid and reliable information about unit prices of several medical and nonmedical resources in Germany from a societal perspective. Medication was recorded using IDOM software, a database-supported identification system (32) that logs name, units, pharmaceutical identification number, time period, package size and price per package (33). To estimate the cost of informal care we use the information of the existence of a care level. In Germany, the care level is declared by the Long Term Care Insurance (34) due to assessing whether and to what extent patients need help in activities of daily living. If the patient is assigned to a care level and does not receive formal care, the patient gets a transfer payment. Although transfer payments are ordinarily excluded from a societal perspective, they are used here as a proxy value for informal care because it can be assumed that these patients require informal care. When patients died during the observation period, their costs were set to 0 from the day of death, hence, effects and costs were treated in the same way. Table 1 gives an overview of prices assigned to the resource quantities.</w:t>
      </w:r>
    </w:p>
    <w:p w:rsidR="00F27646" w:rsidRPr="00F27646" w:rsidRDefault="00F27646" w:rsidP="00F27646">
      <w:pPr>
        <w:rPr>
          <w:rFonts w:cs="Arial"/>
          <w:szCs w:val="20"/>
          <w:lang w:val="en-US"/>
        </w:rPr>
      </w:pPr>
    </w:p>
    <w:p w:rsidR="00F27646" w:rsidRPr="00F27646" w:rsidRDefault="00F27646" w:rsidP="00F27646">
      <w:pPr>
        <w:rPr>
          <w:rFonts w:cs="Arial"/>
          <w:szCs w:val="20"/>
          <w:lang w:val="en-US"/>
        </w:rPr>
      </w:pPr>
      <w:r w:rsidRPr="00F27646">
        <w:rPr>
          <w:rFonts w:cs="Arial"/>
          <w:szCs w:val="20"/>
          <w:lang w:val="en-US"/>
        </w:rPr>
        <w:t>[Insert Table 1]</w:t>
      </w:r>
    </w:p>
    <w:p w:rsidR="00B350F8" w:rsidRPr="00481073" w:rsidRDefault="00B350F8" w:rsidP="00B350F8">
      <w:pPr>
        <w:tabs>
          <w:tab w:val="left" w:pos="284"/>
          <w:tab w:val="left" w:pos="340"/>
        </w:tabs>
        <w:spacing w:after="120"/>
        <w:ind w:left="454" w:firstLine="113"/>
        <w:rPr>
          <w:rFonts w:cs="Arial"/>
          <w:szCs w:val="20"/>
          <w:lang w:val="en-GB"/>
        </w:rPr>
      </w:pPr>
      <w:r w:rsidRPr="00481073">
        <w:rPr>
          <w:rFonts w:cs="Arial"/>
          <w:b/>
          <w:bCs/>
          <w:szCs w:val="20"/>
          <w:lang w:val="en-GB"/>
        </w:rPr>
        <w:t>Table 1</w:t>
      </w:r>
      <w:r>
        <w:rPr>
          <w:rFonts w:cs="Arial"/>
          <w:szCs w:val="20"/>
          <w:lang w:val="en-GB"/>
        </w:rPr>
        <w:t xml:space="preserve"> </w:t>
      </w:r>
      <w:r w:rsidRPr="00481073">
        <w:rPr>
          <w:rFonts w:cs="Arial"/>
          <w:szCs w:val="20"/>
          <w:lang w:val="en-GB"/>
        </w:rPr>
        <w:t>Unit prices. All unit price</w:t>
      </w:r>
      <w:r>
        <w:rPr>
          <w:rFonts w:cs="Arial"/>
          <w:szCs w:val="20"/>
          <w:lang w:val="en-GB"/>
        </w:rPr>
        <w:t>s are expressed in Euros at 2012</w:t>
      </w:r>
      <w:r w:rsidRPr="00481073">
        <w:rPr>
          <w:rFonts w:cs="Arial"/>
          <w:szCs w:val="20"/>
          <w:lang w:val="en-GB"/>
        </w:rPr>
        <w:t xml:space="preserve"> values</w:t>
      </w:r>
      <w:r>
        <w:rPr>
          <w:rFonts w:cs="Arial"/>
          <w:szCs w:val="20"/>
          <w:lang w:val="en-GB"/>
        </w:rPr>
        <w:t xml:space="preserve"> (31)</w:t>
      </w:r>
    </w:p>
    <w:tbl>
      <w:tblPr>
        <w:tblW w:w="9147" w:type="dxa"/>
        <w:tblInd w:w="637" w:type="dxa"/>
        <w:tblCellMar>
          <w:left w:w="70" w:type="dxa"/>
          <w:right w:w="70" w:type="dxa"/>
        </w:tblCellMar>
        <w:tblLook w:val="0000" w:firstRow="0" w:lastRow="0" w:firstColumn="0" w:lastColumn="0" w:noHBand="0" w:noVBand="0"/>
      </w:tblPr>
      <w:tblGrid>
        <w:gridCol w:w="3563"/>
        <w:gridCol w:w="198"/>
        <w:gridCol w:w="2428"/>
        <w:gridCol w:w="615"/>
        <w:gridCol w:w="2343"/>
      </w:tblGrid>
      <w:tr w:rsidR="00B350F8" w:rsidRPr="00481073" w:rsidTr="0050371B">
        <w:trPr>
          <w:trHeight w:val="370"/>
        </w:trPr>
        <w:tc>
          <w:tcPr>
            <w:tcW w:w="3563" w:type="dxa"/>
            <w:tcBorders>
              <w:top w:val="single" w:sz="4" w:space="0" w:color="auto"/>
              <w:left w:val="nil"/>
              <w:bottom w:val="single" w:sz="4" w:space="0" w:color="auto"/>
              <w:right w:val="nil"/>
            </w:tcBorders>
            <w:noWrap/>
            <w:vAlign w:val="bottom"/>
          </w:tcPr>
          <w:p w:rsidR="00B350F8" w:rsidRPr="00481073" w:rsidRDefault="00B350F8" w:rsidP="0050371B">
            <w:pPr>
              <w:rPr>
                <w:rFonts w:cs="Arial"/>
                <w:szCs w:val="20"/>
                <w:lang w:val="en-US"/>
              </w:rPr>
            </w:pPr>
            <w:r w:rsidRPr="00481073">
              <w:rPr>
                <w:rFonts w:cs="Arial"/>
                <w:szCs w:val="20"/>
                <w:lang w:val="en-US"/>
              </w:rPr>
              <w:t>Resource category</w:t>
            </w:r>
          </w:p>
        </w:tc>
        <w:tc>
          <w:tcPr>
            <w:tcW w:w="198" w:type="dxa"/>
            <w:tcBorders>
              <w:top w:val="single" w:sz="4" w:space="0" w:color="auto"/>
              <w:left w:val="nil"/>
              <w:bottom w:val="single" w:sz="4" w:space="0" w:color="auto"/>
              <w:right w:val="nil"/>
            </w:tcBorders>
            <w:noWrap/>
            <w:vAlign w:val="bottom"/>
          </w:tcPr>
          <w:p w:rsidR="00B350F8" w:rsidRPr="00481073" w:rsidRDefault="00B350F8" w:rsidP="0050371B">
            <w:pPr>
              <w:rPr>
                <w:rFonts w:cs="Arial"/>
                <w:szCs w:val="20"/>
                <w:lang w:val="en-US"/>
              </w:rPr>
            </w:pPr>
            <w:r w:rsidRPr="00481073">
              <w:rPr>
                <w:rFonts w:cs="Arial"/>
                <w:szCs w:val="20"/>
                <w:lang w:val="en-US"/>
              </w:rPr>
              <w:t> </w:t>
            </w:r>
          </w:p>
        </w:tc>
        <w:tc>
          <w:tcPr>
            <w:tcW w:w="2428" w:type="dxa"/>
            <w:tcBorders>
              <w:top w:val="single" w:sz="4" w:space="0" w:color="auto"/>
              <w:left w:val="nil"/>
              <w:bottom w:val="single" w:sz="4" w:space="0" w:color="auto"/>
              <w:right w:val="nil"/>
            </w:tcBorders>
            <w:noWrap/>
            <w:vAlign w:val="bottom"/>
          </w:tcPr>
          <w:p w:rsidR="00B350F8" w:rsidRPr="00481073" w:rsidRDefault="00B350F8" w:rsidP="0050371B">
            <w:pPr>
              <w:rPr>
                <w:rFonts w:cs="Arial"/>
                <w:szCs w:val="20"/>
              </w:rPr>
            </w:pPr>
            <w:r w:rsidRPr="00481073">
              <w:rPr>
                <w:rFonts w:cs="Arial"/>
                <w:szCs w:val="20"/>
                <w:lang w:val="en-US"/>
              </w:rPr>
              <w:t>Unit price in Euro</w:t>
            </w:r>
            <w:r>
              <w:rPr>
                <w:rFonts w:cs="Arial"/>
                <w:szCs w:val="20"/>
                <w:lang w:val="en-US"/>
              </w:rPr>
              <w:t>s</w:t>
            </w:r>
            <w:r w:rsidRPr="00481073">
              <w:rPr>
                <w:rFonts w:cs="Arial"/>
                <w:szCs w:val="20"/>
                <w:lang w:val="en-US"/>
              </w:rPr>
              <w:t xml:space="preserve"> (</w:t>
            </w:r>
            <w:r>
              <w:rPr>
                <w:rFonts w:cs="Arial"/>
                <w:szCs w:val="20"/>
              </w:rPr>
              <w:t>2012</w:t>
            </w:r>
            <w:r w:rsidRPr="00481073">
              <w:rPr>
                <w:rFonts w:cs="Arial"/>
                <w:szCs w:val="20"/>
              </w:rPr>
              <w:t>)</w:t>
            </w:r>
          </w:p>
        </w:tc>
        <w:tc>
          <w:tcPr>
            <w:tcW w:w="615" w:type="dxa"/>
            <w:tcBorders>
              <w:top w:val="single" w:sz="4" w:space="0" w:color="auto"/>
              <w:left w:val="nil"/>
              <w:bottom w:val="single" w:sz="4" w:space="0" w:color="auto"/>
              <w:right w:val="nil"/>
            </w:tcBorders>
            <w:noWrap/>
            <w:vAlign w:val="bottom"/>
          </w:tcPr>
          <w:p w:rsidR="00B350F8" w:rsidRPr="00481073" w:rsidRDefault="00B350F8" w:rsidP="0050371B">
            <w:pPr>
              <w:rPr>
                <w:rFonts w:cs="Arial"/>
                <w:szCs w:val="20"/>
              </w:rPr>
            </w:pPr>
            <w:r w:rsidRPr="00481073">
              <w:rPr>
                <w:rFonts w:cs="Arial"/>
                <w:szCs w:val="20"/>
              </w:rPr>
              <w:t> </w:t>
            </w:r>
          </w:p>
        </w:tc>
        <w:tc>
          <w:tcPr>
            <w:tcW w:w="2343" w:type="dxa"/>
            <w:tcBorders>
              <w:top w:val="single" w:sz="4" w:space="0" w:color="auto"/>
              <w:left w:val="nil"/>
              <w:bottom w:val="single" w:sz="4" w:space="0" w:color="auto"/>
              <w:right w:val="nil"/>
            </w:tcBorders>
            <w:noWrap/>
            <w:vAlign w:val="bottom"/>
          </w:tcPr>
          <w:p w:rsidR="00B350F8" w:rsidRPr="00481073" w:rsidRDefault="00B350F8" w:rsidP="0050371B">
            <w:pPr>
              <w:rPr>
                <w:rFonts w:cs="Arial"/>
                <w:szCs w:val="20"/>
              </w:rPr>
            </w:pPr>
            <w:r w:rsidRPr="00481073">
              <w:rPr>
                <w:rFonts w:cs="Arial"/>
                <w:szCs w:val="20"/>
              </w:rPr>
              <w:t>Units</w:t>
            </w:r>
          </w:p>
        </w:tc>
      </w:tr>
      <w:tr w:rsidR="00B350F8" w:rsidRPr="00481073" w:rsidTr="0050371B">
        <w:trPr>
          <w:trHeight w:val="262"/>
        </w:trPr>
        <w:tc>
          <w:tcPr>
            <w:tcW w:w="3563" w:type="dxa"/>
            <w:tcBorders>
              <w:top w:val="nil"/>
              <w:left w:val="nil"/>
              <w:bottom w:val="nil"/>
              <w:right w:val="nil"/>
            </w:tcBorders>
            <w:noWrap/>
            <w:vAlign w:val="bottom"/>
          </w:tcPr>
          <w:p w:rsidR="00B350F8" w:rsidRPr="00481073" w:rsidRDefault="00B350F8" w:rsidP="0050371B">
            <w:pPr>
              <w:rPr>
                <w:rFonts w:cs="Arial"/>
                <w:szCs w:val="20"/>
              </w:rPr>
            </w:pPr>
            <w:r w:rsidRPr="00481073">
              <w:rPr>
                <w:rFonts w:cs="Arial"/>
                <w:szCs w:val="20"/>
              </w:rPr>
              <w:t xml:space="preserve">Direct healthcare </w:t>
            </w:r>
          </w:p>
        </w:tc>
        <w:tc>
          <w:tcPr>
            <w:tcW w:w="198" w:type="dxa"/>
            <w:tcBorders>
              <w:top w:val="nil"/>
              <w:left w:val="nil"/>
              <w:bottom w:val="nil"/>
              <w:right w:val="nil"/>
            </w:tcBorders>
            <w:noWrap/>
            <w:vAlign w:val="bottom"/>
          </w:tcPr>
          <w:p w:rsidR="00B350F8" w:rsidRPr="00481073" w:rsidRDefault="00B350F8" w:rsidP="0050371B">
            <w:pPr>
              <w:rPr>
                <w:rFonts w:cs="Arial"/>
                <w:szCs w:val="20"/>
              </w:rPr>
            </w:pPr>
          </w:p>
        </w:tc>
        <w:tc>
          <w:tcPr>
            <w:tcW w:w="2428" w:type="dxa"/>
            <w:tcBorders>
              <w:top w:val="nil"/>
              <w:left w:val="nil"/>
              <w:bottom w:val="nil"/>
              <w:right w:val="nil"/>
            </w:tcBorders>
            <w:noWrap/>
            <w:vAlign w:val="bottom"/>
          </w:tcPr>
          <w:p w:rsidR="00B350F8" w:rsidRPr="00481073" w:rsidRDefault="00B350F8" w:rsidP="0050371B">
            <w:pPr>
              <w:rPr>
                <w:rFonts w:cs="Arial"/>
                <w:szCs w:val="20"/>
              </w:rPr>
            </w:pPr>
          </w:p>
        </w:tc>
        <w:tc>
          <w:tcPr>
            <w:tcW w:w="615" w:type="dxa"/>
            <w:tcBorders>
              <w:top w:val="nil"/>
              <w:left w:val="nil"/>
              <w:bottom w:val="nil"/>
              <w:right w:val="nil"/>
            </w:tcBorders>
            <w:noWrap/>
            <w:vAlign w:val="bottom"/>
          </w:tcPr>
          <w:p w:rsidR="00B350F8" w:rsidRPr="00481073" w:rsidRDefault="00B350F8" w:rsidP="0050371B">
            <w:pPr>
              <w:rPr>
                <w:rFonts w:cs="Arial"/>
                <w:szCs w:val="20"/>
              </w:rPr>
            </w:pPr>
          </w:p>
        </w:tc>
        <w:tc>
          <w:tcPr>
            <w:tcW w:w="2343" w:type="dxa"/>
            <w:tcBorders>
              <w:top w:val="nil"/>
              <w:left w:val="nil"/>
              <w:bottom w:val="nil"/>
              <w:right w:val="nil"/>
            </w:tcBorders>
            <w:noWrap/>
            <w:vAlign w:val="bottom"/>
          </w:tcPr>
          <w:p w:rsidR="00B350F8" w:rsidRPr="00481073" w:rsidRDefault="00B350F8" w:rsidP="0050371B">
            <w:pPr>
              <w:rPr>
                <w:rFonts w:cs="Arial"/>
                <w:szCs w:val="20"/>
              </w:rPr>
            </w:pPr>
          </w:p>
        </w:tc>
      </w:tr>
      <w:tr w:rsidR="00B350F8" w:rsidRPr="00481073" w:rsidTr="0050371B">
        <w:trPr>
          <w:trHeight w:val="222"/>
        </w:trPr>
        <w:tc>
          <w:tcPr>
            <w:tcW w:w="3563" w:type="dxa"/>
            <w:tcBorders>
              <w:top w:val="nil"/>
              <w:left w:val="nil"/>
              <w:bottom w:val="nil"/>
              <w:right w:val="nil"/>
            </w:tcBorders>
            <w:noWrap/>
            <w:vAlign w:val="bottom"/>
          </w:tcPr>
          <w:p w:rsidR="00B350F8" w:rsidRPr="00481073" w:rsidRDefault="00B350F8" w:rsidP="0050371B">
            <w:pPr>
              <w:ind w:firstLineChars="100" w:firstLine="200"/>
              <w:rPr>
                <w:rFonts w:cs="Arial"/>
                <w:szCs w:val="20"/>
                <w:vertAlign w:val="superscript"/>
              </w:rPr>
            </w:pPr>
            <w:r w:rsidRPr="00481073">
              <w:rPr>
                <w:rFonts w:cs="Arial"/>
                <w:szCs w:val="20"/>
              </w:rPr>
              <w:t>Physicians</w:t>
            </w:r>
            <w:r w:rsidRPr="00481073">
              <w:rPr>
                <w:rFonts w:cs="Arial"/>
                <w:szCs w:val="20"/>
                <w:vertAlign w:val="superscript"/>
              </w:rPr>
              <w:t>1</w:t>
            </w:r>
          </w:p>
        </w:tc>
        <w:tc>
          <w:tcPr>
            <w:tcW w:w="198" w:type="dxa"/>
            <w:tcBorders>
              <w:top w:val="nil"/>
              <w:left w:val="nil"/>
              <w:bottom w:val="nil"/>
              <w:right w:val="nil"/>
            </w:tcBorders>
            <w:noWrap/>
            <w:vAlign w:val="bottom"/>
          </w:tcPr>
          <w:p w:rsidR="00B350F8" w:rsidRPr="00481073" w:rsidRDefault="00B350F8" w:rsidP="0050371B">
            <w:pPr>
              <w:rPr>
                <w:rFonts w:cs="Arial"/>
                <w:szCs w:val="20"/>
              </w:rPr>
            </w:pPr>
          </w:p>
        </w:tc>
        <w:tc>
          <w:tcPr>
            <w:tcW w:w="2428" w:type="dxa"/>
            <w:tcBorders>
              <w:top w:val="nil"/>
              <w:left w:val="nil"/>
              <w:bottom w:val="nil"/>
              <w:right w:val="nil"/>
            </w:tcBorders>
            <w:noWrap/>
            <w:vAlign w:val="bottom"/>
          </w:tcPr>
          <w:p w:rsidR="00B350F8" w:rsidRPr="00481073" w:rsidRDefault="00B350F8" w:rsidP="0050371B">
            <w:pPr>
              <w:rPr>
                <w:rFonts w:cs="Arial"/>
                <w:szCs w:val="20"/>
              </w:rPr>
            </w:pPr>
          </w:p>
        </w:tc>
        <w:tc>
          <w:tcPr>
            <w:tcW w:w="615" w:type="dxa"/>
            <w:tcBorders>
              <w:top w:val="nil"/>
              <w:left w:val="nil"/>
              <w:bottom w:val="nil"/>
              <w:right w:val="nil"/>
            </w:tcBorders>
            <w:noWrap/>
            <w:vAlign w:val="bottom"/>
          </w:tcPr>
          <w:p w:rsidR="00B350F8" w:rsidRPr="00481073" w:rsidRDefault="00B350F8" w:rsidP="0050371B">
            <w:pPr>
              <w:rPr>
                <w:rFonts w:cs="Arial"/>
                <w:szCs w:val="20"/>
              </w:rPr>
            </w:pPr>
          </w:p>
        </w:tc>
        <w:tc>
          <w:tcPr>
            <w:tcW w:w="2343" w:type="dxa"/>
            <w:tcBorders>
              <w:top w:val="nil"/>
              <w:left w:val="nil"/>
              <w:bottom w:val="nil"/>
              <w:right w:val="nil"/>
            </w:tcBorders>
            <w:noWrap/>
            <w:vAlign w:val="bottom"/>
          </w:tcPr>
          <w:p w:rsidR="00B350F8" w:rsidRPr="00481073" w:rsidRDefault="00B350F8" w:rsidP="0050371B">
            <w:pPr>
              <w:rPr>
                <w:rFonts w:cs="Arial"/>
                <w:szCs w:val="20"/>
              </w:rPr>
            </w:pPr>
          </w:p>
        </w:tc>
      </w:tr>
      <w:tr w:rsidR="00B350F8" w:rsidRPr="00481073" w:rsidTr="0050371B">
        <w:trPr>
          <w:trHeight w:val="222"/>
        </w:trPr>
        <w:tc>
          <w:tcPr>
            <w:tcW w:w="3563" w:type="dxa"/>
            <w:tcBorders>
              <w:top w:val="nil"/>
              <w:left w:val="nil"/>
              <w:bottom w:val="nil"/>
              <w:right w:val="nil"/>
            </w:tcBorders>
            <w:noWrap/>
            <w:vAlign w:val="bottom"/>
          </w:tcPr>
          <w:p w:rsidR="00B350F8" w:rsidRPr="00481073" w:rsidRDefault="00B350F8" w:rsidP="0050371B">
            <w:pPr>
              <w:ind w:firstLineChars="200" w:firstLine="400"/>
              <w:rPr>
                <w:rFonts w:cs="Arial"/>
                <w:szCs w:val="20"/>
              </w:rPr>
            </w:pPr>
            <w:r w:rsidRPr="00481073">
              <w:rPr>
                <w:rFonts w:cs="Arial"/>
                <w:szCs w:val="20"/>
              </w:rPr>
              <w:t>General practitioner</w:t>
            </w:r>
          </w:p>
        </w:tc>
        <w:tc>
          <w:tcPr>
            <w:tcW w:w="198" w:type="dxa"/>
            <w:tcBorders>
              <w:top w:val="nil"/>
              <w:left w:val="nil"/>
              <w:bottom w:val="nil"/>
              <w:right w:val="nil"/>
            </w:tcBorders>
            <w:noWrap/>
            <w:vAlign w:val="bottom"/>
          </w:tcPr>
          <w:p w:rsidR="00B350F8" w:rsidRPr="00481073" w:rsidRDefault="00B350F8" w:rsidP="0050371B">
            <w:pPr>
              <w:rPr>
                <w:rFonts w:cs="Arial"/>
                <w:szCs w:val="20"/>
              </w:rPr>
            </w:pPr>
          </w:p>
        </w:tc>
        <w:tc>
          <w:tcPr>
            <w:tcW w:w="2428" w:type="dxa"/>
            <w:tcBorders>
              <w:top w:val="nil"/>
              <w:left w:val="nil"/>
              <w:bottom w:val="nil"/>
              <w:right w:val="nil"/>
            </w:tcBorders>
            <w:noWrap/>
            <w:vAlign w:val="bottom"/>
          </w:tcPr>
          <w:p w:rsidR="00B350F8" w:rsidRPr="00481073" w:rsidRDefault="00B350F8" w:rsidP="0050371B">
            <w:pPr>
              <w:ind w:firstLineChars="200" w:firstLine="400"/>
              <w:jc w:val="right"/>
              <w:rPr>
                <w:rFonts w:cs="Arial"/>
                <w:szCs w:val="20"/>
              </w:rPr>
            </w:pPr>
            <w:r>
              <w:rPr>
                <w:rFonts w:cs="Arial"/>
                <w:szCs w:val="20"/>
              </w:rPr>
              <w:t>20.22</w:t>
            </w:r>
          </w:p>
        </w:tc>
        <w:tc>
          <w:tcPr>
            <w:tcW w:w="615" w:type="dxa"/>
            <w:tcBorders>
              <w:top w:val="nil"/>
              <w:left w:val="nil"/>
              <w:bottom w:val="nil"/>
              <w:right w:val="nil"/>
            </w:tcBorders>
            <w:noWrap/>
            <w:vAlign w:val="bottom"/>
          </w:tcPr>
          <w:p w:rsidR="00B350F8" w:rsidRPr="00481073" w:rsidRDefault="00B350F8" w:rsidP="0050371B">
            <w:pPr>
              <w:rPr>
                <w:rFonts w:cs="Arial"/>
                <w:szCs w:val="20"/>
              </w:rPr>
            </w:pPr>
            <w:r w:rsidRPr="00481073">
              <w:rPr>
                <w:rFonts w:cs="Arial"/>
                <w:szCs w:val="20"/>
              </w:rPr>
              <w:t>per</w:t>
            </w:r>
          </w:p>
        </w:tc>
        <w:tc>
          <w:tcPr>
            <w:tcW w:w="2343" w:type="dxa"/>
            <w:tcBorders>
              <w:top w:val="nil"/>
              <w:left w:val="nil"/>
              <w:bottom w:val="nil"/>
              <w:right w:val="nil"/>
            </w:tcBorders>
            <w:noWrap/>
            <w:vAlign w:val="bottom"/>
          </w:tcPr>
          <w:p w:rsidR="00B350F8" w:rsidRPr="00481073" w:rsidRDefault="00B350F8" w:rsidP="0050371B">
            <w:pPr>
              <w:rPr>
                <w:rFonts w:cs="Arial"/>
                <w:szCs w:val="20"/>
              </w:rPr>
            </w:pPr>
            <w:r w:rsidRPr="00481073">
              <w:rPr>
                <w:rFonts w:cs="Arial"/>
                <w:szCs w:val="20"/>
              </w:rPr>
              <w:t>contact</w:t>
            </w:r>
          </w:p>
        </w:tc>
      </w:tr>
      <w:tr w:rsidR="00B350F8" w:rsidRPr="00481073" w:rsidTr="0050371B">
        <w:trPr>
          <w:trHeight w:val="222"/>
        </w:trPr>
        <w:tc>
          <w:tcPr>
            <w:tcW w:w="3563" w:type="dxa"/>
            <w:tcBorders>
              <w:top w:val="nil"/>
              <w:left w:val="nil"/>
              <w:bottom w:val="nil"/>
              <w:right w:val="nil"/>
            </w:tcBorders>
            <w:noWrap/>
            <w:vAlign w:val="bottom"/>
          </w:tcPr>
          <w:p w:rsidR="00B350F8" w:rsidRPr="00481073" w:rsidRDefault="00B350F8" w:rsidP="0050371B">
            <w:pPr>
              <w:ind w:firstLineChars="200" w:firstLine="400"/>
              <w:rPr>
                <w:rFonts w:cs="Arial"/>
                <w:szCs w:val="20"/>
              </w:rPr>
            </w:pPr>
            <w:r w:rsidRPr="00481073">
              <w:rPr>
                <w:rFonts w:cs="Arial"/>
                <w:szCs w:val="20"/>
              </w:rPr>
              <w:t>Internist</w:t>
            </w:r>
          </w:p>
        </w:tc>
        <w:tc>
          <w:tcPr>
            <w:tcW w:w="198" w:type="dxa"/>
            <w:tcBorders>
              <w:top w:val="nil"/>
              <w:left w:val="nil"/>
              <w:bottom w:val="nil"/>
              <w:right w:val="nil"/>
            </w:tcBorders>
            <w:noWrap/>
            <w:vAlign w:val="bottom"/>
          </w:tcPr>
          <w:p w:rsidR="00B350F8" w:rsidRPr="00481073" w:rsidRDefault="00B350F8" w:rsidP="0050371B">
            <w:pPr>
              <w:rPr>
                <w:rFonts w:cs="Arial"/>
                <w:szCs w:val="20"/>
              </w:rPr>
            </w:pPr>
          </w:p>
        </w:tc>
        <w:tc>
          <w:tcPr>
            <w:tcW w:w="2428" w:type="dxa"/>
            <w:tcBorders>
              <w:top w:val="nil"/>
              <w:left w:val="nil"/>
              <w:bottom w:val="nil"/>
              <w:right w:val="nil"/>
            </w:tcBorders>
            <w:noWrap/>
            <w:vAlign w:val="bottom"/>
          </w:tcPr>
          <w:p w:rsidR="00B350F8" w:rsidRPr="00481073" w:rsidRDefault="00B350F8" w:rsidP="0050371B">
            <w:pPr>
              <w:ind w:firstLineChars="200" w:firstLine="400"/>
              <w:jc w:val="right"/>
              <w:rPr>
                <w:rFonts w:cs="Arial"/>
                <w:szCs w:val="20"/>
              </w:rPr>
            </w:pPr>
            <w:r>
              <w:rPr>
                <w:rFonts w:cs="Arial"/>
                <w:szCs w:val="20"/>
              </w:rPr>
              <w:t>64.65</w:t>
            </w:r>
          </w:p>
        </w:tc>
        <w:tc>
          <w:tcPr>
            <w:tcW w:w="615" w:type="dxa"/>
            <w:tcBorders>
              <w:top w:val="nil"/>
              <w:left w:val="nil"/>
              <w:bottom w:val="nil"/>
              <w:right w:val="nil"/>
            </w:tcBorders>
            <w:noWrap/>
            <w:vAlign w:val="bottom"/>
          </w:tcPr>
          <w:p w:rsidR="00B350F8" w:rsidRPr="00481073" w:rsidRDefault="00B350F8" w:rsidP="0050371B">
            <w:pPr>
              <w:rPr>
                <w:rFonts w:cs="Arial"/>
                <w:szCs w:val="20"/>
              </w:rPr>
            </w:pPr>
            <w:r w:rsidRPr="00481073">
              <w:rPr>
                <w:rFonts w:cs="Arial"/>
                <w:szCs w:val="20"/>
              </w:rPr>
              <w:t>per</w:t>
            </w:r>
          </w:p>
        </w:tc>
        <w:tc>
          <w:tcPr>
            <w:tcW w:w="2343" w:type="dxa"/>
            <w:tcBorders>
              <w:top w:val="nil"/>
              <w:left w:val="nil"/>
              <w:bottom w:val="nil"/>
              <w:right w:val="nil"/>
            </w:tcBorders>
            <w:noWrap/>
            <w:vAlign w:val="bottom"/>
          </w:tcPr>
          <w:p w:rsidR="00B350F8" w:rsidRPr="00481073" w:rsidRDefault="00B350F8" w:rsidP="0050371B">
            <w:pPr>
              <w:rPr>
                <w:rFonts w:cs="Arial"/>
                <w:szCs w:val="20"/>
              </w:rPr>
            </w:pPr>
            <w:r w:rsidRPr="00481073">
              <w:rPr>
                <w:rFonts w:cs="Arial"/>
                <w:szCs w:val="20"/>
              </w:rPr>
              <w:t>contact</w:t>
            </w:r>
          </w:p>
        </w:tc>
      </w:tr>
      <w:tr w:rsidR="00B350F8" w:rsidRPr="00481073" w:rsidTr="0050371B">
        <w:trPr>
          <w:trHeight w:val="222"/>
        </w:trPr>
        <w:tc>
          <w:tcPr>
            <w:tcW w:w="3563" w:type="dxa"/>
            <w:tcBorders>
              <w:top w:val="nil"/>
              <w:left w:val="nil"/>
              <w:bottom w:val="nil"/>
              <w:right w:val="nil"/>
            </w:tcBorders>
            <w:noWrap/>
            <w:vAlign w:val="bottom"/>
          </w:tcPr>
          <w:p w:rsidR="00B350F8" w:rsidRPr="00481073" w:rsidRDefault="00B350F8" w:rsidP="0050371B">
            <w:pPr>
              <w:ind w:firstLineChars="200" w:firstLine="400"/>
              <w:rPr>
                <w:rFonts w:cs="Arial"/>
                <w:szCs w:val="20"/>
              </w:rPr>
            </w:pPr>
            <w:r w:rsidRPr="00481073">
              <w:rPr>
                <w:rFonts w:cs="Arial"/>
                <w:szCs w:val="20"/>
              </w:rPr>
              <w:t>Orthopaedist</w:t>
            </w:r>
          </w:p>
        </w:tc>
        <w:tc>
          <w:tcPr>
            <w:tcW w:w="198" w:type="dxa"/>
            <w:tcBorders>
              <w:top w:val="nil"/>
              <w:left w:val="nil"/>
              <w:bottom w:val="nil"/>
              <w:right w:val="nil"/>
            </w:tcBorders>
            <w:noWrap/>
            <w:vAlign w:val="bottom"/>
          </w:tcPr>
          <w:p w:rsidR="00B350F8" w:rsidRPr="00481073" w:rsidRDefault="00B350F8" w:rsidP="0050371B">
            <w:pPr>
              <w:rPr>
                <w:rFonts w:cs="Arial"/>
                <w:szCs w:val="20"/>
              </w:rPr>
            </w:pPr>
          </w:p>
        </w:tc>
        <w:tc>
          <w:tcPr>
            <w:tcW w:w="2428" w:type="dxa"/>
            <w:tcBorders>
              <w:top w:val="nil"/>
              <w:left w:val="nil"/>
              <w:bottom w:val="nil"/>
              <w:right w:val="nil"/>
            </w:tcBorders>
            <w:noWrap/>
            <w:vAlign w:val="bottom"/>
          </w:tcPr>
          <w:p w:rsidR="00B350F8" w:rsidRPr="00481073" w:rsidRDefault="00B350F8" w:rsidP="0050371B">
            <w:pPr>
              <w:ind w:firstLineChars="200" w:firstLine="400"/>
              <w:jc w:val="right"/>
              <w:rPr>
                <w:rFonts w:cs="Arial"/>
                <w:szCs w:val="20"/>
              </w:rPr>
            </w:pPr>
            <w:r>
              <w:rPr>
                <w:rFonts w:cs="Arial"/>
                <w:szCs w:val="20"/>
              </w:rPr>
              <w:t>25.27</w:t>
            </w:r>
          </w:p>
        </w:tc>
        <w:tc>
          <w:tcPr>
            <w:tcW w:w="615" w:type="dxa"/>
            <w:tcBorders>
              <w:top w:val="nil"/>
              <w:left w:val="nil"/>
              <w:bottom w:val="nil"/>
              <w:right w:val="nil"/>
            </w:tcBorders>
            <w:noWrap/>
            <w:vAlign w:val="bottom"/>
          </w:tcPr>
          <w:p w:rsidR="00B350F8" w:rsidRPr="00481073" w:rsidRDefault="00B350F8" w:rsidP="0050371B">
            <w:pPr>
              <w:rPr>
                <w:rFonts w:cs="Arial"/>
                <w:szCs w:val="20"/>
              </w:rPr>
            </w:pPr>
            <w:r w:rsidRPr="00481073">
              <w:rPr>
                <w:rFonts w:cs="Arial"/>
                <w:szCs w:val="20"/>
              </w:rPr>
              <w:t>per</w:t>
            </w:r>
          </w:p>
        </w:tc>
        <w:tc>
          <w:tcPr>
            <w:tcW w:w="2343" w:type="dxa"/>
            <w:tcBorders>
              <w:top w:val="nil"/>
              <w:left w:val="nil"/>
              <w:bottom w:val="nil"/>
              <w:right w:val="nil"/>
            </w:tcBorders>
            <w:noWrap/>
            <w:vAlign w:val="bottom"/>
          </w:tcPr>
          <w:p w:rsidR="00B350F8" w:rsidRPr="00481073" w:rsidRDefault="00B350F8" w:rsidP="0050371B">
            <w:pPr>
              <w:rPr>
                <w:rFonts w:cs="Arial"/>
                <w:szCs w:val="20"/>
              </w:rPr>
            </w:pPr>
            <w:r w:rsidRPr="00481073">
              <w:rPr>
                <w:rFonts w:cs="Arial"/>
                <w:szCs w:val="20"/>
              </w:rPr>
              <w:t>contact</w:t>
            </w:r>
          </w:p>
        </w:tc>
      </w:tr>
      <w:tr w:rsidR="00B350F8" w:rsidRPr="00481073" w:rsidTr="0050371B">
        <w:trPr>
          <w:trHeight w:val="222"/>
        </w:trPr>
        <w:tc>
          <w:tcPr>
            <w:tcW w:w="3563" w:type="dxa"/>
            <w:tcBorders>
              <w:top w:val="nil"/>
              <w:left w:val="nil"/>
              <w:bottom w:val="nil"/>
              <w:right w:val="nil"/>
            </w:tcBorders>
            <w:noWrap/>
            <w:vAlign w:val="bottom"/>
          </w:tcPr>
          <w:p w:rsidR="00B350F8" w:rsidRPr="00481073" w:rsidRDefault="00B350F8" w:rsidP="0050371B">
            <w:pPr>
              <w:ind w:firstLineChars="200" w:firstLine="400"/>
              <w:rPr>
                <w:rFonts w:cs="Arial"/>
                <w:szCs w:val="20"/>
              </w:rPr>
            </w:pPr>
            <w:r w:rsidRPr="00481073">
              <w:rPr>
                <w:rFonts w:cs="Arial"/>
                <w:szCs w:val="20"/>
              </w:rPr>
              <w:t>Neurologist</w:t>
            </w:r>
          </w:p>
        </w:tc>
        <w:tc>
          <w:tcPr>
            <w:tcW w:w="198" w:type="dxa"/>
            <w:tcBorders>
              <w:top w:val="nil"/>
              <w:left w:val="nil"/>
              <w:bottom w:val="nil"/>
              <w:right w:val="nil"/>
            </w:tcBorders>
            <w:noWrap/>
            <w:vAlign w:val="bottom"/>
          </w:tcPr>
          <w:p w:rsidR="00B350F8" w:rsidRPr="00481073" w:rsidRDefault="00B350F8" w:rsidP="0050371B">
            <w:pPr>
              <w:rPr>
                <w:rFonts w:cs="Arial"/>
                <w:szCs w:val="20"/>
              </w:rPr>
            </w:pPr>
          </w:p>
        </w:tc>
        <w:tc>
          <w:tcPr>
            <w:tcW w:w="2428" w:type="dxa"/>
            <w:tcBorders>
              <w:top w:val="nil"/>
              <w:left w:val="nil"/>
              <w:bottom w:val="nil"/>
              <w:right w:val="nil"/>
            </w:tcBorders>
            <w:noWrap/>
            <w:vAlign w:val="bottom"/>
          </w:tcPr>
          <w:p w:rsidR="00B350F8" w:rsidRPr="00481073" w:rsidRDefault="00B350F8" w:rsidP="0050371B">
            <w:pPr>
              <w:ind w:firstLineChars="200" w:firstLine="400"/>
              <w:jc w:val="right"/>
              <w:rPr>
                <w:rFonts w:cs="Arial"/>
                <w:szCs w:val="20"/>
              </w:rPr>
            </w:pPr>
            <w:r>
              <w:rPr>
                <w:rFonts w:cs="Arial"/>
                <w:szCs w:val="20"/>
              </w:rPr>
              <w:t>45.58</w:t>
            </w:r>
          </w:p>
        </w:tc>
        <w:tc>
          <w:tcPr>
            <w:tcW w:w="615" w:type="dxa"/>
            <w:tcBorders>
              <w:top w:val="nil"/>
              <w:left w:val="nil"/>
              <w:bottom w:val="nil"/>
              <w:right w:val="nil"/>
            </w:tcBorders>
            <w:noWrap/>
            <w:vAlign w:val="bottom"/>
          </w:tcPr>
          <w:p w:rsidR="00B350F8" w:rsidRPr="00481073" w:rsidRDefault="00B350F8" w:rsidP="0050371B">
            <w:pPr>
              <w:rPr>
                <w:rFonts w:cs="Arial"/>
                <w:szCs w:val="20"/>
              </w:rPr>
            </w:pPr>
            <w:r w:rsidRPr="00481073">
              <w:rPr>
                <w:rFonts w:cs="Arial"/>
                <w:szCs w:val="20"/>
              </w:rPr>
              <w:t>per</w:t>
            </w:r>
          </w:p>
        </w:tc>
        <w:tc>
          <w:tcPr>
            <w:tcW w:w="2343" w:type="dxa"/>
            <w:tcBorders>
              <w:top w:val="nil"/>
              <w:left w:val="nil"/>
              <w:bottom w:val="nil"/>
              <w:right w:val="nil"/>
            </w:tcBorders>
            <w:noWrap/>
            <w:vAlign w:val="bottom"/>
          </w:tcPr>
          <w:p w:rsidR="00B350F8" w:rsidRPr="00481073" w:rsidRDefault="00B350F8" w:rsidP="0050371B">
            <w:pPr>
              <w:rPr>
                <w:rFonts w:cs="Arial"/>
                <w:szCs w:val="20"/>
              </w:rPr>
            </w:pPr>
            <w:r w:rsidRPr="00481073">
              <w:rPr>
                <w:rFonts w:cs="Arial"/>
                <w:szCs w:val="20"/>
              </w:rPr>
              <w:t>contact</w:t>
            </w:r>
          </w:p>
        </w:tc>
      </w:tr>
      <w:tr w:rsidR="00B350F8" w:rsidRPr="00481073" w:rsidTr="0050371B">
        <w:trPr>
          <w:trHeight w:val="222"/>
        </w:trPr>
        <w:tc>
          <w:tcPr>
            <w:tcW w:w="3563" w:type="dxa"/>
            <w:tcBorders>
              <w:top w:val="nil"/>
              <w:left w:val="nil"/>
              <w:bottom w:val="nil"/>
              <w:right w:val="nil"/>
            </w:tcBorders>
            <w:noWrap/>
            <w:vAlign w:val="bottom"/>
          </w:tcPr>
          <w:p w:rsidR="00B350F8" w:rsidRPr="00481073" w:rsidRDefault="00B350F8" w:rsidP="0050371B">
            <w:pPr>
              <w:ind w:firstLineChars="200" w:firstLine="400"/>
              <w:rPr>
                <w:rFonts w:cs="Arial"/>
                <w:szCs w:val="20"/>
              </w:rPr>
            </w:pPr>
            <w:r w:rsidRPr="00481073">
              <w:rPr>
                <w:rFonts w:cs="Arial"/>
                <w:szCs w:val="20"/>
              </w:rPr>
              <w:t>Ophthalmologist</w:t>
            </w:r>
          </w:p>
        </w:tc>
        <w:tc>
          <w:tcPr>
            <w:tcW w:w="198" w:type="dxa"/>
            <w:tcBorders>
              <w:top w:val="nil"/>
              <w:left w:val="nil"/>
              <w:bottom w:val="nil"/>
              <w:right w:val="nil"/>
            </w:tcBorders>
            <w:noWrap/>
            <w:vAlign w:val="bottom"/>
          </w:tcPr>
          <w:p w:rsidR="00B350F8" w:rsidRPr="00481073" w:rsidRDefault="00B350F8" w:rsidP="0050371B">
            <w:pPr>
              <w:rPr>
                <w:rFonts w:cs="Arial"/>
                <w:szCs w:val="20"/>
              </w:rPr>
            </w:pPr>
          </w:p>
        </w:tc>
        <w:tc>
          <w:tcPr>
            <w:tcW w:w="2428" w:type="dxa"/>
            <w:tcBorders>
              <w:top w:val="nil"/>
              <w:left w:val="nil"/>
              <w:bottom w:val="nil"/>
              <w:right w:val="nil"/>
            </w:tcBorders>
            <w:noWrap/>
            <w:vAlign w:val="bottom"/>
          </w:tcPr>
          <w:p w:rsidR="00B350F8" w:rsidRPr="00481073" w:rsidRDefault="00B350F8" w:rsidP="0050371B">
            <w:pPr>
              <w:ind w:firstLineChars="200" w:firstLine="400"/>
              <w:jc w:val="right"/>
              <w:rPr>
                <w:rFonts w:cs="Arial"/>
                <w:szCs w:val="20"/>
              </w:rPr>
            </w:pPr>
            <w:r>
              <w:rPr>
                <w:rFonts w:cs="Arial"/>
                <w:szCs w:val="20"/>
              </w:rPr>
              <w:t>35.09</w:t>
            </w:r>
          </w:p>
        </w:tc>
        <w:tc>
          <w:tcPr>
            <w:tcW w:w="615" w:type="dxa"/>
            <w:tcBorders>
              <w:top w:val="nil"/>
              <w:left w:val="nil"/>
              <w:bottom w:val="nil"/>
              <w:right w:val="nil"/>
            </w:tcBorders>
            <w:noWrap/>
            <w:vAlign w:val="bottom"/>
          </w:tcPr>
          <w:p w:rsidR="00B350F8" w:rsidRPr="00481073" w:rsidRDefault="00B350F8" w:rsidP="0050371B">
            <w:pPr>
              <w:rPr>
                <w:rFonts w:cs="Arial"/>
                <w:szCs w:val="20"/>
              </w:rPr>
            </w:pPr>
            <w:r w:rsidRPr="00481073">
              <w:rPr>
                <w:rFonts w:cs="Arial"/>
                <w:szCs w:val="20"/>
              </w:rPr>
              <w:t>per</w:t>
            </w:r>
          </w:p>
        </w:tc>
        <w:tc>
          <w:tcPr>
            <w:tcW w:w="2343" w:type="dxa"/>
            <w:tcBorders>
              <w:top w:val="nil"/>
              <w:left w:val="nil"/>
              <w:bottom w:val="nil"/>
              <w:right w:val="nil"/>
            </w:tcBorders>
            <w:noWrap/>
            <w:vAlign w:val="bottom"/>
          </w:tcPr>
          <w:p w:rsidR="00B350F8" w:rsidRPr="00481073" w:rsidRDefault="00B350F8" w:rsidP="0050371B">
            <w:pPr>
              <w:rPr>
                <w:rFonts w:cs="Arial"/>
                <w:szCs w:val="20"/>
              </w:rPr>
            </w:pPr>
            <w:r w:rsidRPr="00481073">
              <w:rPr>
                <w:rFonts w:cs="Arial"/>
                <w:szCs w:val="20"/>
              </w:rPr>
              <w:t>contact</w:t>
            </w:r>
          </w:p>
        </w:tc>
      </w:tr>
      <w:tr w:rsidR="00B350F8" w:rsidRPr="00C3287F" w:rsidTr="0050371B">
        <w:trPr>
          <w:trHeight w:val="222"/>
        </w:trPr>
        <w:tc>
          <w:tcPr>
            <w:tcW w:w="3563" w:type="dxa"/>
            <w:tcBorders>
              <w:top w:val="nil"/>
              <w:left w:val="nil"/>
              <w:bottom w:val="nil"/>
              <w:right w:val="nil"/>
            </w:tcBorders>
            <w:noWrap/>
            <w:vAlign w:val="bottom"/>
          </w:tcPr>
          <w:p w:rsidR="00B350F8" w:rsidRPr="00481073" w:rsidRDefault="00B350F8" w:rsidP="0050371B">
            <w:pPr>
              <w:ind w:firstLineChars="200" w:firstLine="400"/>
              <w:rPr>
                <w:rFonts w:cs="Arial"/>
                <w:szCs w:val="20"/>
              </w:rPr>
            </w:pPr>
            <w:r w:rsidRPr="00481073">
              <w:rPr>
                <w:rFonts w:cs="Arial"/>
                <w:szCs w:val="20"/>
              </w:rPr>
              <w:lastRenderedPageBreak/>
              <w:t>Otolaryngologist</w:t>
            </w:r>
          </w:p>
        </w:tc>
        <w:tc>
          <w:tcPr>
            <w:tcW w:w="198" w:type="dxa"/>
            <w:tcBorders>
              <w:top w:val="nil"/>
              <w:left w:val="nil"/>
              <w:bottom w:val="nil"/>
              <w:right w:val="nil"/>
            </w:tcBorders>
            <w:noWrap/>
            <w:vAlign w:val="bottom"/>
          </w:tcPr>
          <w:p w:rsidR="00B350F8" w:rsidRPr="00481073" w:rsidRDefault="00B350F8" w:rsidP="0050371B">
            <w:pPr>
              <w:rPr>
                <w:rFonts w:cs="Arial"/>
                <w:szCs w:val="20"/>
              </w:rPr>
            </w:pPr>
          </w:p>
        </w:tc>
        <w:tc>
          <w:tcPr>
            <w:tcW w:w="2428" w:type="dxa"/>
            <w:tcBorders>
              <w:top w:val="nil"/>
              <w:left w:val="nil"/>
              <w:bottom w:val="nil"/>
              <w:right w:val="nil"/>
            </w:tcBorders>
            <w:noWrap/>
            <w:vAlign w:val="bottom"/>
          </w:tcPr>
          <w:p w:rsidR="00B350F8" w:rsidRPr="00C3287F" w:rsidRDefault="00B350F8" w:rsidP="0050371B">
            <w:pPr>
              <w:ind w:firstLineChars="200" w:firstLine="400"/>
              <w:jc w:val="right"/>
              <w:rPr>
                <w:rFonts w:cs="Arial"/>
                <w:szCs w:val="20"/>
                <w:lang w:val="en-US"/>
              </w:rPr>
            </w:pPr>
            <w:r w:rsidRPr="00C3287F">
              <w:rPr>
                <w:rFonts w:cs="Arial"/>
                <w:szCs w:val="20"/>
                <w:lang w:val="en-US"/>
              </w:rPr>
              <w:t>27.</w:t>
            </w:r>
            <w:r>
              <w:rPr>
                <w:rFonts w:cs="Arial"/>
                <w:szCs w:val="20"/>
                <w:lang w:val="en-US"/>
              </w:rPr>
              <w:t>55</w:t>
            </w:r>
          </w:p>
        </w:tc>
        <w:tc>
          <w:tcPr>
            <w:tcW w:w="615" w:type="dxa"/>
            <w:tcBorders>
              <w:top w:val="nil"/>
              <w:left w:val="nil"/>
              <w:bottom w:val="nil"/>
              <w:right w:val="nil"/>
            </w:tcBorders>
            <w:noWrap/>
            <w:vAlign w:val="bottom"/>
          </w:tcPr>
          <w:p w:rsidR="00B350F8" w:rsidRPr="00C3287F" w:rsidRDefault="00B350F8" w:rsidP="0050371B">
            <w:pPr>
              <w:rPr>
                <w:rFonts w:cs="Arial"/>
                <w:szCs w:val="20"/>
                <w:lang w:val="en-US"/>
              </w:rPr>
            </w:pPr>
            <w:r w:rsidRPr="00C3287F">
              <w:rPr>
                <w:rFonts w:cs="Arial"/>
                <w:szCs w:val="20"/>
                <w:lang w:val="en-US"/>
              </w:rPr>
              <w:t>per</w:t>
            </w:r>
          </w:p>
        </w:tc>
        <w:tc>
          <w:tcPr>
            <w:tcW w:w="2343" w:type="dxa"/>
            <w:tcBorders>
              <w:top w:val="nil"/>
              <w:left w:val="nil"/>
              <w:bottom w:val="nil"/>
              <w:right w:val="nil"/>
            </w:tcBorders>
            <w:noWrap/>
            <w:vAlign w:val="bottom"/>
          </w:tcPr>
          <w:p w:rsidR="00B350F8" w:rsidRPr="00C3287F" w:rsidRDefault="00B350F8" w:rsidP="0050371B">
            <w:pPr>
              <w:rPr>
                <w:rFonts w:cs="Arial"/>
                <w:szCs w:val="20"/>
                <w:lang w:val="en-US"/>
              </w:rPr>
            </w:pPr>
            <w:r w:rsidRPr="00C3287F">
              <w:rPr>
                <w:rFonts w:cs="Arial"/>
                <w:szCs w:val="20"/>
                <w:lang w:val="en-US"/>
              </w:rPr>
              <w:t>contact</w:t>
            </w:r>
          </w:p>
        </w:tc>
      </w:tr>
      <w:tr w:rsidR="00B350F8" w:rsidRPr="00C3287F" w:rsidTr="0050371B">
        <w:trPr>
          <w:trHeight w:val="222"/>
        </w:trPr>
        <w:tc>
          <w:tcPr>
            <w:tcW w:w="3563" w:type="dxa"/>
            <w:tcBorders>
              <w:top w:val="nil"/>
              <w:left w:val="nil"/>
              <w:bottom w:val="nil"/>
              <w:right w:val="nil"/>
            </w:tcBorders>
            <w:noWrap/>
            <w:vAlign w:val="bottom"/>
          </w:tcPr>
          <w:p w:rsidR="00B350F8" w:rsidRPr="00C3287F" w:rsidRDefault="00B350F8" w:rsidP="0050371B">
            <w:pPr>
              <w:ind w:firstLineChars="200" w:firstLine="400"/>
              <w:rPr>
                <w:rFonts w:cs="Arial"/>
                <w:szCs w:val="20"/>
                <w:lang w:val="en-US"/>
              </w:rPr>
            </w:pPr>
            <w:r w:rsidRPr="00C3287F">
              <w:rPr>
                <w:rFonts w:cs="Arial"/>
                <w:szCs w:val="20"/>
                <w:lang w:val="en-US"/>
              </w:rPr>
              <w:t>Gynaecologist</w:t>
            </w:r>
          </w:p>
        </w:tc>
        <w:tc>
          <w:tcPr>
            <w:tcW w:w="198" w:type="dxa"/>
            <w:tcBorders>
              <w:top w:val="nil"/>
              <w:left w:val="nil"/>
              <w:bottom w:val="nil"/>
              <w:right w:val="nil"/>
            </w:tcBorders>
            <w:noWrap/>
            <w:vAlign w:val="bottom"/>
          </w:tcPr>
          <w:p w:rsidR="00B350F8" w:rsidRPr="00C3287F" w:rsidRDefault="00B350F8" w:rsidP="0050371B">
            <w:pPr>
              <w:rPr>
                <w:rFonts w:cs="Arial"/>
                <w:szCs w:val="20"/>
                <w:lang w:val="en-US"/>
              </w:rPr>
            </w:pPr>
          </w:p>
        </w:tc>
        <w:tc>
          <w:tcPr>
            <w:tcW w:w="2428" w:type="dxa"/>
            <w:tcBorders>
              <w:top w:val="nil"/>
              <w:left w:val="nil"/>
              <w:bottom w:val="nil"/>
              <w:right w:val="nil"/>
            </w:tcBorders>
            <w:noWrap/>
            <w:vAlign w:val="bottom"/>
          </w:tcPr>
          <w:p w:rsidR="00B350F8" w:rsidRPr="00C3287F" w:rsidRDefault="00B350F8" w:rsidP="0050371B">
            <w:pPr>
              <w:ind w:firstLineChars="200" w:firstLine="400"/>
              <w:jc w:val="right"/>
              <w:rPr>
                <w:rFonts w:cs="Arial"/>
                <w:szCs w:val="20"/>
                <w:lang w:val="en-US"/>
              </w:rPr>
            </w:pPr>
            <w:r>
              <w:rPr>
                <w:rFonts w:cs="Arial"/>
                <w:szCs w:val="20"/>
                <w:lang w:val="en-US"/>
              </w:rPr>
              <w:t>30.53</w:t>
            </w:r>
          </w:p>
        </w:tc>
        <w:tc>
          <w:tcPr>
            <w:tcW w:w="615" w:type="dxa"/>
            <w:tcBorders>
              <w:top w:val="nil"/>
              <w:left w:val="nil"/>
              <w:bottom w:val="nil"/>
              <w:right w:val="nil"/>
            </w:tcBorders>
            <w:noWrap/>
            <w:vAlign w:val="bottom"/>
          </w:tcPr>
          <w:p w:rsidR="00B350F8" w:rsidRPr="00C3287F" w:rsidRDefault="00B350F8" w:rsidP="0050371B">
            <w:pPr>
              <w:rPr>
                <w:rFonts w:cs="Arial"/>
                <w:szCs w:val="20"/>
                <w:lang w:val="en-US"/>
              </w:rPr>
            </w:pPr>
            <w:r w:rsidRPr="00C3287F">
              <w:rPr>
                <w:rFonts w:cs="Arial"/>
                <w:szCs w:val="20"/>
                <w:lang w:val="en-US"/>
              </w:rPr>
              <w:t>per</w:t>
            </w:r>
          </w:p>
        </w:tc>
        <w:tc>
          <w:tcPr>
            <w:tcW w:w="2343" w:type="dxa"/>
            <w:tcBorders>
              <w:top w:val="nil"/>
              <w:left w:val="nil"/>
              <w:bottom w:val="nil"/>
              <w:right w:val="nil"/>
            </w:tcBorders>
            <w:noWrap/>
            <w:vAlign w:val="bottom"/>
          </w:tcPr>
          <w:p w:rsidR="00B350F8" w:rsidRPr="00C3287F" w:rsidRDefault="00B350F8" w:rsidP="0050371B">
            <w:pPr>
              <w:rPr>
                <w:rFonts w:cs="Arial"/>
                <w:szCs w:val="20"/>
                <w:lang w:val="en-US"/>
              </w:rPr>
            </w:pPr>
            <w:r w:rsidRPr="00C3287F">
              <w:rPr>
                <w:rFonts w:cs="Arial"/>
                <w:szCs w:val="20"/>
                <w:lang w:val="en-US"/>
              </w:rPr>
              <w:t>contact</w:t>
            </w:r>
          </w:p>
        </w:tc>
      </w:tr>
      <w:tr w:rsidR="00B350F8" w:rsidRPr="00C3287F" w:rsidTr="0050371B">
        <w:trPr>
          <w:trHeight w:val="222"/>
        </w:trPr>
        <w:tc>
          <w:tcPr>
            <w:tcW w:w="3563" w:type="dxa"/>
            <w:tcBorders>
              <w:top w:val="nil"/>
              <w:left w:val="nil"/>
              <w:bottom w:val="nil"/>
              <w:right w:val="nil"/>
            </w:tcBorders>
            <w:noWrap/>
            <w:vAlign w:val="bottom"/>
          </w:tcPr>
          <w:p w:rsidR="00B350F8" w:rsidRPr="00C3287F" w:rsidRDefault="00B350F8" w:rsidP="0050371B">
            <w:pPr>
              <w:ind w:firstLineChars="200" w:firstLine="400"/>
              <w:rPr>
                <w:rFonts w:cs="Arial"/>
                <w:szCs w:val="20"/>
                <w:lang w:val="en-US"/>
              </w:rPr>
            </w:pPr>
            <w:r w:rsidRPr="00C3287F">
              <w:rPr>
                <w:rFonts w:cs="Arial"/>
                <w:szCs w:val="20"/>
                <w:lang w:val="en-US"/>
              </w:rPr>
              <w:t>Dermatologist</w:t>
            </w:r>
          </w:p>
        </w:tc>
        <w:tc>
          <w:tcPr>
            <w:tcW w:w="198" w:type="dxa"/>
            <w:tcBorders>
              <w:top w:val="nil"/>
              <w:left w:val="nil"/>
              <w:bottom w:val="nil"/>
              <w:right w:val="nil"/>
            </w:tcBorders>
            <w:noWrap/>
            <w:vAlign w:val="bottom"/>
          </w:tcPr>
          <w:p w:rsidR="00B350F8" w:rsidRPr="00C3287F" w:rsidRDefault="00B350F8" w:rsidP="0050371B">
            <w:pPr>
              <w:rPr>
                <w:rFonts w:cs="Arial"/>
                <w:szCs w:val="20"/>
                <w:lang w:val="en-US"/>
              </w:rPr>
            </w:pPr>
          </w:p>
        </w:tc>
        <w:tc>
          <w:tcPr>
            <w:tcW w:w="2428" w:type="dxa"/>
            <w:tcBorders>
              <w:top w:val="nil"/>
              <w:left w:val="nil"/>
              <w:bottom w:val="nil"/>
              <w:right w:val="nil"/>
            </w:tcBorders>
            <w:noWrap/>
            <w:vAlign w:val="bottom"/>
          </w:tcPr>
          <w:p w:rsidR="00B350F8" w:rsidRPr="00C3287F" w:rsidRDefault="00B350F8" w:rsidP="0050371B">
            <w:pPr>
              <w:ind w:firstLineChars="200" w:firstLine="400"/>
              <w:jc w:val="right"/>
              <w:rPr>
                <w:rFonts w:cs="Arial"/>
                <w:szCs w:val="20"/>
                <w:lang w:val="en-US"/>
              </w:rPr>
            </w:pPr>
            <w:r>
              <w:rPr>
                <w:rFonts w:cs="Arial"/>
                <w:szCs w:val="20"/>
                <w:lang w:val="en-US"/>
              </w:rPr>
              <w:t>19.10</w:t>
            </w:r>
          </w:p>
        </w:tc>
        <w:tc>
          <w:tcPr>
            <w:tcW w:w="615" w:type="dxa"/>
            <w:tcBorders>
              <w:top w:val="nil"/>
              <w:left w:val="nil"/>
              <w:bottom w:val="nil"/>
              <w:right w:val="nil"/>
            </w:tcBorders>
            <w:noWrap/>
            <w:vAlign w:val="bottom"/>
          </w:tcPr>
          <w:p w:rsidR="00B350F8" w:rsidRPr="00C3287F" w:rsidRDefault="00B350F8" w:rsidP="0050371B">
            <w:pPr>
              <w:rPr>
                <w:rFonts w:cs="Arial"/>
                <w:szCs w:val="20"/>
                <w:lang w:val="en-US"/>
              </w:rPr>
            </w:pPr>
            <w:r w:rsidRPr="00C3287F">
              <w:rPr>
                <w:rFonts w:cs="Arial"/>
                <w:szCs w:val="20"/>
                <w:lang w:val="en-US"/>
              </w:rPr>
              <w:t>per</w:t>
            </w:r>
          </w:p>
        </w:tc>
        <w:tc>
          <w:tcPr>
            <w:tcW w:w="2343" w:type="dxa"/>
            <w:tcBorders>
              <w:top w:val="nil"/>
              <w:left w:val="nil"/>
              <w:bottom w:val="nil"/>
              <w:right w:val="nil"/>
            </w:tcBorders>
            <w:noWrap/>
            <w:vAlign w:val="bottom"/>
          </w:tcPr>
          <w:p w:rsidR="00B350F8" w:rsidRPr="00C3287F" w:rsidRDefault="00B350F8" w:rsidP="0050371B">
            <w:pPr>
              <w:rPr>
                <w:rFonts w:cs="Arial"/>
                <w:szCs w:val="20"/>
                <w:lang w:val="en-US"/>
              </w:rPr>
            </w:pPr>
            <w:r w:rsidRPr="00C3287F">
              <w:rPr>
                <w:rFonts w:cs="Arial"/>
                <w:szCs w:val="20"/>
                <w:lang w:val="en-US"/>
              </w:rPr>
              <w:t>contact</w:t>
            </w:r>
          </w:p>
        </w:tc>
      </w:tr>
      <w:tr w:rsidR="00B350F8" w:rsidRPr="00C3287F" w:rsidTr="0050371B">
        <w:trPr>
          <w:trHeight w:val="222"/>
        </w:trPr>
        <w:tc>
          <w:tcPr>
            <w:tcW w:w="3563" w:type="dxa"/>
            <w:tcBorders>
              <w:top w:val="nil"/>
              <w:left w:val="nil"/>
              <w:bottom w:val="nil"/>
              <w:right w:val="nil"/>
            </w:tcBorders>
            <w:noWrap/>
            <w:vAlign w:val="bottom"/>
          </w:tcPr>
          <w:p w:rsidR="00B350F8" w:rsidRPr="00C3287F" w:rsidRDefault="00B350F8" w:rsidP="0050371B">
            <w:pPr>
              <w:ind w:firstLineChars="200" w:firstLine="400"/>
              <w:rPr>
                <w:rFonts w:cs="Arial"/>
                <w:szCs w:val="20"/>
                <w:lang w:val="en-US"/>
              </w:rPr>
            </w:pPr>
            <w:r w:rsidRPr="00C3287F">
              <w:rPr>
                <w:rFonts w:cs="Arial"/>
                <w:szCs w:val="20"/>
                <w:lang w:val="en-US"/>
              </w:rPr>
              <w:t>Urologist</w:t>
            </w:r>
          </w:p>
        </w:tc>
        <w:tc>
          <w:tcPr>
            <w:tcW w:w="198" w:type="dxa"/>
            <w:tcBorders>
              <w:top w:val="nil"/>
              <w:left w:val="nil"/>
              <w:bottom w:val="nil"/>
              <w:right w:val="nil"/>
            </w:tcBorders>
            <w:noWrap/>
            <w:vAlign w:val="bottom"/>
          </w:tcPr>
          <w:p w:rsidR="00B350F8" w:rsidRPr="00C3287F" w:rsidRDefault="00B350F8" w:rsidP="0050371B">
            <w:pPr>
              <w:rPr>
                <w:rFonts w:cs="Arial"/>
                <w:szCs w:val="20"/>
                <w:lang w:val="en-US"/>
              </w:rPr>
            </w:pPr>
          </w:p>
        </w:tc>
        <w:tc>
          <w:tcPr>
            <w:tcW w:w="2428" w:type="dxa"/>
            <w:tcBorders>
              <w:top w:val="nil"/>
              <w:left w:val="nil"/>
              <w:bottom w:val="nil"/>
              <w:right w:val="nil"/>
            </w:tcBorders>
            <w:noWrap/>
            <w:vAlign w:val="bottom"/>
          </w:tcPr>
          <w:p w:rsidR="00B350F8" w:rsidRPr="00C3287F" w:rsidRDefault="00B350F8" w:rsidP="0050371B">
            <w:pPr>
              <w:ind w:firstLineChars="200" w:firstLine="400"/>
              <w:jc w:val="right"/>
              <w:rPr>
                <w:rFonts w:cs="Arial"/>
                <w:szCs w:val="20"/>
                <w:lang w:val="en-US"/>
              </w:rPr>
            </w:pPr>
            <w:r>
              <w:rPr>
                <w:rFonts w:cs="Arial"/>
                <w:szCs w:val="20"/>
                <w:lang w:val="en-US"/>
              </w:rPr>
              <w:t>24.97</w:t>
            </w:r>
          </w:p>
        </w:tc>
        <w:tc>
          <w:tcPr>
            <w:tcW w:w="615" w:type="dxa"/>
            <w:tcBorders>
              <w:top w:val="nil"/>
              <w:left w:val="nil"/>
              <w:bottom w:val="nil"/>
              <w:right w:val="nil"/>
            </w:tcBorders>
            <w:noWrap/>
            <w:vAlign w:val="bottom"/>
          </w:tcPr>
          <w:p w:rsidR="00B350F8" w:rsidRPr="00C3287F" w:rsidRDefault="00B350F8" w:rsidP="0050371B">
            <w:pPr>
              <w:rPr>
                <w:rFonts w:cs="Arial"/>
                <w:szCs w:val="20"/>
                <w:lang w:val="en-US"/>
              </w:rPr>
            </w:pPr>
            <w:r w:rsidRPr="00C3287F">
              <w:rPr>
                <w:rFonts w:cs="Arial"/>
                <w:szCs w:val="20"/>
                <w:lang w:val="en-US"/>
              </w:rPr>
              <w:t>per</w:t>
            </w:r>
          </w:p>
        </w:tc>
        <w:tc>
          <w:tcPr>
            <w:tcW w:w="2343" w:type="dxa"/>
            <w:tcBorders>
              <w:top w:val="nil"/>
              <w:left w:val="nil"/>
              <w:bottom w:val="nil"/>
              <w:right w:val="nil"/>
            </w:tcBorders>
            <w:noWrap/>
            <w:vAlign w:val="bottom"/>
          </w:tcPr>
          <w:p w:rsidR="00B350F8" w:rsidRPr="00C3287F" w:rsidRDefault="00B350F8" w:rsidP="0050371B">
            <w:pPr>
              <w:rPr>
                <w:rFonts w:cs="Arial"/>
                <w:szCs w:val="20"/>
                <w:lang w:val="en-US"/>
              </w:rPr>
            </w:pPr>
            <w:r w:rsidRPr="00C3287F">
              <w:rPr>
                <w:rFonts w:cs="Arial"/>
                <w:szCs w:val="20"/>
                <w:lang w:val="en-US"/>
              </w:rPr>
              <w:t>contact</w:t>
            </w:r>
          </w:p>
        </w:tc>
      </w:tr>
      <w:tr w:rsidR="00B350F8" w:rsidRPr="00481073" w:rsidTr="0050371B">
        <w:trPr>
          <w:trHeight w:val="222"/>
        </w:trPr>
        <w:tc>
          <w:tcPr>
            <w:tcW w:w="3563" w:type="dxa"/>
            <w:tcBorders>
              <w:top w:val="nil"/>
              <w:left w:val="nil"/>
              <w:bottom w:val="nil"/>
              <w:right w:val="nil"/>
            </w:tcBorders>
            <w:noWrap/>
            <w:vAlign w:val="bottom"/>
          </w:tcPr>
          <w:p w:rsidR="00B350F8" w:rsidRPr="00C3287F" w:rsidRDefault="00B350F8" w:rsidP="0050371B">
            <w:pPr>
              <w:ind w:firstLineChars="200" w:firstLine="400"/>
              <w:rPr>
                <w:rFonts w:cs="Arial"/>
                <w:szCs w:val="20"/>
                <w:lang w:val="en-US"/>
              </w:rPr>
            </w:pPr>
            <w:r w:rsidRPr="00C3287F">
              <w:rPr>
                <w:rFonts w:cs="Arial"/>
                <w:szCs w:val="20"/>
                <w:lang w:val="en-US"/>
              </w:rPr>
              <w:t>Other</w:t>
            </w:r>
          </w:p>
        </w:tc>
        <w:tc>
          <w:tcPr>
            <w:tcW w:w="198" w:type="dxa"/>
            <w:tcBorders>
              <w:top w:val="nil"/>
              <w:left w:val="nil"/>
              <w:bottom w:val="nil"/>
              <w:right w:val="nil"/>
            </w:tcBorders>
            <w:noWrap/>
            <w:vAlign w:val="bottom"/>
          </w:tcPr>
          <w:p w:rsidR="00B350F8" w:rsidRPr="00C3287F" w:rsidRDefault="00B350F8" w:rsidP="0050371B">
            <w:pPr>
              <w:rPr>
                <w:rFonts w:cs="Arial"/>
                <w:szCs w:val="20"/>
                <w:lang w:val="en-US"/>
              </w:rPr>
            </w:pPr>
          </w:p>
        </w:tc>
        <w:tc>
          <w:tcPr>
            <w:tcW w:w="2428" w:type="dxa"/>
            <w:tcBorders>
              <w:top w:val="nil"/>
              <w:left w:val="nil"/>
              <w:bottom w:val="nil"/>
              <w:right w:val="nil"/>
            </w:tcBorders>
            <w:noWrap/>
            <w:vAlign w:val="bottom"/>
          </w:tcPr>
          <w:p w:rsidR="00B350F8" w:rsidRPr="00C3287F" w:rsidRDefault="00B350F8" w:rsidP="0050371B">
            <w:pPr>
              <w:ind w:firstLineChars="200" w:firstLine="400"/>
              <w:jc w:val="right"/>
              <w:rPr>
                <w:rFonts w:cs="Arial"/>
                <w:szCs w:val="20"/>
                <w:lang w:val="en-US"/>
              </w:rPr>
            </w:pPr>
            <w:r>
              <w:rPr>
                <w:rFonts w:cs="Arial"/>
                <w:szCs w:val="20"/>
                <w:lang w:val="en-US"/>
              </w:rPr>
              <w:t>43.97</w:t>
            </w:r>
          </w:p>
        </w:tc>
        <w:tc>
          <w:tcPr>
            <w:tcW w:w="615" w:type="dxa"/>
            <w:tcBorders>
              <w:top w:val="nil"/>
              <w:left w:val="nil"/>
              <w:bottom w:val="nil"/>
              <w:right w:val="nil"/>
            </w:tcBorders>
            <w:noWrap/>
            <w:vAlign w:val="bottom"/>
          </w:tcPr>
          <w:p w:rsidR="00B350F8" w:rsidRPr="00481073" w:rsidRDefault="00B350F8" w:rsidP="0050371B">
            <w:pPr>
              <w:rPr>
                <w:rFonts w:cs="Arial"/>
                <w:szCs w:val="20"/>
              </w:rPr>
            </w:pPr>
            <w:r w:rsidRPr="00C3287F">
              <w:rPr>
                <w:rFonts w:cs="Arial"/>
                <w:szCs w:val="20"/>
                <w:lang w:val="en-US"/>
              </w:rPr>
              <w:t>p</w:t>
            </w:r>
            <w:r w:rsidRPr="00481073">
              <w:rPr>
                <w:rFonts w:cs="Arial"/>
                <w:szCs w:val="20"/>
              </w:rPr>
              <w:t>er</w:t>
            </w:r>
          </w:p>
        </w:tc>
        <w:tc>
          <w:tcPr>
            <w:tcW w:w="2343" w:type="dxa"/>
            <w:tcBorders>
              <w:top w:val="nil"/>
              <w:left w:val="nil"/>
              <w:bottom w:val="nil"/>
              <w:right w:val="nil"/>
            </w:tcBorders>
            <w:noWrap/>
            <w:vAlign w:val="bottom"/>
          </w:tcPr>
          <w:p w:rsidR="00B350F8" w:rsidRPr="00481073" w:rsidRDefault="00B350F8" w:rsidP="0050371B">
            <w:pPr>
              <w:rPr>
                <w:rFonts w:cs="Arial"/>
                <w:szCs w:val="20"/>
              </w:rPr>
            </w:pPr>
            <w:r w:rsidRPr="00481073">
              <w:rPr>
                <w:rFonts w:cs="Arial"/>
                <w:szCs w:val="20"/>
              </w:rPr>
              <w:t>contact</w:t>
            </w:r>
          </w:p>
        </w:tc>
      </w:tr>
      <w:tr w:rsidR="00B350F8" w:rsidRPr="00481073" w:rsidTr="0050371B">
        <w:trPr>
          <w:trHeight w:val="222"/>
        </w:trPr>
        <w:tc>
          <w:tcPr>
            <w:tcW w:w="3563" w:type="dxa"/>
            <w:tcBorders>
              <w:top w:val="nil"/>
              <w:left w:val="nil"/>
              <w:bottom w:val="nil"/>
              <w:right w:val="nil"/>
            </w:tcBorders>
            <w:noWrap/>
            <w:vAlign w:val="bottom"/>
          </w:tcPr>
          <w:p w:rsidR="00B350F8" w:rsidRPr="00481073" w:rsidRDefault="00B350F8" w:rsidP="0050371B">
            <w:pPr>
              <w:ind w:firstLineChars="100" w:firstLine="200"/>
              <w:rPr>
                <w:rFonts w:cs="Arial"/>
                <w:szCs w:val="20"/>
                <w:vertAlign w:val="superscript"/>
              </w:rPr>
            </w:pPr>
            <w:r w:rsidRPr="00481073">
              <w:rPr>
                <w:rFonts w:cs="Arial"/>
                <w:szCs w:val="20"/>
              </w:rPr>
              <w:t>Physiotherapist</w:t>
            </w:r>
          </w:p>
        </w:tc>
        <w:tc>
          <w:tcPr>
            <w:tcW w:w="198" w:type="dxa"/>
            <w:tcBorders>
              <w:top w:val="nil"/>
              <w:left w:val="nil"/>
              <w:bottom w:val="nil"/>
              <w:right w:val="nil"/>
            </w:tcBorders>
            <w:noWrap/>
            <w:vAlign w:val="bottom"/>
          </w:tcPr>
          <w:p w:rsidR="00B350F8" w:rsidRPr="00481073" w:rsidRDefault="00B350F8" w:rsidP="0050371B">
            <w:pPr>
              <w:rPr>
                <w:rFonts w:cs="Arial"/>
                <w:szCs w:val="20"/>
              </w:rPr>
            </w:pPr>
          </w:p>
        </w:tc>
        <w:tc>
          <w:tcPr>
            <w:tcW w:w="2428" w:type="dxa"/>
            <w:tcBorders>
              <w:top w:val="nil"/>
              <w:left w:val="nil"/>
              <w:bottom w:val="nil"/>
              <w:right w:val="nil"/>
            </w:tcBorders>
            <w:noWrap/>
            <w:vAlign w:val="bottom"/>
          </w:tcPr>
          <w:p w:rsidR="00B350F8" w:rsidRPr="00481073" w:rsidRDefault="00B350F8" w:rsidP="0050371B">
            <w:pPr>
              <w:ind w:firstLineChars="200" w:firstLine="400"/>
              <w:jc w:val="right"/>
              <w:rPr>
                <w:rFonts w:cs="Arial"/>
                <w:szCs w:val="20"/>
              </w:rPr>
            </w:pPr>
            <w:r>
              <w:rPr>
                <w:rFonts w:cs="Arial"/>
                <w:szCs w:val="20"/>
              </w:rPr>
              <w:t>16.62</w:t>
            </w:r>
          </w:p>
        </w:tc>
        <w:tc>
          <w:tcPr>
            <w:tcW w:w="615" w:type="dxa"/>
            <w:tcBorders>
              <w:top w:val="nil"/>
              <w:left w:val="nil"/>
              <w:bottom w:val="nil"/>
              <w:right w:val="nil"/>
            </w:tcBorders>
            <w:noWrap/>
            <w:vAlign w:val="bottom"/>
          </w:tcPr>
          <w:p w:rsidR="00B350F8" w:rsidRPr="00481073" w:rsidRDefault="00B350F8" w:rsidP="0050371B">
            <w:pPr>
              <w:rPr>
                <w:rFonts w:cs="Arial"/>
                <w:szCs w:val="20"/>
              </w:rPr>
            </w:pPr>
            <w:r w:rsidRPr="00481073">
              <w:rPr>
                <w:rFonts w:cs="Arial"/>
                <w:szCs w:val="20"/>
              </w:rPr>
              <w:t>per</w:t>
            </w:r>
          </w:p>
        </w:tc>
        <w:tc>
          <w:tcPr>
            <w:tcW w:w="2343" w:type="dxa"/>
            <w:tcBorders>
              <w:top w:val="nil"/>
              <w:left w:val="nil"/>
              <w:bottom w:val="nil"/>
              <w:right w:val="nil"/>
            </w:tcBorders>
            <w:noWrap/>
            <w:vAlign w:val="bottom"/>
          </w:tcPr>
          <w:p w:rsidR="00B350F8" w:rsidRPr="00481073" w:rsidRDefault="00B350F8" w:rsidP="0050371B">
            <w:pPr>
              <w:rPr>
                <w:rFonts w:cs="Arial"/>
                <w:szCs w:val="20"/>
              </w:rPr>
            </w:pPr>
            <w:r w:rsidRPr="00481073">
              <w:rPr>
                <w:rFonts w:cs="Arial"/>
                <w:szCs w:val="20"/>
              </w:rPr>
              <w:t>contact</w:t>
            </w:r>
          </w:p>
        </w:tc>
      </w:tr>
      <w:tr w:rsidR="00B350F8" w:rsidRPr="00481073" w:rsidTr="0050371B">
        <w:trPr>
          <w:trHeight w:val="222"/>
        </w:trPr>
        <w:tc>
          <w:tcPr>
            <w:tcW w:w="3563" w:type="dxa"/>
            <w:tcBorders>
              <w:top w:val="nil"/>
              <w:left w:val="nil"/>
              <w:bottom w:val="nil"/>
              <w:right w:val="nil"/>
            </w:tcBorders>
            <w:noWrap/>
            <w:vAlign w:val="bottom"/>
          </w:tcPr>
          <w:p w:rsidR="00B350F8" w:rsidRPr="00481073" w:rsidRDefault="00B350F8" w:rsidP="0050371B">
            <w:pPr>
              <w:ind w:firstLineChars="100" w:firstLine="200"/>
              <w:rPr>
                <w:rFonts w:cs="Arial"/>
                <w:szCs w:val="20"/>
                <w:vertAlign w:val="superscript"/>
                <w:lang w:val="en-GB"/>
              </w:rPr>
            </w:pPr>
            <w:r w:rsidRPr="00481073">
              <w:rPr>
                <w:rFonts w:cs="Arial"/>
                <w:szCs w:val="20"/>
                <w:lang w:val="en-GB"/>
              </w:rPr>
              <w:t>Ambulatory clinic in the hospital</w:t>
            </w:r>
          </w:p>
        </w:tc>
        <w:tc>
          <w:tcPr>
            <w:tcW w:w="198" w:type="dxa"/>
            <w:tcBorders>
              <w:top w:val="nil"/>
              <w:left w:val="nil"/>
              <w:bottom w:val="nil"/>
              <w:right w:val="nil"/>
            </w:tcBorders>
            <w:noWrap/>
            <w:vAlign w:val="bottom"/>
          </w:tcPr>
          <w:p w:rsidR="00B350F8" w:rsidRPr="00481073" w:rsidRDefault="00B350F8" w:rsidP="0050371B">
            <w:pPr>
              <w:rPr>
                <w:rFonts w:cs="Arial"/>
                <w:szCs w:val="20"/>
                <w:lang w:val="en-GB"/>
              </w:rPr>
            </w:pPr>
          </w:p>
        </w:tc>
        <w:tc>
          <w:tcPr>
            <w:tcW w:w="2428" w:type="dxa"/>
            <w:tcBorders>
              <w:top w:val="nil"/>
              <w:left w:val="nil"/>
              <w:bottom w:val="nil"/>
              <w:right w:val="nil"/>
            </w:tcBorders>
            <w:noWrap/>
            <w:vAlign w:val="bottom"/>
          </w:tcPr>
          <w:p w:rsidR="00B350F8" w:rsidRPr="00481073" w:rsidRDefault="00B350F8" w:rsidP="0050371B">
            <w:pPr>
              <w:ind w:firstLineChars="200" w:firstLine="400"/>
              <w:jc w:val="right"/>
              <w:rPr>
                <w:rFonts w:cs="Arial"/>
                <w:szCs w:val="20"/>
              </w:rPr>
            </w:pPr>
            <w:r w:rsidRPr="00481073">
              <w:rPr>
                <w:rFonts w:cs="Arial"/>
                <w:szCs w:val="20"/>
              </w:rPr>
              <w:t>40.31</w:t>
            </w:r>
          </w:p>
        </w:tc>
        <w:tc>
          <w:tcPr>
            <w:tcW w:w="615" w:type="dxa"/>
            <w:tcBorders>
              <w:top w:val="nil"/>
              <w:left w:val="nil"/>
              <w:bottom w:val="nil"/>
              <w:right w:val="nil"/>
            </w:tcBorders>
            <w:noWrap/>
            <w:vAlign w:val="bottom"/>
          </w:tcPr>
          <w:p w:rsidR="00B350F8" w:rsidRPr="00481073" w:rsidRDefault="00B350F8" w:rsidP="0050371B">
            <w:pPr>
              <w:rPr>
                <w:rFonts w:cs="Arial"/>
                <w:szCs w:val="20"/>
              </w:rPr>
            </w:pPr>
            <w:r w:rsidRPr="00481073">
              <w:rPr>
                <w:rFonts w:cs="Arial"/>
                <w:szCs w:val="20"/>
              </w:rPr>
              <w:t>per</w:t>
            </w:r>
          </w:p>
        </w:tc>
        <w:tc>
          <w:tcPr>
            <w:tcW w:w="2343" w:type="dxa"/>
            <w:tcBorders>
              <w:top w:val="nil"/>
              <w:left w:val="nil"/>
              <w:bottom w:val="nil"/>
              <w:right w:val="nil"/>
            </w:tcBorders>
            <w:noWrap/>
            <w:vAlign w:val="bottom"/>
          </w:tcPr>
          <w:p w:rsidR="00B350F8" w:rsidRPr="00481073" w:rsidRDefault="00B350F8" w:rsidP="0050371B">
            <w:pPr>
              <w:rPr>
                <w:rFonts w:cs="Arial"/>
                <w:szCs w:val="20"/>
              </w:rPr>
            </w:pPr>
            <w:r w:rsidRPr="00481073">
              <w:rPr>
                <w:rFonts w:cs="Arial"/>
                <w:szCs w:val="20"/>
              </w:rPr>
              <w:t>contact</w:t>
            </w:r>
          </w:p>
        </w:tc>
      </w:tr>
      <w:tr w:rsidR="00B350F8" w:rsidRPr="00481073" w:rsidTr="0050371B">
        <w:trPr>
          <w:trHeight w:val="222"/>
        </w:trPr>
        <w:tc>
          <w:tcPr>
            <w:tcW w:w="3563" w:type="dxa"/>
            <w:tcBorders>
              <w:top w:val="nil"/>
              <w:left w:val="nil"/>
              <w:bottom w:val="nil"/>
              <w:right w:val="nil"/>
            </w:tcBorders>
            <w:noWrap/>
            <w:vAlign w:val="bottom"/>
          </w:tcPr>
          <w:p w:rsidR="00B350F8" w:rsidRPr="00386B14" w:rsidRDefault="00B350F8" w:rsidP="0050371B">
            <w:pPr>
              <w:ind w:firstLineChars="100" w:firstLine="200"/>
              <w:rPr>
                <w:rFonts w:cs="Arial"/>
                <w:szCs w:val="20"/>
                <w:lang w:val="en-US"/>
              </w:rPr>
            </w:pPr>
            <w:r w:rsidRPr="00386B14">
              <w:rPr>
                <w:rFonts w:cs="Arial"/>
                <w:szCs w:val="20"/>
                <w:lang w:val="en-US"/>
              </w:rPr>
              <w:t>Inpatient care/hospital/General ward</w:t>
            </w:r>
          </w:p>
        </w:tc>
        <w:tc>
          <w:tcPr>
            <w:tcW w:w="198" w:type="dxa"/>
            <w:tcBorders>
              <w:top w:val="nil"/>
              <w:left w:val="nil"/>
              <w:bottom w:val="nil"/>
              <w:right w:val="nil"/>
            </w:tcBorders>
            <w:noWrap/>
            <w:vAlign w:val="bottom"/>
          </w:tcPr>
          <w:p w:rsidR="00B350F8" w:rsidRPr="00386B14" w:rsidRDefault="00B350F8" w:rsidP="0050371B">
            <w:pPr>
              <w:rPr>
                <w:rFonts w:cs="Arial"/>
                <w:szCs w:val="20"/>
                <w:lang w:val="en-US"/>
              </w:rPr>
            </w:pPr>
          </w:p>
        </w:tc>
        <w:tc>
          <w:tcPr>
            <w:tcW w:w="2428" w:type="dxa"/>
            <w:tcBorders>
              <w:top w:val="nil"/>
              <w:left w:val="nil"/>
              <w:bottom w:val="nil"/>
              <w:right w:val="nil"/>
            </w:tcBorders>
            <w:noWrap/>
            <w:vAlign w:val="bottom"/>
          </w:tcPr>
          <w:p w:rsidR="00B350F8" w:rsidRPr="00386B14" w:rsidRDefault="00B350F8" w:rsidP="0050371B">
            <w:pPr>
              <w:ind w:firstLineChars="200" w:firstLine="400"/>
              <w:jc w:val="right"/>
              <w:rPr>
                <w:rFonts w:cs="Arial"/>
                <w:szCs w:val="20"/>
              </w:rPr>
            </w:pPr>
            <w:r w:rsidRPr="00386B14">
              <w:rPr>
                <w:rFonts w:cs="Arial"/>
                <w:szCs w:val="20"/>
              </w:rPr>
              <w:t>589.32</w:t>
            </w:r>
          </w:p>
        </w:tc>
        <w:tc>
          <w:tcPr>
            <w:tcW w:w="615" w:type="dxa"/>
            <w:tcBorders>
              <w:top w:val="nil"/>
              <w:left w:val="nil"/>
              <w:bottom w:val="nil"/>
              <w:right w:val="nil"/>
            </w:tcBorders>
            <w:noWrap/>
            <w:vAlign w:val="bottom"/>
          </w:tcPr>
          <w:p w:rsidR="00B350F8" w:rsidRPr="00386B14" w:rsidRDefault="00B350F8" w:rsidP="0050371B">
            <w:pPr>
              <w:rPr>
                <w:rFonts w:cs="Arial"/>
                <w:szCs w:val="20"/>
              </w:rPr>
            </w:pPr>
            <w:r w:rsidRPr="00386B14">
              <w:rPr>
                <w:rFonts w:cs="Arial"/>
                <w:szCs w:val="20"/>
              </w:rPr>
              <w:t>per</w:t>
            </w:r>
          </w:p>
        </w:tc>
        <w:tc>
          <w:tcPr>
            <w:tcW w:w="2343" w:type="dxa"/>
            <w:tcBorders>
              <w:top w:val="nil"/>
              <w:left w:val="nil"/>
              <w:bottom w:val="nil"/>
              <w:right w:val="nil"/>
            </w:tcBorders>
            <w:noWrap/>
            <w:vAlign w:val="bottom"/>
          </w:tcPr>
          <w:p w:rsidR="00B350F8" w:rsidRPr="00386B14" w:rsidRDefault="00B350F8" w:rsidP="0050371B">
            <w:pPr>
              <w:rPr>
                <w:rFonts w:cs="Arial"/>
                <w:szCs w:val="20"/>
              </w:rPr>
            </w:pPr>
            <w:r w:rsidRPr="00386B14">
              <w:rPr>
                <w:rFonts w:cs="Arial"/>
                <w:szCs w:val="20"/>
              </w:rPr>
              <w:t>day</w:t>
            </w:r>
          </w:p>
        </w:tc>
      </w:tr>
      <w:tr w:rsidR="00B350F8" w:rsidRPr="006F1CCC" w:rsidTr="0050371B">
        <w:trPr>
          <w:trHeight w:val="222"/>
        </w:trPr>
        <w:tc>
          <w:tcPr>
            <w:tcW w:w="3563" w:type="dxa"/>
            <w:tcBorders>
              <w:top w:val="nil"/>
              <w:left w:val="nil"/>
              <w:bottom w:val="nil"/>
              <w:right w:val="nil"/>
            </w:tcBorders>
            <w:noWrap/>
            <w:vAlign w:val="bottom"/>
          </w:tcPr>
          <w:p w:rsidR="00B350F8" w:rsidRPr="00DF794A" w:rsidRDefault="00B350F8" w:rsidP="0050371B">
            <w:pPr>
              <w:ind w:firstLineChars="100" w:firstLine="200"/>
              <w:rPr>
                <w:rFonts w:cs="Arial"/>
                <w:szCs w:val="20"/>
                <w:lang w:val="en-US"/>
              </w:rPr>
            </w:pPr>
            <w:r w:rsidRPr="00DF794A">
              <w:rPr>
                <w:rFonts w:cs="Arial"/>
                <w:szCs w:val="20"/>
                <w:lang w:val="en-US"/>
              </w:rPr>
              <w:t>Inpatient care/hospital/Intensive care unit</w:t>
            </w:r>
          </w:p>
        </w:tc>
        <w:tc>
          <w:tcPr>
            <w:tcW w:w="198" w:type="dxa"/>
            <w:tcBorders>
              <w:top w:val="nil"/>
              <w:left w:val="nil"/>
              <w:bottom w:val="nil"/>
              <w:right w:val="nil"/>
            </w:tcBorders>
            <w:noWrap/>
            <w:vAlign w:val="bottom"/>
          </w:tcPr>
          <w:p w:rsidR="00B350F8" w:rsidRPr="00DF794A" w:rsidRDefault="00B350F8" w:rsidP="0050371B">
            <w:pPr>
              <w:rPr>
                <w:rFonts w:cs="Arial"/>
                <w:szCs w:val="20"/>
                <w:lang w:val="en-US"/>
              </w:rPr>
            </w:pPr>
          </w:p>
        </w:tc>
        <w:tc>
          <w:tcPr>
            <w:tcW w:w="2428" w:type="dxa"/>
            <w:tcBorders>
              <w:top w:val="nil"/>
              <w:left w:val="nil"/>
              <w:bottom w:val="nil"/>
              <w:right w:val="nil"/>
            </w:tcBorders>
            <w:noWrap/>
            <w:vAlign w:val="bottom"/>
          </w:tcPr>
          <w:p w:rsidR="00B350F8" w:rsidRPr="00DF794A" w:rsidRDefault="00B350F8" w:rsidP="0050371B">
            <w:pPr>
              <w:ind w:firstLineChars="200" w:firstLine="400"/>
              <w:jc w:val="right"/>
              <w:rPr>
                <w:rFonts w:cs="Arial"/>
                <w:szCs w:val="20"/>
              </w:rPr>
            </w:pPr>
            <w:r w:rsidRPr="00DF794A">
              <w:rPr>
                <w:rFonts w:cs="Arial"/>
                <w:szCs w:val="20"/>
              </w:rPr>
              <w:t>1357.65</w:t>
            </w:r>
          </w:p>
        </w:tc>
        <w:tc>
          <w:tcPr>
            <w:tcW w:w="615" w:type="dxa"/>
            <w:tcBorders>
              <w:top w:val="nil"/>
              <w:left w:val="nil"/>
              <w:bottom w:val="nil"/>
              <w:right w:val="nil"/>
            </w:tcBorders>
            <w:noWrap/>
            <w:vAlign w:val="bottom"/>
          </w:tcPr>
          <w:p w:rsidR="00B350F8" w:rsidRPr="00DF794A" w:rsidRDefault="00B350F8" w:rsidP="0050371B">
            <w:pPr>
              <w:rPr>
                <w:rFonts w:cs="Arial"/>
                <w:szCs w:val="20"/>
              </w:rPr>
            </w:pPr>
            <w:r w:rsidRPr="00DF794A">
              <w:rPr>
                <w:rFonts w:cs="Arial"/>
                <w:szCs w:val="20"/>
              </w:rPr>
              <w:t>per</w:t>
            </w:r>
          </w:p>
        </w:tc>
        <w:tc>
          <w:tcPr>
            <w:tcW w:w="2343" w:type="dxa"/>
            <w:tcBorders>
              <w:top w:val="nil"/>
              <w:left w:val="nil"/>
              <w:bottom w:val="nil"/>
              <w:right w:val="nil"/>
            </w:tcBorders>
            <w:noWrap/>
            <w:vAlign w:val="bottom"/>
          </w:tcPr>
          <w:p w:rsidR="00B350F8" w:rsidRPr="00DF794A" w:rsidRDefault="00B350F8" w:rsidP="0050371B">
            <w:pPr>
              <w:rPr>
                <w:rFonts w:cs="Arial"/>
                <w:szCs w:val="20"/>
              </w:rPr>
            </w:pPr>
            <w:r w:rsidRPr="00DF794A">
              <w:rPr>
                <w:rFonts w:cs="Arial"/>
                <w:szCs w:val="20"/>
              </w:rPr>
              <w:t>day</w:t>
            </w:r>
          </w:p>
        </w:tc>
      </w:tr>
      <w:tr w:rsidR="00B350F8" w:rsidRPr="00481073" w:rsidTr="0050371B">
        <w:trPr>
          <w:trHeight w:val="222"/>
        </w:trPr>
        <w:tc>
          <w:tcPr>
            <w:tcW w:w="3563" w:type="dxa"/>
            <w:tcBorders>
              <w:top w:val="nil"/>
              <w:left w:val="nil"/>
              <w:bottom w:val="nil"/>
              <w:right w:val="nil"/>
            </w:tcBorders>
            <w:noWrap/>
            <w:vAlign w:val="bottom"/>
          </w:tcPr>
          <w:p w:rsidR="00B350F8" w:rsidRPr="00481073" w:rsidRDefault="00B350F8" w:rsidP="0050371B">
            <w:pPr>
              <w:ind w:firstLineChars="100" w:firstLine="200"/>
              <w:rPr>
                <w:rFonts w:cs="Arial"/>
                <w:szCs w:val="20"/>
                <w:vertAlign w:val="superscript"/>
              </w:rPr>
            </w:pPr>
            <w:r w:rsidRPr="00481073">
              <w:rPr>
                <w:rFonts w:cs="Arial"/>
                <w:szCs w:val="20"/>
              </w:rPr>
              <w:t>Inpatient rehabilitation</w:t>
            </w:r>
          </w:p>
        </w:tc>
        <w:tc>
          <w:tcPr>
            <w:tcW w:w="198" w:type="dxa"/>
            <w:tcBorders>
              <w:top w:val="nil"/>
              <w:left w:val="nil"/>
              <w:bottom w:val="nil"/>
              <w:right w:val="nil"/>
            </w:tcBorders>
            <w:noWrap/>
            <w:vAlign w:val="bottom"/>
          </w:tcPr>
          <w:p w:rsidR="00B350F8" w:rsidRPr="00481073" w:rsidRDefault="00B350F8" w:rsidP="0050371B">
            <w:pPr>
              <w:rPr>
                <w:rFonts w:cs="Arial"/>
                <w:szCs w:val="20"/>
              </w:rPr>
            </w:pPr>
          </w:p>
        </w:tc>
        <w:tc>
          <w:tcPr>
            <w:tcW w:w="2428" w:type="dxa"/>
            <w:tcBorders>
              <w:top w:val="nil"/>
              <w:left w:val="nil"/>
              <w:bottom w:val="nil"/>
              <w:right w:val="nil"/>
            </w:tcBorders>
            <w:noWrap/>
            <w:vAlign w:val="bottom"/>
          </w:tcPr>
          <w:p w:rsidR="00B350F8" w:rsidRPr="00481073" w:rsidRDefault="00B350F8" w:rsidP="0050371B">
            <w:pPr>
              <w:ind w:firstLineChars="200" w:firstLine="400"/>
              <w:jc w:val="right"/>
              <w:rPr>
                <w:rFonts w:cs="Arial"/>
                <w:szCs w:val="20"/>
              </w:rPr>
            </w:pPr>
            <w:r>
              <w:rPr>
                <w:rFonts w:cs="Arial"/>
                <w:szCs w:val="20"/>
              </w:rPr>
              <w:t>122.09</w:t>
            </w:r>
          </w:p>
        </w:tc>
        <w:tc>
          <w:tcPr>
            <w:tcW w:w="615" w:type="dxa"/>
            <w:tcBorders>
              <w:top w:val="nil"/>
              <w:left w:val="nil"/>
              <w:bottom w:val="nil"/>
              <w:right w:val="nil"/>
            </w:tcBorders>
            <w:noWrap/>
            <w:vAlign w:val="bottom"/>
          </w:tcPr>
          <w:p w:rsidR="00B350F8" w:rsidRPr="00481073" w:rsidRDefault="00B350F8" w:rsidP="0050371B">
            <w:pPr>
              <w:rPr>
                <w:rFonts w:cs="Arial"/>
                <w:szCs w:val="20"/>
              </w:rPr>
            </w:pPr>
            <w:r w:rsidRPr="00481073">
              <w:rPr>
                <w:rFonts w:cs="Arial"/>
                <w:szCs w:val="20"/>
              </w:rPr>
              <w:t>per</w:t>
            </w:r>
          </w:p>
        </w:tc>
        <w:tc>
          <w:tcPr>
            <w:tcW w:w="2343" w:type="dxa"/>
            <w:tcBorders>
              <w:top w:val="nil"/>
              <w:left w:val="nil"/>
              <w:bottom w:val="nil"/>
              <w:right w:val="nil"/>
            </w:tcBorders>
            <w:noWrap/>
            <w:vAlign w:val="bottom"/>
          </w:tcPr>
          <w:p w:rsidR="00B350F8" w:rsidRPr="00481073" w:rsidRDefault="00B350F8" w:rsidP="0050371B">
            <w:pPr>
              <w:rPr>
                <w:rFonts w:cs="Arial"/>
                <w:szCs w:val="20"/>
              </w:rPr>
            </w:pPr>
            <w:r>
              <w:rPr>
                <w:rFonts w:cs="Arial"/>
                <w:szCs w:val="20"/>
              </w:rPr>
              <w:t>d</w:t>
            </w:r>
            <w:r w:rsidRPr="00481073">
              <w:rPr>
                <w:rFonts w:cs="Arial"/>
                <w:szCs w:val="20"/>
              </w:rPr>
              <w:t>ay</w:t>
            </w:r>
          </w:p>
        </w:tc>
      </w:tr>
      <w:tr w:rsidR="00B350F8" w:rsidRPr="00481073" w:rsidTr="0050371B">
        <w:trPr>
          <w:trHeight w:val="222"/>
        </w:trPr>
        <w:tc>
          <w:tcPr>
            <w:tcW w:w="3563" w:type="dxa"/>
            <w:tcBorders>
              <w:top w:val="nil"/>
              <w:left w:val="nil"/>
              <w:bottom w:val="nil"/>
              <w:right w:val="nil"/>
            </w:tcBorders>
            <w:noWrap/>
            <w:vAlign w:val="bottom"/>
          </w:tcPr>
          <w:p w:rsidR="00B350F8" w:rsidRPr="00481073" w:rsidRDefault="00B350F8" w:rsidP="0050371B">
            <w:pPr>
              <w:ind w:firstLineChars="100" w:firstLine="200"/>
              <w:rPr>
                <w:rFonts w:cs="Arial"/>
                <w:szCs w:val="20"/>
              </w:rPr>
            </w:pPr>
            <w:r w:rsidRPr="00481073">
              <w:rPr>
                <w:rFonts w:cs="Arial"/>
                <w:szCs w:val="20"/>
              </w:rPr>
              <w:t xml:space="preserve">Outpatient rehabilitation </w:t>
            </w:r>
          </w:p>
        </w:tc>
        <w:tc>
          <w:tcPr>
            <w:tcW w:w="198" w:type="dxa"/>
            <w:tcBorders>
              <w:top w:val="nil"/>
              <w:left w:val="nil"/>
              <w:bottom w:val="nil"/>
              <w:right w:val="nil"/>
            </w:tcBorders>
            <w:noWrap/>
            <w:vAlign w:val="bottom"/>
          </w:tcPr>
          <w:p w:rsidR="00B350F8" w:rsidRPr="00481073" w:rsidRDefault="00B350F8" w:rsidP="0050371B">
            <w:pPr>
              <w:rPr>
                <w:rFonts w:cs="Arial"/>
                <w:szCs w:val="20"/>
              </w:rPr>
            </w:pPr>
          </w:p>
        </w:tc>
        <w:tc>
          <w:tcPr>
            <w:tcW w:w="2428" w:type="dxa"/>
            <w:tcBorders>
              <w:top w:val="nil"/>
              <w:left w:val="nil"/>
              <w:bottom w:val="nil"/>
              <w:right w:val="nil"/>
            </w:tcBorders>
            <w:noWrap/>
            <w:vAlign w:val="bottom"/>
          </w:tcPr>
          <w:p w:rsidR="00B350F8" w:rsidRPr="00481073" w:rsidRDefault="00B350F8" w:rsidP="0050371B">
            <w:pPr>
              <w:ind w:firstLineChars="200" w:firstLine="400"/>
              <w:jc w:val="right"/>
              <w:rPr>
                <w:rFonts w:cs="Arial"/>
                <w:szCs w:val="20"/>
              </w:rPr>
            </w:pPr>
            <w:r>
              <w:rPr>
                <w:rFonts w:cs="Arial"/>
                <w:szCs w:val="20"/>
              </w:rPr>
              <w:t>48.29</w:t>
            </w:r>
          </w:p>
        </w:tc>
        <w:tc>
          <w:tcPr>
            <w:tcW w:w="615" w:type="dxa"/>
            <w:tcBorders>
              <w:top w:val="nil"/>
              <w:left w:val="nil"/>
              <w:bottom w:val="nil"/>
              <w:right w:val="nil"/>
            </w:tcBorders>
            <w:noWrap/>
            <w:vAlign w:val="bottom"/>
          </w:tcPr>
          <w:p w:rsidR="00B350F8" w:rsidRPr="00DF794A" w:rsidRDefault="00B350F8" w:rsidP="0050371B">
            <w:pPr>
              <w:rPr>
                <w:rFonts w:cs="Arial"/>
                <w:szCs w:val="20"/>
              </w:rPr>
            </w:pPr>
            <w:r w:rsidRPr="00DF794A">
              <w:rPr>
                <w:rFonts w:cs="Arial"/>
                <w:szCs w:val="20"/>
              </w:rPr>
              <w:t>per</w:t>
            </w:r>
          </w:p>
        </w:tc>
        <w:tc>
          <w:tcPr>
            <w:tcW w:w="2343" w:type="dxa"/>
            <w:tcBorders>
              <w:top w:val="nil"/>
              <w:left w:val="nil"/>
              <w:bottom w:val="nil"/>
              <w:right w:val="nil"/>
            </w:tcBorders>
            <w:noWrap/>
            <w:vAlign w:val="bottom"/>
          </w:tcPr>
          <w:p w:rsidR="00B350F8" w:rsidRPr="00DF794A" w:rsidRDefault="00B350F8" w:rsidP="0050371B">
            <w:pPr>
              <w:rPr>
                <w:rFonts w:cs="Arial"/>
                <w:szCs w:val="20"/>
              </w:rPr>
            </w:pPr>
            <w:r w:rsidRPr="00DF794A">
              <w:rPr>
                <w:rFonts w:cs="Arial"/>
                <w:szCs w:val="20"/>
              </w:rPr>
              <w:t>day</w:t>
            </w:r>
          </w:p>
        </w:tc>
      </w:tr>
      <w:tr w:rsidR="00B350F8" w:rsidRPr="00481073" w:rsidTr="0050371B">
        <w:trPr>
          <w:trHeight w:val="756"/>
        </w:trPr>
        <w:tc>
          <w:tcPr>
            <w:tcW w:w="3563" w:type="dxa"/>
            <w:tcBorders>
              <w:top w:val="nil"/>
              <w:left w:val="nil"/>
              <w:bottom w:val="nil"/>
              <w:right w:val="nil"/>
            </w:tcBorders>
            <w:noWrap/>
          </w:tcPr>
          <w:p w:rsidR="00B350F8" w:rsidRPr="00481073" w:rsidRDefault="00B350F8" w:rsidP="0050371B">
            <w:pPr>
              <w:ind w:firstLineChars="100" w:firstLine="200"/>
              <w:rPr>
                <w:rFonts w:cs="Arial"/>
                <w:szCs w:val="20"/>
                <w:vertAlign w:val="superscript"/>
              </w:rPr>
            </w:pPr>
            <w:r w:rsidRPr="00481073">
              <w:rPr>
                <w:rFonts w:cs="Arial"/>
                <w:szCs w:val="20"/>
              </w:rPr>
              <w:t>Drugs</w:t>
            </w:r>
          </w:p>
        </w:tc>
        <w:tc>
          <w:tcPr>
            <w:tcW w:w="198" w:type="dxa"/>
            <w:tcBorders>
              <w:top w:val="nil"/>
              <w:left w:val="nil"/>
              <w:bottom w:val="nil"/>
              <w:right w:val="nil"/>
            </w:tcBorders>
            <w:noWrap/>
            <w:vAlign w:val="bottom"/>
          </w:tcPr>
          <w:p w:rsidR="00B350F8" w:rsidRPr="00481073" w:rsidRDefault="00B350F8" w:rsidP="0050371B">
            <w:pPr>
              <w:rPr>
                <w:rFonts w:cs="Arial"/>
                <w:szCs w:val="20"/>
              </w:rPr>
            </w:pPr>
          </w:p>
        </w:tc>
        <w:tc>
          <w:tcPr>
            <w:tcW w:w="2428" w:type="dxa"/>
            <w:tcBorders>
              <w:top w:val="nil"/>
              <w:left w:val="nil"/>
              <w:bottom w:val="nil"/>
              <w:right w:val="nil"/>
            </w:tcBorders>
            <w:noWrap/>
            <w:vAlign w:val="bottom"/>
          </w:tcPr>
          <w:p w:rsidR="00B350F8" w:rsidRPr="00481073" w:rsidRDefault="00B350F8" w:rsidP="0050371B">
            <w:pPr>
              <w:ind w:firstLineChars="200" w:firstLine="400"/>
              <w:jc w:val="right"/>
              <w:rPr>
                <w:rFonts w:cs="Arial"/>
                <w:szCs w:val="20"/>
              </w:rPr>
            </w:pPr>
            <w:r w:rsidRPr="00481073">
              <w:rPr>
                <w:rFonts w:cs="Arial"/>
                <w:szCs w:val="20"/>
              </w:rPr>
              <w:t>various</w:t>
            </w:r>
          </w:p>
        </w:tc>
        <w:tc>
          <w:tcPr>
            <w:tcW w:w="2958" w:type="dxa"/>
            <w:gridSpan w:val="2"/>
            <w:tcBorders>
              <w:top w:val="nil"/>
              <w:left w:val="nil"/>
              <w:bottom w:val="nil"/>
              <w:right w:val="nil"/>
            </w:tcBorders>
            <w:noWrap/>
            <w:vAlign w:val="bottom"/>
          </w:tcPr>
          <w:p w:rsidR="00B350F8" w:rsidRPr="00481073" w:rsidRDefault="00B350F8" w:rsidP="0050371B">
            <w:pPr>
              <w:rPr>
                <w:rFonts w:cs="Arial"/>
                <w:szCs w:val="20"/>
              </w:rPr>
            </w:pPr>
            <w:r w:rsidRPr="00481073">
              <w:rPr>
                <w:rFonts w:cs="Arial"/>
                <w:szCs w:val="20"/>
              </w:rPr>
              <w:t>quantity according to medication</w:t>
            </w:r>
          </w:p>
        </w:tc>
      </w:tr>
      <w:tr w:rsidR="00B350F8" w:rsidRPr="00481073" w:rsidTr="0050371B">
        <w:trPr>
          <w:trHeight w:val="262"/>
        </w:trPr>
        <w:tc>
          <w:tcPr>
            <w:tcW w:w="3563" w:type="dxa"/>
            <w:tcBorders>
              <w:top w:val="nil"/>
              <w:left w:val="nil"/>
              <w:bottom w:val="nil"/>
              <w:right w:val="nil"/>
            </w:tcBorders>
            <w:noWrap/>
            <w:vAlign w:val="bottom"/>
          </w:tcPr>
          <w:p w:rsidR="00B350F8" w:rsidRPr="00481073" w:rsidRDefault="00B350F8" w:rsidP="0050371B">
            <w:pPr>
              <w:rPr>
                <w:rFonts w:cs="Arial"/>
                <w:szCs w:val="20"/>
              </w:rPr>
            </w:pPr>
            <w:r w:rsidRPr="00481073">
              <w:rPr>
                <w:rFonts w:cs="Arial"/>
                <w:szCs w:val="20"/>
              </w:rPr>
              <w:t xml:space="preserve">Direct non-healthcare </w:t>
            </w:r>
          </w:p>
        </w:tc>
        <w:tc>
          <w:tcPr>
            <w:tcW w:w="198" w:type="dxa"/>
            <w:tcBorders>
              <w:top w:val="nil"/>
              <w:left w:val="nil"/>
              <w:bottom w:val="nil"/>
              <w:right w:val="nil"/>
            </w:tcBorders>
            <w:noWrap/>
            <w:vAlign w:val="bottom"/>
          </w:tcPr>
          <w:p w:rsidR="00B350F8" w:rsidRPr="00481073" w:rsidRDefault="00B350F8" w:rsidP="0050371B">
            <w:pPr>
              <w:rPr>
                <w:rFonts w:cs="Arial"/>
                <w:szCs w:val="20"/>
              </w:rPr>
            </w:pPr>
          </w:p>
        </w:tc>
        <w:tc>
          <w:tcPr>
            <w:tcW w:w="2428" w:type="dxa"/>
            <w:tcBorders>
              <w:top w:val="nil"/>
              <w:left w:val="nil"/>
              <w:bottom w:val="nil"/>
              <w:right w:val="nil"/>
            </w:tcBorders>
            <w:noWrap/>
            <w:vAlign w:val="bottom"/>
          </w:tcPr>
          <w:p w:rsidR="00B350F8" w:rsidRPr="00481073" w:rsidRDefault="00B350F8" w:rsidP="0050371B">
            <w:pPr>
              <w:ind w:firstLineChars="200" w:firstLine="400"/>
              <w:jc w:val="right"/>
              <w:rPr>
                <w:rFonts w:cs="Arial"/>
                <w:szCs w:val="20"/>
              </w:rPr>
            </w:pPr>
          </w:p>
        </w:tc>
        <w:tc>
          <w:tcPr>
            <w:tcW w:w="615" w:type="dxa"/>
            <w:tcBorders>
              <w:top w:val="nil"/>
              <w:left w:val="nil"/>
              <w:bottom w:val="nil"/>
              <w:right w:val="nil"/>
            </w:tcBorders>
            <w:noWrap/>
            <w:vAlign w:val="bottom"/>
          </w:tcPr>
          <w:p w:rsidR="00B350F8" w:rsidRPr="00481073" w:rsidRDefault="00B350F8" w:rsidP="0050371B">
            <w:pPr>
              <w:rPr>
                <w:rFonts w:cs="Arial"/>
                <w:szCs w:val="20"/>
              </w:rPr>
            </w:pPr>
          </w:p>
        </w:tc>
        <w:tc>
          <w:tcPr>
            <w:tcW w:w="2343" w:type="dxa"/>
            <w:tcBorders>
              <w:top w:val="nil"/>
              <w:left w:val="nil"/>
              <w:bottom w:val="nil"/>
              <w:right w:val="nil"/>
            </w:tcBorders>
            <w:noWrap/>
            <w:vAlign w:val="bottom"/>
          </w:tcPr>
          <w:p w:rsidR="00B350F8" w:rsidRPr="00481073" w:rsidRDefault="00B350F8" w:rsidP="0050371B">
            <w:pPr>
              <w:rPr>
                <w:rFonts w:cs="Arial"/>
                <w:szCs w:val="20"/>
              </w:rPr>
            </w:pPr>
          </w:p>
        </w:tc>
      </w:tr>
      <w:tr w:rsidR="00B350F8" w:rsidRPr="00481073" w:rsidTr="0050371B">
        <w:trPr>
          <w:trHeight w:val="222"/>
        </w:trPr>
        <w:tc>
          <w:tcPr>
            <w:tcW w:w="3563" w:type="dxa"/>
            <w:tcBorders>
              <w:top w:val="nil"/>
              <w:left w:val="nil"/>
              <w:bottom w:val="nil"/>
              <w:right w:val="nil"/>
            </w:tcBorders>
            <w:noWrap/>
            <w:vAlign w:val="bottom"/>
          </w:tcPr>
          <w:p w:rsidR="00B350F8" w:rsidRPr="00481073" w:rsidRDefault="00B350F8" w:rsidP="0050371B">
            <w:pPr>
              <w:ind w:firstLineChars="100" w:firstLine="200"/>
              <w:rPr>
                <w:rFonts w:cs="Arial"/>
                <w:szCs w:val="20"/>
                <w:vertAlign w:val="superscript"/>
              </w:rPr>
            </w:pPr>
            <w:r w:rsidRPr="00481073">
              <w:rPr>
                <w:rFonts w:cs="Arial"/>
                <w:szCs w:val="20"/>
              </w:rPr>
              <w:t>Outpatient nursing service</w:t>
            </w:r>
          </w:p>
        </w:tc>
        <w:tc>
          <w:tcPr>
            <w:tcW w:w="198" w:type="dxa"/>
            <w:tcBorders>
              <w:top w:val="nil"/>
              <w:left w:val="nil"/>
              <w:bottom w:val="nil"/>
              <w:right w:val="nil"/>
            </w:tcBorders>
            <w:noWrap/>
            <w:vAlign w:val="bottom"/>
          </w:tcPr>
          <w:p w:rsidR="00B350F8" w:rsidRPr="00481073" w:rsidRDefault="00B350F8" w:rsidP="0050371B">
            <w:pPr>
              <w:rPr>
                <w:rFonts w:cs="Arial"/>
                <w:szCs w:val="20"/>
              </w:rPr>
            </w:pPr>
          </w:p>
        </w:tc>
        <w:tc>
          <w:tcPr>
            <w:tcW w:w="2428" w:type="dxa"/>
            <w:tcBorders>
              <w:top w:val="nil"/>
              <w:left w:val="nil"/>
              <w:bottom w:val="nil"/>
              <w:right w:val="nil"/>
            </w:tcBorders>
            <w:noWrap/>
            <w:vAlign w:val="bottom"/>
          </w:tcPr>
          <w:p w:rsidR="00B350F8" w:rsidRPr="00481073" w:rsidRDefault="00B350F8" w:rsidP="0050371B">
            <w:pPr>
              <w:ind w:firstLineChars="200" w:firstLine="400"/>
              <w:jc w:val="right"/>
              <w:rPr>
                <w:rFonts w:cs="Arial"/>
                <w:szCs w:val="20"/>
              </w:rPr>
            </w:pPr>
            <w:r>
              <w:rPr>
                <w:rFonts w:cs="Arial"/>
                <w:szCs w:val="20"/>
              </w:rPr>
              <w:t>30.00</w:t>
            </w:r>
          </w:p>
        </w:tc>
        <w:tc>
          <w:tcPr>
            <w:tcW w:w="615" w:type="dxa"/>
            <w:tcBorders>
              <w:top w:val="nil"/>
              <w:left w:val="nil"/>
              <w:bottom w:val="nil"/>
              <w:right w:val="nil"/>
            </w:tcBorders>
            <w:noWrap/>
            <w:vAlign w:val="bottom"/>
          </w:tcPr>
          <w:p w:rsidR="00B350F8" w:rsidRPr="00481073" w:rsidRDefault="00B350F8" w:rsidP="0050371B">
            <w:pPr>
              <w:rPr>
                <w:rFonts w:cs="Arial"/>
                <w:szCs w:val="20"/>
              </w:rPr>
            </w:pPr>
            <w:r w:rsidRPr="00481073">
              <w:rPr>
                <w:rFonts w:cs="Arial"/>
                <w:szCs w:val="20"/>
              </w:rPr>
              <w:t>per</w:t>
            </w:r>
          </w:p>
        </w:tc>
        <w:tc>
          <w:tcPr>
            <w:tcW w:w="2343" w:type="dxa"/>
            <w:tcBorders>
              <w:top w:val="nil"/>
              <w:left w:val="nil"/>
              <w:bottom w:val="nil"/>
              <w:right w:val="nil"/>
            </w:tcBorders>
            <w:noWrap/>
            <w:vAlign w:val="bottom"/>
          </w:tcPr>
          <w:p w:rsidR="00B350F8" w:rsidRPr="00481073" w:rsidRDefault="00B350F8" w:rsidP="0050371B">
            <w:pPr>
              <w:rPr>
                <w:rFonts w:cs="Arial"/>
                <w:szCs w:val="20"/>
              </w:rPr>
            </w:pPr>
            <w:r w:rsidRPr="00481073">
              <w:rPr>
                <w:rFonts w:cs="Arial"/>
                <w:szCs w:val="20"/>
              </w:rPr>
              <w:t>hour</w:t>
            </w:r>
          </w:p>
        </w:tc>
      </w:tr>
      <w:tr w:rsidR="00B350F8" w:rsidRPr="00481073" w:rsidTr="0050371B">
        <w:trPr>
          <w:trHeight w:val="222"/>
        </w:trPr>
        <w:tc>
          <w:tcPr>
            <w:tcW w:w="3563" w:type="dxa"/>
            <w:tcBorders>
              <w:top w:val="nil"/>
              <w:left w:val="nil"/>
              <w:bottom w:val="nil"/>
              <w:right w:val="nil"/>
            </w:tcBorders>
            <w:noWrap/>
            <w:vAlign w:val="bottom"/>
          </w:tcPr>
          <w:p w:rsidR="00B350F8" w:rsidRPr="00481073" w:rsidRDefault="00B350F8" w:rsidP="0050371B">
            <w:pPr>
              <w:ind w:firstLineChars="100" w:firstLine="200"/>
              <w:rPr>
                <w:rFonts w:cs="Arial"/>
                <w:szCs w:val="20"/>
                <w:vertAlign w:val="superscript"/>
              </w:rPr>
            </w:pPr>
            <w:r w:rsidRPr="00481073">
              <w:rPr>
                <w:rFonts w:cs="Arial"/>
                <w:szCs w:val="20"/>
              </w:rPr>
              <w:t>Paid household help</w:t>
            </w:r>
          </w:p>
        </w:tc>
        <w:tc>
          <w:tcPr>
            <w:tcW w:w="198" w:type="dxa"/>
            <w:tcBorders>
              <w:top w:val="nil"/>
              <w:left w:val="nil"/>
              <w:bottom w:val="nil"/>
              <w:right w:val="nil"/>
            </w:tcBorders>
            <w:noWrap/>
            <w:vAlign w:val="bottom"/>
          </w:tcPr>
          <w:p w:rsidR="00B350F8" w:rsidRPr="00481073" w:rsidRDefault="00B350F8" w:rsidP="0050371B">
            <w:pPr>
              <w:rPr>
                <w:rFonts w:cs="Arial"/>
                <w:szCs w:val="20"/>
              </w:rPr>
            </w:pPr>
          </w:p>
        </w:tc>
        <w:tc>
          <w:tcPr>
            <w:tcW w:w="2428" w:type="dxa"/>
            <w:tcBorders>
              <w:top w:val="nil"/>
              <w:left w:val="nil"/>
              <w:bottom w:val="nil"/>
              <w:right w:val="nil"/>
            </w:tcBorders>
            <w:noWrap/>
            <w:vAlign w:val="bottom"/>
          </w:tcPr>
          <w:p w:rsidR="00B350F8" w:rsidRPr="00481073" w:rsidRDefault="00B350F8" w:rsidP="0050371B">
            <w:pPr>
              <w:ind w:firstLineChars="200" w:firstLine="400"/>
              <w:jc w:val="right"/>
              <w:rPr>
                <w:rFonts w:cs="Arial"/>
                <w:szCs w:val="20"/>
              </w:rPr>
            </w:pPr>
            <w:r>
              <w:rPr>
                <w:rFonts w:cs="Arial"/>
                <w:szCs w:val="20"/>
              </w:rPr>
              <w:t>10.20</w:t>
            </w:r>
          </w:p>
        </w:tc>
        <w:tc>
          <w:tcPr>
            <w:tcW w:w="615" w:type="dxa"/>
            <w:tcBorders>
              <w:top w:val="nil"/>
              <w:left w:val="nil"/>
              <w:bottom w:val="nil"/>
              <w:right w:val="nil"/>
            </w:tcBorders>
            <w:noWrap/>
            <w:vAlign w:val="bottom"/>
          </w:tcPr>
          <w:p w:rsidR="00B350F8" w:rsidRPr="00481073" w:rsidRDefault="00B350F8" w:rsidP="0050371B">
            <w:pPr>
              <w:rPr>
                <w:rFonts w:cs="Arial"/>
                <w:szCs w:val="20"/>
              </w:rPr>
            </w:pPr>
            <w:r w:rsidRPr="00481073">
              <w:rPr>
                <w:rFonts w:cs="Arial"/>
                <w:szCs w:val="20"/>
              </w:rPr>
              <w:t>per</w:t>
            </w:r>
          </w:p>
        </w:tc>
        <w:tc>
          <w:tcPr>
            <w:tcW w:w="2343" w:type="dxa"/>
            <w:tcBorders>
              <w:top w:val="nil"/>
              <w:left w:val="nil"/>
              <w:bottom w:val="nil"/>
              <w:right w:val="nil"/>
            </w:tcBorders>
            <w:noWrap/>
            <w:vAlign w:val="bottom"/>
          </w:tcPr>
          <w:p w:rsidR="00B350F8" w:rsidRPr="00481073" w:rsidRDefault="00B350F8" w:rsidP="0050371B">
            <w:pPr>
              <w:rPr>
                <w:rFonts w:cs="Arial"/>
                <w:szCs w:val="20"/>
              </w:rPr>
            </w:pPr>
            <w:r w:rsidRPr="00481073">
              <w:rPr>
                <w:rFonts w:cs="Arial"/>
                <w:szCs w:val="20"/>
              </w:rPr>
              <w:t>hour</w:t>
            </w:r>
          </w:p>
        </w:tc>
      </w:tr>
      <w:tr w:rsidR="00B350F8" w:rsidRPr="00481073" w:rsidTr="0050371B">
        <w:trPr>
          <w:trHeight w:val="222"/>
        </w:trPr>
        <w:tc>
          <w:tcPr>
            <w:tcW w:w="3563" w:type="dxa"/>
            <w:tcBorders>
              <w:top w:val="nil"/>
              <w:left w:val="nil"/>
              <w:bottom w:val="nil"/>
              <w:right w:val="nil"/>
            </w:tcBorders>
            <w:noWrap/>
            <w:vAlign w:val="bottom"/>
          </w:tcPr>
          <w:p w:rsidR="00B350F8" w:rsidRPr="00481073" w:rsidRDefault="00B350F8" w:rsidP="0050371B">
            <w:pPr>
              <w:ind w:firstLineChars="100" w:firstLine="200"/>
              <w:rPr>
                <w:rFonts w:cs="Arial"/>
                <w:szCs w:val="20"/>
                <w:vertAlign w:val="superscript"/>
              </w:rPr>
            </w:pPr>
            <w:r w:rsidRPr="00481073">
              <w:rPr>
                <w:rFonts w:cs="Arial"/>
                <w:szCs w:val="20"/>
              </w:rPr>
              <w:t>Informal care</w:t>
            </w:r>
          </w:p>
        </w:tc>
        <w:tc>
          <w:tcPr>
            <w:tcW w:w="198" w:type="dxa"/>
            <w:tcBorders>
              <w:top w:val="nil"/>
              <w:left w:val="nil"/>
              <w:bottom w:val="nil"/>
              <w:right w:val="nil"/>
            </w:tcBorders>
            <w:noWrap/>
            <w:vAlign w:val="bottom"/>
          </w:tcPr>
          <w:p w:rsidR="00B350F8" w:rsidRPr="00481073" w:rsidRDefault="00B350F8" w:rsidP="0050371B">
            <w:pPr>
              <w:rPr>
                <w:rFonts w:cs="Arial"/>
                <w:szCs w:val="20"/>
              </w:rPr>
            </w:pPr>
          </w:p>
        </w:tc>
        <w:tc>
          <w:tcPr>
            <w:tcW w:w="2428" w:type="dxa"/>
            <w:tcBorders>
              <w:top w:val="nil"/>
              <w:left w:val="nil"/>
              <w:bottom w:val="nil"/>
              <w:right w:val="nil"/>
            </w:tcBorders>
            <w:noWrap/>
            <w:vAlign w:val="bottom"/>
          </w:tcPr>
          <w:p w:rsidR="00B350F8" w:rsidRPr="00481073" w:rsidRDefault="00B350F8" w:rsidP="0050371B">
            <w:pPr>
              <w:ind w:firstLineChars="200" w:firstLine="400"/>
              <w:jc w:val="right"/>
              <w:rPr>
                <w:rFonts w:cs="Arial"/>
                <w:szCs w:val="20"/>
              </w:rPr>
            </w:pPr>
          </w:p>
        </w:tc>
        <w:tc>
          <w:tcPr>
            <w:tcW w:w="615" w:type="dxa"/>
            <w:tcBorders>
              <w:top w:val="nil"/>
              <w:left w:val="nil"/>
              <w:bottom w:val="nil"/>
              <w:right w:val="nil"/>
            </w:tcBorders>
            <w:noWrap/>
            <w:vAlign w:val="bottom"/>
          </w:tcPr>
          <w:p w:rsidR="00B350F8" w:rsidRPr="00481073" w:rsidRDefault="00B350F8" w:rsidP="0050371B">
            <w:pPr>
              <w:rPr>
                <w:rFonts w:cs="Arial"/>
                <w:szCs w:val="20"/>
              </w:rPr>
            </w:pPr>
          </w:p>
        </w:tc>
        <w:tc>
          <w:tcPr>
            <w:tcW w:w="2343" w:type="dxa"/>
            <w:tcBorders>
              <w:top w:val="nil"/>
              <w:left w:val="nil"/>
              <w:bottom w:val="nil"/>
              <w:right w:val="nil"/>
            </w:tcBorders>
            <w:noWrap/>
            <w:vAlign w:val="bottom"/>
          </w:tcPr>
          <w:p w:rsidR="00B350F8" w:rsidRPr="00481073" w:rsidRDefault="00B350F8" w:rsidP="0050371B">
            <w:pPr>
              <w:rPr>
                <w:rFonts w:cs="Arial"/>
                <w:szCs w:val="20"/>
              </w:rPr>
            </w:pPr>
          </w:p>
        </w:tc>
      </w:tr>
      <w:tr w:rsidR="00B350F8" w:rsidRPr="00481073" w:rsidTr="0050371B">
        <w:trPr>
          <w:trHeight w:val="222"/>
        </w:trPr>
        <w:tc>
          <w:tcPr>
            <w:tcW w:w="3563" w:type="dxa"/>
            <w:tcBorders>
              <w:top w:val="nil"/>
              <w:left w:val="nil"/>
              <w:bottom w:val="nil"/>
              <w:right w:val="nil"/>
            </w:tcBorders>
            <w:noWrap/>
            <w:vAlign w:val="bottom"/>
          </w:tcPr>
          <w:p w:rsidR="00B350F8" w:rsidRPr="00481073" w:rsidRDefault="00B350F8" w:rsidP="0050371B">
            <w:pPr>
              <w:ind w:left="214"/>
              <w:rPr>
                <w:rFonts w:cs="Arial"/>
                <w:szCs w:val="20"/>
              </w:rPr>
            </w:pPr>
            <w:r w:rsidRPr="00481073">
              <w:rPr>
                <w:rFonts w:cs="Arial"/>
                <w:szCs w:val="20"/>
              </w:rPr>
              <w:t xml:space="preserve">     care level </w:t>
            </w:r>
          </w:p>
        </w:tc>
        <w:tc>
          <w:tcPr>
            <w:tcW w:w="198" w:type="dxa"/>
            <w:tcBorders>
              <w:top w:val="nil"/>
              <w:left w:val="nil"/>
              <w:bottom w:val="nil"/>
              <w:right w:val="nil"/>
            </w:tcBorders>
            <w:noWrap/>
            <w:vAlign w:val="bottom"/>
          </w:tcPr>
          <w:p w:rsidR="00B350F8" w:rsidRPr="00481073" w:rsidRDefault="00B350F8" w:rsidP="0050371B">
            <w:pPr>
              <w:rPr>
                <w:rFonts w:cs="Arial"/>
                <w:szCs w:val="20"/>
              </w:rPr>
            </w:pPr>
          </w:p>
        </w:tc>
        <w:tc>
          <w:tcPr>
            <w:tcW w:w="2428" w:type="dxa"/>
            <w:tcBorders>
              <w:top w:val="nil"/>
              <w:left w:val="nil"/>
              <w:bottom w:val="nil"/>
              <w:right w:val="nil"/>
            </w:tcBorders>
            <w:noWrap/>
            <w:vAlign w:val="bottom"/>
          </w:tcPr>
          <w:p w:rsidR="00B350F8" w:rsidRPr="00481073" w:rsidRDefault="00B350F8" w:rsidP="0050371B">
            <w:pPr>
              <w:ind w:firstLineChars="200" w:firstLine="400"/>
              <w:jc w:val="right"/>
              <w:rPr>
                <w:rFonts w:cs="Arial"/>
                <w:szCs w:val="20"/>
              </w:rPr>
            </w:pPr>
          </w:p>
        </w:tc>
        <w:tc>
          <w:tcPr>
            <w:tcW w:w="615" w:type="dxa"/>
            <w:tcBorders>
              <w:top w:val="nil"/>
              <w:left w:val="nil"/>
              <w:bottom w:val="nil"/>
              <w:right w:val="nil"/>
            </w:tcBorders>
            <w:noWrap/>
            <w:vAlign w:val="bottom"/>
          </w:tcPr>
          <w:p w:rsidR="00B350F8" w:rsidRPr="00481073" w:rsidRDefault="00B350F8" w:rsidP="0050371B">
            <w:pPr>
              <w:rPr>
                <w:rFonts w:cs="Arial"/>
                <w:szCs w:val="20"/>
              </w:rPr>
            </w:pPr>
          </w:p>
        </w:tc>
        <w:tc>
          <w:tcPr>
            <w:tcW w:w="2343" w:type="dxa"/>
            <w:tcBorders>
              <w:top w:val="nil"/>
              <w:left w:val="nil"/>
              <w:bottom w:val="nil"/>
              <w:right w:val="nil"/>
            </w:tcBorders>
            <w:noWrap/>
            <w:vAlign w:val="bottom"/>
          </w:tcPr>
          <w:p w:rsidR="00B350F8" w:rsidRPr="00481073" w:rsidRDefault="00B350F8" w:rsidP="0050371B">
            <w:pPr>
              <w:rPr>
                <w:rFonts w:cs="Arial"/>
                <w:szCs w:val="20"/>
              </w:rPr>
            </w:pPr>
          </w:p>
        </w:tc>
      </w:tr>
      <w:tr w:rsidR="00B350F8" w:rsidRPr="00481073" w:rsidTr="0050371B">
        <w:trPr>
          <w:trHeight w:val="222"/>
        </w:trPr>
        <w:tc>
          <w:tcPr>
            <w:tcW w:w="3563" w:type="dxa"/>
            <w:tcBorders>
              <w:top w:val="nil"/>
              <w:left w:val="nil"/>
              <w:bottom w:val="nil"/>
              <w:right w:val="nil"/>
            </w:tcBorders>
            <w:noWrap/>
            <w:vAlign w:val="bottom"/>
          </w:tcPr>
          <w:p w:rsidR="00B350F8" w:rsidRPr="00481073" w:rsidRDefault="00B350F8" w:rsidP="0050371B">
            <w:pPr>
              <w:ind w:firstLineChars="400" w:firstLine="800"/>
              <w:rPr>
                <w:rFonts w:cs="Arial"/>
                <w:szCs w:val="20"/>
              </w:rPr>
            </w:pPr>
            <w:r w:rsidRPr="00481073">
              <w:rPr>
                <w:rFonts w:cs="Arial"/>
                <w:szCs w:val="20"/>
              </w:rPr>
              <w:t>none</w:t>
            </w:r>
          </w:p>
        </w:tc>
        <w:tc>
          <w:tcPr>
            <w:tcW w:w="198" w:type="dxa"/>
            <w:tcBorders>
              <w:top w:val="nil"/>
              <w:left w:val="nil"/>
              <w:bottom w:val="nil"/>
              <w:right w:val="nil"/>
            </w:tcBorders>
            <w:noWrap/>
            <w:vAlign w:val="bottom"/>
          </w:tcPr>
          <w:p w:rsidR="00B350F8" w:rsidRPr="00481073" w:rsidRDefault="00B350F8" w:rsidP="0050371B">
            <w:pPr>
              <w:rPr>
                <w:rFonts w:cs="Arial"/>
                <w:szCs w:val="20"/>
              </w:rPr>
            </w:pPr>
          </w:p>
        </w:tc>
        <w:tc>
          <w:tcPr>
            <w:tcW w:w="2428" w:type="dxa"/>
            <w:tcBorders>
              <w:top w:val="nil"/>
              <w:left w:val="nil"/>
              <w:bottom w:val="nil"/>
              <w:right w:val="nil"/>
            </w:tcBorders>
            <w:noWrap/>
            <w:vAlign w:val="bottom"/>
          </w:tcPr>
          <w:p w:rsidR="00B350F8" w:rsidRPr="00481073" w:rsidRDefault="00B350F8" w:rsidP="0050371B">
            <w:pPr>
              <w:ind w:firstLineChars="200" w:firstLine="400"/>
              <w:jc w:val="right"/>
              <w:rPr>
                <w:rFonts w:cs="Arial"/>
                <w:szCs w:val="20"/>
              </w:rPr>
            </w:pPr>
            <w:r w:rsidRPr="00481073">
              <w:rPr>
                <w:rFonts w:cs="Arial"/>
                <w:szCs w:val="20"/>
              </w:rPr>
              <w:t>0</w:t>
            </w:r>
          </w:p>
        </w:tc>
        <w:tc>
          <w:tcPr>
            <w:tcW w:w="615" w:type="dxa"/>
            <w:tcBorders>
              <w:top w:val="nil"/>
              <w:left w:val="nil"/>
              <w:bottom w:val="nil"/>
              <w:right w:val="nil"/>
            </w:tcBorders>
            <w:noWrap/>
            <w:vAlign w:val="bottom"/>
          </w:tcPr>
          <w:p w:rsidR="00B350F8" w:rsidRPr="00481073" w:rsidRDefault="00B350F8" w:rsidP="0050371B">
            <w:pPr>
              <w:rPr>
                <w:rFonts w:cs="Arial"/>
                <w:szCs w:val="20"/>
              </w:rPr>
            </w:pPr>
            <w:r w:rsidRPr="00481073">
              <w:rPr>
                <w:rFonts w:cs="Arial"/>
                <w:szCs w:val="20"/>
              </w:rPr>
              <w:t>per</w:t>
            </w:r>
          </w:p>
        </w:tc>
        <w:tc>
          <w:tcPr>
            <w:tcW w:w="2343" w:type="dxa"/>
            <w:tcBorders>
              <w:top w:val="nil"/>
              <w:left w:val="nil"/>
              <w:bottom w:val="nil"/>
              <w:right w:val="nil"/>
            </w:tcBorders>
            <w:noWrap/>
            <w:vAlign w:val="bottom"/>
          </w:tcPr>
          <w:p w:rsidR="00B350F8" w:rsidRPr="00481073" w:rsidRDefault="00B350F8" w:rsidP="0050371B">
            <w:pPr>
              <w:rPr>
                <w:rFonts w:cs="Arial"/>
                <w:szCs w:val="20"/>
              </w:rPr>
            </w:pPr>
            <w:r w:rsidRPr="00481073">
              <w:rPr>
                <w:rFonts w:cs="Arial"/>
                <w:szCs w:val="20"/>
              </w:rPr>
              <w:t>month</w:t>
            </w:r>
          </w:p>
        </w:tc>
      </w:tr>
      <w:tr w:rsidR="00B350F8" w:rsidRPr="00481073" w:rsidTr="0050371B">
        <w:trPr>
          <w:trHeight w:val="222"/>
        </w:trPr>
        <w:tc>
          <w:tcPr>
            <w:tcW w:w="3563" w:type="dxa"/>
            <w:tcBorders>
              <w:top w:val="nil"/>
              <w:left w:val="nil"/>
              <w:bottom w:val="nil"/>
              <w:right w:val="nil"/>
            </w:tcBorders>
            <w:noWrap/>
            <w:vAlign w:val="bottom"/>
          </w:tcPr>
          <w:p w:rsidR="00B350F8" w:rsidRPr="00481073" w:rsidRDefault="00B350F8" w:rsidP="0050371B">
            <w:pPr>
              <w:ind w:firstLineChars="400" w:firstLine="800"/>
              <w:rPr>
                <w:rFonts w:cs="Arial"/>
                <w:szCs w:val="20"/>
              </w:rPr>
            </w:pPr>
            <w:r w:rsidRPr="00481073">
              <w:rPr>
                <w:rFonts w:cs="Arial"/>
                <w:szCs w:val="20"/>
              </w:rPr>
              <w:t>1</w:t>
            </w:r>
          </w:p>
        </w:tc>
        <w:tc>
          <w:tcPr>
            <w:tcW w:w="198" w:type="dxa"/>
            <w:tcBorders>
              <w:top w:val="nil"/>
              <w:left w:val="nil"/>
              <w:bottom w:val="nil"/>
              <w:right w:val="nil"/>
            </w:tcBorders>
            <w:noWrap/>
            <w:vAlign w:val="bottom"/>
          </w:tcPr>
          <w:p w:rsidR="00B350F8" w:rsidRPr="00481073" w:rsidRDefault="00B350F8" w:rsidP="0050371B">
            <w:pPr>
              <w:rPr>
                <w:rFonts w:cs="Arial"/>
                <w:szCs w:val="20"/>
              </w:rPr>
            </w:pPr>
          </w:p>
        </w:tc>
        <w:tc>
          <w:tcPr>
            <w:tcW w:w="2428" w:type="dxa"/>
            <w:tcBorders>
              <w:top w:val="nil"/>
              <w:left w:val="nil"/>
              <w:bottom w:val="nil"/>
              <w:right w:val="nil"/>
            </w:tcBorders>
            <w:noWrap/>
            <w:vAlign w:val="bottom"/>
          </w:tcPr>
          <w:p w:rsidR="00B350F8" w:rsidRPr="00481073" w:rsidRDefault="00B350F8" w:rsidP="0050371B">
            <w:pPr>
              <w:ind w:firstLineChars="200" w:firstLine="400"/>
              <w:jc w:val="right"/>
              <w:rPr>
                <w:rFonts w:cs="Arial"/>
                <w:szCs w:val="20"/>
              </w:rPr>
            </w:pPr>
            <w:r>
              <w:rPr>
                <w:rFonts w:cs="Arial"/>
                <w:szCs w:val="20"/>
              </w:rPr>
              <w:t>235</w:t>
            </w:r>
            <w:r w:rsidRPr="00481073">
              <w:rPr>
                <w:rFonts w:cs="Arial"/>
                <w:szCs w:val="20"/>
              </w:rPr>
              <w:t>.00</w:t>
            </w:r>
          </w:p>
        </w:tc>
        <w:tc>
          <w:tcPr>
            <w:tcW w:w="615" w:type="dxa"/>
            <w:tcBorders>
              <w:top w:val="nil"/>
              <w:left w:val="nil"/>
              <w:bottom w:val="nil"/>
              <w:right w:val="nil"/>
            </w:tcBorders>
            <w:noWrap/>
            <w:vAlign w:val="bottom"/>
          </w:tcPr>
          <w:p w:rsidR="00B350F8" w:rsidRPr="00481073" w:rsidRDefault="00B350F8" w:rsidP="0050371B">
            <w:pPr>
              <w:rPr>
                <w:rFonts w:cs="Arial"/>
                <w:szCs w:val="20"/>
              </w:rPr>
            </w:pPr>
            <w:r w:rsidRPr="00481073">
              <w:rPr>
                <w:rFonts w:cs="Arial"/>
                <w:szCs w:val="20"/>
              </w:rPr>
              <w:t>per</w:t>
            </w:r>
          </w:p>
        </w:tc>
        <w:tc>
          <w:tcPr>
            <w:tcW w:w="2343" w:type="dxa"/>
            <w:tcBorders>
              <w:top w:val="nil"/>
              <w:left w:val="nil"/>
              <w:bottom w:val="nil"/>
              <w:right w:val="nil"/>
            </w:tcBorders>
            <w:noWrap/>
            <w:vAlign w:val="bottom"/>
          </w:tcPr>
          <w:p w:rsidR="00B350F8" w:rsidRPr="00481073" w:rsidRDefault="00B350F8" w:rsidP="0050371B">
            <w:pPr>
              <w:rPr>
                <w:rFonts w:cs="Arial"/>
                <w:szCs w:val="20"/>
              </w:rPr>
            </w:pPr>
            <w:r w:rsidRPr="00481073">
              <w:rPr>
                <w:rFonts w:cs="Arial"/>
                <w:szCs w:val="20"/>
              </w:rPr>
              <w:t>month</w:t>
            </w:r>
          </w:p>
        </w:tc>
      </w:tr>
      <w:tr w:rsidR="00B350F8" w:rsidRPr="00481073" w:rsidTr="0050371B">
        <w:trPr>
          <w:trHeight w:val="222"/>
        </w:trPr>
        <w:tc>
          <w:tcPr>
            <w:tcW w:w="3563" w:type="dxa"/>
            <w:tcBorders>
              <w:top w:val="nil"/>
              <w:left w:val="nil"/>
              <w:bottom w:val="nil"/>
              <w:right w:val="nil"/>
            </w:tcBorders>
            <w:noWrap/>
            <w:vAlign w:val="bottom"/>
          </w:tcPr>
          <w:p w:rsidR="00B350F8" w:rsidRPr="00481073" w:rsidRDefault="00B350F8" w:rsidP="0050371B">
            <w:pPr>
              <w:ind w:firstLineChars="400" w:firstLine="800"/>
              <w:rPr>
                <w:rFonts w:cs="Arial"/>
                <w:szCs w:val="20"/>
              </w:rPr>
            </w:pPr>
            <w:r w:rsidRPr="00481073">
              <w:rPr>
                <w:rFonts w:cs="Arial"/>
                <w:szCs w:val="20"/>
              </w:rPr>
              <w:lastRenderedPageBreak/>
              <w:t>2</w:t>
            </w:r>
          </w:p>
        </w:tc>
        <w:tc>
          <w:tcPr>
            <w:tcW w:w="198" w:type="dxa"/>
            <w:tcBorders>
              <w:top w:val="nil"/>
              <w:left w:val="nil"/>
              <w:bottom w:val="nil"/>
              <w:right w:val="nil"/>
            </w:tcBorders>
            <w:noWrap/>
            <w:vAlign w:val="bottom"/>
          </w:tcPr>
          <w:p w:rsidR="00B350F8" w:rsidRPr="00481073" w:rsidRDefault="00B350F8" w:rsidP="0050371B">
            <w:pPr>
              <w:rPr>
                <w:rFonts w:cs="Arial"/>
                <w:szCs w:val="20"/>
              </w:rPr>
            </w:pPr>
          </w:p>
        </w:tc>
        <w:tc>
          <w:tcPr>
            <w:tcW w:w="2428" w:type="dxa"/>
            <w:tcBorders>
              <w:top w:val="nil"/>
              <w:left w:val="nil"/>
              <w:bottom w:val="nil"/>
              <w:right w:val="nil"/>
            </w:tcBorders>
            <w:noWrap/>
            <w:vAlign w:val="bottom"/>
          </w:tcPr>
          <w:p w:rsidR="00B350F8" w:rsidRPr="00481073" w:rsidRDefault="00B350F8" w:rsidP="0050371B">
            <w:pPr>
              <w:ind w:firstLineChars="200" w:firstLine="400"/>
              <w:jc w:val="right"/>
              <w:rPr>
                <w:rFonts w:cs="Arial"/>
                <w:szCs w:val="20"/>
              </w:rPr>
            </w:pPr>
            <w:r w:rsidRPr="00481073">
              <w:rPr>
                <w:rFonts w:cs="Arial"/>
                <w:szCs w:val="20"/>
              </w:rPr>
              <w:t>4</w:t>
            </w:r>
            <w:r>
              <w:rPr>
                <w:rFonts w:cs="Arial"/>
                <w:szCs w:val="20"/>
              </w:rPr>
              <w:t>4</w:t>
            </w:r>
            <w:r w:rsidRPr="00481073">
              <w:rPr>
                <w:rFonts w:cs="Arial"/>
                <w:szCs w:val="20"/>
              </w:rPr>
              <w:t>0.00</w:t>
            </w:r>
          </w:p>
        </w:tc>
        <w:tc>
          <w:tcPr>
            <w:tcW w:w="615" w:type="dxa"/>
            <w:tcBorders>
              <w:top w:val="nil"/>
              <w:left w:val="nil"/>
              <w:bottom w:val="nil"/>
              <w:right w:val="nil"/>
            </w:tcBorders>
            <w:noWrap/>
            <w:vAlign w:val="bottom"/>
          </w:tcPr>
          <w:p w:rsidR="00B350F8" w:rsidRPr="00481073" w:rsidRDefault="00B350F8" w:rsidP="0050371B">
            <w:pPr>
              <w:rPr>
                <w:rFonts w:cs="Arial"/>
                <w:szCs w:val="20"/>
              </w:rPr>
            </w:pPr>
            <w:r w:rsidRPr="00481073">
              <w:rPr>
                <w:rFonts w:cs="Arial"/>
                <w:szCs w:val="20"/>
              </w:rPr>
              <w:t>per</w:t>
            </w:r>
          </w:p>
        </w:tc>
        <w:tc>
          <w:tcPr>
            <w:tcW w:w="2343" w:type="dxa"/>
            <w:tcBorders>
              <w:top w:val="nil"/>
              <w:left w:val="nil"/>
              <w:bottom w:val="nil"/>
              <w:right w:val="nil"/>
            </w:tcBorders>
            <w:noWrap/>
            <w:vAlign w:val="bottom"/>
          </w:tcPr>
          <w:p w:rsidR="00B350F8" w:rsidRPr="00481073" w:rsidRDefault="00B350F8" w:rsidP="0050371B">
            <w:pPr>
              <w:rPr>
                <w:rFonts w:cs="Arial"/>
                <w:szCs w:val="20"/>
              </w:rPr>
            </w:pPr>
            <w:r w:rsidRPr="00481073">
              <w:rPr>
                <w:rFonts w:cs="Arial"/>
                <w:szCs w:val="20"/>
              </w:rPr>
              <w:t>month</w:t>
            </w:r>
          </w:p>
        </w:tc>
      </w:tr>
      <w:tr w:rsidR="00B350F8" w:rsidRPr="00481073" w:rsidTr="0050371B">
        <w:trPr>
          <w:trHeight w:val="62"/>
        </w:trPr>
        <w:tc>
          <w:tcPr>
            <w:tcW w:w="3563" w:type="dxa"/>
            <w:tcBorders>
              <w:top w:val="nil"/>
              <w:left w:val="nil"/>
              <w:bottom w:val="nil"/>
              <w:right w:val="nil"/>
            </w:tcBorders>
            <w:noWrap/>
            <w:vAlign w:val="bottom"/>
          </w:tcPr>
          <w:p w:rsidR="00B350F8" w:rsidRPr="00481073" w:rsidRDefault="00B350F8" w:rsidP="0050371B">
            <w:pPr>
              <w:ind w:firstLineChars="400" w:firstLine="800"/>
              <w:rPr>
                <w:rFonts w:cs="Arial"/>
                <w:szCs w:val="20"/>
              </w:rPr>
            </w:pPr>
            <w:r w:rsidRPr="00481073">
              <w:rPr>
                <w:rFonts w:cs="Arial"/>
                <w:szCs w:val="20"/>
              </w:rPr>
              <w:t>3</w:t>
            </w:r>
          </w:p>
        </w:tc>
        <w:tc>
          <w:tcPr>
            <w:tcW w:w="198" w:type="dxa"/>
            <w:tcBorders>
              <w:top w:val="nil"/>
              <w:left w:val="nil"/>
              <w:bottom w:val="nil"/>
              <w:right w:val="nil"/>
            </w:tcBorders>
            <w:noWrap/>
            <w:vAlign w:val="bottom"/>
          </w:tcPr>
          <w:p w:rsidR="00B350F8" w:rsidRPr="00481073" w:rsidRDefault="00B350F8" w:rsidP="0050371B">
            <w:pPr>
              <w:rPr>
                <w:rFonts w:cs="Arial"/>
                <w:szCs w:val="20"/>
              </w:rPr>
            </w:pPr>
            <w:r w:rsidRPr="00481073">
              <w:rPr>
                <w:rFonts w:cs="Arial"/>
                <w:szCs w:val="20"/>
              </w:rPr>
              <w:t> </w:t>
            </w:r>
          </w:p>
        </w:tc>
        <w:tc>
          <w:tcPr>
            <w:tcW w:w="2428" w:type="dxa"/>
            <w:tcBorders>
              <w:top w:val="nil"/>
              <w:left w:val="nil"/>
              <w:bottom w:val="nil"/>
              <w:right w:val="nil"/>
            </w:tcBorders>
            <w:noWrap/>
            <w:vAlign w:val="bottom"/>
          </w:tcPr>
          <w:p w:rsidR="00B350F8" w:rsidRPr="00481073" w:rsidRDefault="00B350F8" w:rsidP="0050371B">
            <w:pPr>
              <w:ind w:firstLineChars="200" w:firstLine="400"/>
              <w:jc w:val="right"/>
              <w:rPr>
                <w:rFonts w:cs="Arial"/>
                <w:szCs w:val="20"/>
              </w:rPr>
            </w:pPr>
            <w:r>
              <w:rPr>
                <w:rFonts w:cs="Arial"/>
                <w:szCs w:val="20"/>
              </w:rPr>
              <w:t>700</w:t>
            </w:r>
            <w:r w:rsidRPr="00481073">
              <w:rPr>
                <w:rFonts w:cs="Arial"/>
                <w:szCs w:val="20"/>
              </w:rPr>
              <w:t>.00</w:t>
            </w:r>
          </w:p>
        </w:tc>
        <w:tc>
          <w:tcPr>
            <w:tcW w:w="615" w:type="dxa"/>
            <w:tcBorders>
              <w:top w:val="nil"/>
              <w:left w:val="nil"/>
              <w:bottom w:val="nil"/>
              <w:right w:val="nil"/>
            </w:tcBorders>
            <w:noWrap/>
            <w:vAlign w:val="bottom"/>
          </w:tcPr>
          <w:p w:rsidR="00B350F8" w:rsidRPr="00481073" w:rsidRDefault="00B350F8" w:rsidP="0050371B">
            <w:pPr>
              <w:rPr>
                <w:rFonts w:cs="Arial"/>
                <w:szCs w:val="20"/>
              </w:rPr>
            </w:pPr>
            <w:r w:rsidRPr="00481073">
              <w:rPr>
                <w:rFonts w:cs="Arial"/>
                <w:szCs w:val="20"/>
              </w:rPr>
              <w:t>per</w:t>
            </w:r>
          </w:p>
        </w:tc>
        <w:tc>
          <w:tcPr>
            <w:tcW w:w="2343" w:type="dxa"/>
            <w:tcBorders>
              <w:top w:val="nil"/>
              <w:left w:val="nil"/>
              <w:bottom w:val="nil"/>
              <w:right w:val="nil"/>
            </w:tcBorders>
            <w:noWrap/>
            <w:vAlign w:val="bottom"/>
          </w:tcPr>
          <w:p w:rsidR="00B350F8" w:rsidRPr="00481073" w:rsidRDefault="00B350F8" w:rsidP="0050371B">
            <w:pPr>
              <w:rPr>
                <w:rFonts w:cs="Arial"/>
                <w:szCs w:val="20"/>
              </w:rPr>
            </w:pPr>
            <w:r w:rsidRPr="00481073">
              <w:rPr>
                <w:rFonts w:cs="Arial"/>
                <w:szCs w:val="20"/>
              </w:rPr>
              <w:t>month</w:t>
            </w:r>
          </w:p>
        </w:tc>
      </w:tr>
    </w:tbl>
    <w:p w:rsidR="00F27646" w:rsidRPr="00F27646" w:rsidRDefault="00F27646" w:rsidP="00F27646">
      <w:pPr>
        <w:rPr>
          <w:rFonts w:cs="Arial"/>
          <w:szCs w:val="20"/>
          <w:lang w:val="en-US"/>
        </w:rPr>
      </w:pPr>
    </w:p>
    <w:p w:rsidR="00F27646" w:rsidRPr="00F27646" w:rsidRDefault="00F27646" w:rsidP="00F27646">
      <w:pPr>
        <w:pStyle w:val="berschrift1"/>
        <w:rPr>
          <w:lang w:val="en-US"/>
        </w:rPr>
      </w:pPr>
      <w:r w:rsidRPr="00F27646">
        <w:rPr>
          <w:lang w:val="en-US"/>
        </w:rPr>
        <w:t>2.4</w:t>
      </w:r>
      <w:r w:rsidRPr="00F27646">
        <w:rPr>
          <w:lang w:val="en-US"/>
        </w:rPr>
        <w:tab/>
        <w:t>Statistical analysis</w:t>
      </w:r>
    </w:p>
    <w:p w:rsidR="00F27646" w:rsidRPr="00F27646" w:rsidRDefault="00F27646" w:rsidP="00F27646">
      <w:pPr>
        <w:rPr>
          <w:rFonts w:cs="Arial"/>
          <w:szCs w:val="20"/>
          <w:lang w:val="en-US"/>
        </w:rPr>
      </w:pPr>
      <w:r w:rsidRPr="00F27646">
        <w:rPr>
          <w:rFonts w:cs="Arial"/>
          <w:szCs w:val="20"/>
          <w:lang w:val="en-US"/>
        </w:rPr>
        <w:t xml:space="preserve">To calculate mean QALY differences between treatment groups we used a linear regression model controlling for stratification variables of the trial (gender, age groups, </w:t>
      </w:r>
      <w:r w:rsidR="00643F67" w:rsidRPr="00F27646">
        <w:rPr>
          <w:rFonts w:cs="Arial"/>
          <w:szCs w:val="20"/>
          <w:lang w:val="en-US"/>
        </w:rPr>
        <w:t>and number</w:t>
      </w:r>
      <w:r w:rsidRPr="00F27646">
        <w:rPr>
          <w:rFonts w:cs="Arial"/>
          <w:szCs w:val="20"/>
          <w:lang w:val="en-US"/>
        </w:rPr>
        <w:t xml:space="preserve"> of comorbidities) and baseline utility (35). The same method was applied to determine the intervention effect expressed by VAS-AL.</w:t>
      </w:r>
    </w:p>
    <w:p w:rsidR="00F27646" w:rsidRPr="00F27646" w:rsidRDefault="00F27646" w:rsidP="00F27646">
      <w:pPr>
        <w:rPr>
          <w:rFonts w:cs="Arial"/>
          <w:szCs w:val="20"/>
          <w:lang w:val="en-US"/>
        </w:rPr>
      </w:pPr>
      <w:r w:rsidRPr="00F27646">
        <w:rPr>
          <w:rFonts w:cs="Arial"/>
          <w:szCs w:val="20"/>
          <w:lang w:val="en-US"/>
        </w:rPr>
        <w:t>To analyse EQ-5D-3L utility and VAS data over time, linear mixed models with the stratification variables as fixed effects and an additional random intercept were fitted. Mixed models based on full maximum likelihood estimation have been shown to be an effective method to account for dropout when estimating longitudinal change (36). Resource use data and corresponding cost data were presented as mean values with standard deviation. To analyse costs, a generalised gamma regression model with log-link was used in order to account for the skewed distribution of the data (37). From the gamma model, adjusted mean differences in costs between intervention and control groups were estimated using the method of recycled predictions. This method creates an identical covariate structure for each treatment group by first assuming that all individuals are cases and predicting costs and then assuming that all individuals are controls and predicting costs (38, 39). Calculating the difference in the mean predictions for all individuals between these two scenarios then yields an estimate of the adjusted marginal difference in costs between intervention and control groups. A 95% CI for the adjusted cost difference was estimated from 1000 bootstrap replications using the percentile method.</w:t>
      </w:r>
    </w:p>
    <w:p w:rsidR="00F27646" w:rsidRPr="00F27646" w:rsidRDefault="00F27646" w:rsidP="00F27646">
      <w:pPr>
        <w:rPr>
          <w:rFonts w:cs="Arial"/>
          <w:szCs w:val="20"/>
          <w:lang w:val="en-US"/>
        </w:rPr>
      </w:pPr>
      <w:r w:rsidRPr="00F27646">
        <w:rPr>
          <w:rFonts w:cs="Arial"/>
          <w:szCs w:val="20"/>
          <w:lang w:val="en-US"/>
        </w:rPr>
        <w:t>We performed a cost-effectiveness analysis, in which incremental cost-effectiveness ratios (ICERs) were calculated only in the case of a positive ICER meaning case management is neith</w:t>
      </w:r>
      <w:r w:rsidR="00643F67">
        <w:rPr>
          <w:rFonts w:cs="Arial"/>
          <w:szCs w:val="20"/>
          <w:lang w:val="en-US"/>
        </w:rPr>
        <w:t>er dominant nor dominated (40).</w:t>
      </w:r>
    </w:p>
    <w:p w:rsidR="00F27646" w:rsidRPr="00F27646" w:rsidRDefault="00F27646" w:rsidP="00F27646">
      <w:pPr>
        <w:rPr>
          <w:rFonts w:cs="Arial"/>
          <w:szCs w:val="20"/>
          <w:lang w:val="en-US"/>
        </w:rPr>
      </w:pPr>
      <w:r w:rsidRPr="00F27646">
        <w:rPr>
          <w:rFonts w:cs="Arial"/>
          <w:szCs w:val="20"/>
          <w:lang w:val="en-US"/>
        </w:rPr>
        <w:t xml:space="preserve">Estimation uncertainty was addressed by bootstrapping (n=1000) incremental cost and effect estimates and plotting them on the cost-effectiveness plane (CE plane) in order to generate the joint </w:t>
      </w:r>
      <w:r w:rsidRPr="00F27646">
        <w:rPr>
          <w:rFonts w:cs="Arial"/>
          <w:szCs w:val="20"/>
          <w:lang w:val="en-US"/>
        </w:rPr>
        <w:lastRenderedPageBreak/>
        <w:t>density of incremental costs and incremental effects (41, 42). The proportion of the joint density located within the south east (SE) quadrant of the CE plane suggests the likelihood of dominance of case management and the joint density in the north west quadrant of being dominated (41). From the resulting bootstrap distribution, we also calculated cost-effectiveness acceptability curves (CEAC), which indicate the likelihood that the intervention is cost-effective for a given value of willingness to pay (WTP).</w:t>
      </w:r>
    </w:p>
    <w:p w:rsidR="00F27646" w:rsidRPr="00F27646" w:rsidRDefault="00F27646" w:rsidP="00F27646">
      <w:pPr>
        <w:rPr>
          <w:rFonts w:cs="Arial"/>
          <w:szCs w:val="20"/>
          <w:lang w:val="en-US"/>
        </w:rPr>
      </w:pPr>
      <w:r w:rsidRPr="00F27646">
        <w:rPr>
          <w:rFonts w:cs="Arial"/>
          <w:szCs w:val="20"/>
          <w:lang w:val="en-US"/>
        </w:rPr>
        <w:t>The primary cost-effectiveness analysis excluded patients who withdraw consent or were lost to follow-up during the three-year study period. In a sensitivity analysis, we applied a missing value imputation approach in order to include data from all randomised patients. To impute missing values for an individual who dropped out before measurement time point t, we first fitted a logistic model to predict survival of the participant at t. Explanatory variables were the stratification variables (i.e. gender, age in groups and number of comorbidities), treatment assignment and the one-period-lagged health status (EQ-5D-3L utility or VAS) (43). From the resulting predicted distribution, a Bernoulli random number was drawn reflecting whether the participant was assumed to have died or not. In the case of death, the cost and utility from time point t were set to 0. Otherwise, a second imputation model with the same covariates as the logistic model was fitted on the subsample of all participants still living at time point t in order to predict values for cost and utility. For the imputation of utilities, this second model used the predictive mean matching method in order to ensure that imputed data are actually observable EQ-5D-3L (or VAS) values (44). The model for cost used the ‘regression method’ applied to log-transformed values in order to account for the skewness of the underlying data. The above two steps were then repeated for all subsequent time points until the 36-month measurement. To avoid missing lagged values in the following cycles, the imputed values from the preceding cycle were used (43). Overall, this imputation model is based on the assumption that the missing observations are missing at random given the observed data, especially given gender, age, number of comorbidities, treatment arm and health status before drop out.</w:t>
      </w:r>
    </w:p>
    <w:p w:rsidR="00F27646" w:rsidRPr="00F27646" w:rsidRDefault="00F27646" w:rsidP="00F27646">
      <w:pPr>
        <w:rPr>
          <w:rFonts w:cs="Arial"/>
          <w:szCs w:val="20"/>
          <w:lang w:val="en-US"/>
        </w:rPr>
      </w:pPr>
      <w:r w:rsidRPr="00F27646">
        <w:rPr>
          <w:rFonts w:cs="Arial"/>
          <w:szCs w:val="20"/>
          <w:lang w:val="en-US"/>
        </w:rPr>
        <w:t>To account for the uncertainty associated with imputed values, we bootstrapped the whole imputation and estimation process. Therefore, the full data set including missing values was first bootstrapped and then, in each bootstrap sample, the imputation process was applied (45).</w:t>
      </w:r>
    </w:p>
    <w:p w:rsidR="00F27646" w:rsidRPr="00F27646" w:rsidRDefault="00F27646" w:rsidP="00F27646">
      <w:pPr>
        <w:rPr>
          <w:rFonts w:cs="Arial"/>
          <w:szCs w:val="20"/>
          <w:lang w:val="en-US"/>
        </w:rPr>
      </w:pPr>
      <w:r w:rsidRPr="00F27646">
        <w:rPr>
          <w:rFonts w:cs="Arial"/>
          <w:szCs w:val="20"/>
          <w:lang w:val="en-US"/>
        </w:rPr>
        <w:t>All analyses were performed with SAS (Version 9.2, SAS-Institute Inc., Cary, NC, USA).</w:t>
      </w:r>
    </w:p>
    <w:p w:rsidR="00F27646" w:rsidRPr="00F27646" w:rsidRDefault="00F27646" w:rsidP="00F27646">
      <w:pPr>
        <w:pStyle w:val="berschrift1"/>
        <w:rPr>
          <w:lang w:val="en-US"/>
        </w:rPr>
      </w:pPr>
      <w:r w:rsidRPr="00F27646">
        <w:rPr>
          <w:lang w:val="en-US"/>
        </w:rPr>
        <w:lastRenderedPageBreak/>
        <w:t>3</w:t>
      </w:r>
      <w:r w:rsidRPr="00F27646">
        <w:rPr>
          <w:lang w:val="en-US"/>
        </w:rPr>
        <w:tab/>
        <w:t>Results</w:t>
      </w:r>
    </w:p>
    <w:p w:rsidR="00F27646" w:rsidRPr="00F27646" w:rsidRDefault="00F27646" w:rsidP="00F27646">
      <w:pPr>
        <w:rPr>
          <w:rFonts w:cs="Arial"/>
          <w:szCs w:val="20"/>
          <w:lang w:val="en-US"/>
        </w:rPr>
      </w:pPr>
      <w:r w:rsidRPr="00F27646">
        <w:rPr>
          <w:rFonts w:cs="Arial"/>
          <w:szCs w:val="20"/>
          <w:lang w:val="en-US"/>
        </w:rPr>
        <w:t>From the 340 patients randomised, 11 patients were retrospectively excluded in coordination with the study’s Advisory Board because of death or withdrawal of consent before hospital discharge. Thus, our analysis included 329 patients (Fig. 1). Within the first 3 months, four participants in the control group and 13 participants in the intervention group died, of whom 10 had no contact with the study nurse between hospital discharge and death. Within the next 9 months, nine participants in the control group and five participants in the intervention group died. Within the next 24 months, 19 participants in the control group and 11 participants in the intervention group died. Characteristics of both all randomised patients and patients without withdrawals at baseline are presented in Table 2.</w:t>
      </w:r>
    </w:p>
    <w:p w:rsidR="00F9694F" w:rsidRDefault="00F9694F" w:rsidP="00F9694F">
      <w:r>
        <w:t>Fig. 1 Consort flow chart</w:t>
      </w:r>
    </w:p>
    <w:p w:rsidR="00F9694F" w:rsidRDefault="00F9694F" w:rsidP="00F9694F"/>
    <w:p w:rsidR="00F9694F" w:rsidRDefault="00A73E03" w:rsidP="00F9694F">
      <w:r>
        <w:rPr>
          <w:noProof/>
          <w:lang w:eastAsia="de-DE"/>
        </w:rPr>
        <w:drawing>
          <wp:inline distT="0" distB="0" distL="0" distR="0">
            <wp:extent cx="3604895" cy="4773930"/>
            <wp:effectExtent l="0" t="0" r="0" b="7620"/>
            <wp:docPr id="1" name="Bild 1" descr="Flow-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w-Char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04895" cy="4773930"/>
                    </a:xfrm>
                    <a:prstGeom prst="rect">
                      <a:avLst/>
                    </a:prstGeom>
                    <a:noFill/>
                    <a:ln>
                      <a:noFill/>
                    </a:ln>
                  </pic:spPr>
                </pic:pic>
              </a:graphicData>
            </a:graphic>
          </wp:inline>
        </w:drawing>
      </w:r>
    </w:p>
    <w:p w:rsidR="00F9694F" w:rsidRPr="00F27646" w:rsidRDefault="00F9694F" w:rsidP="00F27646">
      <w:pPr>
        <w:rPr>
          <w:rFonts w:cs="Arial"/>
          <w:szCs w:val="20"/>
          <w:lang w:val="en-US"/>
        </w:rPr>
      </w:pPr>
    </w:p>
    <w:p w:rsidR="00F27646" w:rsidRPr="00F27646" w:rsidRDefault="00F27646" w:rsidP="00F27646">
      <w:pPr>
        <w:rPr>
          <w:rFonts w:cs="Arial"/>
          <w:szCs w:val="20"/>
          <w:lang w:val="en-US"/>
        </w:rPr>
      </w:pPr>
      <w:r w:rsidRPr="00F27646">
        <w:rPr>
          <w:rFonts w:cs="Arial"/>
          <w:szCs w:val="20"/>
          <w:lang w:val="en-US"/>
        </w:rPr>
        <w:t>Insert Table 2</w:t>
      </w:r>
    </w:p>
    <w:p w:rsidR="00944F04" w:rsidRPr="00481073" w:rsidRDefault="00944F04" w:rsidP="00944F04">
      <w:pPr>
        <w:tabs>
          <w:tab w:val="left" w:pos="284"/>
          <w:tab w:val="left" w:pos="340"/>
        </w:tabs>
        <w:spacing w:after="120" w:line="360" w:lineRule="auto"/>
        <w:ind w:left="454" w:hanging="28"/>
        <w:rPr>
          <w:rFonts w:cs="Arial"/>
          <w:szCs w:val="20"/>
          <w:lang w:val="en-GB"/>
        </w:rPr>
      </w:pPr>
    </w:p>
    <w:p w:rsidR="00944F04" w:rsidRPr="00481073" w:rsidRDefault="00944F04" w:rsidP="00944F04">
      <w:pPr>
        <w:tabs>
          <w:tab w:val="left" w:pos="284"/>
          <w:tab w:val="left" w:pos="340"/>
        </w:tabs>
        <w:spacing w:after="120" w:line="360" w:lineRule="auto"/>
        <w:ind w:left="454" w:hanging="28"/>
        <w:rPr>
          <w:rFonts w:cs="Arial"/>
          <w:szCs w:val="20"/>
          <w:lang w:val="en-GB"/>
        </w:rPr>
      </w:pPr>
      <w:r w:rsidRPr="00481073">
        <w:rPr>
          <w:rFonts w:cs="Arial"/>
          <w:b/>
          <w:szCs w:val="20"/>
          <w:lang w:val="en-GB"/>
        </w:rPr>
        <w:t>Table 2</w:t>
      </w:r>
      <w:r w:rsidRPr="00481073">
        <w:rPr>
          <w:rFonts w:cs="Arial"/>
          <w:szCs w:val="20"/>
          <w:lang w:val="en-GB"/>
        </w:rPr>
        <w:t xml:space="preserve"> Patient </w:t>
      </w:r>
      <w:r>
        <w:rPr>
          <w:rFonts w:cs="Arial"/>
          <w:szCs w:val="20"/>
          <w:lang w:val="en-GB"/>
        </w:rPr>
        <w:t>base</w:t>
      </w:r>
      <w:r w:rsidRPr="00481073">
        <w:rPr>
          <w:rFonts w:cs="Arial"/>
          <w:szCs w:val="20"/>
          <w:lang w:val="en-GB"/>
        </w:rPr>
        <w:t xml:space="preserve">line characteristics </w:t>
      </w:r>
    </w:p>
    <w:tbl>
      <w:tblPr>
        <w:tblW w:w="9922" w:type="dxa"/>
        <w:tblInd w:w="70" w:type="dxa"/>
        <w:tblLayout w:type="fixed"/>
        <w:tblCellMar>
          <w:left w:w="70" w:type="dxa"/>
          <w:right w:w="70" w:type="dxa"/>
        </w:tblCellMar>
        <w:tblLook w:val="0000" w:firstRow="0" w:lastRow="0" w:firstColumn="0" w:lastColumn="0" w:noHBand="0" w:noVBand="0"/>
      </w:tblPr>
      <w:tblGrid>
        <w:gridCol w:w="3969"/>
        <w:gridCol w:w="567"/>
        <w:gridCol w:w="709"/>
        <w:gridCol w:w="567"/>
        <w:gridCol w:w="992"/>
        <w:gridCol w:w="815"/>
        <w:gridCol w:w="815"/>
        <w:gridCol w:w="815"/>
        <w:gridCol w:w="673"/>
      </w:tblGrid>
      <w:tr w:rsidR="00944F04" w:rsidRPr="00827795" w:rsidTr="0050371B">
        <w:trPr>
          <w:trHeight w:val="343"/>
        </w:trPr>
        <w:tc>
          <w:tcPr>
            <w:tcW w:w="3969" w:type="dxa"/>
            <w:tcBorders>
              <w:top w:val="single" w:sz="4" w:space="0" w:color="auto"/>
              <w:left w:val="nil"/>
              <w:bottom w:val="single" w:sz="4" w:space="0" w:color="auto"/>
              <w:right w:val="nil"/>
            </w:tcBorders>
            <w:vAlign w:val="bottom"/>
          </w:tcPr>
          <w:p w:rsidR="00944F04" w:rsidRDefault="00944F04" w:rsidP="0050371B">
            <w:pPr>
              <w:spacing w:line="276" w:lineRule="auto"/>
              <w:rPr>
                <w:rFonts w:cs="Arial"/>
                <w:szCs w:val="20"/>
                <w:lang w:val="en-US"/>
              </w:rPr>
            </w:pPr>
          </w:p>
        </w:tc>
        <w:tc>
          <w:tcPr>
            <w:tcW w:w="2835" w:type="dxa"/>
            <w:gridSpan w:val="4"/>
            <w:tcBorders>
              <w:top w:val="single" w:sz="4" w:space="0" w:color="auto"/>
              <w:left w:val="nil"/>
              <w:bottom w:val="single" w:sz="4" w:space="0" w:color="auto"/>
              <w:right w:val="nil"/>
            </w:tcBorders>
          </w:tcPr>
          <w:p w:rsidR="00944F04" w:rsidRPr="00481073" w:rsidRDefault="00944F04" w:rsidP="0050371B">
            <w:pPr>
              <w:spacing w:line="276" w:lineRule="auto"/>
              <w:rPr>
                <w:rFonts w:cs="Arial"/>
                <w:szCs w:val="20"/>
                <w:lang w:val="en-US"/>
              </w:rPr>
            </w:pPr>
            <w:r>
              <w:rPr>
                <w:rFonts w:cs="Arial"/>
                <w:szCs w:val="20"/>
                <w:lang w:val="en-US"/>
              </w:rPr>
              <w:t>randomised patients</w:t>
            </w:r>
            <w:r>
              <w:rPr>
                <w:rFonts w:cs="Arial"/>
                <w:szCs w:val="20"/>
                <w:lang w:val="en-US"/>
              </w:rPr>
              <w:br/>
              <w:t>n=329</w:t>
            </w:r>
          </w:p>
        </w:tc>
        <w:tc>
          <w:tcPr>
            <w:tcW w:w="3118" w:type="dxa"/>
            <w:gridSpan w:val="4"/>
            <w:tcBorders>
              <w:top w:val="single" w:sz="4" w:space="0" w:color="auto"/>
              <w:left w:val="nil"/>
              <w:bottom w:val="single" w:sz="4" w:space="0" w:color="auto"/>
              <w:right w:val="nil"/>
            </w:tcBorders>
          </w:tcPr>
          <w:p w:rsidR="00944F04" w:rsidRDefault="00944F04" w:rsidP="0050371B">
            <w:pPr>
              <w:spacing w:line="276" w:lineRule="auto"/>
              <w:rPr>
                <w:rFonts w:cs="Arial"/>
                <w:szCs w:val="20"/>
                <w:lang w:val="en-US"/>
              </w:rPr>
            </w:pPr>
            <w:r>
              <w:rPr>
                <w:rFonts w:cs="Arial"/>
                <w:szCs w:val="20"/>
                <w:lang w:val="en-US"/>
              </w:rPr>
              <w:t>patients without withdrawals</w:t>
            </w:r>
            <w:r>
              <w:rPr>
                <w:rFonts w:cs="Arial"/>
                <w:szCs w:val="20"/>
                <w:lang w:val="en-US"/>
              </w:rPr>
              <w:br/>
              <w:t>n=269</w:t>
            </w:r>
          </w:p>
        </w:tc>
      </w:tr>
      <w:tr w:rsidR="00944F04" w:rsidRPr="00827795" w:rsidTr="0050371B">
        <w:trPr>
          <w:trHeight w:val="343"/>
        </w:trPr>
        <w:tc>
          <w:tcPr>
            <w:tcW w:w="3969" w:type="dxa"/>
            <w:tcBorders>
              <w:top w:val="single" w:sz="4" w:space="0" w:color="auto"/>
              <w:left w:val="nil"/>
              <w:bottom w:val="single" w:sz="4" w:space="0" w:color="auto"/>
              <w:right w:val="nil"/>
            </w:tcBorders>
            <w:vAlign w:val="bottom"/>
          </w:tcPr>
          <w:p w:rsidR="00944F04" w:rsidRPr="00387505" w:rsidRDefault="00944F04" w:rsidP="0050371B">
            <w:pPr>
              <w:spacing w:line="276" w:lineRule="auto"/>
              <w:rPr>
                <w:rFonts w:cs="Arial"/>
                <w:szCs w:val="20"/>
                <w:lang w:val="en-US"/>
              </w:rPr>
            </w:pPr>
            <w:r>
              <w:rPr>
                <w:rFonts w:cs="Arial"/>
                <w:szCs w:val="20"/>
                <w:lang w:val="en-US"/>
              </w:rPr>
              <w:t>Patient baseline characteristics</w:t>
            </w:r>
          </w:p>
        </w:tc>
        <w:tc>
          <w:tcPr>
            <w:tcW w:w="1276" w:type="dxa"/>
            <w:gridSpan w:val="2"/>
            <w:tcBorders>
              <w:top w:val="single" w:sz="4" w:space="0" w:color="auto"/>
              <w:left w:val="nil"/>
              <w:bottom w:val="single" w:sz="4" w:space="0" w:color="auto"/>
              <w:right w:val="nil"/>
            </w:tcBorders>
          </w:tcPr>
          <w:p w:rsidR="00944F04" w:rsidRPr="00481073" w:rsidRDefault="00944F04" w:rsidP="0050371B">
            <w:pPr>
              <w:spacing w:line="276" w:lineRule="auto"/>
              <w:rPr>
                <w:rFonts w:cs="Arial"/>
                <w:szCs w:val="20"/>
                <w:lang w:val="en-US"/>
              </w:rPr>
            </w:pPr>
            <w:r w:rsidRPr="00481073">
              <w:rPr>
                <w:rFonts w:cs="Arial"/>
                <w:szCs w:val="20"/>
                <w:lang w:val="en-US"/>
              </w:rPr>
              <w:t>Intervention</w:t>
            </w:r>
            <w:r w:rsidRPr="00481073">
              <w:rPr>
                <w:rFonts w:cs="Arial"/>
                <w:szCs w:val="20"/>
                <w:lang w:val="en-US"/>
              </w:rPr>
              <w:br/>
              <w:t xml:space="preserve">n=161 </w:t>
            </w:r>
          </w:p>
        </w:tc>
        <w:tc>
          <w:tcPr>
            <w:tcW w:w="1559" w:type="dxa"/>
            <w:gridSpan w:val="2"/>
            <w:tcBorders>
              <w:top w:val="single" w:sz="4" w:space="0" w:color="auto"/>
              <w:left w:val="nil"/>
              <w:bottom w:val="single" w:sz="4" w:space="0" w:color="auto"/>
              <w:right w:val="nil"/>
            </w:tcBorders>
          </w:tcPr>
          <w:p w:rsidR="00944F04" w:rsidRPr="00481073" w:rsidRDefault="00944F04" w:rsidP="0050371B">
            <w:pPr>
              <w:spacing w:line="276" w:lineRule="auto"/>
              <w:rPr>
                <w:rFonts w:cs="Arial"/>
                <w:szCs w:val="20"/>
                <w:lang w:val="en-US"/>
              </w:rPr>
            </w:pPr>
            <w:r w:rsidRPr="00481073">
              <w:rPr>
                <w:rFonts w:cs="Arial"/>
                <w:szCs w:val="20"/>
                <w:lang w:val="en-US"/>
              </w:rPr>
              <w:t>Control</w:t>
            </w:r>
            <w:r w:rsidRPr="00481073">
              <w:rPr>
                <w:rFonts w:cs="Arial"/>
                <w:szCs w:val="20"/>
                <w:lang w:val="en-US"/>
              </w:rPr>
              <w:br/>
              <w:t>n=168</w:t>
            </w:r>
          </w:p>
        </w:tc>
        <w:tc>
          <w:tcPr>
            <w:tcW w:w="1630" w:type="dxa"/>
            <w:gridSpan w:val="2"/>
            <w:tcBorders>
              <w:top w:val="single" w:sz="4" w:space="0" w:color="auto"/>
              <w:left w:val="nil"/>
              <w:bottom w:val="single" w:sz="4" w:space="0" w:color="auto"/>
              <w:right w:val="nil"/>
            </w:tcBorders>
          </w:tcPr>
          <w:p w:rsidR="00944F04" w:rsidRPr="00481073" w:rsidRDefault="00944F04" w:rsidP="0050371B">
            <w:pPr>
              <w:spacing w:line="276" w:lineRule="auto"/>
              <w:rPr>
                <w:rFonts w:cs="Arial"/>
                <w:szCs w:val="20"/>
                <w:lang w:val="en-US"/>
              </w:rPr>
            </w:pPr>
            <w:r>
              <w:rPr>
                <w:rFonts w:cs="Arial"/>
                <w:szCs w:val="20"/>
                <w:lang w:val="en-US"/>
              </w:rPr>
              <w:t>Intervention</w:t>
            </w:r>
            <w:r>
              <w:rPr>
                <w:rFonts w:cs="Arial"/>
                <w:szCs w:val="20"/>
                <w:lang w:val="en-US"/>
              </w:rPr>
              <w:br/>
              <w:t>n=131</w:t>
            </w:r>
          </w:p>
        </w:tc>
        <w:tc>
          <w:tcPr>
            <w:tcW w:w="1488" w:type="dxa"/>
            <w:gridSpan w:val="2"/>
            <w:tcBorders>
              <w:top w:val="single" w:sz="4" w:space="0" w:color="auto"/>
              <w:left w:val="nil"/>
              <w:bottom w:val="single" w:sz="4" w:space="0" w:color="auto"/>
              <w:right w:val="nil"/>
            </w:tcBorders>
          </w:tcPr>
          <w:p w:rsidR="00944F04" w:rsidRPr="00481073" w:rsidRDefault="00944F04" w:rsidP="0050371B">
            <w:pPr>
              <w:spacing w:line="276" w:lineRule="auto"/>
              <w:rPr>
                <w:rFonts w:cs="Arial"/>
                <w:szCs w:val="20"/>
                <w:lang w:val="en-US"/>
              </w:rPr>
            </w:pPr>
            <w:r>
              <w:rPr>
                <w:rFonts w:cs="Arial"/>
                <w:szCs w:val="20"/>
                <w:lang w:val="en-US"/>
              </w:rPr>
              <w:t>Control</w:t>
            </w:r>
            <w:r>
              <w:rPr>
                <w:rFonts w:cs="Arial"/>
                <w:szCs w:val="20"/>
                <w:lang w:val="en-US"/>
              </w:rPr>
              <w:br/>
              <w:t>n=138</w:t>
            </w:r>
          </w:p>
        </w:tc>
      </w:tr>
      <w:tr w:rsidR="00944F04" w:rsidRPr="00702578" w:rsidTr="0050371B">
        <w:trPr>
          <w:trHeight w:val="197"/>
        </w:trPr>
        <w:tc>
          <w:tcPr>
            <w:tcW w:w="3969" w:type="dxa"/>
            <w:tcBorders>
              <w:top w:val="single" w:sz="4" w:space="0" w:color="auto"/>
              <w:left w:val="nil"/>
              <w:bottom w:val="nil"/>
              <w:right w:val="nil"/>
            </w:tcBorders>
            <w:noWrap/>
            <w:vAlign w:val="bottom"/>
          </w:tcPr>
          <w:p w:rsidR="00944F04" w:rsidRPr="00481073" w:rsidRDefault="00944F04" w:rsidP="0050371B">
            <w:pPr>
              <w:rPr>
                <w:rFonts w:cs="Arial"/>
                <w:szCs w:val="20"/>
                <w:lang w:val="en-US"/>
              </w:rPr>
            </w:pPr>
            <w:r w:rsidRPr="00481073">
              <w:rPr>
                <w:rFonts w:cs="Arial"/>
                <w:szCs w:val="20"/>
                <w:lang w:val="en-US"/>
              </w:rPr>
              <w:t>Age (year [SD])</w:t>
            </w:r>
          </w:p>
        </w:tc>
        <w:tc>
          <w:tcPr>
            <w:tcW w:w="567" w:type="dxa"/>
            <w:tcBorders>
              <w:top w:val="single" w:sz="4" w:space="0" w:color="auto"/>
              <w:left w:val="nil"/>
              <w:bottom w:val="nil"/>
              <w:right w:val="nil"/>
            </w:tcBorders>
          </w:tcPr>
          <w:p w:rsidR="00944F04" w:rsidRPr="00481073" w:rsidRDefault="00944F04" w:rsidP="0050371B">
            <w:pPr>
              <w:jc w:val="right"/>
              <w:rPr>
                <w:rFonts w:cs="Arial"/>
                <w:szCs w:val="20"/>
                <w:lang w:val="en-US"/>
              </w:rPr>
            </w:pPr>
            <w:r w:rsidRPr="00481073">
              <w:rPr>
                <w:rFonts w:cs="Arial"/>
                <w:szCs w:val="20"/>
                <w:lang w:val="en-US"/>
              </w:rPr>
              <w:t>75.2</w:t>
            </w:r>
          </w:p>
        </w:tc>
        <w:tc>
          <w:tcPr>
            <w:tcW w:w="709" w:type="dxa"/>
            <w:tcBorders>
              <w:top w:val="single" w:sz="4" w:space="0" w:color="auto"/>
              <w:left w:val="nil"/>
              <w:bottom w:val="nil"/>
              <w:right w:val="nil"/>
            </w:tcBorders>
          </w:tcPr>
          <w:p w:rsidR="00944F04" w:rsidRPr="00481073" w:rsidRDefault="00944F04" w:rsidP="0050371B">
            <w:pPr>
              <w:rPr>
                <w:rFonts w:cs="Arial"/>
                <w:szCs w:val="20"/>
                <w:lang w:val="en-US"/>
              </w:rPr>
            </w:pPr>
            <w:r w:rsidRPr="00481073">
              <w:rPr>
                <w:rFonts w:cs="Arial"/>
                <w:szCs w:val="20"/>
                <w:lang w:val="en-US"/>
              </w:rPr>
              <w:t>[6.0]</w:t>
            </w:r>
          </w:p>
        </w:tc>
        <w:tc>
          <w:tcPr>
            <w:tcW w:w="567" w:type="dxa"/>
            <w:tcBorders>
              <w:top w:val="single" w:sz="4" w:space="0" w:color="auto"/>
              <w:left w:val="nil"/>
              <w:bottom w:val="nil"/>
              <w:right w:val="nil"/>
            </w:tcBorders>
            <w:noWrap/>
          </w:tcPr>
          <w:p w:rsidR="00944F04" w:rsidRPr="00481073" w:rsidRDefault="00944F04" w:rsidP="0050371B">
            <w:pPr>
              <w:jc w:val="right"/>
              <w:rPr>
                <w:rFonts w:cs="Arial"/>
                <w:szCs w:val="20"/>
                <w:lang w:val="en-US"/>
              </w:rPr>
            </w:pPr>
            <w:r w:rsidRPr="00481073">
              <w:rPr>
                <w:rFonts w:cs="Arial"/>
                <w:szCs w:val="20"/>
                <w:lang w:val="en-US"/>
              </w:rPr>
              <w:t>75.6</w:t>
            </w:r>
          </w:p>
        </w:tc>
        <w:tc>
          <w:tcPr>
            <w:tcW w:w="992" w:type="dxa"/>
            <w:tcBorders>
              <w:top w:val="single" w:sz="4" w:space="0" w:color="auto"/>
              <w:left w:val="nil"/>
              <w:bottom w:val="nil"/>
              <w:right w:val="nil"/>
            </w:tcBorders>
            <w:noWrap/>
          </w:tcPr>
          <w:p w:rsidR="00944F04" w:rsidRPr="00481073" w:rsidRDefault="00944F04" w:rsidP="0050371B">
            <w:pPr>
              <w:rPr>
                <w:rFonts w:cs="Arial"/>
                <w:szCs w:val="20"/>
                <w:lang w:val="en-US"/>
              </w:rPr>
            </w:pPr>
            <w:r w:rsidRPr="00481073">
              <w:rPr>
                <w:rFonts w:cs="Arial"/>
                <w:szCs w:val="20"/>
                <w:lang w:val="en-US"/>
              </w:rPr>
              <w:t>[</w:t>
            </w:r>
            <w:r>
              <w:rPr>
                <w:rFonts w:cs="Arial"/>
                <w:szCs w:val="20"/>
                <w:lang w:val="en-US"/>
              </w:rPr>
              <w:t>5.9]</w:t>
            </w:r>
          </w:p>
        </w:tc>
        <w:tc>
          <w:tcPr>
            <w:tcW w:w="815" w:type="dxa"/>
            <w:tcBorders>
              <w:top w:val="single" w:sz="4" w:space="0" w:color="auto"/>
              <w:left w:val="nil"/>
              <w:bottom w:val="nil"/>
              <w:right w:val="nil"/>
            </w:tcBorders>
          </w:tcPr>
          <w:p w:rsidR="00944F04" w:rsidRPr="00481073" w:rsidRDefault="00944F04" w:rsidP="0050371B">
            <w:pPr>
              <w:rPr>
                <w:rFonts w:cs="Arial"/>
                <w:szCs w:val="20"/>
                <w:lang w:val="en-US"/>
              </w:rPr>
            </w:pPr>
            <w:r>
              <w:rPr>
                <w:rFonts w:cs="Arial"/>
                <w:szCs w:val="20"/>
                <w:lang w:val="en-US"/>
              </w:rPr>
              <w:t>74.8</w:t>
            </w:r>
          </w:p>
        </w:tc>
        <w:tc>
          <w:tcPr>
            <w:tcW w:w="815" w:type="dxa"/>
            <w:tcBorders>
              <w:top w:val="single" w:sz="4" w:space="0" w:color="auto"/>
              <w:left w:val="nil"/>
              <w:bottom w:val="nil"/>
              <w:right w:val="nil"/>
            </w:tcBorders>
          </w:tcPr>
          <w:p w:rsidR="00944F04" w:rsidRPr="00481073" w:rsidRDefault="00944F04" w:rsidP="0050371B">
            <w:pPr>
              <w:rPr>
                <w:rFonts w:cs="Arial"/>
                <w:szCs w:val="20"/>
                <w:lang w:val="en-US"/>
              </w:rPr>
            </w:pPr>
            <w:r>
              <w:rPr>
                <w:rFonts w:cs="Arial"/>
                <w:szCs w:val="20"/>
                <w:lang w:val="en-US"/>
              </w:rPr>
              <w:t>[5.8]</w:t>
            </w:r>
          </w:p>
        </w:tc>
        <w:tc>
          <w:tcPr>
            <w:tcW w:w="815" w:type="dxa"/>
            <w:tcBorders>
              <w:top w:val="single" w:sz="4" w:space="0" w:color="auto"/>
              <w:left w:val="nil"/>
              <w:bottom w:val="nil"/>
              <w:right w:val="nil"/>
            </w:tcBorders>
          </w:tcPr>
          <w:p w:rsidR="00944F04" w:rsidRPr="00481073" w:rsidRDefault="00944F04" w:rsidP="0050371B">
            <w:pPr>
              <w:rPr>
                <w:rFonts w:cs="Arial"/>
                <w:szCs w:val="20"/>
                <w:lang w:val="en-US"/>
              </w:rPr>
            </w:pPr>
            <w:r>
              <w:rPr>
                <w:rFonts w:cs="Arial"/>
                <w:szCs w:val="20"/>
                <w:lang w:val="en-US"/>
              </w:rPr>
              <w:t>75.6</w:t>
            </w:r>
          </w:p>
        </w:tc>
        <w:tc>
          <w:tcPr>
            <w:tcW w:w="673" w:type="dxa"/>
            <w:tcBorders>
              <w:top w:val="single" w:sz="4" w:space="0" w:color="auto"/>
              <w:left w:val="nil"/>
              <w:bottom w:val="nil"/>
              <w:right w:val="nil"/>
            </w:tcBorders>
          </w:tcPr>
          <w:p w:rsidR="00944F04" w:rsidRPr="00481073" w:rsidRDefault="00944F04" w:rsidP="0050371B">
            <w:pPr>
              <w:rPr>
                <w:rFonts w:cs="Arial"/>
                <w:szCs w:val="20"/>
                <w:lang w:val="en-US"/>
              </w:rPr>
            </w:pPr>
            <w:r>
              <w:rPr>
                <w:rFonts w:cs="Arial"/>
                <w:szCs w:val="20"/>
                <w:lang w:val="en-US"/>
              </w:rPr>
              <w:t>[6.1]</w:t>
            </w:r>
          </w:p>
        </w:tc>
      </w:tr>
      <w:tr w:rsidR="00944F04" w:rsidRPr="00702578" w:rsidTr="0050371B">
        <w:trPr>
          <w:trHeight w:val="197"/>
        </w:trPr>
        <w:tc>
          <w:tcPr>
            <w:tcW w:w="3969" w:type="dxa"/>
            <w:tcBorders>
              <w:top w:val="nil"/>
              <w:left w:val="nil"/>
              <w:bottom w:val="nil"/>
              <w:right w:val="nil"/>
            </w:tcBorders>
            <w:noWrap/>
            <w:vAlign w:val="bottom"/>
          </w:tcPr>
          <w:p w:rsidR="00944F04" w:rsidRPr="00481073" w:rsidRDefault="00944F04" w:rsidP="0050371B">
            <w:pPr>
              <w:rPr>
                <w:rFonts w:cs="Arial"/>
                <w:szCs w:val="20"/>
                <w:lang w:val="en-US"/>
              </w:rPr>
            </w:pPr>
            <w:r w:rsidRPr="00481073">
              <w:rPr>
                <w:rFonts w:cs="Arial"/>
                <w:szCs w:val="20"/>
                <w:lang w:val="en-US"/>
              </w:rPr>
              <w:t>Sex (% females)</w:t>
            </w:r>
          </w:p>
        </w:tc>
        <w:tc>
          <w:tcPr>
            <w:tcW w:w="567" w:type="dxa"/>
            <w:tcBorders>
              <w:top w:val="nil"/>
              <w:left w:val="nil"/>
              <w:bottom w:val="nil"/>
              <w:right w:val="nil"/>
            </w:tcBorders>
          </w:tcPr>
          <w:p w:rsidR="00944F04" w:rsidRPr="00481073" w:rsidRDefault="00944F04" w:rsidP="0050371B">
            <w:pPr>
              <w:jc w:val="right"/>
              <w:rPr>
                <w:rFonts w:cs="Arial"/>
                <w:szCs w:val="20"/>
                <w:lang w:val="en-US"/>
              </w:rPr>
            </w:pPr>
            <w:r w:rsidRPr="00481073">
              <w:rPr>
                <w:rFonts w:cs="Arial"/>
                <w:szCs w:val="20"/>
                <w:lang w:val="en-US"/>
              </w:rPr>
              <w:t>37.3</w:t>
            </w:r>
          </w:p>
        </w:tc>
        <w:tc>
          <w:tcPr>
            <w:tcW w:w="709" w:type="dxa"/>
            <w:tcBorders>
              <w:top w:val="nil"/>
              <w:left w:val="nil"/>
              <w:bottom w:val="nil"/>
              <w:right w:val="nil"/>
            </w:tcBorders>
          </w:tcPr>
          <w:p w:rsidR="00944F04" w:rsidRPr="00481073" w:rsidRDefault="00944F04" w:rsidP="0050371B">
            <w:pPr>
              <w:rPr>
                <w:rFonts w:cs="Arial"/>
                <w:szCs w:val="20"/>
                <w:lang w:val="en-US"/>
              </w:rPr>
            </w:pPr>
          </w:p>
        </w:tc>
        <w:tc>
          <w:tcPr>
            <w:tcW w:w="567" w:type="dxa"/>
            <w:tcBorders>
              <w:top w:val="nil"/>
              <w:left w:val="nil"/>
              <w:bottom w:val="nil"/>
              <w:right w:val="nil"/>
            </w:tcBorders>
            <w:noWrap/>
          </w:tcPr>
          <w:p w:rsidR="00944F04" w:rsidRPr="00481073" w:rsidRDefault="00944F04" w:rsidP="0050371B">
            <w:pPr>
              <w:jc w:val="right"/>
              <w:rPr>
                <w:rFonts w:cs="Arial"/>
                <w:szCs w:val="20"/>
                <w:lang w:val="en-US"/>
              </w:rPr>
            </w:pPr>
            <w:r w:rsidRPr="00481073">
              <w:rPr>
                <w:rFonts w:cs="Arial"/>
                <w:szCs w:val="20"/>
                <w:lang w:val="en-US"/>
              </w:rPr>
              <w:t>38.7</w:t>
            </w:r>
          </w:p>
        </w:tc>
        <w:tc>
          <w:tcPr>
            <w:tcW w:w="992" w:type="dxa"/>
            <w:tcBorders>
              <w:top w:val="nil"/>
              <w:left w:val="nil"/>
              <w:bottom w:val="nil"/>
              <w:right w:val="nil"/>
            </w:tcBorders>
            <w:noWrap/>
          </w:tcPr>
          <w:p w:rsidR="00944F04" w:rsidRPr="00481073" w:rsidRDefault="00944F04" w:rsidP="0050371B">
            <w:pPr>
              <w:rPr>
                <w:rFonts w:cs="Arial"/>
                <w:szCs w:val="20"/>
                <w:lang w:val="en-US"/>
              </w:rPr>
            </w:pPr>
          </w:p>
        </w:tc>
        <w:tc>
          <w:tcPr>
            <w:tcW w:w="815" w:type="dxa"/>
            <w:tcBorders>
              <w:top w:val="nil"/>
              <w:left w:val="nil"/>
              <w:bottom w:val="nil"/>
              <w:right w:val="nil"/>
            </w:tcBorders>
          </w:tcPr>
          <w:p w:rsidR="00944F04" w:rsidRPr="00481073" w:rsidRDefault="00944F04" w:rsidP="0050371B">
            <w:pPr>
              <w:rPr>
                <w:rFonts w:cs="Arial"/>
                <w:szCs w:val="20"/>
                <w:lang w:val="en-US"/>
              </w:rPr>
            </w:pPr>
            <w:r>
              <w:rPr>
                <w:rFonts w:cs="Arial"/>
                <w:szCs w:val="20"/>
                <w:lang w:val="en-US"/>
              </w:rPr>
              <w:t>35.1</w:t>
            </w:r>
          </w:p>
        </w:tc>
        <w:tc>
          <w:tcPr>
            <w:tcW w:w="815" w:type="dxa"/>
            <w:tcBorders>
              <w:top w:val="nil"/>
              <w:left w:val="nil"/>
              <w:bottom w:val="nil"/>
              <w:right w:val="nil"/>
            </w:tcBorders>
          </w:tcPr>
          <w:p w:rsidR="00944F04" w:rsidRPr="00481073" w:rsidRDefault="00944F04" w:rsidP="0050371B">
            <w:pPr>
              <w:rPr>
                <w:rFonts w:cs="Arial"/>
                <w:szCs w:val="20"/>
                <w:lang w:val="en-US"/>
              </w:rPr>
            </w:pPr>
          </w:p>
        </w:tc>
        <w:tc>
          <w:tcPr>
            <w:tcW w:w="815" w:type="dxa"/>
            <w:tcBorders>
              <w:top w:val="nil"/>
              <w:left w:val="nil"/>
              <w:bottom w:val="nil"/>
              <w:right w:val="nil"/>
            </w:tcBorders>
          </w:tcPr>
          <w:p w:rsidR="00944F04" w:rsidRPr="00481073" w:rsidRDefault="00944F04" w:rsidP="0050371B">
            <w:pPr>
              <w:rPr>
                <w:rFonts w:cs="Arial"/>
                <w:szCs w:val="20"/>
                <w:lang w:val="en-US"/>
              </w:rPr>
            </w:pPr>
            <w:r>
              <w:rPr>
                <w:rFonts w:cs="Arial"/>
                <w:szCs w:val="20"/>
                <w:lang w:val="en-US"/>
              </w:rPr>
              <w:t>38.4</w:t>
            </w:r>
          </w:p>
        </w:tc>
        <w:tc>
          <w:tcPr>
            <w:tcW w:w="673" w:type="dxa"/>
            <w:tcBorders>
              <w:top w:val="nil"/>
              <w:left w:val="nil"/>
              <w:bottom w:val="nil"/>
              <w:right w:val="nil"/>
            </w:tcBorders>
          </w:tcPr>
          <w:p w:rsidR="00944F04" w:rsidRPr="00481073" w:rsidRDefault="00944F04" w:rsidP="0050371B">
            <w:pPr>
              <w:rPr>
                <w:rFonts w:cs="Arial"/>
                <w:szCs w:val="20"/>
                <w:lang w:val="en-US"/>
              </w:rPr>
            </w:pPr>
          </w:p>
        </w:tc>
      </w:tr>
      <w:tr w:rsidR="00944F04" w:rsidRPr="00481073" w:rsidTr="0050371B">
        <w:trPr>
          <w:trHeight w:val="197"/>
        </w:trPr>
        <w:tc>
          <w:tcPr>
            <w:tcW w:w="3969" w:type="dxa"/>
            <w:tcBorders>
              <w:top w:val="nil"/>
              <w:left w:val="nil"/>
              <w:bottom w:val="nil"/>
              <w:right w:val="nil"/>
            </w:tcBorders>
            <w:noWrap/>
            <w:vAlign w:val="bottom"/>
          </w:tcPr>
          <w:p w:rsidR="00944F04" w:rsidRPr="00481073" w:rsidRDefault="00944F04" w:rsidP="0050371B">
            <w:pPr>
              <w:rPr>
                <w:rFonts w:cs="Arial"/>
                <w:szCs w:val="20"/>
                <w:lang w:val="en-US"/>
              </w:rPr>
            </w:pPr>
            <w:r w:rsidRPr="00481073">
              <w:rPr>
                <w:rFonts w:cs="Arial"/>
                <w:szCs w:val="20"/>
                <w:lang w:val="en-US"/>
              </w:rPr>
              <w:t>No comorbidity (neither diabetes nor chronic heart failure)</w:t>
            </w:r>
            <w:r>
              <w:rPr>
                <w:rFonts w:cs="Arial"/>
                <w:szCs w:val="20"/>
                <w:lang w:val="en-US"/>
              </w:rPr>
              <w:t xml:space="preserve"> (%)</w:t>
            </w:r>
          </w:p>
        </w:tc>
        <w:tc>
          <w:tcPr>
            <w:tcW w:w="567" w:type="dxa"/>
            <w:tcBorders>
              <w:top w:val="nil"/>
              <w:left w:val="nil"/>
              <w:bottom w:val="nil"/>
              <w:right w:val="nil"/>
            </w:tcBorders>
          </w:tcPr>
          <w:p w:rsidR="00944F04" w:rsidRPr="00481073" w:rsidRDefault="00944F04" w:rsidP="0050371B">
            <w:pPr>
              <w:jc w:val="right"/>
              <w:rPr>
                <w:rFonts w:cs="Arial"/>
                <w:szCs w:val="20"/>
                <w:lang w:val="en-US"/>
              </w:rPr>
            </w:pPr>
            <w:r w:rsidRPr="00481073">
              <w:rPr>
                <w:rFonts w:cs="Arial"/>
                <w:szCs w:val="20"/>
                <w:lang w:val="en-US"/>
              </w:rPr>
              <w:t>54.7</w:t>
            </w:r>
          </w:p>
        </w:tc>
        <w:tc>
          <w:tcPr>
            <w:tcW w:w="709" w:type="dxa"/>
            <w:tcBorders>
              <w:top w:val="nil"/>
              <w:left w:val="nil"/>
              <w:bottom w:val="nil"/>
              <w:right w:val="nil"/>
            </w:tcBorders>
          </w:tcPr>
          <w:p w:rsidR="00944F04" w:rsidRPr="00481073" w:rsidRDefault="00944F04" w:rsidP="0050371B">
            <w:pPr>
              <w:rPr>
                <w:rFonts w:cs="Arial"/>
                <w:szCs w:val="20"/>
                <w:lang w:val="en-US"/>
              </w:rPr>
            </w:pPr>
          </w:p>
        </w:tc>
        <w:tc>
          <w:tcPr>
            <w:tcW w:w="567" w:type="dxa"/>
            <w:tcBorders>
              <w:top w:val="nil"/>
              <w:left w:val="nil"/>
              <w:bottom w:val="nil"/>
              <w:right w:val="nil"/>
            </w:tcBorders>
            <w:noWrap/>
          </w:tcPr>
          <w:p w:rsidR="00944F04" w:rsidRPr="00481073" w:rsidRDefault="00944F04" w:rsidP="0050371B">
            <w:pPr>
              <w:jc w:val="right"/>
              <w:rPr>
                <w:rFonts w:cs="Arial"/>
                <w:szCs w:val="20"/>
                <w:lang w:val="en-US"/>
              </w:rPr>
            </w:pPr>
            <w:r w:rsidRPr="00481073">
              <w:rPr>
                <w:rFonts w:cs="Arial"/>
                <w:szCs w:val="20"/>
                <w:lang w:val="en-US"/>
              </w:rPr>
              <w:t>51.2</w:t>
            </w:r>
          </w:p>
        </w:tc>
        <w:tc>
          <w:tcPr>
            <w:tcW w:w="992" w:type="dxa"/>
            <w:tcBorders>
              <w:top w:val="nil"/>
              <w:left w:val="nil"/>
              <w:bottom w:val="nil"/>
              <w:right w:val="nil"/>
            </w:tcBorders>
            <w:noWrap/>
          </w:tcPr>
          <w:p w:rsidR="00944F04" w:rsidRPr="00481073" w:rsidRDefault="00944F04" w:rsidP="0050371B">
            <w:pPr>
              <w:rPr>
                <w:rFonts w:cs="Arial"/>
                <w:szCs w:val="20"/>
                <w:lang w:val="en-US"/>
              </w:rPr>
            </w:pPr>
          </w:p>
        </w:tc>
        <w:tc>
          <w:tcPr>
            <w:tcW w:w="815" w:type="dxa"/>
            <w:tcBorders>
              <w:top w:val="nil"/>
              <w:left w:val="nil"/>
              <w:bottom w:val="nil"/>
              <w:right w:val="nil"/>
            </w:tcBorders>
          </w:tcPr>
          <w:p w:rsidR="00944F04" w:rsidRPr="00481073" w:rsidRDefault="00944F04" w:rsidP="0050371B">
            <w:pPr>
              <w:rPr>
                <w:rFonts w:cs="Arial"/>
                <w:szCs w:val="20"/>
                <w:lang w:val="en-US"/>
              </w:rPr>
            </w:pPr>
            <w:r>
              <w:rPr>
                <w:rFonts w:cs="Arial"/>
                <w:szCs w:val="20"/>
                <w:lang w:val="en-US"/>
              </w:rPr>
              <w:t>53.4</w:t>
            </w:r>
          </w:p>
        </w:tc>
        <w:tc>
          <w:tcPr>
            <w:tcW w:w="815" w:type="dxa"/>
            <w:tcBorders>
              <w:top w:val="nil"/>
              <w:left w:val="nil"/>
              <w:bottom w:val="nil"/>
              <w:right w:val="nil"/>
            </w:tcBorders>
          </w:tcPr>
          <w:p w:rsidR="00944F04" w:rsidRPr="00481073" w:rsidRDefault="00944F04" w:rsidP="0050371B">
            <w:pPr>
              <w:rPr>
                <w:rFonts w:cs="Arial"/>
                <w:szCs w:val="20"/>
                <w:lang w:val="en-US"/>
              </w:rPr>
            </w:pPr>
          </w:p>
        </w:tc>
        <w:tc>
          <w:tcPr>
            <w:tcW w:w="815" w:type="dxa"/>
            <w:tcBorders>
              <w:top w:val="nil"/>
              <w:left w:val="nil"/>
              <w:bottom w:val="nil"/>
              <w:right w:val="nil"/>
            </w:tcBorders>
          </w:tcPr>
          <w:p w:rsidR="00944F04" w:rsidRPr="00481073" w:rsidRDefault="00944F04" w:rsidP="0050371B">
            <w:pPr>
              <w:rPr>
                <w:rFonts w:cs="Arial"/>
                <w:szCs w:val="20"/>
                <w:lang w:val="en-US"/>
              </w:rPr>
            </w:pPr>
            <w:r>
              <w:rPr>
                <w:rFonts w:cs="Arial"/>
                <w:szCs w:val="20"/>
                <w:lang w:val="en-US"/>
              </w:rPr>
              <w:t>51.5</w:t>
            </w:r>
          </w:p>
        </w:tc>
        <w:tc>
          <w:tcPr>
            <w:tcW w:w="673" w:type="dxa"/>
            <w:tcBorders>
              <w:top w:val="nil"/>
              <w:left w:val="nil"/>
              <w:bottom w:val="nil"/>
              <w:right w:val="nil"/>
            </w:tcBorders>
          </w:tcPr>
          <w:p w:rsidR="00944F04" w:rsidRPr="00481073" w:rsidRDefault="00944F04" w:rsidP="0050371B">
            <w:pPr>
              <w:rPr>
                <w:rFonts w:cs="Arial"/>
                <w:szCs w:val="20"/>
                <w:lang w:val="en-US"/>
              </w:rPr>
            </w:pPr>
          </w:p>
        </w:tc>
      </w:tr>
      <w:tr w:rsidR="00944F04" w:rsidRPr="00481073" w:rsidTr="0050371B">
        <w:trPr>
          <w:trHeight w:val="197"/>
        </w:trPr>
        <w:tc>
          <w:tcPr>
            <w:tcW w:w="3969" w:type="dxa"/>
            <w:tcBorders>
              <w:top w:val="nil"/>
              <w:left w:val="nil"/>
              <w:right w:val="nil"/>
            </w:tcBorders>
            <w:noWrap/>
            <w:vAlign w:val="bottom"/>
          </w:tcPr>
          <w:p w:rsidR="00944F04" w:rsidRPr="00481073" w:rsidRDefault="00944F04" w:rsidP="0050371B">
            <w:pPr>
              <w:rPr>
                <w:rFonts w:cs="Arial"/>
                <w:szCs w:val="20"/>
                <w:lang w:val="en-GB"/>
              </w:rPr>
            </w:pPr>
            <w:r w:rsidRPr="00481073">
              <w:rPr>
                <w:rFonts w:cs="Arial"/>
                <w:szCs w:val="20"/>
                <w:lang w:val="en-GB"/>
              </w:rPr>
              <w:t>One comorbidity (diabetes or chronic heart failure)</w:t>
            </w:r>
            <w:r>
              <w:rPr>
                <w:rFonts w:cs="Arial"/>
                <w:szCs w:val="20"/>
                <w:lang w:val="en-GB"/>
              </w:rPr>
              <w:t xml:space="preserve"> </w:t>
            </w:r>
            <w:r>
              <w:rPr>
                <w:rFonts w:cs="Arial"/>
                <w:szCs w:val="20"/>
                <w:lang w:val="en-US"/>
              </w:rPr>
              <w:t>(%)</w:t>
            </w:r>
          </w:p>
        </w:tc>
        <w:tc>
          <w:tcPr>
            <w:tcW w:w="567" w:type="dxa"/>
            <w:tcBorders>
              <w:top w:val="nil"/>
              <w:left w:val="nil"/>
              <w:right w:val="nil"/>
            </w:tcBorders>
          </w:tcPr>
          <w:p w:rsidR="00944F04" w:rsidRPr="00481073" w:rsidRDefault="00944F04" w:rsidP="0050371B">
            <w:pPr>
              <w:jc w:val="right"/>
              <w:rPr>
                <w:rFonts w:cs="Arial"/>
                <w:szCs w:val="20"/>
                <w:lang w:val="en-US"/>
              </w:rPr>
            </w:pPr>
            <w:r w:rsidRPr="00481073">
              <w:rPr>
                <w:rFonts w:cs="Arial"/>
                <w:szCs w:val="20"/>
                <w:lang w:val="en-US"/>
              </w:rPr>
              <w:t>32.9</w:t>
            </w:r>
          </w:p>
        </w:tc>
        <w:tc>
          <w:tcPr>
            <w:tcW w:w="709" w:type="dxa"/>
            <w:tcBorders>
              <w:top w:val="nil"/>
              <w:left w:val="nil"/>
              <w:right w:val="nil"/>
            </w:tcBorders>
          </w:tcPr>
          <w:p w:rsidR="00944F04" w:rsidRPr="00481073" w:rsidRDefault="00944F04" w:rsidP="0050371B">
            <w:pPr>
              <w:rPr>
                <w:rFonts w:cs="Arial"/>
                <w:szCs w:val="20"/>
                <w:lang w:val="en-US"/>
              </w:rPr>
            </w:pPr>
          </w:p>
        </w:tc>
        <w:tc>
          <w:tcPr>
            <w:tcW w:w="567" w:type="dxa"/>
            <w:tcBorders>
              <w:top w:val="nil"/>
              <w:left w:val="nil"/>
              <w:right w:val="nil"/>
            </w:tcBorders>
            <w:noWrap/>
          </w:tcPr>
          <w:p w:rsidR="00944F04" w:rsidRPr="00481073" w:rsidRDefault="00944F04" w:rsidP="0050371B">
            <w:pPr>
              <w:jc w:val="right"/>
              <w:rPr>
                <w:rFonts w:cs="Arial"/>
                <w:szCs w:val="20"/>
                <w:lang w:val="en-US"/>
              </w:rPr>
            </w:pPr>
            <w:r w:rsidRPr="00481073">
              <w:rPr>
                <w:rFonts w:cs="Arial"/>
                <w:szCs w:val="20"/>
                <w:lang w:val="en-US"/>
              </w:rPr>
              <w:t>33.3</w:t>
            </w:r>
          </w:p>
        </w:tc>
        <w:tc>
          <w:tcPr>
            <w:tcW w:w="992" w:type="dxa"/>
            <w:tcBorders>
              <w:top w:val="nil"/>
              <w:left w:val="nil"/>
              <w:right w:val="nil"/>
            </w:tcBorders>
            <w:noWrap/>
          </w:tcPr>
          <w:p w:rsidR="00944F04" w:rsidRPr="00481073" w:rsidRDefault="00944F04" w:rsidP="0050371B">
            <w:pPr>
              <w:rPr>
                <w:rFonts w:cs="Arial"/>
                <w:szCs w:val="20"/>
                <w:lang w:val="en-US"/>
              </w:rPr>
            </w:pPr>
          </w:p>
        </w:tc>
        <w:tc>
          <w:tcPr>
            <w:tcW w:w="815" w:type="dxa"/>
            <w:tcBorders>
              <w:top w:val="nil"/>
              <w:left w:val="nil"/>
              <w:right w:val="nil"/>
            </w:tcBorders>
          </w:tcPr>
          <w:p w:rsidR="00944F04" w:rsidRPr="00481073" w:rsidRDefault="00944F04" w:rsidP="0050371B">
            <w:pPr>
              <w:rPr>
                <w:rFonts w:cs="Arial"/>
                <w:szCs w:val="20"/>
                <w:lang w:val="en-US"/>
              </w:rPr>
            </w:pPr>
            <w:r>
              <w:rPr>
                <w:rFonts w:cs="Arial"/>
                <w:szCs w:val="20"/>
                <w:lang w:val="en-US"/>
              </w:rPr>
              <w:t>35.1</w:t>
            </w:r>
          </w:p>
        </w:tc>
        <w:tc>
          <w:tcPr>
            <w:tcW w:w="815" w:type="dxa"/>
            <w:tcBorders>
              <w:top w:val="nil"/>
              <w:left w:val="nil"/>
              <w:right w:val="nil"/>
            </w:tcBorders>
          </w:tcPr>
          <w:p w:rsidR="00944F04" w:rsidRPr="00481073" w:rsidRDefault="00944F04" w:rsidP="0050371B">
            <w:pPr>
              <w:rPr>
                <w:rFonts w:cs="Arial"/>
                <w:szCs w:val="20"/>
                <w:lang w:val="en-US"/>
              </w:rPr>
            </w:pPr>
          </w:p>
        </w:tc>
        <w:tc>
          <w:tcPr>
            <w:tcW w:w="815" w:type="dxa"/>
            <w:tcBorders>
              <w:top w:val="nil"/>
              <w:left w:val="nil"/>
              <w:right w:val="nil"/>
            </w:tcBorders>
          </w:tcPr>
          <w:p w:rsidR="00944F04" w:rsidRPr="00481073" w:rsidRDefault="00944F04" w:rsidP="0050371B">
            <w:pPr>
              <w:rPr>
                <w:rFonts w:cs="Arial"/>
                <w:szCs w:val="20"/>
                <w:lang w:val="en-US"/>
              </w:rPr>
            </w:pPr>
            <w:r>
              <w:rPr>
                <w:rFonts w:cs="Arial"/>
                <w:szCs w:val="20"/>
                <w:lang w:val="en-US"/>
              </w:rPr>
              <w:t>32.6</w:t>
            </w:r>
          </w:p>
        </w:tc>
        <w:tc>
          <w:tcPr>
            <w:tcW w:w="673" w:type="dxa"/>
            <w:tcBorders>
              <w:top w:val="nil"/>
              <w:left w:val="nil"/>
              <w:right w:val="nil"/>
            </w:tcBorders>
          </w:tcPr>
          <w:p w:rsidR="00944F04" w:rsidRPr="00481073" w:rsidRDefault="00944F04" w:rsidP="0050371B">
            <w:pPr>
              <w:rPr>
                <w:rFonts w:cs="Arial"/>
                <w:szCs w:val="20"/>
                <w:lang w:val="en-US"/>
              </w:rPr>
            </w:pPr>
          </w:p>
        </w:tc>
      </w:tr>
      <w:tr w:rsidR="00944F04" w:rsidRPr="00481073" w:rsidTr="0050371B">
        <w:trPr>
          <w:trHeight w:val="197"/>
        </w:trPr>
        <w:tc>
          <w:tcPr>
            <w:tcW w:w="3969" w:type="dxa"/>
            <w:tcBorders>
              <w:top w:val="nil"/>
              <w:left w:val="nil"/>
              <w:bottom w:val="nil"/>
              <w:right w:val="nil"/>
            </w:tcBorders>
            <w:noWrap/>
            <w:vAlign w:val="bottom"/>
          </w:tcPr>
          <w:p w:rsidR="00944F04" w:rsidRPr="00481073" w:rsidRDefault="00944F04" w:rsidP="0050371B">
            <w:pPr>
              <w:rPr>
                <w:rFonts w:cs="Arial"/>
                <w:szCs w:val="20"/>
                <w:lang w:val="en-US"/>
              </w:rPr>
            </w:pPr>
            <w:r w:rsidRPr="00481073">
              <w:rPr>
                <w:rFonts w:cs="Arial"/>
                <w:szCs w:val="20"/>
                <w:lang w:val="en-US"/>
              </w:rPr>
              <w:t>Two comorbidities (diabetes and chronic heart failure)</w:t>
            </w:r>
            <w:r>
              <w:rPr>
                <w:rFonts w:cs="Arial"/>
                <w:szCs w:val="20"/>
                <w:lang w:val="en-US"/>
              </w:rPr>
              <w:t xml:space="preserve"> (%)</w:t>
            </w:r>
          </w:p>
        </w:tc>
        <w:tc>
          <w:tcPr>
            <w:tcW w:w="567" w:type="dxa"/>
            <w:tcBorders>
              <w:top w:val="nil"/>
              <w:left w:val="nil"/>
              <w:bottom w:val="nil"/>
              <w:right w:val="nil"/>
            </w:tcBorders>
          </w:tcPr>
          <w:p w:rsidR="00944F04" w:rsidRPr="00481073" w:rsidRDefault="00944F04" w:rsidP="0050371B">
            <w:pPr>
              <w:jc w:val="right"/>
              <w:rPr>
                <w:rFonts w:cs="Arial"/>
                <w:szCs w:val="20"/>
                <w:lang w:val="en-US"/>
              </w:rPr>
            </w:pPr>
            <w:r w:rsidRPr="00481073">
              <w:rPr>
                <w:rFonts w:cs="Arial"/>
                <w:szCs w:val="20"/>
                <w:lang w:val="en-US"/>
              </w:rPr>
              <w:t>12.4</w:t>
            </w:r>
          </w:p>
        </w:tc>
        <w:tc>
          <w:tcPr>
            <w:tcW w:w="709" w:type="dxa"/>
            <w:tcBorders>
              <w:top w:val="nil"/>
              <w:left w:val="nil"/>
              <w:bottom w:val="nil"/>
              <w:right w:val="nil"/>
            </w:tcBorders>
          </w:tcPr>
          <w:p w:rsidR="00944F04" w:rsidRPr="00481073" w:rsidRDefault="00944F04" w:rsidP="0050371B">
            <w:pPr>
              <w:rPr>
                <w:rFonts w:cs="Arial"/>
                <w:szCs w:val="20"/>
                <w:lang w:val="en-US"/>
              </w:rPr>
            </w:pPr>
          </w:p>
        </w:tc>
        <w:tc>
          <w:tcPr>
            <w:tcW w:w="567" w:type="dxa"/>
            <w:tcBorders>
              <w:top w:val="nil"/>
              <w:left w:val="nil"/>
              <w:bottom w:val="nil"/>
              <w:right w:val="nil"/>
            </w:tcBorders>
            <w:noWrap/>
          </w:tcPr>
          <w:p w:rsidR="00944F04" w:rsidRPr="00481073" w:rsidRDefault="00944F04" w:rsidP="0050371B">
            <w:pPr>
              <w:jc w:val="right"/>
              <w:rPr>
                <w:rFonts w:cs="Arial"/>
                <w:szCs w:val="20"/>
                <w:lang w:val="en-US"/>
              </w:rPr>
            </w:pPr>
            <w:r w:rsidRPr="00481073">
              <w:rPr>
                <w:rFonts w:cs="Arial"/>
                <w:szCs w:val="20"/>
                <w:lang w:val="en-US"/>
              </w:rPr>
              <w:t>15.5</w:t>
            </w:r>
          </w:p>
        </w:tc>
        <w:tc>
          <w:tcPr>
            <w:tcW w:w="992" w:type="dxa"/>
            <w:tcBorders>
              <w:top w:val="nil"/>
              <w:left w:val="nil"/>
              <w:bottom w:val="nil"/>
              <w:right w:val="nil"/>
            </w:tcBorders>
            <w:noWrap/>
          </w:tcPr>
          <w:p w:rsidR="00944F04" w:rsidRPr="00481073" w:rsidRDefault="00944F04" w:rsidP="0050371B">
            <w:pPr>
              <w:rPr>
                <w:rFonts w:cs="Arial"/>
                <w:szCs w:val="20"/>
                <w:lang w:val="en-US"/>
              </w:rPr>
            </w:pPr>
          </w:p>
        </w:tc>
        <w:tc>
          <w:tcPr>
            <w:tcW w:w="815" w:type="dxa"/>
            <w:tcBorders>
              <w:top w:val="nil"/>
              <w:left w:val="nil"/>
              <w:bottom w:val="nil"/>
              <w:right w:val="nil"/>
            </w:tcBorders>
          </w:tcPr>
          <w:p w:rsidR="00944F04" w:rsidRPr="00481073" w:rsidRDefault="00944F04" w:rsidP="0050371B">
            <w:pPr>
              <w:rPr>
                <w:rFonts w:cs="Arial"/>
                <w:szCs w:val="20"/>
                <w:lang w:val="en-US"/>
              </w:rPr>
            </w:pPr>
            <w:r>
              <w:rPr>
                <w:rFonts w:cs="Arial"/>
                <w:szCs w:val="20"/>
                <w:lang w:val="en-US"/>
              </w:rPr>
              <w:t>11.5</w:t>
            </w:r>
          </w:p>
        </w:tc>
        <w:tc>
          <w:tcPr>
            <w:tcW w:w="815" w:type="dxa"/>
            <w:tcBorders>
              <w:top w:val="nil"/>
              <w:left w:val="nil"/>
              <w:bottom w:val="nil"/>
              <w:right w:val="nil"/>
            </w:tcBorders>
          </w:tcPr>
          <w:p w:rsidR="00944F04" w:rsidRPr="00481073" w:rsidRDefault="00944F04" w:rsidP="0050371B">
            <w:pPr>
              <w:rPr>
                <w:rFonts w:cs="Arial"/>
                <w:szCs w:val="20"/>
                <w:lang w:val="en-US"/>
              </w:rPr>
            </w:pPr>
          </w:p>
        </w:tc>
        <w:tc>
          <w:tcPr>
            <w:tcW w:w="815" w:type="dxa"/>
            <w:tcBorders>
              <w:top w:val="nil"/>
              <w:left w:val="nil"/>
              <w:bottom w:val="nil"/>
              <w:right w:val="nil"/>
            </w:tcBorders>
          </w:tcPr>
          <w:p w:rsidR="00944F04" w:rsidRPr="00481073" w:rsidRDefault="00944F04" w:rsidP="0050371B">
            <w:pPr>
              <w:rPr>
                <w:rFonts w:cs="Arial"/>
                <w:szCs w:val="20"/>
                <w:lang w:val="en-US"/>
              </w:rPr>
            </w:pPr>
            <w:r>
              <w:rPr>
                <w:rFonts w:cs="Arial"/>
                <w:szCs w:val="20"/>
                <w:lang w:val="en-US"/>
              </w:rPr>
              <w:t>15.9</w:t>
            </w:r>
          </w:p>
        </w:tc>
        <w:tc>
          <w:tcPr>
            <w:tcW w:w="673" w:type="dxa"/>
            <w:tcBorders>
              <w:top w:val="nil"/>
              <w:left w:val="nil"/>
              <w:bottom w:val="nil"/>
              <w:right w:val="nil"/>
            </w:tcBorders>
          </w:tcPr>
          <w:p w:rsidR="00944F04" w:rsidRPr="00481073" w:rsidRDefault="00944F04" w:rsidP="0050371B">
            <w:pPr>
              <w:rPr>
                <w:rFonts w:cs="Arial"/>
                <w:szCs w:val="20"/>
                <w:lang w:val="en-US"/>
              </w:rPr>
            </w:pPr>
          </w:p>
        </w:tc>
      </w:tr>
      <w:tr w:rsidR="00944F04" w:rsidRPr="00481073" w:rsidTr="0050371B">
        <w:trPr>
          <w:trHeight w:val="197"/>
        </w:trPr>
        <w:tc>
          <w:tcPr>
            <w:tcW w:w="3969" w:type="dxa"/>
            <w:tcBorders>
              <w:top w:val="nil"/>
              <w:left w:val="nil"/>
              <w:bottom w:val="nil"/>
              <w:right w:val="nil"/>
            </w:tcBorders>
            <w:noWrap/>
            <w:vAlign w:val="bottom"/>
          </w:tcPr>
          <w:p w:rsidR="00944F04" w:rsidRPr="00481073" w:rsidRDefault="00944F04" w:rsidP="0050371B">
            <w:pPr>
              <w:rPr>
                <w:rFonts w:cs="Arial"/>
                <w:szCs w:val="20"/>
                <w:lang w:val="en-US"/>
              </w:rPr>
            </w:pPr>
            <w:r w:rsidRPr="00481073">
              <w:rPr>
                <w:rFonts w:cs="Arial"/>
                <w:szCs w:val="20"/>
                <w:lang w:val="en-US"/>
              </w:rPr>
              <w:t>Living alone (%)</w:t>
            </w:r>
          </w:p>
        </w:tc>
        <w:tc>
          <w:tcPr>
            <w:tcW w:w="567" w:type="dxa"/>
            <w:tcBorders>
              <w:top w:val="nil"/>
              <w:left w:val="nil"/>
              <w:bottom w:val="nil"/>
              <w:right w:val="nil"/>
            </w:tcBorders>
          </w:tcPr>
          <w:p w:rsidR="00944F04" w:rsidRPr="00481073" w:rsidRDefault="00944F04" w:rsidP="0050371B">
            <w:pPr>
              <w:jc w:val="right"/>
              <w:rPr>
                <w:rFonts w:cs="Arial"/>
                <w:szCs w:val="20"/>
                <w:lang w:val="en-US"/>
              </w:rPr>
            </w:pPr>
            <w:r>
              <w:rPr>
                <w:rFonts w:cs="Arial"/>
                <w:szCs w:val="20"/>
                <w:lang w:val="en-US"/>
              </w:rPr>
              <w:t>27.9</w:t>
            </w:r>
          </w:p>
        </w:tc>
        <w:tc>
          <w:tcPr>
            <w:tcW w:w="709" w:type="dxa"/>
            <w:tcBorders>
              <w:top w:val="nil"/>
              <w:left w:val="nil"/>
              <w:bottom w:val="nil"/>
              <w:right w:val="nil"/>
            </w:tcBorders>
          </w:tcPr>
          <w:p w:rsidR="00944F04" w:rsidRPr="00481073" w:rsidRDefault="00944F04" w:rsidP="0050371B">
            <w:pPr>
              <w:rPr>
                <w:rFonts w:cs="Arial"/>
                <w:szCs w:val="20"/>
                <w:lang w:val="en-US"/>
              </w:rPr>
            </w:pPr>
          </w:p>
        </w:tc>
        <w:tc>
          <w:tcPr>
            <w:tcW w:w="567" w:type="dxa"/>
            <w:tcBorders>
              <w:top w:val="nil"/>
              <w:left w:val="nil"/>
              <w:bottom w:val="nil"/>
              <w:right w:val="nil"/>
            </w:tcBorders>
            <w:noWrap/>
          </w:tcPr>
          <w:p w:rsidR="00944F04" w:rsidRPr="00481073" w:rsidRDefault="00944F04" w:rsidP="0050371B">
            <w:pPr>
              <w:jc w:val="right"/>
              <w:rPr>
                <w:rFonts w:cs="Arial"/>
                <w:szCs w:val="20"/>
                <w:lang w:val="en-US"/>
              </w:rPr>
            </w:pPr>
            <w:r>
              <w:rPr>
                <w:rFonts w:cs="Arial"/>
                <w:szCs w:val="20"/>
                <w:lang w:val="en-US"/>
              </w:rPr>
              <w:t>26.8</w:t>
            </w:r>
          </w:p>
        </w:tc>
        <w:tc>
          <w:tcPr>
            <w:tcW w:w="992" w:type="dxa"/>
            <w:tcBorders>
              <w:top w:val="nil"/>
              <w:left w:val="nil"/>
              <w:bottom w:val="nil"/>
              <w:right w:val="nil"/>
            </w:tcBorders>
            <w:noWrap/>
          </w:tcPr>
          <w:p w:rsidR="00944F04" w:rsidRPr="00481073" w:rsidRDefault="00944F04" w:rsidP="0050371B">
            <w:pPr>
              <w:rPr>
                <w:rFonts w:cs="Arial"/>
                <w:szCs w:val="20"/>
                <w:lang w:val="en-US"/>
              </w:rPr>
            </w:pPr>
          </w:p>
        </w:tc>
        <w:tc>
          <w:tcPr>
            <w:tcW w:w="815" w:type="dxa"/>
            <w:tcBorders>
              <w:top w:val="nil"/>
              <w:left w:val="nil"/>
              <w:bottom w:val="nil"/>
              <w:right w:val="nil"/>
            </w:tcBorders>
          </w:tcPr>
          <w:p w:rsidR="00944F04" w:rsidRPr="00481073" w:rsidRDefault="00944F04" w:rsidP="0050371B">
            <w:pPr>
              <w:rPr>
                <w:rFonts w:cs="Arial"/>
                <w:szCs w:val="20"/>
                <w:lang w:val="en-US"/>
              </w:rPr>
            </w:pPr>
            <w:r>
              <w:rPr>
                <w:rFonts w:cs="Arial"/>
                <w:szCs w:val="20"/>
                <w:lang w:val="en-US"/>
              </w:rPr>
              <w:t>24.4</w:t>
            </w:r>
          </w:p>
        </w:tc>
        <w:tc>
          <w:tcPr>
            <w:tcW w:w="815" w:type="dxa"/>
            <w:tcBorders>
              <w:top w:val="nil"/>
              <w:left w:val="nil"/>
              <w:bottom w:val="nil"/>
              <w:right w:val="nil"/>
            </w:tcBorders>
          </w:tcPr>
          <w:p w:rsidR="00944F04" w:rsidRPr="00481073" w:rsidRDefault="00944F04" w:rsidP="0050371B">
            <w:pPr>
              <w:rPr>
                <w:rFonts w:cs="Arial"/>
                <w:szCs w:val="20"/>
                <w:lang w:val="en-US"/>
              </w:rPr>
            </w:pPr>
          </w:p>
        </w:tc>
        <w:tc>
          <w:tcPr>
            <w:tcW w:w="815" w:type="dxa"/>
            <w:tcBorders>
              <w:top w:val="nil"/>
              <w:left w:val="nil"/>
              <w:bottom w:val="nil"/>
              <w:right w:val="nil"/>
            </w:tcBorders>
          </w:tcPr>
          <w:p w:rsidR="00944F04" w:rsidRPr="00481073" w:rsidRDefault="00944F04" w:rsidP="0050371B">
            <w:pPr>
              <w:rPr>
                <w:rFonts w:cs="Arial"/>
                <w:szCs w:val="20"/>
                <w:lang w:val="en-US"/>
              </w:rPr>
            </w:pPr>
            <w:r>
              <w:rPr>
                <w:rFonts w:cs="Arial"/>
                <w:szCs w:val="20"/>
                <w:lang w:val="en-US"/>
              </w:rPr>
              <w:t>28.3</w:t>
            </w:r>
          </w:p>
        </w:tc>
        <w:tc>
          <w:tcPr>
            <w:tcW w:w="673" w:type="dxa"/>
            <w:tcBorders>
              <w:top w:val="nil"/>
              <w:left w:val="nil"/>
              <w:bottom w:val="nil"/>
              <w:right w:val="nil"/>
            </w:tcBorders>
          </w:tcPr>
          <w:p w:rsidR="00944F04" w:rsidRPr="00481073" w:rsidRDefault="00944F04" w:rsidP="0050371B">
            <w:pPr>
              <w:rPr>
                <w:rFonts w:cs="Arial"/>
                <w:szCs w:val="20"/>
                <w:lang w:val="en-US"/>
              </w:rPr>
            </w:pPr>
          </w:p>
        </w:tc>
      </w:tr>
      <w:tr w:rsidR="00944F04" w:rsidRPr="00481073" w:rsidTr="0050371B">
        <w:trPr>
          <w:trHeight w:val="197"/>
        </w:trPr>
        <w:tc>
          <w:tcPr>
            <w:tcW w:w="3969" w:type="dxa"/>
            <w:tcBorders>
              <w:top w:val="nil"/>
              <w:left w:val="nil"/>
              <w:bottom w:val="nil"/>
              <w:right w:val="nil"/>
            </w:tcBorders>
            <w:noWrap/>
            <w:vAlign w:val="bottom"/>
          </w:tcPr>
          <w:p w:rsidR="00944F04" w:rsidRPr="00481073" w:rsidRDefault="00944F04" w:rsidP="0050371B">
            <w:pPr>
              <w:rPr>
                <w:rFonts w:cs="Arial"/>
                <w:szCs w:val="20"/>
                <w:lang w:val="en-US"/>
              </w:rPr>
            </w:pPr>
            <w:r w:rsidRPr="00481073">
              <w:rPr>
                <w:rFonts w:cs="Arial"/>
                <w:szCs w:val="20"/>
                <w:lang w:val="en-US"/>
              </w:rPr>
              <w:t>NYHA I (%)</w:t>
            </w:r>
          </w:p>
        </w:tc>
        <w:tc>
          <w:tcPr>
            <w:tcW w:w="567" w:type="dxa"/>
            <w:tcBorders>
              <w:top w:val="nil"/>
              <w:left w:val="nil"/>
              <w:bottom w:val="nil"/>
              <w:right w:val="nil"/>
            </w:tcBorders>
          </w:tcPr>
          <w:p w:rsidR="00944F04" w:rsidRPr="00481073" w:rsidRDefault="00944F04" w:rsidP="0050371B">
            <w:pPr>
              <w:jc w:val="right"/>
              <w:rPr>
                <w:rFonts w:cs="Arial"/>
                <w:szCs w:val="20"/>
                <w:lang w:val="en-US"/>
              </w:rPr>
            </w:pPr>
            <w:r>
              <w:rPr>
                <w:rFonts w:cs="Arial"/>
                <w:szCs w:val="20"/>
                <w:lang w:val="en-US"/>
              </w:rPr>
              <w:t>46.0</w:t>
            </w:r>
          </w:p>
        </w:tc>
        <w:tc>
          <w:tcPr>
            <w:tcW w:w="709" w:type="dxa"/>
            <w:tcBorders>
              <w:top w:val="nil"/>
              <w:left w:val="nil"/>
              <w:bottom w:val="nil"/>
              <w:right w:val="nil"/>
            </w:tcBorders>
          </w:tcPr>
          <w:p w:rsidR="00944F04" w:rsidRPr="00481073" w:rsidRDefault="00944F04" w:rsidP="0050371B">
            <w:pPr>
              <w:rPr>
                <w:rFonts w:cs="Arial"/>
                <w:szCs w:val="20"/>
                <w:lang w:val="en-US"/>
              </w:rPr>
            </w:pPr>
          </w:p>
        </w:tc>
        <w:tc>
          <w:tcPr>
            <w:tcW w:w="567" w:type="dxa"/>
            <w:tcBorders>
              <w:top w:val="nil"/>
              <w:left w:val="nil"/>
              <w:bottom w:val="nil"/>
              <w:right w:val="nil"/>
            </w:tcBorders>
            <w:noWrap/>
          </w:tcPr>
          <w:p w:rsidR="00944F04" w:rsidRPr="00481073" w:rsidRDefault="00944F04" w:rsidP="0050371B">
            <w:pPr>
              <w:jc w:val="right"/>
              <w:rPr>
                <w:rFonts w:cs="Arial"/>
                <w:szCs w:val="20"/>
                <w:lang w:val="en-US"/>
              </w:rPr>
            </w:pPr>
            <w:r>
              <w:rPr>
                <w:rFonts w:cs="Arial"/>
                <w:szCs w:val="20"/>
                <w:lang w:val="en-US"/>
              </w:rPr>
              <w:t>41.7</w:t>
            </w:r>
          </w:p>
        </w:tc>
        <w:tc>
          <w:tcPr>
            <w:tcW w:w="992" w:type="dxa"/>
            <w:tcBorders>
              <w:top w:val="nil"/>
              <w:left w:val="nil"/>
              <w:bottom w:val="nil"/>
              <w:right w:val="nil"/>
            </w:tcBorders>
            <w:noWrap/>
          </w:tcPr>
          <w:p w:rsidR="00944F04" w:rsidRPr="00481073" w:rsidRDefault="00944F04" w:rsidP="0050371B">
            <w:pPr>
              <w:rPr>
                <w:rFonts w:cs="Arial"/>
                <w:szCs w:val="20"/>
                <w:lang w:val="en-US"/>
              </w:rPr>
            </w:pPr>
          </w:p>
        </w:tc>
        <w:tc>
          <w:tcPr>
            <w:tcW w:w="815" w:type="dxa"/>
            <w:tcBorders>
              <w:top w:val="nil"/>
              <w:left w:val="nil"/>
              <w:bottom w:val="nil"/>
              <w:right w:val="nil"/>
            </w:tcBorders>
          </w:tcPr>
          <w:p w:rsidR="00944F04" w:rsidRPr="00481073" w:rsidRDefault="00944F04" w:rsidP="0050371B">
            <w:pPr>
              <w:rPr>
                <w:rFonts w:cs="Arial"/>
                <w:szCs w:val="20"/>
                <w:lang w:val="en-US"/>
              </w:rPr>
            </w:pPr>
            <w:r>
              <w:rPr>
                <w:rFonts w:cs="Arial"/>
                <w:szCs w:val="20"/>
                <w:lang w:val="en-US"/>
              </w:rPr>
              <w:t>48.1</w:t>
            </w:r>
          </w:p>
        </w:tc>
        <w:tc>
          <w:tcPr>
            <w:tcW w:w="815" w:type="dxa"/>
            <w:tcBorders>
              <w:top w:val="nil"/>
              <w:left w:val="nil"/>
              <w:bottom w:val="nil"/>
              <w:right w:val="nil"/>
            </w:tcBorders>
          </w:tcPr>
          <w:p w:rsidR="00944F04" w:rsidRPr="00481073" w:rsidRDefault="00944F04" w:rsidP="0050371B">
            <w:pPr>
              <w:rPr>
                <w:rFonts w:cs="Arial"/>
                <w:szCs w:val="20"/>
                <w:lang w:val="en-US"/>
              </w:rPr>
            </w:pPr>
          </w:p>
        </w:tc>
        <w:tc>
          <w:tcPr>
            <w:tcW w:w="815" w:type="dxa"/>
            <w:tcBorders>
              <w:top w:val="nil"/>
              <w:left w:val="nil"/>
              <w:bottom w:val="nil"/>
              <w:right w:val="nil"/>
            </w:tcBorders>
          </w:tcPr>
          <w:p w:rsidR="00944F04" w:rsidRPr="00481073" w:rsidRDefault="00944F04" w:rsidP="0050371B">
            <w:pPr>
              <w:rPr>
                <w:rFonts w:cs="Arial"/>
                <w:szCs w:val="20"/>
                <w:lang w:val="en-US"/>
              </w:rPr>
            </w:pPr>
            <w:r>
              <w:rPr>
                <w:rFonts w:cs="Arial"/>
                <w:szCs w:val="20"/>
                <w:lang w:val="en-US"/>
              </w:rPr>
              <w:t>42.0</w:t>
            </w:r>
          </w:p>
        </w:tc>
        <w:tc>
          <w:tcPr>
            <w:tcW w:w="673" w:type="dxa"/>
            <w:tcBorders>
              <w:top w:val="nil"/>
              <w:left w:val="nil"/>
              <w:bottom w:val="nil"/>
              <w:right w:val="nil"/>
            </w:tcBorders>
          </w:tcPr>
          <w:p w:rsidR="00944F04" w:rsidRPr="00481073" w:rsidRDefault="00944F04" w:rsidP="0050371B">
            <w:pPr>
              <w:rPr>
                <w:rFonts w:cs="Arial"/>
                <w:szCs w:val="20"/>
                <w:lang w:val="en-US"/>
              </w:rPr>
            </w:pPr>
          </w:p>
        </w:tc>
      </w:tr>
      <w:tr w:rsidR="00944F04" w:rsidRPr="00481073" w:rsidTr="0050371B">
        <w:trPr>
          <w:trHeight w:val="515"/>
        </w:trPr>
        <w:tc>
          <w:tcPr>
            <w:tcW w:w="3969" w:type="dxa"/>
            <w:tcBorders>
              <w:top w:val="nil"/>
              <w:left w:val="nil"/>
              <w:bottom w:val="nil"/>
              <w:right w:val="nil"/>
            </w:tcBorders>
            <w:noWrap/>
            <w:vAlign w:val="bottom"/>
          </w:tcPr>
          <w:p w:rsidR="00944F04" w:rsidRPr="00481073" w:rsidRDefault="00944F04" w:rsidP="0050371B">
            <w:pPr>
              <w:rPr>
                <w:rFonts w:cs="Arial"/>
                <w:szCs w:val="20"/>
                <w:lang w:val="en-US"/>
              </w:rPr>
            </w:pPr>
            <w:r w:rsidRPr="00481073">
              <w:rPr>
                <w:rFonts w:cs="Arial"/>
                <w:szCs w:val="20"/>
                <w:lang w:val="en-US"/>
              </w:rPr>
              <w:t>NYHA II (%)</w:t>
            </w:r>
          </w:p>
        </w:tc>
        <w:tc>
          <w:tcPr>
            <w:tcW w:w="567" w:type="dxa"/>
            <w:tcBorders>
              <w:top w:val="nil"/>
              <w:left w:val="nil"/>
              <w:bottom w:val="nil"/>
              <w:right w:val="nil"/>
            </w:tcBorders>
          </w:tcPr>
          <w:p w:rsidR="00944F04" w:rsidRPr="00481073" w:rsidRDefault="00944F04" w:rsidP="0050371B">
            <w:pPr>
              <w:jc w:val="right"/>
              <w:rPr>
                <w:rFonts w:cs="Arial"/>
                <w:szCs w:val="20"/>
                <w:lang w:val="en-US"/>
              </w:rPr>
            </w:pPr>
            <w:r>
              <w:rPr>
                <w:rFonts w:cs="Arial"/>
                <w:szCs w:val="20"/>
                <w:lang w:val="en-US"/>
              </w:rPr>
              <w:t>24.8</w:t>
            </w:r>
          </w:p>
        </w:tc>
        <w:tc>
          <w:tcPr>
            <w:tcW w:w="709" w:type="dxa"/>
            <w:tcBorders>
              <w:top w:val="nil"/>
              <w:left w:val="nil"/>
              <w:bottom w:val="nil"/>
              <w:right w:val="nil"/>
            </w:tcBorders>
          </w:tcPr>
          <w:p w:rsidR="00944F04" w:rsidRPr="00481073" w:rsidRDefault="00944F04" w:rsidP="0050371B">
            <w:pPr>
              <w:rPr>
                <w:rFonts w:cs="Arial"/>
                <w:szCs w:val="20"/>
                <w:lang w:val="en-US"/>
              </w:rPr>
            </w:pPr>
          </w:p>
        </w:tc>
        <w:tc>
          <w:tcPr>
            <w:tcW w:w="567" w:type="dxa"/>
            <w:tcBorders>
              <w:top w:val="nil"/>
              <w:left w:val="nil"/>
              <w:bottom w:val="nil"/>
              <w:right w:val="nil"/>
            </w:tcBorders>
            <w:noWrap/>
          </w:tcPr>
          <w:p w:rsidR="00944F04" w:rsidRPr="00481073" w:rsidRDefault="00944F04" w:rsidP="0050371B">
            <w:pPr>
              <w:jc w:val="right"/>
              <w:rPr>
                <w:rFonts w:cs="Arial"/>
                <w:szCs w:val="20"/>
                <w:lang w:val="en-US"/>
              </w:rPr>
            </w:pPr>
            <w:r>
              <w:rPr>
                <w:rFonts w:cs="Arial"/>
                <w:szCs w:val="20"/>
                <w:lang w:val="en-US"/>
              </w:rPr>
              <w:t>31.6</w:t>
            </w:r>
          </w:p>
        </w:tc>
        <w:tc>
          <w:tcPr>
            <w:tcW w:w="992" w:type="dxa"/>
            <w:tcBorders>
              <w:top w:val="nil"/>
              <w:left w:val="nil"/>
              <w:bottom w:val="nil"/>
              <w:right w:val="nil"/>
            </w:tcBorders>
            <w:noWrap/>
          </w:tcPr>
          <w:p w:rsidR="00944F04" w:rsidRPr="00481073" w:rsidRDefault="00944F04" w:rsidP="0050371B">
            <w:pPr>
              <w:rPr>
                <w:rFonts w:cs="Arial"/>
                <w:szCs w:val="20"/>
                <w:lang w:val="en-US"/>
              </w:rPr>
            </w:pPr>
          </w:p>
        </w:tc>
        <w:tc>
          <w:tcPr>
            <w:tcW w:w="815" w:type="dxa"/>
            <w:tcBorders>
              <w:top w:val="nil"/>
              <w:left w:val="nil"/>
              <w:bottom w:val="nil"/>
              <w:right w:val="nil"/>
            </w:tcBorders>
          </w:tcPr>
          <w:p w:rsidR="00944F04" w:rsidRPr="00481073" w:rsidRDefault="00944F04" w:rsidP="0050371B">
            <w:pPr>
              <w:rPr>
                <w:rFonts w:cs="Arial"/>
                <w:szCs w:val="20"/>
                <w:lang w:val="en-US"/>
              </w:rPr>
            </w:pPr>
            <w:r>
              <w:rPr>
                <w:rFonts w:cs="Arial"/>
                <w:szCs w:val="20"/>
                <w:lang w:val="en-US"/>
              </w:rPr>
              <w:t>22.9</w:t>
            </w:r>
          </w:p>
        </w:tc>
        <w:tc>
          <w:tcPr>
            <w:tcW w:w="815" w:type="dxa"/>
            <w:tcBorders>
              <w:top w:val="nil"/>
              <w:left w:val="nil"/>
              <w:bottom w:val="nil"/>
              <w:right w:val="nil"/>
            </w:tcBorders>
          </w:tcPr>
          <w:p w:rsidR="00944F04" w:rsidRPr="00481073" w:rsidRDefault="00944F04" w:rsidP="0050371B">
            <w:pPr>
              <w:rPr>
                <w:rFonts w:cs="Arial"/>
                <w:szCs w:val="20"/>
                <w:lang w:val="en-US"/>
              </w:rPr>
            </w:pPr>
          </w:p>
        </w:tc>
        <w:tc>
          <w:tcPr>
            <w:tcW w:w="815" w:type="dxa"/>
            <w:tcBorders>
              <w:top w:val="nil"/>
              <w:left w:val="nil"/>
              <w:bottom w:val="nil"/>
              <w:right w:val="nil"/>
            </w:tcBorders>
          </w:tcPr>
          <w:p w:rsidR="00944F04" w:rsidRPr="00481073" w:rsidRDefault="00944F04" w:rsidP="0050371B">
            <w:pPr>
              <w:rPr>
                <w:rFonts w:cs="Arial"/>
                <w:szCs w:val="20"/>
                <w:lang w:val="en-US"/>
              </w:rPr>
            </w:pPr>
            <w:r>
              <w:rPr>
                <w:rFonts w:cs="Arial"/>
                <w:szCs w:val="20"/>
                <w:lang w:val="en-US"/>
              </w:rPr>
              <w:t>29.7</w:t>
            </w:r>
          </w:p>
        </w:tc>
        <w:tc>
          <w:tcPr>
            <w:tcW w:w="673" w:type="dxa"/>
            <w:tcBorders>
              <w:top w:val="nil"/>
              <w:left w:val="nil"/>
              <w:bottom w:val="nil"/>
              <w:right w:val="nil"/>
            </w:tcBorders>
          </w:tcPr>
          <w:p w:rsidR="00944F04" w:rsidRPr="00481073" w:rsidRDefault="00944F04" w:rsidP="0050371B">
            <w:pPr>
              <w:rPr>
                <w:rFonts w:cs="Arial"/>
                <w:szCs w:val="20"/>
                <w:lang w:val="en-US"/>
              </w:rPr>
            </w:pPr>
          </w:p>
        </w:tc>
      </w:tr>
      <w:tr w:rsidR="00944F04" w:rsidRPr="00481073" w:rsidTr="0050371B">
        <w:trPr>
          <w:trHeight w:val="197"/>
        </w:trPr>
        <w:tc>
          <w:tcPr>
            <w:tcW w:w="3969" w:type="dxa"/>
            <w:tcBorders>
              <w:top w:val="nil"/>
              <w:left w:val="nil"/>
              <w:bottom w:val="nil"/>
              <w:right w:val="nil"/>
            </w:tcBorders>
            <w:noWrap/>
            <w:vAlign w:val="bottom"/>
          </w:tcPr>
          <w:p w:rsidR="00944F04" w:rsidRPr="00481073" w:rsidRDefault="00944F04" w:rsidP="0050371B">
            <w:pPr>
              <w:rPr>
                <w:rFonts w:cs="Arial"/>
                <w:szCs w:val="20"/>
                <w:lang w:val="en-US"/>
              </w:rPr>
            </w:pPr>
            <w:r w:rsidRPr="00481073">
              <w:rPr>
                <w:rFonts w:cs="Arial"/>
                <w:szCs w:val="20"/>
                <w:lang w:val="en-US"/>
              </w:rPr>
              <w:t>NYHA III (%)</w:t>
            </w:r>
          </w:p>
        </w:tc>
        <w:tc>
          <w:tcPr>
            <w:tcW w:w="567" w:type="dxa"/>
            <w:tcBorders>
              <w:top w:val="nil"/>
              <w:left w:val="nil"/>
              <w:bottom w:val="nil"/>
              <w:right w:val="nil"/>
            </w:tcBorders>
          </w:tcPr>
          <w:p w:rsidR="00944F04" w:rsidRPr="00481073" w:rsidRDefault="00944F04" w:rsidP="0050371B">
            <w:pPr>
              <w:jc w:val="right"/>
              <w:rPr>
                <w:rFonts w:cs="Arial"/>
                <w:szCs w:val="20"/>
                <w:lang w:val="en-US"/>
              </w:rPr>
            </w:pPr>
            <w:r>
              <w:rPr>
                <w:rFonts w:cs="Arial"/>
                <w:szCs w:val="20"/>
                <w:lang w:val="en-US"/>
              </w:rPr>
              <w:t>24.8</w:t>
            </w:r>
          </w:p>
        </w:tc>
        <w:tc>
          <w:tcPr>
            <w:tcW w:w="709" w:type="dxa"/>
            <w:tcBorders>
              <w:top w:val="nil"/>
              <w:left w:val="nil"/>
              <w:bottom w:val="nil"/>
              <w:right w:val="nil"/>
            </w:tcBorders>
          </w:tcPr>
          <w:p w:rsidR="00944F04" w:rsidRPr="00481073" w:rsidRDefault="00944F04" w:rsidP="0050371B">
            <w:pPr>
              <w:rPr>
                <w:rFonts w:cs="Arial"/>
                <w:szCs w:val="20"/>
                <w:lang w:val="en-US"/>
              </w:rPr>
            </w:pPr>
          </w:p>
        </w:tc>
        <w:tc>
          <w:tcPr>
            <w:tcW w:w="567" w:type="dxa"/>
            <w:tcBorders>
              <w:top w:val="nil"/>
              <w:left w:val="nil"/>
              <w:bottom w:val="nil"/>
              <w:right w:val="nil"/>
            </w:tcBorders>
            <w:noWrap/>
          </w:tcPr>
          <w:p w:rsidR="00944F04" w:rsidRPr="00481073" w:rsidRDefault="00944F04" w:rsidP="0050371B">
            <w:pPr>
              <w:jc w:val="right"/>
              <w:rPr>
                <w:rFonts w:cs="Arial"/>
                <w:szCs w:val="20"/>
                <w:lang w:val="en-US"/>
              </w:rPr>
            </w:pPr>
            <w:r>
              <w:rPr>
                <w:rFonts w:cs="Arial"/>
                <w:szCs w:val="20"/>
                <w:lang w:val="en-US"/>
              </w:rPr>
              <w:t>22.6</w:t>
            </w:r>
          </w:p>
        </w:tc>
        <w:tc>
          <w:tcPr>
            <w:tcW w:w="992" w:type="dxa"/>
            <w:tcBorders>
              <w:top w:val="nil"/>
              <w:left w:val="nil"/>
              <w:bottom w:val="nil"/>
              <w:right w:val="nil"/>
            </w:tcBorders>
            <w:noWrap/>
          </w:tcPr>
          <w:p w:rsidR="00944F04" w:rsidRPr="00481073" w:rsidRDefault="00944F04" w:rsidP="0050371B">
            <w:pPr>
              <w:rPr>
                <w:rFonts w:cs="Arial"/>
                <w:szCs w:val="20"/>
                <w:lang w:val="en-US"/>
              </w:rPr>
            </w:pPr>
          </w:p>
        </w:tc>
        <w:tc>
          <w:tcPr>
            <w:tcW w:w="815" w:type="dxa"/>
            <w:tcBorders>
              <w:top w:val="nil"/>
              <w:left w:val="nil"/>
              <w:bottom w:val="nil"/>
              <w:right w:val="nil"/>
            </w:tcBorders>
          </w:tcPr>
          <w:p w:rsidR="00944F04" w:rsidRPr="00481073" w:rsidRDefault="00944F04" w:rsidP="0050371B">
            <w:pPr>
              <w:rPr>
                <w:rFonts w:cs="Arial"/>
                <w:szCs w:val="20"/>
                <w:lang w:val="en-US"/>
              </w:rPr>
            </w:pPr>
            <w:r>
              <w:rPr>
                <w:rFonts w:cs="Arial"/>
                <w:szCs w:val="20"/>
                <w:lang w:val="en-US"/>
              </w:rPr>
              <w:t>24.4</w:t>
            </w:r>
          </w:p>
        </w:tc>
        <w:tc>
          <w:tcPr>
            <w:tcW w:w="815" w:type="dxa"/>
            <w:tcBorders>
              <w:top w:val="nil"/>
              <w:left w:val="nil"/>
              <w:bottom w:val="nil"/>
              <w:right w:val="nil"/>
            </w:tcBorders>
          </w:tcPr>
          <w:p w:rsidR="00944F04" w:rsidRPr="00481073" w:rsidRDefault="00944F04" w:rsidP="0050371B">
            <w:pPr>
              <w:rPr>
                <w:rFonts w:cs="Arial"/>
                <w:szCs w:val="20"/>
                <w:lang w:val="en-US"/>
              </w:rPr>
            </w:pPr>
          </w:p>
        </w:tc>
        <w:tc>
          <w:tcPr>
            <w:tcW w:w="815" w:type="dxa"/>
            <w:tcBorders>
              <w:top w:val="nil"/>
              <w:left w:val="nil"/>
              <w:bottom w:val="nil"/>
              <w:right w:val="nil"/>
            </w:tcBorders>
          </w:tcPr>
          <w:p w:rsidR="00944F04" w:rsidRPr="00481073" w:rsidRDefault="00944F04" w:rsidP="0050371B">
            <w:pPr>
              <w:rPr>
                <w:rFonts w:cs="Arial"/>
                <w:szCs w:val="20"/>
                <w:lang w:val="en-US"/>
              </w:rPr>
            </w:pPr>
            <w:r>
              <w:rPr>
                <w:rFonts w:cs="Arial"/>
                <w:szCs w:val="20"/>
                <w:lang w:val="en-US"/>
              </w:rPr>
              <w:t>23.9</w:t>
            </w:r>
          </w:p>
        </w:tc>
        <w:tc>
          <w:tcPr>
            <w:tcW w:w="673" w:type="dxa"/>
            <w:tcBorders>
              <w:top w:val="nil"/>
              <w:left w:val="nil"/>
              <w:bottom w:val="nil"/>
              <w:right w:val="nil"/>
            </w:tcBorders>
          </w:tcPr>
          <w:p w:rsidR="00944F04" w:rsidRPr="00481073" w:rsidRDefault="00944F04" w:rsidP="0050371B">
            <w:pPr>
              <w:rPr>
                <w:rFonts w:cs="Arial"/>
                <w:szCs w:val="20"/>
                <w:lang w:val="en-US"/>
              </w:rPr>
            </w:pPr>
          </w:p>
        </w:tc>
      </w:tr>
      <w:tr w:rsidR="00944F04" w:rsidRPr="00481073" w:rsidTr="0050371B">
        <w:trPr>
          <w:trHeight w:val="197"/>
        </w:trPr>
        <w:tc>
          <w:tcPr>
            <w:tcW w:w="3969" w:type="dxa"/>
            <w:tcBorders>
              <w:top w:val="nil"/>
              <w:left w:val="nil"/>
              <w:bottom w:val="nil"/>
              <w:right w:val="nil"/>
            </w:tcBorders>
            <w:noWrap/>
            <w:vAlign w:val="bottom"/>
          </w:tcPr>
          <w:p w:rsidR="00944F04" w:rsidRPr="00481073" w:rsidRDefault="00944F04" w:rsidP="0050371B">
            <w:pPr>
              <w:rPr>
                <w:rFonts w:cs="Arial"/>
                <w:szCs w:val="20"/>
                <w:lang w:val="en-US"/>
              </w:rPr>
            </w:pPr>
            <w:r w:rsidRPr="00481073">
              <w:rPr>
                <w:rFonts w:cs="Arial"/>
                <w:szCs w:val="20"/>
                <w:lang w:val="en-US"/>
              </w:rPr>
              <w:t>NYHA IV (%)</w:t>
            </w:r>
          </w:p>
        </w:tc>
        <w:tc>
          <w:tcPr>
            <w:tcW w:w="567" w:type="dxa"/>
            <w:tcBorders>
              <w:top w:val="nil"/>
              <w:left w:val="nil"/>
              <w:bottom w:val="nil"/>
              <w:right w:val="nil"/>
            </w:tcBorders>
          </w:tcPr>
          <w:p w:rsidR="00944F04" w:rsidRPr="00481073" w:rsidRDefault="00944F04" w:rsidP="0050371B">
            <w:pPr>
              <w:jc w:val="right"/>
              <w:rPr>
                <w:rFonts w:cs="Arial"/>
                <w:szCs w:val="20"/>
                <w:lang w:val="en-US"/>
              </w:rPr>
            </w:pPr>
            <w:r>
              <w:rPr>
                <w:rFonts w:cs="Arial"/>
                <w:szCs w:val="20"/>
                <w:lang w:val="en-US"/>
              </w:rPr>
              <w:t>2.5</w:t>
            </w:r>
          </w:p>
        </w:tc>
        <w:tc>
          <w:tcPr>
            <w:tcW w:w="709" w:type="dxa"/>
            <w:tcBorders>
              <w:top w:val="nil"/>
              <w:left w:val="nil"/>
              <w:bottom w:val="nil"/>
              <w:right w:val="nil"/>
            </w:tcBorders>
          </w:tcPr>
          <w:p w:rsidR="00944F04" w:rsidRPr="00481073" w:rsidRDefault="00944F04" w:rsidP="0050371B">
            <w:pPr>
              <w:rPr>
                <w:rFonts w:cs="Arial"/>
                <w:szCs w:val="20"/>
                <w:lang w:val="en-US"/>
              </w:rPr>
            </w:pPr>
          </w:p>
        </w:tc>
        <w:tc>
          <w:tcPr>
            <w:tcW w:w="567" w:type="dxa"/>
            <w:tcBorders>
              <w:top w:val="nil"/>
              <w:left w:val="nil"/>
              <w:bottom w:val="nil"/>
              <w:right w:val="nil"/>
            </w:tcBorders>
            <w:noWrap/>
          </w:tcPr>
          <w:p w:rsidR="00944F04" w:rsidRPr="00481073" w:rsidRDefault="00944F04" w:rsidP="0050371B">
            <w:pPr>
              <w:jc w:val="right"/>
              <w:rPr>
                <w:rFonts w:cs="Arial"/>
                <w:szCs w:val="20"/>
                <w:lang w:val="en-US"/>
              </w:rPr>
            </w:pPr>
            <w:r>
              <w:rPr>
                <w:rFonts w:cs="Arial"/>
                <w:szCs w:val="20"/>
                <w:lang w:val="en-US"/>
              </w:rPr>
              <w:t>2.4</w:t>
            </w:r>
          </w:p>
        </w:tc>
        <w:tc>
          <w:tcPr>
            <w:tcW w:w="992" w:type="dxa"/>
            <w:tcBorders>
              <w:top w:val="nil"/>
              <w:left w:val="nil"/>
              <w:bottom w:val="nil"/>
              <w:right w:val="nil"/>
            </w:tcBorders>
            <w:noWrap/>
          </w:tcPr>
          <w:p w:rsidR="00944F04" w:rsidRPr="00481073" w:rsidRDefault="00944F04" w:rsidP="0050371B">
            <w:pPr>
              <w:rPr>
                <w:rFonts w:cs="Arial"/>
                <w:szCs w:val="20"/>
                <w:lang w:val="en-US"/>
              </w:rPr>
            </w:pPr>
          </w:p>
        </w:tc>
        <w:tc>
          <w:tcPr>
            <w:tcW w:w="815" w:type="dxa"/>
            <w:tcBorders>
              <w:top w:val="nil"/>
              <w:left w:val="nil"/>
              <w:bottom w:val="nil"/>
              <w:right w:val="nil"/>
            </w:tcBorders>
          </w:tcPr>
          <w:p w:rsidR="00944F04" w:rsidRPr="00481073" w:rsidRDefault="00944F04" w:rsidP="0050371B">
            <w:pPr>
              <w:rPr>
                <w:rFonts w:cs="Arial"/>
                <w:szCs w:val="20"/>
                <w:lang w:val="en-US"/>
              </w:rPr>
            </w:pPr>
            <w:r>
              <w:rPr>
                <w:rFonts w:cs="Arial"/>
                <w:szCs w:val="20"/>
                <w:lang w:val="en-US"/>
              </w:rPr>
              <w:t>2.3</w:t>
            </w:r>
          </w:p>
        </w:tc>
        <w:tc>
          <w:tcPr>
            <w:tcW w:w="815" w:type="dxa"/>
            <w:tcBorders>
              <w:top w:val="nil"/>
              <w:left w:val="nil"/>
              <w:bottom w:val="nil"/>
              <w:right w:val="nil"/>
            </w:tcBorders>
          </w:tcPr>
          <w:p w:rsidR="00944F04" w:rsidRPr="00481073" w:rsidRDefault="00944F04" w:rsidP="0050371B">
            <w:pPr>
              <w:rPr>
                <w:rFonts w:cs="Arial"/>
                <w:szCs w:val="20"/>
                <w:lang w:val="en-US"/>
              </w:rPr>
            </w:pPr>
          </w:p>
        </w:tc>
        <w:tc>
          <w:tcPr>
            <w:tcW w:w="815" w:type="dxa"/>
            <w:tcBorders>
              <w:top w:val="nil"/>
              <w:left w:val="nil"/>
              <w:bottom w:val="nil"/>
              <w:right w:val="nil"/>
            </w:tcBorders>
          </w:tcPr>
          <w:p w:rsidR="00944F04" w:rsidRPr="00481073" w:rsidRDefault="00944F04" w:rsidP="0050371B">
            <w:pPr>
              <w:rPr>
                <w:rFonts w:cs="Arial"/>
                <w:szCs w:val="20"/>
                <w:lang w:val="en-US"/>
              </w:rPr>
            </w:pPr>
            <w:r>
              <w:rPr>
                <w:rFonts w:cs="Arial"/>
                <w:szCs w:val="20"/>
                <w:lang w:val="en-US"/>
              </w:rPr>
              <w:t>2.2</w:t>
            </w:r>
          </w:p>
        </w:tc>
        <w:tc>
          <w:tcPr>
            <w:tcW w:w="673" w:type="dxa"/>
            <w:tcBorders>
              <w:top w:val="nil"/>
              <w:left w:val="nil"/>
              <w:bottom w:val="nil"/>
              <w:right w:val="nil"/>
            </w:tcBorders>
          </w:tcPr>
          <w:p w:rsidR="00944F04" w:rsidRPr="00481073" w:rsidRDefault="00944F04" w:rsidP="0050371B">
            <w:pPr>
              <w:rPr>
                <w:rFonts w:cs="Arial"/>
                <w:szCs w:val="20"/>
                <w:lang w:val="en-US"/>
              </w:rPr>
            </w:pPr>
          </w:p>
        </w:tc>
      </w:tr>
      <w:tr w:rsidR="00944F04" w:rsidRPr="00481073" w:rsidTr="0050371B">
        <w:trPr>
          <w:trHeight w:val="197"/>
        </w:trPr>
        <w:tc>
          <w:tcPr>
            <w:tcW w:w="3969" w:type="dxa"/>
            <w:tcBorders>
              <w:top w:val="nil"/>
              <w:left w:val="nil"/>
              <w:bottom w:val="nil"/>
              <w:right w:val="nil"/>
            </w:tcBorders>
            <w:noWrap/>
            <w:vAlign w:val="bottom"/>
          </w:tcPr>
          <w:p w:rsidR="00944F04" w:rsidRPr="00481073" w:rsidRDefault="00944F04" w:rsidP="0050371B">
            <w:pPr>
              <w:rPr>
                <w:rFonts w:cs="Arial"/>
                <w:szCs w:val="20"/>
                <w:lang w:val="en-US"/>
              </w:rPr>
            </w:pPr>
            <w:r w:rsidRPr="00481073">
              <w:rPr>
                <w:rFonts w:cs="Arial"/>
                <w:szCs w:val="20"/>
                <w:lang w:val="en-US"/>
              </w:rPr>
              <w:t>VAS [SD]</w:t>
            </w:r>
          </w:p>
        </w:tc>
        <w:tc>
          <w:tcPr>
            <w:tcW w:w="567" w:type="dxa"/>
            <w:tcBorders>
              <w:top w:val="nil"/>
              <w:left w:val="nil"/>
              <w:bottom w:val="nil"/>
              <w:right w:val="nil"/>
            </w:tcBorders>
          </w:tcPr>
          <w:p w:rsidR="00944F04" w:rsidRPr="00481073" w:rsidRDefault="00944F04" w:rsidP="0050371B">
            <w:pPr>
              <w:jc w:val="right"/>
              <w:rPr>
                <w:rFonts w:cs="Arial"/>
                <w:szCs w:val="20"/>
                <w:lang w:val="en-US"/>
              </w:rPr>
            </w:pPr>
            <w:r w:rsidRPr="00481073">
              <w:rPr>
                <w:rFonts w:cs="Arial"/>
                <w:szCs w:val="20"/>
                <w:lang w:val="en-US"/>
              </w:rPr>
              <w:t>58.9</w:t>
            </w:r>
          </w:p>
        </w:tc>
        <w:tc>
          <w:tcPr>
            <w:tcW w:w="709" w:type="dxa"/>
            <w:tcBorders>
              <w:top w:val="nil"/>
              <w:left w:val="nil"/>
              <w:bottom w:val="nil"/>
              <w:right w:val="nil"/>
            </w:tcBorders>
          </w:tcPr>
          <w:p w:rsidR="00944F04" w:rsidRPr="00481073" w:rsidRDefault="00944F04" w:rsidP="0050371B">
            <w:pPr>
              <w:rPr>
                <w:rFonts w:cs="Arial"/>
                <w:szCs w:val="20"/>
                <w:lang w:val="en-US"/>
              </w:rPr>
            </w:pPr>
            <w:r w:rsidRPr="00481073">
              <w:rPr>
                <w:rFonts w:cs="Arial"/>
                <w:szCs w:val="20"/>
                <w:lang w:val="en-US"/>
              </w:rPr>
              <w:t>[20.7]</w:t>
            </w:r>
          </w:p>
        </w:tc>
        <w:tc>
          <w:tcPr>
            <w:tcW w:w="567" w:type="dxa"/>
            <w:tcBorders>
              <w:top w:val="nil"/>
              <w:left w:val="nil"/>
              <w:bottom w:val="nil"/>
              <w:right w:val="nil"/>
            </w:tcBorders>
            <w:noWrap/>
          </w:tcPr>
          <w:p w:rsidR="00944F04" w:rsidRPr="00481073" w:rsidRDefault="00944F04" w:rsidP="0050371B">
            <w:pPr>
              <w:jc w:val="right"/>
              <w:rPr>
                <w:rFonts w:cs="Arial"/>
                <w:szCs w:val="20"/>
                <w:lang w:val="en-US"/>
              </w:rPr>
            </w:pPr>
            <w:r>
              <w:rPr>
                <w:rFonts w:cs="Arial"/>
                <w:szCs w:val="20"/>
                <w:lang w:val="en-US"/>
              </w:rPr>
              <w:t>57.8</w:t>
            </w:r>
          </w:p>
        </w:tc>
        <w:tc>
          <w:tcPr>
            <w:tcW w:w="992" w:type="dxa"/>
            <w:tcBorders>
              <w:top w:val="nil"/>
              <w:left w:val="nil"/>
              <w:bottom w:val="nil"/>
              <w:right w:val="nil"/>
            </w:tcBorders>
            <w:noWrap/>
          </w:tcPr>
          <w:p w:rsidR="00944F04" w:rsidRPr="00481073" w:rsidRDefault="00944F04" w:rsidP="0050371B">
            <w:pPr>
              <w:rPr>
                <w:rFonts w:cs="Arial"/>
                <w:szCs w:val="20"/>
                <w:lang w:val="en-US"/>
              </w:rPr>
            </w:pPr>
            <w:r w:rsidRPr="00481073">
              <w:rPr>
                <w:rFonts w:cs="Arial"/>
                <w:szCs w:val="20"/>
                <w:lang w:val="en-US"/>
              </w:rPr>
              <w:t>[20.1]</w:t>
            </w:r>
          </w:p>
        </w:tc>
        <w:tc>
          <w:tcPr>
            <w:tcW w:w="815" w:type="dxa"/>
            <w:tcBorders>
              <w:top w:val="nil"/>
              <w:left w:val="nil"/>
              <w:bottom w:val="nil"/>
              <w:right w:val="nil"/>
            </w:tcBorders>
          </w:tcPr>
          <w:p w:rsidR="00944F04" w:rsidRPr="00481073" w:rsidRDefault="00944F04" w:rsidP="0050371B">
            <w:pPr>
              <w:rPr>
                <w:rFonts w:cs="Arial"/>
                <w:szCs w:val="20"/>
                <w:lang w:val="en-US"/>
              </w:rPr>
            </w:pPr>
            <w:r>
              <w:rPr>
                <w:rFonts w:cs="Arial"/>
                <w:szCs w:val="20"/>
                <w:lang w:val="en-US"/>
              </w:rPr>
              <w:t>59.5</w:t>
            </w:r>
          </w:p>
        </w:tc>
        <w:tc>
          <w:tcPr>
            <w:tcW w:w="815" w:type="dxa"/>
            <w:tcBorders>
              <w:top w:val="nil"/>
              <w:left w:val="nil"/>
              <w:bottom w:val="nil"/>
              <w:right w:val="nil"/>
            </w:tcBorders>
          </w:tcPr>
          <w:p w:rsidR="00944F04" w:rsidRPr="00481073" w:rsidRDefault="00944F04" w:rsidP="0050371B">
            <w:pPr>
              <w:rPr>
                <w:rFonts w:cs="Arial"/>
                <w:szCs w:val="20"/>
                <w:lang w:val="en-US"/>
              </w:rPr>
            </w:pPr>
            <w:r>
              <w:rPr>
                <w:rFonts w:cs="Arial"/>
                <w:szCs w:val="20"/>
                <w:lang w:val="en-US"/>
              </w:rPr>
              <w:t>[20.2]</w:t>
            </w:r>
          </w:p>
        </w:tc>
        <w:tc>
          <w:tcPr>
            <w:tcW w:w="815" w:type="dxa"/>
            <w:tcBorders>
              <w:top w:val="nil"/>
              <w:left w:val="nil"/>
              <w:bottom w:val="nil"/>
              <w:right w:val="nil"/>
            </w:tcBorders>
          </w:tcPr>
          <w:p w:rsidR="00944F04" w:rsidRPr="00481073" w:rsidRDefault="00944F04" w:rsidP="0050371B">
            <w:pPr>
              <w:rPr>
                <w:rFonts w:cs="Arial"/>
                <w:szCs w:val="20"/>
                <w:lang w:val="en-US"/>
              </w:rPr>
            </w:pPr>
            <w:r>
              <w:rPr>
                <w:rFonts w:cs="Arial"/>
                <w:szCs w:val="20"/>
                <w:lang w:val="en-US"/>
              </w:rPr>
              <w:t>58.3</w:t>
            </w:r>
          </w:p>
        </w:tc>
        <w:tc>
          <w:tcPr>
            <w:tcW w:w="673" w:type="dxa"/>
            <w:tcBorders>
              <w:top w:val="nil"/>
              <w:left w:val="nil"/>
              <w:bottom w:val="nil"/>
              <w:right w:val="nil"/>
            </w:tcBorders>
          </w:tcPr>
          <w:p w:rsidR="00944F04" w:rsidRPr="00481073" w:rsidRDefault="00944F04" w:rsidP="0050371B">
            <w:pPr>
              <w:rPr>
                <w:rFonts w:cs="Arial"/>
                <w:szCs w:val="20"/>
                <w:lang w:val="en-US"/>
              </w:rPr>
            </w:pPr>
            <w:r>
              <w:rPr>
                <w:rFonts w:cs="Arial"/>
                <w:szCs w:val="20"/>
                <w:lang w:val="en-US"/>
              </w:rPr>
              <w:t>[20.2]</w:t>
            </w:r>
          </w:p>
        </w:tc>
      </w:tr>
      <w:tr w:rsidR="00944F04" w:rsidRPr="00481073" w:rsidTr="0050371B">
        <w:trPr>
          <w:trHeight w:val="197"/>
        </w:trPr>
        <w:tc>
          <w:tcPr>
            <w:tcW w:w="3969" w:type="dxa"/>
            <w:tcBorders>
              <w:top w:val="nil"/>
              <w:left w:val="nil"/>
              <w:bottom w:val="nil"/>
              <w:right w:val="nil"/>
            </w:tcBorders>
            <w:noWrap/>
            <w:vAlign w:val="bottom"/>
          </w:tcPr>
          <w:p w:rsidR="00944F04" w:rsidRPr="00481073" w:rsidRDefault="00944F04" w:rsidP="0050371B">
            <w:pPr>
              <w:rPr>
                <w:rFonts w:cs="Arial"/>
                <w:szCs w:val="20"/>
                <w:lang w:val="en-US"/>
              </w:rPr>
            </w:pPr>
            <w:r w:rsidRPr="00481073">
              <w:rPr>
                <w:rFonts w:cs="Arial"/>
                <w:szCs w:val="20"/>
                <w:lang w:val="en-US"/>
              </w:rPr>
              <w:t xml:space="preserve">EQ-5D </w:t>
            </w:r>
            <w:r>
              <w:rPr>
                <w:rFonts w:cs="Arial"/>
                <w:szCs w:val="20"/>
                <w:lang w:val="en-US"/>
              </w:rPr>
              <w:t>Index</w:t>
            </w:r>
            <w:r w:rsidRPr="00481073">
              <w:rPr>
                <w:rFonts w:cs="Arial"/>
                <w:szCs w:val="20"/>
                <w:lang w:val="en-US"/>
              </w:rPr>
              <w:t xml:space="preserve"> [SD]</w:t>
            </w:r>
          </w:p>
        </w:tc>
        <w:tc>
          <w:tcPr>
            <w:tcW w:w="567" w:type="dxa"/>
            <w:tcBorders>
              <w:top w:val="nil"/>
              <w:left w:val="nil"/>
              <w:bottom w:val="nil"/>
              <w:right w:val="nil"/>
            </w:tcBorders>
          </w:tcPr>
          <w:p w:rsidR="00944F04" w:rsidRPr="00481073" w:rsidRDefault="00944F04" w:rsidP="0050371B">
            <w:pPr>
              <w:jc w:val="right"/>
              <w:rPr>
                <w:rFonts w:cs="Arial"/>
                <w:szCs w:val="20"/>
                <w:lang w:val="en-US"/>
              </w:rPr>
            </w:pPr>
            <w:r>
              <w:rPr>
                <w:rFonts w:cs="Arial"/>
                <w:szCs w:val="20"/>
                <w:lang w:val="en-US"/>
              </w:rPr>
              <w:t>0.74</w:t>
            </w:r>
          </w:p>
        </w:tc>
        <w:tc>
          <w:tcPr>
            <w:tcW w:w="709" w:type="dxa"/>
            <w:tcBorders>
              <w:top w:val="nil"/>
              <w:left w:val="nil"/>
              <w:bottom w:val="nil"/>
              <w:right w:val="nil"/>
            </w:tcBorders>
          </w:tcPr>
          <w:p w:rsidR="00944F04" w:rsidRPr="00481073" w:rsidRDefault="00944F04" w:rsidP="0050371B">
            <w:pPr>
              <w:rPr>
                <w:rFonts w:cs="Arial"/>
                <w:szCs w:val="20"/>
                <w:lang w:val="en-US"/>
              </w:rPr>
            </w:pPr>
            <w:r w:rsidRPr="00481073">
              <w:rPr>
                <w:rFonts w:cs="Arial"/>
                <w:szCs w:val="20"/>
                <w:lang w:val="en-US"/>
              </w:rPr>
              <w:t>[0.32]</w:t>
            </w:r>
          </w:p>
        </w:tc>
        <w:tc>
          <w:tcPr>
            <w:tcW w:w="567" w:type="dxa"/>
            <w:tcBorders>
              <w:top w:val="nil"/>
              <w:left w:val="nil"/>
              <w:bottom w:val="nil"/>
              <w:right w:val="nil"/>
            </w:tcBorders>
            <w:noWrap/>
          </w:tcPr>
          <w:p w:rsidR="00944F04" w:rsidRPr="00481073" w:rsidRDefault="00944F04" w:rsidP="0050371B">
            <w:pPr>
              <w:jc w:val="right"/>
              <w:rPr>
                <w:rFonts w:cs="Arial"/>
                <w:szCs w:val="20"/>
                <w:lang w:val="en-US"/>
              </w:rPr>
            </w:pPr>
            <w:r>
              <w:rPr>
                <w:rFonts w:cs="Arial"/>
                <w:szCs w:val="20"/>
                <w:lang w:val="en-US"/>
              </w:rPr>
              <w:t>0.73</w:t>
            </w:r>
          </w:p>
        </w:tc>
        <w:tc>
          <w:tcPr>
            <w:tcW w:w="992" w:type="dxa"/>
            <w:tcBorders>
              <w:top w:val="nil"/>
              <w:left w:val="nil"/>
              <w:bottom w:val="nil"/>
              <w:right w:val="nil"/>
            </w:tcBorders>
            <w:noWrap/>
          </w:tcPr>
          <w:p w:rsidR="00944F04" w:rsidRPr="00481073" w:rsidRDefault="00944F04" w:rsidP="0050371B">
            <w:pPr>
              <w:rPr>
                <w:rFonts w:cs="Arial"/>
                <w:szCs w:val="20"/>
                <w:lang w:val="en-US"/>
              </w:rPr>
            </w:pPr>
            <w:r w:rsidRPr="00481073">
              <w:rPr>
                <w:rFonts w:cs="Arial"/>
                <w:szCs w:val="20"/>
                <w:lang w:val="en-US"/>
              </w:rPr>
              <w:t>[0.31]</w:t>
            </w:r>
          </w:p>
        </w:tc>
        <w:tc>
          <w:tcPr>
            <w:tcW w:w="815" w:type="dxa"/>
            <w:tcBorders>
              <w:top w:val="nil"/>
              <w:left w:val="nil"/>
              <w:bottom w:val="nil"/>
              <w:right w:val="nil"/>
            </w:tcBorders>
          </w:tcPr>
          <w:p w:rsidR="00944F04" w:rsidRPr="00481073" w:rsidRDefault="00944F04" w:rsidP="0050371B">
            <w:pPr>
              <w:rPr>
                <w:rFonts w:cs="Arial"/>
                <w:szCs w:val="20"/>
                <w:lang w:val="en-US"/>
              </w:rPr>
            </w:pPr>
            <w:r>
              <w:rPr>
                <w:rFonts w:cs="Arial"/>
                <w:szCs w:val="20"/>
                <w:lang w:val="en-US"/>
              </w:rPr>
              <w:t>0.74</w:t>
            </w:r>
          </w:p>
        </w:tc>
        <w:tc>
          <w:tcPr>
            <w:tcW w:w="815" w:type="dxa"/>
            <w:tcBorders>
              <w:top w:val="nil"/>
              <w:left w:val="nil"/>
              <w:bottom w:val="nil"/>
              <w:right w:val="nil"/>
            </w:tcBorders>
          </w:tcPr>
          <w:p w:rsidR="00944F04" w:rsidRPr="00481073" w:rsidRDefault="00944F04" w:rsidP="0050371B">
            <w:pPr>
              <w:rPr>
                <w:rFonts w:cs="Arial"/>
                <w:szCs w:val="20"/>
                <w:lang w:val="en-US"/>
              </w:rPr>
            </w:pPr>
            <w:r>
              <w:rPr>
                <w:rFonts w:cs="Arial"/>
                <w:szCs w:val="20"/>
                <w:lang w:val="en-US"/>
              </w:rPr>
              <w:t>[0.31]</w:t>
            </w:r>
          </w:p>
        </w:tc>
        <w:tc>
          <w:tcPr>
            <w:tcW w:w="815" w:type="dxa"/>
            <w:tcBorders>
              <w:top w:val="nil"/>
              <w:left w:val="nil"/>
              <w:bottom w:val="nil"/>
              <w:right w:val="nil"/>
            </w:tcBorders>
          </w:tcPr>
          <w:p w:rsidR="00944F04" w:rsidRPr="00481073" w:rsidRDefault="00944F04" w:rsidP="0050371B">
            <w:pPr>
              <w:rPr>
                <w:rFonts w:cs="Arial"/>
                <w:szCs w:val="20"/>
                <w:lang w:val="en-US"/>
              </w:rPr>
            </w:pPr>
            <w:r>
              <w:rPr>
                <w:rFonts w:cs="Arial"/>
                <w:szCs w:val="20"/>
                <w:lang w:val="en-US"/>
              </w:rPr>
              <w:t>0.74</w:t>
            </w:r>
          </w:p>
        </w:tc>
        <w:tc>
          <w:tcPr>
            <w:tcW w:w="673" w:type="dxa"/>
            <w:tcBorders>
              <w:top w:val="nil"/>
              <w:left w:val="nil"/>
              <w:bottom w:val="nil"/>
              <w:right w:val="nil"/>
            </w:tcBorders>
          </w:tcPr>
          <w:p w:rsidR="00944F04" w:rsidRPr="00481073" w:rsidRDefault="00944F04" w:rsidP="0050371B">
            <w:pPr>
              <w:rPr>
                <w:rFonts w:cs="Arial"/>
                <w:szCs w:val="20"/>
                <w:lang w:val="en-US"/>
              </w:rPr>
            </w:pPr>
            <w:r>
              <w:rPr>
                <w:rFonts w:cs="Arial"/>
                <w:szCs w:val="20"/>
                <w:lang w:val="en-US"/>
              </w:rPr>
              <w:t>[0.31]</w:t>
            </w:r>
          </w:p>
        </w:tc>
      </w:tr>
      <w:tr w:rsidR="00944F04" w:rsidRPr="00944F04" w:rsidTr="0050371B">
        <w:trPr>
          <w:trHeight w:val="197"/>
        </w:trPr>
        <w:tc>
          <w:tcPr>
            <w:tcW w:w="9922" w:type="dxa"/>
            <w:gridSpan w:val="9"/>
            <w:tcBorders>
              <w:top w:val="nil"/>
              <w:left w:val="nil"/>
              <w:bottom w:val="nil"/>
            </w:tcBorders>
            <w:noWrap/>
            <w:vAlign w:val="bottom"/>
          </w:tcPr>
          <w:p w:rsidR="00944F04" w:rsidRPr="00481073" w:rsidRDefault="00944F04" w:rsidP="0050371B">
            <w:pPr>
              <w:tabs>
                <w:tab w:val="left" w:pos="284"/>
                <w:tab w:val="left" w:pos="340"/>
              </w:tabs>
              <w:spacing w:after="120" w:line="360" w:lineRule="auto"/>
              <w:ind w:left="454" w:hanging="454"/>
              <w:rPr>
                <w:rFonts w:cs="Arial"/>
                <w:szCs w:val="20"/>
                <w:lang w:val="en-GB"/>
              </w:rPr>
            </w:pPr>
            <w:r w:rsidRPr="00481073">
              <w:rPr>
                <w:rFonts w:cs="Arial"/>
                <w:szCs w:val="20"/>
                <w:lang w:val="en-GB"/>
              </w:rPr>
              <w:t>NYHA, New York Heart Association; VAS, visual analogue scale; E</w:t>
            </w:r>
            <w:r>
              <w:rPr>
                <w:rFonts w:cs="Arial"/>
                <w:szCs w:val="20"/>
                <w:lang w:val="en-GB"/>
              </w:rPr>
              <w:t xml:space="preserve">Q-5D, EuroQol five-dimensional; Chronic heart failure: NYHA III and NYHA IV, , </w:t>
            </w:r>
            <w:r>
              <w:rPr>
                <w:rFonts w:cs="Arial"/>
                <w:szCs w:val="20"/>
                <w:lang w:val="en-US"/>
              </w:rPr>
              <w:t xml:space="preserve">EQ-5D Index based on German population tariff and time-trade-off </w:t>
            </w:r>
            <w:r w:rsidRPr="003437FB">
              <w:rPr>
                <w:rFonts w:cs="Arial"/>
                <w:szCs w:val="20"/>
                <w:lang w:val="en-US"/>
              </w:rPr>
              <w:lastRenderedPageBreak/>
              <w:t>scoring (27)</w:t>
            </w:r>
          </w:p>
        </w:tc>
      </w:tr>
    </w:tbl>
    <w:p w:rsidR="00F27646" w:rsidRPr="00F27646" w:rsidRDefault="00F27646" w:rsidP="00F27646">
      <w:pPr>
        <w:rPr>
          <w:rFonts w:cs="Arial"/>
          <w:szCs w:val="20"/>
          <w:lang w:val="en-US"/>
        </w:rPr>
      </w:pPr>
    </w:p>
    <w:p w:rsidR="00F27646" w:rsidRPr="00F27646" w:rsidRDefault="00F27646" w:rsidP="00F27646">
      <w:pPr>
        <w:pStyle w:val="berschrift1"/>
        <w:rPr>
          <w:lang w:val="en-US"/>
        </w:rPr>
      </w:pPr>
      <w:r w:rsidRPr="00F27646">
        <w:rPr>
          <w:lang w:val="en-US"/>
        </w:rPr>
        <w:t>3.1</w:t>
      </w:r>
      <w:r w:rsidRPr="00F27646">
        <w:rPr>
          <w:lang w:val="en-US"/>
        </w:rPr>
        <w:tab/>
        <w:t>Effects</w:t>
      </w:r>
    </w:p>
    <w:p w:rsidR="00F27646" w:rsidRPr="00F27646" w:rsidRDefault="00F27646" w:rsidP="00F27646">
      <w:pPr>
        <w:rPr>
          <w:rFonts w:cs="Arial"/>
          <w:szCs w:val="20"/>
          <w:lang w:val="en-US"/>
        </w:rPr>
      </w:pPr>
      <w:r w:rsidRPr="00F27646">
        <w:rPr>
          <w:rFonts w:cs="Arial"/>
          <w:szCs w:val="20"/>
          <w:lang w:val="en-US"/>
        </w:rPr>
        <w:t>Table 3 summarises the results of the primary analysis together with the corresponding sensitivity analyses. The adjusted mean QALY difference between intervention and control group during the three-year period was 0.0295 (p=0.2968; CI: –0.1579; 0.2169). The adjusted mean difference in VAS-ALs was 0.1332 (p=0.0912; CI: –0.0215; 0.2878). The goodness of fit of our regression models in terms of R squared (R2) was 0.35 (QALYs) and 0.34 (VAS-ALs). Applying a discount rate of 3% did not alter results. The analyses based on a multiple imputation approach reduced the differences for either measure of effectiveness.</w:t>
      </w:r>
    </w:p>
    <w:p w:rsidR="00F27646" w:rsidRPr="00F27646" w:rsidRDefault="00F27646" w:rsidP="00F27646">
      <w:pPr>
        <w:rPr>
          <w:rFonts w:cs="Arial"/>
          <w:szCs w:val="20"/>
          <w:lang w:val="en-US"/>
        </w:rPr>
      </w:pPr>
      <w:r w:rsidRPr="00F27646">
        <w:rPr>
          <w:rFonts w:cs="Arial"/>
          <w:szCs w:val="20"/>
          <w:lang w:val="en-US"/>
        </w:rPr>
        <w:t>Table 4 summarises the secondary analyses and shows utilities (EQ-5D Index) and VAS scores among survivors in the two treatment arms over time. In the intervention group, utility scores from EQ-5D-3L were significantly higher at month 3 (+0.078) and month 6 (+0.052) than at baseline. However, scores returned towards baseline levels at 12 months and were lower than baseline scores in the second and third years, although statistically not significant. In the control group, utility scores did not change during the first year, but there was a significant decrease in utility scores in the second (–0.068) and third years (–0.142). In the third year, the intervention group had a significantly higher utility score than the control group (+0.104, p=0.0054).</w:t>
      </w:r>
    </w:p>
    <w:p w:rsidR="00F27646" w:rsidRPr="00F27646" w:rsidRDefault="00F27646" w:rsidP="00F27646">
      <w:pPr>
        <w:rPr>
          <w:rFonts w:cs="Arial"/>
          <w:szCs w:val="20"/>
          <w:lang w:val="en-US"/>
        </w:rPr>
      </w:pPr>
      <w:r w:rsidRPr="00F27646">
        <w:rPr>
          <w:rFonts w:cs="Arial"/>
          <w:szCs w:val="20"/>
          <w:lang w:val="en-US"/>
        </w:rPr>
        <w:t>VAS values showed significant improvements between baseline and all subsequent measurement time points in the intervention group and no significant changes from baseline in the control group. In the third year, the intervention group had a significantly higher VAS value than the control group (+8.15, p=0.0010) and VAS values in the intervention group were significantly higher over all time points.</w:t>
      </w:r>
    </w:p>
    <w:p w:rsidR="00F27646" w:rsidRDefault="00F27646" w:rsidP="00F27646">
      <w:pPr>
        <w:rPr>
          <w:rFonts w:cs="Arial"/>
          <w:szCs w:val="20"/>
          <w:lang w:val="en-US"/>
        </w:rPr>
      </w:pPr>
      <w:r w:rsidRPr="00F27646">
        <w:rPr>
          <w:rFonts w:cs="Arial"/>
          <w:szCs w:val="20"/>
          <w:lang w:val="en-US"/>
        </w:rPr>
        <w:t>Insert Table 3</w:t>
      </w:r>
    </w:p>
    <w:p w:rsidR="00D60E9F" w:rsidRPr="00481073" w:rsidRDefault="00D60E9F" w:rsidP="00D60E9F">
      <w:pPr>
        <w:tabs>
          <w:tab w:val="left" w:pos="284"/>
          <w:tab w:val="left" w:pos="340"/>
        </w:tabs>
        <w:spacing w:after="120"/>
        <w:rPr>
          <w:rFonts w:cs="Arial"/>
          <w:szCs w:val="20"/>
          <w:lang w:val="en-GB"/>
        </w:rPr>
      </w:pPr>
      <w:r w:rsidRPr="00481073">
        <w:rPr>
          <w:rFonts w:cs="Arial"/>
          <w:b/>
          <w:szCs w:val="20"/>
          <w:lang w:val="en-GB"/>
        </w:rPr>
        <w:t>Table 3</w:t>
      </w:r>
      <w:r w:rsidRPr="00481073">
        <w:rPr>
          <w:rFonts w:cs="Arial"/>
          <w:szCs w:val="20"/>
          <w:lang w:val="en-GB"/>
        </w:rPr>
        <w:t xml:space="preserve"> Effectiveness</w:t>
      </w:r>
      <w:r>
        <w:rPr>
          <w:rFonts w:cs="Arial"/>
          <w:szCs w:val="20"/>
          <w:lang w:val="en-GB"/>
        </w:rPr>
        <w:t xml:space="preserve"> in</w:t>
      </w:r>
      <w:r w:rsidRPr="00481073">
        <w:rPr>
          <w:rFonts w:cs="Arial"/>
          <w:szCs w:val="20"/>
          <w:lang w:val="en-GB"/>
        </w:rPr>
        <w:t xml:space="preserve"> </w:t>
      </w:r>
      <w:r>
        <w:rPr>
          <w:rFonts w:cs="Arial"/>
          <w:szCs w:val="20"/>
          <w:lang w:val="en-GB"/>
        </w:rPr>
        <w:t xml:space="preserve">QALYs and VAS-ALs </w:t>
      </w:r>
      <w:r>
        <w:rPr>
          <w:rFonts w:cs="Arial"/>
          <w:szCs w:val="20"/>
          <w:lang w:val="en-US"/>
        </w:rPr>
        <w:t>a</w:t>
      </w:r>
      <w:r w:rsidRPr="003A1584">
        <w:rPr>
          <w:rFonts w:cs="Arial"/>
          <w:szCs w:val="20"/>
          <w:lang w:val="en-US"/>
        </w:rPr>
        <w:t>djusted for gender, age</w:t>
      </w:r>
      <w:r>
        <w:rPr>
          <w:rFonts w:cs="Arial"/>
          <w:szCs w:val="20"/>
          <w:lang w:val="en-US"/>
        </w:rPr>
        <w:t>,</w:t>
      </w:r>
      <w:r w:rsidRPr="003A1584">
        <w:rPr>
          <w:rFonts w:cs="Arial"/>
          <w:szCs w:val="20"/>
          <w:lang w:val="en-US"/>
        </w:rPr>
        <w:t xml:space="preserve"> </w:t>
      </w:r>
      <w:r>
        <w:rPr>
          <w:rFonts w:cs="Arial"/>
          <w:szCs w:val="20"/>
          <w:lang w:val="en-US"/>
        </w:rPr>
        <w:t xml:space="preserve">number of </w:t>
      </w:r>
      <w:r w:rsidRPr="003A1584">
        <w:rPr>
          <w:rFonts w:cs="Arial"/>
          <w:szCs w:val="20"/>
          <w:lang w:val="en-US"/>
        </w:rPr>
        <w:t>c</w:t>
      </w:r>
      <w:r>
        <w:rPr>
          <w:rFonts w:cs="Arial"/>
          <w:szCs w:val="20"/>
          <w:lang w:val="en-US"/>
        </w:rPr>
        <w:t xml:space="preserve">omorbidities (diabetes and CHF), and </w:t>
      </w:r>
      <w:r w:rsidRPr="003A1584">
        <w:rPr>
          <w:rFonts w:cs="Arial"/>
          <w:szCs w:val="20"/>
          <w:lang w:val="en-US"/>
        </w:rPr>
        <w:t>ba</w:t>
      </w:r>
      <w:r>
        <w:rPr>
          <w:rFonts w:cs="Arial"/>
          <w:szCs w:val="20"/>
          <w:lang w:val="en-US"/>
        </w:rPr>
        <w:t>seline values for health states;</w:t>
      </w:r>
      <w:r>
        <w:rPr>
          <w:rFonts w:cs="Arial"/>
          <w:szCs w:val="20"/>
          <w:lang w:val="en-GB"/>
        </w:rPr>
        <w:t xml:space="preserve"> cost differences </w:t>
      </w:r>
      <w:r>
        <w:rPr>
          <w:rFonts w:cs="Arial"/>
          <w:szCs w:val="20"/>
          <w:lang w:val="en-US"/>
        </w:rPr>
        <w:t>a</w:t>
      </w:r>
      <w:r w:rsidRPr="003A1584">
        <w:rPr>
          <w:rFonts w:cs="Arial"/>
          <w:szCs w:val="20"/>
          <w:lang w:val="en-US"/>
        </w:rPr>
        <w:t>djusted for gender, age</w:t>
      </w:r>
      <w:r>
        <w:rPr>
          <w:rFonts w:cs="Arial"/>
          <w:szCs w:val="20"/>
          <w:lang w:val="en-US"/>
        </w:rPr>
        <w:t>, and</w:t>
      </w:r>
      <w:r w:rsidRPr="003A1584">
        <w:rPr>
          <w:rFonts w:cs="Arial"/>
          <w:szCs w:val="20"/>
          <w:lang w:val="en-US"/>
        </w:rPr>
        <w:t xml:space="preserve"> </w:t>
      </w:r>
      <w:r>
        <w:rPr>
          <w:rFonts w:cs="Arial"/>
          <w:szCs w:val="20"/>
          <w:lang w:val="en-US"/>
        </w:rPr>
        <w:t xml:space="preserve">number of </w:t>
      </w:r>
      <w:r w:rsidRPr="003A1584">
        <w:rPr>
          <w:rFonts w:cs="Arial"/>
          <w:szCs w:val="20"/>
          <w:lang w:val="en-US"/>
        </w:rPr>
        <w:t>comorbidities (diabetes and CHF)</w:t>
      </w:r>
    </w:p>
    <w:tbl>
      <w:tblPr>
        <w:tblW w:w="13608" w:type="dxa"/>
        <w:tblInd w:w="70" w:type="dxa"/>
        <w:tblLayout w:type="fixed"/>
        <w:tblCellMar>
          <w:left w:w="70" w:type="dxa"/>
          <w:right w:w="70" w:type="dxa"/>
        </w:tblCellMar>
        <w:tblLook w:val="0000" w:firstRow="0" w:lastRow="0" w:firstColumn="0" w:lastColumn="0" w:noHBand="0" w:noVBand="0"/>
      </w:tblPr>
      <w:tblGrid>
        <w:gridCol w:w="3544"/>
        <w:gridCol w:w="2126"/>
        <w:gridCol w:w="2552"/>
        <w:gridCol w:w="2693"/>
        <w:gridCol w:w="2693"/>
      </w:tblGrid>
      <w:tr w:rsidR="00D60E9F" w:rsidRPr="00B722C4" w:rsidTr="0050371B">
        <w:trPr>
          <w:trHeight w:val="327"/>
        </w:trPr>
        <w:tc>
          <w:tcPr>
            <w:tcW w:w="3544" w:type="dxa"/>
            <w:tcBorders>
              <w:top w:val="single" w:sz="4" w:space="0" w:color="auto"/>
              <w:left w:val="nil"/>
              <w:bottom w:val="single" w:sz="4" w:space="0" w:color="auto"/>
              <w:right w:val="nil"/>
            </w:tcBorders>
            <w:vAlign w:val="bottom"/>
          </w:tcPr>
          <w:p w:rsidR="00D60E9F" w:rsidRDefault="00D60E9F" w:rsidP="0050371B">
            <w:pPr>
              <w:spacing w:line="276" w:lineRule="auto"/>
              <w:rPr>
                <w:rFonts w:cs="Arial"/>
                <w:szCs w:val="20"/>
                <w:lang w:val="en-GB"/>
              </w:rPr>
            </w:pPr>
          </w:p>
        </w:tc>
        <w:tc>
          <w:tcPr>
            <w:tcW w:w="2126" w:type="dxa"/>
            <w:tcBorders>
              <w:top w:val="single" w:sz="4" w:space="0" w:color="auto"/>
              <w:left w:val="nil"/>
              <w:bottom w:val="single" w:sz="4" w:space="0" w:color="auto"/>
              <w:right w:val="nil"/>
            </w:tcBorders>
          </w:tcPr>
          <w:p w:rsidR="00D60E9F" w:rsidRPr="00481073" w:rsidRDefault="00D60E9F" w:rsidP="0050371B">
            <w:pPr>
              <w:spacing w:line="276" w:lineRule="auto"/>
              <w:rPr>
                <w:rFonts w:cs="Arial"/>
                <w:szCs w:val="20"/>
                <w:lang w:val="en-US"/>
              </w:rPr>
            </w:pPr>
            <w:r>
              <w:rPr>
                <w:rFonts w:cs="Arial"/>
                <w:szCs w:val="20"/>
                <w:lang w:val="en-US"/>
              </w:rPr>
              <w:t xml:space="preserve">Primary analysis </w:t>
            </w:r>
            <w:r>
              <w:rPr>
                <w:rFonts w:cs="Arial"/>
                <w:szCs w:val="20"/>
                <w:lang w:val="en-US"/>
              </w:rPr>
              <w:br/>
              <w:t>(n=269) without discounting</w:t>
            </w:r>
          </w:p>
        </w:tc>
        <w:tc>
          <w:tcPr>
            <w:tcW w:w="2552" w:type="dxa"/>
            <w:tcBorders>
              <w:top w:val="single" w:sz="4" w:space="0" w:color="auto"/>
              <w:bottom w:val="single" w:sz="4" w:space="0" w:color="auto"/>
            </w:tcBorders>
          </w:tcPr>
          <w:p w:rsidR="00D60E9F" w:rsidRDefault="00D60E9F" w:rsidP="0050371B">
            <w:pPr>
              <w:spacing w:line="276" w:lineRule="auto"/>
              <w:rPr>
                <w:rFonts w:cs="Arial"/>
                <w:szCs w:val="20"/>
                <w:lang w:val="en-US"/>
              </w:rPr>
            </w:pPr>
            <w:r>
              <w:rPr>
                <w:rFonts w:cs="Arial"/>
                <w:szCs w:val="20"/>
                <w:lang w:val="en-US"/>
              </w:rPr>
              <w:t xml:space="preserve">Primary analysis </w:t>
            </w:r>
            <w:r>
              <w:rPr>
                <w:rFonts w:cs="Arial"/>
                <w:szCs w:val="20"/>
                <w:lang w:val="en-US"/>
              </w:rPr>
              <w:br/>
              <w:t>(n=269)</w:t>
            </w:r>
          </w:p>
          <w:p w:rsidR="00D60E9F" w:rsidRDefault="00D60E9F" w:rsidP="0050371B">
            <w:pPr>
              <w:spacing w:line="276" w:lineRule="auto"/>
              <w:rPr>
                <w:rFonts w:cs="Arial"/>
                <w:szCs w:val="20"/>
                <w:lang w:val="en-US"/>
              </w:rPr>
            </w:pPr>
            <w:r>
              <w:rPr>
                <w:rFonts w:cs="Arial"/>
                <w:szCs w:val="20"/>
                <w:lang w:val="en-US"/>
              </w:rPr>
              <w:t>discount rate = 3%</w:t>
            </w:r>
          </w:p>
        </w:tc>
        <w:tc>
          <w:tcPr>
            <w:tcW w:w="2693" w:type="dxa"/>
            <w:tcBorders>
              <w:top w:val="single" w:sz="4" w:space="0" w:color="auto"/>
              <w:bottom w:val="single" w:sz="4" w:space="0" w:color="auto"/>
            </w:tcBorders>
          </w:tcPr>
          <w:p w:rsidR="00D60E9F" w:rsidRDefault="00D60E9F" w:rsidP="0050371B">
            <w:pPr>
              <w:spacing w:line="276" w:lineRule="auto"/>
              <w:rPr>
                <w:rFonts w:cs="Arial"/>
                <w:szCs w:val="20"/>
                <w:lang w:val="en-US"/>
              </w:rPr>
            </w:pPr>
            <w:r>
              <w:rPr>
                <w:rFonts w:cs="Arial"/>
                <w:szCs w:val="20"/>
                <w:lang w:val="en-US"/>
              </w:rPr>
              <w:t>Sensitivity analysis</w:t>
            </w:r>
            <w:r>
              <w:rPr>
                <w:rFonts w:cs="Arial"/>
                <w:szCs w:val="20"/>
                <w:lang w:val="en-US"/>
              </w:rPr>
              <w:br/>
              <w:t>Multiple Imputation (n=329)</w:t>
            </w:r>
          </w:p>
          <w:p w:rsidR="00D60E9F" w:rsidRPr="00481073" w:rsidRDefault="00D60E9F" w:rsidP="0050371B">
            <w:pPr>
              <w:spacing w:line="276" w:lineRule="auto"/>
              <w:rPr>
                <w:rFonts w:cs="Arial"/>
                <w:szCs w:val="20"/>
                <w:lang w:val="en-US"/>
              </w:rPr>
            </w:pPr>
            <w:r>
              <w:rPr>
                <w:rFonts w:cs="Arial"/>
                <w:szCs w:val="20"/>
                <w:lang w:val="en-US"/>
              </w:rPr>
              <w:t>without discounting</w:t>
            </w:r>
          </w:p>
        </w:tc>
        <w:tc>
          <w:tcPr>
            <w:tcW w:w="2693" w:type="dxa"/>
            <w:tcBorders>
              <w:top w:val="single" w:sz="4" w:space="0" w:color="auto"/>
              <w:bottom w:val="single" w:sz="4" w:space="0" w:color="auto"/>
            </w:tcBorders>
          </w:tcPr>
          <w:p w:rsidR="00D60E9F" w:rsidRDefault="00D60E9F" w:rsidP="0050371B">
            <w:pPr>
              <w:spacing w:line="276" w:lineRule="auto"/>
              <w:rPr>
                <w:rFonts w:cs="Arial"/>
                <w:szCs w:val="20"/>
                <w:lang w:val="en-US"/>
              </w:rPr>
            </w:pPr>
            <w:r>
              <w:rPr>
                <w:rFonts w:cs="Arial"/>
                <w:szCs w:val="20"/>
                <w:lang w:val="en-US"/>
              </w:rPr>
              <w:t>Sensitivity analysis</w:t>
            </w:r>
            <w:r>
              <w:rPr>
                <w:rFonts w:cs="Arial"/>
                <w:szCs w:val="20"/>
                <w:lang w:val="en-US"/>
              </w:rPr>
              <w:br/>
              <w:t>Multiple Imputation (n=329)</w:t>
            </w:r>
          </w:p>
          <w:p w:rsidR="00D60E9F" w:rsidRDefault="00D60E9F" w:rsidP="0050371B">
            <w:pPr>
              <w:spacing w:line="276" w:lineRule="auto"/>
              <w:rPr>
                <w:rFonts w:cs="Arial"/>
                <w:szCs w:val="20"/>
                <w:lang w:val="en-US"/>
              </w:rPr>
            </w:pPr>
            <w:r>
              <w:rPr>
                <w:rFonts w:cs="Arial"/>
                <w:szCs w:val="20"/>
                <w:lang w:val="en-US"/>
              </w:rPr>
              <w:t>discount rate = 3%</w:t>
            </w:r>
          </w:p>
        </w:tc>
      </w:tr>
      <w:tr w:rsidR="00D60E9F" w:rsidRPr="00D60E9F" w:rsidTr="0050371B">
        <w:trPr>
          <w:trHeight w:val="327"/>
        </w:trPr>
        <w:tc>
          <w:tcPr>
            <w:tcW w:w="3544" w:type="dxa"/>
            <w:tcBorders>
              <w:top w:val="single" w:sz="4" w:space="0" w:color="auto"/>
              <w:left w:val="nil"/>
              <w:bottom w:val="single" w:sz="4" w:space="0" w:color="auto"/>
              <w:right w:val="nil"/>
            </w:tcBorders>
            <w:vAlign w:val="bottom"/>
          </w:tcPr>
          <w:p w:rsidR="00D60E9F" w:rsidRDefault="00D60E9F" w:rsidP="0050371B">
            <w:pPr>
              <w:spacing w:line="276" w:lineRule="auto"/>
              <w:rPr>
                <w:rFonts w:cs="Arial"/>
                <w:szCs w:val="20"/>
                <w:lang w:val="en-GB"/>
              </w:rPr>
            </w:pPr>
          </w:p>
        </w:tc>
        <w:tc>
          <w:tcPr>
            <w:tcW w:w="2126" w:type="dxa"/>
            <w:tcBorders>
              <w:top w:val="single" w:sz="4" w:space="0" w:color="auto"/>
              <w:left w:val="nil"/>
              <w:bottom w:val="single" w:sz="4" w:space="0" w:color="auto"/>
              <w:right w:val="nil"/>
            </w:tcBorders>
          </w:tcPr>
          <w:p w:rsidR="00D60E9F" w:rsidRDefault="00D60E9F" w:rsidP="0050371B">
            <w:pPr>
              <w:spacing w:line="276" w:lineRule="auto"/>
              <w:rPr>
                <w:rFonts w:cs="Arial"/>
                <w:szCs w:val="20"/>
                <w:lang w:val="en-US"/>
              </w:rPr>
            </w:pPr>
            <w:r w:rsidRPr="00481073">
              <w:rPr>
                <w:rFonts w:cs="Arial"/>
                <w:szCs w:val="20"/>
                <w:lang w:val="en-US"/>
              </w:rPr>
              <w:t>Difference</w:t>
            </w:r>
            <w:r>
              <w:rPr>
                <w:rFonts w:cs="Arial"/>
                <w:szCs w:val="20"/>
                <w:lang w:val="en-US"/>
              </w:rPr>
              <w:t xml:space="preserve"> (p-value)</w:t>
            </w:r>
          </w:p>
          <w:p w:rsidR="00D60E9F" w:rsidRPr="00481073" w:rsidRDefault="00D60E9F" w:rsidP="0050371B">
            <w:pPr>
              <w:spacing w:line="276" w:lineRule="auto"/>
              <w:rPr>
                <w:rFonts w:cs="Arial"/>
                <w:szCs w:val="20"/>
                <w:lang w:val="en-US"/>
              </w:rPr>
            </w:pPr>
            <w:r>
              <w:rPr>
                <w:rFonts w:cs="Arial"/>
                <w:szCs w:val="20"/>
                <w:lang w:val="en-US"/>
              </w:rPr>
              <w:t>IG-CG</w:t>
            </w:r>
          </w:p>
        </w:tc>
        <w:tc>
          <w:tcPr>
            <w:tcW w:w="2552" w:type="dxa"/>
            <w:tcBorders>
              <w:bottom w:val="single" w:sz="4" w:space="0" w:color="auto"/>
            </w:tcBorders>
          </w:tcPr>
          <w:p w:rsidR="00D60E9F" w:rsidRDefault="00D60E9F" w:rsidP="0050371B">
            <w:pPr>
              <w:spacing w:line="276" w:lineRule="auto"/>
              <w:rPr>
                <w:rFonts w:cs="Arial"/>
                <w:szCs w:val="20"/>
                <w:lang w:val="en-US"/>
              </w:rPr>
            </w:pPr>
            <w:r>
              <w:rPr>
                <w:rFonts w:cs="Arial"/>
                <w:szCs w:val="20"/>
                <w:lang w:val="en-US"/>
              </w:rPr>
              <w:t>Difference (p-value)</w:t>
            </w:r>
          </w:p>
          <w:p w:rsidR="00D60E9F" w:rsidRPr="00481073" w:rsidRDefault="00D60E9F" w:rsidP="0050371B">
            <w:pPr>
              <w:spacing w:line="276" w:lineRule="auto"/>
              <w:rPr>
                <w:rFonts w:cs="Arial"/>
                <w:szCs w:val="20"/>
                <w:lang w:val="en-US"/>
              </w:rPr>
            </w:pPr>
            <w:r>
              <w:rPr>
                <w:rFonts w:cs="Arial"/>
                <w:szCs w:val="20"/>
                <w:lang w:val="en-US"/>
              </w:rPr>
              <w:t>IG-CG</w:t>
            </w:r>
          </w:p>
        </w:tc>
        <w:tc>
          <w:tcPr>
            <w:tcW w:w="2693" w:type="dxa"/>
            <w:tcBorders>
              <w:bottom w:val="single" w:sz="4" w:space="0" w:color="auto"/>
            </w:tcBorders>
          </w:tcPr>
          <w:p w:rsidR="00D60E9F" w:rsidRDefault="00D60E9F" w:rsidP="0050371B">
            <w:pPr>
              <w:spacing w:line="276" w:lineRule="auto"/>
              <w:rPr>
                <w:rFonts w:cs="Arial"/>
                <w:szCs w:val="20"/>
                <w:lang w:val="en-US"/>
              </w:rPr>
            </w:pPr>
            <w:r w:rsidRPr="00481073">
              <w:rPr>
                <w:rFonts w:cs="Arial"/>
                <w:szCs w:val="20"/>
                <w:lang w:val="en-US"/>
              </w:rPr>
              <w:t>Difference</w:t>
            </w:r>
            <w:r>
              <w:rPr>
                <w:rFonts w:cs="Arial"/>
                <w:szCs w:val="20"/>
                <w:lang w:val="en-US"/>
              </w:rPr>
              <w:t xml:space="preserve"> (p-value)</w:t>
            </w:r>
          </w:p>
          <w:p w:rsidR="00D60E9F" w:rsidRPr="00481073" w:rsidRDefault="00D60E9F" w:rsidP="0050371B">
            <w:pPr>
              <w:spacing w:line="276" w:lineRule="auto"/>
              <w:rPr>
                <w:rFonts w:cs="Arial"/>
                <w:szCs w:val="20"/>
                <w:lang w:val="en-US"/>
              </w:rPr>
            </w:pPr>
            <w:r>
              <w:rPr>
                <w:rFonts w:cs="Arial"/>
                <w:szCs w:val="20"/>
                <w:lang w:val="en-US"/>
              </w:rPr>
              <w:t>IG-CG</w:t>
            </w:r>
          </w:p>
        </w:tc>
        <w:tc>
          <w:tcPr>
            <w:tcW w:w="2693" w:type="dxa"/>
            <w:tcBorders>
              <w:bottom w:val="single" w:sz="4" w:space="0" w:color="auto"/>
            </w:tcBorders>
          </w:tcPr>
          <w:p w:rsidR="00D60E9F" w:rsidRDefault="00D60E9F" w:rsidP="0050371B">
            <w:pPr>
              <w:spacing w:line="276" w:lineRule="auto"/>
              <w:rPr>
                <w:rFonts w:cs="Arial"/>
                <w:szCs w:val="20"/>
                <w:lang w:val="en-US"/>
              </w:rPr>
            </w:pPr>
            <w:r w:rsidRPr="00481073">
              <w:rPr>
                <w:rFonts w:cs="Arial"/>
                <w:szCs w:val="20"/>
                <w:lang w:val="en-US"/>
              </w:rPr>
              <w:t>Difference</w:t>
            </w:r>
            <w:r>
              <w:rPr>
                <w:rFonts w:cs="Arial"/>
                <w:szCs w:val="20"/>
                <w:lang w:val="en-US"/>
              </w:rPr>
              <w:t xml:space="preserve"> (p-value)</w:t>
            </w:r>
          </w:p>
          <w:p w:rsidR="00D60E9F" w:rsidRPr="00481073" w:rsidRDefault="00D60E9F" w:rsidP="0050371B">
            <w:pPr>
              <w:spacing w:line="276" w:lineRule="auto"/>
              <w:rPr>
                <w:rFonts w:cs="Arial"/>
                <w:szCs w:val="20"/>
                <w:lang w:val="en-US"/>
              </w:rPr>
            </w:pPr>
            <w:r>
              <w:rPr>
                <w:rFonts w:cs="Arial"/>
                <w:szCs w:val="20"/>
                <w:lang w:val="en-US"/>
              </w:rPr>
              <w:t>IG-CG</w:t>
            </w:r>
          </w:p>
        </w:tc>
      </w:tr>
      <w:tr w:rsidR="00D60E9F" w:rsidRPr="006D6BF5" w:rsidTr="0050371B">
        <w:trPr>
          <w:trHeight w:val="774"/>
        </w:trPr>
        <w:tc>
          <w:tcPr>
            <w:tcW w:w="3544" w:type="dxa"/>
            <w:tcBorders>
              <w:top w:val="nil"/>
              <w:left w:val="nil"/>
              <w:bottom w:val="nil"/>
              <w:right w:val="nil"/>
            </w:tcBorders>
            <w:noWrap/>
          </w:tcPr>
          <w:p w:rsidR="00D60E9F" w:rsidRDefault="00D60E9F" w:rsidP="0050371B">
            <w:pPr>
              <w:ind w:left="454"/>
              <w:rPr>
                <w:rFonts w:cs="Arial"/>
                <w:szCs w:val="20"/>
                <w:lang w:val="en-US"/>
              </w:rPr>
            </w:pPr>
          </w:p>
          <w:p w:rsidR="00D60E9F" w:rsidRPr="00967CA9" w:rsidRDefault="00D60E9F" w:rsidP="0050371B">
            <w:pPr>
              <w:ind w:left="454"/>
              <w:rPr>
                <w:rFonts w:cs="Arial"/>
                <w:szCs w:val="20"/>
                <w:lang w:val="en-US"/>
              </w:rPr>
            </w:pPr>
            <w:r w:rsidRPr="00967CA9">
              <w:rPr>
                <w:rFonts w:cs="Arial"/>
                <w:szCs w:val="20"/>
                <w:lang w:val="en-US"/>
              </w:rPr>
              <w:t>QALYs (p-value)</w:t>
            </w:r>
          </w:p>
        </w:tc>
        <w:tc>
          <w:tcPr>
            <w:tcW w:w="2126" w:type="dxa"/>
            <w:tcBorders>
              <w:top w:val="nil"/>
              <w:left w:val="nil"/>
              <w:bottom w:val="nil"/>
              <w:right w:val="nil"/>
            </w:tcBorders>
            <w:noWrap/>
          </w:tcPr>
          <w:p w:rsidR="00D60E9F" w:rsidRDefault="00D60E9F" w:rsidP="0050371B">
            <w:pPr>
              <w:rPr>
                <w:rFonts w:cs="Arial"/>
                <w:szCs w:val="20"/>
                <w:lang w:val="en-US"/>
              </w:rPr>
            </w:pPr>
          </w:p>
          <w:p w:rsidR="00D60E9F" w:rsidRPr="00967CA9" w:rsidRDefault="00D60E9F" w:rsidP="0050371B">
            <w:pPr>
              <w:rPr>
                <w:rFonts w:cs="Arial"/>
                <w:szCs w:val="20"/>
                <w:lang w:val="en-US"/>
              </w:rPr>
            </w:pPr>
            <w:r>
              <w:rPr>
                <w:rFonts w:cs="Arial"/>
                <w:szCs w:val="20"/>
                <w:lang w:val="en-US"/>
              </w:rPr>
              <w:t>0.0295</w:t>
            </w:r>
            <w:r w:rsidRPr="00967CA9">
              <w:rPr>
                <w:rFonts w:cs="Arial"/>
                <w:szCs w:val="20"/>
                <w:lang w:val="en-US"/>
              </w:rPr>
              <w:t xml:space="preserve"> (0.</w:t>
            </w:r>
            <w:r>
              <w:rPr>
                <w:rFonts w:cs="Arial"/>
                <w:szCs w:val="20"/>
                <w:lang w:val="en-US"/>
              </w:rPr>
              <w:t>7568</w:t>
            </w:r>
            <w:r w:rsidRPr="00967CA9">
              <w:rPr>
                <w:rFonts w:cs="Arial"/>
                <w:szCs w:val="20"/>
                <w:lang w:val="en-US"/>
              </w:rPr>
              <w:t>)</w:t>
            </w:r>
          </w:p>
          <w:p w:rsidR="00D60E9F" w:rsidRPr="00967CA9" w:rsidRDefault="00D60E9F" w:rsidP="0050371B">
            <w:pPr>
              <w:rPr>
                <w:rFonts w:cs="Arial"/>
                <w:szCs w:val="20"/>
                <w:lang w:val="en-US"/>
              </w:rPr>
            </w:pPr>
            <w:r w:rsidRPr="00967CA9">
              <w:rPr>
                <w:rFonts w:cs="Arial"/>
                <w:szCs w:val="20"/>
                <w:lang w:val="en-US"/>
              </w:rPr>
              <w:t xml:space="preserve">CI: </w:t>
            </w:r>
            <w:r w:rsidRPr="00ED5409">
              <w:rPr>
                <w:rFonts w:cs="Arial"/>
                <w:szCs w:val="20"/>
                <w:lang w:val="en-US"/>
              </w:rPr>
              <w:t>–0</w:t>
            </w:r>
            <w:r w:rsidRPr="00967CA9">
              <w:rPr>
                <w:rFonts w:cs="Arial"/>
                <w:szCs w:val="20"/>
                <w:lang w:val="en-US"/>
              </w:rPr>
              <w:t>.</w:t>
            </w:r>
            <w:r>
              <w:rPr>
                <w:rFonts w:cs="Arial"/>
                <w:szCs w:val="20"/>
                <w:lang w:val="en-US"/>
              </w:rPr>
              <w:t xml:space="preserve">1579 </w:t>
            </w:r>
            <w:r w:rsidRPr="00967CA9">
              <w:rPr>
                <w:rFonts w:cs="Arial"/>
                <w:szCs w:val="20"/>
                <w:lang w:val="en-US"/>
              </w:rPr>
              <w:t>to 0.</w:t>
            </w:r>
            <w:r>
              <w:rPr>
                <w:rFonts w:cs="Arial"/>
                <w:szCs w:val="20"/>
                <w:lang w:val="en-US"/>
              </w:rPr>
              <w:t>2169</w:t>
            </w:r>
          </w:p>
        </w:tc>
        <w:tc>
          <w:tcPr>
            <w:tcW w:w="2552" w:type="dxa"/>
          </w:tcPr>
          <w:p w:rsidR="00D60E9F" w:rsidRDefault="00D60E9F" w:rsidP="0050371B">
            <w:pPr>
              <w:rPr>
                <w:rFonts w:cs="Arial"/>
                <w:szCs w:val="20"/>
                <w:lang w:val="en-US"/>
              </w:rPr>
            </w:pPr>
          </w:p>
          <w:p w:rsidR="00D60E9F" w:rsidRDefault="00D60E9F" w:rsidP="0050371B">
            <w:pPr>
              <w:rPr>
                <w:rFonts w:cs="Arial"/>
                <w:szCs w:val="20"/>
                <w:lang w:val="en-US"/>
              </w:rPr>
            </w:pPr>
            <w:r>
              <w:rPr>
                <w:rFonts w:cs="Arial"/>
                <w:szCs w:val="20"/>
                <w:lang w:val="en-US"/>
              </w:rPr>
              <w:t>0.0268 (0.7714)</w:t>
            </w:r>
          </w:p>
          <w:p w:rsidR="00D60E9F" w:rsidRPr="006D6BF5" w:rsidRDefault="00D60E9F" w:rsidP="0050371B">
            <w:pPr>
              <w:rPr>
                <w:rFonts w:cs="Arial"/>
                <w:szCs w:val="20"/>
                <w:highlight w:val="yellow"/>
                <w:lang w:val="en-US"/>
              </w:rPr>
            </w:pPr>
            <w:r>
              <w:rPr>
                <w:rFonts w:cs="Arial"/>
                <w:szCs w:val="20"/>
                <w:lang w:val="en-US"/>
              </w:rPr>
              <w:t xml:space="preserve">CI: </w:t>
            </w:r>
            <w:r w:rsidRPr="00ED5409">
              <w:rPr>
                <w:rFonts w:cs="Arial"/>
                <w:szCs w:val="20"/>
                <w:lang w:val="en-US"/>
              </w:rPr>
              <w:t>–</w:t>
            </w:r>
            <w:r>
              <w:rPr>
                <w:rFonts w:cs="Arial"/>
                <w:szCs w:val="20"/>
                <w:lang w:val="en-US"/>
              </w:rPr>
              <w:t>0.1544 to 0.2079</w:t>
            </w:r>
          </w:p>
        </w:tc>
        <w:tc>
          <w:tcPr>
            <w:tcW w:w="2693" w:type="dxa"/>
          </w:tcPr>
          <w:p w:rsidR="00D60E9F" w:rsidRDefault="00D60E9F" w:rsidP="0050371B">
            <w:pPr>
              <w:rPr>
                <w:rFonts w:cs="Arial"/>
                <w:szCs w:val="20"/>
                <w:lang w:val="en-US"/>
              </w:rPr>
            </w:pPr>
          </w:p>
          <w:p w:rsidR="00D60E9F" w:rsidRDefault="00D60E9F" w:rsidP="0050371B">
            <w:pPr>
              <w:rPr>
                <w:rFonts w:cs="Arial"/>
                <w:szCs w:val="20"/>
                <w:lang w:val="en-US"/>
              </w:rPr>
            </w:pPr>
            <w:r>
              <w:rPr>
                <w:rFonts w:cs="Arial"/>
                <w:szCs w:val="20"/>
                <w:lang w:val="en-US"/>
              </w:rPr>
              <w:t>0.0023 (0.984)</w:t>
            </w:r>
          </w:p>
          <w:p w:rsidR="00D60E9F" w:rsidRPr="00967CA9" w:rsidRDefault="00D60E9F" w:rsidP="0050371B">
            <w:pPr>
              <w:rPr>
                <w:rFonts w:cs="Arial"/>
                <w:szCs w:val="20"/>
                <w:lang w:val="en-US"/>
              </w:rPr>
            </w:pPr>
            <w:r w:rsidRPr="00ED5409">
              <w:rPr>
                <w:rFonts w:cs="Arial"/>
                <w:szCs w:val="20"/>
                <w:lang w:val="en-US"/>
              </w:rPr>
              <w:t>CI: –</w:t>
            </w:r>
            <w:r>
              <w:rPr>
                <w:rFonts w:cs="Arial"/>
                <w:szCs w:val="20"/>
                <w:lang w:val="en-US"/>
              </w:rPr>
              <w:t>0.1847 to 0.1843</w:t>
            </w:r>
          </w:p>
        </w:tc>
        <w:tc>
          <w:tcPr>
            <w:tcW w:w="2693" w:type="dxa"/>
          </w:tcPr>
          <w:p w:rsidR="00D60E9F" w:rsidRDefault="00D60E9F" w:rsidP="0050371B">
            <w:pPr>
              <w:rPr>
                <w:rFonts w:cs="Arial"/>
                <w:szCs w:val="20"/>
                <w:lang w:val="en-US"/>
              </w:rPr>
            </w:pPr>
          </w:p>
          <w:p w:rsidR="00D60E9F" w:rsidRDefault="00D60E9F" w:rsidP="0050371B">
            <w:pPr>
              <w:rPr>
                <w:rFonts w:cs="Arial"/>
                <w:szCs w:val="20"/>
                <w:lang w:val="en-US"/>
              </w:rPr>
            </w:pPr>
            <w:r w:rsidRPr="007C6276">
              <w:rPr>
                <w:rFonts w:cs="Arial"/>
                <w:szCs w:val="20"/>
                <w:lang w:val="en-US"/>
              </w:rPr>
              <w:t>0.0010</w:t>
            </w:r>
            <w:r>
              <w:rPr>
                <w:rFonts w:cs="Arial"/>
                <w:szCs w:val="20"/>
                <w:lang w:val="en-US"/>
              </w:rPr>
              <w:t xml:space="preserve"> (0.996)</w:t>
            </w:r>
          </w:p>
          <w:p w:rsidR="00D60E9F" w:rsidRPr="007C6276" w:rsidRDefault="00D60E9F" w:rsidP="0050371B">
            <w:pPr>
              <w:rPr>
                <w:rFonts w:cs="Arial"/>
                <w:szCs w:val="20"/>
                <w:lang w:val="en-US"/>
              </w:rPr>
            </w:pPr>
            <w:r>
              <w:rPr>
                <w:rFonts w:cs="Arial"/>
                <w:szCs w:val="20"/>
                <w:lang w:val="en-US"/>
              </w:rPr>
              <w:t xml:space="preserve">CI: </w:t>
            </w:r>
            <w:r w:rsidRPr="00ED5409">
              <w:rPr>
                <w:rFonts w:cs="Arial"/>
                <w:szCs w:val="20"/>
                <w:lang w:val="en-US"/>
              </w:rPr>
              <w:t>–</w:t>
            </w:r>
            <w:r>
              <w:rPr>
                <w:rFonts w:cs="Arial"/>
                <w:szCs w:val="20"/>
                <w:lang w:val="en-US"/>
              </w:rPr>
              <w:t>0.1799 to 0.1771</w:t>
            </w:r>
          </w:p>
        </w:tc>
      </w:tr>
      <w:tr w:rsidR="00D60E9F" w:rsidRPr="00967CA9" w:rsidTr="0050371B">
        <w:trPr>
          <w:trHeight w:val="188"/>
        </w:trPr>
        <w:tc>
          <w:tcPr>
            <w:tcW w:w="3544" w:type="dxa"/>
            <w:tcBorders>
              <w:top w:val="nil"/>
              <w:left w:val="nil"/>
              <w:bottom w:val="nil"/>
              <w:right w:val="nil"/>
            </w:tcBorders>
            <w:noWrap/>
          </w:tcPr>
          <w:p w:rsidR="00D60E9F" w:rsidRDefault="00D60E9F" w:rsidP="0050371B">
            <w:pPr>
              <w:ind w:left="454"/>
              <w:rPr>
                <w:rFonts w:cs="Arial"/>
                <w:szCs w:val="20"/>
                <w:lang w:val="en-US"/>
              </w:rPr>
            </w:pPr>
            <w:r>
              <w:rPr>
                <w:rFonts w:cs="Arial"/>
                <w:szCs w:val="20"/>
                <w:lang w:val="en-US"/>
              </w:rPr>
              <w:t>Sensitivity analysis</w:t>
            </w:r>
          </w:p>
          <w:p w:rsidR="00D60E9F" w:rsidRPr="00967CA9" w:rsidRDefault="00D60E9F" w:rsidP="0050371B">
            <w:pPr>
              <w:ind w:left="454"/>
              <w:rPr>
                <w:rFonts w:cs="Arial"/>
                <w:szCs w:val="20"/>
                <w:lang w:val="en-US"/>
              </w:rPr>
            </w:pPr>
            <w:r w:rsidRPr="00967CA9">
              <w:rPr>
                <w:rFonts w:cs="Arial"/>
                <w:szCs w:val="20"/>
                <w:lang w:val="en-US"/>
              </w:rPr>
              <w:t>VAS-ALs (p-value)</w:t>
            </w:r>
          </w:p>
        </w:tc>
        <w:tc>
          <w:tcPr>
            <w:tcW w:w="2126" w:type="dxa"/>
            <w:tcBorders>
              <w:top w:val="nil"/>
              <w:left w:val="nil"/>
              <w:bottom w:val="nil"/>
              <w:right w:val="nil"/>
            </w:tcBorders>
            <w:noWrap/>
          </w:tcPr>
          <w:p w:rsidR="00D60E9F" w:rsidRDefault="00D60E9F" w:rsidP="0050371B">
            <w:pPr>
              <w:rPr>
                <w:rFonts w:cs="Arial"/>
                <w:szCs w:val="20"/>
                <w:lang w:val="en-US"/>
              </w:rPr>
            </w:pPr>
          </w:p>
          <w:p w:rsidR="00D60E9F" w:rsidRPr="007C6276" w:rsidRDefault="00D60E9F" w:rsidP="0050371B">
            <w:pPr>
              <w:rPr>
                <w:rFonts w:cs="Arial"/>
                <w:szCs w:val="20"/>
                <w:lang w:val="en-US"/>
              </w:rPr>
            </w:pPr>
            <w:r w:rsidRPr="007C6276">
              <w:rPr>
                <w:rFonts w:cs="Arial"/>
                <w:szCs w:val="20"/>
                <w:lang w:val="en-US"/>
              </w:rPr>
              <w:t>0.</w:t>
            </w:r>
            <w:r>
              <w:rPr>
                <w:rFonts w:cs="Arial"/>
                <w:szCs w:val="20"/>
                <w:lang w:val="en-US"/>
              </w:rPr>
              <w:t>1332</w:t>
            </w:r>
            <w:r w:rsidRPr="007C6276">
              <w:rPr>
                <w:rFonts w:cs="Arial"/>
                <w:szCs w:val="20"/>
                <w:lang w:val="en-US"/>
              </w:rPr>
              <w:t xml:space="preserve"> (0.</w:t>
            </w:r>
            <w:r>
              <w:rPr>
                <w:rFonts w:cs="Arial"/>
                <w:szCs w:val="20"/>
                <w:lang w:val="en-US"/>
              </w:rPr>
              <w:t>0912</w:t>
            </w:r>
            <w:r w:rsidRPr="007C6276">
              <w:rPr>
                <w:rFonts w:cs="Arial"/>
                <w:szCs w:val="20"/>
                <w:lang w:val="en-US"/>
              </w:rPr>
              <w:t>)</w:t>
            </w:r>
          </w:p>
          <w:p w:rsidR="00D60E9F" w:rsidRPr="006D6BF5" w:rsidRDefault="00D60E9F" w:rsidP="0050371B">
            <w:pPr>
              <w:rPr>
                <w:rFonts w:cs="Arial"/>
                <w:szCs w:val="20"/>
                <w:highlight w:val="yellow"/>
                <w:lang w:val="en-US"/>
              </w:rPr>
            </w:pPr>
            <w:r w:rsidRPr="007C6276">
              <w:rPr>
                <w:rFonts w:cs="Arial"/>
                <w:szCs w:val="20"/>
                <w:lang w:val="en-US"/>
              </w:rPr>
              <w:t xml:space="preserve">CI: </w:t>
            </w:r>
            <w:r w:rsidRPr="00ED5409">
              <w:rPr>
                <w:rFonts w:cs="Arial"/>
                <w:szCs w:val="20"/>
                <w:lang w:val="en-US"/>
              </w:rPr>
              <w:t>–</w:t>
            </w:r>
            <w:r w:rsidRPr="007C6276">
              <w:rPr>
                <w:rFonts w:cs="Arial"/>
                <w:szCs w:val="20"/>
                <w:lang w:val="en-US"/>
              </w:rPr>
              <w:t>0.</w:t>
            </w:r>
            <w:r>
              <w:rPr>
                <w:rFonts w:cs="Arial"/>
                <w:szCs w:val="20"/>
                <w:lang w:val="en-US"/>
              </w:rPr>
              <w:t>0215 to 0.2878</w:t>
            </w:r>
          </w:p>
        </w:tc>
        <w:tc>
          <w:tcPr>
            <w:tcW w:w="2552" w:type="dxa"/>
          </w:tcPr>
          <w:p w:rsidR="00D60E9F" w:rsidRDefault="00D60E9F" w:rsidP="0050371B">
            <w:pPr>
              <w:rPr>
                <w:rFonts w:cs="Arial"/>
                <w:szCs w:val="20"/>
                <w:lang w:val="en-US"/>
              </w:rPr>
            </w:pPr>
          </w:p>
          <w:p w:rsidR="00D60E9F" w:rsidRDefault="00D60E9F" w:rsidP="0050371B">
            <w:pPr>
              <w:rPr>
                <w:rFonts w:cs="Arial"/>
                <w:szCs w:val="20"/>
                <w:lang w:val="en-US"/>
              </w:rPr>
            </w:pPr>
            <w:r w:rsidRPr="007C6276">
              <w:rPr>
                <w:rFonts w:cs="Arial"/>
                <w:szCs w:val="20"/>
                <w:lang w:val="en-US"/>
              </w:rPr>
              <w:t>0.1288</w:t>
            </w:r>
            <w:r>
              <w:rPr>
                <w:rFonts w:cs="Arial"/>
                <w:szCs w:val="20"/>
                <w:lang w:val="en-US"/>
              </w:rPr>
              <w:t xml:space="preserve"> (0.0913)</w:t>
            </w:r>
          </w:p>
          <w:p w:rsidR="00D60E9F" w:rsidRPr="006D6BF5" w:rsidRDefault="00D60E9F" w:rsidP="0050371B">
            <w:pPr>
              <w:rPr>
                <w:rFonts w:cs="Arial"/>
                <w:szCs w:val="20"/>
                <w:highlight w:val="yellow"/>
                <w:lang w:val="en-US"/>
              </w:rPr>
            </w:pPr>
            <w:r>
              <w:rPr>
                <w:rFonts w:cs="Arial"/>
                <w:szCs w:val="20"/>
                <w:lang w:val="en-US"/>
              </w:rPr>
              <w:t xml:space="preserve">CI: </w:t>
            </w:r>
            <w:r w:rsidRPr="00ED5409">
              <w:rPr>
                <w:rFonts w:cs="Arial"/>
                <w:szCs w:val="20"/>
                <w:lang w:val="en-US"/>
              </w:rPr>
              <w:t>–</w:t>
            </w:r>
            <w:r>
              <w:rPr>
                <w:rFonts w:cs="Arial"/>
                <w:szCs w:val="20"/>
                <w:lang w:val="en-US"/>
              </w:rPr>
              <w:t>0.0208 to 0.2783</w:t>
            </w:r>
          </w:p>
        </w:tc>
        <w:tc>
          <w:tcPr>
            <w:tcW w:w="2693" w:type="dxa"/>
          </w:tcPr>
          <w:p w:rsidR="00D60E9F" w:rsidRDefault="00D60E9F" w:rsidP="0050371B">
            <w:pPr>
              <w:rPr>
                <w:rFonts w:cs="Arial"/>
                <w:szCs w:val="20"/>
                <w:lang w:val="en-US"/>
              </w:rPr>
            </w:pPr>
          </w:p>
          <w:p w:rsidR="00D60E9F" w:rsidRDefault="00D60E9F" w:rsidP="0050371B">
            <w:pPr>
              <w:rPr>
                <w:rFonts w:cs="Arial"/>
                <w:szCs w:val="20"/>
                <w:lang w:val="en-US"/>
              </w:rPr>
            </w:pPr>
            <w:r w:rsidRPr="00286F90">
              <w:rPr>
                <w:rFonts w:cs="Arial"/>
                <w:szCs w:val="20"/>
                <w:lang w:val="en-US"/>
              </w:rPr>
              <w:t>0.</w:t>
            </w:r>
            <w:r>
              <w:rPr>
                <w:rFonts w:cs="Arial"/>
                <w:szCs w:val="20"/>
                <w:lang w:val="en-US"/>
              </w:rPr>
              <w:t>1158</w:t>
            </w:r>
            <w:r w:rsidRPr="00286F90">
              <w:rPr>
                <w:rFonts w:cs="Arial"/>
                <w:szCs w:val="20"/>
                <w:lang w:val="en-US"/>
              </w:rPr>
              <w:t xml:space="preserve"> (</w:t>
            </w:r>
            <w:r>
              <w:rPr>
                <w:rFonts w:cs="Arial"/>
                <w:szCs w:val="20"/>
                <w:lang w:val="en-US"/>
              </w:rPr>
              <w:t>0.124</w:t>
            </w:r>
            <w:r w:rsidRPr="00286F90">
              <w:rPr>
                <w:rFonts w:cs="Arial"/>
                <w:szCs w:val="20"/>
                <w:lang w:val="en-US"/>
              </w:rPr>
              <w:t>)</w:t>
            </w:r>
          </w:p>
          <w:p w:rsidR="00D60E9F" w:rsidRPr="006D6BF5" w:rsidRDefault="00D60E9F" w:rsidP="0050371B">
            <w:pPr>
              <w:rPr>
                <w:rFonts w:cs="Arial"/>
                <w:szCs w:val="20"/>
                <w:highlight w:val="yellow"/>
                <w:lang w:val="en-US"/>
              </w:rPr>
            </w:pPr>
            <w:r w:rsidRPr="00286F90">
              <w:rPr>
                <w:rFonts w:cs="Arial"/>
                <w:szCs w:val="20"/>
                <w:lang w:val="en-US"/>
              </w:rPr>
              <w:t>CI: –0.</w:t>
            </w:r>
            <w:r>
              <w:rPr>
                <w:rFonts w:cs="Arial"/>
                <w:szCs w:val="20"/>
                <w:lang w:val="en-US"/>
              </w:rPr>
              <w:t>0400 to 0.2653</w:t>
            </w:r>
          </w:p>
        </w:tc>
        <w:tc>
          <w:tcPr>
            <w:tcW w:w="2693" w:type="dxa"/>
          </w:tcPr>
          <w:p w:rsidR="00D60E9F" w:rsidRDefault="00D60E9F" w:rsidP="0050371B">
            <w:pPr>
              <w:rPr>
                <w:rFonts w:cs="Arial"/>
                <w:szCs w:val="20"/>
                <w:lang w:val="en-US"/>
              </w:rPr>
            </w:pPr>
          </w:p>
          <w:p w:rsidR="00D60E9F" w:rsidRDefault="00D60E9F" w:rsidP="0050371B">
            <w:pPr>
              <w:rPr>
                <w:rFonts w:cs="Arial"/>
                <w:szCs w:val="20"/>
                <w:lang w:val="en-US"/>
              </w:rPr>
            </w:pPr>
            <w:r w:rsidRPr="00286F90">
              <w:rPr>
                <w:rFonts w:cs="Arial"/>
                <w:szCs w:val="20"/>
                <w:lang w:val="en-US"/>
              </w:rPr>
              <w:t>0.1124</w:t>
            </w:r>
            <w:r>
              <w:rPr>
                <w:rFonts w:cs="Arial"/>
                <w:szCs w:val="20"/>
                <w:lang w:val="en-US"/>
              </w:rPr>
              <w:t xml:space="preserve"> (0.122)</w:t>
            </w:r>
          </w:p>
          <w:p w:rsidR="00D60E9F" w:rsidRPr="006D6BF5" w:rsidRDefault="00D60E9F" w:rsidP="0050371B">
            <w:pPr>
              <w:rPr>
                <w:rFonts w:cs="Arial"/>
                <w:szCs w:val="20"/>
                <w:highlight w:val="yellow"/>
                <w:lang w:val="en-US"/>
              </w:rPr>
            </w:pPr>
            <w:r>
              <w:rPr>
                <w:rFonts w:cs="Arial"/>
                <w:szCs w:val="20"/>
                <w:lang w:val="en-US"/>
              </w:rPr>
              <w:t xml:space="preserve">CI: </w:t>
            </w:r>
            <w:r w:rsidRPr="00286F90">
              <w:rPr>
                <w:rFonts w:cs="Arial"/>
                <w:szCs w:val="20"/>
                <w:lang w:val="en-US"/>
              </w:rPr>
              <w:t>–</w:t>
            </w:r>
            <w:r>
              <w:rPr>
                <w:rFonts w:cs="Arial"/>
                <w:szCs w:val="20"/>
                <w:lang w:val="en-US"/>
              </w:rPr>
              <w:t>0.0380 to 0.2567</w:t>
            </w:r>
          </w:p>
        </w:tc>
      </w:tr>
      <w:tr w:rsidR="00D60E9F" w:rsidRPr="00967CA9" w:rsidTr="0050371B">
        <w:trPr>
          <w:trHeight w:val="188"/>
        </w:trPr>
        <w:tc>
          <w:tcPr>
            <w:tcW w:w="3544" w:type="dxa"/>
            <w:tcBorders>
              <w:top w:val="nil"/>
              <w:left w:val="nil"/>
              <w:bottom w:val="nil"/>
              <w:right w:val="nil"/>
            </w:tcBorders>
            <w:noWrap/>
          </w:tcPr>
          <w:p w:rsidR="00D60E9F" w:rsidRPr="00967CA9" w:rsidRDefault="00D60E9F" w:rsidP="0050371B">
            <w:pPr>
              <w:rPr>
                <w:rFonts w:cs="Arial"/>
                <w:szCs w:val="20"/>
                <w:lang w:val="en-US"/>
              </w:rPr>
            </w:pPr>
            <w:r>
              <w:rPr>
                <w:rFonts w:cs="Arial"/>
                <w:szCs w:val="20"/>
                <w:lang w:val="en-US"/>
              </w:rPr>
              <w:tab/>
              <w:t>Costs</w:t>
            </w:r>
          </w:p>
        </w:tc>
        <w:tc>
          <w:tcPr>
            <w:tcW w:w="2126" w:type="dxa"/>
            <w:tcBorders>
              <w:top w:val="nil"/>
              <w:left w:val="nil"/>
              <w:bottom w:val="nil"/>
              <w:right w:val="nil"/>
            </w:tcBorders>
            <w:noWrap/>
          </w:tcPr>
          <w:p w:rsidR="00D60E9F" w:rsidRDefault="00D60E9F" w:rsidP="0050371B">
            <w:pPr>
              <w:rPr>
                <w:rFonts w:cs="Arial"/>
                <w:szCs w:val="20"/>
                <w:lang w:val="en-US"/>
              </w:rPr>
            </w:pPr>
            <w:r w:rsidRPr="00ED5409">
              <w:rPr>
                <w:rFonts w:cs="Arial"/>
                <w:szCs w:val="20"/>
                <w:lang w:val="en-US"/>
              </w:rPr>
              <w:t>–</w:t>
            </w:r>
            <w:r>
              <w:rPr>
                <w:rFonts w:cs="Arial"/>
                <w:szCs w:val="20"/>
                <w:lang w:val="en-US"/>
              </w:rPr>
              <w:t>2,575 (0.2968)</w:t>
            </w:r>
          </w:p>
          <w:p w:rsidR="00D60E9F" w:rsidRPr="007C6276" w:rsidRDefault="00D60E9F" w:rsidP="0050371B">
            <w:pPr>
              <w:rPr>
                <w:rFonts w:cs="Arial"/>
                <w:szCs w:val="20"/>
                <w:lang w:val="en-US"/>
              </w:rPr>
            </w:pPr>
            <w:r>
              <w:rPr>
                <w:rFonts w:cs="Arial"/>
                <w:szCs w:val="20"/>
                <w:lang w:val="en-US"/>
              </w:rPr>
              <w:t xml:space="preserve">CI: </w:t>
            </w:r>
            <w:r w:rsidRPr="00ED5409">
              <w:rPr>
                <w:rFonts w:cs="Arial"/>
                <w:szCs w:val="20"/>
                <w:lang w:val="en-US"/>
              </w:rPr>
              <w:t>–</w:t>
            </w:r>
            <w:r>
              <w:rPr>
                <w:rFonts w:cs="Arial"/>
                <w:szCs w:val="20"/>
                <w:lang w:val="en-US"/>
              </w:rPr>
              <w:t xml:space="preserve">8158 to 2386 </w:t>
            </w:r>
          </w:p>
        </w:tc>
        <w:tc>
          <w:tcPr>
            <w:tcW w:w="2552" w:type="dxa"/>
          </w:tcPr>
          <w:p w:rsidR="00D60E9F" w:rsidRDefault="00D60E9F" w:rsidP="0050371B">
            <w:pPr>
              <w:rPr>
                <w:rFonts w:cs="Arial"/>
                <w:szCs w:val="20"/>
                <w:lang w:val="en-US"/>
              </w:rPr>
            </w:pPr>
            <w:r w:rsidRPr="00ED5409">
              <w:rPr>
                <w:rFonts w:cs="Arial"/>
                <w:szCs w:val="20"/>
                <w:lang w:val="en-US"/>
              </w:rPr>
              <w:t>–</w:t>
            </w:r>
            <w:r>
              <w:rPr>
                <w:rFonts w:cs="Arial"/>
                <w:szCs w:val="20"/>
                <w:lang w:val="en-US"/>
              </w:rPr>
              <w:t>2,509 (0.2986)</w:t>
            </w:r>
          </w:p>
          <w:p w:rsidR="00D60E9F" w:rsidRPr="007C6276" w:rsidRDefault="00D60E9F" w:rsidP="0050371B">
            <w:pPr>
              <w:rPr>
                <w:rFonts w:cs="Arial"/>
                <w:szCs w:val="20"/>
                <w:lang w:val="en-US"/>
              </w:rPr>
            </w:pPr>
            <w:r>
              <w:rPr>
                <w:rFonts w:cs="Arial"/>
                <w:szCs w:val="20"/>
                <w:lang w:val="en-US"/>
              </w:rPr>
              <w:t>CI:</w:t>
            </w:r>
            <w:r w:rsidRPr="00ED5409">
              <w:rPr>
                <w:rFonts w:cs="Arial"/>
                <w:szCs w:val="20"/>
                <w:lang w:val="en-US"/>
              </w:rPr>
              <w:t xml:space="preserve"> –</w:t>
            </w:r>
            <w:r>
              <w:rPr>
                <w:rFonts w:cs="Arial"/>
                <w:szCs w:val="20"/>
                <w:lang w:val="en-US"/>
              </w:rPr>
              <w:t>7950 to 2339</w:t>
            </w:r>
          </w:p>
        </w:tc>
        <w:tc>
          <w:tcPr>
            <w:tcW w:w="2693" w:type="dxa"/>
          </w:tcPr>
          <w:p w:rsidR="00D60E9F" w:rsidRDefault="00D60E9F" w:rsidP="0050371B">
            <w:pPr>
              <w:rPr>
                <w:rFonts w:cs="Arial"/>
                <w:szCs w:val="20"/>
                <w:lang w:val="en-US"/>
              </w:rPr>
            </w:pPr>
            <w:r w:rsidRPr="00ED5409">
              <w:rPr>
                <w:rFonts w:cs="Arial"/>
                <w:szCs w:val="20"/>
                <w:lang w:val="en-US"/>
              </w:rPr>
              <w:t>–</w:t>
            </w:r>
            <w:r>
              <w:rPr>
                <w:rFonts w:cs="Arial"/>
                <w:szCs w:val="20"/>
                <w:lang w:val="en-US"/>
              </w:rPr>
              <w:t>3,401 (0.176)</w:t>
            </w:r>
          </w:p>
          <w:p w:rsidR="00D60E9F" w:rsidRPr="00286F90" w:rsidRDefault="00D60E9F" w:rsidP="0050371B">
            <w:pPr>
              <w:rPr>
                <w:rFonts w:cs="Arial"/>
                <w:szCs w:val="20"/>
                <w:lang w:val="en-US"/>
              </w:rPr>
            </w:pPr>
            <w:r>
              <w:rPr>
                <w:rFonts w:cs="Arial"/>
                <w:szCs w:val="20"/>
                <w:lang w:val="en-US"/>
              </w:rPr>
              <w:t xml:space="preserve">CI: </w:t>
            </w:r>
            <w:r w:rsidRPr="00ED5409">
              <w:rPr>
                <w:rFonts w:cs="Arial"/>
                <w:szCs w:val="20"/>
                <w:lang w:val="en-US"/>
              </w:rPr>
              <w:t>–</w:t>
            </w:r>
            <w:r>
              <w:rPr>
                <w:rFonts w:cs="Arial"/>
                <w:szCs w:val="20"/>
                <w:lang w:val="en-US"/>
              </w:rPr>
              <w:t>8304 to 1922</w:t>
            </w:r>
          </w:p>
        </w:tc>
        <w:tc>
          <w:tcPr>
            <w:tcW w:w="2693" w:type="dxa"/>
          </w:tcPr>
          <w:p w:rsidR="00D60E9F" w:rsidRDefault="00D60E9F" w:rsidP="0050371B">
            <w:pPr>
              <w:rPr>
                <w:rFonts w:cs="Arial"/>
                <w:szCs w:val="20"/>
                <w:lang w:val="en-US"/>
              </w:rPr>
            </w:pPr>
            <w:r w:rsidRPr="00ED5409">
              <w:rPr>
                <w:rFonts w:cs="Arial"/>
                <w:szCs w:val="20"/>
                <w:lang w:val="en-US"/>
              </w:rPr>
              <w:t>–</w:t>
            </w:r>
            <w:r>
              <w:rPr>
                <w:rFonts w:cs="Arial"/>
                <w:szCs w:val="20"/>
                <w:lang w:val="en-US"/>
              </w:rPr>
              <w:t>3,290 (0.182)</w:t>
            </w:r>
          </w:p>
          <w:p w:rsidR="00D60E9F" w:rsidRPr="00286F90" w:rsidRDefault="00D60E9F" w:rsidP="0050371B">
            <w:pPr>
              <w:rPr>
                <w:rFonts w:cs="Arial"/>
                <w:szCs w:val="20"/>
                <w:lang w:val="en-US"/>
              </w:rPr>
            </w:pPr>
            <w:r>
              <w:rPr>
                <w:rFonts w:cs="Arial"/>
                <w:szCs w:val="20"/>
                <w:lang w:val="en-US"/>
              </w:rPr>
              <w:t xml:space="preserve">CI: </w:t>
            </w:r>
            <w:r w:rsidRPr="00ED5409">
              <w:rPr>
                <w:rFonts w:cs="Arial"/>
                <w:szCs w:val="20"/>
                <w:lang w:val="en-US"/>
              </w:rPr>
              <w:t>–</w:t>
            </w:r>
            <w:r>
              <w:rPr>
                <w:rFonts w:cs="Arial"/>
                <w:szCs w:val="20"/>
                <w:lang w:val="en-US"/>
              </w:rPr>
              <w:t>8057 to 1884</w:t>
            </w:r>
          </w:p>
        </w:tc>
      </w:tr>
    </w:tbl>
    <w:p w:rsidR="00D60E9F" w:rsidRDefault="00D60E9F" w:rsidP="00D60E9F">
      <w:pPr>
        <w:tabs>
          <w:tab w:val="left" w:pos="284"/>
          <w:tab w:val="left" w:pos="340"/>
        </w:tabs>
        <w:spacing w:after="120"/>
        <w:rPr>
          <w:rFonts w:cs="Arial"/>
          <w:szCs w:val="20"/>
          <w:lang w:val="en-GB"/>
        </w:rPr>
      </w:pPr>
    </w:p>
    <w:p w:rsidR="00D60E9F" w:rsidRDefault="00D60E9F" w:rsidP="00D60E9F">
      <w:pPr>
        <w:tabs>
          <w:tab w:val="left" w:pos="284"/>
          <w:tab w:val="left" w:pos="340"/>
        </w:tabs>
        <w:spacing w:after="120"/>
        <w:rPr>
          <w:rFonts w:cs="Arial"/>
          <w:szCs w:val="20"/>
          <w:lang w:val="en-GB"/>
        </w:rPr>
      </w:pPr>
      <w:r>
        <w:rPr>
          <w:rFonts w:cs="Arial"/>
          <w:szCs w:val="20"/>
          <w:lang w:val="en-GB"/>
        </w:rPr>
        <w:t xml:space="preserve">IG, intervention group; CG, control group; CI, confidence interval; </w:t>
      </w:r>
      <w:r w:rsidRPr="00967CA9">
        <w:rPr>
          <w:rFonts w:cs="Arial"/>
          <w:szCs w:val="20"/>
          <w:lang w:val="en-GB"/>
        </w:rPr>
        <w:t>VAS, visual analogue scale; QALY, qual</w:t>
      </w:r>
      <w:r>
        <w:rPr>
          <w:rFonts w:cs="Arial"/>
          <w:szCs w:val="20"/>
          <w:lang w:val="en-GB"/>
        </w:rPr>
        <w:t xml:space="preserve">ity-adjusted life year using the </w:t>
      </w:r>
      <w:r>
        <w:rPr>
          <w:rFonts w:cs="Arial"/>
          <w:szCs w:val="20"/>
          <w:lang w:val="en-US"/>
        </w:rPr>
        <w:t>EQ-5D Index based on German population tariff and time-trade-off scoring (27)</w:t>
      </w:r>
      <w:r>
        <w:rPr>
          <w:rFonts w:cs="Arial"/>
          <w:szCs w:val="20"/>
          <w:lang w:val="en-GB"/>
        </w:rPr>
        <w:t xml:space="preserve">; VAS-AL, </w:t>
      </w:r>
      <w:r w:rsidRPr="00967CA9">
        <w:rPr>
          <w:rFonts w:cs="Arial"/>
          <w:szCs w:val="20"/>
          <w:lang w:val="en-GB"/>
        </w:rPr>
        <w:t>VAS-adjusted life</w:t>
      </w:r>
      <w:r>
        <w:rPr>
          <w:rFonts w:cs="Arial"/>
          <w:szCs w:val="20"/>
          <w:lang w:val="en-GB"/>
        </w:rPr>
        <w:t xml:space="preserve"> </w:t>
      </w:r>
      <w:r w:rsidRPr="00CE21D2">
        <w:rPr>
          <w:rFonts w:cs="Arial"/>
          <w:szCs w:val="20"/>
          <w:lang w:val="en-GB"/>
        </w:rPr>
        <w:t>year</w:t>
      </w:r>
      <w:r>
        <w:rPr>
          <w:rFonts w:cs="Arial"/>
          <w:szCs w:val="20"/>
          <w:lang w:val="en-GB"/>
        </w:rPr>
        <w:t xml:space="preserve"> using patients’ </w:t>
      </w:r>
      <w:r w:rsidRPr="00CD598C">
        <w:rPr>
          <w:rFonts w:cs="Arial"/>
          <w:szCs w:val="20"/>
          <w:lang w:val="en-GB"/>
        </w:rPr>
        <w:t>EQ VAS score</w:t>
      </w:r>
      <w:r>
        <w:rPr>
          <w:rFonts w:cs="Arial"/>
          <w:szCs w:val="20"/>
          <w:lang w:val="en-GB"/>
        </w:rPr>
        <w:t xml:space="preserve"> (self-rated health); Complete Case, sample including decedents</w:t>
      </w:r>
    </w:p>
    <w:p w:rsidR="00D60E9F" w:rsidRPr="00D60E9F" w:rsidRDefault="00D60E9F" w:rsidP="00F27646">
      <w:pPr>
        <w:rPr>
          <w:rFonts w:cs="Arial"/>
          <w:szCs w:val="20"/>
          <w:lang w:val="en-GB"/>
        </w:rPr>
      </w:pPr>
    </w:p>
    <w:p w:rsidR="00F27646" w:rsidRPr="00F27646" w:rsidRDefault="00F27646" w:rsidP="00F27646">
      <w:pPr>
        <w:rPr>
          <w:rFonts w:cs="Arial"/>
          <w:szCs w:val="20"/>
          <w:lang w:val="en-US"/>
        </w:rPr>
      </w:pPr>
      <w:r w:rsidRPr="00F27646">
        <w:rPr>
          <w:rFonts w:cs="Arial"/>
          <w:szCs w:val="20"/>
          <w:lang w:val="en-US"/>
        </w:rPr>
        <w:t>Insert Table 4</w:t>
      </w:r>
    </w:p>
    <w:p w:rsidR="00D60E9F" w:rsidRPr="00481073" w:rsidRDefault="00D60E9F" w:rsidP="00D60E9F">
      <w:pPr>
        <w:tabs>
          <w:tab w:val="left" w:pos="284"/>
          <w:tab w:val="left" w:pos="340"/>
        </w:tabs>
        <w:spacing w:after="120"/>
        <w:rPr>
          <w:rFonts w:cs="Arial"/>
          <w:szCs w:val="20"/>
          <w:lang w:val="en-GB"/>
        </w:rPr>
      </w:pPr>
      <w:r w:rsidRPr="00481073">
        <w:rPr>
          <w:rFonts w:cs="Arial"/>
          <w:b/>
          <w:szCs w:val="20"/>
          <w:lang w:val="en-GB"/>
        </w:rPr>
        <w:t xml:space="preserve">Table </w:t>
      </w:r>
      <w:r>
        <w:rPr>
          <w:rFonts w:cs="Arial"/>
          <w:b/>
          <w:szCs w:val="20"/>
          <w:lang w:val="en-GB"/>
        </w:rPr>
        <w:t>4</w:t>
      </w:r>
      <w:r w:rsidRPr="00481073">
        <w:rPr>
          <w:rFonts w:cs="Arial"/>
          <w:szCs w:val="20"/>
          <w:lang w:val="en-GB"/>
        </w:rPr>
        <w:t xml:space="preserve"> </w:t>
      </w:r>
      <w:r>
        <w:rPr>
          <w:rFonts w:cs="Arial"/>
          <w:szCs w:val="20"/>
          <w:lang w:val="en-GB"/>
        </w:rPr>
        <w:t xml:space="preserve">Secondary analyses: </w:t>
      </w:r>
      <w:r w:rsidRPr="00481073">
        <w:rPr>
          <w:rFonts w:cs="Arial"/>
          <w:szCs w:val="20"/>
          <w:lang w:val="en-GB"/>
        </w:rPr>
        <w:t>Effectiveness</w:t>
      </w:r>
      <w:r>
        <w:rPr>
          <w:rFonts w:cs="Arial"/>
          <w:szCs w:val="20"/>
          <w:lang w:val="en-GB"/>
        </w:rPr>
        <w:t xml:space="preserve"> in quality of life</w:t>
      </w:r>
      <w:r w:rsidRPr="00481073">
        <w:rPr>
          <w:rFonts w:cs="Arial"/>
          <w:szCs w:val="20"/>
          <w:lang w:val="en-GB"/>
        </w:rPr>
        <w:t xml:space="preserve"> </w:t>
      </w:r>
      <w:r>
        <w:rPr>
          <w:rFonts w:cs="Arial"/>
          <w:szCs w:val="20"/>
          <w:lang w:val="en-GB"/>
        </w:rPr>
        <w:t xml:space="preserve">for survivors only, </w:t>
      </w:r>
      <w:r>
        <w:rPr>
          <w:rFonts w:cs="Arial"/>
          <w:szCs w:val="20"/>
          <w:lang w:val="en-US"/>
        </w:rPr>
        <w:t>a</w:t>
      </w:r>
      <w:r w:rsidRPr="003A1584">
        <w:rPr>
          <w:rFonts w:cs="Arial"/>
          <w:szCs w:val="20"/>
          <w:lang w:val="en-US"/>
        </w:rPr>
        <w:t>djusted for gender, age</w:t>
      </w:r>
      <w:r>
        <w:rPr>
          <w:rFonts w:cs="Arial"/>
          <w:szCs w:val="20"/>
          <w:lang w:val="en-US"/>
        </w:rPr>
        <w:t>,</w:t>
      </w:r>
      <w:r w:rsidRPr="003A1584">
        <w:rPr>
          <w:rFonts w:cs="Arial"/>
          <w:szCs w:val="20"/>
          <w:lang w:val="en-US"/>
        </w:rPr>
        <w:t xml:space="preserve"> </w:t>
      </w:r>
      <w:r>
        <w:rPr>
          <w:rFonts w:cs="Arial"/>
          <w:szCs w:val="20"/>
          <w:lang w:val="en-US"/>
        </w:rPr>
        <w:t xml:space="preserve">number of comorbidities </w:t>
      </w:r>
      <w:r w:rsidRPr="00550978">
        <w:rPr>
          <w:lang w:val="en-US"/>
        </w:rPr>
        <w:t xml:space="preserve">(none, diabetes or </w:t>
      </w:r>
      <w:r w:rsidRPr="00550978">
        <w:rPr>
          <w:lang w:val="en-GB"/>
        </w:rPr>
        <w:t>chronic heart failure, both</w:t>
      </w:r>
      <w:r w:rsidRPr="00550978">
        <w:rPr>
          <w:lang w:val="en-US"/>
        </w:rPr>
        <w:t>)</w:t>
      </w:r>
    </w:p>
    <w:tbl>
      <w:tblPr>
        <w:tblW w:w="10177" w:type="dxa"/>
        <w:tblInd w:w="70" w:type="dxa"/>
        <w:tblLayout w:type="fixed"/>
        <w:tblCellMar>
          <w:left w:w="70" w:type="dxa"/>
          <w:right w:w="70" w:type="dxa"/>
        </w:tblCellMar>
        <w:tblLook w:val="0000" w:firstRow="0" w:lastRow="0" w:firstColumn="0" w:lastColumn="0" w:noHBand="0" w:noVBand="0"/>
      </w:tblPr>
      <w:tblGrid>
        <w:gridCol w:w="3402"/>
        <w:gridCol w:w="2491"/>
        <w:gridCol w:w="2436"/>
        <w:gridCol w:w="1848"/>
      </w:tblGrid>
      <w:tr w:rsidR="00D60E9F" w:rsidRPr="00D60E9F" w:rsidTr="0050371B">
        <w:trPr>
          <w:trHeight w:val="343"/>
        </w:trPr>
        <w:tc>
          <w:tcPr>
            <w:tcW w:w="3402" w:type="dxa"/>
            <w:tcBorders>
              <w:top w:val="single" w:sz="4" w:space="0" w:color="auto"/>
              <w:left w:val="nil"/>
              <w:bottom w:val="single" w:sz="4" w:space="0" w:color="auto"/>
              <w:right w:val="nil"/>
            </w:tcBorders>
          </w:tcPr>
          <w:p w:rsidR="00D60E9F" w:rsidRDefault="00D60E9F" w:rsidP="0050371B">
            <w:pPr>
              <w:spacing w:line="276" w:lineRule="auto"/>
              <w:rPr>
                <w:rFonts w:cs="Arial"/>
                <w:szCs w:val="20"/>
                <w:lang w:val="en-GB"/>
              </w:rPr>
            </w:pPr>
            <w:r>
              <w:rPr>
                <w:rFonts w:cs="Arial"/>
                <w:szCs w:val="20"/>
                <w:lang w:val="en-GB"/>
              </w:rPr>
              <w:t>Effects</w:t>
            </w:r>
          </w:p>
          <w:p w:rsidR="00D60E9F" w:rsidRPr="00481073" w:rsidRDefault="00D60E9F" w:rsidP="0050371B">
            <w:pPr>
              <w:spacing w:line="276" w:lineRule="auto"/>
              <w:rPr>
                <w:rFonts w:cs="Arial"/>
                <w:szCs w:val="20"/>
                <w:lang w:val="en-GB"/>
              </w:rPr>
            </w:pPr>
            <w:r>
              <w:rPr>
                <w:rFonts w:cs="Arial"/>
                <w:szCs w:val="20"/>
                <w:lang w:val="en-GB"/>
              </w:rPr>
              <w:t>(Mean change in the respective month compared to baseline)</w:t>
            </w:r>
          </w:p>
        </w:tc>
        <w:tc>
          <w:tcPr>
            <w:tcW w:w="2491" w:type="dxa"/>
            <w:tcBorders>
              <w:top w:val="single" w:sz="4" w:space="0" w:color="auto"/>
              <w:left w:val="nil"/>
              <w:bottom w:val="single" w:sz="4" w:space="0" w:color="auto"/>
              <w:right w:val="nil"/>
            </w:tcBorders>
          </w:tcPr>
          <w:p w:rsidR="00D60E9F" w:rsidRPr="00481073" w:rsidRDefault="00D60E9F" w:rsidP="0050371B">
            <w:pPr>
              <w:spacing w:line="276" w:lineRule="auto"/>
              <w:rPr>
                <w:rFonts w:cs="Arial"/>
                <w:szCs w:val="20"/>
                <w:lang w:val="en-US"/>
              </w:rPr>
            </w:pPr>
            <w:r w:rsidRPr="00481073">
              <w:rPr>
                <w:rFonts w:cs="Arial"/>
                <w:szCs w:val="20"/>
                <w:lang w:val="en-US"/>
              </w:rPr>
              <w:t>Intervention</w:t>
            </w:r>
          </w:p>
        </w:tc>
        <w:tc>
          <w:tcPr>
            <w:tcW w:w="2436" w:type="dxa"/>
            <w:tcBorders>
              <w:top w:val="single" w:sz="4" w:space="0" w:color="auto"/>
              <w:left w:val="nil"/>
              <w:bottom w:val="single" w:sz="4" w:space="0" w:color="auto"/>
              <w:right w:val="nil"/>
            </w:tcBorders>
          </w:tcPr>
          <w:p w:rsidR="00D60E9F" w:rsidRPr="00481073" w:rsidRDefault="00D60E9F" w:rsidP="0050371B">
            <w:pPr>
              <w:spacing w:line="276" w:lineRule="auto"/>
              <w:rPr>
                <w:rFonts w:cs="Arial"/>
                <w:szCs w:val="20"/>
                <w:lang w:val="en-US"/>
              </w:rPr>
            </w:pPr>
            <w:r w:rsidRPr="00481073">
              <w:rPr>
                <w:rFonts w:cs="Arial"/>
                <w:szCs w:val="20"/>
                <w:lang w:val="en-US"/>
              </w:rPr>
              <w:t>Control</w:t>
            </w:r>
          </w:p>
        </w:tc>
        <w:tc>
          <w:tcPr>
            <w:tcW w:w="1848" w:type="dxa"/>
            <w:tcBorders>
              <w:top w:val="single" w:sz="4" w:space="0" w:color="auto"/>
              <w:left w:val="nil"/>
              <w:bottom w:val="single" w:sz="4" w:space="0" w:color="auto"/>
              <w:right w:val="nil"/>
            </w:tcBorders>
          </w:tcPr>
          <w:p w:rsidR="00D60E9F" w:rsidRPr="00481073" w:rsidRDefault="00D60E9F" w:rsidP="0050371B">
            <w:pPr>
              <w:spacing w:line="276" w:lineRule="auto"/>
              <w:rPr>
                <w:rFonts w:cs="Arial"/>
                <w:szCs w:val="20"/>
                <w:lang w:val="en-US"/>
              </w:rPr>
            </w:pPr>
            <w:r w:rsidRPr="00481073">
              <w:rPr>
                <w:rFonts w:cs="Arial"/>
                <w:szCs w:val="20"/>
                <w:lang w:val="en-US"/>
              </w:rPr>
              <w:t>Difference</w:t>
            </w:r>
            <w:r>
              <w:rPr>
                <w:rFonts w:cs="Arial"/>
                <w:szCs w:val="20"/>
                <w:lang w:val="en-US"/>
              </w:rPr>
              <w:t xml:space="preserve"> in mean change between intervention and control group</w:t>
            </w:r>
          </w:p>
        </w:tc>
      </w:tr>
      <w:tr w:rsidR="00D60E9F" w:rsidRPr="00D60E9F" w:rsidTr="0050371B">
        <w:trPr>
          <w:trHeight w:val="575"/>
        </w:trPr>
        <w:tc>
          <w:tcPr>
            <w:tcW w:w="3402" w:type="dxa"/>
            <w:tcBorders>
              <w:top w:val="single" w:sz="4" w:space="0" w:color="auto"/>
              <w:left w:val="nil"/>
              <w:bottom w:val="nil"/>
              <w:right w:val="nil"/>
            </w:tcBorders>
            <w:noWrap/>
          </w:tcPr>
          <w:p w:rsidR="00D60E9F" w:rsidRDefault="00D60E9F" w:rsidP="0050371B">
            <w:pPr>
              <w:spacing w:line="240" w:lineRule="auto"/>
              <w:rPr>
                <w:rFonts w:cs="Arial"/>
                <w:b/>
                <w:szCs w:val="20"/>
                <w:lang w:val="en-US"/>
              </w:rPr>
            </w:pPr>
          </w:p>
          <w:p w:rsidR="00D60E9F" w:rsidRPr="00481073" w:rsidRDefault="00D60E9F" w:rsidP="0050371B">
            <w:pPr>
              <w:spacing w:line="240" w:lineRule="auto"/>
              <w:rPr>
                <w:rFonts w:cs="Arial"/>
                <w:b/>
                <w:szCs w:val="20"/>
                <w:lang w:val="en-US"/>
              </w:rPr>
            </w:pPr>
            <w:r>
              <w:rPr>
                <w:rFonts w:cs="Arial"/>
                <w:b/>
                <w:szCs w:val="20"/>
                <w:lang w:val="en-US"/>
              </w:rPr>
              <w:t xml:space="preserve">EQ-5D Index based on German population tariff and time-trade-off </w:t>
            </w:r>
            <w:r w:rsidRPr="00B46C0A">
              <w:rPr>
                <w:rFonts w:cs="Arial"/>
                <w:szCs w:val="20"/>
                <w:lang w:val="en-US"/>
              </w:rPr>
              <w:t>(27)</w:t>
            </w:r>
          </w:p>
        </w:tc>
        <w:tc>
          <w:tcPr>
            <w:tcW w:w="2491" w:type="dxa"/>
            <w:tcBorders>
              <w:top w:val="single" w:sz="4" w:space="0" w:color="auto"/>
              <w:left w:val="nil"/>
              <w:bottom w:val="nil"/>
              <w:right w:val="nil"/>
            </w:tcBorders>
          </w:tcPr>
          <w:p w:rsidR="00D60E9F" w:rsidRPr="00481073" w:rsidRDefault="00D60E9F" w:rsidP="0050371B">
            <w:pPr>
              <w:jc w:val="right"/>
              <w:rPr>
                <w:rFonts w:cs="Arial"/>
                <w:szCs w:val="20"/>
                <w:lang w:val="en-US"/>
              </w:rPr>
            </w:pPr>
          </w:p>
        </w:tc>
        <w:tc>
          <w:tcPr>
            <w:tcW w:w="2436" w:type="dxa"/>
            <w:tcBorders>
              <w:top w:val="single" w:sz="4" w:space="0" w:color="auto"/>
              <w:left w:val="nil"/>
              <w:bottom w:val="nil"/>
              <w:right w:val="nil"/>
            </w:tcBorders>
          </w:tcPr>
          <w:p w:rsidR="00D60E9F" w:rsidRPr="00481073" w:rsidRDefault="00D60E9F" w:rsidP="0050371B">
            <w:pPr>
              <w:jc w:val="right"/>
              <w:rPr>
                <w:rFonts w:cs="Arial"/>
                <w:szCs w:val="20"/>
                <w:lang w:val="en-US"/>
              </w:rPr>
            </w:pPr>
          </w:p>
        </w:tc>
        <w:tc>
          <w:tcPr>
            <w:tcW w:w="1848" w:type="dxa"/>
            <w:tcBorders>
              <w:top w:val="single" w:sz="4" w:space="0" w:color="auto"/>
              <w:left w:val="nil"/>
              <w:bottom w:val="nil"/>
              <w:right w:val="nil"/>
            </w:tcBorders>
            <w:noWrap/>
          </w:tcPr>
          <w:p w:rsidR="00D60E9F" w:rsidRPr="00481073" w:rsidRDefault="00D60E9F" w:rsidP="0050371B">
            <w:pPr>
              <w:jc w:val="right"/>
              <w:rPr>
                <w:rFonts w:cs="Arial"/>
                <w:szCs w:val="20"/>
                <w:lang w:val="en-US"/>
              </w:rPr>
            </w:pPr>
          </w:p>
        </w:tc>
      </w:tr>
      <w:tr w:rsidR="00D60E9F" w:rsidRPr="00E61C5A" w:rsidTr="0050371B">
        <w:trPr>
          <w:trHeight w:val="197"/>
        </w:trPr>
        <w:tc>
          <w:tcPr>
            <w:tcW w:w="3402" w:type="dxa"/>
            <w:tcBorders>
              <w:top w:val="nil"/>
              <w:left w:val="nil"/>
              <w:bottom w:val="nil"/>
              <w:right w:val="nil"/>
            </w:tcBorders>
            <w:noWrap/>
          </w:tcPr>
          <w:p w:rsidR="00D60E9F" w:rsidRPr="00481073" w:rsidRDefault="00D60E9F" w:rsidP="0050371B">
            <w:pPr>
              <w:rPr>
                <w:rFonts w:cs="Arial"/>
                <w:szCs w:val="20"/>
                <w:lang w:val="en-US"/>
              </w:rPr>
            </w:pPr>
            <w:r w:rsidRPr="00481073">
              <w:rPr>
                <w:rFonts w:cs="Arial"/>
                <w:szCs w:val="20"/>
                <w:lang w:val="en-US"/>
              </w:rPr>
              <w:t>Mean change, month 3 (p-value)</w:t>
            </w:r>
          </w:p>
        </w:tc>
        <w:tc>
          <w:tcPr>
            <w:tcW w:w="2491" w:type="dxa"/>
            <w:tcBorders>
              <w:top w:val="nil"/>
              <w:left w:val="nil"/>
              <w:bottom w:val="nil"/>
              <w:right w:val="nil"/>
            </w:tcBorders>
          </w:tcPr>
          <w:p w:rsidR="00D60E9F" w:rsidRPr="00206009" w:rsidRDefault="00D60E9F" w:rsidP="0050371B">
            <w:pPr>
              <w:jc w:val="right"/>
              <w:rPr>
                <w:rFonts w:cs="Arial"/>
                <w:szCs w:val="20"/>
                <w:highlight w:val="yellow"/>
                <w:lang w:val="en-US"/>
              </w:rPr>
            </w:pPr>
            <w:r>
              <w:rPr>
                <w:rFonts w:cs="Arial"/>
                <w:szCs w:val="20"/>
                <w:lang w:val="en-US"/>
              </w:rPr>
              <w:t xml:space="preserve">(n=130) </w:t>
            </w:r>
            <w:r w:rsidRPr="00E61C5A">
              <w:rPr>
                <w:rFonts w:cs="Arial"/>
                <w:szCs w:val="20"/>
                <w:lang w:val="en-US"/>
              </w:rPr>
              <w:t>0.</w:t>
            </w:r>
            <w:r>
              <w:rPr>
                <w:rFonts w:cs="Arial"/>
                <w:szCs w:val="20"/>
                <w:lang w:val="en-US"/>
              </w:rPr>
              <w:t>078 (0.0019)</w:t>
            </w:r>
            <w:r w:rsidRPr="00E61C5A">
              <w:rPr>
                <w:rFonts w:cs="Arial"/>
                <w:szCs w:val="20"/>
                <w:lang w:val="en-US"/>
              </w:rPr>
              <w:t xml:space="preserve"> </w:t>
            </w:r>
          </w:p>
        </w:tc>
        <w:tc>
          <w:tcPr>
            <w:tcW w:w="2436" w:type="dxa"/>
            <w:tcBorders>
              <w:top w:val="nil"/>
              <w:left w:val="nil"/>
              <w:bottom w:val="nil"/>
              <w:right w:val="nil"/>
            </w:tcBorders>
          </w:tcPr>
          <w:p w:rsidR="00D60E9F" w:rsidRPr="00206009" w:rsidRDefault="00D60E9F" w:rsidP="0050371B">
            <w:pPr>
              <w:jc w:val="right"/>
              <w:rPr>
                <w:rFonts w:cs="Arial"/>
                <w:szCs w:val="20"/>
                <w:highlight w:val="yellow"/>
                <w:lang w:val="en-US"/>
              </w:rPr>
            </w:pPr>
            <w:r>
              <w:rPr>
                <w:rFonts w:cs="Arial"/>
                <w:szCs w:val="20"/>
                <w:lang w:val="en-US"/>
              </w:rPr>
              <w:t>(n=161) 0.018 (0.4324)</w:t>
            </w:r>
          </w:p>
        </w:tc>
        <w:tc>
          <w:tcPr>
            <w:tcW w:w="1848" w:type="dxa"/>
            <w:tcBorders>
              <w:top w:val="nil"/>
              <w:left w:val="nil"/>
              <w:bottom w:val="nil"/>
              <w:right w:val="nil"/>
            </w:tcBorders>
            <w:noWrap/>
          </w:tcPr>
          <w:p w:rsidR="00D60E9F" w:rsidRPr="00206009" w:rsidRDefault="00D60E9F" w:rsidP="0050371B">
            <w:pPr>
              <w:jc w:val="right"/>
              <w:rPr>
                <w:rFonts w:cs="Arial"/>
                <w:szCs w:val="20"/>
                <w:highlight w:val="yellow"/>
                <w:lang w:val="en-US"/>
              </w:rPr>
            </w:pPr>
            <w:r>
              <w:rPr>
                <w:rFonts w:cs="Arial"/>
                <w:szCs w:val="20"/>
                <w:lang w:val="en-US"/>
              </w:rPr>
              <w:t>0.060 (0.0757)</w:t>
            </w:r>
          </w:p>
        </w:tc>
      </w:tr>
      <w:tr w:rsidR="00D60E9F" w:rsidRPr="00E61C5A" w:rsidTr="0050371B">
        <w:trPr>
          <w:trHeight w:val="197"/>
        </w:trPr>
        <w:tc>
          <w:tcPr>
            <w:tcW w:w="3402" w:type="dxa"/>
            <w:tcBorders>
              <w:top w:val="nil"/>
              <w:left w:val="nil"/>
              <w:bottom w:val="nil"/>
              <w:right w:val="nil"/>
            </w:tcBorders>
            <w:noWrap/>
          </w:tcPr>
          <w:p w:rsidR="00D60E9F" w:rsidRPr="00481073" w:rsidRDefault="00D60E9F" w:rsidP="0050371B">
            <w:pPr>
              <w:rPr>
                <w:rFonts w:cs="Arial"/>
                <w:szCs w:val="20"/>
                <w:lang w:val="en-US"/>
              </w:rPr>
            </w:pPr>
            <w:r w:rsidRPr="00481073">
              <w:rPr>
                <w:rFonts w:cs="Arial"/>
                <w:szCs w:val="20"/>
                <w:lang w:val="en-US"/>
              </w:rPr>
              <w:t>Mean change, month 6 (p-value)</w:t>
            </w:r>
          </w:p>
        </w:tc>
        <w:tc>
          <w:tcPr>
            <w:tcW w:w="2491" w:type="dxa"/>
            <w:tcBorders>
              <w:top w:val="nil"/>
              <w:left w:val="nil"/>
              <w:bottom w:val="nil"/>
              <w:right w:val="nil"/>
            </w:tcBorders>
          </w:tcPr>
          <w:p w:rsidR="00D60E9F" w:rsidRPr="00206009" w:rsidRDefault="00D60E9F" w:rsidP="0050371B">
            <w:pPr>
              <w:jc w:val="right"/>
              <w:rPr>
                <w:rFonts w:cs="Arial"/>
                <w:szCs w:val="20"/>
                <w:highlight w:val="yellow"/>
                <w:lang w:val="en-US"/>
              </w:rPr>
            </w:pPr>
            <w:r>
              <w:rPr>
                <w:rFonts w:cs="Arial"/>
                <w:szCs w:val="20"/>
                <w:lang w:val="en-US"/>
              </w:rPr>
              <w:t>(n=127) 0.052 (0.0401)</w:t>
            </w:r>
          </w:p>
        </w:tc>
        <w:tc>
          <w:tcPr>
            <w:tcW w:w="2436" w:type="dxa"/>
            <w:tcBorders>
              <w:top w:val="nil"/>
              <w:left w:val="nil"/>
              <w:bottom w:val="nil"/>
              <w:right w:val="nil"/>
            </w:tcBorders>
          </w:tcPr>
          <w:p w:rsidR="00D60E9F" w:rsidRPr="00206009" w:rsidRDefault="00D60E9F" w:rsidP="0050371B">
            <w:pPr>
              <w:jc w:val="right"/>
              <w:rPr>
                <w:rFonts w:cs="Arial"/>
                <w:szCs w:val="20"/>
                <w:highlight w:val="yellow"/>
                <w:lang w:val="en-US"/>
              </w:rPr>
            </w:pPr>
            <w:r>
              <w:rPr>
                <w:rFonts w:cs="Arial"/>
                <w:szCs w:val="20"/>
                <w:lang w:val="en-US"/>
              </w:rPr>
              <w:t>(n=153) 0.033 (0.1490)</w:t>
            </w:r>
          </w:p>
        </w:tc>
        <w:tc>
          <w:tcPr>
            <w:tcW w:w="1848" w:type="dxa"/>
            <w:tcBorders>
              <w:top w:val="nil"/>
              <w:left w:val="nil"/>
              <w:bottom w:val="nil"/>
              <w:right w:val="nil"/>
            </w:tcBorders>
            <w:noWrap/>
          </w:tcPr>
          <w:p w:rsidR="00D60E9F" w:rsidRPr="00206009" w:rsidRDefault="00D60E9F" w:rsidP="0050371B">
            <w:pPr>
              <w:jc w:val="right"/>
              <w:rPr>
                <w:rFonts w:cs="Arial"/>
                <w:szCs w:val="20"/>
                <w:highlight w:val="yellow"/>
                <w:lang w:val="en-US"/>
              </w:rPr>
            </w:pPr>
            <w:r>
              <w:rPr>
                <w:rFonts w:cs="Arial"/>
                <w:szCs w:val="20"/>
                <w:lang w:val="en-US"/>
              </w:rPr>
              <w:t>0.019 (0.5868)</w:t>
            </w:r>
          </w:p>
        </w:tc>
      </w:tr>
      <w:tr w:rsidR="00D60E9F" w:rsidRPr="00481073" w:rsidTr="0050371B">
        <w:trPr>
          <w:trHeight w:val="197"/>
        </w:trPr>
        <w:tc>
          <w:tcPr>
            <w:tcW w:w="3402" w:type="dxa"/>
            <w:tcBorders>
              <w:top w:val="nil"/>
              <w:left w:val="nil"/>
              <w:right w:val="nil"/>
            </w:tcBorders>
            <w:noWrap/>
          </w:tcPr>
          <w:p w:rsidR="00D60E9F" w:rsidRPr="00481073" w:rsidRDefault="00D60E9F" w:rsidP="0050371B">
            <w:pPr>
              <w:rPr>
                <w:rFonts w:cs="Arial"/>
                <w:szCs w:val="20"/>
                <w:lang w:val="en-US"/>
              </w:rPr>
            </w:pPr>
            <w:r w:rsidRPr="00481073">
              <w:rPr>
                <w:rFonts w:cs="Arial"/>
                <w:szCs w:val="20"/>
                <w:lang w:val="en-US"/>
              </w:rPr>
              <w:t>Mean change, month 9 (p-value)</w:t>
            </w:r>
          </w:p>
        </w:tc>
        <w:tc>
          <w:tcPr>
            <w:tcW w:w="2491" w:type="dxa"/>
            <w:tcBorders>
              <w:top w:val="nil"/>
              <w:left w:val="nil"/>
              <w:right w:val="nil"/>
            </w:tcBorders>
          </w:tcPr>
          <w:p w:rsidR="00D60E9F" w:rsidRPr="00206009" w:rsidRDefault="00D60E9F" w:rsidP="0050371B">
            <w:pPr>
              <w:jc w:val="right"/>
              <w:rPr>
                <w:rFonts w:cs="Arial"/>
                <w:szCs w:val="20"/>
                <w:highlight w:val="yellow"/>
                <w:lang w:val="en-US"/>
              </w:rPr>
            </w:pPr>
            <w:r>
              <w:rPr>
                <w:rFonts w:cs="Arial"/>
                <w:szCs w:val="20"/>
                <w:lang w:val="en-US"/>
              </w:rPr>
              <w:t>(n=123) 0.012 (0.6325)</w:t>
            </w:r>
          </w:p>
        </w:tc>
        <w:tc>
          <w:tcPr>
            <w:tcW w:w="2436" w:type="dxa"/>
            <w:tcBorders>
              <w:top w:val="nil"/>
              <w:left w:val="nil"/>
              <w:right w:val="nil"/>
            </w:tcBorders>
          </w:tcPr>
          <w:p w:rsidR="00D60E9F" w:rsidRPr="00206009" w:rsidRDefault="00D60E9F" w:rsidP="0050371B">
            <w:pPr>
              <w:jc w:val="right"/>
              <w:rPr>
                <w:rFonts w:cs="Arial"/>
                <w:szCs w:val="20"/>
                <w:highlight w:val="yellow"/>
                <w:lang w:val="en-US"/>
              </w:rPr>
            </w:pPr>
            <w:r>
              <w:rPr>
                <w:rFonts w:cs="Arial"/>
                <w:szCs w:val="20"/>
                <w:lang w:val="en-US"/>
              </w:rPr>
              <w:t>(n=152) 0.006 (0.7800)</w:t>
            </w:r>
          </w:p>
        </w:tc>
        <w:tc>
          <w:tcPr>
            <w:tcW w:w="1848" w:type="dxa"/>
            <w:tcBorders>
              <w:top w:val="nil"/>
              <w:left w:val="nil"/>
              <w:right w:val="nil"/>
            </w:tcBorders>
            <w:noWrap/>
          </w:tcPr>
          <w:p w:rsidR="00D60E9F" w:rsidRPr="00206009" w:rsidRDefault="00D60E9F" w:rsidP="0050371B">
            <w:pPr>
              <w:jc w:val="right"/>
              <w:rPr>
                <w:rFonts w:cs="Arial"/>
                <w:szCs w:val="20"/>
                <w:highlight w:val="yellow"/>
                <w:lang w:val="en-US"/>
              </w:rPr>
            </w:pPr>
            <w:r>
              <w:rPr>
                <w:rFonts w:cs="Arial"/>
                <w:szCs w:val="20"/>
                <w:lang w:val="en-US"/>
              </w:rPr>
              <w:t>0.006 (0.8656)</w:t>
            </w:r>
          </w:p>
        </w:tc>
      </w:tr>
      <w:tr w:rsidR="00D60E9F" w:rsidRPr="00481073" w:rsidTr="0050371B">
        <w:trPr>
          <w:trHeight w:val="197"/>
        </w:trPr>
        <w:tc>
          <w:tcPr>
            <w:tcW w:w="3402" w:type="dxa"/>
            <w:tcBorders>
              <w:top w:val="nil"/>
              <w:left w:val="nil"/>
              <w:bottom w:val="nil"/>
              <w:right w:val="nil"/>
            </w:tcBorders>
            <w:noWrap/>
          </w:tcPr>
          <w:p w:rsidR="00D60E9F" w:rsidRPr="00481073" w:rsidRDefault="00D60E9F" w:rsidP="0050371B">
            <w:pPr>
              <w:rPr>
                <w:rFonts w:cs="Arial"/>
                <w:szCs w:val="20"/>
                <w:lang w:val="en-US"/>
              </w:rPr>
            </w:pPr>
            <w:r w:rsidRPr="00481073">
              <w:rPr>
                <w:rFonts w:cs="Arial"/>
                <w:szCs w:val="20"/>
                <w:lang w:val="en-US"/>
              </w:rPr>
              <w:t>Mean change, month 12 (p-value)</w:t>
            </w:r>
          </w:p>
        </w:tc>
        <w:tc>
          <w:tcPr>
            <w:tcW w:w="2491" w:type="dxa"/>
            <w:tcBorders>
              <w:top w:val="nil"/>
              <w:left w:val="nil"/>
              <w:bottom w:val="nil"/>
              <w:right w:val="nil"/>
            </w:tcBorders>
          </w:tcPr>
          <w:p w:rsidR="00D60E9F" w:rsidRPr="00206009" w:rsidRDefault="00D60E9F" w:rsidP="0050371B">
            <w:pPr>
              <w:jc w:val="right"/>
              <w:rPr>
                <w:rFonts w:cs="Arial"/>
                <w:szCs w:val="20"/>
                <w:highlight w:val="yellow"/>
                <w:lang w:val="en-US"/>
              </w:rPr>
            </w:pPr>
            <w:r>
              <w:rPr>
                <w:rFonts w:cs="Arial"/>
                <w:szCs w:val="20"/>
                <w:lang w:val="en-US"/>
              </w:rPr>
              <w:t>(n=119) –0.005</w:t>
            </w:r>
            <w:r w:rsidRPr="008219BB">
              <w:rPr>
                <w:rFonts w:cs="Arial"/>
                <w:szCs w:val="20"/>
                <w:lang w:val="en-US"/>
              </w:rPr>
              <w:t xml:space="preserve"> (0.8</w:t>
            </w:r>
            <w:r>
              <w:rPr>
                <w:rFonts w:cs="Arial"/>
                <w:szCs w:val="20"/>
                <w:lang w:val="en-US"/>
              </w:rPr>
              <w:t>617</w:t>
            </w:r>
            <w:r w:rsidRPr="008219BB">
              <w:rPr>
                <w:rFonts w:cs="Arial"/>
                <w:szCs w:val="20"/>
                <w:lang w:val="en-US"/>
              </w:rPr>
              <w:t>)</w:t>
            </w:r>
          </w:p>
        </w:tc>
        <w:tc>
          <w:tcPr>
            <w:tcW w:w="2436" w:type="dxa"/>
            <w:tcBorders>
              <w:top w:val="nil"/>
              <w:left w:val="nil"/>
              <w:bottom w:val="nil"/>
              <w:right w:val="nil"/>
            </w:tcBorders>
          </w:tcPr>
          <w:p w:rsidR="00D60E9F" w:rsidRPr="00206009" w:rsidRDefault="00D60E9F" w:rsidP="0050371B">
            <w:pPr>
              <w:jc w:val="right"/>
              <w:rPr>
                <w:rFonts w:cs="Arial"/>
                <w:szCs w:val="20"/>
                <w:highlight w:val="yellow"/>
                <w:lang w:val="en-US"/>
              </w:rPr>
            </w:pPr>
            <w:r>
              <w:rPr>
                <w:rFonts w:cs="Arial"/>
                <w:szCs w:val="20"/>
                <w:lang w:val="en-US"/>
              </w:rPr>
              <w:t xml:space="preserve">(n=147) </w:t>
            </w:r>
            <w:r w:rsidRPr="008219BB">
              <w:rPr>
                <w:rFonts w:cs="Arial"/>
                <w:szCs w:val="20"/>
                <w:lang w:val="en-US"/>
              </w:rPr>
              <w:t>–0.0</w:t>
            </w:r>
            <w:r>
              <w:rPr>
                <w:rFonts w:cs="Arial"/>
                <w:szCs w:val="20"/>
                <w:lang w:val="en-US"/>
              </w:rPr>
              <w:t>12 (0.6012</w:t>
            </w:r>
            <w:r w:rsidRPr="008219BB">
              <w:rPr>
                <w:rFonts w:cs="Arial"/>
                <w:szCs w:val="20"/>
                <w:lang w:val="en-US"/>
              </w:rPr>
              <w:t>)</w:t>
            </w:r>
          </w:p>
        </w:tc>
        <w:tc>
          <w:tcPr>
            <w:tcW w:w="1848" w:type="dxa"/>
            <w:tcBorders>
              <w:top w:val="nil"/>
              <w:left w:val="nil"/>
              <w:bottom w:val="nil"/>
              <w:right w:val="nil"/>
            </w:tcBorders>
            <w:shd w:val="clear" w:color="auto" w:fill="auto"/>
            <w:noWrap/>
          </w:tcPr>
          <w:p w:rsidR="00D60E9F" w:rsidRPr="00206009" w:rsidRDefault="00D60E9F" w:rsidP="0050371B">
            <w:pPr>
              <w:jc w:val="right"/>
              <w:rPr>
                <w:rFonts w:cs="Arial"/>
                <w:szCs w:val="20"/>
                <w:highlight w:val="yellow"/>
                <w:lang w:val="en-US"/>
              </w:rPr>
            </w:pPr>
            <w:r>
              <w:rPr>
                <w:rFonts w:cs="Arial"/>
                <w:szCs w:val="20"/>
                <w:lang w:val="en-US"/>
              </w:rPr>
              <w:t>0.008 (0.8228)</w:t>
            </w:r>
          </w:p>
        </w:tc>
      </w:tr>
      <w:tr w:rsidR="00D60E9F" w:rsidRPr="00217EFD" w:rsidTr="0050371B">
        <w:trPr>
          <w:trHeight w:val="197"/>
        </w:trPr>
        <w:tc>
          <w:tcPr>
            <w:tcW w:w="3402" w:type="dxa"/>
            <w:tcBorders>
              <w:top w:val="nil"/>
              <w:left w:val="nil"/>
              <w:bottom w:val="nil"/>
              <w:right w:val="nil"/>
            </w:tcBorders>
            <w:noWrap/>
          </w:tcPr>
          <w:p w:rsidR="00D60E9F" w:rsidRPr="00481073" w:rsidRDefault="00D60E9F" w:rsidP="0050371B">
            <w:pPr>
              <w:rPr>
                <w:rFonts w:cs="Arial"/>
                <w:szCs w:val="20"/>
                <w:lang w:val="en-US"/>
              </w:rPr>
            </w:pPr>
            <w:r w:rsidRPr="00481073">
              <w:rPr>
                <w:rFonts w:cs="Arial"/>
                <w:szCs w:val="20"/>
                <w:lang w:val="en-US"/>
              </w:rPr>
              <w:t xml:space="preserve">Mean change, month </w:t>
            </w:r>
            <w:r>
              <w:rPr>
                <w:rFonts w:cs="Arial"/>
                <w:szCs w:val="20"/>
                <w:lang w:val="en-US"/>
              </w:rPr>
              <w:t>24</w:t>
            </w:r>
            <w:r w:rsidRPr="00481073">
              <w:rPr>
                <w:rFonts w:cs="Arial"/>
                <w:szCs w:val="20"/>
                <w:lang w:val="en-US"/>
              </w:rPr>
              <w:t xml:space="preserve"> (p-value)</w:t>
            </w:r>
          </w:p>
        </w:tc>
        <w:tc>
          <w:tcPr>
            <w:tcW w:w="2491" w:type="dxa"/>
            <w:tcBorders>
              <w:top w:val="nil"/>
              <w:left w:val="nil"/>
              <w:bottom w:val="nil"/>
              <w:right w:val="nil"/>
            </w:tcBorders>
          </w:tcPr>
          <w:p w:rsidR="00D60E9F" w:rsidRPr="00217EFD" w:rsidRDefault="00D60E9F" w:rsidP="0050371B">
            <w:pPr>
              <w:jc w:val="right"/>
              <w:rPr>
                <w:rFonts w:cs="Arial"/>
                <w:szCs w:val="20"/>
                <w:lang w:val="en-US"/>
              </w:rPr>
            </w:pPr>
            <w:r>
              <w:rPr>
                <w:rFonts w:cs="Arial"/>
                <w:szCs w:val="20"/>
                <w:lang w:val="en-US"/>
              </w:rPr>
              <w:t>(n=105) –0.020 (0.4519)</w:t>
            </w:r>
          </w:p>
        </w:tc>
        <w:tc>
          <w:tcPr>
            <w:tcW w:w="2436" w:type="dxa"/>
            <w:tcBorders>
              <w:top w:val="nil"/>
              <w:left w:val="nil"/>
              <w:bottom w:val="nil"/>
              <w:right w:val="nil"/>
            </w:tcBorders>
          </w:tcPr>
          <w:p w:rsidR="00D60E9F" w:rsidRPr="00217EFD" w:rsidRDefault="00D60E9F" w:rsidP="0050371B">
            <w:pPr>
              <w:jc w:val="right"/>
              <w:rPr>
                <w:rFonts w:cs="Arial"/>
                <w:szCs w:val="20"/>
                <w:lang w:val="en-US"/>
              </w:rPr>
            </w:pPr>
            <w:r>
              <w:rPr>
                <w:rFonts w:cs="Arial"/>
                <w:szCs w:val="20"/>
                <w:lang w:val="en-US"/>
              </w:rPr>
              <w:t>(n=124) –</w:t>
            </w:r>
            <w:r w:rsidRPr="00217EFD">
              <w:rPr>
                <w:rFonts w:cs="Arial"/>
                <w:szCs w:val="20"/>
                <w:lang w:val="en-US"/>
              </w:rPr>
              <w:t>0.</w:t>
            </w:r>
            <w:r>
              <w:rPr>
                <w:rFonts w:cs="Arial"/>
                <w:szCs w:val="20"/>
                <w:lang w:val="en-US"/>
              </w:rPr>
              <w:t>068 (0.0061)</w:t>
            </w:r>
          </w:p>
        </w:tc>
        <w:tc>
          <w:tcPr>
            <w:tcW w:w="1848" w:type="dxa"/>
            <w:tcBorders>
              <w:top w:val="nil"/>
              <w:left w:val="nil"/>
              <w:bottom w:val="nil"/>
              <w:right w:val="nil"/>
            </w:tcBorders>
            <w:noWrap/>
          </w:tcPr>
          <w:p w:rsidR="00D60E9F" w:rsidRPr="00217EFD" w:rsidRDefault="00D60E9F" w:rsidP="0050371B">
            <w:pPr>
              <w:jc w:val="right"/>
              <w:rPr>
                <w:rFonts w:cs="Arial"/>
                <w:szCs w:val="20"/>
                <w:lang w:val="en-US"/>
              </w:rPr>
            </w:pPr>
            <w:r>
              <w:rPr>
                <w:rFonts w:cs="Arial"/>
                <w:szCs w:val="20"/>
                <w:lang w:val="en-US"/>
              </w:rPr>
              <w:t>0.048 (0.1883)</w:t>
            </w:r>
          </w:p>
        </w:tc>
      </w:tr>
      <w:tr w:rsidR="00D60E9F" w:rsidRPr="00217EFD" w:rsidTr="0050371B">
        <w:trPr>
          <w:trHeight w:val="197"/>
        </w:trPr>
        <w:tc>
          <w:tcPr>
            <w:tcW w:w="3402" w:type="dxa"/>
            <w:tcBorders>
              <w:top w:val="nil"/>
              <w:left w:val="nil"/>
              <w:bottom w:val="nil"/>
              <w:right w:val="nil"/>
            </w:tcBorders>
            <w:noWrap/>
          </w:tcPr>
          <w:p w:rsidR="00D60E9F" w:rsidRPr="00481073" w:rsidRDefault="00D60E9F" w:rsidP="0050371B">
            <w:pPr>
              <w:rPr>
                <w:rFonts w:cs="Arial"/>
                <w:szCs w:val="20"/>
                <w:lang w:val="en-US"/>
              </w:rPr>
            </w:pPr>
            <w:r w:rsidRPr="00481073">
              <w:rPr>
                <w:rFonts w:cs="Arial"/>
                <w:szCs w:val="20"/>
                <w:lang w:val="en-US"/>
              </w:rPr>
              <w:t>Mean change, month 3</w:t>
            </w:r>
            <w:r>
              <w:rPr>
                <w:rFonts w:cs="Arial"/>
                <w:szCs w:val="20"/>
                <w:lang w:val="en-US"/>
              </w:rPr>
              <w:t>6</w:t>
            </w:r>
            <w:r w:rsidRPr="00481073">
              <w:rPr>
                <w:rFonts w:cs="Arial"/>
                <w:szCs w:val="20"/>
                <w:lang w:val="en-US"/>
              </w:rPr>
              <w:t xml:space="preserve"> (p-value)</w:t>
            </w:r>
          </w:p>
        </w:tc>
        <w:tc>
          <w:tcPr>
            <w:tcW w:w="2491" w:type="dxa"/>
            <w:tcBorders>
              <w:top w:val="nil"/>
              <w:left w:val="nil"/>
              <w:bottom w:val="nil"/>
              <w:right w:val="nil"/>
            </w:tcBorders>
          </w:tcPr>
          <w:p w:rsidR="00D60E9F" w:rsidRPr="00217EFD" w:rsidRDefault="00D60E9F" w:rsidP="0050371B">
            <w:pPr>
              <w:jc w:val="right"/>
              <w:rPr>
                <w:rFonts w:cs="Arial"/>
                <w:szCs w:val="20"/>
                <w:lang w:val="en-US"/>
              </w:rPr>
            </w:pPr>
            <w:r>
              <w:rPr>
                <w:rFonts w:cs="Arial"/>
                <w:szCs w:val="20"/>
                <w:lang w:val="en-US"/>
              </w:rPr>
              <w:t>(n=102) –0.038 (0.1613)</w:t>
            </w:r>
          </w:p>
        </w:tc>
        <w:tc>
          <w:tcPr>
            <w:tcW w:w="2436" w:type="dxa"/>
            <w:tcBorders>
              <w:top w:val="nil"/>
              <w:left w:val="nil"/>
              <w:bottom w:val="nil"/>
              <w:right w:val="nil"/>
            </w:tcBorders>
          </w:tcPr>
          <w:p w:rsidR="00D60E9F" w:rsidRPr="00217EFD" w:rsidRDefault="00D60E9F" w:rsidP="0050371B">
            <w:pPr>
              <w:jc w:val="right"/>
              <w:rPr>
                <w:rFonts w:cs="Arial"/>
                <w:szCs w:val="20"/>
                <w:lang w:val="en-US"/>
              </w:rPr>
            </w:pPr>
            <w:r>
              <w:rPr>
                <w:rFonts w:cs="Arial"/>
                <w:szCs w:val="20"/>
                <w:lang w:val="en-US"/>
              </w:rPr>
              <w:t>(n=106) –0.142 (&lt;.0001)</w:t>
            </w:r>
          </w:p>
        </w:tc>
        <w:tc>
          <w:tcPr>
            <w:tcW w:w="1848" w:type="dxa"/>
            <w:tcBorders>
              <w:top w:val="nil"/>
              <w:left w:val="nil"/>
              <w:bottom w:val="nil"/>
              <w:right w:val="nil"/>
            </w:tcBorders>
            <w:noWrap/>
          </w:tcPr>
          <w:p w:rsidR="00D60E9F" w:rsidRPr="00217EFD" w:rsidRDefault="00D60E9F" w:rsidP="0050371B">
            <w:pPr>
              <w:jc w:val="right"/>
              <w:rPr>
                <w:rFonts w:cs="Arial"/>
                <w:szCs w:val="20"/>
                <w:lang w:val="en-US"/>
              </w:rPr>
            </w:pPr>
            <w:r>
              <w:rPr>
                <w:rFonts w:cs="Arial"/>
                <w:szCs w:val="20"/>
                <w:lang w:val="en-US"/>
              </w:rPr>
              <w:t>0.104 (0.0054)</w:t>
            </w:r>
          </w:p>
        </w:tc>
      </w:tr>
      <w:tr w:rsidR="00D60E9F" w:rsidRPr="00D60E9F" w:rsidTr="0050371B">
        <w:trPr>
          <w:trHeight w:val="197"/>
        </w:trPr>
        <w:tc>
          <w:tcPr>
            <w:tcW w:w="3402" w:type="dxa"/>
            <w:tcBorders>
              <w:top w:val="nil"/>
              <w:left w:val="nil"/>
              <w:bottom w:val="nil"/>
              <w:right w:val="nil"/>
            </w:tcBorders>
            <w:noWrap/>
          </w:tcPr>
          <w:p w:rsidR="00D60E9F" w:rsidRDefault="00D60E9F" w:rsidP="0050371B">
            <w:pPr>
              <w:spacing w:line="240" w:lineRule="auto"/>
              <w:rPr>
                <w:rFonts w:cs="Arial"/>
                <w:b/>
                <w:szCs w:val="20"/>
                <w:lang w:val="en-US"/>
              </w:rPr>
            </w:pPr>
          </w:p>
          <w:p w:rsidR="00D60E9F" w:rsidRPr="00E633AC" w:rsidRDefault="00D60E9F" w:rsidP="0050371B">
            <w:pPr>
              <w:spacing w:line="240" w:lineRule="auto"/>
              <w:rPr>
                <w:rFonts w:cs="Arial"/>
                <w:b/>
                <w:szCs w:val="20"/>
                <w:lang w:val="en-US"/>
              </w:rPr>
            </w:pPr>
            <w:r>
              <w:rPr>
                <w:rFonts w:cs="Arial"/>
                <w:b/>
                <w:szCs w:val="20"/>
                <w:lang w:val="en-US"/>
              </w:rPr>
              <w:t>Patients’ VAS score, self-rated health</w:t>
            </w:r>
          </w:p>
        </w:tc>
        <w:tc>
          <w:tcPr>
            <w:tcW w:w="2491" w:type="dxa"/>
            <w:tcBorders>
              <w:top w:val="nil"/>
              <w:left w:val="nil"/>
              <w:bottom w:val="nil"/>
              <w:right w:val="nil"/>
            </w:tcBorders>
          </w:tcPr>
          <w:p w:rsidR="00D60E9F" w:rsidRPr="00206009" w:rsidRDefault="00D60E9F" w:rsidP="0050371B">
            <w:pPr>
              <w:jc w:val="right"/>
              <w:rPr>
                <w:rFonts w:cs="Arial"/>
                <w:szCs w:val="20"/>
                <w:highlight w:val="yellow"/>
                <w:lang w:val="en-US"/>
              </w:rPr>
            </w:pPr>
          </w:p>
        </w:tc>
        <w:tc>
          <w:tcPr>
            <w:tcW w:w="2436" w:type="dxa"/>
            <w:tcBorders>
              <w:top w:val="nil"/>
              <w:left w:val="nil"/>
              <w:bottom w:val="nil"/>
              <w:right w:val="nil"/>
            </w:tcBorders>
          </w:tcPr>
          <w:p w:rsidR="00D60E9F" w:rsidRPr="00206009" w:rsidRDefault="00D60E9F" w:rsidP="0050371B">
            <w:pPr>
              <w:jc w:val="right"/>
              <w:rPr>
                <w:rFonts w:cs="Arial"/>
                <w:szCs w:val="20"/>
                <w:highlight w:val="yellow"/>
                <w:lang w:val="en-US"/>
              </w:rPr>
            </w:pPr>
          </w:p>
        </w:tc>
        <w:tc>
          <w:tcPr>
            <w:tcW w:w="1848" w:type="dxa"/>
            <w:tcBorders>
              <w:top w:val="nil"/>
              <w:left w:val="nil"/>
              <w:bottom w:val="nil"/>
              <w:right w:val="nil"/>
            </w:tcBorders>
            <w:noWrap/>
          </w:tcPr>
          <w:p w:rsidR="00D60E9F" w:rsidRPr="00206009" w:rsidRDefault="00D60E9F" w:rsidP="0050371B">
            <w:pPr>
              <w:jc w:val="right"/>
              <w:rPr>
                <w:rFonts w:cs="Arial"/>
                <w:szCs w:val="20"/>
                <w:highlight w:val="yellow"/>
                <w:lang w:val="en-US"/>
              </w:rPr>
            </w:pPr>
          </w:p>
        </w:tc>
      </w:tr>
      <w:tr w:rsidR="00D60E9F" w:rsidRPr="002764C8" w:rsidTr="0050371B">
        <w:trPr>
          <w:trHeight w:val="197"/>
        </w:trPr>
        <w:tc>
          <w:tcPr>
            <w:tcW w:w="3402" w:type="dxa"/>
            <w:tcBorders>
              <w:top w:val="nil"/>
              <w:left w:val="nil"/>
              <w:bottom w:val="nil"/>
              <w:right w:val="nil"/>
            </w:tcBorders>
            <w:noWrap/>
          </w:tcPr>
          <w:p w:rsidR="00D60E9F" w:rsidRPr="00FF36E4" w:rsidRDefault="00D60E9F" w:rsidP="0050371B">
            <w:pPr>
              <w:rPr>
                <w:rFonts w:cs="Arial"/>
                <w:szCs w:val="20"/>
                <w:lang w:val="en-US"/>
              </w:rPr>
            </w:pPr>
            <w:r w:rsidRPr="00FF36E4">
              <w:rPr>
                <w:rFonts w:cs="Arial"/>
                <w:szCs w:val="20"/>
                <w:lang w:val="en-US"/>
              </w:rPr>
              <w:t>Mean change, month 3 (p-value)</w:t>
            </w:r>
          </w:p>
        </w:tc>
        <w:tc>
          <w:tcPr>
            <w:tcW w:w="2491" w:type="dxa"/>
            <w:tcBorders>
              <w:top w:val="nil"/>
              <w:left w:val="nil"/>
              <w:bottom w:val="nil"/>
              <w:right w:val="nil"/>
            </w:tcBorders>
          </w:tcPr>
          <w:p w:rsidR="00D60E9F" w:rsidRPr="00FF36E4" w:rsidRDefault="00D60E9F" w:rsidP="0050371B">
            <w:pPr>
              <w:jc w:val="right"/>
              <w:rPr>
                <w:rFonts w:cs="Arial"/>
                <w:szCs w:val="20"/>
                <w:lang w:val="en-US"/>
              </w:rPr>
            </w:pPr>
            <w:r>
              <w:rPr>
                <w:rFonts w:cs="Arial"/>
                <w:szCs w:val="20"/>
                <w:lang w:val="en-US"/>
              </w:rPr>
              <w:t xml:space="preserve">(n=130) </w:t>
            </w:r>
            <w:r w:rsidRPr="00FF36E4">
              <w:rPr>
                <w:rFonts w:cs="Arial"/>
                <w:szCs w:val="20"/>
                <w:lang w:val="en-US"/>
              </w:rPr>
              <w:t xml:space="preserve">  </w:t>
            </w:r>
            <w:r>
              <w:rPr>
                <w:rFonts w:cs="Arial"/>
                <w:szCs w:val="20"/>
                <w:lang w:val="en-US"/>
              </w:rPr>
              <w:t>7.98</w:t>
            </w:r>
            <w:r w:rsidRPr="00FF36E4">
              <w:rPr>
                <w:rFonts w:cs="Arial"/>
                <w:szCs w:val="20"/>
                <w:lang w:val="en-US"/>
              </w:rPr>
              <w:t xml:space="preserve"> (&lt;0.0001)</w:t>
            </w:r>
          </w:p>
        </w:tc>
        <w:tc>
          <w:tcPr>
            <w:tcW w:w="2436" w:type="dxa"/>
            <w:tcBorders>
              <w:top w:val="nil"/>
              <w:left w:val="nil"/>
              <w:bottom w:val="nil"/>
              <w:right w:val="nil"/>
            </w:tcBorders>
          </w:tcPr>
          <w:p w:rsidR="00D60E9F" w:rsidRPr="00FF36E4" w:rsidRDefault="00D60E9F" w:rsidP="0050371B">
            <w:pPr>
              <w:jc w:val="right"/>
              <w:rPr>
                <w:rFonts w:cs="Arial"/>
                <w:szCs w:val="20"/>
                <w:lang w:val="en-US"/>
              </w:rPr>
            </w:pPr>
            <w:r>
              <w:rPr>
                <w:rFonts w:cs="Arial"/>
                <w:szCs w:val="20"/>
                <w:lang w:val="en-US"/>
              </w:rPr>
              <w:t xml:space="preserve">(n=161) </w:t>
            </w:r>
            <w:r w:rsidRPr="00FF36E4">
              <w:rPr>
                <w:rFonts w:cs="Arial"/>
                <w:szCs w:val="20"/>
                <w:lang w:val="en-US"/>
              </w:rPr>
              <w:t>2.36 (0.1251)</w:t>
            </w:r>
          </w:p>
        </w:tc>
        <w:tc>
          <w:tcPr>
            <w:tcW w:w="1848" w:type="dxa"/>
            <w:tcBorders>
              <w:top w:val="nil"/>
              <w:left w:val="nil"/>
              <w:bottom w:val="nil"/>
              <w:right w:val="nil"/>
            </w:tcBorders>
            <w:noWrap/>
          </w:tcPr>
          <w:p w:rsidR="00D60E9F" w:rsidRPr="00FF36E4" w:rsidRDefault="00D60E9F" w:rsidP="0050371B">
            <w:pPr>
              <w:jc w:val="right"/>
              <w:rPr>
                <w:rFonts w:cs="Arial"/>
                <w:szCs w:val="20"/>
                <w:lang w:val="en-US"/>
              </w:rPr>
            </w:pPr>
            <w:r w:rsidRPr="00FF36E4">
              <w:rPr>
                <w:rFonts w:cs="Arial"/>
                <w:szCs w:val="20"/>
                <w:lang w:val="en-US"/>
              </w:rPr>
              <w:t>5.</w:t>
            </w:r>
            <w:r>
              <w:rPr>
                <w:rFonts w:cs="Arial"/>
                <w:szCs w:val="20"/>
                <w:lang w:val="en-US"/>
              </w:rPr>
              <w:t xml:space="preserve">61  </w:t>
            </w:r>
            <w:r w:rsidRPr="00FF36E4">
              <w:rPr>
                <w:rFonts w:cs="Arial"/>
                <w:szCs w:val="20"/>
                <w:lang w:val="en-US"/>
              </w:rPr>
              <w:t xml:space="preserve"> (0.0145)</w:t>
            </w:r>
          </w:p>
        </w:tc>
      </w:tr>
      <w:tr w:rsidR="00D60E9F" w:rsidRPr="00C07595" w:rsidTr="0050371B">
        <w:trPr>
          <w:trHeight w:val="197"/>
        </w:trPr>
        <w:tc>
          <w:tcPr>
            <w:tcW w:w="3402" w:type="dxa"/>
            <w:tcBorders>
              <w:top w:val="nil"/>
              <w:left w:val="nil"/>
              <w:bottom w:val="nil"/>
              <w:right w:val="nil"/>
            </w:tcBorders>
            <w:noWrap/>
          </w:tcPr>
          <w:p w:rsidR="00D60E9F" w:rsidRPr="00CE21D2" w:rsidRDefault="00D60E9F" w:rsidP="0050371B">
            <w:pPr>
              <w:rPr>
                <w:rFonts w:cs="Arial"/>
                <w:szCs w:val="20"/>
                <w:lang w:val="en-US"/>
              </w:rPr>
            </w:pPr>
            <w:r w:rsidRPr="00CE21D2">
              <w:rPr>
                <w:rFonts w:cs="Arial"/>
                <w:szCs w:val="20"/>
                <w:lang w:val="en-US"/>
              </w:rPr>
              <w:t>Mean change, month 6 (p-value)</w:t>
            </w:r>
          </w:p>
        </w:tc>
        <w:tc>
          <w:tcPr>
            <w:tcW w:w="2491" w:type="dxa"/>
            <w:tcBorders>
              <w:top w:val="nil"/>
              <w:left w:val="nil"/>
              <w:bottom w:val="nil"/>
              <w:right w:val="nil"/>
            </w:tcBorders>
            <w:shd w:val="clear" w:color="auto" w:fill="auto"/>
          </w:tcPr>
          <w:p w:rsidR="00D60E9F" w:rsidRPr="002764C8" w:rsidRDefault="00D60E9F" w:rsidP="0050371B">
            <w:pPr>
              <w:jc w:val="right"/>
              <w:rPr>
                <w:rFonts w:cs="Arial"/>
                <w:szCs w:val="20"/>
                <w:highlight w:val="yellow"/>
                <w:lang w:val="en-US"/>
              </w:rPr>
            </w:pPr>
            <w:r>
              <w:rPr>
                <w:rFonts w:cs="Arial"/>
                <w:szCs w:val="20"/>
                <w:lang w:val="en-US"/>
              </w:rPr>
              <w:t xml:space="preserve">(n=127) </w:t>
            </w:r>
            <w:r w:rsidRPr="002764C8">
              <w:rPr>
                <w:rFonts w:cs="Arial"/>
                <w:szCs w:val="20"/>
                <w:lang w:val="en-US"/>
              </w:rPr>
              <w:t>10.</w:t>
            </w:r>
            <w:r>
              <w:rPr>
                <w:rFonts w:cs="Arial"/>
                <w:szCs w:val="20"/>
                <w:lang w:val="en-US"/>
              </w:rPr>
              <w:t>83</w:t>
            </w:r>
            <w:r w:rsidRPr="002764C8">
              <w:rPr>
                <w:rFonts w:cs="Arial"/>
                <w:szCs w:val="20"/>
                <w:lang w:val="en-US"/>
              </w:rPr>
              <w:t xml:space="preserve"> (&lt;0.0001)</w:t>
            </w:r>
          </w:p>
        </w:tc>
        <w:tc>
          <w:tcPr>
            <w:tcW w:w="2436" w:type="dxa"/>
            <w:tcBorders>
              <w:top w:val="nil"/>
              <w:left w:val="nil"/>
              <w:bottom w:val="nil"/>
              <w:right w:val="nil"/>
            </w:tcBorders>
          </w:tcPr>
          <w:p w:rsidR="00D60E9F" w:rsidRPr="00206009" w:rsidRDefault="00D60E9F" w:rsidP="0050371B">
            <w:pPr>
              <w:jc w:val="right"/>
              <w:rPr>
                <w:rFonts w:cs="Arial"/>
                <w:szCs w:val="20"/>
                <w:highlight w:val="yellow"/>
                <w:lang w:val="en-US"/>
              </w:rPr>
            </w:pPr>
            <w:r>
              <w:rPr>
                <w:rFonts w:cs="Arial"/>
                <w:szCs w:val="20"/>
                <w:lang w:val="en-US"/>
              </w:rPr>
              <w:t>(n=153) 2.83 (0.0615</w:t>
            </w:r>
            <w:r w:rsidRPr="00E440EB">
              <w:rPr>
                <w:rFonts w:cs="Arial"/>
                <w:szCs w:val="20"/>
                <w:lang w:val="en-US"/>
              </w:rPr>
              <w:t>)</w:t>
            </w:r>
          </w:p>
        </w:tc>
        <w:tc>
          <w:tcPr>
            <w:tcW w:w="1848" w:type="dxa"/>
            <w:tcBorders>
              <w:top w:val="nil"/>
              <w:left w:val="nil"/>
              <w:bottom w:val="nil"/>
              <w:right w:val="nil"/>
            </w:tcBorders>
            <w:noWrap/>
          </w:tcPr>
          <w:p w:rsidR="00D60E9F" w:rsidRPr="00206009" w:rsidRDefault="00D60E9F" w:rsidP="0050371B">
            <w:pPr>
              <w:jc w:val="right"/>
              <w:rPr>
                <w:rFonts w:cs="Arial"/>
                <w:szCs w:val="20"/>
                <w:highlight w:val="yellow"/>
                <w:lang w:val="en-US"/>
              </w:rPr>
            </w:pPr>
            <w:r>
              <w:rPr>
                <w:rFonts w:cs="Arial"/>
                <w:szCs w:val="20"/>
                <w:lang w:val="en-US"/>
              </w:rPr>
              <w:t>8.00   (0.0004</w:t>
            </w:r>
            <w:r w:rsidRPr="00F71378">
              <w:rPr>
                <w:rFonts w:cs="Arial"/>
                <w:szCs w:val="20"/>
                <w:lang w:val="en-US"/>
              </w:rPr>
              <w:t>)</w:t>
            </w:r>
          </w:p>
        </w:tc>
      </w:tr>
      <w:tr w:rsidR="00D60E9F" w:rsidRPr="00C07595" w:rsidTr="0050371B">
        <w:trPr>
          <w:trHeight w:val="197"/>
        </w:trPr>
        <w:tc>
          <w:tcPr>
            <w:tcW w:w="3402" w:type="dxa"/>
            <w:tcBorders>
              <w:top w:val="nil"/>
              <w:left w:val="nil"/>
              <w:bottom w:val="nil"/>
              <w:right w:val="nil"/>
            </w:tcBorders>
            <w:noWrap/>
          </w:tcPr>
          <w:p w:rsidR="00D60E9F" w:rsidRPr="00CE21D2" w:rsidRDefault="00D60E9F" w:rsidP="0050371B">
            <w:pPr>
              <w:rPr>
                <w:rFonts w:cs="Arial"/>
                <w:szCs w:val="20"/>
                <w:lang w:val="en-US"/>
              </w:rPr>
            </w:pPr>
            <w:r w:rsidRPr="00CE21D2">
              <w:rPr>
                <w:rFonts w:cs="Arial"/>
                <w:szCs w:val="20"/>
                <w:lang w:val="en-US"/>
              </w:rPr>
              <w:t>Mean change, month 9 (p-value)</w:t>
            </w:r>
          </w:p>
        </w:tc>
        <w:tc>
          <w:tcPr>
            <w:tcW w:w="2491" w:type="dxa"/>
            <w:tcBorders>
              <w:top w:val="nil"/>
              <w:left w:val="nil"/>
              <w:bottom w:val="nil"/>
              <w:right w:val="nil"/>
            </w:tcBorders>
          </w:tcPr>
          <w:p w:rsidR="00D60E9F" w:rsidRPr="00206009" w:rsidRDefault="00D60E9F" w:rsidP="0050371B">
            <w:pPr>
              <w:jc w:val="right"/>
              <w:rPr>
                <w:rFonts w:cs="Arial"/>
                <w:szCs w:val="20"/>
                <w:highlight w:val="yellow"/>
                <w:lang w:val="en-US"/>
              </w:rPr>
            </w:pPr>
            <w:r>
              <w:rPr>
                <w:rFonts w:cs="Arial"/>
                <w:szCs w:val="20"/>
                <w:lang w:val="en-US"/>
              </w:rPr>
              <w:t xml:space="preserve">(n=123) </w:t>
            </w:r>
            <w:r w:rsidRPr="002764C8">
              <w:rPr>
                <w:rFonts w:cs="Arial"/>
                <w:szCs w:val="20"/>
                <w:lang w:val="en-US"/>
              </w:rPr>
              <w:t>11.8</w:t>
            </w:r>
            <w:r>
              <w:rPr>
                <w:rFonts w:cs="Arial"/>
                <w:szCs w:val="20"/>
                <w:lang w:val="en-US"/>
              </w:rPr>
              <w:t>4</w:t>
            </w:r>
            <w:r w:rsidRPr="002764C8">
              <w:rPr>
                <w:rFonts w:cs="Arial"/>
                <w:szCs w:val="20"/>
                <w:lang w:val="en-US"/>
              </w:rPr>
              <w:t xml:space="preserve"> (&lt;0.0001)</w:t>
            </w:r>
          </w:p>
        </w:tc>
        <w:tc>
          <w:tcPr>
            <w:tcW w:w="2436" w:type="dxa"/>
            <w:tcBorders>
              <w:top w:val="nil"/>
              <w:left w:val="nil"/>
              <w:bottom w:val="nil"/>
              <w:right w:val="nil"/>
            </w:tcBorders>
          </w:tcPr>
          <w:p w:rsidR="00D60E9F" w:rsidRPr="00206009" w:rsidRDefault="00D60E9F" w:rsidP="0050371B">
            <w:pPr>
              <w:jc w:val="right"/>
              <w:rPr>
                <w:rFonts w:cs="Arial"/>
                <w:szCs w:val="20"/>
                <w:highlight w:val="yellow"/>
                <w:lang w:val="en-US"/>
              </w:rPr>
            </w:pPr>
            <w:r>
              <w:rPr>
                <w:rFonts w:cs="Arial"/>
                <w:szCs w:val="20"/>
                <w:lang w:val="en-US"/>
              </w:rPr>
              <w:t>(n=152) 1.97</w:t>
            </w:r>
            <w:r w:rsidRPr="00E440EB">
              <w:rPr>
                <w:rFonts w:cs="Arial"/>
                <w:szCs w:val="20"/>
                <w:lang w:val="en-US"/>
              </w:rPr>
              <w:t xml:space="preserve"> (0.</w:t>
            </w:r>
            <w:r>
              <w:rPr>
                <w:rFonts w:cs="Arial"/>
                <w:szCs w:val="20"/>
                <w:lang w:val="en-US"/>
              </w:rPr>
              <w:t>1940</w:t>
            </w:r>
            <w:r w:rsidRPr="00E440EB">
              <w:rPr>
                <w:rFonts w:cs="Arial"/>
                <w:szCs w:val="20"/>
                <w:lang w:val="en-US"/>
              </w:rPr>
              <w:t>)</w:t>
            </w:r>
          </w:p>
        </w:tc>
        <w:tc>
          <w:tcPr>
            <w:tcW w:w="1848" w:type="dxa"/>
            <w:tcBorders>
              <w:top w:val="nil"/>
              <w:left w:val="nil"/>
              <w:bottom w:val="nil"/>
              <w:right w:val="nil"/>
            </w:tcBorders>
            <w:noWrap/>
          </w:tcPr>
          <w:p w:rsidR="00D60E9F" w:rsidRPr="00206009" w:rsidRDefault="00D60E9F" w:rsidP="0050371B">
            <w:pPr>
              <w:jc w:val="right"/>
              <w:rPr>
                <w:rFonts w:cs="Arial"/>
                <w:szCs w:val="20"/>
                <w:highlight w:val="yellow"/>
                <w:lang w:val="en-US"/>
              </w:rPr>
            </w:pPr>
            <w:r>
              <w:rPr>
                <w:rFonts w:cs="Arial"/>
                <w:szCs w:val="20"/>
                <w:lang w:val="en-US"/>
              </w:rPr>
              <w:t>9.88</w:t>
            </w:r>
            <w:r w:rsidRPr="003633E9">
              <w:rPr>
                <w:rFonts w:cs="Arial"/>
                <w:szCs w:val="20"/>
                <w:lang w:val="en-US"/>
              </w:rPr>
              <w:t xml:space="preserve"> (&lt;0.0001)</w:t>
            </w:r>
          </w:p>
        </w:tc>
      </w:tr>
      <w:tr w:rsidR="00D60E9F" w:rsidRPr="00C07595" w:rsidTr="0050371B">
        <w:trPr>
          <w:trHeight w:val="197"/>
        </w:trPr>
        <w:tc>
          <w:tcPr>
            <w:tcW w:w="3402" w:type="dxa"/>
            <w:tcBorders>
              <w:top w:val="nil"/>
              <w:left w:val="nil"/>
              <w:bottom w:val="nil"/>
              <w:right w:val="nil"/>
            </w:tcBorders>
            <w:noWrap/>
          </w:tcPr>
          <w:p w:rsidR="00D60E9F" w:rsidRPr="00CE21D2" w:rsidRDefault="00D60E9F" w:rsidP="0050371B">
            <w:pPr>
              <w:rPr>
                <w:rFonts w:cs="Arial"/>
                <w:szCs w:val="20"/>
                <w:lang w:val="en-US"/>
              </w:rPr>
            </w:pPr>
            <w:r w:rsidRPr="00CE21D2">
              <w:rPr>
                <w:rFonts w:cs="Arial"/>
                <w:szCs w:val="20"/>
                <w:lang w:val="en-US"/>
              </w:rPr>
              <w:t>Mean change, month 12 (p-value)</w:t>
            </w:r>
          </w:p>
        </w:tc>
        <w:tc>
          <w:tcPr>
            <w:tcW w:w="2491" w:type="dxa"/>
            <w:tcBorders>
              <w:top w:val="nil"/>
              <w:left w:val="nil"/>
              <w:bottom w:val="nil"/>
              <w:right w:val="nil"/>
            </w:tcBorders>
          </w:tcPr>
          <w:p w:rsidR="00D60E9F" w:rsidRPr="00206009" w:rsidRDefault="00D60E9F" w:rsidP="0050371B">
            <w:pPr>
              <w:jc w:val="right"/>
              <w:rPr>
                <w:rFonts w:cs="Arial"/>
                <w:szCs w:val="20"/>
                <w:highlight w:val="yellow"/>
                <w:lang w:val="en-US"/>
              </w:rPr>
            </w:pPr>
            <w:r>
              <w:rPr>
                <w:rFonts w:cs="Arial"/>
                <w:szCs w:val="20"/>
                <w:lang w:val="en-US"/>
              </w:rPr>
              <w:t xml:space="preserve">(n=119) </w:t>
            </w:r>
            <w:r w:rsidRPr="002764C8">
              <w:rPr>
                <w:rFonts w:cs="Arial"/>
                <w:szCs w:val="20"/>
                <w:lang w:val="en-US"/>
              </w:rPr>
              <w:t>10.</w:t>
            </w:r>
            <w:r>
              <w:rPr>
                <w:rFonts w:cs="Arial"/>
                <w:szCs w:val="20"/>
                <w:lang w:val="en-US"/>
              </w:rPr>
              <w:t>11</w:t>
            </w:r>
            <w:r w:rsidRPr="002764C8">
              <w:rPr>
                <w:rFonts w:cs="Arial"/>
                <w:szCs w:val="20"/>
                <w:lang w:val="en-US"/>
              </w:rPr>
              <w:t xml:space="preserve"> (&lt;0.0001)</w:t>
            </w:r>
          </w:p>
        </w:tc>
        <w:tc>
          <w:tcPr>
            <w:tcW w:w="2436" w:type="dxa"/>
            <w:tcBorders>
              <w:top w:val="nil"/>
              <w:left w:val="nil"/>
              <w:bottom w:val="nil"/>
              <w:right w:val="nil"/>
            </w:tcBorders>
          </w:tcPr>
          <w:p w:rsidR="00D60E9F" w:rsidRPr="00206009" w:rsidRDefault="00D60E9F" w:rsidP="0050371B">
            <w:pPr>
              <w:jc w:val="right"/>
              <w:rPr>
                <w:rFonts w:cs="Arial"/>
                <w:szCs w:val="20"/>
                <w:highlight w:val="yellow"/>
                <w:lang w:val="en-US"/>
              </w:rPr>
            </w:pPr>
            <w:r>
              <w:rPr>
                <w:rFonts w:cs="Arial"/>
                <w:szCs w:val="20"/>
                <w:lang w:val="en-US"/>
              </w:rPr>
              <w:t xml:space="preserve">(n=147) </w:t>
            </w:r>
            <w:r w:rsidRPr="00E440EB">
              <w:rPr>
                <w:rFonts w:cs="Arial"/>
                <w:szCs w:val="20"/>
                <w:lang w:val="en-US"/>
              </w:rPr>
              <w:t>0.</w:t>
            </w:r>
            <w:r>
              <w:rPr>
                <w:rFonts w:cs="Arial"/>
                <w:szCs w:val="20"/>
                <w:lang w:val="en-US"/>
              </w:rPr>
              <w:t>90 (0.5591</w:t>
            </w:r>
            <w:r w:rsidRPr="00E440EB">
              <w:rPr>
                <w:rFonts w:cs="Arial"/>
                <w:szCs w:val="20"/>
                <w:lang w:val="en-US"/>
              </w:rPr>
              <w:t>)</w:t>
            </w:r>
          </w:p>
        </w:tc>
        <w:tc>
          <w:tcPr>
            <w:tcW w:w="1848" w:type="dxa"/>
            <w:tcBorders>
              <w:top w:val="nil"/>
              <w:left w:val="nil"/>
              <w:bottom w:val="nil"/>
              <w:right w:val="nil"/>
            </w:tcBorders>
            <w:noWrap/>
          </w:tcPr>
          <w:p w:rsidR="00D60E9F" w:rsidRPr="004C6D52" w:rsidRDefault="00D60E9F" w:rsidP="0050371B">
            <w:pPr>
              <w:jc w:val="right"/>
              <w:rPr>
                <w:rFonts w:cs="Arial"/>
                <w:szCs w:val="20"/>
                <w:lang w:val="en-US"/>
              </w:rPr>
            </w:pPr>
            <w:r>
              <w:rPr>
                <w:rFonts w:cs="Arial"/>
                <w:szCs w:val="20"/>
                <w:lang w:val="en-US"/>
              </w:rPr>
              <w:t>9.21</w:t>
            </w:r>
            <w:r w:rsidRPr="004C6D52">
              <w:rPr>
                <w:rFonts w:cs="Arial"/>
                <w:szCs w:val="20"/>
                <w:lang w:val="en-US"/>
              </w:rPr>
              <w:t xml:space="preserve"> (&lt;0.0001)</w:t>
            </w:r>
          </w:p>
        </w:tc>
      </w:tr>
      <w:tr w:rsidR="00D60E9F" w:rsidRPr="00C07595" w:rsidTr="0050371B">
        <w:trPr>
          <w:trHeight w:val="197"/>
        </w:trPr>
        <w:tc>
          <w:tcPr>
            <w:tcW w:w="3402" w:type="dxa"/>
            <w:tcBorders>
              <w:top w:val="nil"/>
              <w:left w:val="nil"/>
              <w:bottom w:val="nil"/>
              <w:right w:val="nil"/>
            </w:tcBorders>
            <w:noWrap/>
          </w:tcPr>
          <w:p w:rsidR="00D60E9F" w:rsidRPr="00CE21D2" w:rsidRDefault="00D60E9F" w:rsidP="0050371B">
            <w:pPr>
              <w:rPr>
                <w:rFonts w:cs="Arial"/>
                <w:szCs w:val="20"/>
                <w:lang w:val="en-US"/>
              </w:rPr>
            </w:pPr>
            <w:r w:rsidRPr="00481073">
              <w:rPr>
                <w:rFonts w:cs="Arial"/>
                <w:szCs w:val="20"/>
                <w:lang w:val="en-US"/>
              </w:rPr>
              <w:t xml:space="preserve">Mean change, month </w:t>
            </w:r>
            <w:r>
              <w:rPr>
                <w:rFonts w:cs="Arial"/>
                <w:szCs w:val="20"/>
                <w:lang w:val="en-US"/>
              </w:rPr>
              <w:t>24</w:t>
            </w:r>
            <w:r w:rsidRPr="00481073">
              <w:rPr>
                <w:rFonts w:cs="Arial"/>
                <w:szCs w:val="20"/>
                <w:lang w:val="en-US"/>
              </w:rPr>
              <w:t xml:space="preserve"> (p-value)</w:t>
            </w:r>
          </w:p>
        </w:tc>
        <w:tc>
          <w:tcPr>
            <w:tcW w:w="2491" w:type="dxa"/>
            <w:tcBorders>
              <w:top w:val="nil"/>
              <w:left w:val="nil"/>
              <w:bottom w:val="nil"/>
              <w:right w:val="nil"/>
            </w:tcBorders>
          </w:tcPr>
          <w:p w:rsidR="00D60E9F" w:rsidRPr="00E440EB" w:rsidRDefault="00D60E9F" w:rsidP="0050371B">
            <w:pPr>
              <w:jc w:val="right"/>
              <w:rPr>
                <w:rFonts w:cs="Arial"/>
                <w:szCs w:val="20"/>
                <w:lang w:val="en-US"/>
              </w:rPr>
            </w:pPr>
            <w:r>
              <w:rPr>
                <w:rFonts w:cs="Arial"/>
                <w:szCs w:val="20"/>
                <w:lang w:val="en-US"/>
              </w:rPr>
              <w:t xml:space="preserve">(n=105)   8.28 </w:t>
            </w:r>
            <w:r w:rsidRPr="002764C8">
              <w:rPr>
                <w:rFonts w:cs="Arial"/>
                <w:szCs w:val="20"/>
                <w:lang w:val="en-US"/>
              </w:rPr>
              <w:t>(&lt;0.0001)</w:t>
            </w:r>
          </w:p>
        </w:tc>
        <w:tc>
          <w:tcPr>
            <w:tcW w:w="2436" w:type="dxa"/>
            <w:tcBorders>
              <w:top w:val="nil"/>
              <w:left w:val="nil"/>
              <w:bottom w:val="nil"/>
              <w:right w:val="nil"/>
            </w:tcBorders>
          </w:tcPr>
          <w:p w:rsidR="00D60E9F" w:rsidRPr="00E440EB" w:rsidRDefault="00D60E9F" w:rsidP="0050371B">
            <w:pPr>
              <w:jc w:val="right"/>
              <w:rPr>
                <w:rFonts w:cs="Arial"/>
                <w:szCs w:val="20"/>
                <w:lang w:val="en-US"/>
              </w:rPr>
            </w:pPr>
            <w:r>
              <w:rPr>
                <w:rFonts w:cs="Arial"/>
                <w:szCs w:val="20"/>
                <w:lang w:val="en-US"/>
              </w:rPr>
              <w:t>(n=124) 0.87 (0.5976)</w:t>
            </w:r>
          </w:p>
        </w:tc>
        <w:tc>
          <w:tcPr>
            <w:tcW w:w="1848" w:type="dxa"/>
            <w:tcBorders>
              <w:top w:val="nil"/>
              <w:left w:val="nil"/>
              <w:bottom w:val="nil"/>
              <w:right w:val="nil"/>
            </w:tcBorders>
            <w:noWrap/>
          </w:tcPr>
          <w:p w:rsidR="00D60E9F" w:rsidRPr="00E440EB" w:rsidRDefault="00D60E9F" w:rsidP="0050371B">
            <w:pPr>
              <w:jc w:val="right"/>
              <w:rPr>
                <w:rFonts w:cs="Arial"/>
                <w:szCs w:val="20"/>
                <w:lang w:val="en-US"/>
              </w:rPr>
            </w:pPr>
            <w:r>
              <w:rPr>
                <w:rFonts w:cs="Arial"/>
                <w:szCs w:val="20"/>
                <w:lang w:val="en-US"/>
              </w:rPr>
              <w:t>7.42   (0.0021)</w:t>
            </w:r>
          </w:p>
        </w:tc>
      </w:tr>
      <w:tr w:rsidR="00D60E9F" w:rsidRPr="007E2C12" w:rsidTr="0050371B">
        <w:trPr>
          <w:trHeight w:val="197"/>
        </w:trPr>
        <w:tc>
          <w:tcPr>
            <w:tcW w:w="3402" w:type="dxa"/>
            <w:tcBorders>
              <w:top w:val="nil"/>
              <w:left w:val="nil"/>
              <w:bottom w:val="nil"/>
              <w:right w:val="nil"/>
            </w:tcBorders>
            <w:noWrap/>
          </w:tcPr>
          <w:p w:rsidR="00D60E9F" w:rsidRPr="00CE21D2" w:rsidRDefault="00D60E9F" w:rsidP="0050371B">
            <w:pPr>
              <w:rPr>
                <w:rFonts w:cs="Arial"/>
                <w:szCs w:val="20"/>
                <w:lang w:val="en-US"/>
              </w:rPr>
            </w:pPr>
            <w:r w:rsidRPr="00481073">
              <w:rPr>
                <w:rFonts w:cs="Arial"/>
                <w:szCs w:val="20"/>
                <w:lang w:val="en-US"/>
              </w:rPr>
              <w:t>Mean change, month 3</w:t>
            </w:r>
            <w:r>
              <w:rPr>
                <w:rFonts w:cs="Arial"/>
                <w:szCs w:val="20"/>
                <w:lang w:val="en-US"/>
              </w:rPr>
              <w:t>6</w:t>
            </w:r>
            <w:r w:rsidRPr="00481073">
              <w:rPr>
                <w:rFonts w:cs="Arial"/>
                <w:szCs w:val="20"/>
                <w:lang w:val="en-US"/>
              </w:rPr>
              <w:t xml:space="preserve"> (p-value)</w:t>
            </w:r>
          </w:p>
        </w:tc>
        <w:tc>
          <w:tcPr>
            <w:tcW w:w="2491" w:type="dxa"/>
            <w:tcBorders>
              <w:top w:val="nil"/>
              <w:left w:val="nil"/>
              <w:bottom w:val="nil"/>
              <w:right w:val="nil"/>
            </w:tcBorders>
          </w:tcPr>
          <w:p w:rsidR="00D60E9F" w:rsidRPr="00E440EB" w:rsidRDefault="00D60E9F" w:rsidP="0050371B">
            <w:pPr>
              <w:jc w:val="right"/>
              <w:rPr>
                <w:rFonts w:cs="Arial"/>
                <w:szCs w:val="20"/>
                <w:lang w:val="en-US"/>
              </w:rPr>
            </w:pPr>
            <w:r>
              <w:rPr>
                <w:rFonts w:cs="Arial"/>
                <w:szCs w:val="20"/>
                <w:lang w:val="en-US"/>
              </w:rPr>
              <w:t xml:space="preserve">(n=102)   8.13 </w:t>
            </w:r>
            <w:r w:rsidRPr="002764C8">
              <w:rPr>
                <w:rFonts w:cs="Arial"/>
                <w:szCs w:val="20"/>
                <w:lang w:val="en-US"/>
              </w:rPr>
              <w:t>(&lt;0.0001)</w:t>
            </w:r>
          </w:p>
        </w:tc>
        <w:tc>
          <w:tcPr>
            <w:tcW w:w="2436" w:type="dxa"/>
            <w:tcBorders>
              <w:top w:val="nil"/>
              <w:left w:val="nil"/>
              <w:bottom w:val="nil"/>
              <w:right w:val="nil"/>
            </w:tcBorders>
          </w:tcPr>
          <w:p w:rsidR="00D60E9F" w:rsidRPr="00E440EB" w:rsidRDefault="00D60E9F" w:rsidP="0050371B">
            <w:pPr>
              <w:jc w:val="right"/>
              <w:rPr>
                <w:rFonts w:cs="Arial"/>
                <w:szCs w:val="20"/>
                <w:lang w:val="en-US"/>
              </w:rPr>
            </w:pPr>
            <w:r>
              <w:rPr>
                <w:rFonts w:cs="Arial"/>
                <w:szCs w:val="20"/>
                <w:lang w:val="en-US"/>
              </w:rPr>
              <w:t>(n=106) –0.03 (0.9886)</w:t>
            </w:r>
          </w:p>
        </w:tc>
        <w:tc>
          <w:tcPr>
            <w:tcW w:w="1848" w:type="dxa"/>
            <w:tcBorders>
              <w:top w:val="nil"/>
              <w:left w:val="nil"/>
              <w:bottom w:val="nil"/>
              <w:right w:val="nil"/>
            </w:tcBorders>
            <w:noWrap/>
          </w:tcPr>
          <w:p w:rsidR="00D60E9F" w:rsidRPr="00E440EB" w:rsidRDefault="00D60E9F" w:rsidP="0050371B">
            <w:pPr>
              <w:jc w:val="right"/>
              <w:rPr>
                <w:rFonts w:cs="Arial"/>
                <w:szCs w:val="20"/>
                <w:lang w:val="en-US"/>
              </w:rPr>
            </w:pPr>
            <w:r>
              <w:rPr>
                <w:rFonts w:cs="Arial"/>
                <w:szCs w:val="20"/>
                <w:lang w:val="en-US"/>
              </w:rPr>
              <w:t>8.15   (0.0010)</w:t>
            </w:r>
          </w:p>
        </w:tc>
      </w:tr>
      <w:tr w:rsidR="00D60E9F" w:rsidRPr="00D60E9F" w:rsidTr="0050371B">
        <w:trPr>
          <w:trHeight w:val="197"/>
        </w:trPr>
        <w:tc>
          <w:tcPr>
            <w:tcW w:w="10177" w:type="dxa"/>
            <w:gridSpan w:val="4"/>
            <w:tcBorders>
              <w:top w:val="nil"/>
              <w:left w:val="nil"/>
              <w:bottom w:val="nil"/>
              <w:right w:val="nil"/>
            </w:tcBorders>
            <w:noWrap/>
          </w:tcPr>
          <w:p w:rsidR="00D60E9F" w:rsidRPr="003A1584" w:rsidRDefault="00D60E9F" w:rsidP="0050371B">
            <w:pPr>
              <w:tabs>
                <w:tab w:val="left" w:pos="284"/>
                <w:tab w:val="left" w:pos="340"/>
              </w:tabs>
              <w:spacing w:after="120" w:line="360" w:lineRule="auto"/>
              <w:ind w:left="454" w:hanging="454"/>
              <w:rPr>
                <w:rFonts w:cs="Arial"/>
                <w:szCs w:val="20"/>
                <w:lang w:val="en-US"/>
              </w:rPr>
            </w:pPr>
            <w:r w:rsidRPr="00CE21D2">
              <w:rPr>
                <w:rFonts w:cs="Arial"/>
                <w:szCs w:val="20"/>
                <w:lang w:val="en-GB"/>
              </w:rPr>
              <w:t>EQ-5D, EuroQol five-dimension</w:t>
            </w:r>
            <w:r>
              <w:rPr>
                <w:rFonts w:cs="Arial"/>
                <w:szCs w:val="20"/>
                <w:lang w:val="en-GB"/>
              </w:rPr>
              <w:t>al; VAS, visual analogue scale</w:t>
            </w:r>
          </w:p>
        </w:tc>
      </w:tr>
    </w:tbl>
    <w:p w:rsidR="00D60E9F" w:rsidRPr="00481073" w:rsidRDefault="00D60E9F" w:rsidP="00D60E9F">
      <w:pPr>
        <w:tabs>
          <w:tab w:val="left" w:pos="284"/>
          <w:tab w:val="left" w:pos="340"/>
        </w:tabs>
        <w:spacing w:after="120"/>
        <w:rPr>
          <w:rFonts w:cs="Arial"/>
          <w:szCs w:val="20"/>
          <w:lang w:val="en-GB"/>
        </w:rPr>
      </w:pPr>
    </w:p>
    <w:p w:rsidR="00F27646" w:rsidRPr="00D60E9F" w:rsidRDefault="00F27646" w:rsidP="00F27646">
      <w:pPr>
        <w:rPr>
          <w:rFonts w:cs="Arial"/>
          <w:szCs w:val="20"/>
          <w:lang w:val="en-GB"/>
        </w:rPr>
      </w:pPr>
    </w:p>
    <w:p w:rsidR="00F27646" w:rsidRPr="00F27646" w:rsidRDefault="00F27646" w:rsidP="00F27646">
      <w:pPr>
        <w:pStyle w:val="berschrift1"/>
        <w:rPr>
          <w:lang w:val="en-US"/>
        </w:rPr>
      </w:pPr>
      <w:r w:rsidRPr="00F27646">
        <w:rPr>
          <w:lang w:val="en-US"/>
        </w:rPr>
        <w:t>3.2</w:t>
      </w:r>
      <w:r w:rsidRPr="00F27646">
        <w:rPr>
          <w:lang w:val="en-US"/>
        </w:rPr>
        <w:tab/>
        <w:t>Resource use and costs</w:t>
      </w:r>
    </w:p>
    <w:p w:rsidR="00F27646" w:rsidRPr="00F27646" w:rsidRDefault="00F27646" w:rsidP="00F27646">
      <w:pPr>
        <w:rPr>
          <w:rFonts w:cs="Arial"/>
          <w:szCs w:val="20"/>
          <w:lang w:val="en-US"/>
        </w:rPr>
      </w:pPr>
      <w:r w:rsidRPr="00F27646">
        <w:rPr>
          <w:rFonts w:cs="Arial"/>
          <w:szCs w:val="20"/>
          <w:lang w:val="en-US"/>
        </w:rPr>
        <w:t xml:space="preserve">Table 5 gives an overview of unadjusted mean resource use over the course of time and mean costs during the three-year period per patient. On average, patients received 1.2 home visits and 5.6 </w:t>
      </w:r>
      <w:r w:rsidRPr="00F27646">
        <w:rPr>
          <w:rFonts w:cs="Arial"/>
          <w:szCs w:val="20"/>
          <w:lang w:val="en-US"/>
        </w:rPr>
        <w:lastRenderedPageBreak/>
        <w:t xml:space="preserve">telephone interviews in the intervention group resulting in intervention costs of €166 per participant. About 90 % of patients received no benefits from the German Long Term Care Insurance, 7% were assigned to care level one, 3% to care level two and none to care level three. Resource use within 3 years was stable with the exception of inpatient care, rehabilitation and paid household help. Inpatient care decreased over time. In the first year, patients spent on average 8.7 days in hospital in the intervention group and 11.71 days in the control group. These numbers decreased to 3.55 days in the intervention group and 4.93 days in the control group in the third year. Case management was associated with lower costs in all health care resource categories with the exception of paid household work. The largest difference between groups was found for inpatient care, where patients in the control group had on average €3,170 higher costs than those in the intervention group. The adjusted overall cost difference (Table 3) from the gamma model was estimated at –€2,576. (CI: –8,158; 2,386). Applying a discount rate of 3%, the difference remained stable (–€2,509; CI: –7,950; 2,339). The analysis with multiple imputations led to an undiscounted and discounted difference of –€3,401 (CI: –8,304; 1,922) and –€3,290 (CI: –8,057; 1,884), respectively. Mean costs per day survived showed no difference between groups (€34.66 in the intervention and €34.03 in the control group). </w:t>
      </w:r>
    </w:p>
    <w:p w:rsidR="00290788" w:rsidRDefault="00290788" w:rsidP="00F27646">
      <w:pPr>
        <w:rPr>
          <w:rFonts w:cs="Arial"/>
          <w:szCs w:val="20"/>
          <w:lang w:val="en-US"/>
        </w:rPr>
        <w:sectPr w:rsidR="00290788">
          <w:pgSz w:w="11906" w:h="16838"/>
          <w:pgMar w:top="1440" w:right="1440" w:bottom="1440" w:left="1440" w:header="708" w:footer="708" w:gutter="0"/>
          <w:cols w:space="708"/>
          <w:docGrid w:linePitch="360"/>
        </w:sectPr>
      </w:pPr>
    </w:p>
    <w:p w:rsidR="00290788" w:rsidRPr="005E47A2" w:rsidRDefault="00290788" w:rsidP="00290788">
      <w:pPr>
        <w:tabs>
          <w:tab w:val="left" w:pos="284"/>
          <w:tab w:val="left" w:pos="340"/>
        </w:tabs>
        <w:spacing w:after="120" w:line="360" w:lineRule="auto"/>
        <w:rPr>
          <w:rFonts w:cs="Arial"/>
          <w:szCs w:val="20"/>
          <w:lang w:val="en-GB"/>
        </w:rPr>
      </w:pPr>
      <w:r>
        <w:rPr>
          <w:rFonts w:cs="Arial"/>
          <w:b/>
          <w:bCs/>
          <w:szCs w:val="20"/>
          <w:lang w:val="en-GB"/>
        </w:rPr>
        <w:lastRenderedPageBreak/>
        <w:tab/>
      </w:r>
      <w:r>
        <w:rPr>
          <w:rFonts w:cs="Arial"/>
          <w:b/>
          <w:bCs/>
          <w:szCs w:val="20"/>
          <w:lang w:val="en-GB"/>
        </w:rPr>
        <w:tab/>
      </w:r>
      <w:r>
        <w:rPr>
          <w:rFonts w:cs="Arial"/>
          <w:b/>
          <w:bCs/>
          <w:szCs w:val="20"/>
          <w:lang w:val="en-GB"/>
        </w:rPr>
        <w:tab/>
        <w:t>Table 5</w:t>
      </w:r>
      <w:r>
        <w:rPr>
          <w:rFonts w:cs="Arial"/>
          <w:szCs w:val="20"/>
          <w:lang w:val="en-GB"/>
        </w:rPr>
        <w:t xml:space="preserve"> </w:t>
      </w:r>
      <w:r w:rsidRPr="00481073">
        <w:rPr>
          <w:rFonts w:cs="Arial"/>
          <w:szCs w:val="20"/>
          <w:lang w:val="en-GB"/>
        </w:rPr>
        <w:t xml:space="preserve">Mean resource use per patient (in number of contacts unless stated otherwise) over different </w:t>
      </w:r>
      <w:r>
        <w:rPr>
          <w:rFonts w:cs="Arial"/>
          <w:szCs w:val="20"/>
          <w:lang w:val="en-GB"/>
        </w:rPr>
        <w:t>years</w:t>
      </w:r>
      <w:r w:rsidRPr="00481073">
        <w:rPr>
          <w:rFonts w:cs="Arial"/>
          <w:szCs w:val="20"/>
          <w:lang w:val="en-GB"/>
        </w:rPr>
        <w:t xml:space="preserve"> </w:t>
      </w:r>
      <w:r>
        <w:rPr>
          <w:rFonts w:cs="Arial"/>
          <w:szCs w:val="20"/>
          <w:lang w:val="en-GB"/>
        </w:rPr>
        <w:t>and raw unadjusted mean costs over 3 years in € (calculated from unit prices from 2012)</w:t>
      </w:r>
    </w:p>
    <w:tbl>
      <w:tblPr>
        <w:tblStyle w:val="Tabellenraster"/>
        <w:tblW w:w="0" w:type="auto"/>
        <w:tblInd w:w="392" w:type="dxa"/>
        <w:tblLook w:val="04A0" w:firstRow="1" w:lastRow="0" w:firstColumn="1" w:lastColumn="0" w:noHBand="0" w:noVBand="1"/>
      </w:tblPr>
      <w:tblGrid>
        <w:gridCol w:w="1936"/>
        <w:gridCol w:w="1433"/>
        <w:gridCol w:w="1336"/>
        <w:gridCol w:w="1337"/>
        <w:gridCol w:w="1711"/>
        <w:gridCol w:w="319"/>
        <w:gridCol w:w="1361"/>
        <w:gridCol w:w="1317"/>
        <w:gridCol w:w="1316"/>
        <w:gridCol w:w="1716"/>
      </w:tblGrid>
      <w:tr w:rsidR="00290788" w:rsidTr="0050371B">
        <w:trPr>
          <w:trHeight w:val="207"/>
        </w:trPr>
        <w:tc>
          <w:tcPr>
            <w:tcW w:w="1984" w:type="dxa"/>
            <w:vMerge w:val="restart"/>
            <w:tcBorders>
              <w:left w:val="nil"/>
              <w:right w:val="nil"/>
            </w:tcBorders>
          </w:tcPr>
          <w:p w:rsidR="00290788" w:rsidRPr="007644E1" w:rsidRDefault="00290788" w:rsidP="0050371B">
            <w:pPr>
              <w:spacing w:line="240" w:lineRule="auto"/>
              <w:rPr>
                <w:rFonts w:cs="Arial"/>
                <w:b/>
                <w:sz w:val="20"/>
                <w:szCs w:val="20"/>
                <w:lang w:val="en-US"/>
              </w:rPr>
            </w:pPr>
            <w:r w:rsidRPr="007644E1">
              <w:rPr>
                <w:rFonts w:cs="Arial"/>
                <w:b/>
                <w:sz w:val="20"/>
                <w:szCs w:val="20"/>
                <w:lang w:val="en-US"/>
              </w:rPr>
              <w:t>Category</w:t>
            </w:r>
          </w:p>
        </w:tc>
        <w:tc>
          <w:tcPr>
            <w:tcW w:w="6243" w:type="dxa"/>
            <w:gridSpan w:val="4"/>
            <w:tcBorders>
              <w:top w:val="single" w:sz="4" w:space="0" w:color="auto"/>
              <w:left w:val="nil"/>
              <w:bottom w:val="single" w:sz="4" w:space="0" w:color="auto"/>
              <w:right w:val="nil"/>
            </w:tcBorders>
          </w:tcPr>
          <w:p w:rsidR="00290788" w:rsidRPr="007644E1" w:rsidRDefault="00290788" w:rsidP="0050371B">
            <w:pPr>
              <w:spacing w:line="240" w:lineRule="auto"/>
              <w:rPr>
                <w:rFonts w:cs="Arial"/>
                <w:b/>
                <w:sz w:val="20"/>
                <w:szCs w:val="20"/>
                <w:lang w:val="en-US"/>
              </w:rPr>
            </w:pPr>
            <w:r w:rsidRPr="007644E1">
              <w:rPr>
                <w:rFonts w:cs="Arial"/>
                <w:b/>
                <w:sz w:val="20"/>
                <w:szCs w:val="20"/>
                <w:lang w:val="en-US"/>
              </w:rPr>
              <w:t>Intervention</w:t>
            </w:r>
          </w:p>
        </w:tc>
        <w:tc>
          <w:tcPr>
            <w:tcW w:w="340" w:type="dxa"/>
            <w:tcBorders>
              <w:left w:val="nil"/>
              <w:bottom w:val="nil"/>
              <w:right w:val="nil"/>
            </w:tcBorders>
          </w:tcPr>
          <w:p w:rsidR="00290788" w:rsidRPr="007644E1" w:rsidRDefault="00290788" w:rsidP="0050371B">
            <w:pPr>
              <w:spacing w:line="240" w:lineRule="auto"/>
              <w:rPr>
                <w:rFonts w:cs="Arial"/>
                <w:b/>
                <w:sz w:val="20"/>
                <w:szCs w:val="20"/>
                <w:lang w:val="en-US"/>
              </w:rPr>
            </w:pPr>
          </w:p>
        </w:tc>
        <w:tc>
          <w:tcPr>
            <w:tcW w:w="6186" w:type="dxa"/>
            <w:gridSpan w:val="4"/>
            <w:tcBorders>
              <w:left w:val="nil"/>
              <w:bottom w:val="single" w:sz="4" w:space="0" w:color="auto"/>
              <w:right w:val="nil"/>
            </w:tcBorders>
          </w:tcPr>
          <w:p w:rsidR="00290788" w:rsidRPr="007644E1" w:rsidRDefault="00290788" w:rsidP="0050371B">
            <w:pPr>
              <w:spacing w:line="240" w:lineRule="auto"/>
              <w:rPr>
                <w:rFonts w:cs="Arial"/>
                <w:b/>
                <w:sz w:val="20"/>
                <w:szCs w:val="20"/>
                <w:lang w:val="en-US"/>
              </w:rPr>
            </w:pPr>
            <w:r w:rsidRPr="007644E1">
              <w:rPr>
                <w:rFonts w:cs="Arial"/>
                <w:b/>
                <w:sz w:val="20"/>
                <w:szCs w:val="20"/>
                <w:lang w:val="en-US"/>
              </w:rPr>
              <w:t>Control</w:t>
            </w:r>
          </w:p>
        </w:tc>
      </w:tr>
      <w:tr w:rsidR="00290788" w:rsidRPr="00290788" w:rsidTr="0050371B">
        <w:trPr>
          <w:trHeight w:val="206"/>
        </w:trPr>
        <w:tc>
          <w:tcPr>
            <w:tcW w:w="1984" w:type="dxa"/>
            <w:vMerge/>
            <w:tcBorders>
              <w:left w:val="nil"/>
              <w:right w:val="nil"/>
            </w:tcBorders>
          </w:tcPr>
          <w:p w:rsidR="00290788" w:rsidRPr="007644E1" w:rsidRDefault="00290788" w:rsidP="0050371B">
            <w:pPr>
              <w:spacing w:line="240" w:lineRule="auto"/>
              <w:jc w:val="center"/>
              <w:rPr>
                <w:rFonts w:cs="Arial"/>
                <w:b/>
                <w:sz w:val="20"/>
                <w:szCs w:val="20"/>
                <w:lang w:val="en-US"/>
              </w:rPr>
            </w:pPr>
          </w:p>
        </w:tc>
        <w:tc>
          <w:tcPr>
            <w:tcW w:w="4370" w:type="dxa"/>
            <w:gridSpan w:val="3"/>
            <w:tcBorders>
              <w:top w:val="single" w:sz="4" w:space="0" w:color="auto"/>
              <w:left w:val="nil"/>
              <w:bottom w:val="single" w:sz="4" w:space="0" w:color="auto"/>
              <w:right w:val="nil"/>
            </w:tcBorders>
          </w:tcPr>
          <w:p w:rsidR="00290788" w:rsidRPr="007644E1" w:rsidRDefault="00290788" w:rsidP="0050371B">
            <w:pPr>
              <w:spacing w:line="240" w:lineRule="auto"/>
              <w:jc w:val="center"/>
              <w:rPr>
                <w:rFonts w:cs="Arial"/>
                <w:sz w:val="20"/>
                <w:szCs w:val="20"/>
                <w:lang w:val="en-US"/>
              </w:rPr>
            </w:pPr>
            <w:r w:rsidRPr="007644E1">
              <w:rPr>
                <w:rFonts w:cs="Arial"/>
                <w:sz w:val="20"/>
                <w:szCs w:val="20"/>
                <w:lang w:val="en-US"/>
              </w:rPr>
              <w:t>mean resource use (SD)</w:t>
            </w:r>
          </w:p>
        </w:tc>
        <w:tc>
          <w:tcPr>
            <w:tcW w:w="1873" w:type="dxa"/>
            <w:vMerge w:val="restart"/>
            <w:tcBorders>
              <w:top w:val="single" w:sz="4" w:space="0" w:color="auto"/>
              <w:left w:val="nil"/>
              <w:right w:val="nil"/>
            </w:tcBorders>
          </w:tcPr>
          <w:p w:rsidR="00290788" w:rsidRPr="007644E1" w:rsidRDefault="00290788" w:rsidP="0050371B">
            <w:pPr>
              <w:spacing w:line="240" w:lineRule="auto"/>
              <w:jc w:val="center"/>
              <w:rPr>
                <w:rFonts w:cs="Arial"/>
                <w:sz w:val="20"/>
                <w:szCs w:val="20"/>
                <w:lang w:val="en-US"/>
              </w:rPr>
            </w:pPr>
            <w:r w:rsidRPr="007644E1">
              <w:rPr>
                <w:rFonts w:cs="Arial"/>
                <w:sz w:val="20"/>
                <w:szCs w:val="20"/>
                <w:lang w:val="en-US"/>
              </w:rPr>
              <w:t>mean costs</w:t>
            </w:r>
            <w:r>
              <w:rPr>
                <w:rFonts w:cs="Arial"/>
                <w:sz w:val="20"/>
                <w:szCs w:val="20"/>
                <w:lang w:val="en-US"/>
              </w:rPr>
              <w:t xml:space="preserve"> €</w:t>
            </w:r>
            <w:r w:rsidRPr="007644E1">
              <w:rPr>
                <w:rFonts w:cs="Arial"/>
                <w:sz w:val="20"/>
                <w:szCs w:val="20"/>
                <w:lang w:val="en-US"/>
              </w:rPr>
              <w:t xml:space="preserve"> (SD)</w:t>
            </w:r>
          </w:p>
          <w:p w:rsidR="00290788" w:rsidRPr="00290788" w:rsidRDefault="00290788" w:rsidP="0050371B">
            <w:pPr>
              <w:spacing w:line="240" w:lineRule="auto"/>
              <w:jc w:val="center"/>
              <w:rPr>
                <w:rFonts w:cs="Arial"/>
                <w:color w:val="000000"/>
                <w:sz w:val="20"/>
                <w:szCs w:val="20"/>
                <w:lang w:val="en-US"/>
              </w:rPr>
            </w:pPr>
            <w:r w:rsidRPr="00290788">
              <w:rPr>
                <w:rFonts w:cs="Arial"/>
                <w:color w:val="000000"/>
                <w:sz w:val="20"/>
                <w:szCs w:val="20"/>
                <w:lang w:val="en-US"/>
              </w:rPr>
              <w:t>3 years</w:t>
            </w:r>
          </w:p>
          <w:p w:rsidR="00290788" w:rsidRPr="007644E1" w:rsidRDefault="00290788" w:rsidP="0050371B">
            <w:pPr>
              <w:spacing w:line="240" w:lineRule="auto"/>
              <w:jc w:val="center"/>
              <w:rPr>
                <w:rFonts w:cs="Arial"/>
                <w:sz w:val="20"/>
                <w:szCs w:val="20"/>
                <w:lang w:val="en-US"/>
              </w:rPr>
            </w:pPr>
            <w:r w:rsidRPr="00290788">
              <w:rPr>
                <w:rFonts w:cs="Arial"/>
                <w:color w:val="000000"/>
                <w:sz w:val="20"/>
                <w:szCs w:val="20"/>
                <w:lang w:val="en-US"/>
              </w:rPr>
              <w:t>N=131</w:t>
            </w:r>
          </w:p>
        </w:tc>
        <w:tc>
          <w:tcPr>
            <w:tcW w:w="340" w:type="dxa"/>
            <w:tcBorders>
              <w:top w:val="nil"/>
              <w:left w:val="nil"/>
              <w:bottom w:val="nil"/>
              <w:right w:val="nil"/>
            </w:tcBorders>
          </w:tcPr>
          <w:p w:rsidR="00290788" w:rsidRPr="007644E1" w:rsidRDefault="00290788" w:rsidP="0050371B">
            <w:pPr>
              <w:spacing w:line="240" w:lineRule="auto"/>
              <w:jc w:val="center"/>
              <w:rPr>
                <w:rFonts w:cs="Arial"/>
                <w:sz w:val="20"/>
                <w:szCs w:val="20"/>
                <w:lang w:val="en-US"/>
              </w:rPr>
            </w:pPr>
          </w:p>
        </w:tc>
        <w:tc>
          <w:tcPr>
            <w:tcW w:w="4307" w:type="dxa"/>
            <w:gridSpan w:val="3"/>
            <w:tcBorders>
              <w:top w:val="single" w:sz="4" w:space="0" w:color="auto"/>
              <w:left w:val="nil"/>
              <w:bottom w:val="single" w:sz="4" w:space="0" w:color="auto"/>
              <w:right w:val="nil"/>
            </w:tcBorders>
          </w:tcPr>
          <w:p w:rsidR="00290788" w:rsidRPr="007644E1" w:rsidRDefault="00290788" w:rsidP="0050371B">
            <w:pPr>
              <w:spacing w:line="240" w:lineRule="auto"/>
              <w:jc w:val="center"/>
              <w:rPr>
                <w:rFonts w:cs="Arial"/>
                <w:sz w:val="20"/>
                <w:szCs w:val="20"/>
                <w:lang w:val="en-US"/>
              </w:rPr>
            </w:pPr>
            <w:r w:rsidRPr="007644E1">
              <w:rPr>
                <w:rFonts w:cs="Arial"/>
                <w:sz w:val="20"/>
                <w:szCs w:val="20"/>
                <w:lang w:val="en-US"/>
              </w:rPr>
              <w:t>mean resource use (SD)</w:t>
            </w:r>
          </w:p>
        </w:tc>
        <w:tc>
          <w:tcPr>
            <w:tcW w:w="1879" w:type="dxa"/>
            <w:vMerge w:val="restart"/>
            <w:tcBorders>
              <w:top w:val="single" w:sz="4" w:space="0" w:color="auto"/>
              <w:left w:val="nil"/>
              <w:right w:val="nil"/>
            </w:tcBorders>
          </w:tcPr>
          <w:p w:rsidR="00290788" w:rsidRPr="007644E1" w:rsidRDefault="00290788" w:rsidP="0050371B">
            <w:pPr>
              <w:spacing w:line="240" w:lineRule="auto"/>
              <w:jc w:val="center"/>
              <w:rPr>
                <w:rFonts w:cs="Arial"/>
                <w:sz w:val="20"/>
                <w:szCs w:val="20"/>
                <w:lang w:val="en-US"/>
              </w:rPr>
            </w:pPr>
            <w:r w:rsidRPr="007644E1">
              <w:rPr>
                <w:rFonts w:cs="Arial"/>
                <w:sz w:val="20"/>
                <w:szCs w:val="20"/>
                <w:lang w:val="en-US"/>
              </w:rPr>
              <w:t>mean costs</w:t>
            </w:r>
            <w:r>
              <w:rPr>
                <w:rFonts w:cs="Arial"/>
                <w:sz w:val="20"/>
                <w:szCs w:val="20"/>
                <w:lang w:val="en-US"/>
              </w:rPr>
              <w:t xml:space="preserve"> €</w:t>
            </w:r>
            <w:r w:rsidRPr="007644E1">
              <w:rPr>
                <w:rFonts w:cs="Arial"/>
                <w:sz w:val="20"/>
                <w:szCs w:val="20"/>
                <w:lang w:val="en-US"/>
              </w:rPr>
              <w:t xml:space="preserve"> (SD)</w:t>
            </w:r>
          </w:p>
          <w:p w:rsidR="00290788" w:rsidRPr="00290788" w:rsidRDefault="00290788" w:rsidP="0050371B">
            <w:pPr>
              <w:spacing w:line="240" w:lineRule="auto"/>
              <w:jc w:val="center"/>
              <w:rPr>
                <w:rFonts w:cs="Arial"/>
                <w:color w:val="000000"/>
                <w:sz w:val="20"/>
                <w:szCs w:val="20"/>
                <w:lang w:val="en-US"/>
              </w:rPr>
            </w:pPr>
            <w:r w:rsidRPr="00290788">
              <w:rPr>
                <w:rFonts w:cs="Arial"/>
                <w:color w:val="000000"/>
                <w:sz w:val="20"/>
                <w:szCs w:val="20"/>
                <w:lang w:val="en-US"/>
              </w:rPr>
              <w:t xml:space="preserve">3 years </w:t>
            </w:r>
          </w:p>
          <w:p w:rsidR="00290788" w:rsidRPr="007644E1" w:rsidRDefault="00290788" w:rsidP="0050371B">
            <w:pPr>
              <w:spacing w:line="240" w:lineRule="auto"/>
              <w:jc w:val="center"/>
              <w:rPr>
                <w:rFonts w:cs="Arial"/>
                <w:sz w:val="20"/>
                <w:szCs w:val="20"/>
                <w:lang w:val="en-US"/>
              </w:rPr>
            </w:pPr>
            <w:r w:rsidRPr="00290788">
              <w:rPr>
                <w:rFonts w:cs="Arial"/>
                <w:color w:val="000000"/>
                <w:sz w:val="20"/>
                <w:szCs w:val="20"/>
                <w:lang w:val="en-US"/>
              </w:rPr>
              <w:t>N=138</w:t>
            </w:r>
          </w:p>
        </w:tc>
      </w:tr>
      <w:tr w:rsidR="00290788" w:rsidRPr="00CA2C1E" w:rsidTr="0050371B">
        <w:tc>
          <w:tcPr>
            <w:tcW w:w="1984" w:type="dxa"/>
            <w:vMerge/>
            <w:tcBorders>
              <w:left w:val="nil"/>
              <w:bottom w:val="single" w:sz="4" w:space="0" w:color="auto"/>
              <w:right w:val="nil"/>
            </w:tcBorders>
            <w:shd w:val="clear" w:color="auto" w:fill="auto"/>
          </w:tcPr>
          <w:p w:rsidR="00290788" w:rsidRPr="00290788" w:rsidRDefault="00290788" w:rsidP="0050371B">
            <w:pPr>
              <w:spacing w:line="240" w:lineRule="auto"/>
              <w:jc w:val="center"/>
              <w:rPr>
                <w:rFonts w:cs="Arial"/>
                <w:b/>
                <w:color w:val="000000"/>
                <w:sz w:val="20"/>
                <w:szCs w:val="20"/>
                <w:lang w:val="en-US"/>
              </w:rPr>
            </w:pPr>
          </w:p>
        </w:tc>
        <w:tc>
          <w:tcPr>
            <w:tcW w:w="1535" w:type="dxa"/>
            <w:tcBorders>
              <w:top w:val="single" w:sz="4" w:space="0" w:color="auto"/>
              <w:left w:val="nil"/>
              <w:bottom w:val="single" w:sz="4" w:space="0" w:color="auto"/>
              <w:right w:val="nil"/>
            </w:tcBorders>
            <w:shd w:val="clear" w:color="auto" w:fill="auto"/>
          </w:tcPr>
          <w:p w:rsidR="00290788" w:rsidRPr="00290788" w:rsidRDefault="00290788" w:rsidP="0050371B">
            <w:pPr>
              <w:spacing w:line="240" w:lineRule="auto"/>
              <w:jc w:val="center"/>
              <w:rPr>
                <w:rFonts w:cs="Arial"/>
                <w:color w:val="000000"/>
                <w:sz w:val="20"/>
                <w:szCs w:val="20"/>
                <w:lang w:val="en-US"/>
              </w:rPr>
            </w:pPr>
            <w:r w:rsidRPr="00290788">
              <w:rPr>
                <w:rFonts w:cs="Arial"/>
                <w:color w:val="000000"/>
                <w:sz w:val="20"/>
                <w:szCs w:val="20"/>
                <w:lang w:val="en-US"/>
              </w:rPr>
              <w:t>year 1</w:t>
            </w:r>
          </w:p>
          <w:p w:rsidR="00290788" w:rsidRPr="00290788" w:rsidRDefault="00290788" w:rsidP="0050371B">
            <w:pPr>
              <w:spacing w:line="240" w:lineRule="auto"/>
              <w:jc w:val="center"/>
              <w:rPr>
                <w:rFonts w:cs="Arial"/>
                <w:color w:val="000000"/>
                <w:sz w:val="20"/>
                <w:szCs w:val="20"/>
                <w:lang w:val="en-US"/>
              </w:rPr>
            </w:pPr>
            <w:r w:rsidRPr="00290788">
              <w:rPr>
                <w:rFonts w:cs="Arial"/>
                <w:color w:val="000000"/>
                <w:sz w:val="20"/>
                <w:szCs w:val="20"/>
                <w:lang w:val="en-US"/>
              </w:rPr>
              <w:t>N=137</w:t>
            </w:r>
          </w:p>
        </w:tc>
        <w:tc>
          <w:tcPr>
            <w:tcW w:w="1417" w:type="dxa"/>
            <w:tcBorders>
              <w:top w:val="single" w:sz="4" w:space="0" w:color="auto"/>
              <w:left w:val="nil"/>
              <w:bottom w:val="single" w:sz="4" w:space="0" w:color="auto"/>
              <w:right w:val="nil"/>
            </w:tcBorders>
            <w:shd w:val="clear" w:color="auto" w:fill="auto"/>
          </w:tcPr>
          <w:p w:rsidR="00290788" w:rsidRPr="00290788" w:rsidRDefault="00290788" w:rsidP="0050371B">
            <w:pPr>
              <w:spacing w:line="240" w:lineRule="auto"/>
              <w:jc w:val="center"/>
              <w:rPr>
                <w:rFonts w:cs="Arial"/>
                <w:color w:val="000000"/>
                <w:sz w:val="20"/>
                <w:szCs w:val="20"/>
                <w:lang w:val="en-US"/>
              </w:rPr>
            </w:pPr>
            <w:r w:rsidRPr="00290788">
              <w:rPr>
                <w:rFonts w:cs="Arial"/>
                <w:color w:val="000000"/>
                <w:sz w:val="20"/>
                <w:szCs w:val="20"/>
                <w:lang w:val="en-US"/>
              </w:rPr>
              <w:t>year 2</w:t>
            </w:r>
          </w:p>
          <w:p w:rsidR="00290788" w:rsidRPr="00290788" w:rsidRDefault="00290788" w:rsidP="0050371B">
            <w:pPr>
              <w:spacing w:line="240" w:lineRule="auto"/>
              <w:jc w:val="center"/>
              <w:rPr>
                <w:rFonts w:cs="Arial"/>
                <w:color w:val="000000"/>
                <w:sz w:val="20"/>
                <w:szCs w:val="20"/>
                <w:lang w:val="en-US"/>
              </w:rPr>
            </w:pPr>
            <w:r w:rsidRPr="00290788">
              <w:rPr>
                <w:rFonts w:cs="Arial"/>
                <w:color w:val="000000"/>
                <w:sz w:val="20"/>
                <w:szCs w:val="20"/>
                <w:lang w:val="en-US"/>
              </w:rPr>
              <w:t>N=132</w:t>
            </w:r>
          </w:p>
        </w:tc>
        <w:tc>
          <w:tcPr>
            <w:tcW w:w="1418" w:type="dxa"/>
            <w:tcBorders>
              <w:top w:val="single" w:sz="4" w:space="0" w:color="auto"/>
              <w:left w:val="nil"/>
              <w:bottom w:val="single" w:sz="4" w:space="0" w:color="auto"/>
              <w:right w:val="nil"/>
            </w:tcBorders>
            <w:shd w:val="clear" w:color="auto" w:fill="auto"/>
          </w:tcPr>
          <w:p w:rsidR="00290788" w:rsidRPr="00290788" w:rsidRDefault="00290788" w:rsidP="0050371B">
            <w:pPr>
              <w:spacing w:line="240" w:lineRule="auto"/>
              <w:jc w:val="center"/>
              <w:rPr>
                <w:rFonts w:cs="Arial"/>
                <w:color w:val="000000"/>
                <w:sz w:val="20"/>
                <w:szCs w:val="20"/>
                <w:lang w:val="en-US"/>
              </w:rPr>
            </w:pPr>
            <w:r w:rsidRPr="00290788">
              <w:rPr>
                <w:rFonts w:cs="Arial"/>
                <w:color w:val="000000"/>
                <w:sz w:val="20"/>
                <w:szCs w:val="20"/>
                <w:lang w:val="en-US"/>
              </w:rPr>
              <w:t>year 3</w:t>
            </w:r>
          </w:p>
          <w:p w:rsidR="00290788" w:rsidRPr="00290788" w:rsidRDefault="00290788" w:rsidP="0050371B">
            <w:pPr>
              <w:spacing w:line="240" w:lineRule="auto"/>
              <w:jc w:val="center"/>
              <w:rPr>
                <w:rFonts w:cs="Arial"/>
                <w:color w:val="000000"/>
                <w:sz w:val="20"/>
                <w:szCs w:val="20"/>
                <w:lang w:val="en-US"/>
              </w:rPr>
            </w:pPr>
            <w:r w:rsidRPr="00290788">
              <w:rPr>
                <w:rFonts w:cs="Arial"/>
                <w:color w:val="000000"/>
                <w:sz w:val="20"/>
                <w:szCs w:val="20"/>
                <w:lang w:val="en-US"/>
              </w:rPr>
              <w:t>N=131</w:t>
            </w:r>
          </w:p>
        </w:tc>
        <w:tc>
          <w:tcPr>
            <w:tcW w:w="1873" w:type="dxa"/>
            <w:vMerge/>
            <w:tcBorders>
              <w:top w:val="nil"/>
              <w:left w:val="nil"/>
              <w:bottom w:val="single" w:sz="4" w:space="0" w:color="auto"/>
              <w:right w:val="nil"/>
            </w:tcBorders>
            <w:shd w:val="clear" w:color="auto" w:fill="auto"/>
          </w:tcPr>
          <w:p w:rsidR="00290788" w:rsidRPr="00290788" w:rsidRDefault="00290788" w:rsidP="0050371B">
            <w:pPr>
              <w:spacing w:line="240" w:lineRule="auto"/>
              <w:jc w:val="center"/>
              <w:rPr>
                <w:rFonts w:cs="Arial"/>
                <w:color w:val="000000"/>
                <w:sz w:val="20"/>
                <w:szCs w:val="20"/>
                <w:lang w:val="en-US"/>
              </w:rPr>
            </w:pPr>
          </w:p>
        </w:tc>
        <w:tc>
          <w:tcPr>
            <w:tcW w:w="340" w:type="dxa"/>
            <w:tcBorders>
              <w:top w:val="nil"/>
              <w:left w:val="nil"/>
              <w:bottom w:val="single" w:sz="4" w:space="0" w:color="auto"/>
              <w:right w:val="nil"/>
            </w:tcBorders>
          </w:tcPr>
          <w:p w:rsidR="00290788" w:rsidRPr="00290788" w:rsidRDefault="00290788" w:rsidP="0050371B">
            <w:pPr>
              <w:spacing w:line="240" w:lineRule="auto"/>
              <w:jc w:val="center"/>
              <w:rPr>
                <w:rFonts w:cs="Arial"/>
                <w:color w:val="000000"/>
                <w:sz w:val="20"/>
                <w:szCs w:val="20"/>
                <w:lang w:val="en-US"/>
              </w:rPr>
            </w:pPr>
          </w:p>
        </w:tc>
        <w:tc>
          <w:tcPr>
            <w:tcW w:w="1472" w:type="dxa"/>
            <w:tcBorders>
              <w:top w:val="single" w:sz="4" w:space="0" w:color="auto"/>
              <w:left w:val="nil"/>
              <w:bottom w:val="single" w:sz="4" w:space="0" w:color="auto"/>
              <w:right w:val="nil"/>
            </w:tcBorders>
            <w:shd w:val="clear" w:color="auto" w:fill="auto"/>
          </w:tcPr>
          <w:p w:rsidR="00290788" w:rsidRPr="00290788" w:rsidRDefault="00290788" w:rsidP="0050371B">
            <w:pPr>
              <w:spacing w:line="240" w:lineRule="auto"/>
              <w:jc w:val="center"/>
              <w:rPr>
                <w:rFonts w:cs="Arial"/>
                <w:color w:val="000000"/>
                <w:sz w:val="20"/>
                <w:szCs w:val="20"/>
                <w:lang w:val="en-US"/>
              </w:rPr>
            </w:pPr>
            <w:r w:rsidRPr="00290788">
              <w:rPr>
                <w:rFonts w:cs="Arial"/>
                <w:color w:val="000000"/>
                <w:sz w:val="20"/>
                <w:szCs w:val="20"/>
                <w:lang w:val="en-US"/>
              </w:rPr>
              <w:t>year 1</w:t>
            </w:r>
          </w:p>
          <w:p w:rsidR="00290788" w:rsidRPr="00290788" w:rsidRDefault="00290788" w:rsidP="0050371B">
            <w:pPr>
              <w:spacing w:line="240" w:lineRule="auto"/>
              <w:jc w:val="center"/>
              <w:rPr>
                <w:rFonts w:cs="Arial"/>
                <w:color w:val="000000"/>
                <w:sz w:val="20"/>
                <w:szCs w:val="20"/>
                <w:lang w:val="en-US"/>
              </w:rPr>
            </w:pPr>
            <w:r w:rsidRPr="00290788">
              <w:rPr>
                <w:rFonts w:cs="Arial"/>
                <w:color w:val="000000"/>
                <w:sz w:val="20"/>
                <w:szCs w:val="20"/>
                <w:lang w:val="en-US"/>
              </w:rPr>
              <w:t>N=160</w:t>
            </w:r>
          </w:p>
        </w:tc>
        <w:tc>
          <w:tcPr>
            <w:tcW w:w="1418" w:type="dxa"/>
            <w:tcBorders>
              <w:top w:val="single" w:sz="4" w:space="0" w:color="auto"/>
              <w:left w:val="nil"/>
              <w:bottom w:val="single" w:sz="4" w:space="0" w:color="auto"/>
              <w:right w:val="nil"/>
            </w:tcBorders>
            <w:shd w:val="clear" w:color="auto" w:fill="auto"/>
          </w:tcPr>
          <w:p w:rsidR="00290788" w:rsidRPr="00290788" w:rsidRDefault="00290788" w:rsidP="0050371B">
            <w:pPr>
              <w:spacing w:line="240" w:lineRule="auto"/>
              <w:jc w:val="center"/>
              <w:rPr>
                <w:rFonts w:cs="Arial"/>
                <w:color w:val="000000"/>
                <w:sz w:val="20"/>
                <w:szCs w:val="20"/>
                <w:lang w:val="en-US"/>
              </w:rPr>
            </w:pPr>
            <w:r w:rsidRPr="00290788">
              <w:rPr>
                <w:rFonts w:cs="Arial"/>
                <w:color w:val="000000"/>
                <w:sz w:val="20"/>
                <w:szCs w:val="20"/>
                <w:lang w:val="en-US"/>
              </w:rPr>
              <w:t>year 2</w:t>
            </w:r>
          </w:p>
          <w:p w:rsidR="00290788" w:rsidRPr="00290788" w:rsidRDefault="00290788" w:rsidP="0050371B">
            <w:pPr>
              <w:spacing w:line="240" w:lineRule="auto"/>
              <w:jc w:val="center"/>
              <w:rPr>
                <w:rFonts w:cs="Arial"/>
                <w:color w:val="000000"/>
                <w:sz w:val="20"/>
                <w:szCs w:val="20"/>
                <w:lang w:val="en-US"/>
              </w:rPr>
            </w:pPr>
            <w:r w:rsidRPr="00290788">
              <w:rPr>
                <w:rFonts w:cs="Arial"/>
                <w:color w:val="000000"/>
                <w:sz w:val="20"/>
                <w:szCs w:val="20"/>
                <w:lang w:val="en-US"/>
              </w:rPr>
              <w:t>N=146</w:t>
            </w:r>
          </w:p>
        </w:tc>
        <w:tc>
          <w:tcPr>
            <w:tcW w:w="1417" w:type="dxa"/>
            <w:tcBorders>
              <w:top w:val="single" w:sz="4" w:space="0" w:color="auto"/>
              <w:left w:val="nil"/>
              <w:bottom w:val="single" w:sz="4" w:space="0" w:color="auto"/>
              <w:right w:val="nil"/>
            </w:tcBorders>
            <w:shd w:val="clear" w:color="auto" w:fill="auto"/>
          </w:tcPr>
          <w:p w:rsidR="00290788" w:rsidRPr="00290788" w:rsidRDefault="00290788" w:rsidP="0050371B">
            <w:pPr>
              <w:spacing w:line="240" w:lineRule="auto"/>
              <w:jc w:val="center"/>
              <w:rPr>
                <w:rFonts w:cs="Arial"/>
                <w:color w:val="000000"/>
                <w:sz w:val="20"/>
                <w:szCs w:val="20"/>
                <w:lang w:val="en-US"/>
              </w:rPr>
            </w:pPr>
            <w:r w:rsidRPr="00290788">
              <w:rPr>
                <w:rFonts w:cs="Arial"/>
                <w:color w:val="000000"/>
                <w:sz w:val="20"/>
                <w:szCs w:val="20"/>
                <w:lang w:val="en-US"/>
              </w:rPr>
              <w:t>year 3</w:t>
            </w:r>
          </w:p>
          <w:p w:rsidR="00290788" w:rsidRPr="00290788" w:rsidRDefault="00290788" w:rsidP="0050371B">
            <w:pPr>
              <w:spacing w:line="240" w:lineRule="auto"/>
              <w:jc w:val="center"/>
              <w:rPr>
                <w:rFonts w:cs="Arial"/>
                <w:color w:val="000000"/>
                <w:sz w:val="20"/>
                <w:szCs w:val="20"/>
                <w:lang w:val="en-US"/>
              </w:rPr>
            </w:pPr>
            <w:r w:rsidRPr="00290788">
              <w:rPr>
                <w:rFonts w:cs="Arial"/>
                <w:color w:val="000000"/>
                <w:sz w:val="20"/>
                <w:szCs w:val="20"/>
                <w:lang w:val="en-US"/>
              </w:rPr>
              <w:t>N=138</w:t>
            </w:r>
          </w:p>
        </w:tc>
        <w:tc>
          <w:tcPr>
            <w:tcW w:w="1879" w:type="dxa"/>
            <w:vMerge/>
            <w:tcBorders>
              <w:left w:val="nil"/>
              <w:bottom w:val="single" w:sz="4" w:space="0" w:color="auto"/>
              <w:right w:val="nil"/>
            </w:tcBorders>
            <w:shd w:val="clear" w:color="auto" w:fill="auto"/>
          </w:tcPr>
          <w:p w:rsidR="00290788" w:rsidRPr="00290788" w:rsidRDefault="00290788" w:rsidP="0050371B">
            <w:pPr>
              <w:spacing w:line="240" w:lineRule="auto"/>
              <w:jc w:val="center"/>
              <w:rPr>
                <w:rFonts w:cs="Arial"/>
                <w:color w:val="000000"/>
                <w:sz w:val="20"/>
                <w:szCs w:val="20"/>
                <w:lang w:val="en-US"/>
              </w:rPr>
            </w:pPr>
          </w:p>
        </w:tc>
      </w:tr>
      <w:tr w:rsidR="00290788" w:rsidRPr="00CC6E56" w:rsidTr="0050371B">
        <w:tc>
          <w:tcPr>
            <w:tcW w:w="1984" w:type="dxa"/>
            <w:tcBorders>
              <w:top w:val="single" w:sz="4" w:space="0" w:color="auto"/>
              <w:left w:val="nil"/>
              <w:bottom w:val="nil"/>
              <w:right w:val="nil"/>
            </w:tcBorders>
          </w:tcPr>
          <w:p w:rsidR="00290788" w:rsidRPr="00290788" w:rsidRDefault="00290788" w:rsidP="0050371B">
            <w:pPr>
              <w:spacing w:line="240" w:lineRule="auto"/>
              <w:rPr>
                <w:rFonts w:cs="Arial"/>
                <w:b/>
                <w:color w:val="000000"/>
                <w:sz w:val="20"/>
                <w:szCs w:val="20"/>
                <w:lang w:val="en-US"/>
              </w:rPr>
            </w:pPr>
            <w:r w:rsidRPr="00290788">
              <w:rPr>
                <w:rFonts w:cs="Arial"/>
                <w:b/>
                <w:color w:val="000000"/>
                <w:sz w:val="20"/>
                <w:szCs w:val="20"/>
                <w:lang w:val="en-US"/>
              </w:rPr>
              <w:t xml:space="preserve">Physicians </w:t>
            </w:r>
          </w:p>
          <w:p w:rsidR="00290788" w:rsidRPr="00290788" w:rsidRDefault="00290788" w:rsidP="0050371B">
            <w:pPr>
              <w:spacing w:line="240" w:lineRule="auto"/>
              <w:rPr>
                <w:rFonts w:cs="Arial"/>
                <w:b/>
                <w:color w:val="000000"/>
                <w:sz w:val="20"/>
                <w:szCs w:val="20"/>
                <w:lang w:val="en-US"/>
              </w:rPr>
            </w:pPr>
          </w:p>
        </w:tc>
        <w:tc>
          <w:tcPr>
            <w:tcW w:w="1535" w:type="dxa"/>
            <w:tcBorders>
              <w:top w:val="single" w:sz="4" w:space="0" w:color="auto"/>
              <w:left w:val="nil"/>
              <w:bottom w:val="nil"/>
              <w:right w:val="nil"/>
            </w:tcBorders>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17.23 (12.38)</w:t>
            </w:r>
          </w:p>
        </w:tc>
        <w:tc>
          <w:tcPr>
            <w:tcW w:w="1417" w:type="dxa"/>
            <w:tcBorders>
              <w:top w:val="single" w:sz="4" w:space="0" w:color="auto"/>
              <w:left w:val="nil"/>
              <w:bottom w:val="nil"/>
              <w:right w:val="nil"/>
            </w:tcBorders>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20.65 (17.79)</w:t>
            </w:r>
          </w:p>
        </w:tc>
        <w:tc>
          <w:tcPr>
            <w:tcW w:w="1418" w:type="dxa"/>
            <w:tcBorders>
              <w:top w:val="single" w:sz="4" w:space="0" w:color="auto"/>
              <w:left w:val="nil"/>
              <w:bottom w:val="nil"/>
              <w:right w:val="nil"/>
            </w:tcBorders>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20.78 (20.50)</w:t>
            </w:r>
          </w:p>
        </w:tc>
        <w:tc>
          <w:tcPr>
            <w:tcW w:w="1873" w:type="dxa"/>
            <w:tcBorders>
              <w:top w:val="single" w:sz="4" w:space="0" w:color="auto"/>
              <w:left w:val="nil"/>
              <w:bottom w:val="nil"/>
              <w:right w:val="nil"/>
            </w:tcBorders>
            <w:shd w:val="clear" w:color="auto" w:fill="auto"/>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1,328 (1,139)</w:t>
            </w:r>
          </w:p>
        </w:tc>
        <w:tc>
          <w:tcPr>
            <w:tcW w:w="340" w:type="dxa"/>
            <w:tcBorders>
              <w:top w:val="single" w:sz="4" w:space="0" w:color="auto"/>
              <w:left w:val="nil"/>
              <w:bottom w:val="nil"/>
              <w:right w:val="nil"/>
            </w:tcBorders>
          </w:tcPr>
          <w:p w:rsidR="00290788" w:rsidRPr="00290788" w:rsidRDefault="00290788" w:rsidP="0050371B">
            <w:pPr>
              <w:spacing w:line="240" w:lineRule="auto"/>
              <w:rPr>
                <w:rFonts w:cs="Arial"/>
                <w:color w:val="000000"/>
                <w:sz w:val="20"/>
                <w:szCs w:val="20"/>
                <w:lang w:val="en-US"/>
              </w:rPr>
            </w:pPr>
          </w:p>
        </w:tc>
        <w:tc>
          <w:tcPr>
            <w:tcW w:w="1472" w:type="dxa"/>
            <w:tcBorders>
              <w:top w:val="single" w:sz="4" w:space="0" w:color="auto"/>
              <w:left w:val="nil"/>
              <w:bottom w:val="nil"/>
              <w:right w:val="nil"/>
            </w:tcBorders>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21.68 (15.83)</w:t>
            </w:r>
          </w:p>
        </w:tc>
        <w:tc>
          <w:tcPr>
            <w:tcW w:w="1418" w:type="dxa"/>
            <w:tcBorders>
              <w:top w:val="single" w:sz="4" w:space="0" w:color="auto"/>
              <w:left w:val="nil"/>
              <w:bottom w:val="nil"/>
              <w:right w:val="nil"/>
            </w:tcBorders>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21.94 (15.60)</w:t>
            </w:r>
          </w:p>
        </w:tc>
        <w:tc>
          <w:tcPr>
            <w:tcW w:w="1417" w:type="dxa"/>
            <w:tcBorders>
              <w:top w:val="single" w:sz="4" w:space="0" w:color="auto"/>
              <w:left w:val="nil"/>
              <w:bottom w:val="nil"/>
              <w:right w:val="nil"/>
            </w:tcBorders>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20.83 (16.60)</w:t>
            </w:r>
          </w:p>
        </w:tc>
        <w:tc>
          <w:tcPr>
            <w:tcW w:w="1879" w:type="dxa"/>
            <w:tcBorders>
              <w:top w:val="single" w:sz="4" w:space="0" w:color="auto"/>
              <w:left w:val="nil"/>
              <w:bottom w:val="nil"/>
              <w:right w:val="nil"/>
            </w:tcBorders>
            <w:shd w:val="clear" w:color="auto" w:fill="auto"/>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1,543 (1,138)</w:t>
            </w:r>
          </w:p>
        </w:tc>
      </w:tr>
      <w:tr w:rsidR="00290788" w:rsidRPr="00053050" w:rsidTr="0050371B">
        <w:tc>
          <w:tcPr>
            <w:tcW w:w="1984" w:type="dxa"/>
            <w:tcBorders>
              <w:top w:val="nil"/>
              <w:left w:val="nil"/>
              <w:bottom w:val="nil"/>
              <w:right w:val="nil"/>
            </w:tcBorders>
          </w:tcPr>
          <w:p w:rsidR="00290788" w:rsidRPr="00290788" w:rsidRDefault="00290788" w:rsidP="0050371B">
            <w:pPr>
              <w:spacing w:line="240" w:lineRule="auto"/>
              <w:rPr>
                <w:rFonts w:cs="Arial"/>
                <w:b/>
                <w:color w:val="000000"/>
                <w:sz w:val="20"/>
                <w:szCs w:val="20"/>
                <w:lang w:val="en-US"/>
              </w:rPr>
            </w:pPr>
            <w:r w:rsidRPr="00290788">
              <w:rPr>
                <w:rFonts w:cs="Arial"/>
                <w:b/>
                <w:color w:val="000000"/>
                <w:sz w:val="20"/>
                <w:szCs w:val="20"/>
                <w:lang w:val="en-US"/>
              </w:rPr>
              <w:t xml:space="preserve">Physiotherapist </w:t>
            </w:r>
          </w:p>
          <w:p w:rsidR="00290788" w:rsidRPr="00290788" w:rsidRDefault="00290788" w:rsidP="0050371B">
            <w:pPr>
              <w:spacing w:line="240" w:lineRule="auto"/>
              <w:rPr>
                <w:rFonts w:cs="Arial"/>
                <w:b/>
                <w:color w:val="000000"/>
                <w:sz w:val="20"/>
                <w:szCs w:val="20"/>
                <w:lang w:val="en-US"/>
              </w:rPr>
            </w:pPr>
          </w:p>
        </w:tc>
        <w:tc>
          <w:tcPr>
            <w:tcW w:w="1535" w:type="dxa"/>
            <w:tcBorders>
              <w:top w:val="nil"/>
              <w:left w:val="nil"/>
              <w:bottom w:val="nil"/>
              <w:right w:val="nil"/>
            </w:tcBorders>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3.59 (8.36)</w:t>
            </w:r>
          </w:p>
        </w:tc>
        <w:tc>
          <w:tcPr>
            <w:tcW w:w="1417" w:type="dxa"/>
            <w:tcBorders>
              <w:top w:val="nil"/>
              <w:left w:val="nil"/>
              <w:bottom w:val="nil"/>
              <w:right w:val="nil"/>
            </w:tcBorders>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3.92 (10.42)</w:t>
            </w:r>
          </w:p>
        </w:tc>
        <w:tc>
          <w:tcPr>
            <w:tcW w:w="1418" w:type="dxa"/>
            <w:tcBorders>
              <w:top w:val="nil"/>
              <w:left w:val="nil"/>
              <w:bottom w:val="nil"/>
              <w:right w:val="nil"/>
            </w:tcBorders>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3.02 (9.74)</w:t>
            </w:r>
          </w:p>
        </w:tc>
        <w:tc>
          <w:tcPr>
            <w:tcW w:w="1873" w:type="dxa"/>
            <w:tcBorders>
              <w:top w:val="nil"/>
              <w:left w:val="nil"/>
              <w:bottom w:val="nil"/>
              <w:right w:val="nil"/>
            </w:tcBorders>
            <w:shd w:val="clear" w:color="auto" w:fill="auto"/>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145 (319)</w:t>
            </w:r>
          </w:p>
        </w:tc>
        <w:tc>
          <w:tcPr>
            <w:tcW w:w="340" w:type="dxa"/>
            <w:tcBorders>
              <w:top w:val="nil"/>
              <w:left w:val="nil"/>
              <w:bottom w:val="nil"/>
              <w:right w:val="nil"/>
            </w:tcBorders>
          </w:tcPr>
          <w:p w:rsidR="00290788" w:rsidRPr="00290788" w:rsidRDefault="00290788" w:rsidP="0050371B">
            <w:pPr>
              <w:spacing w:line="240" w:lineRule="auto"/>
              <w:rPr>
                <w:rFonts w:cs="Arial"/>
                <w:color w:val="000000"/>
                <w:sz w:val="20"/>
                <w:szCs w:val="20"/>
                <w:lang w:val="en-US"/>
              </w:rPr>
            </w:pPr>
          </w:p>
        </w:tc>
        <w:tc>
          <w:tcPr>
            <w:tcW w:w="1472" w:type="dxa"/>
            <w:tcBorders>
              <w:top w:val="nil"/>
              <w:left w:val="nil"/>
              <w:bottom w:val="nil"/>
              <w:right w:val="nil"/>
            </w:tcBorders>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5.35 (13.05)</w:t>
            </w:r>
          </w:p>
        </w:tc>
        <w:tc>
          <w:tcPr>
            <w:tcW w:w="1418" w:type="dxa"/>
            <w:tcBorders>
              <w:top w:val="nil"/>
              <w:left w:val="nil"/>
              <w:bottom w:val="nil"/>
              <w:right w:val="nil"/>
            </w:tcBorders>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6.13 (13.44)</w:t>
            </w:r>
          </w:p>
        </w:tc>
        <w:tc>
          <w:tcPr>
            <w:tcW w:w="1417" w:type="dxa"/>
            <w:tcBorders>
              <w:top w:val="nil"/>
              <w:left w:val="nil"/>
              <w:bottom w:val="nil"/>
              <w:right w:val="nil"/>
            </w:tcBorders>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5.43 (13.65)</w:t>
            </w:r>
          </w:p>
        </w:tc>
        <w:tc>
          <w:tcPr>
            <w:tcW w:w="1879" w:type="dxa"/>
            <w:tcBorders>
              <w:top w:val="nil"/>
              <w:left w:val="nil"/>
              <w:bottom w:val="nil"/>
              <w:right w:val="nil"/>
            </w:tcBorders>
            <w:shd w:val="clear" w:color="auto" w:fill="auto"/>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279 (604)</w:t>
            </w:r>
          </w:p>
        </w:tc>
      </w:tr>
      <w:tr w:rsidR="00290788" w:rsidRPr="00CA2C1E" w:rsidTr="0050371B">
        <w:tc>
          <w:tcPr>
            <w:tcW w:w="1984" w:type="dxa"/>
            <w:tcBorders>
              <w:top w:val="nil"/>
              <w:left w:val="nil"/>
              <w:bottom w:val="nil"/>
              <w:right w:val="nil"/>
            </w:tcBorders>
          </w:tcPr>
          <w:p w:rsidR="00290788" w:rsidRPr="00290788" w:rsidRDefault="00290788" w:rsidP="0050371B">
            <w:pPr>
              <w:tabs>
                <w:tab w:val="left" w:pos="214"/>
              </w:tabs>
              <w:spacing w:line="240" w:lineRule="auto"/>
              <w:ind w:right="71"/>
              <w:rPr>
                <w:rFonts w:cs="Arial"/>
                <w:b/>
                <w:color w:val="000000"/>
                <w:sz w:val="20"/>
                <w:szCs w:val="20"/>
              </w:rPr>
            </w:pPr>
            <w:r w:rsidRPr="00290788">
              <w:rPr>
                <w:rFonts w:cs="Arial"/>
                <w:b/>
                <w:color w:val="000000"/>
                <w:sz w:val="20"/>
                <w:szCs w:val="20"/>
              </w:rPr>
              <w:t>Ambulatory clinic in the hospital</w:t>
            </w:r>
          </w:p>
          <w:p w:rsidR="00290788" w:rsidRPr="00290788" w:rsidRDefault="00290788" w:rsidP="0050371B">
            <w:pPr>
              <w:tabs>
                <w:tab w:val="left" w:pos="214"/>
              </w:tabs>
              <w:spacing w:line="240" w:lineRule="auto"/>
              <w:ind w:right="71"/>
              <w:rPr>
                <w:rFonts w:cs="Arial"/>
                <w:b/>
                <w:color w:val="000000"/>
                <w:sz w:val="20"/>
                <w:szCs w:val="20"/>
              </w:rPr>
            </w:pPr>
          </w:p>
        </w:tc>
        <w:tc>
          <w:tcPr>
            <w:tcW w:w="1535" w:type="dxa"/>
            <w:tcBorders>
              <w:top w:val="nil"/>
              <w:left w:val="nil"/>
              <w:bottom w:val="nil"/>
              <w:right w:val="nil"/>
            </w:tcBorders>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0.85 (2.73)</w:t>
            </w:r>
          </w:p>
        </w:tc>
        <w:tc>
          <w:tcPr>
            <w:tcW w:w="1417" w:type="dxa"/>
            <w:tcBorders>
              <w:top w:val="nil"/>
              <w:left w:val="nil"/>
              <w:bottom w:val="nil"/>
              <w:right w:val="nil"/>
            </w:tcBorders>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0.91 (3.00)</w:t>
            </w:r>
          </w:p>
        </w:tc>
        <w:tc>
          <w:tcPr>
            <w:tcW w:w="1418" w:type="dxa"/>
            <w:tcBorders>
              <w:top w:val="nil"/>
              <w:left w:val="nil"/>
              <w:bottom w:val="nil"/>
              <w:right w:val="nil"/>
            </w:tcBorders>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1.14 (3.49)</w:t>
            </w:r>
          </w:p>
        </w:tc>
        <w:tc>
          <w:tcPr>
            <w:tcW w:w="1873" w:type="dxa"/>
            <w:tcBorders>
              <w:top w:val="nil"/>
              <w:left w:val="nil"/>
              <w:bottom w:val="nil"/>
              <w:right w:val="nil"/>
            </w:tcBorders>
            <w:shd w:val="clear" w:color="auto" w:fill="auto"/>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90 (206)</w:t>
            </w:r>
          </w:p>
        </w:tc>
        <w:tc>
          <w:tcPr>
            <w:tcW w:w="340" w:type="dxa"/>
            <w:tcBorders>
              <w:top w:val="nil"/>
              <w:left w:val="nil"/>
              <w:bottom w:val="nil"/>
              <w:right w:val="nil"/>
            </w:tcBorders>
          </w:tcPr>
          <w:p w:rsidR="00290788" w:rsidRPr="00290788" w:rsidRDefault="00290788" w:rsidP="0050371B">
            <w:pPr>
              <w:spacing w:line="240" w:lineRule="auto"/>
              <w:rPr>
                <w:rFonts w:cs="Arial"/>
                <w:color w:val="000000"/>
                <w:sz w:val="20"/>
                <w:szCs w:val="20"/>
                <w:lang w:val="en-US"/>
              </w:rPr>
            </w:pPr>
          </w:p>
        </w:tc>
        <w:tc>
          <w:tcPr>
            <w:tcW w:w="1472" w:type="dxa"/>
            <w:tcBorders>
              <w:top w:val="nil"/>
              <w:left w:val="nil"/>
              <w:bottom w:val="nil"/>
              <w:right w:val="nil"/>
            </w:tcBorders>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1.35 (6.08)</w:t>
            </w:r>
          </w:p>
        </w:tc>
        <w:tc>
          <w:tcPr>
            <w:tcW w:w="1418" w:type="dxa"/>
            <w:tcBorders>
              <w:top w:val="nil"/>
              <w:left w:val="nil"/>
              <w:bottom w:val="nil"/>
              <w:right w:val="nil"/>
            </w:tcBorders>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0.81 (2.75)</w:t>
            </w:r>
          </w:p>
        </w:tc>
        <w:tc>
          <w:tcPr>
            <w:tcW w:w="1417" w:type="dxa"/>
            <w:tcBorders>
              <w:top w:val="nil"/>
              <w:left w:val="nil"/>
              <w:bottom w:val="nil"/>
              <w:right w:val="nil"/>
            </w:tcBorders>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1.40 (3.79)</w:t>
            </w:r>
          </w:p>
        </w:tc>
        <w:tc>
          <w:tcPr>
            <w:tcW w:w="1879" w:type="dxa"/>
            <w:tcBorders>
              <w:top w:val="nil"/>
              <w:left w:val="nil"/>
              <w:bottom w:val="nil"/>
              <w:right w:val="nil"/>
            </w:tcBorders>
            <w:shd w:val="clear" w:color="auto" w:fill="auto"/>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117 (264)</w:t>
            </w:r>
          </w:p>
        </w:tc>
      </w:tr>
      <w:tr w:rsidR="00290788" w:rsidRPr="00CA2C1E" w:rsidTr="0050371B">
        <w:tc>
          <w:tcPr>
            <w:tcW w:w="1984" w:type="dxa"/>
            <w:tcBorders>
              <w:top w:val="nil"/>
              <w:left w:val="nil"/>
              <w:bottom w:val="nil"/>
              <w:right w:val="nil"/>
            </w:tcBorders>
            <w:shd w:val="clear" w:color="auto" w:fill="auto"/>
          </w:tcPr>
          <w:p w:rsidR="00290788" w:rsidRPr="00290788" w:rsidRDefault="00290788" w:rsidP="0050371B">
            <w:pPr>
              <w:tabs>
                <w:tab w:val="left" w:pos="214"/>
              </w:tabs>
              <w:spacing w:line="240" w:lineRule="auto"/>
              <w:rPr>
                <w:rFonts w:cs="Arial"/>
                <w:b/>
                <w:color w:val="000000"/>
                <w:sz w:val="20"/>
                <w:szCs w:val="20"/>
              </w:rPr>
            </w:pPr>
            <w:r w:rsidRPr="00290788">
              <w:rPr>
                <w:rFonts w:cs="Arial"/>
                <w:b/>
                <w:color w:val="000000"/>
                <w:sz w:val="20"/>
                <w:szCs w:val="20"/>
                <w:lang w:val="en-US"/>
              </w:rPr>
              <w:t xml:space="preserve">Inpatient </w:t>
            </w:r>
            <w:r w:rsidRPr="00290788">
              <w:rPr>
                <w:rFonts w:cs="Arial"/>
                <w:b/>
                <w:color w:val="000000"/>
                <w:sz w:val="20"/>
                <w:szCs w:val="20"/>
              </w:rPr>
              <w:t>care (days)</w:t>
            </w:r>
          </w:p>
          <w:p w:rsidR="00290788" w:rsidRPr="00290788" w:rsidRDefault="00290788" w:rsidP="0050371B">
            <w:pPr>
              <w:tabs>
                <w:tab w:val="left" w:pos="214"/>
              </w:tabs>
              <w:spacing w:line="240" w:lineRule="auto"/>
              <w:rPr>
                <w:rFonts w:cs="Arial"/>
                <w:b/>
                <w:color w:val="000000"/>
                <w:sz w:val="20"/>
                <w:szCs w:val="20"/>
              </w:rPr>
            </w:pPr>
          </w:p>
        </w:tc>
        <w:tc>
          <w:tcPr>
            <w:tcW w:w="1535" w:type="dxa"/>
            <w:tcBorders>
              <w:top w:val="nil"/>
              <w:left w:val="nil"/>
              <w:bottom w:val="nil"/>
              <w:right w:val="nil"/>
            </w:tcBorders>
            <w:shd w:val="clear" w:color="auto" w:fill="auto"/>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8.70 (17.18)</w:t>
            </w:r>
          </w:p>
        </w:tc>
        <w:tc>
          <w:tcPr>
            <w:tcW w:w="1417" w:type="dxa"/>
            <w:tcBorders>
              <w:top w:val="nil"/>
              <w:left w:val="nil"/>
              <w:bottom w:val="nil"/>
              <w:right w:val="nil"/>
            </w:tcBorders>
            <w:shd w:val="clear" w:color="auto" w:fill="auto"/>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5.21 (13.68)</w:t>
            </w:r>
          </w:p>
        </w:tc>
        <w:tc>
          <w:tcPr>
            <w:tcW w:w="1418" w:type="dxa"/>
            <w:tcBorders>
              <w:top w:val="nil"/>
              <w:left w:val="nil"/>
              <w:bottom w:val="nil"/>
              <w:right w:val="nil"/>
            </w:tcBorders>
            <w:shd w:val="clear" w:color="auto" w:fill="auto"/>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3.55 (8.89)</w:t>
            </w:r>
          </w:p>
        </w:tc>
        <w:tc>
          <w:tcPr>
            <w:tcW w:w="1873" w:type="dxa"/>
            <w:tcBorders>
              <w:top w:val="nil"/>
              <w:left w:val="nil"/>
              <w:bottom w:val="nil"/>
              <w:right w:val="nil"/>
            </w:tcBorders>
            <w:shd w:val="clear" w:color="auto" w:fill="auto"/>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10,747 (16,689)</w:t>
            </w:r>
          </w:p>
        </w:tc>
        <w:tc>
          <w:tcPr>
            <w:tcW w:w="340" w:type="dxa"/>
            <w:tcBorders>
              <w:top w:val="nil"/>
              <w:left w:val="nil"/>
              <w:bottom w:val="nil"/>
              <w:right w:val="nil"/>
            </w:tcBorders>
          </w:tcPr>
          <w:p w:rsidR="00290788" w:rsidRPr="00290788" w:rsidRDefault="00290788" w:rsidP="0050371B">
            <w:pPr>
              <w:spacing w:line="240" w:lineRule="auto"/>
              <w:rPr>
                <w:rFonts w:cs="Arial"/>
                <w:color w:val="000000"/>
                <w:sz w:val="20"/>
                <w:szCs w:val="20"/>
                <w:lang w:val="en-US"/>
              </w:rPr>
            </w:pPr>
          </w:p>
        </w:tc>
        <w:tc>
          <w:tcPr>
            <w:tcW w:w="1472" w:type="dxa"/>
            <w:tcBorders>
              <w:top w:val="nil"/>
              <w:left w:val="nil"/>
              <w:bottom w:val="nil"/>
              <w:right w:val="nil"/>
            </w:tcBorders>
            <w:shd w:val="clear" w:color="auto" w:fill="auto"/>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11.71 (25.29)</w:t>
            </w:r>
          </w:p>
        </w:tc>
        <w:tc>
          <w:tcPr>
            <w:tcW w:w="1418" w:type="dxa"/>
            <w:tcBorders>
              <w:top w:val="nil"/>
              <w:left w:val="nil"/>
              <w:bottom w:val="nil"/>
              <w:right w:val="nil"/>
            </w:tcBorders>
            <w:shd w:val="clear" w:color="auto" w:fill="auto"/>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6.19 (14.18)</w:t>
            </w:r>
          </w:p>
        </w:tc>
        <w:tc>
          <w:tcPr>
            <w:tcW w:w="1417" w:type="dxa"/>
            <w:tcBorders>
              <w:top w:val="nil"/>
              <w:left w:val="nil"/>
              <w:bottom w:val="nil"/>
              <w:right w:val="nil"/>
            </w:tcBorders>
            <w:shd w:val="clear" w:color="auto" w:fill="auto"/>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4.93 (11.71)</w:t>
            </w:r>
          </w:p>
        </w:tc>
        <w:tc>
          <w:tcPr>
            <w:tcW w:w="1879" w:type="dxa"/>
            <w:tcBorders>
              <w:top w:val="nil"/>
              <w:left w:val="nil"/>
              <w:bottom w:val="nil"/>
              <w:right w:val="nil"/>
            </w:tcBorders>
            <w:shd w:val="clear" w:color="auto" w:fill="auto"/>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13,916 (22,240)</w:t>
            </w:r>
          </w:p>
        </w:tc>
      </w:tr>
      <w:tr w:rsidR="00290788" w:rsidRPr="00CA2C1E" w:rsidTr="0050371B">
        <w:tc>
          <w:tcPr>
            <w:tcW w:w="1984" w:type="dxa"/>
            <w:tcBorders>
              <w:top w:val="nil"/>
              <w:left w:val="nil"/>
              <w:bottom w:val="nil"/>
              <w:right w:val="nil"/>
            </w:tcBorders>
          </w:tcPr>
          <w:p w:rsidR="00290788" w:rsidRPr="00290788" w:rsidRDefault="00290788" w:rsidP="0050371B">
            <w:pPr>
              <w:tabs>
                <w:tab w:val="left" w:pos="214"/>
              </w:tabs>
              <w:spacing w:line="240" w:lineRule="auto"/>
              <w:rPr>
                <w:rFonts w:cs="Arial"/>
                <w:b/>
                <w:color w:val="000000"/>
                <w:sz w:val="20"/>
                <w:szCs w:val="20"/>
                <w:lang w:val="en-US"/>
              </w:rPr>
            </w:pPr>
            <w:r w:rsidRPr="00290788">
              <w:rPr>
                <w:rFonts w:cs="Arial"/>
                <w:b/>
                <w:color w:val="000000"/>
                <w:sz w:val="20"/>
                <w:szCs w:val="20"/>
                <w:lang w:val="en-US"/>
              </w:rPr>
              <w:t>Rehabilitation (days)</w:t>
            </w:r>
          </w:p>
          <w:p w:rsidR="00290788" w:rsidRPr="00290788" w:rsidRDefault="00290788" w:rsidP="0050371B">
            <w:pPr>
              <w:tabs>
                <w:tab w:val="left" w:pos="214"/>
              </w:tabs>
              <w:spacing w:line="240" w:lineRule="auto"/>
              <w:rPr>
                <w:rFonts w:cs="Arial"/>
                <w:b/>
                <w:color w:val="000000"/>
                <w:sz w:val="20"/>
                <w:szCs w:val="20"/>
                <w:lang w:val="en-US"/>
              </w:rPr>
            </w:pPr>
          </w:p>
        </w:tc>
        <w:tc>
          <w:tcPr>
            <w:tcW w:w="1535" w:type="dxa"/>
            <w:tcBorders>
              <w:top w:val="nil"/>
              <w:left w:val="nil"/>
              <w:bottom w:val="nil"/>
              <w:right w:val="nil"/>
            </w:tcBorders>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11.32 (11.84)</w:t>
            </w:r>
          </w:p>
        </w:tc>
        <w:tc>
          <w:tcPr>
            <w:tcW w:w="1417" w:type="dxa"/>
            <w:tcBorders>
              <w:top w:val="nil"/>
              <w:left w:val="nil"/>
              <w:bottom w:val="nil"/>
              <w:right w:val="nil"/>
            </w:tcBorders>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0.78 (3.92)</w:t>
            </w:r>
          </w:p>
        </w:tc>
        <w:tc>
          <w:tcPr>
            <w:tcW w:w="1418" w:type="dxa"/>
            <w:tcBorders>
              <w:top w:val="nil"/>
              <w:left w:val="nil"/>
              <w:bottom w:val="nil"/>
              <w:right w:val="nil"/>
            </w:tcBorders>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0.90 (5.63)</w:t>
            </w:r>
          </w:p>
        </w:tc>
        <w:tc>
          <w:tcPr>
            <w:tcW w:w="1873" w:type="dxa"/>
            <w:tcBorders>
              <w:top w:val="nil"/>
              <w:left w:val="nil"/>
              <w:bottom w:val="nil"/>
              <w:right w:val="nil"/>
            </w:tcBorders>
            <w:shd w:val="clear" w:color="auto" w:fill="auto"/>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1,529 (1,704)</w:t>
            </w:r>
          </w:p>
        </w:tc>
        <w:tc>
          <w:tcPr>
            <w:tcW w:w="340" w:type="dxa"/>
            <w:tcBorders>
              <w:top w:val="nil"/>
              <w:left w:val="nil"/>
              <w:bottom w:val="nil"/>
              <w:right w:val="nil"/>
            </w:tcBorders>
          </w:tcPr>
          <w:p w:rsidR="00290788" w:rsidRPr="00290788" w:rsidRDefault="00290788" w:rsidP="0050371B">
            <w:pPr>
              <w:spacing w:line="240" w:lineRule="auto"/>
              <w:rPr>
                <w:rFonts w:cs="Arial"/>
                <w:color w:val="000000"/>
                <w:sz w:val="20"/>
                <w:szCs w:val="20"/>
                <w:lang w:val="en-US"/>
              </w:rPr>
            </w:pPr>
          </w:p>
        </w:tc>
        <w:tc>
          <w:tcPr>
            <w:tcW w:w="1472" w:type="dxa"/>
            <w:tcBorders>
              <w:top w:val="nil"/>
              <w:left w:val="nil"/>
              <w:bottom w:val="nil"/>
              <w:right w:val="nil"/>
            </w:tcBorders>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12.43 (12.50)</w:t>
            </w:r>
          </w:p>
        </w:tc>
        <w:tc>
          <w:tcPr>
            <w:tcW w:w="1418" w:type="dxa"/>
            <w:tcBorders>
              <w:top w:val="nil"/>
              <w:left w:val="nil"/>
              <w:bottom w:val="nil"/>
              <w:right w:val="nil"/>
            </w:tcBorders>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1.36 (5.28)</w:t>
            </w:r>
          </w:p>
        </w:tc>
        <w:tc>
          <w:tcPr>
            <w:tcW w:w="1417" w:type="dxa"/>
            <w:tcBorders>
              <w:top w:val="nil"/>
              <w:left w:val="nil"/>
              <w:bottom w:val="nil"/>
              <w:right w:val="nil"/>
            </w:tcBorders>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0.59 (3.50)</w:t>
            </w:r>
          </w:p>
        </w:tc>
        <w:tc>
          <w:tcPr>
            <w:tcW w:w="1879" w:type="dxa"/>
            <w:tcBorders>
              <w:top w:val="nil"/>
              <w:left w:val="nil"/>
              <w:bottom w:val="nil"/>
              <w:right w:val="nil"/>
            </w:tcBorders>
            <w:shd w:val="clear" w:color="auto" w:fill="auto"/>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1,674 (1,831)</w:t>
            </w:r>
          </w:p>
        </w:tc>
      </w:tr>
      <w:tr w:rsidR="00290788" w:rsidRPr="00053050" w:rsidTr="0050371B">
        <w:tc>
          <w:tcPr>
            <w:tcW w:w="1984" w:type="dxa"/>
            <w:tcBorders>
              <w:top w:val="nil"/>
              <w:left w:val="nil"/>
              <w:bottom w:val="nil"/>
              <w:right w:val="nil"/>
            </w:tcBorders>
            <w:shd w:val="clear" w:color="auto" w:fill="auto"/>
          </w:tcPr>
          <w:p w:rsidR="00290788" w:rsidRPr="00290788" w:rsidRDefault="00290788" w:rsidP="0050371B">
            <w:pPr>
              <w:tabs>
                <w:tab w:val="left" w:pos="214"/>
              </w:tabs>
              <w:spacing w:line="240" w:lineRule="auto"/>
              <w:rPr>
                <w:rFonts w:cs="Arial"/>
                <w:b/>
                <w:color w:val="000000"/>
                <w:sz w:val="20"/>
                <w:szCs w:val="20"/>
                <w:lang w:val="en-US"/>
              </w:rPr>
            </w:pPr>
            <w:r w:rsidRPr="00290788">
              <w:rPr>
                <w:rFonts w:cs="Arial"/>
                <w:b/>
                <w:color w:val="000000"/>
                <w:sz w:val="20"/>
                <w:szCs w:val="20"/>
                <w:lang w:val="en-US"/>
              </w:rPr>
              <w:t>Drugs (number of medications)</w:t>
            </w:r>
          </w:p>
          <w:p w:rsidR="00290788" w:rsidRPr="00290788" w:rsidRDefault="00290788" w:rsidP="0050371B">
            <w:pPr>
              <w:tabs>
                <w:tab w:val="left" w:pos="214"/>
              </w:tabs>
              <w:spacing w:line="240" w:lineRule="auto"/>
              <w:rPr>
                <w:rFonts w:cs="Arial"/>
                <w:b/>
                <w:color w:val="000000"/>
                <w:sz w:val="20"/>
                <w:szCs w:val="20"/>
                <w:lang w:val="en-US"/>
              </w:rPr>
            </w:pPr>
          </w:p>
        </w:tc>
        <w:tc>
          <w:tcPr>
            <w:tcW w:w="1535" w:type="dxa"/>
            <w:tcBorders>
              <w:top w:val="nil"/>
              <w:left w:val="nil"/>
              <w:bottom w:val="nil"/>
              <w:right w:val="nil"/>
            </w:tcBorders>
            <w:shd w:val="clear" w:color="auto" w:fill="auto"/>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lastRenderedPageBreak/>
              <w:t>6.97 (2.45)</w:t>
            </w:r>
          </w:p>
        </w:tc>
        <w:tc>
          <w:tcPr>
            <w:tcW w:w="1417" w:type="dxa"/>
            <w:tcBorders>
              <w:top w:val="nil"/>
              <w:left w:val="nil"/>
              <w:bottom w:val="nil"/>
              <w:right w:val="nil"/>
            </w:tcBorders>
            <w:shd w:val="clear" w:color="auto" w:fill="auto"/>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6.93 (2.67)</w:t>
            </w:r>
          </w:p>
        </w:tc>
        <w:tc>
          <w:tcPr>
            <w:tcW w:w="1418" w:type="dxa"/>
            <w:tcBorders>
              <w:top w:val="nil"/>
              <w:left w:val="nil"/>
              <w:bottom w:val="nil"/>
              <w:right w:val="nil"/>
            </w:tcBorders>
            <w:shd w:val="clear" w:color="auto" w:fill="auto"/>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6.81 (2.88)</w:t>
            </w:r>
          </w:p>
        </w:tc>
        <w:tc>
          <w:tcPr>
            <w:tcW w:w="1873" w:type="dxa"/>
            <w:tcBorders>
              <w:top w:val="nil"/>
              <w:left w:val="nil"/>
              <w:bottom w:val="nil"/>
              <w:right w:val="nil"/>
            </w:tcBorders>
            <w:shd w:val="clear" w:color="auto" w:fill="auto"/>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2,833 (2,324)</w:t>
            </w:r>
          </w:p>
        </w:tc>
        <w:tc>
          <w:tcPr>
            <w:tcW w:w="340" w:type="dxa"/>
            <w:tcBorders>
              <w:top w:val="nil"/>
              <w:left w:val="nil"/>
              <w:bottom w:val="nil"/>
              <w:right w:val="nil"/>
            </w:tcBorders>
          </w:tcPr>
          <w:p w:rsidR="00290788" w:rsidRPr="00290788" w:rsidRDefault="00290788" w:rsidP="0050371B">
            <w:pPr>
              <w:spacing w:line="240" w:lineRule="auto"/>
              <w:rPr>
                <w:rFonts w:cs="Arial"/>
                <w:color w:val="000000"/>
                <w:sz w:val="20"/>
                <w:szCs w:val="20"/>
                <w:lang w:val="en-US"/>
              </w:rPr>
            </w:pPr>
          </w:p>
        </w:tc>
        <w:tc>
          <w:tcPr>
            <w:tcW w:w="1472" w:type="dxa"/>
            <w:tcBorders>
              <w:top w:val="nil"/>
              <w:left w:val="nil"/>
              <w:bottom w:val="nil"/>
              <w:right w:val="nil"/>
            </w:tcBorders>
            <w:shd w:val="clear" w:color="auto" w:fill="auto"/>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7.4 (2.38)</w:t>
            </w:r>
          </w:p>
        </w:tc>
        <w:tc>
          <w:tcPr>
            <w:tcW w:w="1418" w:type="dxa"/>
            <w:tcBorders>
              <w:top w:val="nil"/>
              <w:left w:val="nil"/>
              <w:bottom w:val="nil"/>
              <w:right w:val="nil"/>
            </w:tcBorders>
            <w:shd w:val="clear" w:color="auto" w:fill="auto"/>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7.37 (2.55)</w:t>
            </w:r>
          </w:p>
        </w:tc>
        <w:tc>
          <w:tcPr>
            <w:tcW w:w="1417" w:type="dxa"/>
            <w:tcBorders>
              <w:top w:val="nil"/>
              <w:left w:val="nil"/>
              <w:bottom w:val="nil"/>
              <w:right w:val="nil"/>
            </w:tcBorders>
            <w:shd w:val="clear" w:color="auto" w:fill="auto"/>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7.35 (2.60)</w:t>
            </w:r>
          </w:p>
        </w:tc>
        <w:tc>
          <w:tcPr>
            <w:tcW w:w="1879" w:type="dxa"/>
            <w:tcBorders>
              <w:top w:val="nil"/>
              <w:left w:val="nil"/>
              <w:bottom w:val="nil"/>
              <w:right w:val="nil"/>
            </w:tcBorders>
            <w:shd w:val="clear" w:color="auto" w:fill="auto"/>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3,131 (2,177)</w:t>
            </w:r>
          </w:p>
        </w:tc>
      </w:tr>
      <w:tr w:rsidR="00290788" w:rsidRPr="00053050" w:rsidTr="0050371B">
        <w:tc>
          <w:tcPr>
            <w:tcW w:w="1984" w:type="dxa"/>
            <w:tcBorders>
              <w:top w:val="nil"/>
              <w:left w:val="nil"/>
              <w:bottom w:val="nil"/>
              <w:right w:val="nil"/>
            </w:tcBorders>
            <w:shd w:val="clear" w:color="auto" w:fill="auto"/>
          </w:tcPr>
          <w:p w:rsidR="00290788" w:rsidRPr="00290788" w:rsidRDefault="00290788" w:rsidP="0050371B">
            <w:pPr>
              <w:tabs>
                <w:tab w:val="left" w:pos="214"/>
              </w:tabs>
              <w:spacing w:line="240" w:lineRule="auto"/>
              <w:rPr>
                <w:rFonts w:cs="Arial"/>
                <w:b/>
                <w:color w:val="000000"/>
                <w:sz w:val="20"/>
                <w:szCs w:val="20"/>
                <w:lang w:val="en-US"/>
              </w:rPr>
            </w:pPr>
            <w:r w:rsidRPr="00290788">
              <w:rPr>
                <w:rFonts w:cs="Arial"/>
                <w:b/>
                <w:color w:val="000000"/>
                <w:sz w:val="20"/>
                <w:szCs w:val="20"/>
                <w:lang w:val="en-US"/>
              </w:rPr>
              <w:lastRenderedPageBreak/>
              <w:t>Intervention programme</w:t>
            </w:r>
          </w:p>
          <w:p w:rsidR="00290788" w:rsidRPr="00290788" w:rsidRDefault="00290788" w:rsidP="0050371B">
            <w:pPr>
              <w:tabs>
                <w:tab w:val="left" w:pos="214"/>
              </w:tabs>
              <w:spacing w:line="240" w:lineRule="auto"/>
              <w:rPr>
                <w:rFonts w:cs="Arial"/>
                <w:b/>
                <w:color w:val="000000"/>
                <w:sz w:val="20"/>
                <w:szCs w:val="20"/>
                <w:lang w:val="en-US"/>
              </w:rPr>
            </w:pPr>
          </w:p>
        </w:tc>
        <w:tc>
          <w:tcPr>
            <w:tcW w:w="1535" w:type="dxa"/>
            <w:tcBorders>
              <w:top w:val="nil"/>
              <w:left w:val="nil"/>
              <w:bottom w:val="nil"/>
              <w:right w:val="nil"/>
            </w:tcBorders>
            <w:shd w:val="clear" w:color="auto" w:fill="auto"/>
          </w:tcPr>
          <w:p w:rsidR="00290788" w:rsidRPr="00290788" w:rsidRDefault="00290788" w:rsidP="0050371B">
            <w:pPr>
              <w:spacing w:line="240" w:lineRule="auto"/>
              <w:rPr>
                <w:rFonts w:cs="Arial"/>
                <w:color w:val="000000"/>
                <w:sz w:val="20"/>
                <w:szCs w:val="20"/>
                <w:lang w:val="en-US"/>
              </w:rPr>
            </w:pPr>
          </w:p>
        </w:tc>
        <w:tc>
          <w:tcPr>
            <w:tcW w:w="1417" w:type="dxa"/>
            <w:tcBorders>
              <w:top w:val="nil"/>
              <w:left w:val="nil"/>
              <w:bottom w:val="nil"/>
              <w:right w:val="nil"/>
            </w:tcBorders>
            <w:shd w:val="clear" w:color="auto" w:fill="auto"/>
          </w:tcPr>
          <w:p w:rsidR="00290788" w:rsidRPr="00290788" w:rsidRDefault="00290788" w:rsidP="0050371B">
            <w:pPr>
              <w:spacing w:line="240" w:lineRule="auto"/>
              <w:rPr>
                <w:rFonts w:cs="Arial"/>
                <w:color w:val="000000"/>
                <w:sz w:val="20"/>
                <w:szCs w:val="20"/>
                <w:lang w:val="en-US"/>
              </w:rPr>
            </w:pPr>
          </w:p>
        </w:tc>
        <w:tc>
          <w:tcPr>
            <w:tcW w:w="1418" w:type="dxa"/>
            <w:tcBorders>
              <w:top w:val="nil"/>
              <w:left w:val="nil"/>
              <w:bottom w:val="nil"/>
              <w:right w:val="nil"/>
            </w:tcBorders>
            <w:shd w:val="clear" w:color="auto" w:fill="auto"/>
          </w:tcPr>
          <w:p w:rsidR="00290788" w:rsidRPr="00290788" w:rsidRDefault="00290788" w:rsidP="0050371B">
            <w:pPr>
              <w:spacing w:line="240" w:lineRule="auto"/>
              <w:rPr>
                <w:rFonts w:cs="Arial"/>
                <w:color w:val="000000"/>
                <w:sz w:val="20"/>
                <w:szCs w:val="20"/>
                <w:lang w:val="en-US"/>
              </w:rPr>
            </w:pPr>
          </w:p>
        </w:tc>
        <w:tc>
          <w:tcPr>
            <w:tcW w:w="1873" w:type="dxa"/>
            <w:tcBorders>
              <w:top w:val="nil"/>
              <w:left w:val="nil"/>
              <w:bottom w:val="nil"/>
              <w:right w:val="nil"/>
            </w:tcBorders>
            <w:shd w:val="clear" w:color="auto" w:fill="auto"/>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166 (83)</w:t>
            </w:r>
          </w:p>
        </w:tc>
        <w:tc>
          <w:tcPr>
            <w:tcW w:w="340" w:type="dxa"/>
            <w:tcBorders>
              <w:top w:val="nil"/>
              <w:left w:val="nil"/>
              <w:bottom w:val="nil"/>
              <w:right w:val="nil"/>
            </w:tcBorders>
          </w:tcPr>
          <w:p w:rsidR="00290788" w:rsidRPr="00290788" w:rsidRDefault="00290788" w:rsidP="0050371B">
            <w:pPr>
              <w:spacing w:line="240" w:lineRule="auto"/>
              <w:rPr>
                <w:rFonts w:cs="Arial"/>
                <w:color w:val="000000"/>
                <w:sz w:val="20"/>
                <w:szCs w:val="20"/>
                <w:lang w:val="en-US"/>
              </w:rPr>
            </w:pPr>
          </w:p>
        </w:tc>
        <w:tc>
          <w:tcPr>
            <w:tcW w:w="1472" w:type="dxa"/>
            <w:tcBorders>
              <w:top w:val="nil"/>
              <w:left w:val="nil"/>
              <w:bottom w:val="nil"/>
              <w:right w:val="nil"/>
            </w:tcBorders>
            <w:shd w:val="clear" w:color="auto" w:fill="auto"/>
          </w:tcPr>
          <w:p w:rsidR="00290788" w:rsidRPr="00290788" w:rsidRDefault="00290788" w:rsidP="0050371B">
            <w:pPr>
              <w:spacing w:line="240" w:lineRule="auto"/>
              <w:rPr>
                <w:rFonts w:cs="Arial"/>
                <w:color w:val="000000"/>
                <w:sz w:val="20"/>
                <w:szCs w:val="20"/>
                <w:lang w:val="en-US"/>
              </w:rPr>
            </w:pPr>
          </w:p>
        </w:tc>
        <w:tc>
          <w:tcPr>
            <w:tcW w:w="1418" w:type="dxa"/>
            <w:tcBorders>
              <w:top w:val="nil"/>
              <w:left w:val="nil"/>
              <w:bottom w:val="nil"/>
              <w:right w:val="nil"/>
            </w:tcBorders>
            <w:shd w:val="clear" w:color="auto" w:fill="auto"/>
          </w:tcPr>
          <w:p w:rsidR="00290788" w:rsidRPr="00290788" w:rsidRDefault="00290788" w:rsidP="0050371B">
            <w:pPr>
              <w:spacing w:line="240" w:lineRule="auto"/>
              <w:rPr>
                <w:rFonts w:cs="Arial"/>
                <w:color w:val="000000"/>
                <w:sz w:val="20"/>
                <w:szCs w:val="20"/>
                <w:lang w:val="en-US"/>
              </w:rPr>
            </w:pPr>
          </w:p>
        </w:tc>
        <w:tc>
          <w:tcPr>
            <w:tcW w:w="1417" w:type="dxa"/>
            <w:tcBorders>
              <w:top w:val="nil"/>
              <w:left w:val="nil"/>
              <w:bottom w:val="nil"/>
              <w:right w:val="nil"/>
            </w:tcBorders>
            <w:shd w:val="clear" w:color="auto" w:fill="auto"/>
          </w:tcPr>
          <w:p w:rsidR="00290788" w:rsidRPr="00290788" w:rsidRDefault="00290788" w:rsidP="0050371B">
            <w:pPr>
              <w:spacing w:line="240" w:lineRule="auto"/>
              <w:rPr>
                <w:rFonts w:cs="Arial"/>
                <w:color w:val="000000"/>
                <w:sz w:val="20"/>
                <w:szCs w:val="20"/>
                <w:lang w:val="en-US"/>
              </w:rPr>
            </w:pPr>
          </w:p>
        </w:tc>
        <w:tc>
          <w:tcPr>
            <w:tcW w:w="1879" w:type="dxa"/>
            <w:tcBorders>
              <w:top w:val="nil"/>
              <w:left w:val="nil"/>
              <w:bottom w:val="nil"/>
              <w:right w:val="nil"/>
            </w:tcBorders>
            <w:shd w:val="clear" w:color="auto" w:fill="auto"/>
          </w:tcPr>
          <w:p w:rsidR="00290788" w:rsidRPr="00290788" w:rsidRDefault="00290788" w:rsidP="0050371B">
            <w:pPr>
              <w:spacing w:line="240" w:lineRule="auto"/>
              <w:rPr>
                <w:rFonts w:cs="Arial"/>
                <w:color w:val="000000"/>
                <w:sz w:val="20"/>
                <w:szCs w:val="20"/>
                <w:lang w:val="en-US"/>
              </w:rPr>
            </w:pPr>
          </w:p>
        </w:tc>
      </w:tr>
      <w:tr w:rsidR="00290788" w:rsidRPr="00485B24" w:rsidTr="00290788">
        <w:tc>
          <w:tcPr>
            <w:tcW w:w="1984" w:type="dxa"/>
            <w:tcBorders>
              <w:top w:val="nil"/>
              <w:left w:val="nil"/>
              <w:bottom w:val="nil"/>
              <w:right w:val="nil"/>
            </w:tcBorders>
            <w:shd w:val="clear" w:color="auto" w:fill="BFBFBF"/>
          </w:tcPr>
          <w:p w:rsidR="00290788" w:rsidRPr="00290788" w:rsidRDefault="00290788" w:rsidP="0050371B">
            <w:pPr>
              <w:tabs>
                <w:tab w:val="left" w:pos="214"/>
              </w:tabs>
              <w:spacing w:line="240" w:lineRule="auto"/>
              <w:rPr>
                <w:rFonts w:cs="Arial"/>
                <w:b/>
                <w:color w:val="000000"/>
                <w:sz w:val="20"/>
                <w:szCs w:val="20"/>
              </w:rPr>
            </w:pPr>
            <w:r w:rsidRPr="00290788">
              <w:rPr>
                <w:rFonts w:cs="Arial"/>
                <w:b/>
                <w:color w:val="000000"/>
                <w:sz w:val="20"/>
                <w:szCs w:val="20"/>
              </w:rPr>
              <w:t>Sum of direct healthcare costs</w:t>
            </w:r>
          </w:p>
          <w:p w:rsidR="00290788" w:rsidRPr="00290788" w:rsidRDefault="00290788" w:rsidP="0050371B">
            <w:pPr>
              <w:tabs>
                <w:tab w:val="left" w:pos="214"/>
              </w:tabs>
              <w:spacing w:line="240" w:lineRule="auto"/>
              <w:rPr>
                <w:rFonts w:cs="Arial"/>
                <w:b/>
                <w:color w:val="000000"/>
                <w:sz w:val="20"/>
                <w:szCs w:val="20"/>
              </w:rPr>
            </w:pPr>
            <w:r w:rsidRPr="00290788">
              <w:rPr>
                <w:rFonts w:cs="Arial"/>
                <w:b/>
                <w:color w:val="000000"/>
                <w:sz w:val="20"/>
                <w:szCs w:val="20"/>
              </w:rPr>
              <w:t xml:space="preserve">(incl. intervention) </w:t>
            </w:r>
          </w:p>
          <w:p w:rsidR="00290788" w:rsidRPr="00290788" w:rsidRDefault="00290788" w:rsidP="0050371B">
            <w:pPr>
              <w:tabs>
                <w:tab w:val="left" w:pos="214"/>
              </w:tabs>
              <w:spacing w:line="240" w:lineRule="auto"/>
              <w:rPr>
                <w:rFonts w:cs="Arial"/>
                <w:b/>
                <w:color w:val="000000"/>
                <w:sz w:val="20"/>
                <w:szCs w:val="20"/>
              </w:rPr>
            </w:pPr>
          </w:p>
        </w:tc>
        <w:tc>
          <w:tcPr>
            <w:tcW w:w="1535" w:type="dxa"/>
            <w:tcBorders>
              <w:top w:val="nil"/>
              <w:left w:val="nil"/>
              <w:bottom w:val="nil"/>
              <w:right w:val="nil"/>
            </w:tcBorders>
            <w:shd w:val="clear" w:color="auto" w:fill="BFBFBF"/>
          </w:tcPr>
          <w:p w:rsidR="00290788" w:rsidRPr="00290788" w:rsidRDefault="00290788" w:rsidP="0050371B">
            <w:pPr>
              <w:spacing w:line="240" w:lineRule="auto"/>
              <w:rPr>
                <w:rFonts w:cs="Arial"/>
                <w:color w:val="000000"/>
                <w:sz w:val="20"/>
                <w:szCs w:val="20"/>
                <w:lang w:val="en-US"/>
              </w:rPr>
            </w:pPr>
          </w:p>
        </w:tc>
        <w:tc>
          <w:tcPr>
            <w:tcW w:w="1417" w:type="dxa"/>
            <w:tcBorders>
              <w:top w:val="nil"/>
              <w:left w:val="nil"/>
              <w:bottom w:val="nil"/>
              <w:right w:val="nil"/>
            </w:tcBorders>
            <w:shd w:val="clear" w:color="auto" w:fill="BFBFBF"/>
          </w:tcPr>
          <w:p w:rsidR="00290788" w:rsidRPr="00290788" w:rsidRDefault="00290788" w:rsidP="0050371B">
            <w:pPr>
              <w:spacing w:line="240" w:lineRule="auto"/>
              <w:rPr>
                <w:rFonts w:cs="Arial"/>
                <w:color w:val="000000"/>
                <w:sz w:val="20"/>
                <w:szCs w:val="20"/>
                <w:lang w:val="en-US"/>
              </w:rPr>
            </w:pPr>
          </w:p>
        </w:tc>
        <w:tc>
          <w:tcPr>
            <w:tcW w:w="1418" w:type="dxa"/>
            <w:tcBorders>
              <w:top w:val="nil"/>
              <w:left w:val="nil"/>
              <w:bottom w:val="nil"/>
              <w:right w:val="nil"/>
            </w:tcBorders>
            <w:shd w:val="clear" w:color="auto" w:fill="BFBFBF"/>
          </w:tcPr>
          <w:p w:rsidR="00290788" w:rsidRPr="00290788" w:rsidRDefault="00290788" w:rsidP="0050371B">
            <w:pPr>
              <w:spacing w:line="240" w:lineRule="auto"/>
              <w:rPr>
                <w:rFonts w:cs="Arial"/>
                <w:color w:val="000000"/>
                <w:sz w:val="20"/>
                <w:szCs w:val="20"/>
                <w:lang w:val="en-US"/>
              </w:rPr>
            </w:pPr>
          </w:p>
        </w:tc>
        <w:tc>
          <w:tcPr>
            <w:tcW w:w="1873" w:type="dxa"/>
            <w:tcBorders>
              <w:top w:val="nil"/>
              <w:left w:val="nil"/>
              <w:bottom w:val="nil"/>
              <w:right w:val="nil"/>
            </w:tcBorders>
            <w:shd w:val="clear" w:color="auto" w:fill="BFBFBF"/>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16,837 (17,768)</w:t>
            </w:r>
          </w:p>
        </w:tc>
        <w:tc>
          <w:tcPr>
            <w:tcW w:w="340" w:type="dxa"/>
            <w:tcBorders>
              <w:top w:val="nil"/>
              <w:left w:val="nil"/>
              <w:bottom w:val="nil"/>
              <w:right w:val="nil"/>
            </w:tcBorders>
            <w:shd w:val="clear" w:color="auto" w:fill="BFBFBF"/>
          </w:tcPr>
          <w:p w:rsidR="00290788" w:rsidRPr="00290788" w:rsidRDefault="00290788" w:rsidP="0050371B">
            <w:pPr>
              <w:spacing w:line="240" w:lineRule="auto"/>
              <w:rPr>
                <w:rFonts w:cs="Arial"/>
                <w:color w:val="000000"/>
                <w:sz w:val="20"/>
                <w:szCs w:val="20"/>
                <w:lang w:val="en-US"/>
              </w:rPr>
            </w:pPr>
          </w:p>
        </w:tc>
        <w:tc>
          <w:tcPr>
            <w:tcW w:w="1472" w:type="dxa"/>
            <w:tcBorders>
              <w:top w:val="nil"/>
              <w:left w:val="nil"/>
              <w:bottom w:val="nil"/>
              <w:right w:val="nil"/>
            </w:tcBorders>
            <w:shd w:val="clear" w:color="auto" w:fill="BFBFBF"/>
          </w:tcPr>
          <w:p w:rsidR="00290788" w:rsidRPr="00290788" w:rsidRDefault="00290788" w:rsidP="0050371B">
            <w:pPr>
              <w:spacing w:line="240" w:lineRule="auto"/>
              <w:rPr>
                <w:rFonts w:cs="Arial"/>
                <w:color w:val="000000"/>
                <w:sz w:val="20"/>
                <w:szCs w:val="20"/>
                <w:lang w:val="en-US"/>
              </w:rPr>
            </w:pPr>
          </w:p>
        </w:tc>
        <w:tc>
          <w:tcPr>
            <w:tcW w:w="1418" w:type="dxa"/>
            <w:tcBorders>
              <w:top w:val="nil"/>
              <w:left w:val="nil"/>
              <w:bottom w:val="nil"/>
              <w:right w:val="nil"/>
            </w:tcBorders>
            <w:shd w:val="clear" w:color="auto" w:fill="BFBFBF"/>
          </w:tcPr>
          <w:p w:rsidR="00290788" w:rsidRPr="00290788" w:rsidRDefault="00290788" w:rsidP="0050371B">
            <w:pPr>
              <w:spacing w:line="240" w:lineRule="auto"/>
              <w:rPr>
                <w:rFonts w:cs="Arial"/>
                <w:color w:val="000000"/>
                <w:sz w:val="20"/>
                <w:szCs w:val="20"/>
                <w:lang w:val="en-US"/>
              </w:rPr>
            </w:pPr>
          </w:p>
        </w:tc>
        <w:tc>
          <w:tcPr>
            <w:tcW w:w="1417" w:type="dxa"/>
            <w:tcBorders>
              <w:top w:val="nil"/>
              <w:left w:val="nil"/>
              <w:bottom w:val="nil"/>
              <w:right w:val="nil"/>
            </w:tcBorders>
            <w:shd w:val="clear" w:color="auto" w:fill="BFBFBF"/>
          </w:tcPr>
          <w:p w:rsidR="00290788" w:rsidRPr="00290788" w:rsidRDefault="00290788" w:rsidP="0050371B">
            <w:pPr>
              <w:spacing w:line="240" w:lineRule="auto"/>
              <w:rPr>
                <w:rFonts w:cs="Arial"/>
                <w:color w:val="000000"/>
                <w:sz w:val="20"/>
                <w:szCs w:val="20"/>
                <w:lang w:val="en-US"/>
              </w:rPr>
            </w:pPr>
          </w:p>
        </w:tc>
        <w:tc>
          <w:tcPr>
            <w:tcW w:w="1879" w:type="dxa"/>
            <w:tcBorders>
              <w:top w:val="nil"/>
              <w:left w:val="nil"/>
              <w:bottom w:val="nil"/>
              <w:right w:val="nil"/>
            </w:tcBorders>
            <w:shd w:val="clear" w:color="auto" w:fill="BFBFBF"/>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20,660 (23,285)</w:t>
            </w:r>
          </w:p>
        </w:tc>
      </w:tr>
      <w:tr w:rsidR="00290788" w:rsidRPr="00CA2C1E" w:rsidTr="0050371B">
        <w:tc>
          <w:tcPr>
            <w:tcW w:w="1984" w:type="dxa"/>
            <w:tcBorders>
              <w:top w:val="nil"/>
              <w:left w:val="nil"/>
              <w:bottom w:val="nil"/>
              <w:right w:val="nil"/>
            </w:tcBorders>
          </w:tcPr>
          <w:p w:rsidR="00290788" w:rsidRPr="00290788" w:rsidRDefault="00290788" w:rsidP="0050371B">
            <w:pPr>
              <w:tabs>
                <w:tab w:val="left" w:pos="214"/>
              </w:tabs>
              <w:spacing w:line="240" w:lineRule="auto"/>
              <w:rPr>
                <w:rFonts w:cs="Arial"/>
                <w:b/>
                <w:color w:val="000000"/>
                <w:sz w:val="20"/>
                <w:szCs w:val="20"/>
                <w:lang w:val="en-US"/>
              </w:rPr>
            </w:pPr>
            <w:r w:rsidRPr="00290788">
              <w:rPr>
                <w:rFonts w:cs="Arial"/>
                <w:b/>
                <w:color w:val="000000"/>
                <w:sz w:val="20"/>
                <w:szCs w:val="20"/>
                <w:lang w:val="en-US"/>
              </w:rPr>
              <w:t>Outpatient nursing service (hours)</w:t>
            </w:r>
          </w:p>
          <w:p w:rsidR="00290788" w:rsidRPr="00290788" w:rsidRDefault="00290788" w:rsidP="0050371B">
            <w:pPr>
              <w:tabs>
                <w:tab w:val="left" w:pos="214"/>
              </w:tabs>
              <w:spacing w:line="240" w:lineRule="auto"/>
              <w:rPr>
                <w:rFonts w:cs="Arial"/>
                <w:b/>
                <w:color w:val="000000"/>
                <w:sz w:val="20"/>
                <w:szCs w:val="20"/>
                <w:lang w:val="en-US"/>
              </w:rPr>
            </w:pPr>
          </w:p>
        </w:tc>
        <w:tc>
          <w:tcPr>
            <w:tcW w:w="1535" w:type="dxa"/>
            <w:tcBorders>
              <w:top w:val="nil"/>
              <w:left w:val="nil"/>
              <w:bottom w:val="nil"/>
              <w:right w:val="nil"/>
            </w:tcBorders>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3.66 (16.09)</w:t>
            </w:r>
          </w:p>
        </w:tc>
        <w:tc>
          <w:tcPr>
            <w:tcW w:w="1417" w:type="dxa"/>
            <w:tcBorders>
              <w:top w:val="nil"/>
              <w:left w:val="nil"/>
              <w:bottom w:val="nil"/>
              <w:right w:val="nil"/>
            </w:tcBorders>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2.39 (15.00)</w:t>
            </w:r>
          </w:p>
        </w:tc>
        <w:tc>
          <w:tcPr>
            <w:tcW w:w="1418" w:type="dxa"/>
            <w:tcBorders>
              <w:top w:val="nil"/>
              <w:left w:val="nil"/>
              <w:bottom w:val="nil"/>
              <w:right w:val="nil"/>
            </w:tcBorders>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3.23 (17.57)</w:t>
            </w:r>
          </w:p>
        </w:tc>
        <w:tc>
          <w:tcPr>
            <w:tcW w:w="1873" w:type="dxa"/>
            <w:tcBorders>
              <w:top w:val="nil"/>
              <w:left w:val="nil"/>
              <w:bottom w:val="nil"/>
              <w:right w:val="nil"/>
            </w:tcBorders>
            <w:shd w:val="clear" w:color="auto" w:fill="auto"/>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240 (1,169)</w:t>
            </w:r>
          </w:p>
        </w:tc>
        <w:tc>
          <w:tcPr>
            <w:tcW w:w="340" w:type="dxa"/>
            <w:tcBorders>
              <w:top w:val="nil"/>
              <w:left w:val="nil"/>
              <w:bottom w:val="nil"/>
              <w:right w:val="nil"/>
            </w:tcBorders>
          </w:tcPr>
          <w:p w:rsidR="00290788" w:rsidRPr="00290788" w:rsidRDefault="00290788" w:rsidP="0050371B">
            <w:pPr>
              <w:spacing w:line="240" w:lineRule="auto"/>
              <w:rPr>
                <w:rFonts w:cs="Arial"/>
                <w:color w:val="000000"/>
                <w:sz w:val="20"/>
                <w:szCs w:val="20"/>
                <w:lang w:val="en-US"/>
              </w:rPr>
            </w:pPr>
          </w:p>
        </w:tc>
        <w:tc>
          <w:tcPr>
            <w:tcW w:w="1472" w:type="dxa"/>
            <w:tcBorders>
              <w:top w:val="nil"/>
              <w:left w:val="nil"/>
              <w:bottom w:val="nil"/>
              <w:right w:val="nil"/>
            </w:tcBorders>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5.72 (21.66)</w:t>
            </w:r>
          </w:p>
        </w:tc>
        <w:tc>
          <w:tcPr>
            <w:tcW w:w="1418" w:type="dxa"/>
            <w:tcBorders>
              <w:top w:val="nil"/>
              <w:left w:val="nil"/>
              <w:bottom w:val="nil"/>
              <w:right w:val="nil"/>
            </w:tcBorders>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10.90 (70.08)</w:t>
            </w:r>
          </w:p>
        </w:tc>
        <w:tc>
          <w:tcPr>
            <w:tcW w:w="1417" w:type="dxa"/>
            <w:tcBorders>
              <w:top w:val="nil"/>
              <w:left w:val="nil"/>
              <w:bottom w:val="nil"/>
              <w:right w:val="nil"/>
            </w:tcBorders>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7.60 (30.91)</w:t>
            </w:r>
          </w:p>
        </w:tc>
        <w:tc>
          <w:tcPr>
            <w:tcW w:w="1879" w:type="dxa"/>
            <w:tcBorders>
              <w:top w:val="nil"/>
              <w:left w:val="nil"/>
              <w:bottom w:val="nil"/>
              <w:right w:val="nil"/>
            </w:tcBorders>
            <w:shd w:val="clear" w:color="auto" w:fill="auto"/>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502 (2,135)</w:t>
            </w:r>
          </w:p>
        </w:tc>
      </w:tr>
      <w:tr w:rsidR="00290788" w:rsidRPr="00053050" w:rsidTr="0050371B">
        <w:tc>
          <w:tcPr>
            <w:tcW w:w="1984" w:type="dxa"/>
            <w:tcBorders>
              <w:top w:val="nil"/>
              <w:left w:val="nil"/>
              <w:bottom w:val="nil"/>
              <w:right w:val="nil"/>
            </w:tcBorders>
          </w:tcPr>
          <w:p w:rsidR="00290788" w:rsidRPr="00290788" w:rsidRDefault="00290788" w:rsidP="0050371B">
            <w:pPr>
              <w:tabs>
                <w:tab w:val="left" w:pos="214"/>
              </w:tabs>
              <w:spacing w:line="240" w:lineRule="auto"/>
              <w:rPr>
                <w:rFonts w:cs="Arial"/>
                <w:b/>
                <w:color w:val="000000"/>
                <w:sz w:val="20"/>
                <w:szCs w:val="20"/>
                <w:lang w:val="en-US"/>
              </w:rPr>
            </w:pPr>
            <w:r w:rsidRPr="00290788">
              <w:rPr>
                <w:rFonts w:cs="Arial"/>
                <w:b/>
                <w:color w:val="000000"/>
                <w:sz w:val="20"/>
                <w:szCs w:val="20"/>
                <w:lang w:val="en-US"/>
              </w:rPr>
              <w:t>Paid household help (hours)</w:t>
            </w:r>
          </w:p>
          <w:p w:rsidR="00290788" w:rsidRPr="00290788" w:rsidRDefault="00290788" w:rsidP="0050371B">
            <w:pPr>
              <w:tabs>
                <w:tab w:val="left" w:pos="214"/>
              </w:tabs>
              <w:spacing w:line="240" w:lineRule="auto"/>
              <w:rPr>
                <w:rFonts w:cs="Arial"/>
                <w:b/>
                <w:color w:val="000000"/>
                <w:sz w:val="20"/>
                <w:szCs w:val="20"/>
                <w:lang w:val="en-US"/>
              </w:rPr>
            </w:pPr>
          </w:p>
        </w:tc>
        <w:tc>
          <w:tcPr>
            <w:tcW w:w="1535" w:type="dxa"/>
            <w:tcBorders>
              <w:top w:val="nil"/>
              <w:left w:val="nil"/>
              <w:bottom w:val="nil"/>
              <w:right w:val="nil"/>
            </w:tcBorders>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37.96 (193.12)</w:t>
            </w:r>
          </w:p>
        </w:tc>
        <w:tc>
          <w:tcPr>
            <w:tcW w:w="1417" w:type="dxa"/>
            <w:tcBorders>
              <w:top w:val="nil"/>
              <w:left w:val="nil"/>
              <w:bottom w:val="nil"/>
              <w:right w:val="nil"/>
            </w:tcBorders>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90.36 (852.39)</w:t>
            </w:r>
          </w:p>
        </w:tc>
        <w:tc>
          <w:tcPr>
            <w:tcW w:w="1418" w:type="dxa"/>
            <w:tcBorders>
              <w:top w:val="nil"/>
              <w:left w:val="nil"/>
              <w:bottom w:val="nil"/>
              <w:right w:val="nil"/>
            </w:tcBorders>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64.70 (577.00)</w:t>
            </w:r>
          </w:p>
        </w:tc>
        <w:tc>
          <w:tcPr>
            <w:tcW w:w="1873" w:type="dxa"/>
            <w:tcBorders>
              <w:top w:val="nil"/>
              <w:left w:val="nil"/>
              <w:bottom w:val="nil"/>
              <w:right w:val="nil"/>
            </w:tcBorders>
            <w:shd w:val="clear" w:color="auto" w:fill="auto"/>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1,632 (14,844)</w:t>
            </w:r>
          </w:p>
        </w:tc>
        <w:tc>
          <w:tcPr>
            <w:tcW w:w="340" w:type="dxa"/>
            <w:tcBorders>
              <w:top w:val="nil"/>
              <w:left w:val="nil"/>
              <w:bottom w:val="nil"/>
              <w:right w:val="nil"/>
            </w:tcBorders>
          </w:tcPr>
          <w:p w:rsidR="00290788" w:rsidRPr="00290788" w:rsidRDefault="00290788" w:rsidP="0050371B">
            <w:pPr>
              <w:spacing w:line="240" w:lineRule="auto"/>
              <w:rPr>
                <w:rFonts w:cs="Arial"/>
                <w:color w:val="000000"/>
                <w:sz w:val="20"/>
                <w:szCs w:val="20"/>
                <w:lang w:val="en-US"/>
              </w:rPr>
            </w:pPr>
          </w:p>
        </w:tc>
        <w:tc>
          <w:tcPr>
            <w:tcW w:w="1472" w:type="dxa"/>
            <w:tcBorders>
              <w:top w:val="nil"/>
              <w:left w:val="nil"/>
              <w:bottom w:val="nil"/>
              <w:right w:val="nil"/>
            </w:tcBorders>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13.25 (62.58)</w:t>
            </w:r>
          </w:p>
        </w:tc>
        <w:tc>
          <w:tcPr>
            <w:tcW w:w="1418" w:type="dxa"/>
            <w:tcBorders>
              <w:top w:val="nil"/>
              <w:left w:val="nil"/>
              <w:bottom w:val="nil"/>
              <w:right w:val="nil"/>
            </w:tcBorders>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25.16 (98.46)</w:t>
            </w:r>
          </w:p>
        </w:tc>
        <w:tc>
          <w:tcPr>
            <w:tcW w:w="1417" w:type="dxa"/>
            <w:tcBorders>
              <w:top w:val="nil"/>
              <w:left w:val="nil"/>
              <w:bottom w:val="nil"/>
              <w:right w:val="nil"/>
            </w:tcBorders>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13.00 (51.00</w:t>
            </w:r>
          </w:p>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w:t>
            </w:r>
          </w:p>
        </w:tc>
        <w:tc>
          <w:tcPr>
            <w:tcW w:w="1879" w:type="dxa"/>
            <w:tcBorders>
              <w:top w:val="nil"/>
              <w:left w:val="nil"/>
              <w:bottom w:val="nil"/>
              <w:right w:val="nil"/>
            </w:tcBorders>
            <w:shd w:val="clear" w:color="auto" w:fill="auto"/>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482 (1,637)</w:t>
            </w:r>
          </w:p>
        </w:tc>
      </w:tr>
      <w:tr w:rsidR="00290788" w:rsidRPr="00053050" w:rsidTr="0050371B">
        <w:tc>
          <w:tcPr>
            <w:tcW w:w="1984" w:type="dxa"/>
            <w:tcBorders>
              <w:top w:val="nil"/>
              <w:left w:val="nil"/>
              <w:bottom w:val="nil"/>
              <w:right w:val="nil"/>
            </w:tcBorders>
          </w:tcPr>
          <w:p w:rsidR="00290788" w:rsidRPr="00290788" w:rsidRDefault="00290788" w:rsidP="0050371B">
            <w:pPr>
              <w:spacing w:line="240" w:lineRule="auto"/>
              <w:rPr>
                <w:rFonts w:cs="Arial"/>
                <w:b/>
                <w:color w:val="000000"/>
                <w:sz w:val="20"/>
                <w:szCs w:val="20"/>
                <w:lang w:val="en-US"/>
              </w:rPr>
            </w:pPr>
            <w:r w:rsidRPr="00290788">
              <w:rPr>
                <w:rFonts w:cs="Arial"/>
                <w:b/>
                <w:color w:val="000000"/>
                <w:sz w:val="20"/>
                <w:szCs w:val="20"/>
                <w:lang w:val="en-US"/>
              </w:rPr>
              <w:t>Informal care</w:t>
            </w:r>
          </w:p>
          <w:p w:rsidR="00290788" w:rsidRPr="00290788" w:rsidRDefault="00290788" w:rsidP="0050371B">
            <w:pPr>
              <w:spacing w:line="240" w:lineRule="auto"/>
              <w:rPr>
                <w:rFonts w:cs="Arial"/>
                <w:b/>
                <w:color w:val="000000"/>
                <w:sz w:val="20"/>
                <w:szCs w:val="20"/>
                <w:lang w:val="en-US"/>
              </w:rPr>
            </w:pPr>
          </w:p>
        </w:tc>
        <w:tc>
          <w:tcPr>
            <w:tcW w:w="1535" w:type="dxa"/>
            <w:tcBorders>
              <w:top w:val="nil"/>
              <w:left w:val="nil"/>
              <w:bottom w:val="nil"/>
              <w:right w:val="nil"/>
            </w:tcBorders>
          </w:tcPr>
          <w:p w:rsidR="00290788" w:rsidRPr="00290788" w:rsidRDefault="00290788" w:rsidP="0050371B">
            <w:pPr>
              <w:spacing w:line="240" w:lineRule="auto"/>
              <w:rPr>
                <w:rFonts w:cs="Arial"/>
                <w:color w:val="000000"/>
                <w:sz w:val="20"/>
                <w:szCs w:val="20"/>
                <w:lang w:val="en-US"/>
              </w:rPr>
            </w:pPr>
          </w:p>
        </w:tc>
        <w:tc>
          <w:tcPr>
            <w:tcW w:w="1417" w:type="dxa"/>
            <w:tcBorders>
              <w:top w:val="nil"/>
              <w:left w:val="nil"/>
              <w:bottom w:val="nil"/>
              <w:right w:val="nil"/>
            </w:tcBorders>
          </w:tcPr>
          <w:p w:rsidR="00290788" w:rsidRPr="00290788" w:rsidRDefault="00290788" w:rsidP="0050371B">
            <w:pPr>
              <w:spacing w:line="240" w:lineRule="auto"/>
              <w:rPr>
                <w:rFonts w:cs="Arial"/>
                <w:color w:val="000000"/>
                <w:sz w:val="20"/>
                <w:szCs w:val="20"/>
                <w:lang w:val="en-US"/>
              </w:rPr>
            </w:pPr>
          </w:p>
        </w:tc>
        <w:tc>
          <w:tcPr>
            <w:tcW w:w="1418" w:type="dxa"/>
            <w:tcBorders>
              <w:top w:val="nil"/>
              <w:left w:val="nil"/>
              <w:bottom w:val="nil"/>
              <w:right w:val="nil"/>
            </w:tcBorders>
          </w:tcPr>
          <w:p w:rsidR="00290788" w:rsidRPr="00290788" w:rsidRDefault="00290788" w:rsidP="0050371B">
            <w:pPr>
              <w:spacing w:line="240" w:lineRule="auto"/>
              <w:rPr>
                <w:rFonts w:cs="Arial"/>
                <w:color w:val="000000"/>
                <w:sz w:val="20"/>
                <w:szCs w:val="20"/>
                <w:lang w:val="en-US"/>
              </w:rPr>
            </w:pPr>
          </w:p>
        </w:tc>
        <w:tc>
          <w:tcPr>
            <w:tcW w:w="1873" w:type="dxa"/>
            <w:tcBorders>
              <w:top w:val="nil"/>
              <w:left w:val="nil"/>
              <w:bottom w:val="nil"/>
              <w:right w:val="nil"/>
            </w:tcBorders>
            <w:shd w:val="clear" w:color="auto" w:fill="auto"/>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110 (500)</w:t>
            </w:r>
          </w:p>
        </w:tc>
        <w:tc>
          <w:tcPr>
            <w:tcW w:w="340" w:type="dxa"/>
            <w:tcBorders>
              <w:top w:val="nil"/>
              <w:left w:val="nil"/>
              <w:bottom w:val="nil"/>
              <w:right w:val="nil"/>
            </w:tcBorders>
          </w:tcPr>
          <w:p w:rsidR="00290788" w:rsidRPr="00290788" w:rsidRDefault="00290788" w:rsidP="0050371B">
            <w:pPr>
              <w:spacing w:line="240" w:lineRule="auto"/>
              <w:rPr>
                <w:rFonts w:cs="Arial"/>
                <w:color w:val="000000"/>
                <w:sz w:val="20"/>
                <w:szCs w:val="20"/>
                <w:lang w:val="en-US"/>
              </w:rPr>
            </w:pPr>
          </w:p>
        </w:tc>
        <w:tc>
          <w:tcPr>
            <w:tcW w:w="1472" w:type="dxa"/>
            <w:tcBorders>
              <w:top w:val="nil"/>
              <w:left w:val="nil"/>
              <w:bottom w:val="nil"/>
              <w:right w:val="nil"/>
            </w:tcBorders>
          </w:tcPr>
          <w:p w:rsidR="00290788" w:rsidRPr="00290788" w:rsidRDefault="00290788" w:rsidP="0050371B">
            <w:pPr>
              <w:spacing w:line="240" w:lineRule="auto"/>
              <w:rPr>
                <w:rFonts w:cs="Arial"/>
                <w:color w:val="000000"/>
                <w:sz w:val="20"/>
                <w:szCs w:val="20"/>
                <w:lang w:val="en-US"/>
              </w:rPr>
            </w:pPr>
          </w:p>
        </w:tc>
        <w:tc>
          <w:tcPr>
            <w:tcW w:w="1418" w:type="dxa"/>
            <w:tcBorders>
              <w:top w:val="nil"/>
              <w:left w:val="nil"/>
              <w:bottom w:val="nil"/>
              <w:right w:val="nil"/>
            </w:tcBorders>
          </w:tcPr>
          <w:p w:rsidR="00290788" w:rsidRPr="00290788" w:rsidRDefault="00290788" w:rsidP="0050371B">
            <w:pPr>
              <w:spacing w:line="240" w:lineRule="auto"/>
              <w:rPr>
                <w:rFonts w:cs="Arial"/>
                <w:color w:val="000000"/>
                <w:sz w:val="20"/>
                <w:szCs w:val="20"/>
                <w:lang w:val="en-US"/>
              </w:rPr>
            </w:pPr>
          </w:p>
        </w:tc>
        <w:tc>
          <w:tcPr>
            <w:tcW w:w="1417" w:type="dxa"/>
            <w:tcBorders>
              <w:top w:val="nil"/>
              <w:left w:val="nil"/>
              <w:bottom w:val="nil"/>
              <w:right w:val="nil"/>
            </w:tcBorders>
          </w:tcPr>
          <w:p w:rsidR="00290788" w:rsidRPr="00290788" w:rsidRDefault="00290788" w:rsidP="0050371B">
            <w:pPr>
              <w:spacing w:line="240" w:lineRule="auto"/>
              <w:rPr>
                <w:rFonts w:cs="Arial"/>
                <w:color w:val="000000"/>
                <w:sz w:val="20"/>
                <w:szCs w:val="20"/>
                <w:lang w:val="en-US"/>
              </w:rPr>
            </w:pPr>
          </w:p>
        </w:tc>
        <w:tc>
          <w:tcPr>
            <w:tcW w:w="1879" w:type="dxa"/>
            <w:tcBorders>
              <w:top w:val="nil"/>
              <w:left w:val="nil"/>
              <w:bottom w:val="nil"/>
              <w:right w:val="nil"/>
            </w:tcBorders>
            <w:shd w:val="clear" w:color="auto" w:fill="auto"/>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363 (1,391)</w:t>
            </w:r>
          </w:p>
        </w:tc>
      </w:tr>
      <w:tr w:rsidR="00290788" w:rsidRPr="00053050" w:rsidTr="00290788">
        <w:tc>
          <w:tcPr>
            <w:tcW w:w="1984" w:type="dxa"/>
            <w:tcBorders>
              <w:top w:val="nil"/>
              <w:left w:val="nil"/>
              <w:bottom w:val="nil"/>
              <w:right w:val="nil"/>
            </w:tcBorders>
            <w:shd w:val="clear" w:color="auto" w:fill="BFBFBF"/>
          </w:tcPr>
          <w:p w:rsidR="00290788" w:rsidRPr="00290788" w:rsidRDefault="00290788" w:rsidP="0050371B">
            <w:pPr>
              <w:spacing w:line="240" w:lineRule="auto"/>
              <w:rPr>
                <w:rFonts w:cs="Arial"/>
                <w:b/>
                <w:color w:val="000000"/>
                <w:sz w:val="20"/>
                <w:szCs w:val="20"/>
                <w:lang w:val="en-US"/>
              </w:rPr>
            </w:pPr>
            <w:r w:rsidRPr="00290788">
              <w:rPr>
                <w:rFonts w:cs="Arial"/>
                <w:b/>
                <w:color w:val="000000"/>
                <w:sz w:val="20"/>
                <w:szCs w:val="20"/>
                <w:lang w:val="en-US"/>
              </w:rPr>
              <w:t>Sum of direct non-healthcare costs</w:t>
            </w:r>
          </w:p>
          <w:p w:rsidR="00290788" w:rsidRPr="00290788" w:rsidRDefault="00290788" w:rsidP="0050371B">
            <w:pPr>
              <w:spacing w:line="240" w:lineRule="auto"/>
              <w:rPr>
                <w:rFonts w:cs="Arial"/>
                <w:b/>
                <w:color w:val="000000"/>
                <w:sz w:val="20"/>
                <w:szCs w:val="20"/>
                <w:lang w:val="en-US"/>
              </w:rPr>
            </w:pPr>
          </w:p>
        </w:tc>
        <w:tc>
          <w:tcPr>
            <w:tcW w:w="1535" w:type="dxa"/>
            <w:tcBorders>
              <w:top w:val="nil"/>
              <w:left w:val="nil"/>
              <w:bottom w:val="nil"/>
              <w:right w:val="nil"/>
            </w:tcBorders>
            <w:shd w:val="clear" w:color="auto" w:fill="BFBFBF"/>
          </w:tcPr>
          <w:p w:rsidR="00290788" w:rsidRPr="00290788" w:rsidRDefault="00290788" w:rsidP="0050371B">
            <w:pPr>
              <w:spacing w:line="240" w:lineRule="auto"/>
              <w:rPr>
                <w:rFonts w:cs="Arial"/>
                <w:color w:val="000000"/>
                <w:sz w:val="20"/>
                <w:szCs w:val="20"/>
                <w:lang w:val="en-US"/>
              </w:rPr>
            </w:pPr>
          </w:p>
        </w:tc>
        <w:tc>
          <w:tcPr>
            <w:tcW w:w="1417" w:type="dxa"/>
            <w:tcBorders>
              <w:top w:val="nil"/>
              <w:left w:val="nil"/>
              <w:bottom w:val="nil"/>
              <w:right w:val="nil"/>
            </w:tcBorders>
            <w:shd w:val="clear" w:color="auto" w:fill="BFBFBF"/>
          </w:tcPr>
          <w:p w:rsidR="00290788" w:rsidRPr="00290788" w:rsidRDefault="00290788" w:rsidP="0050371B">
            <w:pPr>
              <w:spacing w:line="240" w:lineRule="auto"/>
              <w:rPr>
                <w:rFonts w:cs="Arial"/>
                <w:color w:val="000000"/>
                <w:sz w:val="20"/>
                <w:szCs w:val="20"/>
                <w:lang w:val="en-US"/>
              </w:rPr>
            </w:pPr>
          </w:p>
        </w:tc>
        <w:tc>
          <w:tcPr>
            <w:tcW w:w="1418" w:type="dxa"/>
            <w:tcBorders>
              <w:top w:val="nil"/>
              <w:left w:val="nil"/>
              <w:bottom w:val="nil"/>
              <w:right w:val="nil"/>
            </w:tcBorders>
            <w:shd w:val="clear" w:color="auto" w:fill="BFBFBF"/>
          </w:tcPr>
          <w:p w:rsidR="00290788" w:rsidRPr="00290788" w:rsidRDefault="00290788" w:rsidP="0050371B">
            <w:pPr>
              <w:spacing w:line="240" w:lineRule="auto"/>
              <w:rPr>
                <w:rFonts w:cs="Arial"/>
                <w:color w:val="000000"/>
                <w:sz w:val="20"/>
                <w:szCs w:val="20"/>
                <w:lang w:val="en-US"/>
              </w:rPr>
            </w:pPr>
          </w:p>
        </w:tc>
        <w:tc>
          <w:tcPr>
            <w:tcW w:w="1873" w:type="dxa"/>
            <w:tcBorders>
              <w:top w:val="nil"/>
              <w:left w:val="nil"/>
              <w:bottom w:val="nil"/>
              <w:right w:val="nil"/>
            </w:tcBorders>
            <w:shd w:val="clear" w:color="auto" w:fill="BFBFBF"/>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1,982 (14,927)</w:t>
            </w:r>
          </w:p>
        </w:tc>
        <w:tc>
          <w:tcPr>
            <w:tcW w:w="340" w:type="dxa"/>
            <w:tcBorders>
              <w:top w:val="nil"/>
              <w:left w:val="nil"/>
              <w:bottom w:val="nil"/>
              <w:right w:val="nil"/>
            </w:tcBorders>
            <w:shd w:val="clear" w:color="auto" w:fill="BFBFBF"/>
          </w:tcPr>
          <w:p w:rsidR="00290788" w:rsidRPr="00290788" w:rsidRDefault="00290788" w:rsidP="0050371B">
            <w:pPr>
              <w:spacing w:line="240" w:lineRule="auto"/>
              <w:rPr>
                <w:rFonts w:cs="Arial"/>
                <w:color w:val="000000"/>
                <w:sz w:val="20"/>
                <w:szCs w:val="20"/>
                <w:lang w:val="en-US"/>
              </w:rPr>
            </w:pPr>
          </w:p>
        </w:tc>
        <w:tc>
          <w:tcPr>
            <w:tcW w:w="1472" w:type="dxa"/>
            <w:tcBorders>
              <w:top w:val="nil"/>
              <w:left w:val="nil"/>
              <w:bottom w:val="nil"/>
              <w:right w:val="nil"/>
            </w:tcBorders>
            <w:shd w:val="clear" w:color="auto" w:fill="BFBFBF"/>
          </w:tcPr>
          <w:p w:rsidR="00290788" w:rsidRPr="00290788" w:rsidRDefault="00290788" w:rsidP="0050371B">
            <w:pPr>
              <w:spacing w:line="240" w:lineRule="auto"/>
              <w:rPr>
                <w:rFonts w:cs="Arial"/>
                <w:color w:val="000000"/>
                <w:sz w:val="20"/>
                <w:szCs w:val="20"/>
                <w:lang w:val="en-US"/>
              </w:rPr>
            </w:pPr>
          </w:p>
        </w:tc>
        <w:tc>
          <w:tcPr>
            <w:tcW w:w="1418" w:type="dxa"/>
            <w:tcBorders>
              <w:top w:val="nil"/>
              <w:left w:val="nil"/>
              <w:bottom w:val="nil"/>
              <w:right w:val="nil"/>
            </w:tcBorders>
            <w:shd w:val="clear" w:color="auto" w:fill="BFBFBF"/>
          </w:tcPr>
          <w:p w:rsidR="00290788" w:rsidRPr="00290788" w:rsidRDefault="00290788" w:rsidP="0050371B">
            <w:pPr>
              <w:spacing w:line="240" w:lineRule="auto"/>
              <w:rPr>
                <w:rFonts w:cs="Arial"/>
                <w:color w:val="000000"/>
                <w:sz w:val="20"/>
                <w:szCs w:val="20"/>
                <w:lang w:val="en-US"/>
              </w:rPr>
            </w:pPr>
          </w:p>
        </w:tc>
        <w:tc>
          <w:tcPr>
            <w:tcW w:w="1417" w:type="dxa"/>
            <w:tcBorders>
              <w:top w:val="nil"/>
              <w:left w:val="nil"/>
              <w:bottom w:val="nil"/>
              <w:right w:val="nil"/>
            </w:tcBorders>
            <w:shd w:val="clear" w:color="auto" w:fill="BFBFBF"/>
          </w:tcPr>
          <w:p w:rsidR="00290788" w:rsidRPr="00290788" w:rsidRDefault="00290788" w:rsidP="0050371B">
            <w:pPr>
              <w:spacing w:line="240" w:lineRule="auto"/>
              <w:rPr>
                <w:rFonts w:cs="Arial"/>
                <w:color w:val="000000"/>
                <w:sz w:val="20"/>
                <w:szCs w:val="20"/>
                <w:lang w:val="en-US"/>
              </w:rPr>
            </w:pPr>
          </w:p>
        </w:tc>
        <w:tc>
          <w:tcPr>
            <w:tcW w:w="1879" w:type="dxa"/>
            <w:tcBorders>
              <w:top w:val="nil"/>
              <w:left w:val="nil"/>
              <w:bottom w:val="nil"/>
              <w:right w:val="nil"/>
            </w:tcBorders>
            <w:shd w:val="clear" w:color="auto" w:fill="BFBFBF"/>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1,347 (3,303)</w:t>
            </w:r>
          </w:p>
        </w:tc>
      </w:tr>
      <w:tr w:rsidR="00290788" w:rsidRPr="00CA2C1E" w:rsidTr="0050371B">
        <w:tc>
          <w:tcPr>
            <w:tcW w:w="1984" w:type="dxa"/>
            <w:tcBorders>
              <w:top w:val="nil"/>
              <w:left w:val="nil"/>
              <w:bottom w:val="nil"/>
              <w:right w:val="nil"/>
            </w:tcBorders>
          </w:tcPr>
          <w:p w:rsidR="00290788" w:rsidRPr="00290788" w:rsidRDefault="00290788" w:rsidP="0050371B">
            <w:pPr>
              <w:spacing w:line="240" w:lineRule="auto"/>
              <w:rPr>
                <w:rFonts w:cs="Arial"/>
                <w:b/>
                <w:color w:val="000000"/>
                <w:sz w:val="20"/>
                <w:szCs w:val="20"/>
                <w:lang w:val="en-US"/>
              </w:rPr>
            </w:pPr>
            <w:r w:rsidRPr="00290788">
              <w:rPr>
                <w:rFonts w:cs="Arial"/>
                <w:b/>
                <w:color w:val="000000"/>
                <w:sz w:val="20"/>
                <w:szCs w:val="20"/>
                <w:lang w:val="en-US"/>
              </w:rPr>
              <w:t xml:space="preserve">Sum of total costs </w:t>
            </w:r>
          </w:p>
          <w:p w:rsidR="00290788" w:rsidRPr="00290788" w:rsidRDefault="00290788" w:rsidP="0050371B">
            <w:pPr>
              <w:spacing w:line="240" w:lineRule="auto"/>
              <w:rPr>
                <w:rFonts w:cs="Arial"/>
                <w:b/>
                <w:color w:val="000000"/>
                <w:sz w:val="20"/>
                <w:szCs w:val="20"/>
                <w:lang w:val="en-US"/>
              </w:rPr>
            </w:pPr>
          </w:p>
        </w:tc>
        <w:tc>
          <w:tcPr>
            <w:tcW w:w="1535" w:type="dxa"/>
            <w:tcBorders>
              <w:top w:val="nil"/>
              <w:left w:val="nil"/>
              <w:bottom w:val="nil"/>
              <w:right w:val="nil"/>
            </w:tcBorders>
          </w:tcPr>
          <w:p w:rsidR="00290788" w:rsidRPr="00290788" w:rsidRDefault="00290788" w:rsidP="0050371B">
            <w:pPr>
              <w:spacing w:line="240" w:lineRule="auto"/>
              <w:rPr>
                <w:rFonts w:cs="Arial"/>
                <w:color w:val="000000"/>
                <w:sz w:val="20"/>
                <w:szCs w:val="20"/>
                <w:lang w:val="en-US"/>
              </w:rPr>
            </w:pPr>
          </w:p>
        </w:tc>
        <w:tc>
          <w:tcPr>
            <w:tcW w:w="1417" w:type="dxa"/>
            <w:tcBorders>
              <w:top w:val="nil"/>
              <w:left w:val="nil"/>
              <w:bottom w:val="nil"/>
              <w:right w:val="nil"/>
            </w:tcBorders>
          </w:tcPr>
          <w:p w:rsidR="00290788" w:rsidRPr="00290788" w:rsidRDefault="00290788" w:rsidP="0050371B">
            <w:pPr>
              <w:spacing w:line="240" w:lineRule="auto"/>
              <w:rPr>
                <w:rFonts w:cs="Arial"/>
                <w:color w:val="000000"/>
                <w:sz w:val="20"/>
                <w:szCs w:val="20"/>
                <w:lang w:val="en-US"/>
              </w:rPr>
            </w:pPr>
          </w:p>
        </w:tc>
        <w:tc>
          <w:tcPr>
            <w:tcW w:w="1418" w:type="dxa"/>
            <w:tcBorders>
              <w:top w:val="nil"/>
              <w:left w:val="nil"/>
              <w:bottom w:val="nil"/>
              <w:right w:val="nil"/>
            </w:tcBorders>
          </w:tcPr>
          <w:p w:rsidR="00290788" w:rsidRPr="00290788" w:rsidRDefault="00290788" w:rsidP="0050371B">
            <w:pPr>
              <w:spacing w:line="240" w:lineRule="auto"/>
              <w:rPr>
                <w:rFonts w:cs="Arial"/>
                <w:color w:val="000000"/>
                <w:sz w:val="20"/>
                <w:szCs w:val="20"/>
                <w:lang w:val="en-US"/>
              </w:rPr>
            </w:pPr>
          </w:p>
        </w:tc>
        <w:tc>
          <w:tcPr>
            <w:tcW w:w="1873" w:type="dxa"/>
            <w:tcBorders>
              <w:top w:val="nil"/>
              <w:left w:val="nil"/>
              <w:bottom w:val="nil"/>
              <w:right w:val="nil"/>
            </w:tcBorders>
            <w:shd w:val="clear" w:color="auto" w:fill="auto"/>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18,819 (23,256)</w:t>
            </w:r>
          </w:p>
        </w:tc>
        <w:tc>
          <w:tcPr>
            <w:tcW w:w="340" w:type="dxa"/>
            <w:tcBorders>
              <w:top w:val="nil"/>
              <w:left w:val="nil"/>
              <w:bottom w:val="nil"/>
              <w:right w:val="nil"/>
            </w:tcBorders>
          </w:tcPr>
          <w:p w:rsidR="00290788" w:rsidRPr="00290788" w:rsidRDefault="00290788" w:rsidP="0050371B">
            <w:pPr>
              <w:spacing w:line="240" w:lineRule="auto"/>
              <w:rPr>
                <w:rFonts w:cs="Arial"/>
                <w:color w:val="000000"/>
                <w:sz w:val="20"/>
                <w:szCs w:val="20"/>
              </w:rPr>
            </w:pPr>
          </w:p>
        </w:tc>
        <w:tc>
          <w:tcPr>
            <w:tcW w:w="1472" w:type="dxa"/>
            <w:tcBorders>
              <w:top w:val="nil"/>
              <w:left w:val="nil"/>
              <w:bottom w:val="nil"/>
              <w:right w:val="nil"/>
            </w:tcBorders>
            <w:shd w:val="clear" w:color="auto" w:fill="auto"/>
          </w:tcPr>
          <w:p w:rsidR="00290788" w:rsidRPr="00290788" w:rsidRDefault="00290788" w:rsidP="0050371B">
            <w:pPr>
              <w:spacing w:line="240" w:lineRule="auto"/>
              <w:rPr>
                <w:rFonts w:cs="Arial"/>
                <w:color w:val="000000"/>
                <w:sz w:val="20"/>
                <w:szCs w:val="20"/>
              </w:rPr>
            </w:pPr>
          </w:p>
        </w:tc>
        <w:tc>
          <w:tcPr>
            <w:tcW w:w="1418" w:type="dxa"/>
            <w:tcBorders>
              <w:top w:val="nil"/>
              <w:left w:val="nil"/>
              <w:bottom w:val="nil"/>
              <w:right w:val="nil"/>
            </w:tcBorders>
          </w:tcPr>
          <w:p w:rsidR="00290788" w:rsidRPr="00290788" w:rsidRDefault="00290788" w:rsidP="0050371B">
            <w:pPr>
              <w:spacing w:line="240" w:lineRule="auto"/>
              <w:rPr>
                <w:rFonts w:cs="Arial"/>
                <w:color w:val="000000"/>
                <w:sz w:val="20"/>
                <w:szCs w:val="20"/>
              </w:rPr>
            </w:pPr>
          </w:p>
        </w:tc>
        <w:tc>
          <w:tcPr>
            <w:tcW w:w="1417" w:type="dxa"/>
            <w:tcBorders>
              <w:top w:val="nil"/>
              <w:left w:val="nil"/>
              <w:bottom w:val="nil"/>
              <w:right w:val="nil"/>
            </w:tcBorders>
          </w:tcPr>
          <w:p w:rsidR="00290788" w:rsidRPr="00290788" w:rsidRDefault="00290788" w:rsidP="0050371B">
            <w:pPr>
              <w:spacing w:line="240" w:lineRule="auto"/>
              <w:rPr>
                <w:rFonts w:cs="Arial"/>
                <w:color w:val="000000"/>
                <w:sz w:val="20"/>
                <w:szCs w:val="20"/>
              </w:rPr>
            </w:pPr>
          </w:p>
        </w:tc>
        <w:tc>
          <w:tcPr>
            <w:tcW w:w="1879" w:type="dxa"/>
            <w:tcBorders>
              <w:top w:val="nil"/>
              <w:left w:val="nil"/>
              <w:bottom w:val="nil"/>
              <w:right w:val="nil"/>
            </w:tcBorders>
            <w:shd w:val="clear" w:color="auto" w:fill="auto"/>
          </w:tcPr>
          <w:p w:rsidR="00290788" w:rsidRPr="00290788" w:rsidRDefault="00290788" w:rsidP="0050371B">
            <w:pPr>
              <w:spacing w:line="240" w:lineRule="auto"/>
              <w:rPr>
                <w:rFonts w:cs="Arial"/>
                <w:color w:val="000000"/>
                <w:sz w:val="20"/>
                <w:szCs w:val="20"/>
                <w:lang w:val="en-US"/>
              </w:rPr>
            </w:pPr>
            <w:r w:rsidRPr="00290788">
              <w:rPr>
                <w:rFonts w:cs="Arial"/>
                <w:color w:val="000000"/>
                <w:sz w:val="20"/>
                <w:szCs w:val="20"/>
                <w:lang w:val="en-US"/>
              </w:rPr>
              <w:t>22,008 (24,166)</w:t>
            </w:r>
          </w:p>
        </w:tc>
      </w:tr>
    </w:tbl>
    <w:p w:rsidR="00290788" w:rsidRDefault="00290788" w:rsidP="00F27646">
      <w:pPr>
        <w:rPr>
          <w:rFonts w:cs="Arial"/>
          <w:szCs w:val="20"/>
          <w:lang w:val="en-US"/>
        </w:rPr>
      </w:pPr>
    </w:p>
    <w:p w:rsidR="00290788" w:rsidRDefault="00290788" w:rsidP="00F27646">
      <w:pPr>
        <w:rPr>
          <w:rFonts w:cs="Arial"/>
          <w:szCs w:val="20"/>
          <w:lang w:val="en-US"/>
        </w:rPr>
      </w:pPr>
    </w:p>
    <w:p w:rsidR="00290788" w:rsidRDefault="00290788" w:rsidP="00F27646">
      <w:pPr>
        <w:rPr>
          <w:rFonts w:cs="Arial"/>
          <w:szCs w:val="20"/>
          <w:lang w:val="en-US"/>
        </w:rPr>
        <w:sectPr w:rsidR="00290788" w:rsidSect="00290788">
          <w:pgSz w:w="16838" w:h="11906" w:orient="landscape"/>
          <w:pgMar w:top="1440" w:right="1440" w:bottom="1440" w:left="1440" w:header="708" w:footer="708" w:gutter="0"/>
          <w:cols w:space="708"/>
          <w:docGrid w:linePitch="360"/>
        </w:sectPr>
      </w:pPr>
    </w:p>
    <w:p w:rsidR="00D60E9F" w:rsidRPr="00F27646" w:rsidRDefault="00D60E9F" w:rsidP="00F27646">
      <w:pPr>
        <w:rPr>
          <w:rFonts w:cs="Arial"/>
          <w:szCs w:val="20"/>
          <w:lang w:val="en-US"/>
        </w:rPr>
      </w:pPr>
    </w:p>
    <w:p w:rsidR="00F27646" w:rsidRPr="00F27646" w:rsidRDefault="00F27646" w:rsidP="00F27646">
      <w:pPr>
        <w:pStyle w:val="berschrift1"/>
        <w:rPr>
          <w:lang w:val="en-US"/>
        </w:rPr>
      </w:pPr>
      <w:r w:rsidRPr="00F27646">
        <w:rPr>
          <w:lang w:val="en-US"/>
        </w:rPr>
        <w:t>3.3</w:t>
      </w:r>
      <w:r w:rsidRPr="00F27646">
        <w:rPr>
          <w:lang w:val="en-US"/>
        </w:rPr>
        <w:tab/>
        <w:t>Cost-effectiveness</w:t>
      </w:r>
    </w:p>
    <w:p w:rsidR="00F27646" w:rsidRPr="00F27646" w:rsidRDefault="00F27646" w:rsidP="00F27646">
      <w:pPr>
        <w:rPr>
          <w:rFonts w:cs="Arial"/>
          <w:szCs w:val="20"/>
          <w:lang w:val="en-US"/>
        </w:rPr>
      </w:pPr>
      <w:r w:rsidRPr="00F27646">
        <w:rPr>
          <w:rFonts w:cs="Arial"/>
          <w:szCs w:val="20"/>
          <w:lang w:val="en-US"/>
        </w:rPr>
        <w:t>As costs were lower (–€2,576; p=0.2968) and QALYs were higher (+0.0295; p=0.7568) in the intervention group and differences remained stable after applying a discount rate of 3%, no ICER was calculated (40). The corresponding CE plane (Figure 2a) plots differences in mean total costs on the vertical axis and differences in mean QALYs on the horizontal axis for each of the 1000 bootstrap resamples. Fifty three percent of the bootstrap observations were located in the south east</w:t>
      </w:r>
      <w:r w:rsidR="00A63284">
        <w:rPr>
          <w:rFonts w:cs="Arial"/>
          <w:szCs w:val="20"/>
          <w:lang w:val="en-US"/>
        </w:rPr>
        <w:t xml:space="preserve"> (SE) quadrant of the CE plane.</w:t>
      </w:r>
    </w:p>
    <w:p w:rsidR="00F27646" w:rsidRPr="00F27646" w:rsidRDefault="00F27646" w:rsidP="00F27646">
      <w:pPr>
        <w:rPr>
          <w:rFonts w:cs="Arial"/>
          <w:szCs w:val="20"/>
          <w:lang w:val="en-US"/>
        </w:rPr>
      </w:pPr>
      <w:r w:rsidRPr="00F27646">
        <w:rPr>
          <w:rFonts w:cs="Arial"/>
          <w:szCs w:val="20"/>
          <w:lang w:val="en-US"/>
        </w:rPr>
        <w:t>The sensitivity analysis using adjusted life years based on patients’ self-rated health states also showed that case management was associated with higher effects (0.1332 VAS-ALs; p=0.0912) and lower costs (–€2,576; p=0.2968) and 78% of bootstrap samples were located in the SE quadrant (Figure 2b).</w:t>
      </w:r>
    </w:p>
    <w:p w:rsidR="00F27646" w:rsidRPr="00F27646" w:rsidRDefault="00F27646" w:rsidP="00F27646">
      <w:pPr>
        <w:rPr>
          <w:rFonts w:cs="Arial"/>
          <w:szCs w:val="20"/>
          <w:lang w:val="en-US"/>
        </w:rPr>
      </w:pPr>
      <w:r w:rsidRPr="00F27646">
        <w:rPr>
          <w:rFonts w:cs="Arial"/>
          <w:szCs w:val="20"/>
          <w:lang w:val="en-US"/>
        </w:rPr>
        <w:t>The resulting CEAC is a decreasing function so it does not asymptote to 1 (Figure 3a). This means that 84% of the density involves cost saving (cut point of the y-axis) but only 62% of the density involves health gains (asymptote) and 38 % involves health losses. As a consequence, the probability of acceptable cost-effectiveness of the case management was 84% at a WTP of €0 per QALY. The probability in the case of applying the method of self-rating was 81% at a WTP of €0 per VAS-AL, increasing to 95% at a WTP of €24,290 per VAS-AL (Figure 3b). Discounting did not alter probabilities at a WTP of €0 and probability of 95% was reached at a WTP of €26,690 per VAS-AL.</w:t>
      </w:r>
    </w:p>
    <w:p w:rsidR="00F27646" w:rsidRPr="00F27646" w:rsidRDefault="00F27646" w:rsidP="00F27646">
      <w:pPr>
        <w:rPr>
          <w:rFonts w:cs="Arial"/>
          <w:szCs w:val="20"/>
          <w:lang w:val="en-US"/>
        </w:rPr>
      </w:pPr>
      <w:r w:rsidRPr="00F27646">
        <w:rPr>
          <w:rFonts w:cs="Arial"/>
          <w:szCs w:val="20"/>
          <w:lang w:val="en-US"/>
        </w:rPr>
        <w:t>After applying a multiple imputation approach, the probability of acceptable cost-effectiveness at a WTP of €0 per QALY and per VAS-AL, respectively, was 91% and was not influenced by discounting; at a WTP of €8,400 per VAS-AL and €8,640 with discounting, respectively, the probability was 95%.</w:t>
      </w:r>
    </w:p>
    <w:p w:rsidR="00F27646" w:rsidRPr="00F27646" w:rsidRDefault="00F27646" w:rsidP="00F27646">
      <w:pPr>
        <w:rPr>
          <w:rFonts w:cs="Arial"/>
          <w:szCs w:val="20"/>
          <w:lang w:val="en-US"/>
        </w:rPr>
      </w:pPr>
    </w:p>
    <w:p w:rsidR="00F27646" w:rsidRDefault="00F27646" w:rsidP="00F27646">
      <w:pPr>
        <w:rPr>
          <w:rFonts w:cs="Arial"/>
          <w:szCs w:val="20"/>
          <w:lang w:val="en-US"/>
        </w:rPr>
      </w:pPr>
      <w:r w:rsidRPr="00F27646">
        <w:rPr>
          <w:rFonts w:cs="Arial"/>
          <w:szCs w:val="20"/>
          <w:lang w:val="en-US"/>
        </w:rPr>
        <w:t>Insert Figure 2 (a+b)</w:t>
      </w:r>
    </w:p>
    <w:p w:rsidR="00E74CD0" w:rsidRPr="00FB0BC2" w:rsidRDefault="00E74CD0" w:rsidP="00E74CD0">
      <w:pPr>
        <w:rPr>
          <w:rFonts w:cs="Arial"/>
          <w:szCs w:val="20"/>
          <w:lang w:val="en-US"/>
        </w:rPr>
      </w:pPr>
      <w:r w:rsidRPr="00FB0BC2">
        <w:rPr>
          <w:rFonts w:cs="Arial"/>
          <w:b/>
          <w:szCs w:val="20"/>
          <w:lang w:val="en-US"/>
        </w:rPr>
        <w:t>Fig 2</w:t>
      </w:r>
      <w:r w:rsidRPr="00FB0BC2">
        <w:rPr>
          <w:rFonts w:cs="Arial"/>
          <w:szCs w:val="20"/>
          <w:lang w:val="en-US"/>
        </w:rPr>
        <w:t xml:space="preserve"> Cost-effectiveness planes; a: Costs and QALYs; b:</w:t>
      </w:r>
      <w:r>
        <w:rPr>
          <w:rFonts w:cs="Arial"/>
          <w:szCs w:val="20"/>
          <w:lang w:val="en-US"/>
        </w:rPr>
        <w:t>Sensitivity analysis of</w:t>
      </w:r>
      <w:r w:rsidRPr="00FB0BC2">
        <w:rPr>
          <w:rFonts w:cs="Arial"/>
          <w:szCs w:val="20"/>
          <w:lang w:val="en-US"/>
        </w:rPr>
        <w:t xml:space="preserve"> Costs and VAS-ALs; QALY, quality-adjusted life year using the EQ-5D Index based on German population tariff and time </w:t>
      </w:r>
      <w:r w:rsidRPr="00FB0BC2">
        <w:rPr>
          <w:rFonts w:cs="Arial"/>
          <w:szCs w:val="20"/>
          <w:lang w:val="en-US"/>
        </w:rPr>
        <w:lastRenderedPageBreak/>
        <w:t>trade-off scoring</w:t>
      </w:r>
      <w:r>
        <w:rPr>
          <w:rFonts w:cs="Arial"/>
          <w:szCs w:val="20"/>
          <w:lang w:val="en-US"/>
        </w:rPr>
        <w:t xml:space="preserve"> (27)</w:t>
      </w:r>
      <w:r w:rsidRPr="00FB0BC2">
        <w:rPr>
          <w:rFonts w:cs="Arial"/>
          <w:szCs w:val="20"/>
          <w:lang w:val="en-US"/>
        </w:rPr>
        <w:t>; VAS-AL, quality-adjusted life year using patients’ EQ VAS score (self-rated health)</w:t>
      </w:r>
    </w:p>
    <w:p w:rsidR="00E74CD0" w:rsidRPr="00C26200" w:rsidRDefault="00A73E03" w:rsidP="00E74CD0">
      <w:pPr>
        <w:rPr>
          <w:lang w:val="en-US"/>
        </w:rPr>
      </w:pPr>
      <w:r>
        <w:rPr>
          <w:noProof/>
          <w:lang w:eastAsia="de-DE"/>
        </w:rPr>
        <w:drawing>
          <wp:inline distT="0" distB="0" distL="0" distR="0">
            <wp:extent cx="4958715" cy="7420610"/>
            <wp:effectExtent l="0" t="0" r="0" b="8890"/>
            <wp:docPr id="2" name="Bild 2" descr="Cost-effectivenss pla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st-effectivenss plan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8715" cy="7420610"/>
                    </a:xfrm>
                    <a:prstGeom prst="rect">
                      <a:avLst/>
                    </a:prstGeom>
                    <a:noFill/>
                    <a:ln>
                      <a:noFill/>
                    </a:ln>
                  </pic:spPr>
                </pic:pic>
              </a:graphicData>
            </a:graphic>
          </wp:inline>
        </w:drawing>
      </w:r>
    </w:p>
    <w:p w:rsidR="00E74CD0" w:rsidRPr="00F27646" w:rsidRDefault="00E74CD0" w:rsidP="00F27646">
      <w:pPr>
        <w:rPr>
          <w:rFonts w:cs="Arial"/>
          <w:szCs w:val="20"/>
          <w:lang w:val="en-US"/>
        </w:rPr>
      </w:pPr>
    </w:p>
    <w:p w:rsidR="00F27646" w:rsidRPr="00F27646" w:rsidRDefault="00F27646" w:rsidP="00F27646">
      <w:pPr>
        <w:rPr>
          <w:rFonts w:cs="Arial"/>
          <w:szCs w:val="20"/>
          <w:lang w:val="en-US"/>
        </w:rPr>
      </w:pPr>
      <w:r w:rsidRPr="00F27646">
        <w:rPr>
          <w:rFonts w:cs="Arial"/>
          <w:szCs w:val="20"/>
          <w:lang w:val="en-US"/>
        </w:rPr>
        <w:lastRenderedPageBreak/>
        <w:t>Insert Figure 3 (a+b)</w:t>
      </w:r>
    </w:p>
    <w:p w:rsidR="00FA4706" w:rsidRPr="00E96923" w:rsidRDefault="00FA4706" w:rsidP="00FA4706">
      <w:pPr>
        <w:rPr>
          <w:rFonts w:cs="Arial"/>
          <w:szCs w:val="20"/>
          <w:lang w:val="en-US"/>
        </w:rPr>
      </w:pPr>
      <w:r w:rsidRPr="00E96923">
        <w:rPr>
          <w:rFonts w:cs="Arial"/>
          <w:b/>
          <w:szCs w:val="20"/>
          <w:lang w:val="en-US"/>
        </w:rPr>
        <w:t>Fig. 3</w:t>
      </w:r>
      <w:r w:rsidRPr="00E96923">
        <w:rPr>
          <w:rFonts w:cs="Arial"/>
          <w:szCs w:val="20"/>
          <w:lang w:val="en-US"/>
        </w:rPr>
        <w:t xml:space="preserve"> Cost-effectiveness acceptability curves (CEAC); a: </w:t>
      </w:r>
      <w:r w:rsidRPr="00E96923">
        <w:rPr>
          <w:rFonts w:cs="Arial"/>
          <w:bCs/>
          <w:szCs w:val="20"/>
          <w:lang w:val="en-US"/>
        </w:rPr>
        <w:t>CEAC QALY; b:</w:t>
      </w:r>
      <w:r>
        <w:rPr>
          <w:rFonts w:cs="Arial"/>
          <w:bCs/>
          <w:szCs w:val="20"/>
          <w:lang w:val="en-US"/>
        </w:rPr>
        <w:t xml:space="preserve"> Sensitivity analysis of</w:t>
      </w:r>
      <w:r w:rsidRPr="00E96923">
        <w:rPr>
          <w:rFonts w:cs="Arial"/>
          <w:bCs/>
          <w:szCs w:val="20"/>
          <w:lang w:val="en-US"/>
        </w:rPr>
        <w:t xml:space="preserve"> CEAC VAS-ALs; </w:t>
      </w:r>
      <w:r w:rsidRPr="00E96923">
        <w:rPr>
          <w:rFonts w:cs="Arial"/>
          <w:szCs w:val="20"/>
          <w:lang w:val="en-US"/>
        </w:rPr>
        <w:t>QALY, quality-adjusted life year using the EQ-5D Index based on German population tariff and time trade-off scoring</w:t>
      </w:r>
      <w:r>
        <w:rPr>
          <w:rFonts w:cs="Arial"/>
          <w:szCs w:val="20"/>
          <w:lang w:val="en-US"/>
        </w:rPr>
        <w:t xml:space="preserve"> (27)</w:t>
      </w:r>
      <w:r w:rsidRPr="00E96923">
        <w:rPr>
          <w:rFonts w:cs="Arial"/>
          <w:szCs w:val="20"/>
          <w:lang w:val="en-US"/>
        </w:rPr>
        <w:t>; VAS-AL, quality-adjusted life year using patients’ EQ VAS score (self-rated health)</w:t>
      </w:r>
    </w:p>
    <w:p w:rsidR="00F27646" w:rsidRPr="00F27646" w:rsidRDefault="00A73E03" w:rsidP="00FA4706">
      <w:pPr>
        <w:rPr>
          <w:rFonts w:cs="Arial"/>
          <w:szCs w:val="20"/>
          <w:lang w:val="en-US"/>
        </w:rPr>
      </w:pPr>
      <w:r>
        <w:rPr>
          <w:noProof/>
          <w:lang w:eastAsia="de-DE"/>
        </w:rPr>
        <w:lastRenderedPageBreak/>
        <w:drawing>
          <wp:inline distT="0" distB="0" distL="0" distR="0">
            <wp:extent cx="4782820" cy="7183120"/>
            <wp:effectExtent l="0" t="0" r="0" b="0"/>
            <wp:docPr id="3" name="Bild 3" descr="accepatibility cur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cepatibility curv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82820" cy="7183120"/>
                    </a:xfrm>
                    <a:prstGeom prst="rect">
                      <a:avLst/>
                    </a:prstGeom>
                    <a:noFill/>
                    <a:ln>
                      <a:noFill/>
                    </a:ln>
                  </pic:spPr>
                </pic:pic>
              </a:graphicData>
            </a:graphic>
          </wp:inline>
        </w:drawing>
      </w:r>
    </w:p>
    <w:p w:rsidR="00F27646" w:rsidRPr="00F27646" w:rsidRDefault="00F27646" w:rsidP="00F27646">
      <w:pPr>
        <w:pStyle w:val="berschrift1"/>
        <w:rPr>
          <w:lang w:val="en-US"/>
        </w:rPr>
      </w:pPr>
      <w:r w:rsidRPr="00F27646">
        <w:rPr>
          <w:lang w:val="en-US"/>
        </w:rPr>
        <w:t>4</w:t>
      </w:r>
      <w:r w:rsidRPr="00F27646">
        <w:rPr>
          <w:lang w:val="en-US"/>
        </w:rPr>
        <w:tab/>
        <w:t>Discussion</w:t>
      </w:r>
    </w:p>
    <w:p w:rsidR="00F27646" w:rsidRPr="00F27646" w:rsidRDefault="00F27646" w:rsidP="00F27646">
      <w:pPr>
        <w:rPr>
          <w:rFonts w:cs="Arial"/>
          <w:szCs w:val="20"/>
          <w:lang w:val="en-US"/>
        </w:rPr>
      </w:pPr>
      <w:r w:rsidRPr="00F27646">
        <w:rPr>
          <w:rFonts w:cs="Arial"/>
          <w:szCs w:val="20"/>
          <w:lang w:val="en-US"/>
        </w:rPr>
        <w:t xml:space="preserve">This study compared the costs and effects of a case management intervention by trained nurses in elderly patients suffering from AMI with usual care over a time horizon of three years. The primary effect measure in the economic evaluation was QALYs constructed using population-based EQ-5D-3L </w:t>
      </w:r>
      <w:r w:rsidRPr="00F27646">
        <w:rPr>
          <w:rFonts w:cs="Arial"/>
          <w:szCs w:val="20"/>
          <w:lang w:val="en-US"/>
        </w:rPr>
        <w:lastRenderedPageBreak/>
        <w:t>utilities which ensures comparability to other studies. To assess the sensitivity of results to different health state valuation methods, we also constructed adjusted life years with patients’ self-rated health as expressed by the VAS score (46). Both methods indicated quality adjusted life year gains, whether or not discounting. Within the first year, results varied depending on health state valuation methods: applying the QALY concept, case management indicated quality adjusted life year losses; using VAS-AL, case management indicated quality adjusted life year gains (13). The reason behind this could be that the case management, as a complex intervention, improved domains within the first year that are not fully reflected in EQ-5D-3L or the sensitivity of the EQ-5D-3L was not sufficient to detect improvements. In the intervention group, 10 participants died in the first three months after discharge before having any contact with the study nurse so that their early deaths should be regarded as random since the intervention is unlikely to be the reason for. In the further course of the study the number of decedents were balanced and increased in the control group in third year. The combination of early deaths in the intervention group and the delayed positive effect on EQ-5D utilities led to QALY losses within the first year. Moreover, it brought about insignificance of QALY gains and led to QALY losses in 38 %, respectively after third year.</w:t>
      </w:r>
    </w:p>
    <w:p w:rsidR="00F27646" w:rsidRPr="00F27646" w:rsidRDefault="00F27646" w:rsidP="00F27646">
      <w:pPr>
        <w:rPr>
          <w:rFonts w:cs="Arial"/>
          <w:szCs w:val="20"/>
          <w:lang w:val="en-US"/>
        </w:rPr>
      </w:pPr>
      <w:r w:rsidRPr="00F27646">
        <w:rPr>
          <w:rFonts w:cs="Arial"/>
          <w:szCs w:val="20"/>
          <w:lang w:val="en-US"/>
        </w:rPr>
        <w:t>The secondary outcomes both in terms of EQ-5D-3L utilities and VAS scores among survivors showed a significantly higher health state in the intervention group after 3 years. The positive effect on EQ-5D-3L utilities (0.104) can be regarded as important since the minimally important difference (MID) for patients with AMI was 0.089 (47). Compared with the results of the 1-year follow-up, the positive effect increased and became significant regarding EQ-5D utilities and maintained regarding VAS scores, respectively after three years. This could indicate that, as also found in another study (48), VAS scores are more sensitive in heart patients and thus revealed improvements</w:t>
      </w:r>
      <w:r w:rsidR="00A63284">
        <w:rPr>
          <w:rFonts w:cs="Arial"/>
          <w:szCs w:val="20"/>
          <w:lang w:val="en-US"/>
        </w:rPr>
        <w:t>,</w:t>
      </w:r>
      <w:r w:rsidRPr="00F27646">
        <w:rPr>
          <w:rFonts w:cs="Arial"/>
          <w:szCs w:val="20"/>
          <w:lang w:val="en-US"/>
        </w:rPr>
        <w:t xml:space="preserve"> which are not covered by EQ-5D utilities in early stages but later on. In the 1-year follow-up</w:t>
      </w:r>
      <w:r w:rsidR="00A63284">
        <w:rPr>
          <w:rFonts w:cs="Arial"/>
          <w:szCs w:val="20"/>
          <w:lang w:val="en-US"/>
        </w:rPr>
        <w:t>,</w:t>
      </w:r>
      <w:r w:rsidRPr="00F27646">
        <w:rPr>
          <w:rFonts w:cs="Arial"/>
          <w:szCs w:val="20"/>
          <w:lang w:val="en-US"/>
        </w:rPr>
        <w:t xml:space="preserve"> we assumed that VAS scores could only reflect an adaption process rather than a better health but this could not be confirmed. Regardless of VAS scores, EQ-5D utilities only became significant in the long run. In contrast, significant intervention effects could be shown within the first year for functional status and for malnutrition risk</w:t>
      </w:r>
      <w:r w:rsidR="00A63284">
        <w:rPr>
          <w:rFonts w:cs="Arial"/>
          <w:szCs w:val="20"/>
          <w:lang w:val="en-US"/>
        </w:rPr>
        <w:t>,</w:t>
      </w:r>
      <w:r w:rsidRPr="00F27646">
        <w:rPr>
          <w:rFonts w:cs="Arial"/>
          <w:szCs w:val="20"/>
          <w:lang w:val="en-US"/>
        </w:rPr>
        <w:t xml:space="preserve"> which maintained after the 3-year follow-up intervention (10, 49). It is conceivable that improvements in functional status were subsequently translated into higher utility scores.</w:t>
      </w:r>
    </w:p>
    <w:p w:rsidR="00F27646" w:rsidRPr="00F27646" w:rsidRDefault="00F27646" w:rsidP="00F27646">
      <w:pPr>
        <w:rPr>
          <w:rFonts w:cs="Arial"/>
          <w:szCs w:val="20"/>
          <w:lang w:val="en-US"/>
        </w:rPr>
      </w:pPr>
      <w:r w:rsidRPr="00F27646">
        <w:rPr>
          <w:rFonts w:cs="Arial"/>
          <w:szCs w:val="20"/>
          <w:lang w:val="en-US"/>
        </w:rPr>
        <w:lastRenderedPageBreak/>
        <w:t>Direct costs were mainly driven by hospitalisation and were lower in the intervention group (–€3,189). Only costs of paid household work were higher in the intervention group (€1.150) but, at baseline, a difference already existed in the use of paid household help (13.5% in the intervention group vs.8% in the control group). All cost differences were not significant. Similar cost differences already emerged within the first year. There were lower direct costs at an altitude of €1.072 and higher costs of paid household work (€388). It became obvious that cost differences increased linear. In case of differences continuing in this way, it can be assumed that differences would become significant in longer follow-up. Economic evaluations almost always are piggy back analyses which are embedded in clinical trials. Therefore, low power is a common problem in economic evaluation since sample size calculation is oriented towards clinical main outcome rather than to detect differences in costs or QALYs (50). Due to high variance of cost data, very large differences or study samples are needed to achieve significant results.</w:t>
      </w:r>
    </w:p>
    <w:p w:rsidR="00F27646" w:rsidRPr="00F27646" w:rsidRDefault="00F27646" w:rsidP="00F27646">
      <w:pPr>
        <w:rPr>
          <w:rFonts w:cs="Arial"/>
          <w:szCs w:val="20"/>
          <w:lang w:val="en-US"/>
        </w:rPr>
      </w:pPr>
      <w:r w:rsidRPr="00F27646">
        <w:rPr>
          <w:rFonts w:cs="Arial"/>
          <w:szCs w:val="20"/>
          <w:lang w:val="en-US"/>
        </w:rPr>
        <w:t>However, the results also could be affected concerning the lower costs in the intervention group because costs were set to 0 from the day of death. For that reason, we analysed the mean costs per day survived which showed no difference (€34.66 in the intervention and €34.03 in the control group) although costs during the last year of life usually are higher than those for nonterminal years (51).</w:t>
      </w:r>
    </w:p>
    <w:p w:rsidR="00F27646" w:rsidRPr="00F27646" w:rsidRDefault="00F27646" w:rsidP="00F27646">
      <w:pPr>
        <w:rPr>
          <w:rFonts w:cs="Arial"/>
          <w:szCs w:val="20"/>
          <w:lang w:val="en-US"/>
        </w:rPr>
      </w:pPr>
      <w:r w:rsidRPr="00F27646">
        <w:rPr>
          <w:rFonts w:cs="Arial"/>
          <w:szCs w:val="20"/>
          <w:lang w:val="en-US"/>
        </w:rPr>
        <w:t>A limitation of our study is the single centre design</w:t>
      </w:r>
      <w:r w:rsidR="00A63284">
        <w:rPr>
          <w:rFonts w:cs="Arial"/>
          <w:szCs w:val="20"/>
          <w:lang w:val="en-US"/>
        </w:rPr>
        <w:t>,</w:t>
      </w:r>
      <w:r w:rsidRPr="00F27646">
        <w:rPr>
          <w:rFonts w:cs="Arial"/>
          <w:szCs w:val="20"/>
          <w:lang w:val="en-US"/>
        </w:rPr>
        <w:t xml:space="preserve"> which restricts generalisation to other population characteristics and health care structures. Furthermore, 92 of the 636 patients assessed for eligibility declined to participate before randomisation and 60 withdrew consent after randomisation. Patients refusing participation (n=92) were, on average, 2 years younger than participants but did not differ with respect to gender and comorbidities. If there were additional systematic differences, the external validity of our findings may be affected. As 60 patients withdrew consent, we applied a missing value imputation approach by including subjects who withdrew consent or were lost to follow-up during the three-year study period. The resulting estimation of probability of cost-effectiveness of the case management remained stable so that our results can be considered to be robust with respect to attrition.</w:t>
      </w:r>
    </w:p>
    <w:p w:rsidR="00F27646" w:rsidRPr="00F27646" w:rsidRDefault="00F27646" w:rsidP="00F27646">
      <w:pPr>
        <w:rPr>
          <w:rFonts w:cs="Arial"/>
          <w:szCs w:val="20"/>
          <w:lang w:val="en-US"/>
        </w:rPr>
      </w:pPr>
      <w:r w:rsidRPr="00F27646">
        <w:rPr>
          <w:rFonts w:cs="Arial"/>
          <w:szCs w:val="20"/>
          <w:lang w:val="en-US"/>
        </w:rPr>
        <w:t xml:space="preserve">Strengths of the study include its randomised design, the inclusion of different valuation perspectives with regard to quality of life impacts and thorough cost collection. For the last, all hospital admissions were validated in order to reduce recall bias. Resource use was not limited to disease-related </w:t>
      </w:r>
      <w:r w:rsidRPr="00F27646">
        <w:rPr>
          <w:rFonts w:cs="Arial"/>
          <w:szCs w:val="20"/>
          <w:lang w:val="en-US"/>
        </w:rPr>
        <w:lastRenderedPageBreak/>
        <w:t>services but broadly defined, thus taking into account that case management is a complex intervention. Moreover, the follow up period of three years is suited to detect long-term cost-effectiveness of case management programme in elderly people with an AMI.</w:t>
      </w:r>
    </w:p>
    <w:p w:rsidR="00F27646" w:rsidRPr="00F27646" w:rsidRDefault="00F27646" w:rsidP="00F27646">
      <w:pPr>
        <w:rPr>
          <w:rFonts w:cs="Arial"/>
          <w:szCs w:val="20"/>
          <w:lang w:val="en-US"/>
        </w:rPr>
      </w:pPr>
      <w:r w:rsidRPr="00F27646">
        <w:rPr>
          <w:rFonts w:cs="Arial"/>
          <w:szCs w:val="20"/>
          <w:lang w:val="en-US"/>
        </w:rPr>
        <w:t>To our knowledge, no cost-effectiveness study has yet been conducted to evaluate a case management programme in elderly patients with AMI after hospital discharge. Several nurse-led intervention programmes focused on patients younger than 65 years or were tailored to patients with heart failure so that the generalisation to higher age groups or to patients discharged after an acute cardiac event cannot be ensured. For patients with CHD, there is only one study on cost-effectiveness with a follow up period of 4 years (14) and two studies covering a period of 1 year (15, 16). In the 4 year follow-up study, Raftery et al. (Scotland) (14) observed no difference in costs but differences in QALYs (+0.124 QALYs, ICER: €1,590/QALY). They also reported non-significantly lower costs for hospital admissions in the intervention group. Compared to the KORINNA study, the intervention took place in clinics, the study participants were almost 9 years younger and only cardiac-related resource use data were collected so that estimated total costs are not comparable to our study.</w:t>
      </w:r>
    </w:p>
    <w:p w:rsidR="00F27646" w:rsidRPr="00F27646" w:rsidRDefault="00F27646" w:rsidP="00F27646">
      <w:pPr>
        <w:pStyle w:val="berschrift1"/>
        <w:rPr>
          <w:lang w:val="en-US"/>
        </w:rPr>
      </w:pPr>
      <w:r w:rsidRPr="00F27646">
        <w:rPr>
          <w:lang w:val="en-US"/>
        </w:rPr>
        <w:t>5</w:t>
      </w:r>
      <w:r w:rsidRPr="00F27646">
        <w:rPr>
          <w:lang w:val="en-US"/>
        </w:rPr>
        <w:tab/>
        <w:t>Conclusion</w:t>
      </w:r>
    </w:p>
    <w:p w:rsidR="00F27646" w:rsidRPr="00F27646" w:rsidRDefault="00F27646" w:rsidP="00F27646">
      <w:pPr>
        <w:rPr>
          <w:rFonts w:cs="Arial"/>
          <w:szCs w:val="20"/>
          <w:lang w:val="en-US"/>
        </w:rPr>
      </w:pPr>
      <w:r w:rsidRPr="00F27646">
        <w:rPr>
          <w:rFonts w:cs="Arial"/>
          <w:szCs w:val="20"/>
          <w:lang w:val="en-US"/>
        </w:rPr>
        <w:t>The case management KORINNA was cost neutral and led to an important and significant improvement in health status among survivors. It was associated with higher QALYs and lower costs within a time horizon of three years but the differences in costs and QALYs were not statistically significant.</w:t>
      </w:r>
    </w:p>
    <w:p w:rsidR="00F27646" w:rsidRPr="00F27646" w:rsidRDefault="00F27646" w:rsidP="00F27646">
      <w:pPr>
        <w:rPr>
          <w:rFonts w:cs="Arial"/>
          <w:szCs w:val="20"/>
          <w:lang w:val="en-US"/>
        </w:rPr>
      </w:pPr>
    </w:p>
    <w:p w:rsidR="00F27646" w:rsidRPr="00F27646" w:rsidRDefault="009433FE" w:rsidP="00F27646">
      <w:pPr>
        <w:rPr>
          <w:rFonts w:cs="Arial"/>
          <w:szCs w:val="20"/>
          <w:lang w:val="en-US"/>
        </w:rPr>
      </w:pPr>
      <w:r>
        <w:rPr>
          <w:rFonts w:cs="Arial"/>
          <w:szCs w:val="20"/>
          <w:lang w:val="en-US"/>
        </w:rPr>
        <w:br w:type="page"/>
      </w:r>
    </w:p>
    <w:p w:rsidR="00F27646" w:rsidRPr="00F27646" w:rsidRDefault="00F27646" w:rsidP="00F27646">
      <w:pPr>
        <w:pStyle w:val="berschrift1"/>
        <w:rPr>
          <w:lang w:val="en-US"/>
        </w:rPr>
      </w:pPr>
      <w:r w:rsidRPr="00F27646">
        <w:rPr>
          <w:lang w:val="en-US"/>
        </w:rPr>
        <w:t>References</w:t>
      </w:r>
    </w:p>
    <w:p w:rsidR="00F27646" w:rsidRPr="00F27646" w:rsidRDefault="00F27646" w:rsidP="00F27646">
      <w:pPr>
        <w:rPr>
          <w:rFonts w:cs="Arial"/>
          <w:szCs w:val="20"/>
          <w:lang w:val="en-US"/>
        </w:rPr>
      </w:pPr>
      <w:r w:rsidRPr="00F27646">
        <w:rPr>
          <w:rFonts w:cs="Arial"/>
          <w:szCs w:val="20"/>
          <w:lang w:val="en-US"/>
        </w:rPr>
        <w:t>1.</w:t>
      </w:r>
      <w:r w:rsidRPr="00F27646">
        <w:rPr>
          <w:rFonts w:cs="Arial"/>
          <w:szCs w:val="20"/>
          <w:lang w:val="en-US"/>
        </w:rPr>
        <w:tab/>
        <w:t>World Health Organization. The top 10 causes of death http://who.int/mediacentre/factsheets/fs310/en/ [Accessed May 26, 2015].</w:t>
      </w:r>
    </w:p>
    <w:p w:rsidR="00F27646" w:rsidRPr="00F27646" w:rsidRDefault="00F27646" w:rsidP="00F27646">
      <w:pPr>
        <w:rPr>
          <w:rFonts w:cs="Arial"/>
          <w:szCs w:val="20"/>
          <w:lang w:val="en-US"/>
        </w:rPr>
      </w:pPr>
      <w:r w:rsidRPr="00F27646">
        <w:rPr>
          <w:rFonts w:cs="Arial"/>
          <w:szCs w:val="20"/>
          <w:lang w:val="en-US"/>
        </w:rPr>
        <w:t>2.</w:t>
      </w:r>
      <w:r w:rsidRPr="00F27646">
        <w:rPr>
          <w:rFonts w:cs="Arial"/>
          <w:szCs w:val="20"/>
          <w:lang w:val="en-US"/>
        </w:rPr>
        <w:tab/>
        <w:t>Piepoli MF, Corra U, Benzer W, et al. Secondary prevention through cardiac rehabilitation: from knowledge to implementation. A position paper from the Cardiac Rehabilitation Section of the European Association of Cardiovascular Prevention and Rehabilitation. Eur J Cardiovasc Prev Rehabil. 2010; 17: 1-17.</w:t>
      </w:r>
    </w:p>
    <w:p w:rsidR="00F27646" w:rsidRPr="00F27646" w:rsidRDefault="00F27646" w:rsidP="00F27646">
      <w:pPr>
        <w:rPr>
          <w:rFonts w:cs="Arial"/>
          <w:szCs w:val="20"/>
          <w:lang w:val="en-US"/>
        </w:rPr>
      </w:pPr>
      <w:r w:rsidRPr="00F27646">
        <w:rPr>
          <w:rFonts w:cs="Arial"/>
          <w:szCs w:val="20"/>
          <w:lang w:val="en-US"/>
        </w:rPr>
        <w:t>3.</w:t>
      </w:r>
      <w:r w:rsidRPr="00F27646">
        <w:rPr>
          <w:rFonts w:cs="Arial"/>
          <w:szCs w:val="20"/>
          <w:lang w:val="en-US"/>
        </w:rPr>
        <w:tab/>
        <w:t>Kotseva K, Wood D, De Backer G, et al. Use and effects of cardiac rehabilitation in patients with coronary heart disease: results from the EUROASPIRE III survey. European journal of preventive cardiology. 2013; 20: 817-26.</w:t>
      </w:r>
    </w:p>
    <w:p w:rsidR="00F27646" w:rsidRPr="00F27646" w:rsidRDefault="00F27646" w:rsidP="00F27646">
      <w:pPr>
        <w:rPr>
          <w:rFonts w:cs="Arial"/>
          <w:szCs w:val="20"/>
          <w:lang w:val="en-US"/>
        </w:rPr>
      </w:pPr>
      <w:r w:rsidRPr="00F27646">
        <w:rPr>
          <w:rFonts w:cs="Arial"/>
          <w:szCs w:val="20"/>
          <w:lang w:val="en-US"/>
        </w:rPr>
        <w:t>4.</w:t>
      </w:r>
      <w:r w:rsidRPr="00F27646">
        <w:rPr>
          <w:rFonts w:cs="Arial"/>
          <w:szCs w:val="20"/>
          <w:lang w:val="en-US"/>
        </w:rPr>
        <w:tab/>
        <w:t>Clark AM, Haykowsky M, Kryworuchko J, et al. A meta-analysis of randomized control trials of home-based secondary prevention programs for coronary artery disease. Eur J Cardiovasc Prev Rehabil. 2010; 17: 261-70.</w:t>
      </w:r>
    </w:p>
    <w:p w:rsidR="00F27646" w:rsidRPr="00F27646" w:rsidRDefault="00F27646" w:rsidP="00F27646">
      <w:pPr>
        <w:rPr>
          <w:rFonts w:cs="Arial"/>
          <w:szCs w:val="20"/>
          <w:lang w:val="en-US"/>
        </w:rPr>
      </w:pPr>
      <w:r w:rsidRPr="00F27646">
        <w:rPr>
          <w:rFonts w:cs="Arial"/>
          <w:szCs w:val="20"/>
          <w:lang w:val="en-US"/>
        </w:rPr>
        <w:t>5.</w:t>
      </w:r>
      <w:r w:rsidRPr="00F27646">
        <w:rPr>
          <w:rFonts w:cs="Arial"/>
          <w:szCs w:val="20"/>
          <w:lang w:val="en-US"/>
        </w:rPr>
        <w:tab/>
        <w:t>Fleg JL, Forman DE, Berra K, et al. Secondary prevention of atherosclerotic cardiovascular disease in older adults: a scientific statement from the American Heart Association. Circulation. 2013; 128: 2422-46.</w:t>
      </w:r>
    </w:p>
    <w:p w:rsidR="00F27646" w:rsidRPr="00F27646" w:rsidRDefault="00F27646" w:rsidP="00F27646">
      <w:pPr>
        <w:rPr>
          <w:rFonts w:cs="Arial"/>
          <w:szCs w:val="20"/>
          <w:lang w:val="en-US"/>
        </w:rPr>
      </w:pPr>
      <w:r w:rsidRPr="00F27646">
        <w:rPr>
          <w:rFonts w:cs="Arial"/>
          <w:szCs w:val="20"/>
          <w:lang w:val="en-US"/>
        </w:rPr>
        <w:t>6.</w:t>
      </w:r>
      <w:r w:rsidRPr="00F27646">
        <w:rPr>
          <w:rFonts w:cs="Arial"/>
          <w:szCs w:val="20"/>
          <w:lang w:val="en-US"/>
        </w:rPr>
        <w:tab/>
        <w:t>McAlister FA, Lawson FM, Teo KK, et al. A systematic review of randomized trials of disease management programs in heart failure. Am J Med. 2001; 110: 378-84.</w:t>
      </w:r>
    </w:p>
    <w:p w:rsidR="00F27646" w:rsidRPr="00F27646" w:rsidRDefault="00F27646" w:rsidP="00F27646">
      <w:pPr>
        <w:rPr>
          <w:rFonts w:cs="Arial"/>
          <w:szCs w:val="20"/>
          <w:lang w:val="en-US"/>
        </w:rPr>
      </w:pPr>
      <w:r w:rsidRPr="00F27646">
        <w:rPr>
          <w:rFonts w:cs="Arial"/>
          <w:szCs w:val="20"/>
          <w:lang w:val="en-US"/>
        </w:rPr>
        <w:t>7.</w:t>
      </w:r>
      <w:r w:rsidRPr="00F27646">
        <w:rPr>
          <w:rFonts w:cs="Arial"/>
          <w:szCs w:val="20"/>
          <w:lang w:val="en-US"/>
        </w:rPr>
        <w:tab/>
        <w:t>Schadewaldt V, Schultz T. Nurse-led clinics as an effective service for cardiac patients: results from a systematic review. International Journal of Evidence-Based Healthcare. 2011; 9: 199-214.</w:t>
      </w:r>
    </w:p>
    <w:p w:rsidR="00F27646" w:rsidRPr="00F27646" w:rsidRDefault="00F27646" w:rsidP="00F27646">
      <w:pPr>
        <w:rPr>
          <w:rFonts w:cs="Arial"/>
          <w:szCs w:val="20"/>
        </w:rPr>
      </w:pPr>
      <w:r w:rsidRPr="00F27646">
        <w:rPr>
          <w:rFonts w:cs="Arial"/>
          <w:szCs w:val="20"/>
          <w:lang w:val="en-US"/>
        </w:rPr>
        <w:t>8.</w:t>
      </w:r>
      <w:r w:rsidRPr="00F27646">
        <w:rPr>
          <w:rFonts w:cs="Arial"/>
          <w:szCs w:val="20"/>
          <w:lang w:val="en-US"/>
        </w:rPr>
        <w:tab/>
        <w:t xml:space="preserve">Stolic S, Mitchell M, Wollin J. Nurse-led telephone interventions for people with cardiac disease: a review of the research literature. </w:t>
      </w:r>
      <w:r w:rsidRPr="00F27646">
        <w:rPr>
          <w:rFonts w:cs="Arial"/>
          <w:szCs w:val="20"/>
        </w:rPr>
        <w:t>Eur J Cardiovasc Nurs. 2010; 9: 203-17.</w:t>
      </w:r>
    </w:p>
    <w:p w:rsidR="00F27646" w:rsidRPr="00F27646" w:rsidRDefault="00F27646" w:rsidP="00F27646">
      <w:pPr>
        <w:rPr>
          <w:rFonts w:cs="Arial"/>
          <w:szCs w:val="20"/>
        </w:rPr>
      </w:pPr>
      <w:r w:rsidRPr="00F27646">
        <w:rPr>
          <w:rFonts w:cs="Arial"/>
          <w:szCs w:val="20"/>
        </w:rPr>
        <w:lastRenderedPageBreak/>
        <w:t>9.</w:t>
      </w:r>
      <w:r w:rsidRPr="00F27646">
        <w:rPr>
          <w:rFonts w:cs="Arial"/>
          <w:szCs w:val="20"/>
        </w:rPr>
        <w:tab/>
        <w:t xml:space="preserve">Kirchberger I, Meisinger C, Seidl H, et al. </w:t>
      </w:r>
      <w:r w:rsidRPr="00F27646">
        <w:rPr>
          <w:rFonts w:cs="Arial"/>
          <w:szCs w:val="20"/>
          <w:lang w:val="en-US"/>
        </w:rPr>
        <w:t xml:space="preserve">Nurse-based case management for aged patients with myocardial infarction: study protocol of a randomized controlled trial. </w:t>
      </w:r>
      <w:r w:rsidRPr="00F27646">
        <w:rPr>
          <w:rFonts w:cs="Arial"/>
          <w:szCs w:val="20"/>
        </w:rPr>
        <w:t>BMC geriatrics. 2010; 10: 29.</w:t>
      </w:r>
    </w:p>
    <w:p w:rsidR="00F27646" w:rsidRPr="00F27646" w:rsidRDefault="00F27646" w:rsidP="00F27646">
      <w:pPr>
        <w:rPr>
          <w:rFonts w:cs="Arial"/>
          <w:szCs w:val="20"/>
        </w:rPr>
      </w:pPr>
      <w:r w:rsidRPr="00F27646">
        <w:rPr>
          <w:rFonts w:cs="Arial"/>
          <w:szCs w:val="20"/>
        </w:rPr>
        <w:t>10.</w:t>
      </w:r>
      <w:r w:rsidRPr="00F27646">
        <w:rPr>
          <w:rFonts w:cs="Arial"/>
          <w:szCs w:val="20"/>
        </w:rPr>
        <w:tab/>
        <w:t xml:space="preserve">Kirchberger I, Hunger M, Stollenwerk B, et al. </w:t>
      </w:r>
      <w:r w:rsidRPr="00F27646">
        <w:rPr>
          <w:rFonts w:cs="Arial"/>
          <w:szCs w:val="20"/>
          <w:lang w:val="en-US"/>
        </w:rPr>
        <w:t xml:space="preserve">Effects of a 3-year nurse-based case management in aged patients with acute myocardial infarction on rehospitalisation, mortality, risk factors, physical functioning and mental health. a secondary analysis of the randomized controlled KORINNA study. </w:t>
      </w:r>
      <w:r w:rsidRPr="00F27646">
        <w:rPr>
          <w:rFonts w:cs="Arial"/>
          <w:szCs w:val="20"/>
        </w:rPr>
        <w:t>PLoS One. 2015; 10: e0116693.</w:t>
      </w:r>
    </w:p>
    <w:p w:rsidR="00F27646" w:rsidRPr="00F27646" w:rsidRDefault="00F27646" w:rsidP="00F27646">
      <w:pPr>
        <w:rPr>
          <w:rFonts w:cs="Arial"/>
          <w:szCs w:val="20"/>
        </w:rPr>
      </w:pPr>
      <w:r w:rsidRPr="00F27646">
        <w:rPr>
          <w:rFonts w:cs="Arial"/>
          <w:szCs w:val="20"/>
        </w:rPr>
        <w:t>11.</w:t>
      </w:r>
      <w:r w:rsidRPr="00F27646">
        <w:rPr>
          <w:rFonts w:cs="Arial"/>
          <w:szCs w:val="20"/>
        </w:rPr>
        <w:tab/>
        <w:t xml:space="preserve">Meisinger C, Stollenwerk B, Kirchberger I, et al. </w:t>
      </w:r>
      <w:r w:rsidRPr="00F27646">
        <w:rPr>
          <w:rFonts w:cs="Arial"/>
          <w:szCs w:val="20"/>
          <w:lang w:val="en-US"/>
        </w:rPr>
        <w:t xml:space="preserve">Effects of a nurse-based case management compared to usual care among aged patients with myocardial infarction: results from the randomized controlled KORINNA study. </w:t>
      </w:r>
      <w:r w:rsidRPr="00F27646">
        <w:rPr>
          <w:rFonts w:cs="Arial"/>
          <w:szCs w:val="20"/>
        </w:rPr>
        <w:t>BMC Geriatr. 2013; 13: 115.</w:t>
      </w:r>
    </w:p>
    <w:p w:rsidR="00F27646" w:rsidRPr="00F27646" w:rsidRDefault="00F27646" w:rsidP="00F27646">
      <w:pPr>
        <w:rPr>
          <w:rFonts w:cs="Arial"/>
          <w:szCs w:val="20"/>
          <w:lang w:val="en-US"/>
        </w:rPr>
      </w:pPr>
      <w:r w:rsidRPr="00F27646">
        <w:rPr>
          <w:rFonts w:cs="Arial"/>
          <w:szCs w:val="20"/>
        </w:rPr>
        <w:t>12.</w:t>
      </w:r>
      <w:r w:rsidRPr="00F27646">
        <w:rPr>
          <w:rFonts w:cs="Arial"/>
          <w:szCs w:val="20"/>
        </w:rPr>
        <w:tab/>
        <w:t xml:space="preserve">Hunger M, Kirchberger I, Holle R, et al. </w:t>
      </w:r>
      <w:r w:rsidRPr="00F27646">
        <w:rPr>
          <w:rFonts w:cs="Arial"/>
          <w:szCs w:val="20"/>
          <w:lang w:val="en-US"/>
        </w:rPr>
        <w:t>Does nurse-based case management for aged myocardial infarction patients improve risk factors, physical functioning and mental health? The KORINNA trial. European journal of preventive cardiology. 2014.</w:t>
      </w:r>
    </w:p>
    <w:p w:rsidR="00F27646" w:rsidRPr="00F27646" w:rsidRDefault="00F27646" w:rsidP="00F27646">
      <w:pPr>
        <w:rPr>
          <w:rFonts w:cs="Arial"/>
          <w:szCs w:val="20"/>
          <w:lang w:val="en-US"/>
        </w:rPr>
      </w:pPr>
      <w:r w:rsidRPr="00643F67">
        <w:rPr>
          <w:rFonts w:cs="Arial"/>
          <w:szCs w:val="20"/>
        </w:rPr>
        <w:t>13.</w:t>
      </w:r>
      <w:r w:rsidRPr="00643F67">
        <w:rPr>
          <w:rFonts w:cs="Arial"/>
          <w:szCs w:val="20"/>
        </w:rPr>
        <w:tab/>
        <w:t xml:space="preserve">Seidl H, Hunger M, Leidl R, et al. </w:t>
      </w:r>
      <w:r w:rsidRPr="00F27646">
        <w:rPr>
          <w:rFonts w:cs="Arial"/>
          <w:szCs w:val="20"/>
          <w:lang w:val="en-US"/>
        </w:rPr>
        <w:t>Cost-effectiveness of nurse-based case management versus usual care for elderly patients with myocardial infarction: results from the KORINNA study. Eur J Health Econ. 2014.</w:t>
      </w:r>
    </w:p>
    <w:p w:rsidR="00F27646" w:rsidRPr="00F27646" w:rsidRDefault="00F27646" w:rsidP="00F27646">
      <w:pPr>
        <w:rPr>
          <w:rFonts w:cs="Arial"/>
          <w:szCs w:val="20"/>
          <w:lang w:val="en-US"/>
        </w:rPr>
      </w:pPr>
      <w:r w:rsidRPr="00F27646">
        <w:rPr>
          <w:rFonts w:cs="Arial"/>
          <w:szCs w:val="20"/>
          <w:lang w:val="en-US"/>
        </w:rPr>
        <w:t>14.</w:t>
      </w:r>
      <w:r w:rsidRPr="00F27646">
        <w:rPr>
          <w:rFonts w:cs="Arial"/>
          <w:szCs w:val="20"/>
          <w:lang w:val="en-US"/>
        </w:rPr>
        <w:tab/>
        <w:t>Raftery JP, Yao GL, Murchie P, et al. Cost effectiveness of nurse led secondary prevention clinics for coronary heart disease in primary care: follow up of a randomised controlled trial. BMJ. 2005; 330: 707.</w:t>
      </w:r>
    </w:p>
    <w:p w:rsidR="00F27646" w:rsidRPr="00F27646" w:rsidRDefault="00F27646" w:rsidP="00F27646">
      <w:pPr>
        <w:rPr>
          <w:rFonts w:cs="Arial"/>
          <w:szCs w:val="20"/>
          <w:lang w:val="en-US"/>
        </w:rPr>
      </w:pPr>
      <w:r w:rsidRPr="00F27646">
        <w:rPr>
          <w:rFonts w:cs="Arial"/>
          <w:szCs w:val="20"/>
          <w:lang w:val="en-US"/>
        </w:rPr>
        <w:t>15.</w:t>
      </w:r>
      <w:r w:rsidRPr="00F27646">
        <w:rPr>
          <w:rFonts w:cs="Arial"/>
          <w:szCs w:val="20"/>
          <w:lang w:val="en-US"/>
        </w:rPr>
        <w:tab/>
        <w:t>Turkstra E, Hawkes AL, Oldenburg B, et al. Cost-effectiveness of a coronary heart disease secondary prevention program in patients with myocardial infarction: results from a randomised controlled trial (ProActive Heart). BMC Cardiovasc Disord. 2013; 13: 33.</w:t>
      </w:r>
    </w:p>
    <w:p w:rsidR="00F27646" w:rsidRPr="00F27646" w:rsidRDefault="00F27646" w:rsidP="00F27646">
      <w:pPr>
        <w:rPr>
          <w:rFonts w:cs="Arial"/>
          <w:szCs w:val="20"/>
          <w:lang w:val="en-US"/>
        </w:rPr>
      </w:pPr>
      <w:r w:rsidRPr="00F27646">
        <w:rPr>
          <w:rFonts w:cs="Arial"/>
          <w:szCs w:val="20"/>
          <w:lang w:val="en-US"/>
        </w:rPr>
        <w:t>16.</w:t>
      </w:r>
      <w:r w:rsidRPr="00F27646">
        <w:rPr>
          <w:rFonts w:cs="Arial"/>
          <w:szCs w:val="20"/>
          <w:lang w:val="en-US"/>
        </w:rPr>
        <w:tab/>
        <w:t>Turner DA, Paul S, Stone MA, et al. Cost-effectiveness of a disease management programme for secondary prevention of coronary heart disease and heart failure in primary care. Heart. 2008; 94: 1601-6.</w:t>
      </w:r>
    </w:p>
    <w:p w:rsidR="00F27646" w:rsidRPr="00F27646" w:rsidRDefault="00F27646" w:rsidP="00F27646">
      <w:pPr>
        <w:rPr>
          <w:rFonts w:cs="Arial"/>
          <w:szCs w:val="20"/>
          <w:lang w:val="en-US"/>
        </w:rPr>
      </w:pPr>
      <w:r w:rsidRPr="00F27646">
        <w:rPr>
          <w:rFonts w:cs="Arial"/>
          <w:szCs w:val="20"/>
          <w:lang w:val="en-US"/>
        </w:rPr>
        <w:t>17.</w:t>
      </w:r>
      <w:r w:rsidRPr="00F27646">
        <w:rPr>
          <w:rFonts w:cs="Arial"/>
          <w:szCs w:val="20"/>
          <w:lang w:val="en-US"/>
        </w:rPr>
        <w:tab/>
        <w:t>Hebert PL, Sisk JE, Wang JJ, et al. Cost-effectiveness of nurse-led disease management for heart failure in an ethnically diverse urban community. Ann Intern Med. 2008; 149: 540-8.</w:t>
      </w:r>
    </w:p>
    <w:p w:rsidR="00F27646" w:rsidRPr="00F27646" w:rsidRDefault="00F27646" w:rsidP="00F27646">
      <w:pPr>
        <w:rPr>
          <w:rFonts w:cs="Arial"/>
          <w:szCs w:val="20"/>
          <w:lang w:val="en-US"/>
        </w:rPr>
      </w:pPr>
      <w:r w:rsidRPr="00F27646">
        <w:rPr>
          <w:rFonts w:cs="Arial"/>
          <w:szCs w:val="20"/>
          <w:lang w:val="en-US"/>
        </w:rPr>
        <w:lastRenderedPageBreak/>
        <w:t>18.</w:t>
      </w:r>
      <w:r w:rsidRPr="00F27646">
        <w:rPr>
          <w:rFonts w:cs="Arial"/>
          <w:szCs w:val="20"/>
          <w:lang w:val="en-US"/>
        </w:rPr>
        <w:tab/>
        <w:t>Mejia A, Richardson G, Pattenden J, et al. Cost-effectiveness of a nurse facilitated, cognitive behavioural self-management programme compared with usual care using a CBT manual alone for patients with heart failure: secondary analysis of data from the SEMAPHFOR trial. Int J Nurs Stud. 2014; 51: 1214-20.</w:t>
      </w:r>
    </w:p>
    <w:p w:rsidR="00F27646" w:rsidRPr="00F27646" w:rsidRDefault="00F27646" w:rsidP="00F27646">
      <w:pPr>
        <w:rPr>
          <w:rFonts w:cs="Arial"/>
          <w:szCs w:val="20"/>
          <w:lang w:val="en-US"/>
        </w:rPr>
      </w:pPr>
      <w:r w:rsidRPr="00F27646">
        <w:rPr>
          <w:rFonts w:cs="Arial"/>
          <w:szCs w:val="20"/>
          <w:lang w:val="en-US"/>
        </w:rPr>
        <w:t>19.</w:t>
      </w:r>
      <w:r w:rsidRPr="00F27646">
        <w:rPr>
          <w:rFonts w:cs="Arial"/>
          <w:szCs w:val="20"/>
          <w:lang w:val="en-US"/>
        </w:rPr>
        <w:tab/>
        <w:t>Neumann A, Mostardt S, Biermann J, et al. Cost-effectiveness and cost-utility of a structured collaborative disease management in the Interdisciplinary Network for Heart Failure (INH) study. Clinical research in cardiology : official journal of the German Cardiac Society. 2015; 104: 304-9.</w:t>
      </w:r>
    </w:p>
    <w:p w:rsidR="00F27646" w:rsidRPr="00F27646" w:rsidRDefault="00F27646" w:rsidP="00F27646">
      <w:pPr>
        <w:rPr>
          <w:rFonts w:cs="Arial"/>
          <w:szCs w:val="20"/>
          <w:lang w:val="en-US"/>
        </w:rPr>
      </w:pPr>
      <w:r w:rsidRPr="00F27646">
        <w:rPr>
          <w:rFonts w:cs="Arial"/>
          <w:szCs w:val="20"/>
          <w:lang w:val="en-US"/>
        </w:rPr>
        <w:t>20.</w:t>
      </w:r>
      <w:r w:rsidRPr="00F27646">
        <w:rPr>
          <w:rFonts w:cs="Arial"/>
          <w:szCs w:val="20"/>
          <w:lang w:val="en-US"/>
        </w:rPr>
        <w:tab/>
        <w:t>Postmus D, Pari AA, Jaarsma T, et al. A trial-based economic evaluation of 2 nurse-led disease management programs in heart failure. Am Heart J. 2011; 162: 1096-104.</w:t>
      </w:r>
    </w:p>
    <w:p w:rsidR="00F27646" w:rsidRPr="00F27646" w:rsidRDefault="00F27646" w:rsidP="00F27646">
      <w:pPr>
        <w:rPr>
          <w:rFonts w:cs="Arial"/>
          <w:szCs w:val="20"/>
          <w:lang w:val="en-US"/>
        </w:rPr>
      </w:pPr>
      <w:r w:rsidRPr="00F27646">
        <w:rPr>
          <w:rFonts w:cs="Arial"/>
          <w:szCs w:val="20"/>
          <w:lang w:val="en-US"/>
        </w:rPr>
        <w:t>21.</w:t>
      </w:r>
      <w:r w:rsidRPr="00F27646">
        <w:rPr>
          <w:rFonts w:cs="Arial"/>
          <w:szCs w:val="20"/>
          <w:lang w:val="en-US"/>
        </w:rPr>
        <w:tab/>
        <w:t>Smith B, Hughes-Cromwick PF, Forkner E, et al. Cost-effectiveness of telephonic disease management in heart failure. Am J Manag Care. 2008; 14: 106-15.</w:t>
      </w:r>
    </w:p>
    <w:p w:rsidR="00F27646" w:rsidRPr="00F27646" w:rsidRDefault="00F27646" w:rsidP="00F27646">
      <w:pPr>
        <w:rPr>
          <w:rFonts w:cs="Arial"/>
          <w:szCs w:val="20"/>
          <w:lang w:val="en-US"/>
        </w:rPr>
      </w:pPr>
      <w:r w:rsidRPr="00F27646">
        <w:rPr>
          <w:rFonts w:cs="Arial"/>
          <w:szCs w:val="20"/>
          <w:lang w:val="en-US"/>
        </w:rPr>
        <w:t>22.</w:t>
      </w:r>
      <w:r w:rsidRPr="00F27646">
        <w:rPr>
          <w:rFonts w:cs="Arial"/>
          <w:szCs w:val="20"/>
          <w:lang w:val="en-US"/>
        </w:rPr>
        <w:tab/>
        <w:t>Schad M, John J. Towards a social discount rate for the economic evaluation of health technologies in Germany: an exploratory analysis. Eur J Health Econ. 2012; 13: 127-44.</w:t>
      </w:r>
    </w:p>
    <w:p w:rsidR="00F27646" w:rsidRPr="00F27646" w:rsidRDefault="00F27646" w:rsidP="00F27646">
      <w:pPr>
        <w:rPr>
          <w:rFonts w:cs="Arial"/>
          <w:szCs w:val="20"/>
          <w:lang w:val="en-US"/>
        </w:rPr>
      </w:pPr>
      <w:r w:rsidRPr="00F27646">
        <w:rPr>
          <w:rFonts w:cs="Arial"/>
          <w:szCs w:val="20"/>
          <w:lang w:val="en-US"/>
        </w:rPr>
        <w:t>23.</w:t>
      </w:r>
      <w:r w:rsidRPr="00F27646">
        <w:rPr>
          <w:rFonts w:cs="Arial"/>
          <w:szCs w:val="20"/>
          <w:lang w:val="en-US"/>
        </w:rPr>
        <w:tab/>
        <w:t>Stark R, Kirchberger I, Hunger M, et al. Improving care of post-infarct patients: effects of disease management programmes and care according to international guidelines. Clinical research in cardiology : official journal of the German Cardiac Society. 2014; 103: 237-45.</w:t>
      </w:r>
    </w:p>
    <w:p w:rsidR="00F27646" w:rsidRPr="00F27646" w:rsidRDefault="00F27646" w:rsidP="00F27646">
      <w:pPr>
        <w:rPr>
          <w:rFonts w:cs="Arial"/>
          <w:szCs w:val="20"/>
          <w:lang w:val="en-US"/>
        </w:rPr>
      </w:pPr>
      <w:r w:rsidRPr="00F27646">
        <w:rPr>
          <w:rFonts w:cs="Arial"/>
          <w:szCs w:val="20"/>
          <w:lang w:val="en-US"/>
        </w:rPr>
        <w:t>24.</w:t>
      </w:r>
      <w:r w:rsidRPr="00F27646">
        <w:rPr>
          <w:rFonts w:cs="Arial"/>
          <w:szCs w:val="20"/>
          <w:lang w:val="en-US"/>
        </w:rPr>
        <w:tab/>
        <w:t>Russell K, Freeman A, Blue L, et al. A Blueprint for Identifying and Managing Patients within a Heart Failure Service. Second Edition ed. London: BMJ Publishing Group, 2004.</w:t>
      </w:r>
    </w:p>
    <w:p w:rsidR="00F27646" w:rsidRPr="00F27646" w:rsidRDefault="00F27646" w:rsidP="00F27646">
      <w:pPr>
        <w:rPr>
          <w:rFonts w:cs="Arial"/>
          <w:szCs w:val="20"/>
          <w:lang w:val="en-US"/>
        </w:rPr>
      </w:pPr>
      <w:r w:rsidRPr="00F27646">
        <w:rPr>
          <w:rFonts w:cs="Arial"/>
          <w:szCs w:val="20"/>
          <w:lang w:val="en-US"/>
        </w:rPr>
        <w:t>25.</w:t>
      </w:r>
      <w:r w:rsidRPr="00F27646">
        <w:rPr>
          <w:rFonts w:cs="Arial"/>
          <w:szCs w:val="20"/>
          <w:lang w:val="en-US"/>
        </w:rPr>
        <w:tab/>
        <w:t>Nowels D, McGloin J, Westfall JM, et al. Validation of the EQ-5D quality of life instrument in patients after myocardial infarction. Qual Life Res. 2005; 14: 95-105.</w:t>
      </w:r>
    </w:p>
    <w:p w:rsidR="00F27646" w:rsidRPr="00F27646" w:rsidRDefault="00F27646" w:rsidP="00F27646">
      <w:pPr>
        <w:rPr>
          <w:rFonts w:cs="Arial"/>
          <w:szCs w:val="20"/>
          <w:lang w:val="en-US"/>
        </w:rPr>
      </w:pPr>
      <w:r w:rsidRPr="00F27646">
        <w:rPr>
          <w:rFonts w:cs="Arial"/>
          <w:szCs w:val="20"/>
          <w:lang w:val="en-US"/>
        </w:rPr>
        <w:t>26.</w:t>
      </w:r>
      <w:r w:rsidRPr="00F27646">
        <w:rPr>
          <w:rFonts w:cs="Arial"/>
          <w:szCs w:val="20"/>
          <w:lang w:val="en-US"/>
        </w:rPr>
        <w:tab/>
        <w:t>Schweikert B, Hahmann H, Leidl R. Validation of the EuroQol questionnaire in cardiac rehabilitation. Heart. 2006; 92: 62-7.</w:t>
      </w:r>
    </w:p>
    <w:p w:rsidR="00F27646" w:rsidRPr="00F27646" w:rsidRDefault="00F27646" w:rsidP="00F27646">
      <w:pPr>
        <w:rPr>
          <w:rFonts w:cs="Arial"/>
          <w:szCs w:val="20"/>
          <w:lang w:val="en-US"/>
        </w:rPr>
      </w:pPr>
      <w:r w:rsidRPr="00F27646">
        <w:rPr>
          <w:rFonts w:cs="Arial"/>
          <w:szCs w:val="20"/>
          <w:lang w:val="en-US"/>
        </w:rPr>
        <w:t>27.</w:t>
      </w:r>
      <w:r w:rsidRPr="00F27646">
        <w:rPr>
          <w:rFonts w:cs="Arial"/>
          <w:szCs w:val="20"/>
          <w:lang w:val="en-US"/>
        </w:rPr>
        <w:tab/>
        <w:t>Greiner W, Claes C, Busschbach JJ, et al. Validating the EQ-5D with time trade off for the German population. Eur J Health Econ. 2005; 6: 124-30.</w:t>
      </w:r>
    </w:p>
    <w:p w:rsidR="00F27646" w:rsidRPr="00F27646" w:rsidRDefault="00F27646" w:rsidP="00F27646">
      <w:pPr>
        <w:rPr>
          <w:rFonts w:cs="Arial"/>
          <w:szCs w:val="20"/>
          <w:lang w:val="en-US"/>
        </w:rPr>
      </w:pPr>
      <w:r w:rsidRPr="00F27646">
        <w:rPr>
          <w:rFonts w:cs="Arial"/>
          <w:szCs w:val="20"/>
          <w:lang w:val="en-US"/>
        </w:rPr>
        <w:t>28.</w:t>
      </w:r>
      <w:r w:rsidRPr="00F27646">
        <w:rPr>
          <w:rFonts w:cs="Arial"/>
          <w:szCs w:val="20"/>
          <w:lang w:val="en-US"/>
        </w:rPr>
        <w:tab/>
        <w:t>Drummond MF, Sculpher MJ, Torrance GW, et al. Methods for the economic evaluation of health care programmes. Third ed. Oxford: Oxford University Press, 2005.</w:t>
      </w:r>
    </w:p>
    <w:p w:rsidR="00F27646" w:rsidRPr="00F27646" w:rsidRDefault="00F27646" w:rsidP="00F27646">
      <w:pPr>
        <w:rPr>
          <w:rFonts w:cs="Arial"/>
          <w:szCs w:val="20"/>
        </w:rPr>
      </w:pPr>
      <w:r w:rsidRPr="00F27646">
        <w:rPr>
          <w:rFonts w:cs="Arial"/>
          <w:szCs w:val="20"/>
          <w:lang w:val="en-US"/>
        </w:rPr>
        <w:lastRenderedPageBreak/>
        <w:t>29.</w:t>
      </w:r>
      <w:r w:rsidRPr="00F27646">
        <w:rPr>
          <w:rFonts w:cs="Arial"/>
          <w:szCs w:val="20"/>
          <w:lang w:val="en-US"/>
        </w:rPr>
        <w:tab/>
        <w:t xml:space="preserve">Goossens MEJB, Mölken MPMHR-v, Vlaeyen JWS, et al. The cost diary: a method to measure direct and indirect costs in cost-effectiveness research. </w:t>
      </w:r>
      <w:r w:rsidRPr="00F27646">
        <w:rPr>
          <w:rFonts w:cs="Arial"/>
          <w:szCs w:val="20"/>
        </w:rPr>
        <w:t>J Clin Epidemiol. 2000; 53: 688-95.</w:t>
      </w:r>
    </w:p>
    <w:p w:rsidR="00F27646" w:rsidRPr="00F27646" w:rsidRDefault="00F27646" w:rsidP="00F27646">
      <w:pPr>
        <w:rPr>
          <w:rFonts w:cs="Arial"/>
          <w:szCs w:val="20"/>
          <w:lang w:val="en-US"/>
        </w:rPr>
      </w:pPr>
      <w:r w:rsidRPr="00F27646">
        <w:rPr>
          <w:rFonts w:cs="Arial"/>
          <w:szCs w:val="20"/>
        </w:rPr>
        <w:t>30.</w:t>
      </w:r>
      <w:r w:rsidRPr="00F27646">
        <w:rPr>
          <w:rFonts w:cs="Arial"/>
          <w:szCs w:val="20"/>
        </w:rPr>
        <w:tab/>
        <w:t xml:space="preserve">Seidl H, Meisinger C, Wende R, et al. </w:t>
      </w:r>
      <w:r w:rsidRPr="00F27646">
        <w:rPr>
          <w:rFonts w:cs="Arial"/>
          <w:szCs w:val="20"/>
          <w:lang w:val="en-US"/>
        </w:rPr>
        <w:t>Empirical analysis shows reduced cost data collection may be an efficient method in economic clinical trials. BMC Health Serv Res. 2012; 12: 318.</w:t>
      </w:r>
    </w:p>
    <w:p w:rsidR="00F27646" w:rsidRPr="00F27646" w:rsidRDefault="00F27646" w:rsidP="00F27646">
      <w:pPr>
        <w:rPr>
          <w:rFonts w:cs="Arial"/>
          <w:szCs w:val="20"/>
        </w:rPr>
      </w:pPr>
      <w:r w:rsidRPr="00F9694F">
        <w:rPr>
          <w:rFonts w:cs="Arial"/>
          <w:szCs w:val="20"/>
          <w:lang w:val="en-US"/>
        </w:rPr>
        <w:t>31.</w:t>
      </w:r>
      <w:r w:rsidRPr="00F9694F">
        <w:rPr>
          <w:rFonts w:cs="Arial"/>
          <w:szCs w:val="20"/>
          <w:lang w:val="en-US"/>
        </w:rPr>
        <w:tab/>
        <w:t xml:space="preserve">Bock JO, Brettschneider C, Seidl H, et al. </w:t>
      </w:r>
      <w:r w:rsidRPr="00F27646">
        <w:rPr>
          <w:rFonts w:cs="Arial"/>
          <w:szCs w:val="20"/>
          <w:lang w:val="en-US"/>
        </w:rPr>
        <w:t xml:space="preserve">[Calculation of standardised unit costs from a societal perspective for health economic evaluation]. </w:t>
      </w:r>
      <w:r w:rsidRPr="00F27646">
        <w:rPr>
          <w:rFonts w:cs="Arial"/>
          <w:szCs w:val="20"/>
        </w:rPr>
        <w:t>Gesundheitswesen. 2015; 77: 53-61.</w:t>
      </w:r>
    </w:p>
    <w:p w:rsidR="00F27646" w:rsidRPr="00F27646" w:rsidRDefault="00F27646" w:rsidP="00F27646">
      <w:pPr>
        <w:rPr>
          <w:rFonts w:cs="Arial"/>
          <w:szCs w:val="20"/>
        </w:rPr>
      </w:pPr>
      <w:r w:rsidRPr="00F27646">
        <w:rPr>
          <w:rFonts w:cs="Arial"/>
          <w:szCs w:val="20"/>
        </w:rPr>
        <w:t>32.</w:t>
      </w:r>
      <w:r w:rsidRPr="00F27646">
        <w:rPr>
          <w:rFonts w:cs="Arial"/>
          <w:szCs w:val="20"/>
        </w:rPr>
        <w:tab/>
        <w:t>Mühlberger N, Behrend C, Stark R, et al. Datenbankgestützte Online-Erfassung von Arzneimitteln im Rahmen gesundheitswissenschaftlicher Studien  Erfahrungen mit der IDOM-Software. Informatik Biometrie und Epidemiologie in Medizin und Biologie. 2003; 34: 601-11.</w:t>
      </w:r>
    </w:p>
    <w:p w:rsidR="00F27646" w:rsidRPr="00F9694F" w:rsidRDefault="00F27646" w:rsidP="00F27646">
      <w:pPr>
        <w:rPr>
          <w:rFonts w:cs="Arial"/>
          <w:szCs w:val="20"/>
          <w:lang w:val="en-US"/>
        </w:rPr>
      </w:pPr>
      <w:r w:rsidRPr="00F27646">
        <w:rPr>
          <w:rFonts w:cs="Arial"/>
          <w:szCs w:val="20"/>
        </w:rPr>
        <w:t>33.</w:t>
      </w:r>
      <w:r w:rsidRPr="00F27646">
        <w:rPr>
          <w:rFonts w:cs="Arial"/>
          <w:szCs w:val="20"/>
        </w:rPr>
        <w:tab/>
        <w:t xml:space="preserve">Wissenschaftliches Institut der AOK. </w:t>
      </w:r>
      <w:r w:rsidRPr="00F9694F">
        <w:rPr>
          <w:rFonts w:cs="Arial"/>
          <w:szCs w:val="20"/>
          <w:lang w:val="en-US"/>
        </w:rPr>
        <w:t>Available from URL: http://www.wido.de/arzneimittel.html [Accessed January 15, 2013].</w:t>
      </w:r>
    </w:p>
    <w:p w:rsidR="00F27646" w:rsidRPr="00F27646" w:rsidRDefault="00F27646" w:rsidP="00F27646">
      <w:pPr>
        <w:rPr>
          <w:rFonts w:cs="Arial"/>
          <w:szCs w:val="20"/>
          <w:lang w:val="en-US"/>
        </w:rPr>
      </w:pPr>
      <w:r w:rsidRPr="00F27646">
        <w:rPr>
          <w:rFonts w:cs="Arial"/>
          <w:szCs w:val="20"/>
        </w:rPr>
        <w:t>34.</w:t>
      </w:r>
      <w:r w:rsidRPr="00F27646">
        <w:rPr>
          <w:rFonts w:cs="Arial"/>
          <w:szCs w:val="20"/>
        </w:rPr>
        <w:tab/>
        <w:t xml:space="preserve">Sozialgesetzbuch (SGB), Elftes Buch (XI), Soziale Pflegeversicherung. </w:t>
      </w:r>
      <w:r w:rsidRPr="00F27646">
        <w:rPr>
          <w:rFonts w:cs="Arial"/>
          <w:szCs w:val="20"/>
          <w:lang w:val="en-US"/>
        </w:rPr>
        <w:t>Available from URL: http://www.sozialgesetzbuch-sgb.de/sgbxi/1.html [Accessed 2011, April 15].</w:t>
      </w:r>
    </w:p>
    <w:p w:rsidR="00F27646" w:rsidRPr="00F27646" w:rsidRDefault="00F27646" w:rsidP="00F27646">
      <w:pPr>
        <w:rPr>
          <w:rFonts w:cs="Arial"/>
          <w:szCs w:val="20"/>
          <w:lang w:val="en-US"/>
        </w:rPr>
      </w:pPr>
      <w:r w:rsidRPr="00F27646">
        <w:rPr>
          <w:rFonts w:cs="Arial"/>
          <w:szCs w:val="20"/>
          <w:lang w:val="en-US"/>
        </w:rPr>
        <w:t>35.</w:t>
      </w:r>
      <w:r w:rsidRPr="00F27646">
        <w:rPr>
          <w:rFonts w:cs="Arial"/>
          <w:szCs w:val="20"/>
          <w:lang w:val="en-US"/>
        </w:rPr>
        <w:tab/>
        <w:t>Manca A, Hawkins N, Sculpher MJ. Estimating mean QALYs in trial-based cost-effectiveness analysis: the importance of controlling for baseline utility. Health Econ. 2005; 14: 487-96.</w:t>
      </w:r>
    </w:p>
    <w:p w:rsidR="00F27646" w:rsidRPr="00F27646" w:rsidRDefault="00F27646" w:rsidP="00F27646">
      <w:pPr>
        <w:rPr>
          <w:rFonts w:cs="Arial"/>
          <w:szCs w:val="20"/>
          <w:lang w:val="en-US"/>
        </w:rPr>
      </w:pPr>
      <w:r w:rsidRPr="00F27646">
        <w:rPr>
          <w:rFonts w:cs="Arial"/>
          <w:szCs w:val="20"/>
          <w:lang w:val="en-US"/>
        </w:rPr>
        <w:t>36.</w:t>
      </w:r>
      <w:r w:rsidRPr="00F27646">
        <w:rPr>
          <w:rFonts w:cs="Arial"/>
          <w:szCs w:val="20"/>
          <w:lang w:val="en-US"/>
        </w:rPr>
        <w:tab/>
        <w:t>Molenberghs G, Kenward MG. Missing Data in Clinical Studies. UK: John Wiley &amp; Sons Ltd, 2007.</w:t>
      </w:r>
    </w:p>
    <w:p w:rsidR="00F27646" w:rsidRPr="00F27646" w:rsidRDefault="00F27646" w:rsidP="00F27646">
      <w:pPr>
        <w:rPr>
          <w:rFonts w:cs="Arial"/>
          <w:szCs w:val="20"/>
          <w:lang w:val="en-US"/>
        </w:rPr>
      </w:pPr>
      <w:r w:rsidRPr="00F27646">
        <w:rPr>
          <w:rFonts w:cs="Arial"/>
          <w:szCs w:val="20"/>
          <w:lang w:val="en-US"/>
        </w:rPr>
        <w:t>37.</w:t>
      </w:r>
      <w:r w:rsidRPr="00F27646">
        <w:rPr>
          <w:rFonts w:cs="Arial"/>
          <w:szCs w:val="20"/>
          <w:lang w:val="en-US"/>
        </w:rPr>
        <w:tab/>
        <w:t>Dodd S, Bassi A, Bodger K, et al. A comparison of multivariable regression models to analyse cost data. J Eval Clin Pract. 2006; 12: 76-86.</w:t>
      </w:r>
    </w:p>
    <w:p w:rsidR="00F27646" w:rsidRPr="00F27646" w:rsidRDefault="00F27646" w:rsidP="00F27646">
      <w:pPr>
        <w:rPr>
          <w:rFonts w:cs="Arial"/>
          <w:szCs w:val="20"/>
          <w:lang w:val="en-US"/>
        </w:rPr>
      </w:pPr>
      <w:r w:rsidRPr="00F27646">
        <w:rPr>
          <w:rFonts w:cs="Arial"/>
          <w:szCs w:val="20"/>
          <w:lang w:val="en-US"/>
        </w:rPr>
        <w:t>38.</w:t>
      </w:r>
      <w:r w:rsidRPr="00F27646">
        <w:rPr>
          <w:rFonts w:cs="Arial"/>
          <w:szCs w:val="20"/>
          <w:lang w:val="en-US"/>
        </w:rPr>
        <w:tab/>
        <w:t>Glick H, Doshi JA, Sonnad SS, et al. Economic Evaluation in Clinical Trials. In: Gray A, Briggs A, eds., Handbooks in Health Economic Evaluation Series. New York: Oxford University Press 2007.</w:t>
      </w:r>
    </w:p>
    <w:p w:rsidR="00F27646" w:rsidRPr="00F27646" w:rsidRDefault="00F27646" w:rsidP="00F27646">
      <w:pPr>
        <w:rPr>
          <w:rFonts w:cs="Arial"/>
          <w:szCs w:val="20"/>
          <w:lang w:val="en-US"/>
        </w:rPr>
      </w:pPr>
      <w:r w:rsidRPr="00F27646">
        <w:rPr>
          <w:rFonts w:cs="Arial"/>
          <w:szCs w:val="20"/>
          <w:lang w:val="en-US"/>
        </w:rPr>
        <w:t>39.</w:t>
      </w:r>
      <w:r w:rsidRPr="00F27646">
        <w:rPr>
          <w:rFonts w:cs="Arial"/>
          <w:szCs w:val="20"/>
          <w:lang w:val="en-US"/>
        </w:rPr>
        <w:tab/>
        <w:t>Graubard BI, Korn EL. Predictive margins with survey data. Biometrics. 1999; 55: 652-9.</w:t>
      </w:r>
    </w:p>
    <w:p w:rsidR="00F27646" w:rsidRPr="00F27646" w:rsidRDefault="00F27646" w:rsidP="00F27646">
      <w:pPr>
        <w:rPr>
          <w:rFonts w:cs="Arial"/>
          <w:szCs w:val="20"/>
          <w:lang w:val="en-US"/>
        </w:rPr>
      </w:pPr>
      <w:r w:rsidRPr="00F27646">
        <w:rPr>
          <w:rFonts w:cs="Arial"/>
          <w:szCs w:val="20"/>
          <w:lang w:val="en-US"/>
        </w:rPr>
        <w:t>40.</w:t>
      </w:r>
      <w:r w:rsidRPr="00F27646">
        <w:rPr>
          <w:rFonts w:cs="Arial"/>
          <w:szCs w:val="20"/>
          <w:lang w:val="en-US"/>
        </w:rPr>
        <w:tab/>
        <w:t>Husereau D, Drummond M, Petrou S, et al. Consolidated Health Economic Evaluation Reporting Standards (CHEERS)--explanation and elaboration: a report of the ISPOR Health Economic Evaluation Publication Guidelines Good Reporting Practices Task Force. Value Health. 2013; 16: 231-50.</w:t>
      </w:r>
    </w:p>
    <w:p w:rsidR="00F27646" w:rsidRPr="00F27646" w:rsidRDefault="00F27646" w:rsidP="00F27646">
      <w:pPr>
        <w:rPr>
          <w:rFonts w:cs="Arial"/>
          <w:szCs w:val="20"/>
          <w:lang w:val="en-US"/>
        </w:rPr>
      </w:pPr>
      <w:r w:rsidRPr="00F27646">
        <w:rPr>
          <w:rFonts w:cs="Arial"/>
          <w:szCs w:val="20"/>
          <w:lang w:val="en-US"/>
        </w:rPr>
        <w:lastRenderedPageBreak/>
        <w:t>41.</w:t>
      </w:r>
      <w:r w:rsidRPr="00F27646">
        <w:rPr>
          <w:rFonts w:cs="Arial"/>
          <w:szCs w:val="20"/>
          <w:lang w:val="en-US"/>
        </w:rPr>
        <w:tab/>
        <w:t>Fenwick E, O'Brien BJ, Briggs A. Cost-effectiveness acceptability curves--facts, fallacies and frequently asked questions. Health Econ. 2004; 13: 405-15.</w:t>
      </w:r>
    </w:p>
    <w:p w:rsidR="00F27646" w:rsidRPr="00F27646" w:rsidRDefault="00F27646" w:rsidP="00F27646">
      <w:pPr>
        <w:rPr>
          <w:rFonts w:cs="Arial"/>
          <w:szCs w:val="20"/>
          <w:lang w:val="en-US"/>
        </w:rPr>
      </w:pPr>
      <w:r w:rsidRPr="00F27646">
        <w:rPr>
          <w:rFonts w:cs="Arial"/>
          <w:szCs w:val="20"/>
          <w:lang w:val="en-US"/>
        </w:rPr>
        <w:t>42.</w:t>
      </w:r>
      <w:r w:rsidRPr="00F27646">
        <w:rPr>
          <w:rFonts w:cs="Arial"/>
          <w:szCs w:val="20"/>
          <w:lang w:val="en-US"/>
        </w:rPr>
        <w:tab/>
        <w:t>van Hout BA, Al MJ, Gordon GS, et al. Costs, effects and C/E-ratios alongside a clinical trial. Health Econ. 1994; 3: 309-19.</w:t>
      </w:r>
    </w:p>
    <w:p w:rsidR="00F27646" w:rsidRPr="00F27646" w:rsidRDefault="00F27646" w:rsidP="00F27646">
      <w:pPr>
        <w:rPr>
          <w:rFonts w:cs="Arial"/>
          <w:szCs w:val="20"/>
        </w:rPr>
      </w:pPr>
      <w:r w:rsidRPr="00F27646">
        <w:rPr>
          <w:rFonts w:cs="Arial"/>
          <w:szCs w:val="20"/>
          <w:lang w:val="en-US"/>
        </w:rPr>
        <w:t>43.</w:t>
      </w:r>
      <w:r w:rsidRPr="00F27646">
        <w:rPr>
          <w:rFonts w:cs="Arial"/>
          <w:szCs w:val="20"/>
          <w:lang w:val="en-US"/>
        </w:rPr>
        <w:tab/>
        <w:t xml:space="preserve">Briggs AH, Lozano-Ortega G, Spencer S, et al. Estimating the cost-effectiveness of fluticasone propionate for treating chronic obstructive pulmonary disease in the presence of missing data. </w:t>
      </w:r>
      <w:r w:rsidRPr="00F27646">
        <w:rPr>
          <w:rFonts w:cs="Arial"/>
          <w:szCs w:val="20"/>
        </w:rPr>
        <w:t>Value Health. 2006; 9: 227-35.</w:t>
      </w:r>
    </w:p>
    <w:p w:rsidR="00F27646" w:rsidRPr="00F27646" w:rsidRDefault="00F27646" w:rsidP="00F27646">
      <w:pPr>
        <w:rPr>
          <w:rFonts w:cs="Arial"/>
          <w:szCs w:val="20"/>
          <w:lang w:val="en-US"/>
        </w:rPr>
      </w:pPr>
      <w:r w:rsidRPr="00F27646">
        <w:rPr>
          <w:rFonts w:cs="Arial"/>
          <w:szCs w:val="20"/>
          <w:lang w:val="en-US"/>
        </w:rPr>
        <w:t>44.</w:t>
      </w:r>
      <w:r w:rsidRPr="00F27646">
        <w:rPr>
          <w:rFonts w:cs="Arial"/>
          <w:szCs w:val="20"/>
          <w:lang w:val="en-US"/>
        </w:rPr>
        <w:tab/>
        <w:t>Horton NJ, SR L. Multiple imputation in Practice: Comparison of Software Packages for Regression Models with Missing Variables. . The American Statistician. 2001; 55: 244-54.</w:t>
      </w:r>
    </w:p>
    <w:p w:rsidR="00F27646" w:rsidRPr="00F27646" w:rsidRDefault="00F27646" w:rsidP="00F27646">
      <w:pPr>
        <w:rPr>
          <w:rFonts w:cs="Arial"/>
          <w:szCs w:val="20"/>
          <w:lang w:val="en-US"/>
        </w:rPr>
      </w:pPr>
      <w:r w:rsidRPr="00F27646">
        <w:rPr>
          <w:rFonts w:cs="Arial"/>
          <w:szCs w:val="20"/>
          <w:lang w:val="en-US"/>
        </w:rPr>
        <w:t>45.</w:t>
      </w:r>
      <w:r w:rsidRPr="00F27646">
        <w:rPr>
          <w:rFonts w:cs="Arial"/>
          <w:szCs w:val="20"/>
          <w:lang w:val="en-US"/>
        </w:rPr>
        <w:tab/>
        <w:t>Ramsey S, Willke R, Briggs A, et al. Good research practices for cost-effectiveness analysis alongside clinical trials: the ISPOR RCT-CEA Task Force report. Value Health. 2005; 8: 521-33.</w:t>
      </w:r>
    </w:p>
    <w:p w:rsidR="00F27646" w:rsidRPr="00F27646" w:rsidRDefault="00F27646" w:rsidP="00F27646">
      <w:pPr>
        <w:rPr>
          <w:rFonts w:cs="Arial"/>
          <w:szCs w:val="20"/>
          <w:lang w:val="en-US"/>
        </w:rPr>
      </w:pPr>
      <w:r w:rsidRPr="00F27646">
        <w:rPr>
          <w:rFonts w:cs="Arial"/>
          <w:szCs w:val="20"/>
          <w:lang w:val="en-US"/>
        </w:rPr>
        <w:t>46.</w:t>
      </w:r>
      <w:r w:rsidRPr="00F27646">
        <w:rPr>
          <w:rFonts w:cs="Arial"/>
          <w:szCs w:val="20"/>
          <w:lang w:val="en-US"/>
        </w:rPr>
        <w:tab/>
        <w:t>Parkin D, Devlin N. Is there a case for using visual analogue scale valuations in cost-utility analysis? Health Econ. 2006; 15: 653-64.</w:t>
      </w:r>
    </w:p>
    <w:p w:rsidR="00F27646" w:rsidRPr="00F27646" w:rsidRDefault="00F27646" w:rsidP="00F27646">
      <w:pPr>
        <w:rPr>
          <w:rFonts w:cs="Arial"/>
          <w:szCs w:val="20"/>
        </w:rPr>
      </w:pPr>
      <w:r w:rsidRPr="00F27646">
        <w:rPr>
          <w:rFonts w:cs="Arial"/>
          <w:szCs w:val="20"/>
          <w:lang w:val="en-US"/>
        </w:rPr>
        <w:t>47.</w:t>
      </w:r>
      <w:r w:rsidRPr="00F27646">
        <w:rPr>
          <w:rFonts w:cs="Arial"/>
          <w:szCs w:val="20"/>
          <w:lang w:val="en-US"/>
        </w:rPr>
        <w:tab/>
        <w:t xml:space="preserve">Walters SJ, Brazier JE. Comparison of the minimally important difference for two health state utility measures: EQ-5D and SF-6D. </w:t>
      </w:r>
      <w:r w:rsidRPr="00F27646">
        <w:rPr>
          <w:rFonts w:cs="Arial"/>
          <w:szCs w:val="20"/>
        </w:rPr>
        <w:t>Qual Life Res. 2005; 14: 1523-32.</w:t>
      </w:r>
    </w:p>
    <w:p w:rsidR="00F27646" w:rsidRPr="00F27646" w:rsidRDefault="00F27646" w:rsidP="00F27646">
      <w:pPr>
        <w:rPr>
          <w:rFonts w:cs="Arial"/>
          <w:szCs w:val="20"/>
          <w:lang w:val="en-US"/>
        </w:rPr>
      </w:pPr>
      <w:r w:rsidRPr="00F27646">
        <w:rPr>
          <w:rFonts w:cs="Arial"/>
          <w:szCs w:val="20"/>
        </w:rPr>
        <w:t>48.</w:t>
      </w:r>
      <w:r w:rsidRPr="00F27646">
        <w:rPr>
          <w:rFonts w:cs="Arial"/>
          <w:szCs w:val="20"/>
        </w:rPr>
        <w:tab/>
        <w:t xml:space="preserve">Leidl R, Schweikert B, Hahmann H, et al. </w:t>
      </w:r>
      <w:r w:rsidRPr="00F27646">
        <w:rPr>
          <w:rFonts w:cs="Arial"/>
          <w:szCs w:val="20"/>
          <w:lang w:val="en-US"/>
        </w:rPr>
        <w:t>Assessing quality of life in a clinical study on heart rehabilitation patients: how well do value sets based on given or experienced health states reflect patients' valuations? Health Qual Life Outcomes. 2016; 14: 48.</w:t>
      </w:r>
    </w:p>
    <w:p w:rsidR="00F27646" w:rsidRPr="00F27646" w:rsidRDefault="00F27646" w:rsidP="00F27646">
      <w:pPr>
        <w:rPr>
          <w:rFonts w:cs="Arial"/>
          <w:szCs w:val="20"/>
          <w:lang w:val="en-US"/>
        </w:rPr>
      </w:pPr>
      <w:r w:rsidRPr="00F27646">
        <w:rPr>
          <w:rFonts w:cs="Arial"/>
          <w:szCs w:val="20"/>
          <w:lang w:val="en-US"/>
        </w:rPr>
        <w:t>49.</w:t>
      </w:r>
      <w:r w:rsidRPr="00F27646">
        <w:rPr>
          <w:rFonts w:cs="Arial"/>
          <w:szCs w:val="20"/>
          <w:lang w:val="en-US"/>
        </w:rPr>
        <w:tab/>
        <w:t>Hunger M, Kirchberger I, Holle R, et al. Does nurse-based case management for aged myocardial infarction patients improve risk factors, physical functioning and mental health? The KORINNA trial. European journal of preventive cardiology. 2015; 22: 442-50.</w:t>
      </w:r>
    </w:p>
    <w:p w:rsidR="00F27646" w:rsidRPr="00F27646" w:rsidRDefault="00F27646" w:rsidP="00F27646">
      <w:pPr>
        <w:rPr>
          <w:rFonts w:cs="Arial"/>
          <w:szCs w:val="20"/>
          <w:lang w:val="en-US"/>
        </w:rPr>
      </w:pPr>
      <w:r w:rsidRPr="00F27646">
        <w:rPr>
          <w:rFonts w:cs="Arial"/>
          <w:szCs w:val="20"/>
          <w:lang w:val="en-US"/>
        </w:rPr>
        <w:t>50.</w:t>
      </w:r>
      <w:r w:rsidRPr="00F27646">
        <w:rPr>
          <w:rFonts w:cs="Arial"/>
          <w:szCs w:val="20"/>
          <w:lang w:val="en-US"/>
        </w:rPr>
        <w:tab/>
        <w:t>Briggs A. Economic evaluation and clinical trials: size matters. BMJ. 2000; 321: 1362-3.</w:t>
      </w:r>
    </w:p>
    <w:p w:rsidR="0097159E" w:rsidRPr="00945DB3" w:rsidRDefault="00F27646">
      <w:pPr>
        <w:rPr>
          <w:rFonts w:cs="Arial"/>
          <w:szCs w:val="20"/>
        </w:rPr>
      </w:pPr>
      <w:r w:rsidRPr="00F27646">
        <w:rPr>
          <w:rFonts w:cs="Arial"/>
          <w:szCs w:val="20"/>
          <w:lang w:val="en-US"/>
        </w:rPr>
        <w:t>51.</w:t>
      </w:r>
      <w:r w:rsidRPr="00F27646">
        <w:rPr>
          <w:rFonts w:cs="Arial"/>
          <w:szCs w:val="20"/>
          <w:lang w:val="en-US"/>
        </w:rPr>
        <w:tab/>
        <w:t xml:space="preserve">Hoover DR, Crystal S, Kumar R, et al. Medical expenditures during the last year of life: findings from the 1992-1996 Medicare current beneficiary survey. </w:t>
      </w:r>
      <w:r w:rsidRPr="00F27646">
        <w:rPr>
          <w:rFonts w:cs="Arial"/>
          <w:szCs w:val="20"/>
        </w:rPr>
        <w:t>Health Serv Res. 2002; 37: 1625-42.</w:t>
      </w:r>
    </w:p>
    <w:sectPr w:rsidR="0097159E" w:rsidRPr="00945D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646"/>
    <w:rsid w:val="00290788"/>
    <w:rsid w:val="00643F67"/>
    <w:rsid w:val="009433FE"/>
    <w:rsid w:val="00944F04"/>
    <w:rsid w:val="00945DB3"/>
    <w:rsid w:val="0097159E"/>
    <w:rsid w:val="00A63284"/>
    <w:rsid w:val="00A73E03"/>
    <w:rsid w:val="00B350F8"/>
    <w:rsid w:val="00D60E9F"/>
    <w:rsid w:val="00D62DC6"/>
    <w:rsid w:val="00E74CD0"/>
    <w:rsid w:val="00F27646"/>
    <w:rsid w:val="00F9694F"/>
    <w:rsid w:val="00FA47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62DC6"/>
    <w:pPr>
      <w:spacing w:after="200" w:line="480" w:lineRule="auto"/>
    </w:pPr>
    <w:rPr>
      <w:rFonts w:ascii="Arial" w:hAnsi="Arial"/>
      <w:szCs w:val="22"/>
      <w:lang w:eastAsia="en-US"/>
    </w:rPr>
  </w:style>
  <w:style w:type="paragraph" w:styleId="berschrift1">
    <w:name w:val="heading 1"/>
    <w:basedOn w:val="Standard"/>
    <w:next w:val="Standard"/>
    <w:link w:val="berschrift1Zchn"/>
    <w:uiPriority w:val="9"/>
    <w:qFormat/>
    <w:rsid w:val="00F27646"/>
    <w:pPr>
      <w:keepNext/>
      <w:spacing w:before="240" w:after="60"/>
      <w:outlineLvl w:val="0"/>
    </w:pPr>
    <w:rPr>
      <w:rFonts w:asciiTheme="majorHAnsi" w:eastAsiaTheme="majorEastAsia" w:hAnsiTheme="majorHAnsi" w:cstheme="majorBidi"/>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27646"/>
    <w:rPr>
      <w:rFonts w:asciiTheme="majorHAnsi" w:eastAsiaTheme="majorEastAsia" w:hAnsiTheme="majorHAnsi" w:cstheme="majorBidi"/>
      <w:b/>
      <w:bCs/>
      <w:kern w:val="32"/>
      <w:sz w:val="32"/>
      <w:szCs w:val="32"/>
      <w:lang w:eastAsia="en-US"/>
    </w:rPr>
  </w:style>
  <w:style w:type="table" w:styleId="Tabellenraster">
    <w:name w:val="Table Grid"/>
    <w:basedOn w:val="NormaleTabelle"/>
    <w:rsid w:val="00290788"/>
    <w:rPr>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62DC6"/>
    <w:pPr>
      <w:spacing w:after="200" w:line="480" w:lineRule="auto"/>
    </w:pPr>
    <w:rPr>
      <w:rFonts w:ascii="Arial" w:hAnsi="Arial"/>
      <w:szCs w:val="22"/>
      <w:lang w:eastAsia="en-US"/>
    </w:rPr>
  </w:style>
  <w:style w:type="paragraph" w:styleId="berschrift1">
    <w:name w:val="heading 1"/>
    <w:basedOn w:val="Standard"/>
    <w:next w:val="Standard"/>
    <w:link w:val="berschrift1Zchn"/>
    <w:uiPriority w:val="9"/>
    <w:qFormat/>
    <w:rsid w:val="00F27646"/>
    <w:pPr>
      <w:keepNext/>
      <w:spacing w:before="240" w:after="60"/>
      <w:outlineLvl w:val="0"/>
    </w:pPr>
    <w:rPr>
      <w:rFonts w:asciiTheme="majorHAnsi" w:eastAsiaTheme="majorEastAsia" w:hAnsiTheme="majorHAnsi" w:cstheme="majorBidi"/>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27646"/>
    <w:rPr>
      <w:rFonts w:asciiTheme="majorHAnsi" w:eastAsiaTheme="majorEastAsia" w:hAnsiTheme="majorHAnsi" w:cstheme="majorBidi"/>
      <w:b/>
      <w:bCs/>
      <w:kern w:val="32"/>
      <w:sz w:val="32"/>
      <w:szCs w:val="32"/>
      <w:lang w:eastAsia="en-US"/>
    </w:rPr>
  </w:style>
  <w:style w:type="table" w:styleId="Tabellenraster">
    <w:name w:val="Table Grid"/>
    <w:basedOn w:val="NormaleTabelle"/>
    <w:rsid w:val="00290788"/>
    <w:rPr>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6421</Words>
  <Characters>40459</Characters>
  <Application>Microsoft Office Word</Application>
  <DocSecurity>0</DocSecurity>
  <Lines>337</Lines>
  <Paragraphs>93</Paragraphs>
  <ScaleCrop>false</ScaleCrop>
  <HeadingPairs>
    <vt:vector size="2" baseType="variant">
      <vt:variant>
        <vt:lpstr>Titel</vt:lpstr>
      </vt:variant>
      <vt:variant>
        <vt:i4>1</vt:i4>
      </vt:variant>
    </vt:vector>
  </HeadingPairs>
  <TitlesOfParts>
    <vt:vector size="1" baseType="lpstr">
      <vt:lpstr/>
    </vt:vector>
  </TitlesOfParts>
  <Company>Helmholtz Zentrum München</Company>
  <LinksUpToDate>false</LinksUpToDate>
  <CharactersWithSpaces>46787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hildegard.seidl</dc:creator>
  <cp:lastModifiedBy>Katrin.rauner</cp:lastModifiedBy>
  <cp:revision>2</cp:revision>
  <dcterms:created xsi:type="dcterms:W3CDTF">2018-05-02T08:41:00Z</dcterms:created>
  <dcterms:modified xsi:type="dcterms:W3CDTF">2018-05-02T08:41:00Z</dcterms:modified>
</cp:coreProperties>
</file>