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90ED1" w14:textId="0F383FA6" w:rsidR="001E6B15" w:rsidRPr="001E6B15" w:rsidRDefault="001E6B15" w:rsidP="001E6B15">
      <w:pPr>
        <w:spacing w:after="0" w:line="360" w:lineRule="auto"/>
        <w:rPr>
          <w:rFonts w:ascii="Times New Roman" w:hAnsi="Times New Roman" w:cs="Times New Roman"/>
          <w:b/>
          <w:color w:val="FFFFFF" w:themeColor="background1"/>
          <w:sz w:val="24"/>
          <w:szCs w:val="24"/>
          <w:lang w:val="en-US"/>
        </w:rPr>
      </w:pPr>
      <w:bookmarkStart w:id="0" w:name="_GoBack"/>
      <w:bookmarkEnd w:id="0"/>
      <w:r w:rsidRPr="001E6B15">
        <w:rPr>
          <w:rFonts w:ascii="Times New Roman" w:hAnsi="Times New Roman" w:cs="Times New Roman"/>
          <w:b/>
          <w:color w:val="FFFFFF" w:themeColor="background1"/>
          <w:sz w:val="24"/>
          <w:szCs w:val="24"/>
          <w:highlight w:val="black"/>
          <w:lang w:val="en-US"/>
        </w:rPr>
        <w:t>Original Paper</w:t>
      </w:r>
    </w:p>
    <w:p w14:paraId="21DA1050" w14:textId="77777777" w:rsidR="0079002A" w:rsidRDefault="0079002A" w:rsidP="001E6B15">
      <w:pPr>
        <w:spacing w:after="0" w:line="360" w:lineRule="auto"/>
        <w:rPr>
          <w:rFonts w:ascii="Times New Roman" w:hAnsi="Times New Roman" w:cs="Times New Roman"/>
          <w:b/>
          <w:sz w:val="28"/>
          <w:szCs w:val="28"/>
          <w:lang w:val="en-US"/>
        </w:rPr>
      </w:pPr>
    </w:p>
    <w:p w14:paraId="45B0A33B" w14:textId="77777777" w:rsidR="0079002A" w:rsidRDefault="0079002A" w:rsidP="001E6B15">
      <w:pPr>
        <w:spacing w:after="0" w:line="360" w:lineRule="auto"/>
        <w:rPr>
          <w:rFonts w:ascii="Times New Roman" w:hAnsi="Times New Roman" w:cs="Times New Roman"/>
          <w:b/>
          <w:sz w:val="28"/>
          <w:szCs w:val="28"/>
          <w:lang w:val="en-US"/>
        </w:rPr>
      </w:pPr>
    </w:p>
    <w:p w14:paraId="2472E3EE" w14:textId="77777777" w:rsidR="001E6B15" w:rsidRPr="00ED5111" w:rsidRDefault="001E6B15" w:rsidP="001E6B15">
      <w:pPr>
        <w:spacing w:after="0" w:line="360" w:lineRule="auto"/>
        <w:rPr>
          <w:rFonts w:ascii="Times New Roman" w:hAnsi="Times New Roman" w:cs="Times New Roman"/>
          <w:sz w:val="24"/>
          <w:szCs w:val="24"/>
          <w:vertAlign w:val="superscript"/>
          <w:lang w:val="en-US"/>
        </w:rPr>
      </w:pPr>
      <w:r w:rsidRPr="00ED5111">
        <w:rPr>
          <w:rFonts w:ascii="Times New Roman" w:hAnsi="Times New Roman" w:cs="Times New Roman"/>
          <w:sz w:val="24"/>
          <w:szCs w:val="24"/>
          <w:lang w:val="en-US"/>
        </w:rPr>
        <w:t xml:space="preserve">Shishkina EA, Volchkova AYu, Timofeev YuS, Fattibene P, Wieser A, Ivanov DV, Krivoschapov VA, Zalyapin VI, </w:t>
      </w:r>
      <w:r w:rsidRPr="00ED5111">
        <w:rPr>
          <w:rFonts w:ascii="Times New Roman" w:hAnsi="Times New Roman" w:cs="Times New Roman"/>
          <w:color w:val="000000"/>
          <w:sz w:val="24"/>
          <w:szCs w:val="24"/>
          <w:shd w:val="clear" w:color="auto" w:fill="FFFFFF"/>
          <w:lang w:val="en-US"/>
        </w:rPr>
        <w:t>Della Monaca</w:t>
      </w:r>
      <w:r w:rsidRPr="00ED5111">
        <w:rPr>
          <w:rFonts w:ascii="Times New Roman" w:hAnsi="Times New Roman" w:cs="Times New Roman"/>
          <w:sz w:val="24"/>
          <w:szCs w:val="24"/>
          <w:lang w:val="en-US"/>
        </w:rPr>
        <w:t xml:space="preserve"> S, </w:t>
      </w:r>
      <w:r w:rsidRPr="00ED5111">
        <w:rPr>
          <w:rFonts w:ascii="Times New Roman" w:hAnsi="Times New Roman" w:cs="Times New Roman"/>
          <w:color w:val="000000"/>
          <w:sz w:val="24"/>
          <w:szCs w:val="24"/>
          <w:shd w:val="clear" w:color="auto" w:fill="FFFFFF"/>
          <w:lang w:val="en-US"/>
        </w:rPr>
        <w:t xml:space="preserve">De Coste V, </w:t>
      </w:r>
      <w:r w:rsidRPr="00ED5111">
        <w:rPr>
          <w:rFonts w:ascii="Times New Roman" w:hAnsi="Times New Roman" w:cs="Times New Roman"/>
          <w:sz w:val="24"/>
          <w:szCs w:val="24"/>
          <w:lang w:val="en-US"/>
        </w:rPr>
        <w:t>Degteva MO, Anspaugh LR</w:t>
      </w:r>
    </w:p>
    <w:p w14:paraId="669EDE9A" w14:textId="77777777" w:rsidR="001E6B15" w:rsidRDefault="001E6B15" w:rsidP="001E6B15">
      <w:pPr>
        <w:spacing w:after="0" w:line="360" w:lineRule="auto"/>
        <w:rPr>
          <w:rFonts w:ascii="Times New Roman" w:hAnsi="Times New Roman" w:cs="Times New Roman"/>
          <w:b/>
          <w:sz w:val="28"/>
          <w:szCs w:val="28"/>
          <w:lang w:val="en-US"/>
        </w:rPr>
      </w:pPr>
    </w:p>
    <w:p w14:paraId="77CE9C2C" w14:textId="77777777" w:rsidR="00486BED" w:rsidRDefault="00486BED" w:rsidP="001E6B15">
      <w:pPr>
        <w:spacing w:after="0" w:line="360" w:lineRule="auto"/>
        <w:rPr>
          <w:rFonts w:ascii="Times New Roman" w:hAnsi="Times New Roman" w:cs="Times New Roman"/>
          <w:b/>
          <w:sz w:val="28"/>
          <w:szCs w:val="28"/>
          <w:lang w:val="en-US"/>
        </w:rPr>
      </w:pPr>
    </w:p>
    <w:p w14:paraId="4C4A4935" w14:textId="77777777" w:rsidR="00310457" w:rsidRPr="00C24BC0" w:rsidRDefault="00310457" w:rsidP="001E6B15">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External d</w:t>
      </w:r>
      <w:r w:rsidRPr="00C24BC0">
        <w:rPr>
          <w:rFonts w:ascii="Times New Roman" w:hAnsi="Times New Roman" w:cs="Times New Roman"/>
          <w:b/>
          <w:sz w:val="28"/>
          <w:szCs w:val="28"/>
          <w:lang w:val="en-US"/>
        </w:rPr>
        <w:t>ose reconstruction in tooth enamel of Techa riverside residents</w:t>
      </w:r>
    </w:p>
    <w:p w14:paraId="58E74E98" w14:textId="77777777" w:rsidR="00310457" w:rsidRDefault="00310457" w:rsidP="00310457">
      <w:pPr>
        <w:spacing w:after="0" w:line="360" w:lineRule="auto"/>
        <w:rPr>
          <w:rFonts w:ascii="Times New Roman" w:hAnsi="Times New Roman" w:cs="Times New Roman"/>
          <w:sz w:val="20"/>
          <w:szCs w:val="20"/>
          <w:lang w:val="en-US"/>
        </w:rPr>
      </w:pPr>
    </w:p>
    <w:p w14:paraId="3CBEFCFA" w14:textId="77777777" w:rsidR="00486BED" w:rsidRPr="00C24BC0" w:rsidRDefault="00486BED" w:rsidP="00310457">
      <w:pPr>
        <w:spacing w:after="0" w:line="360" w:lineRule="auto"/>
        <w:rPr>
          <w:rFonts w:ascii="Times New Roman" w:hAnsi="Times New Roman" w:cs="Times New Roman"/>
          <w:sz w:val="20"/>
          <w:szCs w:val="20"/>
          <w:lang w:val="en-US"/>
        </w:rPr>
      </w:pPr>
    </w:p>
    <w:p w14:paraId="05FBE1E8" w14:textId="77777777" w:rsidR="00310457" w:rsidRPr="001E6B15" w:rsidRDefault="00310457" w:rsidP="001E6B15">
      <w:pPr>
        <w:spacing w:after="120" w:line="240" w:lineRule="auto"/>
        <w:contextualSpacing/>
        <w:rPr>
          <w:rFonts w:ascii="Times New Roman" w:hAnsi="Times New Roman" w:cs="Times New Roman"/>
          <w:sz w:val="24"/>
          <w:szCs w:val="24"/>
          <w:vertAlign w:val="superscript"/>
          <w:lang w:val="en-US"/>
        </w:rPr>
      </w:pPr>
      <w:r w:rsidRPr="001E6B15">
        <w:rPr>
          <w:rFonts w:ascii="Times New Roman" w:hAnsi="Times New Roman" w:cs="Times New Roman"/>
          <w:sz w:val="24"/>
          <w:szCs w:val="24"/>
          <w:lang w:val="en-US"/>
        </w:rPr>
        <w:t>Shishkina EA</w:t>
      </w:r>
      <w:r w:rsidR="001E6B15" w:rsidRPr="001E6B15">
        <w:rPr>
          <w:rFonts w:ascii="Times New Roman" w:hAnsi="Times New Roman" w:cs="Times New Roman"/>
          <w:sz w:val="24"/>
          <w:szCs w:val="24"/>
          <w:lang w:val="en-US"/>
        </w:rPr>
        <w:t xml:space="preserve"> (</w:t>
      </w:r>
      <w:r w:rsidR="001E6B15" w:rsidRPr="001E6B15">
        <w:rPr>
          <w:rFonts w:ascii="Times New Roman" w:hAnsi="Times New Roman" w:cs="Times New Roman"/>
          <w:sz w:val="24"/>
          <w:szCs w:val="24"/>
          <w:lang w:val="en-US"/>
        </w:rPr>
        <w:sym w:font="Wingdings" w:char="F02A"/>
      </w:r>
      <w:r w:rsidR="001E6B15" w:rsidRPr="001E6B15">
        <w:rPr>
          <w:rFonts w:ascii="Times New Roman" w:hAnsi="Times New Roman" w:cs="Times New Roman"/>
          <w:sz w:val="24"/>
          <w:szCs w:val="24"/>
          <w:lang w:val="en-US"/>
        </w:rPr>
        <w:t>)</w:t>
      </w:r>
      <w:r w:rsidRPr="001E6B15">
        <w:rPr>
          <w:rFonts w:ascii="Times New Roman" w:hAnsi="Times New Roman" w:cs="Times New Roman"/>
          <w:sz w:val="24"/>
          <w:szCs w:val="24"/>
          <w:lang w:val="en-US"/>
        </w:rPr>
        <w:t>, Volchkova AYu, Timofeev YuS, Krivoschapov VA, Degteva MO</w:t>
      </w:r>
    </w:p>
    <w:p w14:paraId="2B164804" w14:textId="77777777" w:rsidR="00310457" w:rsidRDefault="00310457" w:rsidP="001E6B15">
      <w:pPr>
        <w:spacing w:after="120" w:line="240" w:lineRule="auto"/>
        <w:contextualSpacing/>
        <w:rPr>
          <w:rFonts w:ascii="Times New Roman" w:hAnsi="Times New Roman" w:cs="Times New Roman"/>
          <w:color w:val="000000"/>
          <w:sz w:val="24"/>
          <w:szCs w:val="24"/>
          <w:lang w:val="en-US"/>
        </w:rPr>
      </w:pPr>
      <w:r w:rsidRPr="001E6B15">
        <w:rPr>
          <w:rFonts w:ascii="Times New Roman" w:hAnsi="Times New Roman" w:cs="Times New Roman"/>
          <w:color w:val="000000"/>
          <w:sz w:val="24"/>
          <w:szCs w:val="24"/>
          <w:lang w:val="en-US"/>
        </w:rPr>
        <w:t>Urals Research Center for Radiation Medicine, 68A, Vorovsky Str., 454076 Chelyabinsk, Russia</w:t>
      </w:r>
    </w:p>
    <w:p w14:paraId="10D586EA" w14:textId="77777777" w:rsidR="004803F2" w:rsidRPr="00646D4A" w:rsidRDefault="004803F2" w:rsidP="004A0499">
      <w:pPr>
        <w:spacing w:after="0"/>
        <w:rPr>
          <w:rFonts w:ascii="Times New Roman" w:hAnsi="Times New Roman" w:cs="Times New Roman"/>
          <w:sz w:val="24"/>
          <w:szCs w:val="24"/>
          <w:lang w:val="en-US"/>
        </w:rPr>
      </w:pPr>
      <w:r w:rsidRPr="00646D4A">
        <w:rPr>
          <w:rFonts w:ascii="Times New Roman" w:hAnsi="Times New Roman" w:cs="Times New Roman"/>
          <w:sz w:val="24"/>
          <w:szCs w:val="24"/>
          <w:lang w:val="en-US"/>
        </w:rPr>
        <w:t>Tel. +7 351 2327919</w:t>
      </w:r>
    </w:p>
    <w:p w14:paraId="6AA58118" w14:textId="77777777" w:rsidR="004803F2" w:rsidRPr="00646D4A" w:rsidRDefault="004803F2" w:rsidP="004A0499">
      <w:pPr>
        <w:spacing w:after="0"/>
        <w:rPr>
          <w:rFonts w:ascii="Times New Roman" w:hAnsi="Times New Roman" w:cs="Times New Roman"/>
          <w:sz w:val="24"/>
          <w:szCs w:val="24"/>
          <w:lang w:val="en-US"/>
        </w:rPr>
      </w:pPr>
      <w:r w:rsidRPr="00646D4A">
        <w:rPr>
          <w:rFonts w:ascii="Times New Roman" w:hAnsi="Times New Roman" w:cs="Times New Roman"/>
          <w:sz w:val="24"/>
          <w:szCs w:val="24"/>
          <w:lang w:val="en-US"/>
        </w:rPr>
        <w:t>Fax. +7 351 2327913</w:t>
      </w:r>
    </w:p>
    <w:p w14:paraId="6A56577F" w14:textId="77777777" w:rsidR="00486BED" w:rsidRPr="004803F2" w:rsidRDefault="00486BED" w:rsidP="004A0499">
      <w:pPr>
        <w:spacing w:after="0" w:line="240" w:lineRule="auto"/>
        <w:contextualSpacing/>
        <w:rPr>
          <w:rFonts w:ascii="Times New Roman" w:hAnsi="Times New Roman" w:cs="Times New Roman"/>
          <w:color w:val="000000"/>
          <w:sz w:val="24"/>
          <w:szCs w:val="24"/>
          <w:lang w:val="en-US"/>
        </w:rPr>
      </w:pPr>
      <w:r w:rsidRPr="00502A74">
        <w:rPr>
          <w:rFonts w:ascii="Times New Roman" w:hAnsi="Times New Roman" w:cs="Times New Roman"/>
          <w:color w:val="000000"/>
          <w:sz w:val="24"/>
          <w:szCs w:val="24"/>
          <w:lang w:val="en-US"/>
        </w:rPr>
        <w:t>Email:</w:t>
      </w:r>
      <w:r w:rsidRPr="004803F2">
        <w:rPr>
          <w:rFonts w:ascii="Times New Roman" w:hAnsi="Times New Roman" w:cs="Times New Roman"/>
          <w:color w:val="000000"/>
          <w:sz w:val="24"/>
          <w:szCs w:val="24"/>
          <w:lang w:val="en-US"/>
        </w:rPr>
        <w:t xml:space="preserve"> </w:t>
      </w:r>
      <w:hyperlink r:id="rId9" w:history="1">
        <w:r w:rsidRPr="00646D4A">
          <w:rPr>
            <w:rStyle w:val="Hyperlink"/>
            <w:rFonts w:ascii="Times New Roman" w:hAnsi="Times New Roman" w:cs="Times New Roman"/>
            <w:sz w:val="24"/>
            <w:szCs w:val="24"/>
            <w:lang w:val="en-US"/>
          </w:rPr>
          <w:t>lena@urcrm.ru</w:t>
        </w:r>
      </w:hyperlink>
    </w:p>
    <w:p w14:paraId="0D67A4EA" w14:textId="77777777" w:rsidR="001E6B15" w:rsidRPr="001E6B15" w:rsidRDefault="001E6B15" w:rsidP="001E6B15">
      <w:pPr>
        <w:spacing w:after="120" w:line="240" w:lineRule="auto"/>
        <w:contextualSpacing/>
        <w:rPr>
          <w:rFonts w:ascii="Times New Roman" w:hAnsi="Times New Roman" w:cs="Times New Roman"/>
          <w:sz w:val="24"/>
          <w:szCs w:val="24"/>
          <w:lang w:val="en-US"/>
        </w:rPr>
      </w:pPr>
    </w:p>
    <w:p w14:paraId="5C2E6F8F" w14:textId="77777777" w:rsidR="001E6B15" w:rsidRPr="001E6B15" w:rsidRDefault="001E6B15" w:rsidP="001E6B15">
      <w:pPr>
        <w:spacing w:after="120" w:line="240" w:lineRule="auto"/>
        <w:contextualSpacing/>
        <w:rPr>
          <w:rFonts w:ascii="Times New Roman" w:hAnsi="Times New Roman" w:cs="Times New Roman"/>
          <w:color w:val="000000"/>
          <w:sz w:val="24"/>
          <w:szCs w:val="24"/>
          <w:lang w:val="en-US"/>
        </w:rPr>
      </w:pPr>
      <w:r w:rsidRPr="001E6B15">
        <w:rPr>
          <w:rFonts w:ascii="Times New Roman" w:hAnsi="Times New Roman" w:cs="Times New Roman"/>
          <w:sz w:val="24"/>
          <w:szCs w:val="24"/>
          <w:lang w:val="en-US"/>
        </w:rPr>
        <w:t>Timofeev YuS, Zalyapin VI</w:t>
      </w:r>
    </w:p>
    <w:p w14:paraId="7C7AB6E2" w14:textId="77777777" w:rsidR="00310457" w:rsidRPr="001E6B15" w:rsidRDefault="00310457"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 xml:space="preserve">Southern Urals State University, </w:t>
      </w:r>
      <w:r w:rsidRPr="001E6B15">
        <w:rPr>
          <w:rFonts w:ascii="Times New Roman" w:hAnsi="Times New Roman" w:cs="Times New Roman"/>
          <w:sz w:val="24"/>
          <w:szCs w:val="24"/>
          <w:shd w:val="clear" w:color="auto" w:fill="FFFFFF"/>
          <w:lang w:val="en-US"/>
        </w:rPr>
        <w:t>76, Lenin Av., 454080,</w:t>
      </w:r>
      <w:r w:rsidRPr="001E6B15">
        <w:rPr>
          <w:rStyle w:val="apple-converted-space"/>
          <w:rFonts w:ascii="Times New Roman" w:hAnsi="Times New Roman" w:cs="Times New Roman"/>
          <w:sz w:val="24"/>
          <w:szCs w:val="24"/>
          <w:shd w:val="clear" w:color="auto" w:fill="FFFFFF"/>
          <w:lang w:val="en-US"/>
        </w:rPr>
        <w:t> </w:t>
      </w:r>
      <w:r w:rsidRPr="001E6B15">
        <w:rPr>
          <w:rFonts w:ascii="Times New Roman" w:hAnsi="Times New Roman" w:cs="Times New Roman"/>
          <w:sz w:val="24"/>
          <w:szCs w:val="24"/>
          <w:lang w:val="en-US"/>
        </w:rPr>
        <w:t xml:space="preserve"> Chelyabinsk, Russia</w:t>
      </w:r>
    </w:p>
    <w:p w14:paraId="0AC6F890" w14:textId="77777777" w:rsidR="001E6B15" w:rsidRPr="001E6B15" w:rsidRDefault="001E6B15" w:rsidP="001E6B15">
      <w:pPr>
        <w:spacing w:after="120" w:line="240" w:lineRule="auto"/>
        <w:contextualSpacing/>
        <w:rPr>
          <w:rFonts w:ascii="Times New Roman" w:hAnsi="Times New Roman" w:cs="Times New Roman"/>
          <w:sz w:val="24"/>
          <w:szCs w:val="24"/>
          <w:lang w:val="en-US"/>
        </w:rPr>
      </w:pPr>
    </w:p>
    <w:p w14:paraId="0E3A548D" w14:textId="77777777" w:rsidR="001E6B15" w:rsidRPr="001E6B15" w:rsidRDefault="001E6B15"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Fattibene P,</w:t>
      </w:r>
      <w:r w:rsidRPr="001E6B15">
        <w:rPr>
          <w:rFonts w:ascii="Times New Roman" w:hAnsi="Times New Roman" w:cs="Times New Roman"/>
          <w:color w:val="000000"/>
          <w:sz w:val="24"/>
          <w:szCs w:val="24"/>
          <w:shd w:val="clear" w:color="auto" w:fill="FFFFFF"/>
          <w:lang w:val="en-US"/>
        </w:rPr>
        <w:t xml:space="preserve"> Della Monaca</w:t>
      </w:r>
      <w:r w:rsidRPr="001E6B15">
        <w:rPr>
          <w:rFonts w:ascii="Times New Roman" w:hAnsi="Times New Roman" w:cs="Times New Roman"/>
          <w:sz w:val="24"/>
          <w:szCs w:val="24"/>
          <w:lang w:val="en-US"/>
        </w:rPr>
        <w:t xml:space="preserve"> S, </w:t>
      </w:r>
      <w:r w:rsidRPr="001E6B15">
        <w:rPr>
          <w:rFonts w:ascii="Times New Roman" w:hAnsi="Times New Roman" w:cs="Times New Roman"/>
          <w:color w:val="000000"/>
          <w:sz w:val="24"/>
          <w:szCs w:val="24"/>
          <w:shd w:val="clear" w:color="auto" w:fill="FFFFFF"/>
          <w:lang w:val="en-US"/>
        </w:rPr>
        <w:t>De Coste V</w:t>
      </w:r>
    </w:p>
    <w:p w14:paraId="6ECA6D73" w14:textId="77777777" w:rsidR="00310457" w:rsidRPr="001E6B15" w:rsidRDefault="00310457"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Istituto Superiore di Sanità and Istituto Nazionale di Fisica Nucleare, Viale Regina Elena 299, 00161 Rome, Italy</w:t>
      </w:r>
    </w:p>
    <w:p w14:paraId="66D5D8E0" w14:textId="77777777" w:rsidR="001E6B15" w:rsidRPr="001E6B15" w:rsidRDefault="001E6B15" w:rsidP="001E6B15">
      <w:pPr>
        <w:spacing w:after="120" w:line="240" w:lineRule="auto"/>
        <w:contextualSpacing/>
        <w:rPr>
          <w:rFonts w:ascii="Times New Roman" w:hAnsi="Times New Roman" w:cs="Times New Roman"/>
          <w:sz w:val="24"/>
          <w:szCs w:val="24"/>
          <w:lang w:val="en-US"/>
        </w:rPr>
      </w:pPr>
    </w:p>
    <w:p w14:paraId="34EDEC35" w14:textId="77777777" w:rsidR="001E6B15" w:rsidRPr="001E6B15" w:rsidRDefault="001E6B15"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Wieser A</w:t>
      </w:r>
    </w:p>
    <w:p w14:paraId="268B7723" w14:textId="77777777" w:rsidR="00310457" w:rsidRPr="001E6B15" w:rsidRDefault="00310457"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color w:val="000000"/>
          <w:sz w:val="24"/>
          <w:szCs w:val="24"/>
          <w:lang w:val="en-US"/>
        </w:rPr>
        <w:t>Helmholtz Zentrum München, German Research Centre for Environmental Health, 85764 Neuherberg, Germany</w:t>
      </w:r>
    </w:p>
    <w:p w14:paraId="4F6630F0" w14:textId="77777777" w:rsidR="001E6B15" w:rsidRPr="001E6B15" w:rsidRDefault="001E6B15" w:rsidP="001E6B15">
      <w:pPr>
        <w:autoSpaceDE w:val="0"/>
        <w:autoSpaceDN w:val="0"/>
        <w:adjustRightInd w:val="0"/>
        <w:spacing w:after="120" w:line="240" w:lineRule="auto"/>
        <w:contextualSpacing/>
        <w:rPr>
          <w:rFonts w:ascii="Times New Roman" w:hAnsi="Times New Roman" w:cs="Times New Roman"/>
          <w:sz w:val="24"/>
          <w:szCs w:val="24"/>
          <w:lang w:val="en-US"/>
        </w:rPr>
      </w:pPr>
    </w:p>
    <w:p w14:paraId="1E703C02" w14:textId="77777777" w:rsidR="001E6B15" w:rsidRPr="001E6B15" w:rsidRDefault="001E6B15" w:rsidP="001E6B15">
      <w:pPr>
        <w:autoSpaceDE w:val="0"/>
        <w:autoSpaceDN w:val="0"/>
        <w:adjustRightInd w:val="0"/>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Ivanov DV</w:t>
      </w:r>
    </w:p>
    <w:p w14:paraId="52BAE3E1" w14:textId="77777777" w:rsidR="00310457" w:rsidRPr="001E6B15" w:rsidRDefault="00310457" w:rsidP="001E6B15">
      <w:pPr>
        <w:autoSpaceDE w:val="0"/>
        <w:autoSpaceDN w:val="0"/>
        <w:adjustRightInd w:val="0"/>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Institute of Metal Physics, 18 S. Kovalevsky Street, Yekaterinburg 620137, Russia</w:t>
      </w:r>
    </w:p>
    <w:p w14:paraId="66C50FB2" w14:textId="77777777" w:rsidR="001E6B15" w:rsidRPr="001E6B15" w:rsidRDefault="001E6B15" w:rsidP="001E6B15">
      <w:pPr>
        <w:autoSpaceDE w:val="0"/>
        <w:autoSpaceDN w:val="0"/>
        <w:adjustRightInd w:val="0"/>
        <w:spacing w:after="120" w:line="240" w:lineRule="auto"/>
        <w:contextualSpacing/>
        <w:rPr>
          <w:rFonts w:ascii="Times New Roman" w:hAnsi="Times New Roman" w:cs="Times New Roman"/>
          <w:sz w:val="24"/>
          <w:szCs w:val="24"/>
          <w:lang w:val="en-US"/>
        </w:rPr>
      </w:pPr>
    </w:p>
    <w:p w14:paraId="30F7FB27" w14:textId="77777777" w:rsidR="001E6B15" w:rsidRPr="001E6B15" w:rsidRDefault="001E6B15" w:rsidP="001E6B15">
      <w:pPr>
        <w:autoSpaceDE w:val="0"/>
        <w:autoSpaceDN w:val="0"/>
        <w:adjustRightInd w:val="0"/>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Ivanov DV</w:t>
      </w:r>
    </w:p>
    <w:p w14:paraId="346AD8B1" w14:textId="77777777" w:rsidR="00310457" w:rsidRPr="001E6B15" w:rsidRDefault="00310457"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Ural Federal University, 19 Mira Str, 620002 Yekaterinburg, Russia</w:t>
      </w:r>
    </w:p>
    <w:p w14:paraId="0207C9C2" w14:textId="77777777" w:rsidR="001E6B15" w:rsidRPr="001E6B15" w:rsidRDefault="001E6B15" w:rsidP="001E6B15">
      <w:pPr>
        <w:spacing w:after="120" w:line="240" w:lineRule="auto"/>
        <w:contextualSpacing/>
        <w:rPr>
          <w:rFonts w:ascii="Times New Roman" w:hAnsi="Times New Roman" w:cs="Times New Roman"/>
          <w:sz w:val="24"/>
          <w:szCs w:val="24"/>
          <w:lang w:val="en-US"/>
        </w:rPr>
      </w:pPr>
    </w:p>
    <w:p w14:paraId="7FD3C794" w14:textId="77777777" w:rsidR="001E6B15" w:rsidRPr="001E6B15" w:rsidRDefault="001E6B15" w:rsidP="001E6B15">
      <w:pPr>
        <w:spacing w:after="120" w:line="240" w:lineRule="auto"/>
        <w:contextualSpacing/>
        <w:rPr>
          <w:rFonts w:ascii="Times New Roman" w:hAnsi="Times New Roman" w:cs="Times New Roman"/>
          <w:sz w:val="24"/>
          <w:szCs w:val="24"/>
          <w:vertAlign w:val="superscript"/>
          <w:lang w:val="en-US"/>
        </w:rPr>
      </w:pPr>
      <w:r w:rsidRPr="001E6B15">
        <w:rPr>
          <w:rFonts w:ascii="Times New Roman" w:hAnsi="Times New Roman" w:cs="Times New Roman"/>
          <w:sz w:val="24"/>
          <w:szCs w:val="24"/>
          <w:lang w:val="en-US"/>
        </w:rPr>
        <w:t>Anspaugh LR</w:t>
      </w:r>
    </w:p>
    <w:p w14:paraId="7A9C6A22" w14:textId="77777777" w:rsidR="00310457" w:rsidRPr="001E6B15" w:rsidRDefault="00310457" w:rsidP="001E6B15">
      <w:pPr>
        <w:spacing w:after="120" w:line="240" w:lineRule="auto"/>
        <w:contextualSpacing/>
        <w:rPr>
          <w:rFonts w:ascii="Times New Roman" w:hAnsi="Times New Roman" w:cs="Times New Roman"/>
          <w:sz w:val="24"/>
          <w:szCs w:val="24"/>
          <w:lang w:val="en-US"/>
        </w:rPr>
      </w:pPr>
      <w:r w:rsidRPr="001E6B15">
        <w:rPr>
          <w:rFonts w:ascii="Times New Roman" w:hAnsi="Times New Roman" w:cs="Times New Roman"/>
          <w:sz w:val="24"/>
          <w:szCs w:val="24"/>
          <w:lang w:val="en-US"/>
        </w:rPr>
        <w:t>University of Utah, Salt Lake City, UT, USA</w:t>
      </w:r>
    </w:p>
    <w:p w14:paraId="5DA08460" w14:textId="77777777" w:rsidR="001E6B15" w:rsidRDefault="001E6B15" w:rsidP="001E6B15">
      <w:pPr>
        <w:spacing w:after="0" w:line="360" w:lineRule="auto"/>
        <w:rPr>
          <w:rFonts w:ascii="Times New Roman" w:hAnsi="Times New Roman" w:cs="Times New Roman"/>
          <w:sz w:val="20"/>
          <w:szCs w:val="20"/>
          <w:lang w:val="en-US"/>
        </w:rPr>
      </w:pPr>
    </w:p>
    <w:p w14:paraId="7203319C" w14:textId="77777777" w:rsidR="001E6B15" w:rsidRDefault="001E6B15" w:rsidP="001E6B15">
      <w:pPr>
        <w:spacing w:after="0" w:line="360" w:lineRule="auto"/>
        <w:rPr>
          <w:rFonts w:ascii="Times New Roman" w:hAnsi="Times New Roman" w:cs="Times New Roman"/>
          <w:sz w:val="20"/>
          <w:szCs w:val="20"/>
          <w:lang w:val="en-US"/>
        </w:rPr>
      </w:pPr>
    </w:p>
    <w:p w14:paraId="7F932C99" w14:textId="77777777" w:rsidR="00486BED" w:rsidRDefault="00486BED">
      <w:pPr>
        <w:spacing w:after="160" w:line="259"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C22DE65" w14:textId="77777777" w:rsidR="00310457" w:rsidRPr="001E6B15" w:rsidRDefault="00310457" w:rsidP="001E6B15">
      <w:pPr>
        <w:spacing w:after="0" w:line="360" w:lineRule="auto"/>
        <w:jc w:val="both"/>
        <w:rPr>
          <w:rFonts w:ascii="Times New Roman" w:hAnsi="Times New Roman" w:cs="Times New Roman"/>
          <w:b/>
          <w:sz w:val="24"/>
          <w:szCs w:val="24"/>
          <w:lang w:val="en-US"/>
        </w:rPr>
      </w:pPr>
      <w:r w:rsidRPr="001E6B15">
        <w:rPr>
          <w:rFonts w:ascii="Times New Roman" w:hAnsi="Times New Roman" w:cs="Times New Roman"/>
          <w:b/>
          <w:sz w:val="24"/>
          <w:szCs w:val="24"/>
          <w:lang w:val="en-US"/>
        </w:rPr>
        <w:lastRenderedPageBreak/>
        <w:t>Abstract</w:t>
      </w:r>
      <w:r w:rsidR="001E6B15" w:rsidRPr="001E6B15">
        <w:rPr>
          <w:rFonts w:ascii="Times New Roman" w:hAnsi="Times New Roman" w:cs="Times New Roman"/>
          <w:b/>
          <w:sz w:val="24"/>
          <w:szCs w:val="24"/>
          <w:lang w:val="en-US"/>
        </w:rPr>
        <w:t xml:space="preserve">  </w:t>
      </w:r>
      <w:r w:rsidRPr="001E6B15">
        <w:rPr>
          <w:rFonts w:ascii="Times New Roman" w:hAnsi="Times New Roman" w:cs="Times New Roman"/>
          <w:sz w:val="24"/>
          <w:szCs w:val="24"/>
          <w:lang w:val="en-US"/>
        </w:rPr>
        <w:t>Th</w:t>
      </w:r>
      <w:r w:rsidR="00486BED">
        <w:rPr>
          <w:rFonts w:ascii="Times New Roman" w:hAnsi="Times New Roman" w:cs="Times New Roman"/>
          <w:sz w:val="24"/>
          <w:szCs w:val="24"/>
          <w:lang w:val="en-US"/>
        </w:rPr>
        <w:t>is</w:t>
      </w:r>
      <w:r w:rsidRPr="001E6B15">
        <w:rPr>
          <w:rFonts w:ascii="Times New Roman" w:hAnsi="Times New Roman" w:cs="Times New Roman"/>
          <w:sz w:val="24"/>
          <w:szCs w:val="24"/>
          <w:lang w:val="en-US"/>
        </w:rPr>
        <w:t xml:space="preserve"> study </w:t>
      </w:r>
      <w:r w:rsidRPr="00AE3DF8">
        <w:rPr>
          <w:rFonts w:ascii="Times New Roman" w:hAnsi="Times New Roman" w:cs="Times New Roman"/>
          <w:sz w:val="24"/>
          <w:szCs w:val="24"/>
          <w:lang w:val="en-US"/>
        </w:rPr>
        <w:t>summarizes the 20-year effort</w:t>
      </w:r>
      <w:r w:rsidR="00486BED" w:rsidRPr="00AE3DF8">
        <w:rPr>
          <w:rFonts w:ascii="Times New Roman" w:hAnsi="Times New Roman" w:cs="Times New Roman"/>
          <w:sz w:val="24"/>
          <w:szCs w:val="24"/>
          <w:lang w:val="en-US"/>
        </w:rPr>
        <w:t>s</w:t>
      </w:r>
      <w:r w:rsidRPr="00AE3DF8">
        <w:rPr>
          <w:rFonts w:ascii="Times New Roman" w:hAnsi="Times New Roman" w:cs="Times New Roman"/>
          <w:sz w:val="24"/>
          <w:szCs w:val="24"/>
          <w:lang w:val="en-US"/>
        </w:rPr>
        <w:t xml:space="preserve"> </w:t>
      </w:r>
      <w:r w:rsidR="00587F13" w:rsidRPr="00AE3DF8">
        <w:rPr>
          <w:rFonts w:ascii="Times New Roman" w:hAnsi="Times New Roman" w:cs="Times New Roman"/>
          <w:sz w:val="24"/>
          <w:szCs w:val="24"/>
          <w:lang w:val="en-US"/>
        </w:rPr>
        <w:t>for</w:t>
      </w:r>
      <w:r w:rsidRPr="00AE3DF8">
        <w:rPr>
          <w:rFonts w:ascii="Times New Roman" w:hAnsi="Times New Roman" w:cs="Times New Roman"/>
          <w:sz w:val="24"/>
          <w:szCs w:val="24"/>
          <w:lang w:val="en-US"/>
        </w:rPr>
        <w:t xml:space="preserve"> dose reconstruction in tooth enamel of the Techa riverside residents exposed to </w:t>
      </w:r>
      <w:r w:rsidR="00486BED" w:rsidRPr="00AE3DF8">
        <w:rPr>
          <w:rFonts w:ascii="Times New Roman" w:hAnsi="Times New Roman" w:cs="Times New Roman"/>
          <w:sz w:val="24"/>
          <w:szCs w:val="24"/>
          <w:lang w:val="en-US"/>
        </w:rPr>
        <w:t xml:space="preserve">ionizing </w:t>
      </w:r>
      <w:r w:rsidRPr="00AE3DF8">
        <w:rPr>
          <w:rFonts w:ascii="Times New Roman" w:hAnsi="Times New Roman" w:cs="Times New Roman"/>
          <w:sz w:val="24"/>
          <w:szCs w:val="24"/>
          <w:lang w:val="en-US"/>
        </w:rPr>
        <w:t xml:space="preserve">radiation as a result of radionuclide releases into the river in 1949-1956. </w:t>
      </w:r>
      <w:r w:rsidR="00AE3DF8" w:rsidRPr="004A0499">
        <w:rPr>
          <w:rFonts w:ascii="Times New Roman" w:hAnsi="Times New Roman" w:cs="Times New Roman"/>
          <w:sz w:val="24"/>
          <w:szCs w:val="24"/>
          <w:lang w:val="en-US"/>
        </w:rPr>
        <w:t xml:space="preserve">It represents the first combined analysis of all the data available on EPR dosimetry with teeth of permanent residents of the Techa riverside territory. </w:t>
      </w:r>
      <w:r w:rsidR="00486BED" w:rsidRPr="00AE3DF8">
        <w:rPr>
          <w:rFonts w:ascii="Times New Roman" w:hAnsi="Times New Roman" w:cs="Times New Roman"/>
          <w:sz w:val="24"/>
          <w:szCs w:val="24"/>
          <w:lang w:val="en-US"/>
        </w:rPr>
        <w:t>Results of</w:t>
      </w:r>
      <w:r w:rsidRPr="00AE3DF8">
        <w:rPr>
          <w:rFonts w:ascii="Times New Roman" w:hAnsi="Times New Roman" w:cs="Times New Roman"/>
          <w:sz w:val="24"/>
          <w:szCs w:val="24"/>
          <w:lang w:val="en-US"/>
        </w:rPr>
        <w:t xml:space="preserve"> Electron Paramagnetic Resonance (EPR) measurements of 302 teeth donated by 173 individuals living permanently in Techa riverside settlements over the period of 1950-1952 were analyzed. These</w:t>
      </w:r>
      <w:r w:rsidRPr="001E6B15">
        <w:rPr>
          <w:rFonts w:ascii="Times New Roman" w:hAnsi="Times New Roman" w:cs="Times New Roman"/>
          <w:sz w:val="24"/>
          <w:szCs w:val="24"/>
          <w:lang w:val="en-US"/>
        </w:rPr>
        <w:t xml:space="preserve"> people were </w:t>
      </w:r>
      <w:r w:rsidR="00344159" w:rsidRPr="001E6B15">
        <w:rPr>
          <w:rFonts w:ascii="Times New Roman" w:hAnsi="Times New Roman" w:cs="Times New Roman"/>
          <w:sz w:val="24"/>
          <w:szCs w:val="24"/>
          <w:lang w:val="en-US"/>
        </w:rPr>
        <w:t xml:space="preserve">residents </w:t>
      </w:r>
      <w:r w:rsidR="00486BED">
        <w:rPr>
          <w:rFonts w:ascii="Times New Roman" w:hAnsi="Times New Roman" w:cs="Times New Roman"/>
          <w:sz w:val="24"/>
          <w:szCs w:val="24"/>
          <w:lang w:val="en-US"/>
        </w:rPr>
        <w:t>of</w:t>
      </w:r>
      <w:r w:rsidRPr="001E6B15">
        <w:rPr>
          <w:rFonts w:ascii="Times New Roman" w:hAnsi="Times New Roman" w:cs="Times New Roman"/>
          <w:sz w:val="24"/>
          <w:szCs w:val="24"/>
          <w:lang w:val="en-US"/>
        </w:rPr>
        <w:t xml:space="preserve"> villages located </w:t>
      </w:r>
      <w:r w:rsidR="00486BED">
        <w:rPr>
          <w:rFonts w:ascii="Times New Roman" w:hAnsi="Times New Roman" w:cs="Times New Roman"/>
          <w:sz w:val="24"/>
          <w:szCs w:val="24"/>
          <w:lang w:val="en-US"/>
        </w:rPr>
        <w:t>at</w:t>
      </w:r>
      <w:r w:rsidRPr="001E6B15">
        <w:rPr>
          <w:rFonts w:ascii="Times New Roman" w:hAnsi="Times New Roman" w:cs="Times New Roman"/>
          <w:sz w:val="24"/>
          <w:szCs w:val="24"/>
          <w:lang w:val="en-US"/>
        </w:rPr>
        <w:t xml:space="preserve"> the free-f</w:t>
      </w:r>
      <w:r w:rsidR="00047812" w:rsidRPr="001E6B15">
        <w:rPr>
          <w:rFonts w:ascii="Times New Roman" w:hAnsi="Times New Roman" w:cs="Times New Roman"/>
          <w:sz w:val="24"/>
          <w:szCs w:val="24"/>
          <w:lang w:val="en-US"/>
        </w:rPr>
        <w:t>l</w:t>
      </w:r>
      <w:r w:rsidR="00315BAF" w:rsidRPr="001E6B15">
        <w:rPr>
          <w:rFonts w:ascii="Times New Roman" w:hAnsi="Times New Roman" w:cs="Times New Roman"/>
          <w:sz w:val="24"/>
          <w:szCs w:val="24"/>
          <w:lang w:val="en-US"/>
        </w:rPr>
        <w:t>ow</w:t>
      </w:r>
      <w:r w:rsidRPr="001E6B15">
        <w:rPr>
          <w:rFonts w:ascii="Times New Roman" w:hAnsi="Times New Roman" w:cs="Times New Roman"/>
          <w:sz w:val="24"/>
          <w:szCs w:val="24"/>
          <w:lang w:val="en-US"/>
        </w:rPr>
        <w:t xml:space="preserve">ing river stream or </w:t>
      </w:r>
      <w:r w:rsidR="00486BED">
        <w:rPr>
          <w:rFonts w:ascii="Times New Roman" w:hAnsi="Times New Roman" w:cs="Times New Roman"/>
          <w:sz w:val="24"/>
          <w:szCs w:val="24"/>
          <w:lang w:val="en-US"/>
        </w:rPr>
        <w:t>at</w:t>
      </w:r>
      <w:r w:rsidRPr="001E6B15">
        <w:rPr>
          <w:rFonts w:ascii="Times New Roman" w:hAnsi="Times New Roman" w:cs="Times New Roman"/>
          <w:sz w:val="24"/>
          <w:szCs w:val="24"/>
          <w:lang w:val="en-US"/>
        </w:rPr>
        <w:t xml:space="preserve"> the banks of stagnant reservoirs such as ponds or blind </w:t>
      </w:r>
      <w:r w:rsidR="00486BED">
        <w:rPr>
          <w:rFonts w:ascii="Times New Roman" w:hAnsi="Times New Roman" w:cs="Times New Roman"/>
          <w:sz w:val="24"/>
          <w:szCs w:val="24"/>
          <w:lang w:val="en-US"/>
        </w:rPr>
        <w:t xml:space="preserve">river </w:t>
      </w:r>
      <w:r w:rsidRPr="001E6B15">
        <w:rPr>
          <w:rFonts w:ascii="Times New Roman" w:hAnsi="Times New Roman" w:cs="Times New Roman"/>
          <w:sz w:val="24"/>
          <w:szCs w:val="24"/>
          <w:lang w:val="en-US"/>
        </w:rPr>
        <w:t xml:space="preserve">forks. Cumulative absorbed doses measured </w:t>
      </w:r>
      <w:r w:rsidR="00587F13" w:rsidRPr="001E6B15">
        <w:rPr>
          <w:rFonts w:ascii="Times New Roman" w:hAnsi="Times New Roman" w:cs="Times New Roman"/>
          <w:sz w:val="24"/>
          <w:szCs w:val="24"/>
          <w:lang w:val="en-US"/>
        </w:rPr>
        <w:t>using</w:t>
      </w:r>
      <w:r w:rsidRPr="001E6B15">
        <w:rPr>
          <w:rFonts w:ascii="Times New Roman" w:hAnsi="Times New Roman" w:cs="Times New Roman"/>
          <w:sz w:val="24"/>
          <w:szCs w:val="24"/>
          <w:lang w:val="en-US"/>
        </w:rPr>
        <w:t xml:space="preserve"> EPR are </w:t>
      </w:r>
      <w:r w:rsidR="00486BED">
        <w:rPr>
          <w:rFonts w:ascii="Times New Roman" w:hAnsi="Times New Roman" w:cs="Times New Roman"/>
          <w:sz w:val="24"/>
          <w:szCs w:val="24"/>
          <w:lang w:val="en-US"/>
        </w:rPr>
        <w:t xml:space="preserve">from </w:t>
      </w:r>
      <w:r w:rsidRPr="001E6B15">
        <w:rPr>
          <w:rFonts w:ascii="Times New Roman" w:hAnsi="Times New Roman" w:cs="Times New Roman"/>
          <w:sz w:val="24"/>
          <w:szCs w:val="24"/>
          <w:lang w:val="en-US"/>
        </w:rPr>
        <w:t xml:space="preserve">several </w:t>
      </w:r>
      <w:r w:rsidR="00486BED">
        <w:rPr>
          <w:rFonts w:ascii="Times New Roman" w:hAnsi="Times New Roman" w:cs="Times New Roman"/>
          <w:sz w:val="24"/>
          <w:szCs w:val="24"/>
          <w:lang w:val="en-US"/>
        </w:rPr>
        <w:t xml:space="preserve">sources of </w:t>
      </w:r>
      <w:r w:rsidRPr="001E6B15">
        <w:rPr>
          <w:rFonts w:ascii="Times New Roman" w:hAnsi="Times New Roman" w:cs="Times New Roman"/>
          <w:sz w:val="24"/>
          <w:szCs w:val="24"/>
          <w:lang w:val="en-US"/>
        </w:rPr>
        <w:t>exposure, viz.: background radiation; internal exposure due to bone-seeking radionuclides (</w:t>
      </w:r>
      <w:r w:rsidRPr="001E6B15">
        <w:rPr>
          <w:rFonts w:ascii="Times New Roman" w:hAnsi="Times New Roman" w:cs="Times New Roman"/>
          <w:sz w:val="24"/>
          <w:szCs w:val="24"/>
          <w:vertAlign w:val="superscript"/>
          <w:lang w:val="en-US"/>
        </w:rPr>
        <w:t>89</w:t>
      </w:r>
      <w:r w:rsidRPr="001E6B15">
        <w:rPr>
          <w:rFonts w:ascii="Times New Roman" w:hAnsi="Times New Roman" w:cs="Times New Roman"/>
          <w:sz w:val="24"/>
          <w:szCs w:val="24"/>
          <w:lang w:val="en-US"/>
        </w:rPr>
        <w:t>Sr,</w:t>
      </w:r>
      <w:r w:rsidRPr="001E6B15">
        <w:rPr>
          <w:rFonts w:ascii="Times New Roman" w:hAnsi="Times New Roman" w:cs="Times New Roman"/>
          <w:position w:val="6"/>
          <w:sz w:val="24"/>
          <w:szCs w:val="24"/>
          <w:vertAlign w:val="superscript"/>
          <w:lang w:val="en-US"/>
        </w:rPr>
        <w:t xml:space="preserve"> 90</w:t>
      </w:r>
      <w:r w:rsidRPr="001E6B15">
        <w:rPr>
          <w:rFonts w:ascii="Times New Roman" w:hAnsi="Times New Roman" w:cs="Times New Roman"/>
          <w:sz w:val="24"/>
          <w:szCs w:val="24"/>
          <w:lang w:val="en-US"/>
        </w:rPr>
        <w:t>Sr/</w:t>
      </w:r>
      <w:r w:rsidRPr="001E6B15">
        <w:rPr>
          <w:rFonts w:ascii="Times New Roman" w:hAnsi="Times New Roman" w:cs="Times New Roman"/>
          <w:position w:val="6"/>
          <w:sz w:val="24"/>
          <w:szCs w:val="24"/>
          <w:vertAlign w:val="superscript"/>
          <w:lang w:val="en-US"/>
        </w:rPr>
        <w:t>90</w:t>
      </w:r>
      <w:r w:rsidRPr="001E6B15">
        <w:rPr>
          <w:rFonts w:ascii="Times New Roman" w:hAnsi="Times New Roman" w:cs="Times New Roman"/>
          <w:sz w:val="24"/>
          <w:szCs w:val="24"/>
          <w:lang w:val="en-US"/>
        </w:rPr>
        <w:t xml:space="preserve">Y); internal exposure due to </w:t>
      </w:r>
      <w:r w:rsidRPr="001E6B15">
        <w:rPr>
          <w:rFonts w:ascii="Times New Roman" w:hAnsi="Times New Roman" w:cs="Times New Roman"/>
          <w:position w:val="6"/>
          <w:sz w:val="24"/>
          <w:szCs w:val="24"/>
          <w:vertAlign w:val="superscript"/>
          <w:lang w:val="en-US"/>
        </w:rPr>
        <w:t>137</w:t>
      </w:r>
      <w:r w:rsidRPr="001E6B15">
        <w:rPr>
          <w:rFonts w:ascii="Times New Roman" w:hAnsi="Times New Roman" w:cs="Times New Roman"/>
          <w:sz w:val="24"/>
          <w:szCs w:val="24"/>
          <w:lang w:val="en-US"/>
        </w:rPr>
        <w:t>Cs/</w:t>
      </w:r>
      <w:r w:rsidRPr="001E6B15">
        <w:rPr>
          <w:rFonts w:ascii="Times New Roman" w:hAnsi="Times New Roman" w:cs="Times New Roman"/>
          <w:position w:val="6"/>
          <w:sz w:val="24"/>
          <w:szCs w:val="24"/>
          <w:vertAlign w:val="superscript"/>
          <w:lang w:val="en-US"/>
        </w:rPr>
        <w:t>137m</w:t>
      </w:r>
      <w:r w:rsidRPr="001E6B15">
        <w:rPr>
          <w:rFonts w:ascii="Times New Roman" w:hAnsi="Times New Roman" w:cs="Times New Roman"/>
          <w:sz w:val="24"/>
          <w:szCs w:val="24"/>
          <w:lang w:val="en-US"/>
        </w:rPr>
        <w:t>Ba incorporated in soft tissues</w:t>
      </w:r>
      <w:r w:rsidR="00486BED">
        <w:rPr>
          <w:rFonts w:ascii="Times New Roman" w:hAnsi="Times New Roman" w:cs="Times New Roman"/>
          <w:sz w:val="24"/>
          <w:szCs w:val="24"/>
          <w:lang w:val="en-US"/>
        </w:rPr>
        <w:t>,</w:t>
      </w:r>
      <w:r w:rsidRPr="001E6B15">
        <w:rPr>
          <w:rFonts w:ascii="Times New Roman" w:hAnsi="Times New Roman" w:cs="Times New Roman"/>
          <w:sz w:val="24"/>
          <w:szCs w:val="24"/>
          <w:lang w:val="en-US"/>
        </w:rPr>
        <w:t xml:space="preserve"> and anthropogenic external exposure. The purpose of the </w:t>
      </w:r>
      <w:r w:rsidR="00486BED">
        <w:rPr>
          <w:rFonts w:ascii="Times New Roman" w:hAnsi="Times New Roman" w:cs="Times New Roman"/>
          <w:sz w:val="24"/>
          <w:szCs w:val="24"/>
          <w:lang w:val="en-US"/>
        </w:rPr>
        <w:t xml:space="preserve">present </w:t>
      </w:r>
      <w:r w:rsidRPr="001E6B15">
        <w:rPr>
          <w:rFonts w:ascii="Times New Roman" w:hAnsi="Times New Roman" w:cs="Times New Roman"/>
          <w:sz w:val="24"/>
          <w:szCs w:val="24"/>
          <w:lang w:val="en-US"/>
        </w:rPr>
        <w:t>study was to evaluate the contribution of different sources of enamel exposure</w:t>
      </w:r>
      <w:r w:rsidR="00486BED">
        <w:rPr>
          <w:rFonts w:ascii="Times New Roman" w:hAnsi="Times New Roman" w:cs="Times New Roman"/>
          <w:sz w:val="24"/>
          <w:szCs w:val="24"/>
          <w:lang w:val="en-US"/>
        </w:rPr>
        <w:t>,</w:t>
      </w:r>
      <w:r w:rsidRPr="001E6B15">
        <w:rPr>
          <w:rFonts w:ascii="Times New Roman" w:hAnsi="Times New Roman" w:cs="Times New Roman"/>
          <w:sz w:val="24"/>
          <w:szCs w:val="24"/>
          <w:lang w:val="en-US"/>
        </w:rPr>
        <w:t xml:space="preserve"> and to </w:t>
      </w:r>
      <w:r w:rsidR="00486BED">
        <w:rPr>
          <w:rFonts w:ascii="Times New Roman" w:hAnsi="Times New Roman" w:cs="Times New Roman"/>
          <w:sz w:val="24"/>
          <w:szCs w:val="24"/>
          <w:lang w:val="en-US"/>
        </w:rPr>
        <w:t xml:space="preserve">deduce </w:t>
      </w:r>
      <w:r w:rsidRPr="001E6B15">
        <w:rPr>
          <w:rFonts w:ascii="Times New Roman" w:hAnsi="Times New Roman" w:cs="Times New Roman"/>
          <w:sz w:val="24"/>
          <w:szCs w:val="24"/>
          <w:lang w:val="en-US"/>
        </w:rPr>
        <w:t>external dose</w:t>
      </w:r>
      <w:r w:rsidR="00486BED">
        <w:rPr>
          <w:rFonts w:ascii="Times New Roman" w:hAnsi="Times New Roman" w:cs="Times New Roman"/>
          <w:sz w:val="24"/>
          <w:szCs w:val="24"/>
          <w:lang w:val="en-US"/>
        </w:rPr>
        <w:t>s</w:t>
      </w:r>
      <w:r w:rsidRPr="001E6B15">
        <w:rPr>
          <w:rFonts w:ascii="Times New Roman" w:hAnsi="Times New Roman" w:cs="Times New Roman"/>
          <w:sz w:val="24"/>
          <w:szCs w:val="24"/>
          <w:lang w:val="en-US"/>
        </w:rPr>
        <w:t xml:space="preserve"> to be used for validation of the Techa River Dosimetry System (TRDS). Since </w:t>
      </w:r>
      <w:r w:rsidR="00486BED">
        <w:rPr>
          <w:rFonts w:ascii="Times New Roman" w:hAnsi="Times New Roman" w:cs="Times New Roman"/>
          <w:sz w:val="24"/>
          <w:szCs w:val="24"/>
          <w:lang w:val="en-US"/>
        </w:rPr>
        <w:t>various</w:t>
      </w:r>
      <w:r w:rsidRPr="001E6B15">
        <w:rPr>
          <w:rFonts w:ascii="Times New Roman" w:hAnsi="Times New Roman" w:cs="Times New Roman"/>
          <w:sz w:val="24"/>
          <w:szCs w:val="24"/>
          <w:lang w:val="en-US"/>
        </w:rPr>
        <w:t xml:space="preserve"> EPR methods were used, harmoniz</w:t>
      </w:r>
      <w:r w:rsidR="00486BED">
        <w:rPr>
          <w:rFonts w:ascii="Times New Roman" w:hAnsi="Times New Roman" w:cs="Times New Roman"/>
          <w:sz w:val="24"/>
          <w:szCs w:val="24"/>
          <w:lang w:val="en-US"/>
        </w:rPr>
        <w:t>ation</w:t>
      </w:r>
      <w:r w:rsidRPr="001E6B15">
        <w:rPr>
          <w:rFonts w:ascii="Times New Roman" w:hAnsi="Times New Roman" w:cs="Times New Roman"/>
          <w:sz w:val="24"/>
          <w:szCs w:val="24"/>
          <w:lang w:val="en-US"/>
        </w:rPr>
        <w:t xml:space="preserve"> </w:t>
      </w:r>
      <w:r w:rsidR="00486BED">
        <w:rPr>
          <w:rFonts w:ascii="Times New Roman" w:hAnsi="Times New Roman" w:cs="Times New Roman"/>
          <w:sz w:val="24"/>
          <w:szCs w:val="24"/>
          <w:lang w:val="en-US"/>
        </w:rPr>
        <w:t>of these methods was critical</w:t>
      </w:r>
      <w:r w:rsidRPr="001E6B15">
        <w:rPr>
          <w:rFonts w:ascii="Times New Roman" w:hAnsi="Times New Roman" w:cs="Times New Roman"/>
          <w:sz w:val="24"/>
          <w:szCs w:val="24"/>
          <w:lang w:val="en-US"/>
        </w:rPr>
        <w:t xml:space="preserve">. </w:t>
      </w:r>
      <w:r w:rsidR="00486BED">
        <w:rPr>
          <w:rFonts w:ascii="Times New Roman" w:hAnsi="Times New Roman" w:cs="Times New Roman"/>
          <w:sz w:val="24"/>
          <w:szCs w:val="24"/>
          <w:lang w:val="en-US"/>
        </w:rPr>
        <w:t>Overall</w:t>
      </w:r>
      <w:r w:rsidRPr="001E6B15">
        <w:rPr>
          <w:rFonts w:ascii="Times New Roman" w:hAnsi="Times New Roman" w:cs="Times New Roman"/>
          <w:sz w:val="24"/>
          <w:szCs w:val="24"/>
          <w:lang w:val="en-US"/>
        </w:rPr>
        <w:t xml:space="preserve">, </w:t>
      </w:r>
      <w:r w:rsidR="00486BED">
        <w:rPr>
          <w:rFonts w:ascii="Times New Roman" w:hAnsi="Times New Roman" w:cs="Times New Roman"/>
          <w:sz w:val="24"/>
          <w:szCs w:val="24"/>
          <w:lang w:val="en-US"/>
        </w:rPr>
        <w:t>the</w:t>
      </w:r>
      <w:r w:rsidRPr="001E6B15">
        <w:rPr>
          <w:rFonts w:ascii="Times New Roman" w:hAnsi="Times New Roman" w:cs="Times New Roman"/>
          <w:sz w:val="24"/>
          <w:szCs w:val="24"/>
          <w:lang w:val="en-US"/>
        </w:rPr>
        <w:t xml:space="preserve"> mean cumulative background dose was found to be 63</w:t>
      </w:r>
      <w:r w:rsidR="00486BED">
        <w:rPr>
          <w:rFonts w:ascii="Times New Roman" w:hAnsi="Times New Roman" w:cs="Times New Roman"/>
          <w:sz w:val="24"/>
          <w:szCs w:val="24"/>
          <w:lang w:val="en-US"/>
        </w:rPr>
        <w:t xml:space="preserve"> </w:t>
      </w:r>
      <w:r w:rsidRPr="001E6B15">
        <w:rPr>
          <w:rFonts w:ascii="Times New Roman" w:hAnsi="Times New Roman" w:cs="Times New Roman"/>
          <w:sz w:val="24"/>
          <w:szCs w:val="24"/>
          <w:lang w:val="en-US"/>
        </w:rPr>
        <w:t>±</w:t>
      </w:r>
      <w:r w:rsidR="00486BED">
        <w:rPr>
          <w:rFonts w:ascii="Times New Roman" w:hAnsi="Times New Roman" w:cs="Times New Roman"/>
          <w:sz w:val="24"/>
          <w:szCs w:val="24"/>
          <w:lang w:val="en-US"/>
        </w:rPr>
        <w:t xml:space="preserve"> </w:t>
      </w:r>
      <w:r w:rsidRPr="001E6B15">
        <w:rPr>
          <w:rFonts w:ascii="Times New Roman" w:hAnsi="Times New Roman" w:cs="Times New Roman"/>
          <w:sz w:val="24"/>
          <w:szCs w:val="24"/>
          <w:lang w:val="en-US"/>
        </w:rPr>
        <w:t xml:space="preserve">47 mGy; cumulative internal doses due to </w:t>
      </w:r>
      <w:r w:rsidRPr="001E6B15">
        <w:rPr>
          <w:rFonts w:ascii="Times New Roman" w:hAnsi="Times New Roman" w:cs="Times New Roman"/>
          <w:sz w:val="24"/>
          <w:szCs w:val="24"/>
          <w:vertAlign w:val="superscript"/>
          <w:lang w:val="en-US"/>
        </w:rPr>
        <w:t>89</w:t>
      </w:r>
      <w:r w:rsidRPr="001E6B15">
        <w:rPr>
          <w:rFonts w:ascii="Times New Roman" w:hAnsi="Times New Roman" w:cs="Times New Roman"/>
          <w:sz w:val="24"/>
          <w:szCs w:val="24"/>
          <w:lang w:val="en-US"/>
        </w:rPr>
        <w:t>Sr</w:t>
      </w:r>
      <w:r w:rsidR="00486BED">
        <w:rPr>
          <w:rFonts w:ascii="Times New Roman" w:hAnsi="Times New Roman" w:cs="Times New Roman"/>
          <w:sz w:val="24"/>
          <w:szCs w:val="24"/>
          <w:lang w:val="en-US"/>
        </w:rPr>
        <w:t xml:space="preserve"> and</w:t>
      </w:r>
      <w:r w:rsidRPr="001E6B15">
        <w:rPr>
          <w:rFonts w:ascii="Times New Roman" w:hAnsi="Times New Roman" w:cs="Times New Roman"/>
          <w:position w:val="6"/>
          <w:sz w:val="24"/>
          <w:szCs w:val="24"/>
          <w:vertAlign w:val="superscript"/>
          <w:lang w:val="en-US"/>
        </w:rPr>
        <w:t xml:space="preserve"> 90</w:t>
      </w:r>
      <w:r w:rsidRPr="001E6B15">
        <w:rPr>
          <w:rFonts w:ascii="Times New Roman" w:hAnsi="Times New Roman" w:cs="Times New Roman"/>
          <w:sz w:val="24"/>
          <w:szCs w:val="24"/>
          <w:lang w:val="en-US"/>
        </w:rPr>
        <w:t>Sr/</w:t>
      </w:r>
      <w:r w:rsidRPr="001E6B15">
        <w:rPr>
          <w:rFonts w:ascii="Times New Roman" w:hAnsi="Times New Roman" w:cs="Times New Roman"/>
          <w:position w:val="6"/>
          <w:sz w:val="24"/>
          <w:szCs w:val="24"/>
          <w:vertAlign w:val="superscript"/>
          <w:lang w:val="en-US"/>
        </w:rPr>
        <w:t>90</w:t>
      </w:r>
      <w:r w:rsidRPr="001E6B15">
        <w:rPr>
          <w:rFonts w:ascii="Times New Roman" w:hAnsi="Times New Roman" w:cs="Times New Roman"/>
          <w:sz w:val="24"/>
          <w:szCs w:val="24"/>
          <w:lang w:val="en-US"/>
        </w:rPr>
        <w:t>Y were within the range of 10</w:t>
      </w:r>
      <w:r w:rsidR="00486BED">
        <w:rPr>
          <w:rFonts w:ascii="Times New Roman" w:hAnsi="Times New Roman" w:cs="Times New Roman"/>
          <w:sz w:val="24"/>
          <w:szCs w:val="24"/>
          <w:lang w:val="en-US"/>
        </w:rPr>
        <w:t xml:space="preserve"> </w:t>
      </w:r>
      <w:r w:rsidRPr="001E6B15">
        <w:rPr>
          <w:rFonts w:ascii="Times New Roman" w:hAnsi="Times New Roman" w:cs="Times New Roman"/>
          <w:sz w:val="24"/>
          <w:szCs w:val="24"/>
          <w:lang w:val="en-US"/>
        </w:rPr>
        <w:t>-</w:t>
      </w:r>
      <w:r w:rsidR="00486BED">
        <w:rPr>
          <w:rFonts w:ascii="Times New Roman" w:hAnsi="Times New Roman" w:cs="Times New Roman"/>
          <w:sz w:val="24"/>
          <w:szCs w:val="24"/>
          <w:lang w:val="en-US"/>
        </w:rPr>
        <w:t xml:space="preserve"> </w:t>
      </w:r>
      <w:r w:rsidRPr="001E6B15">
        <w:rPr>
          <w:rFonts w:ascii="Times New Roman" w:hAnsi="Times New Roman" w:cs="Times New Roman"/>
          <w:sz w:val="24"/>
          <w:szCs w:val="24"/>
          <w:lang w:val="en-US"/>
        </w:rPr>
        <w:t xml:space="preserve">110 mGy; cumulative internal doses due to </w:t>
      </w:r>
      <w:r w:rsidRPr="001E6B15">
        <w:rPr>
          <w:rFonts w:ascii="Times New Roman" w:hAnsi="Times New Roman" w:cs="Times New Roman"/>
          <w:position w:val="6"/>
          <w:sz w:val="24"/>
          <w:szCs w:val="24"/>
          <w:vertAlign w:val="superscript"/>
          <w:lang w:val="en-US"/>
        </w:rPr>
        <w:t>137</w:t>
      </w:r>
      <w:r w:rsidRPr="001E6B15">
        <w:rPr>
          <w:rFonts w:ascii="Times New Roman" w:hAnsi="Times New Roman" w:cs="Times New Roman"/>
          <w:sz w:val="24"/>
          <w:szCs w:val="24"/>
        </w:rPr>
        <w:t>С</w:t>
      </w:r>
      <w:r w:rsidRPr="001E6B15">
        <w:rPr>
          <w:rFonts w:ascii="Times New Roman" w:hAnsi="Times New Roman" w:cs="Times New Roman"/>
          <w:sz w:val="24"/>
          <w:szCs w:val="24"/>
          <w:lang w:val="en-US"/>
        </w:rPr>
        <w:t>s/</w:t>
      </w:r>
      <w:r w:rsidRPr="001E6B15">
        <w:rPr>
          <w:rFonts w:ascii="Times New Roman" w:hAnsi="Times New Roman" w:cs="Times New Roman"/>
          <w:position w:val="6"/>
          <w:sz w:val="24"/>
          <w:szCs w:val="24"/>
          <w:vertAlign w:val="superscript"/>
          <w:lang w:val="en-US"/>
        </w:rPr>
        <w:t>137m</w:t>
      </w:r>
      <w:r w:rsidRPr="001E6B15">
        <w:rPr>
          <w:rFonts w:ascii="Times New Roman" w:hAnsi="Times New Roman" w:cs="Times New Roman"/>
          <w:sz w:val="24"/>
          <w:szCs w:val="24"/>
          <w:lang w:val="en-US"/>
        </w:rPr>
        <w:t>Ba depend on the distance from the site of releases</w:t>
      </w:r>
      <w:r w:rsidR="00344159" w:rsidRPr="001E6B15">
        <w:rPr>
          <w:rFonts w:ascii="Times New Roman" w:hAnsi="Times New Roman" w:cs="Times New Roman"/>
          <w:sz w:val="24"/>
          <w:szCs w:val="24"/>
          <w:lang w:val="en-US"/>
        </w:rPr>
        <w:t>,</w:t>
      </w:r>
      <w:r w:rsidRPr="001E6B15">
        <w:rPr>
          <w:rFonts w:ascii="Times New Roman" w:hAnsi="Times New Roman" w:cs="Times New Roman"/>
          <w:sz w:val="24"/>
          <w:szCs w:val="24"/>
          <w:lang w:val="en-US"/>
        </w:rPr>
        <w:t xml:space="preserve"> and varied from 1 mGy up to 90 mGy; mean external doses were maximum </w:t>
      </w:r>
      <w:r w:rsidR="00486BED">
        <w:rPr>
          <w:rFonts w:ascii="Times New Roman" w:hAnsi="Times New Roman" w:cs="Times New Roman"/>
          <w:sz w:val="24"/>
          <w:szCs w:val="24"/>
          <w:lang w:val="en-US"/>
        </w:rPr>
        <w:t xml:space="preserve">for </w:t>
      </w:r>
      <w:r w:rsidRPr="001E6B15">
        <w:rPr>
          <w:rFonts w:ascii="Times New Roman" w:hAnsi="Times New Roman" w:cs="Times New Roman"/>
          <w:sz w:val="24"/>
          <w:szCs w:val="24"/>
          <w:lang w:val="en-US"/>
        </w:rPr>
        <w:t xml:space="preserve">settlements located </w:t>
      </w:r>
      <w:r w:rsidR="00486BED">
        <w:rPr>
          <w:rFonts w:ascii="Times New Roman" w:hAnsi="Times New Roman" w:cs="Times New Roman"/>
          <w:sz w:val="24"/>
          <w:szCs w:val="24"/>
          <w:lang w:val="en-US"/>
        </w:rPr>
        <w:t>at</w:t>
      </w:r>
      <w:r w:rsidRPr="001E6B15">
        <w:rPr>
          <w:rFonts w:ascii="Times New Roman" w:hAnsi="Times New Roman" w:cs="Times New Roman"/>
          <w:sz w:val="24"/>
          <w:szCs w:val="24"/>
          <w:lang w:val="en-US"/>
        </w:rPr>
        <w:t xml:space="preserve"> the banks of stagnant reservoirs (~500 mGy); </w:t>
      </w:r>
      <w:r w:rsidR="00135FE2">
        <w:rPr>
          <w:rFonts w:ascii="Times New Roman" w:hAnsi="Times New Roman" w:cs="Times New Roman"/>
          <w:sz w:val="24"/>
          <w:szCs w:val="24"/>
          <w:lang w:val="en-US"/>
        </w:rPr>
        <w:t xml:space="preserve">in contrast, </w:t>
      </w:r>
      <w:r w:rsidRPr="001E6B15">
        <w:rPr>
          <w:rFonts w:ascii="Times New Roman" w:hAnsi="Times New Roman" w:cs="Times New Roman"/>
          <w:sz w:val="24"/>
          <w:szCs w:val="24"/>
          <w:lang w:val="en-US"/>
        </w:rPr>
        <w:t xml:space="preserve">external doses </w:t>
      </w:r>
      <w:r w:rsidR="00135FE2">
        <w:rPr>
          <w:rFonts w:ascii="Times New Roman" w:hAnsi="Times New Roman" w:cs="Times New Roman"/>
          <w:sz w:val="24"/>
          <w:szCs w:val="24"/>
          <w:lang w:val="en-US"/>
        </w:rPr>
        <w:t>for</w:t>
      </w:r>
      <w:r w:rsidR="00344159" w:rsidRPr="001E6B15">
        <w:rPr>
          <w:rFonts w:ascii="Times New Roman" w:hAnsi="Times New Roman" w:cs="Times New Roman"/>
          <w:sz w:val="24"/>
          <w:szCs w:val="24"/>
          <w:lang w:val="en-US"/>
        </w:rPr>
        <w:t xml:space="preserve"> </w:t>
      </w:r>
      <w:r w:rsidRPr="001E6B15">
        <w:rPr>
          <w:rFonts w:ascii="Times New Roman" w:hAnsi="Times New Roman" w:cs="Times New Roman"/>
          <w:sz w:val="24"/>
          <w:szCs w:val="24"/>
          <w:lang w:val="en-US"/>
        </w:rPr>
        <w:t>settlements located along the free-f</w:t>
      </w:r>
      <w:r w:rsidR="00047812" w:rsidRPr="001E6B15">
        <w:rPr>
          <w:rFonts w:ascii="Times New Roman" w:hAnsi="Times New Roman" w:cs="Times New Roman"/>
          <w:sz w:val="24"/>
          <w:szCs w:val="24"/>
          <w:lang w:val="en-US"/>
        </w:rPr>
        <w:t>l</w:t>
      </w:r>
      <w:r w:rsidR="00315BAF" w:rsidRPr="001E6B15">
        <w:rPr>
          <w:rFonts w:ascii="Times New Roman" w:hAnsi="Times New Roman" w:cs="Times New Roman"/>
          <w:sz w:val="24"/>
          <w:szCs w:val="24"/>
          <w:lang w:val="en-US"/>
        </w:rPr>
        <w:t>ow</w:t>
      </w:r>
      <w:r w:rsidRPr="001E6B15">
        <w:rPr>
          <w:rFonts w:ascii="Times New Roman" w:hAnsi="Times New Roman" w:cs="Times New Roman"/>
          <w:sz w:val="24"/>
          <w:szCs w:val="24"/>
          <w:lang w:val="en-US"/>
        </w:rPr>
        <w:t>ing river stream did not exceed 160 mGy</w:t>
      </w:r>
      <w:r w:rsidR="00344159" w:rsidRPr="001E6B15">
        <w:rPr>
          <w:rFonts w:ascii="Times New Roman" w:hAnsi="Times New Roman" w:cs="Times New Roman"/>
          <w:sz w:val="24"/>
          <w:szCs w:val="24"/>
          <w:lang w:val="en-US"/>
        </w:rPr>
        <w:t>,</w:t>
      </w:r>
      <w:r w:rsidRPr="001E6B15">
        <w:rPr>
          <w:rFonts w:ascii="Times New Roman" w:hAnsi="Times New Roman" w:cs="Times New Roman"/>
          <w:sz w:val="24"/>
          <w:szCs w:val="24"/>
          <w:lang w:val="en-US"/>
        </w:rPr>
        <w:t xml:space="preserve"> and decreased </w:t>
      </w:r>
      <w:r w:rsidR="00135FE2">
        <w:rPr>
          <w:rFonts w:ascii="Times New Roman" w:hAnsi="Times New Roman" w:cs="Times New Roman"/>
          <w:sz w:val="24"/>
          <w:szCs w:val="24"/>
          <w:lang w:val="en-US"/>
        </w:rPr>
        <w:t xml:space="preserve">downstream </w:t>
      </w:r>
      <w:r w:rsidRPr="001E6B15">
        <w:rPr>
          <w:rFonts w:ascii="Times New Roman" w:hAnsi="Times New Roman" w:cs="Times New Roman"/>
          <w:sz w:val="24"/>
          <w:szCs w:val="24"/>
          <w:lang w:val="en-US"/>
        </w:rPr>
        <w:t xml:space="preserve">with </w:t>
      </w:r>
      <w:r w:rsidR="00135FE2">
        <w:rPr>
          <w:rFonts w:ascii="Times New Roman" w:hAnsi="Times New Roman" w:cs="Times New Roman"/>
          <w:sz w:val="24"/>
          <w:szCs w:val="24"/>
          <w:lang w:val="en-US"/>
        </w:rPr>
        <w:t xml:space="preserve">increasing </w:t>
      </w:r>
      <w:r w:rsidRPr="001E6B15">
        <w:rPr>
          <w:rFonts w:ascii="Times New Roman" w:hAnsi="Times New Roman" w:cs="Times New Roman"/>
          <w:sz w:val="24"/>
          <w:szCs w:val="24"/>
          <w:lang w:val="en-US"/>
        </w:rPr>
        <w:t xml:space="preserve">distance </w:t>
      </w:r>
      <w:r w:rsidR="00135FE2">
        <w:rPr>
          <w:rFonts w:ascii="Times New Roman" w:hAnsi="Times New Roman" w:cs="Times New Roman"/>
          <w:sz w:val="24"/>
          <w:szCs w:val="24"/>
          <w:lang w:val="en-US"/>
        </w:rPr>
        <w:t>from the site of release</w:t>
      </w:r>
      <w:r w:rsidRPr="001E6B15">
        <w:rPr>
          <w:rFonts w:ascii="Times New Roman" w:hAnsi="Times New Roman" w:cs="Times New Roman"/>
          <w:sz w:val="24"/>
          <w:szCs w:val="24"/>
          <w:lang w:val="en-US"/>
        </w:rPr>
        <w:t xml:space="preserve">. </w:t>
      </w:r>
      <w:r w:rsidR="005C02D2">
        <w:rPr>
          <w:rFonts w:ascii="Times New Roman" w:hAnsi="Times New Roman" w:cs="Times New Roman"/>
          <w:sz w:val="24"/>
          <w:szCs w:val="24"/>
          <w:lang w:val="en-US"/>
        </w:rPr>
        <w:t>E</w:t>
      </w:r>
      <w:r w:rsidRPr="001E6B15">
        <w:rPr>
          <w:rFonts w:ascii="Times New Roman" w:hAnsi="Times New Roman" w:cs="Times New Roman"/>
          <w:sz w:val="24"/>
          <w:szCs w:val="24"/>
          <w:lang w:val="en-US"/>
        </w:rPr>
        <w:t xml:space="preserve">xternal enamel doses calculated </w:t>
      </w:r>
      <w:r w:rsidR="00344159" w:rsidRPr="001E6B15">
        <w:rPr>
          <w:rFonts w:ascii="Times New Roman" w:hAnsi="Times New Roman" w:cs="Times New Roman"/>
          <w:sz w:val="24"/>
          <w:szCs w:val="24"/>
          <w:lang w:val="en-US"/>
        </w:rPr>
        <w:t>using</w:t>
      </w:r>
      <w:r w:rsidRPr="001E6B15">
        <w:rPr>
          <w:rFonts w:ascii="Times New Roman" w:hAnsi="Times New Roman" w:cs="Times New Roman"/>
          <w:sz w:val="24"/>
          <w:szCs w:val="24"/>
          <w:lang w:val="en-US"/>
        </w:rPr>
        <w:t xml:space="preserve"> the TRDS code and derived from </w:t>
      </w:r>
      <w:r w:rsidR="00344159" w:rsidRPr="001E6B15">
        <w:rPr>
          <w:rFonts w:ascii="Times New Roman" w:hAnsi="Times New Roman" w:cs="Times New Roman"/>
          <w:sz w:val="24"/>
          <w:szCs w:val="24"/>
          <w:lang w:val="en-US"/>
        </w:rPr>
        <w:t xml:space="preserve">the </w:t>
      </w:r>
      <w:r w:rsidRPr="001E6B15">
        <w:rPr>
          <w:rFonts w:ascii="Times New Roman" w:hAnsi="Times New Roman" w:cs="Times New Roman"/>
          <w:sz w:val="24"/>
          <w:szCs w:val="24"/>
          <w:lang w:val="en-US"/>
        </w:rPr>
        <w:t>EPR measurements were found to be in good agreement.</w:t>
      </w:r>
    </w:p>
    <w:p w14:paraId="70BAA96C" w14:textId="77777777" w:rsidR="00310457" w:rsidRPr="001E6B15" w:rsidRDefault="00310457" w:rsidP="001E6B15">
      <w:pPr>
        <w:pStyle w:val="IRPABody2"/>
        <w:spacing w:line="360" w:lineRule="auto"/>
        <w:rPr>
          <w:lang w:val="en-US"/>
        </w:rPr>
      </w:pPr>
    </w:p>
    <w:p w14:paraId="4402812E" w14:textId="77777777" w:rsidR="00310457" w:rsidRPr="001E6B15" w:rsidRDefault="00310457" w:rsidP="001E6B15">
      <w:pPr>
        <w:pStyle w:val="IRPABody2"/>
        <w:spacing w:line="360" w:lineRule="auto"/>
        <w:rPr>
          <w:lang w:val="en-US"/>
        </w:rPr>
      </w:pPr>
      <w:r w:rsidRPr="001E6B15">
        <w:rPr>
          <w:lang w:val="en-US"/>
        </w:rPr>
        <w:t xml:space="preserve">Keywords: EPR dosimetry, harmonization, background dose, the Techa River, </w:t>
      </w:r>
      <w:r w:rsidR="00344159" w:rsidRPr="001E6B15">
        <w:rPr>
          <w:lang w:val="en-US"/>
        </w:rPr>
        <w:t>S</w:t>
      </w:r>
      <w:r w:rsidRPr="001E6B15">
        <w:rPr>
          <w:lang w:val="en-US"/>
        </w:rPr>
        <w:t>trontium, environmental exposure</w:t>
      </w:r>
    </w:p>
    <w:p w14:paraId="2F229FBF" w14:textId="77777777" w:rsidR="00310457" w:rsidRDefault="00310457" w:rsidP="001E6B15">
      <w:pPr>
        <w:pStyle w:val="IRPABody2"/>
        <w:spacing w:line="360" w:lineRule="auto"/>
        <w:rPr>
          <w:lang w:val="en-US"/>
        </w:rPr>
      </w:pPr>
    </w:p>
    <w:p w14:paraId="5E573AA7" w14:textId="77777777" w:rsidR="001E6B15" w:rsidRPr="001E6B15" w:rsidRDefault="001E6B15" w:rsidP="001E6B15">
      <w:pPr>
        <w:pStyle w:val="IRPABody2"/>
        <w:spacing w:line="360" w:lineRule="auto"/>
        <w:rPr>
          <w:lang w:val="en-US"/>
        </w:rPr>
      </w:pPr>
    </w:p>
    <w:p w14:paraId="5371F175" w14:textId="77777777" w:rsidR="0061139B" w:rsidRDefault="0061139B">
      <w:pPr>
        <w:spacing w:after="160" w:line="259" w:lineRule="auto"/>
        <w:rPr>
          <w:rFonts w:ascii="Times New Roman" w:eastAsia="Times New Roman" w:hAnsi="Times New Roman" w:cs="Times New Roman"/>
          <w:b/>
          <w:bCs/>
          <w:sz w:val="24"/>
          <w:szCs w:val="24"/>
          <w:lang w:val="en-GB" w:eastAsia="fi-FI"/>
        </w:rPr>
      </w:pPr>
      <w:r>
        <w:rPr>
          <w:rFonts w:ascii="Times New Roman" w:hAnsi="Times New Roman" w:cs="Times New Roman"/>
          <w:sz w:val="24"/>
          <w:szCs w:val="24"/>
          <w:lang w:val="en-GB"/>
        </w:rPr>
        <w:br w:type="page"/>
      </w:r>
    </w:p>
    <w:p w14:paraId="5548F8B5" w14:textId="77777777" w:rsidR="00310457" w:rsidRPr="00486BED" w:rsidRDefault="00310457" w:rsidP="00486BED">
      <w:pPr>
        <w:pStyle w:val="IRPAHeading"/>
        <w:spacing w:before="0" w:after="240" w:line="360" w:lineRule="auto"/>
        <w:jc w:val="both"/>
        <w:rPr>
          <w:rFonts w:ascii="Times New Roman" w:hAnsi="Times New Roman" w:cs="Times New Roman"/>
          <w:color w:val="auto"/>
          <w:sz w:val="24"/>
          <w:szCs w:val="24"/>
          <w:lang w:val="en-GB"/>
        </w:rPr>
      </w:pPr>
      <w:r w:rsidRPr="00486BED">
        <w:rPr>
          <w:rFonts w:ascii="Times New Roman" w:hAnsi="Times New Roman" w:cs="Times New Roman"/>
          <w:color w:val="auto"/>
          <w:sz w:val="24"/>
          <w:szCs w:val="24"/>
          <w:lang w:val="en-GB"/>
        </w:rPr>
        <w:lastRenderedPageBreak/>
        <w:t>Introduction</w:t>
      </w:r>
    </w:p>
    <w:p w14:paraId="6B7A2479" w14:textId="77777777" w:rsidR="00310457" w:rsidRPr="00486BED" w:rsidRDefault="00310457" w:rsidP="00486BED">
      <w:pPr>
        <w:pStyle w:val="IRPABody1"/>
        <w:shd w:val="clear" w:color="auto" w:fill="FFFFFF" w:themeFill="background1"/>
        <w:spacing w:after="240" w:line="360" w:lineRule="auto"/>
        <w:ind w:firstLine="708"/>
        <w:rPr>
          <w:rStyle w:val="hps"/>
          <w:lang w:val="en"/>
        </w:rPr>
      </w:pPr>
      <w:r w:rsidRPr="00486BED">
        <w:t xml:space="preserve">The extensive increase in plutonium production at the Mayak Production Association (Southern Urals, Russia) in 1949–1956, as well as the absence of a reliable waste-management technology, resulted in significant releases of radioactive wastes into </w:t>
      </w:r>
      <w:r w:rsidR="00FE5795">
        <w:t>the</w:t>
      </w:r>
      <w:r w:rsidRPr="00486BED">
        <w:t xml:space="preserve"> rather small Techa River (Degteva et. al., 2012, Degteva et al., 2015). The mixture of released </w:t>
      </w:r>
      <w:r w:rsidR="00FE5795">
        <w:t xml:space="preserve">radioactive </w:t>
      </w:r>
      <w:r w:rsidRPr="00486BED">
        <w:t xml:space="preserve">fission products consisted mainly of </w:t>
      </w:r>
      <w:r w:rsidRPr="00486BED">
        <w:rPr>
          <w:vertAlign w:val="superscript"/>
        </w:rPr>
        <w:t>90</w:t>
      </w:r>
      <w:r w:rsidRPr="00486BED">
        <w:t xml:space="preserve">Sr, </w:t>
      </w:r>
      <w:r w:rsidRPr="00486BED">
        <w:rPr>
          <w:vertAlign w:val="superscript"/>
        </w:rPr>
        <w:t>89</w:t>
      </w:r>
      <w:r w:rsidRPr="00486BED">
        <w:t xml:space="preserve">Sr, </w:t>
      </w:r>
      <w:r w:rsidRPr="00486BED">
        <w:rPr>
          <w:vertAlign w:val="superscript"/>
        </w:rPr>
        <w:t>137</w:t>
      </w:r>
      <w:r w:rsidRPr="00486BED">
        <w:t xml:space="preserve">Cs, </w:t>
      </w:r>
      <w:r w:rsidRPr="00486BED">
        <w:rPr>
          <w:vertAlign w:val="superscript"/>
        </w:rPr>
        <w:t>106</w:t>
      </w:r>
      <w:r w:rsidRPr="00486BED">
        <w:t xml:space="preserve">Ru, </w:t>
      </w:r>
      <w:r w:rsidRPr="00486BED">
        <w:rPr>
          <w:vertAlign w:val="superscript"/>
        </w:rPr>
        <w:t>103</w:t>
      </w:r>
      <w:r w:rsidRPr="00486BED">
        <w:t xml:space="preserve">Ru, </w:t>
      </w:r>
      <w:r w:rsidRPr="00486BED">
        <w:rPr>
          <w:vertAlign w:val="superscript"/>
        </w:rPr>
        <w:t>95</w:t>
      </w:r>
      <w:r w:rsidRPr="00486BED">
        <w:t xml:space="preserve">Zr, </w:t>
      </w:r>
      <w:r w:rsidRPr="00486BED">
        <w:rPr>
          <w:vertAlign w:val="superscript"/>
        </w:rPr>
        <w:t>95</w:t>
      </w:r>
      <w:r w:rsidRPr="00486BED">
        <w:t xml:space="preserve">Nb, </w:t>
      </w:r>
      <w:r w:rsidRPr="00486BED">
        <w:rPr>
          <w:vertAlign w:val="superscript"/>
        </w:rPr>
        <w:t>144</w:t>
      </w:r>
      <w:r w:rsidRPr="00486BED">
        <w:t xml:space="preserve">Ce and </w:t>
      </w:r>
      <w:r w:rsidRPr="00486BED">
        <w:rPr>
          <w:vertAlign w:val="superscript"/>
        </w:rPr>
        <w:t>141</w:t>
      </w:r>
      <w:r w:rsidRPr="00486BED">
        <w:t xml:space="preserve">Ce. Two of them, viz, </w:t>
      </w:r>
      <w:r w:rsidRPr="00486BED">
        <w:rPr>
          <w:vertAlign w:val="superscript"/>
        </w:rPr>
        <w:t>90</w:t>
      </w:r>
      <w:r w:rsidRPr="00486BED">
        <w:t xml:space="preserve">Sr and </w:t>
      </w:r>
      <w:r w:rsidRPr="00486BED">
        <w:rPr>
          <w:vertAlign w:val="superscript"/>
        </w:rPr>
        <w:t>137</w:t>
      </w:r>
      <w:r w:rsidRPr="00486BED">
        <w:t xml:space="preserve">Cs, are long-lived </w:t>
      </w:r>
      <w:r w:rsidR="00FE5795">
        <w:t>radio</w:t>
      </w:r>
      <w:r w:rsidRPr="00486BED">
        <w:t>isotopes (</w:t>
      </w:r>
      <w:r w:rsidR="00FE5795">
        <w:t xml:space="preserve">physical </w:t>
      </w:r>
      <w:r w:rsidRPr="00486BED">
        <w:t>half</w:t>
      </w:r>
      <w:r w:rsidRPr="00486BED">
        <w:rPr>
          <w:lang w:val="en-US"/>
        </w:rPr>
        <w:t>-</w:t>
      </w:r>
      <w:r w:rsidRPr="00486BED">
        <w:t xml:space="preserve">lives are almost 30 years). This led to </w:t>
      </w:r>
      <w:r w:rsidR="001152C5" w:rsidRPr="00486BED">
        <w:t xml:space="preserve">a </w:t>
      </w:r>
      <w:r w:rsidRPr="00486BED">
        <w:t xml:space="preserve">chronic external and internal exposure of about 30,000 residents of riverside communities located downstream of the </w:t>
      </w:r>
      <w:r w:rsidR="00FE5795">
        <w:t xml:space="preserve">site of </w:t>
      </w:r>
      <w:r w:rsidRPr="00486BED">
        <w:t>release. Significant radionuclide intakes by the population occurred during the period of major releases (September 1950 – October 1951). Most of the settlements were located along the free-f</w:t>
      </w:r>
      <w:r w:rsidR="00047812" w:rsidRPr="00486BED">
        <w:t>l</w:t>
      </w:r>
      <w:r w:rsidR="00315BAF" w:rsidRPr="00486BED">
        <w:t>ow</w:t>
      </w:r>
      <w:r w:rsidRPr="00486BED">
        <w:t>ing Techa River</w:t>
      </w:r>
      <w:r w:rsidR="00344159" w:rsidRPr="00486BED">
        <w:t>,</w:t>
      </w:r>
      <w:r w:rsidRPr="00486BED">
        <w:t xml:space="preserve"> except for Metlino and Nadyrovo which were partially located </w:t>
      </w:r>
      <w:r w:rsidR="006B4531">
        <w:t>at</w:t>
      </w:r>
      <w:r w:rsidRPr="00486BED">
        <w:t xml:space="preserve"> the banks of stagnant waterbodies (Metlinsky Pond and a blind fork of the river, respectively), where radionuclides were accumulated abundantly. </w:t>
      </w:r>
      <w:r w:rsidR="006B4531">
        <w:t>E</w:t>
      </w:r>
      <w:r w:rsidRPr="00486BED">
        <w:t xml:space="preserve">xternal and internal doses were calculated </w:t>
      </w:r>
      <w:r w:rsidR="001152C5" w:rsidRPr="00486BED">
        <w:t>for the exposed population using</w:t>
      </w:r>
      <w:r w:rsidRPr="00486BED">
        <w:t xml:space="preserve"> </w:t>
      </w:r>
      <w:r w:rsidR="006B4531">
        <w:t>an approach</w:t>
      </w:r>
      <w:r w:rsidRPr="00486BED">
        <w:t xml:space="preserve"> known as the Techa River Dosimetry System (TRDS) (Degteva et al. 2000a, b; Napier et al. 2013). The </w:t>
      </w:r>
      <w:r w:rsidR="006B4531">
        <w:t xml:space="preserve">method of </w:t>
      </w:r>
      <w:r w:rsidRPr="00486BED">
        <w:t xml:space="preserve">Electron Paramagnetic Resonance (EPR) with tooth enamel was </w:t>
      </w:r>
      <w:r w:rsidRPr="00486BED">
        <w:rPr>
          <w:color w:val="auto"/>
        </w:rPr>
        <w:t>used as a method for external dosimetry in the Urals region</w:t>
      </w:r>
      <w:r w:rsidR="006B4531">
        <w:rPr>
          <w:color w:val="auto"/>
        </w:rPr>
        <w:t>,</w:t>
      </w:r>
      <w:r w:rsidRPr="00486BED">
        <w:rPr>
          <w:color w:val="auto"/>
        </w:rPr>
        <w:t xml:space="preserve"> to validate the TRDS </w:t>
      </w:r>
      <w:r w:rsidR="006B4531">
        <w:rPr>
          <w:color w:val="auto"/>
        </w:rPr>
        <w:t xml:space="preserve">dose estimates </w:t>
      </w:r>
      <w:r w:rsidRPr="00486BED">
        <w:rPr>
          <w:color w:val="auto"/>
        </w:rPr>
        <w:t xml:space="preserve">(Degteva et al., 1996, Shishkina et al., 2006, </w:t>
      </w:r>
      <w:r w:rsidRPr="00486BED">
        <w:t>Degteva et al., 2015</w:t>
      </w:r>
      <w:r w:rsidRPr="00486BED">
        <w:rPr>
          <w:color w:val="auto"/>
        </w:rPr>
        <w:t xml:space="preserve">). </w:t>
      </w:r>
      <w:r w:rsidRPr="00486BED">
        <w:rPr>
          <w:rStyle w:val="hps"/>
          <w:color w:val="auto"/>
          <w:lang w:val="en"/>
        </w:rPr>
        <w:t xml:space="preserve">The application of EPR for exposure situation on the Techa River is complicated by the presence of </w:t>
      </w:r>
      <w:r w:rsidRPr="00486BED">
        <w:rPr>
          <w:color w:val="auto"/>
          <w:lang w:val="en-US"/>
        </w:rPr>
        <w:t>long-lived bone-seeking</w:t>
      </w:r>
      <w:r w:rsidRPr="00486BED">
        <w:rPr>
          <w:color w:val="auto"/>
          <w:vertAlign w:val="superscript"/>
          <w:lang w:val="en-US"/>
        </w:rPr>
        <w:t xml:space="preserve"> 90</w:t>
      </w:r>
      <w:r w:rsidRPr="00486BED">
        <w:rPr>
          <w:color w:val="auto"/>
          <w:lang w:val="en-US"/>
        </w:rPr>
        <w:t xml:space="preserve">Sr </w:t>
      </w:r>
      <w:r w:rsidRPr="00486BED">
        <w:rPr>
          <w:rStyle w:val="hps"/>
          <w:color w:val="auto"/>
          <w:lang w:val="en"/>
        </w:rPr>
        <w:t>(Tolstykh et al. 2011)</w:t>
      </w:r>
      <w:r w:rsidRPr="00486BED">
        <w:rPr>
          <w:color w:val="auto"/>
          <w:lang w:val="en-US"/>
        </w:rPr>
        <w:t xml:space="preserve">, which </w:t>
      </w:r>
      <w:r w:rsidR="00E84BA8">
        <w:rPr>
          <w:color w:val="auto"/>
          <w:lang w:val="en-US"/>
        </w:rPr>
        <w:t>i</w:t>
      </w:r>
      <w:r w:rsidRPr="00486BED">
        <w:rPr>
          <w:color w:val="auto"/>
          <w:lang w:val="en-US"/>
        </w:rPr>
        <w:t xml:space="preserve">s expected to be the main source of chronic internal exposure of human calcified tissues, including tooth </w:t>
      </w:r>
      <w:r w:rsidRPr="008A0C14">
        <w:rPr>
          <w:color w:val="auto"/>
          <w:lang w:val="en-US"/>
        </w:rPr>
        <w:t xml:space="preserve">enamel. </w:t>
      </w:r>
      <w:r w:rsidR="001152C5" w:rsidRPr="008A0C14">
        <w:rPr>
          <w:lang w:val="en-US"/>
        </w:rPr>
        <w:t xml:space="preserve">The </w:t>
      </w:r>
      <w:r w:rsidR="001152C5" w:rsidRPr="008A0C14">
        <w:t>method</w:t>
      </w:r>
      <w:r w:rsidRPr="008A0C14">
        <w:t xml:space="preserve"> for evaluation of </w:t>
      </w:r>
      <w:r w:rsidR="001152C5" w:rsidRPr="008A0C14">
        <w:t xml:space="preserve">the </w:t>
      </w:r>
      <w:r w:rsidRPr="008A0C14">
        <w:t xml:space="preserve">internal dose in tooth enamel accumulated due to </w:t>
      </w:r>
      <w:r w:rsidR="001152C5" w:rsidRPr="008A0C14">
        <w:t xml:space="preserve">the </w:t>
      </w:r>
      <w:r w:rsidRPr="008A0C14">
        <w:t xml:space="preserve">disintegration of </w:t>
      </w:r>
      <w:r w:rsidRPr="008A0C14">
        <w:rPr>
          <w:vertAlign w:val="superscript"/>
        </w:rPr>
        <w:t>90</w:t>
      </w:r>
      <w:r w:rsidRPr="008A0C14">
        <w:t xml:space="preserve">Sr is based on </w:t>
      </w:r>
      <w:r w:rsidR="003F1BCE" w:rsidRPr="008A0C14">
        <w:t>tooth-</w:t>
      </w:r>
      <w:r w:rsidRPr="008A0C14">
        <w:t>tissue</w:t>
      </w:r>
      <w:r w:rsidR="003F1BCE" w:rsidRPr="008A0C14">
        <w:t xml:space="preserve"> </w:t>
      </w:r>
      <w:r w:rsidRPr="008A0C14">
        <w:t xml:space="preserve">specific </w:t>
      </w:r>
      <w:r w:rsidR="003F1BCE" w:rsidRPr="008A0C14">
        <w:t>radionuclide</w:t>
      </w:r>
      <w:r w:rsidRPr="008A0C14">
        <w:t xml:space="preserve"> concentrations and </w:t>
      </w:r>
      <w:r w:rsidR="00E61763" w:rsidRPr="008A0C14">
        <w:t xml:space="preserve">tooth-position </w:t>
      </w:r>
      <w:r w:rsidRPr="008A0C14">
        <w:t>specific dose coefficients (</w:t>
      </w:r>
      <w:r w:rsidRPr="008A0C14">
        <w:rPr>
          <w:rStyle w:val="hps"/>
          <w:lang w:val="en"/>
        </w:rPr>
        <w:t>Shved and Shishkina, 2000</w:t>
      </w:r>
      <w:r w:rsidRPr="008A0C14">
        <w:t>; Tikunov et al., 2006).</w:t>
      </w:r>
      <w:r w:rsidRPr="00486BED">
        <w:rPr>
          <w:rStyle w:val="hps"/>
          <w:lang w:val="en"/>
        </w:rPr>
        <w:t xml:space="preserve"> </w:t>
      </w:r>
    </w:p>
    <w:p w14:paraId="47D6254D" w14:textId="77777777" w:rsidR="00310457" w:rsidRPr="00486BED" w:rsidRDefault="00310457" w:rsidP="00486BED">
      <w:pPr>
        <w:pStyle w:val="IRPABody1"/>
        <w:shd w:val="clear" w:color="auto" w:fill="FFFFFF" w:themeFill="background1"/>
        <w:spacing w:after="240" w:line="360" w:lineRule="auto"/>
        <w:ind w:firstLine="708"/>
        <w:rPr>
          <w:lang w:val="en-US"/>
        </w:rPr>
      </w:pPr>
      <w:r w:rsidRPr="00486BED">
        <w:rPr>
          <w:lang w:val="en-US"/>
        </w:rPr>
        <w:t xml:space="preserve">The activity concentrations of </w:t>
      </w:r>
      <w:r w:rsidRPr="00486BED">
        <w:rPr>
          <w:vertAlign w:val="superscript"/>
          <w:lang w:val="en-US"/>
        </w:rPr>
        <w:t>90</w:t>
      </w:r>
      <w:r w:rsidRPr="00486BED">
        <w:rPr>
          <w:lang w:val="en-US"/>
        </w:rPr>
        <w:t xml:space="preserve">Sr in </w:t>
      </w:r>
      <w:r w:rsidR="001152C5" w:rsidRPr="00486BED">
        <w:rPr>
          <w:lang w:val="en-US"/>
        </w:rPr>
        <w:t xml:space="preserve">the </w:t>
      </w:r>
      <w:r w:rsidRPr="00486BED">
        <w:rPr>
          <w:lang w:val="en-US"/>
        </w:rPr>
        <w:t xml:space="preserve">tooth tissues of the Techa riverside residents are age dependent, and, even </w:t>
      </w:r>
      <w:r w:rsidRPr="00486BED">
        <w:rPr>
          <w:lang w:val="en-US" w:eastAsia="de-DE"/>
        </w:rPr>
        <w:t>60 years after the intakes,</w:t>
      </w:r>
      <w:r w:rsidRPr="00486BED">
        <w:rPr>
          <w:lang w:val="en-US"/>
        </w:rPr>
        <w:t xml:space="preserve"> the tooth contamination can be quite high </w:t>
      </w:r>
      <w:r w:rsidRPr="00486BED">
        <w:rPr>
          <w:rStyle w:val="hps"/>
          <w:lang w:val="en"/>
        </w:rPr>
        <w:t xml:space="preserve">for </w:t>
      </w:r>
      <w:r w:rsidR="00AE08F0">
        <w:rPr>
          <w:rStyle w:val="hps"/>
          <w:lang w:val="en"/>
        </w:rPr>
        <w:t>those</w:t>
      </w:r>
      <w:r w:rsidRPr="00486BED">
        <w:rPr>
          <w:rStyle w:val="hps"/>
          <w:lang w:val="en"/>
        </w:rPr>
        <w:t xml:space="preserve"> whose</w:t>
      </w:r>
      <w:r w:rsidRPr="00486BED">
        <w:rPr>
          <w:lang w:val="en"/>
        </w:rPr>
        <w:t xml:space="preserve"> </w:t>
      </w:r>
      <w:r w:rsidRPr="00486BED">
        <w:rPr>
          <w:rStyle w:val="hps"/>
          <w:lang w:val="en"/>
        </w:rPr>
        <w:t>dental tissues</w:t>
      </w:r>
      <w:r w:rsidRPr="00486BED">
        <w:rPr>
          <w:lang w:val="en"/>
        </w:rPr>
        <w:t xml:space="preserve"> had been maturing </w:t>
      </w:r>
      <w:r w:rsidRPr="00486BED">
        <w:rPr>
          <w:rStyle w:val="hps"/>
          <w:lang w:val="en"/>
        </w:rPr>
        <w:t xml:space="preserve">at the time of the massive releases. As was shown in Shishkina et al. (2014a), </w:t>
      </w:r>
      <w:r w:rsidRPr="00486BED">
        <w:rPr>
          <w:vertAlign w:val="superscript"/>
          <w:lang w:val="en-US"/>
        </w:rPr>
        <w:t>90</w:t>
      </w:r>
      <w:r w:rsidRPr="00486BED">
        <w:rPr>
          <w:lang w:val="en-US"/>
        </w:rPr>
        <w:t xml:space="preserve">Sr activity concentrations in 2010 ranged </w:t>
      </w:r>
      <w:r w:rsidRPr="00486BED">
        <w:rPr>
          <w:rStyle w:val="hps"/>
          <w:lang w:val="en"/>
        </w:rPr>
        <w:t>from</w:t>
      </w:r>
      <w:r w:rsidRPr="00486BED">
        <w:rPr>
          <w:lang w:val="en"/>
        </w:rPr>
        <w:t xml:space="preserve"> </w:t>
      </w:r>
      <w:r w:rsidRPr="00486BED">
        <w:rPr>
          <w:rStyle w:val="hps"/>
          <w:lang w:val="en"/>
        </w:rPr>
        <w:t>undetectable</w:t>
      </w:r>
      <w:r w:rsidRPr="00486BED">
        <w:rPr>
          <w:lang w:val="en"/>
        </w:rPr>
        <w:t xml:space="preserve"> </w:t>
      </w:r>
      <w:r w:rsidRPr="00486BED">
        <w:rPr>
          <w:rStyle w:val="hps"/>
          <w:lang w:val="en"/>
        </w:rPr>
        <w:t>values (&lt;</w:t>
      </w:r>
      <w:r w:rsidR="00AE08F0">
        <w:rPr>
          <w:rStyle w:val="hps"/>
          <w:lang w:val="en"/>
        </w:rPr>
        <w:t xml:space="preserve"> </w:t>
      </w:r>
      <w:r w:rsidRPr="00486BED">
        <w:rPr>
          <w:rStyle w:val="hps"/>
          <w:lang w:val="en"/>
        </w:rPr>
        <w:t>0.05 Bq g</w:t>
      </w:r>
      <w:r w:rsidRPr="00486BED">
        <w:rPr>
          <w:vertAlign w:val="superscript"/>
          <w:lang w:val="en"/>
        </w:rPr>
        <w:t>-1</w:t>
      </w:r>
      <w:r w:rsidRPr="00486BED">
        <w:rPr>
          <w:lang w:val="en"/>
        </w:rPr>
        <w:t>) up to 60</w:t>
      </w:r>
      <w:r w:rsidRPr="00486BED">
        <w:rPr>
          <w:rStyle w:val="hps"/>
          <w:lang w:val="en"/>
        </w:rPr>
        <w:t xml:space="preserve"> Bq</w:t>
      </w:r>
      <w:r w:rsidRPr="00486BED">
        <w:rPr>
          <w:lang w:val="en"/>
        </w:rPr>
        <w:t xml:space="preserve"> </w:t>
      </w:r>
      <w:r w:rsidRPr="00486BED">
        <w:rPr>
          <w:rStyle w:val="hps"/>
          <w:lang w:val="en"/>
        </w:rPr>
        <w:t>g</w:t>
      </w:r>
      <w:r w:rsidRPr="00486BED">
        <w:rPr>
          <w:vertAlign w:val="superscript"/>
          <w:lang w:val="en"/>
        </w:rPr>
        <w:t>-1</w:t>
      </w:r>
      <w:r w:rsidRPr="00486BED">
        <w:rPr>
          <w:rStyle w:val="hps"/>
          <w:lang w:val="en"/>
        </w:rPr>
        <w:t xml:space="preserve">. High activity concentrations </w:t>
      </w:r>
      <w:r w:rsidRPr="00486BED">
        <w:rPr>
          <w:lang w:val="en"/>
        </w:rPr>
        <w:t>were</w:t>
      </w:r>
      <w:r w:rsidRPr="00486BED">
        <w:rPr>
          <w:lang w:val="en-US"/>
        </w:rPr>
        <w:t xml:space="preserve"> observed in </w:t>
      </w:r>
      <w:r w:rsidR="001152C5" w:rsidRPr="00486BED">
        <w:rPr>
          <w:lang w:val="en-US"/>
        </w:rPr>
        <w:t xml:space="preserve">the </w:t>
      </w:r>
      <w:r w:rsidRPr="00486BED">
        <w:rPr>
          <w:rStyle w:val="hps"/>
          <w:lang w:val="en"/>
        </w:rPr>
        <w:t>enamel of teeth with crown</w:t>
      </w:r>
      <w:r w:rsidR="00AE08F0">
        <w:rPr>
          <w:rStyle w:val="hps"/>
          <w:lang w:val="en"/>
        </w:rPr>
        <w:t>s</w:t>
      </w:r>
      <w:r w:rsidRPr="00486BED">
        <w:rPr>
          <w:rStyle w:val="hps"/>
          <w:lang w:val="en"/>
        </w:rPr>
        <w:t xml:space="preserve"> aged </w:t>
      </w:r>
      <w:r w:rsidR="00B02A8B">
        <w:rPr>
          <w:rStyle w:val="hps"/>
          <w:lang w:val="en"/>
        </w:rPr>
        <w:t>less than</w:t>
      </w:r>
      <w:r w:rsidRPr="00486BED">
        <w:rPr>
          <w:rStyle w:val="hps"/>
          <w:lang w:val="en"/>
        </w:rPr>
        <w:t xml:space="preserve"> 6 years (from </w:t>
      </w:r>
      <w:r w:rsidR="001152C5" w:rsidRPr="00486BED">
        <w:rPr>
          <w:rStyle w:val="hps"/>
          <w:lang w:val="en"/>
        </w:rPr>
        <w:t xml:space="preserve">the </w:t>
      </w:r>
      <w:r w:rsidRPr="00486BED">
        <w:rPr>
          <w:rStyle w:val="hps"/>
          <w:lang w:val="en"/>
        </w:rPr>
        <w:t>beginning of enamel mineralization) in September 1950</w:t>
      </w:r>
      <w:r w:rsidR="00B02A8B">
        <w:rPr>
          <w:rStyle w:val="hps"/>
          <w:lang w:val="en"/>
        </w:rPr>
        <w:t xml:space="preserve">, which </w:t>
      </w:r>
      <w:r w:rsidRPr="00486BED">
        <w:rPr>
          <w:rStyle w:val="hps"/>
          <w:lang w:val="en"/>
        </w:rPr>
        <w:t xml:space="preserve">resulted in extra-high EPR doses (Shishkina et al., 2011a) </w:t>
      </w:r>
      <w:r w:rsidR="00F76121">
        <w:rPr>
          <w:rStyle w:val="hps"/>
          <w:lang w:val="en"/>
        </w:rPr>
        <w:t xml:space="preserve">of </w:t>
      </w:r>
      <w:r w:rsidRPr="00486BED">
        <w:rPr>
          <w:rStyle w:val="hps"/>
          <w:lang w:val="en"/>
        </w:rPr>
        <w:t xml:space="preserve">up to 60 Gy. Therefore, </w:t>
      </w:r>
      <w:r w:rsidRPr="00486BED">
        <w:rPr>
          <w:rStyle w:val="hps"/>
          <w:lang w:val="en-US"/>
        </w:rPr>
        <w:t xml:space="preserve">only the teeth with crowns completed at the time of maximum releases can be used </w:t>
      </w:r>
      <w:r w:rsidRPr="00486BED">
        <w:rPr>
          <w:rStyle w:val="hps"/>
          <w:lang w:val="en"/>
        </w:rPr>
        <w:t>for external EPR dosimetry</w:t>
      </w:r>
      <w:r w:rsidR="00F76121">
        <w:rPr>
          <w:rStyle w:val="hps"/>
          <w:lang w:val="en"/>
        </w:rPr>
        <w:t>,</w:t>
      </w:r>
      <w:r w:rsidRPr="00486BED">
        <w:rPr>
          <w:rStyle w:val="hps"/>
          <w:lang w:val="en"/>
        </w:rPr>
        <w:t xml:space="preserve"> to minimize the impact of incorporated </w:t>
      </w:r>
      <w:r w:rsidRPr="00486BED">
        <w:rPr>
          <w:rStyle w:val="hps"/>
          <w:vertAlign w:val="superscript"/>
          <w:lang w:val="en"/>
        </w:rPr>
        <w:t>90</w:t>
      </w:r>
      <w:r w:rsidRPr="00486BED">
        <w:rPr>
          <w:rStyle w:val="hps"/>
          <w:lang w:val="en"/>
        </w:rPr>
        <w:t>Sr. Dose co</w:t>
      </w:r>
      <w:r w:rsidRPr="00486BED">
        <w:t>efficients</w:t>
      </w:r>
      <w:r w:rsidRPr="00486BED">
        <w:rPr>
          <w:rStyle w:val="hps"/>
          <w:lang w:val="en"/>
        </w:rPr>
        <w:t xml:space="preserve"> were calculated using Monte Carlo simulation of electron-photon transport in tooth tissues (Shishkina et al., 2006; Tikunov et al., 2006</w:t>
      </w:r>
      <w:r w:rsidRPr="00486BED">
        <w:rPr>
          <w:rStyle w:val="hps"/>
          <w:lang w:val="en-US"/>
        </w:rPr>
        <w:t>;</w:t>
      </w:r>
      <w:r w:rsidRPr="00486BED">
        <w:rPr>
          <w:rStyle w:val="hps"/>
          <w:lang w:val="en"/>
        </w:rPr>
        <w:t xml:space="preserve"> Volchkova et al., 2009). </w:t>
      </w:r>
    </w:p>
    <w:p w14:paraId="7D61D1D0" w14:textId="77777777" w:rsidR="00310457" w:rsidRPr="00486BED" w:rsidRDefault="00310457" w:rsidP="00486BED">
      <w:pPr>
        <w:pStyle w:val="IRPABody1"/>
        <w:shd w:val="clear" w:color="auto" w:fill="FFFFFF" w:themeFill="background1"/>
        <w:spacing w:after="240" w:line="360" w:lineRule="auto"/>
        <w:ind w:firstLine="708"/>
        <w:rPr>
          <w:lang w:val="en-US"/>
        </w:rPr>
      </w:pPr>
      <w:r w:rsidRPr="00486BED">
        <w:rPr>
          <w:color w:val="auto"/>
          <w:lang w:val="en-US"/>
        </w:rPr>
        <w:t xml:space="preserve">Besides, the short-lived </w:t>
      </w:r>
      <w:r w:rsidRPr="00486BED">
        <w:rPr>
          <w:color w:val="auto"/>
          <w:vertAlign w:val="superscript"/>
          <w:lang w:val="en-US"/>
        </w:rPr>
        <w:t>89</w:t>
      </w:r>
      <w:r w:rsidRPr="00486BED">
        <w:rPr>
          <w:color w:val="auto"/>
          <w:lang w:val="en-US"/>
        </w:rPr>
        <w:t xml:space="preserve">Sr </w:t>
      </w:r>
      <w:r w:rsidR="00F76121">
        <w:rPr>
          <w:color w:val="auto"/>
          <w:lang w:val="en-US"/>
        </w:rPr>
        <w:t xml:space="preserve">also </w:t>
      </w:r>
      <w:r w:rsidRPr="00486BED">
        <w:rPr>
          <w:color w:val="auto"/>
          <w:lang w:val="en-US"/>
        </w:rPr>
        <w:t xml:space="preserve">irradiated the enamel to some extent within a short time period after the releases. Additionally, </w:t>
      </w:r>
      <w:r w:rsidRPr="00486BED">
        <w:rPr>
          <w:color w:val="auto"/>
          <w:vertAlign w:val="superscript"/>
          <w:lang w:val="en-US"/>
        </w:rPr>
        <w:t>137</w:t>
      </w:r>
      <w:r w:rsidRPr="00486BED">
        <w:rPr>
          <w:color w:val="auto"/>
          <w:lang w:val="en-US"/>
        </w:rPr>
        <w:t xml:space="preserve">Cs, which was </w:t>
      </w:r>
      <w:r w:rsidRPr="00486BED">
        <w:rPr>
          <w:color w:val="auto"/>
          <w:shd w:val="clear" w:color="auto" w:fill="FFFFFF"/>
        </w:rPr>
        <w:t>incorporated</w:t>
      </w:r>
      <w:r w:rsidRPr="00486BED">
        <w:rPr>
          <w:color w:val="auto"/>
          <w:lang w:val="en-US"/>
        </w:rPr>
        <w:t xml:space="preserve"> in soft tissues, contributed to </w:t>
      </w:r>
      <w:r w:rsidR="004F572C" w:rsidRPr="00486BED">
        <w:rPr>
          <w:color w:val="auto"/>
          <w:lang w:val="en-US"/>
        </w:rPr>
        <w:t xml:space="preserve">the </w:t>
      </w:r>
      <w:r w:rsidRPr="00486BED">
        <w:rPr>
          <w:color w:val="auto"/>
          <w:lang w:val="en-US"/>
        </w:rPr>
        <w:t>internal enamel dose</w:t>
      </w:r>
      <w:r w:rsidR="00F76121">
        <w:rPr>
          <w:color w:val="auto"/>
          <w:lang w:val="en-US"/>
        </w:rPr>
        <w:t>,</w:t>
      </w:r>
      <w:r w:rsidRPr="00486BED">
        <w:rPr>
          <w:color w:val="auto"/>
          <w:lang w:val="en-US"/>
        </w:rPr>
        <w:t xml:space="preserve"> too. </w:t>
      </w:r>
      <w:r w:rsidRPr="00486BED">
        <w:rPr>
          <w:lang w:val="en-US"/>
        </w:rPr>
        <w:t xml:space="preserve">The Upper Techa area (up to 70 km from the site of releases) is characterized by </w:t>
      </w:r>
      <w:r w:rsidR="004F572C" w:rsidRPr="00486BED">
        <w:rPr>
          <w:lang w:val="en-US"/>
        </w:rPr>
        <w:t xml:space="preserve">a </w:t>
      </w:r>
      <w:r w:rsidRPr="00486BED">
        <w:rPr>
          <w:lang w:val="en-US"/>
        </w:rPr>
        <w:t xml:space="preserve">most significant </w:t>
      </w:r>
      <w:r w:rsidRPr="00486BED">
        <w:rPr>
          <w:vertAlign w:val="superscript"/>
          <w:lang w:val="en-US"/>
        </w:rPr>
        <w:t>137</w:t>
      </w:r>
      <w:r w:rsidRPr="00486BED">
        <w:rPr>
          <w:lang w:val="en-US"/>
        </w:rPr>
        <w:t>Cs contamination of the floodplain.</w:t>
      </w:r>
      <w:r w:rsidRPr="00486BED">
        <w:t xml:space="preserve"> </w:t>
      </w:r>
      <w:r w:rsidRPr="00486BED">
        <w:rPr>
          <w:color w:val="auto"/>
          <w:lang w:val="en-US"/>
        </w:rPr>
        <w:t xml:space="preserve">As was shown in Tolstykh et al. (2013), </w:t>
      </w:r>
      <w:r w:rsidRPr="00486BED">
        <w:rPr>
          <w:color w:val="auto"/>
          <w:vertAlign w:val="superscript"/>
          <w:lang w:val="en-US"/>
        </w:rPr>
        <w:t>137</w:t>
      </w:r>
      <w:r w:rsidRPr="00486BED">
        <w:rPr>
          <w:color w:val="auto"/>
          <w:lang w:val="en-US"/>
        </w:rPr>
        <w:t xml:space="preserve">Cs </w:t>
      </w:r>
      <w:r w:rsidRPr="00486BED">
        <w:rPr>
          <w:lang w:val="en-US"/>
        </w:rPr>
        <w:t xml:space="preserve">intakes </w:t>
      </w:r>
      <w:r w:rsidR="00F76121">
        <w:rPr>
          <w:lang w:val="en-US"/>
        </w:rPr>
        <w:t xml:space="preserve">of the population </w:t>
      </w:r>
      <w:r w:rsidRPr="00486BED">
        <w:rPr>
          <w:lang w:val="en-US"/>
        </w:rPr>
        <w:t>were mainly due to drinking cows’ milk contaminated via the floodplain soil→grass→milk pathway.</w:t>
      </w:r>
    </w:p>
    <w:p w14:paraId="2CBB0669" w14:textId="77777777" w:rsidR="00310457" w:rsidRPr="00486BED" w:rsidRDefault="00F76121" w:rsidP="00486BED">
      <w:pPr>
        <w:pStyle w:val="IRPABody2"/>
        <w:spacing w:after="240" w:line="360" w:lineRule="auto"/>
      </w:pPr>
      <w:r>
        <w:t>It is noted that</w:t>
      </w:r>
      <w:r w:rsidR="004F572C" w:rsidRPr="00486BED">
        <w:t xml:space="preserve"> i</w:t>
      </w:r>
      <w:r w:rsidR="00310457" w:rsidRPr="00486BED">
        <w:t>nternal enamel doses do not reflect the level of exposure of human vital organs because of significant difference</w:t>
      </w:r>
      <w:r>
        <w:t>s</w:t>
      </w:r>
      <w:r w:rsidR="00310457" w:rsidRPr="00486BED">
        <w:t xml:space="preserve"> between </w:t>
      </w:r>
      <w:r w:rsidR="004F572C" w:rsidRPr="00486BED">
        <w:t xml:space="preserve">mineral turnovers of </w:t>
      </w:r>
      <w:r w:rsidR="00310457" w:rsidRPr="00486BED">
        <w:t>teeth and organ</w:t>
      </w:r>
      <w:r w:rsidR="004F572C" w:rsidRPr="00486BED">
        <w:t>s</w:t>
      </w:r>
      <w:r w:rsidR="00310457" w:rsidRPr="00486BED">
        <w:t xml:space="preserve"> (including </w:t>
      </w:r>
      <w:r w:rsidR="004F572C" w:rsidRPr="00486BED">
        <w:t xml:space="preserve">the </w:t>
      </w:r>
      <w:r w:rsidR="00310457" w:rsidRPr="00486BED">
        <w:t xml:space="preserve">skeleton) (Tolstykh et al, 2000). </w:t>
      </w:r>
      <w:r w:rsidR="00310457" w:rsidRPr="00486BED">
        <w:rPr>
          <w:lang w:val="en-US"/>
        </w:rPr>
        <w:t>The e</w:t>
      </w:r>
      <w:r w:rsidR="00310457" w:rsidRPr="00486BED">
        <w:t xml:space="preserve">xternal dose </w:t>
      </w:r>
      <w:r w:rsidRPr="00AF752C">
        <w:rPr>
          <w:highlight w:val="yellow"/>
        </w:rPr>
        <w:t xml:space="preserve">to a tooth </w:t>
      </w:r>
      <w:r w:rsidR="003F1BCE" w:rsidRPr="00AF752C">
        <w:rPr>
          <w:highlight w:val="yellow"/>
        </w:rPr>
        <w:t>enamel</w:t>
      </w:r>
      <w:r>
        <w:t xml:space="preserve"> </w:t>
      </w:r>
      <w:r w:rsidR="00310457" w:rsidRPr="00486BED">
        <w:t xml:space="preserve">can be derived from </w:t>
      </w:r>
      <w:r>
        <w:t>the</w:t>
      </w:r>
      <w:r w:rsidR="00310457" w:rsidRPr="00486BED">
        <w:t xml:space="preserve"> cumulative dose </w:t>
      </w:r>
      <w:r>
        <w:t xml:space="preserve">detected by EPR </w:t>
      </w:r>
      <w:r w:rsidR="00310457" w:rsidRPr="00486BED">
        <w:t>by subtraction of internal and background contribution</w:t>
      </w:r>
      <w:r>
        <w:t>s to cumulative dose</w:t>
      </w:r>
      <w:r w:rsidR="00310457" w:rsidRPr="00486BED">
        <w:t xml:space="preserve">. The background dose is </w:t>
      </w:r>
      <w:r w:rsidR="00DA502F">
        <w:t>the</w:t>
      </w:r>
      <w:r w:rsidR="00310457" w:rsidRPr="00486BED">
        <w:t xml:space="preserve"> dose accumulated due to background radiation (</w:t>
      </w:r>
      <w:r w:rsidR="00D95593">
        <w:t xml:space="preserve">including </w:t>
      </w:r>
      <w:r w:rsidR="00310457" w:rsidRPr="00486BED">
        <w:t xml:space="preserve">cosmic rays, </w:t>
      </w:r>
      <w:r w:rsidR="00AA73DA">
        <w:t xml:space="preserve">and </w:t>
      </w:r>
      <w:r w:rsidR="00DA502F">
        <w:t xml:space="preserve">radiation emitted by </w:t>
      </w:r>
      <w:r w:rsidR="00310457" w:rsidRPr="00486BED">
        <w:t xml:space="preserve">natural radionuclides as well as </w:t>
      </w:r>
      <w:r w:rsidR="00DA502F">
        <w:t>by the</w:t>
      </w:r>
      <w:r w:rsidR="00310457" w:rsidRPr="00486BED">
        <w:t xml:space="preserve"> </w:t>
      </w:r>
      <w:r w:rsidR="00310457" w:rsidRPr="00486BED">
        <w:rPr>
          <w:lang w:val="en-US"/>
        </w:rPr>
        <w:t xml:space="preserve">trace amount of anthropogenic radionuclides </w:t>
      </w:r>
      <w:r w:rsidR="00DA502F">
        <w:rPr>
          <w:lang w:val="en-US"/>
        </w:rPr>
        <w:t>from</w:t>
      </w:r>
      <w:r w:rsidR="00310457" w:rsidRPr="00486BED">
        <w:rPr>
          <w:lang w:val="en-US"/>
        </w:rPr>
        <w:t xml:space="preserve"> the global </w:t>
      </w:r>
      <w:r w:rsidR="00DA502F">
        <w:rPr>
          <w:lang w:val="en-US"/>
        </w:rPr>
        <w:t xml:space="preserve">weapons </w:t>
      </w:r>
      <w:r w:rsidR="00310457" w:rsidRPr="00486BED">
        <w:rPr>
          <w:lang w:val="en-US"/>
        </w:rPr>
        <w:t>fallout)</w:t>
      </w:r>
      <w:r w:rsidR="00310457" w:rsidRPr="00486BED">
        <w:t>. Therefore,</w:t>
      </w:r>
      <w:r w:rsidR="00310457" w:rsidRPr="00486BED">
        <w:rPr>
          <w:shd w:val="clear" w:color="auto" w:fill="FFFFFF"/>
        </w:rPr>
        <w:t xml:space="preserve"> the reconstruction of the external doses for the Techa riverside residents includes </w:t>
      </w:r>
      <w:r w:rsidR="00A66701">
        <w:rPr>
          <w:shd w:val="clear" w:color="auto" w:fill="FFFFFF"/>
        </w:rPr>
        <w:t>three</w:t>
      </w:r>
      <w:r w:rsidR="00310457" w:rsidRPr="00486BED">
        <w:rPr>
          <w:shd w:val="clear" w:color="auto" w:fill="FFFFFF"/>
        </w:rPr>
        <w:t xml:space="preserve"> subtasks, viz.: e</w:t>
      </w:r>
      <w:r w:rsidR="00310457" w:rsidRPr="00486BED">
        <w:t>xtensive EPR measurements of cumulative absorbed dose</w:t>
      </w:r>
      <w:r w:rsidR="004F572C" w:rsidRPr="00486BED">
        <w:t>s</w:t>
      </w:r>
      <w:r w:rsidR="00310457" w:rsidRPr="00486BED">
        <w:t xml:space="preserve"> in tooth enamel; reconstruction of background doses in tooth enamel, and reconstruction of internal doses in tooth enamel. </w:t>
      </w:r>
    </w:p>
    <w:p w14:paraId="1DF1A8B6" w14:textId="77777777" w:rsidR="00310457" w:rsidRPr="00486BED" w:rsidRDefault="00310457" w:rsidP="00486BED">
      <w:pPr>
        <w:pStyle w:val="IRPABody2"/>
        <w:spacing w:after="240" w:line="360" w:lineRule="auto"/>
        <w:rPr>
          <w:lang w:val="en-US"/>
        </w:rPr>
      </w:pPr>
      <w:r w:rsidRPr="00486BED">
        <w:t xml:space="preserve">Since 1992, extensive EPR measurements </w:t>
      </w:r>
      <w:r w:rsidR="004F572C" w:rsidRPr="00486BED">
        <w:t>have been</w:t>
      </w:r>
      <w:r w:rsidRPr="00486BED">
        <w:t xml:space="preserve"> performed by </w:t>
      </w:r>
      <w:r w:rsidR="004101A2">
        <w:t>six</w:t>
      </w:r>
      <w:r w:rsidRPr="00486BED">
        <w:t xml:space="preserve"> laboratories. Each of the</w:t>
      </w:r>
      <w:r w:rsidR="004101A2">
        <w:t>se</w:t>
      </w:r>
      <w:r w:rsidRPr="00486BED">
        <w:t xml:space="preserve"> laboratories used different methods, which </w:t>
      </w:r>
      <w:r w:rsidR="004F572C" w:rsidRPr="00486BED">
        <w:t xml:space="preserve">were </w:t>
      </w:r>
      <w:r w:rsidRPr="00486BED">
        <w:t>chang</w:t>
      </w:r>
      <w:r w:rsidR="004F572C" w:rsidRPr="00486BED">
        <w:t>ing</w:t>
      </w:r>
      <w:r w:rsidRPr="00486BED">
        <w:t xml:space="preserve"> over time. Typically, </w:t>
      </w:r>
      <w:r w:rsidRPr="00486BED">
        <w:rPr>
          <w:noProof/>
        </w:rPr>
        <w:t>dose reconstruction is recommended only for posterior teeth (ICRU 2002, IAEA 2002)</w:t>
      </w:r>
      <w:r w:rsidR="004F572C" w:rsidRPr="00486BED">
        <w:rPr>
          <w:noProof/>
        </w:rPr>
        <w:t>,</w:t>
      </w:r>
      <w:r w:rsidRPr="00486BED">
        <w:rPr>
          <w:noProof/>
        </w:rPr>
        <w:t xml:space="preserve"> </w:t>
      </w:r>
      <w:r w:rsidR="004101A2">
        <w:rPr>
          <w:noProof/>
        </w:rPr>
        <w:t>because</w:t>
      </w:r>
      <w:r w:rsidRPr="00486BED">
        <w:rPr>
          <w:noProof/>
        </w:rPr>
        <w:t xml:space="preserve"> the labial fraction of anterior teeth is potentially exposed to solar light, the effect of which on the EPR spectrum has not </w:t>
      </w:r>
      <w:r w:rsidR="003114A2">
        <w:rPr>
          <w:noProof/>
        </w:rPr>
        <w:t xml:space="preserve">yet </w:t>
      </w:r>
      <w:r w:rsidRPr="00486BED">
        <w:rPr>
          <w:noProof/>
        </w:rPr>
        <w:t>been completely clarified (</w:t>
      </w:r>
      <w:r w:rsidRPr="00486BED">
        <w:t>Vorona et al., 2007; Sholom et al., 2010</w:t>
      </w:r>
      <w:r w:rsidRPr="00486BED">
        <w:rPr>
          <w:noProof/>
        </w:rPr>
        <w:t xml:space="preserve">). Exclusion of the labial fraction </w:t>
      </w:r>
      <w:r w:rsidRPr="00486BED">
        <w:rPr>
          <w:bCs/>
          <w:noProof/>
        </w:rPr>
        <w:t xml:space="preserve">of </w:t>
      </w:r>
      <w:r w:rsidR="004F572C" w:rsidRPr="00486BED">
        <w:rPr>
          <w:bCs/>
          <w:noProof/>
        </w:rPr>
        <w:t xml:space="preserve">the </w:t>
      </w:r>
      <w:r w:rsidRPr="00486BED">
        <w:rPr>
          <w:bCs/>
          <w:noProof/>
        </w:rPr>
        <w:t xml:space="preserve">incisor enamel leads to a reduction </w:t>
      </w:r>
      <w:r w:rsidR="004F572C" w:rsidRPr="00486BED">
        <w:rPr>
          <w:bCs/>
          <w:noProof/>
        </w:rPr>
        <w:t>in</w:t>
      </w:r>
      <w:r w:rsidRPr="00486BED">
        <w:rPr>
          <w:bCs/>
          <w:noProof/>
        </w:rPr>
        <w:t xml:space="preserve"> the sample mass (available for EPR measurements) to 30</w:t>
      </w:r>
      <w:r w:rsidR="003114A2">
        <w:rPr>
          <w:bCs/>
          <w:noProof/>
        </w:rPr>
        <w:t xml:space="preserve"> </w:t>
      </w:r>
      <w:r w:rsidRPr="00486BED">
        <w:rPr>
          <w:bCs/>
          <w:noProof/>
        </w:rPr>
        <w:t>-</w:t>
      </w:r>
      <w:r w:rsidR="003114A2">
        <w:rPr>
          <w:bCs/>
          <w:noProof/>
        </w:rPr>
        <w:t xml:space="preserve"> </w:t>
      </w:r>
      <w:r w:rsidRPr="00486BED">
        <w:rPr>
          <w:bCs/>
          <w:noProof/>
        </w:rPr>
        <w:t xml:space="preserve">40 </w:t>
      </w:r>
      <w:r w:rsidR="003114A2">
        <w:rPr>
          <w:bCs/>
          <w:noProof/>
        </w:rPr>
        <w:t>m</w:t>
      </w:r>
      <w:r w:rsidRPr="00486BED">
        <w:rPr>
          <w:bCs/>
          <w:noProof/>
        </w:rPr>
        <w:t xml:space="preserve">g, which is much smaller than the mass typically used (about 100 mg). </w:t>
      </w:r>
      <w:r w:rsidR="003114A2">
        <w:rPr>
          <w:bCs/>
          <w:noProof/>
        </w:rPr>
        <w:t>Note that</w:t>
      </w:r>
      <w:r w:rsidRPr="00486BED">
        <w:rPr>
          <w:bCs/>
          <w:noProof/>
        </w:rPr>
        <w:t xml:space="preserve"> about </w:t>
      </w:r>
      <w:r w:rsidRPr="00486BED">
        <w:rPr>
          <w:bCs/>
        </w:rPr>
        <w:t xml:space="preserve">20% of the tooth samples </w:t>
      </w:r>
      <w:r w:rsidR="004F572C" w:rsidRPr="00486BED">
        <w:rPr>
          <w:bCs/>
        </w:rPr>
        <w:t>donated by the</w:t>
      </w:r>
      <w:r w:rsidRPr="00486BED">
        <w:rPr>
          <w:bCs/>
        </w:rPr>
        <w:t xml:space="preserve"> Techa riverside </w:t>
      </w:r>
      <w:r w:rsidR="004F572C" w:rsidRPr="00486BED">
        <w:rPr>
          <w:bCs/>
        </w:rPr>
        <w:t>residents</w:t>
      </w:r>
      <w:r w:rsidRPr="00486BED">
        <w:rPr>
          <w:bCs/>
        </w:rPr>
        <w:t xml:space="preserve"> </w:t>
      </w:r>
      <w:r w:rsidR="004F572C" w:rsidRPr="00486BED">
        <w:rPr>
          <w:bCs/>
        </w:rPr>
        <w:t xml:space="preserve">were </w:t>
      </w:r>
      <w:r w:rsidR="003114A2">
        <w:rPr>
          <w:bCs/>
        </w:rPr>
        <w:t>from</w:t>
      </w:r>
      <w:r w:rsidRPr="00486BED">
        <w:rPr>
          <w:bCs/>
        </w:rPr>
        <w:t xml:space="preserve"> anterior teeth. Therefore, </w:t>
      </w:r>
      <w:r w:rsidR="004F572C" w:rsidRPr="00486BED">
        <w:rPr>
          <w:bCs/>
        </w:rPr>
        <w:t xml:space="preserve">the </w:t>
      </w:r>
      <w:r w:rsidRPr="00486BED">
        <w:t>implementation of EPR dosimetry using labial, lingual or whole sample</w:t>
      </w:r>
      <w:r w:rsidR="003114A2">
        <w:t>s</w:t>
      </w:r>
      <w:r w:rsidRPr="00486BED">
        <w:t xml:space="preserve"> of incisor enamel (Fattibene et al., 2006; </w:t>
      </w:r>
      <w:r w:rsidRPr="00486BED">
        <w:rPr>
          <w:lang w:val="en-US"/>
        </w:rPr>
        <w:t>Guttler et al., 2006</w:t>
      </w:r>
      <w:r w:rsidRPr="00486BED">
        <w:t xml:space="preserve">) was a very important methodological </w:t>
      </w:r>
      <w:r w:rsidR="00B510A2" w:rsidRPr="00486BED">
        <w:t>achievement</w:t>
      </w:r>
      <w:r w:rsidRPr="00486BED">
        <w:t xml:space="preserve">. As a result, different methods of EPR tooth dosimetry </w:t>
      </w:r>
      <w:r w:rsidR="00785FEF">
        <w:t>including</w:t>
      </w:r>
      <w:r w:rsidR="003114A2">
        <w:t xml:space="preserve"> </w:t>
      </w:r>
      <w:r w:rsidRPr="00486BED">
        <w:t>different combinations of sample preparation</w:t>
      </w:r>
      <w:r w:rsidR="00A761E0">
        <w:t xml:space="preserve"> methods</w:t>
      </w:r>
      <w:r w:rsidRPr="00486BED">
        <w:t>, measurement technique</w:t>
      </w:r>
      <w:r w:rsidR="004F572C" w:rsidRPr="00486BED">
        <w:t>s</w:t>
      </w:r>
      <w:r w:rsidRPr="00486BED">
        <w:t>, calibration system</w:t>
      </w:r>
      <w:r w:rsidR="004F572C" w:rsidRPr="00486BED">
        <w:t>s</w:t>
      </w:r>
      <w:r w:rsidRPr="00486BED">
        <w:t xml:space="preserve"> and type</w:t>
      </w:r>
      <w:r w:rsidR="004F572C" w:rsidRPr="00486BED">
        <w:t>s</w:t>
      </w:r>
      <w:r w:rsidRPr="00486BED">
        <w:t xml:space="preserve"> of enamel sample</w:t>
      </w:r>
      <w:r w:rsidR="004F572C" w:rsidRPr="00486BED">
        <w:t>s</w:t>
      </w:r>
      <w:r w:rsidRPr="00486BED">
        <w:t xml:space="preserve"> (whole enamel of posterior teeth, </w:t>
      </w:r>
      <w:r w:rsidR="00B510A2" w:rsidRPr="00486BED">
        <w:t>whole enamel of incisors</w:t>
      </w:r>
      <w:r w:rsidR="003114A2">
        <w:t>,</w:t>
      </w:r>
      <w:r w:rsidR="00B510A2" w:rsidRPr="00486BED">
        <w:t xml:space="preserve"> as well as </w:t>
      </w:r>
      <w:r w:rsidRPr="00486BED">
        <w:t>labial</w:t>
      </w:r>
      <w:r w:rsidR="00B510A2" w:rsidRPr="00486BED">
        <w:t xml:space="preserve"> or</w:t>
      </w:r>
      <w:r w:rsidRPr="00486BED">
        <w:t xml:space="preserve"> lingual enamel of incisors). </w:t>
      </w:r>
      <w:r w:rsidR="007F07E9">
        <w:t>Because t</w:t>
      </w:r>
      <w:r w:rsidRPr="00486BED">
        <w:t>he</w:t>
      </w:r>
      <w:r w:rsidR="00A761E0">
        <w:t>se</w:t>
      </w:r>
      <w:r w:rsidRPr="00486BED">
        <w:t xml:space="preserve"> </w:t>
      </w:r>
      <w:r w:rsidR="00A761E0">
        <w:t xml:space="preserve">EPR </w:t>
      </w:r>
      <w:r w:rsidRPr="00486BED">
        <w:t xml:space="preserve">methods were not equal </w:t>
      </w:r>
      <w:r w:rsidRPr="00486BED">
        <w:rPr>
          <w:lang w:val="en-US"/>
        </w:rPr>
        <w:t>in terms of detection properties</w:t>
      </w:r>
      <w:r w:rsidR="004F572C" w:rsidRPr="00486BED">
        <w:rPr>
          <w:lang w:val="en-US"/>
        </w:rPr>
        <w:t>,</w:t>
      </w:r>
      <w:r w:rsidRPr="00486BED">
        <w:rPr>
          <w:lang w:val="en-US"/>
        </w:rPr>
        <w:t xml:space="preserve"> such as detection limit</w:t>
      </w:r>
      <w:r w:rsidR="00A761E0">
        <w:rPr>
          <w:lang w:val="en-US"/>
        </w:rPr>
        <w:t>s</w:t>
      </w:r>
      <w:r w:rsidRPr="00486BED">
        <w:rPr>
          <w:lang w:val="en-US"/>
        </w:rPr>
        <w:t xml:space="preserve"> and measurement uncertaint</w:t>
      </w:r>
      <w:r w:rsidR="00A761E0">
        <w:rPr>
          <w:lang w:val="en-US"/>
        </w:rPr>
        <w:t>ies</w:t>
      </w:r>
      <w:r w:rsidRPr="00486BED">
        <w:rPr>
          <w:lang w:val="en-US"/>
        </w:rPr>
        <w:t xml:space="preserve"> (including residual systematic error</w:t>
      </w:r>
      <w:r w:rsidR="00A761E0">
        <w:rPr>
          <w:lang w:val="en-US"/>
        </w:rPr>
        <w:t>s</w:t>
      </w:r>
      <w:r w:rsidRPr="00486BED">
        <w:rPr>
          <w:lang w:val="en-US"/>
        </w:rPr>
        <w:t xml:space="preserve">), </w:t>
      </w:r>
      <w:r w:rsidRPr="00486BED">
        <w:t>it was necessary to harmonize the dose</w:t>
      </w:r>
      <w:r w:rsidR="007F07E9">
        <w:t xml:space="preserve"> assessment</w:t>
      </w:r>
      <w:r w:rsidRPr="00486BED">
        <w:t xml:space="preserve"> </w:t>
      </w:r>
      <w:r w:rsidRPr="00486BED">
        <w:rPr>
          <w:lang w:val="en-US"/>
        </w:rPr>
        <w:t>(</w:t>
      </w:r>
      <w:r w:rsidRPr="00486BED">
        <w:t>Volchkova et al., 2011)</w:t>
      </w:r>
      <w:r w:rsidR="00497B05">
        <w:t xml:space="preserve">, with particular emphasis on </w:t>
      </w:r>
      <w:r w:rsidR="00B510A2" w:rsidRPr="00486BED">
        <w:rPr>
          <w:lang w:val="en-US"/>
        </w:rPr>
        <w:t xml:space="preserve">the </w:t>
      </w:r>
      <w:r w:rsidRPr="00486BED">
        <w:rPr>
          <w:lang w:val="en-US"/>
        </w:rPr>
        <w:t>evaluation of method-specific bias</w:t>
      </w:r>
      <w:r w:rsidR="00B510A2" w:rsidRPr="00486BED">
        <w:rPr>
          <w:lang w:val="en-US"/>
        </w:rPr>
        <w:t>es</w:t>
      </w:r>
      <w:r w:rsidRPr="00486BED">
        <w:rPr>
          <w:lang w:val="en-US"/>
        </w:rPr>
        <w:t>. According to metrological recommendations (ISO, 1992), systematic error</w:t>
      </w:r>
      <w:r w:rsidR="003C7D58">
        <w:rPr>
          <w:lang w:val="en-US"/>
        </w:rPr>
        <w:t>s</w:t>
      </w:r>
      <w:r w:rsidRPr="00486BED">
        <w:rPr>
          <w:lang w:val="en-US"/>
        </w:rPr>
        <w:t xml:space="preserve"> should be evaluated by comparing measure</w:t>
      </w:r>
      <w:r w:rsidR="003C7D58">
        <w:rPr>
          <w:lang w:val="en-US"/>
        </w:rPr>
        <w:t xml:space="preserve">d values </w:t>
      </w:r>
      <w:r w:rsidRPr="00486BED">
        <w:rPr>
          <w:lang w:val="en-US"/>
        </w:rPr>
        <w:t>with reference value</w:t>
      </w:r>
      <w:r w:rsidR="003C7D58">
        <w:rPr>
          <w:lang w:val="en-US"/>
        </w:rPr>
        <w:t>s</w:t>
      </w:r>
      <w:r w:rsidRPr="00486BED">
        <w:rPr>
          <w:lang w:val="en-US"/>
        </w:rPr>
        <w:t xml:space="preserve"> </w:t>
      </w:r>
      <w:r w:rsidR="00B510A2" w:rsidRPr="00486BED">
        <w:rPr>
          <w:lang w:val="en-US"/>
        </w:rPr>
        <w:t xml:space="preserve">obtained from homogeneous and </w:t>
      </w:r>
      <w:r w:rsidRPr="00486BED">
        <w:rPr>
          <w:lang w:val="en-US"/>
        </w:rPr>
        <w:t>stable blind sample</w:t>
      </w:r>
      <w:r w:rsidR="003C7D58">
        <w:rPr>
          <w:lang w:val="en-US"/>
        </w:rPr>
        <w:t>s</w:t>
      </w:r>
      <w:r w:rsidRPr="00486BED">
        <w:rPr>
          <w:lang w:val="en-US"/>
        </w:rPr>
        <w:t>. However, there is no reference material for human tooth enamel</w:t>
      </w:r>
      <w:r w:rsidR="003C7D58">
        <w:rPr>
          <w:lang w:val="en-US"/>
        </w:rPr>
        <w:t xml:space="preserve"> available</w:t>
      </w:r>
      <w:r w:rsidRPr="00486BED">
        <w:rPr>
          <w:lang w:val="en-US"/>
        </w:rPr>
        <w:t xml:space="preserve">. In </w:t>
      </w:r>
      <w:r w:rsidR="000D773D">
        <w:rPr>
          <w:lang w:val="en-US"/>
        </w:rPr>
        <w:t>a</w:t>
      </w:r>
      <w:r w:rsidRPr="00486BED">
        <w:rPr>
          <w:lang w:val="en-US"/>
        </w:rPr>
        <w:t xml:space="preserve"> preliminary study (Volchkova et al., 2011), the method-specific bias was eliminated by subtracting the average background doses measured with the same EPR </w:t>
      </w:r>
      <w:r w:rsidRPr="008A0C14">
        <w:rPr>
          <w:lang w:val="en-US"/>
        </w:rPr>
        <w:t>method</w:t>
      </w:r>
      <w:r w:rsidR="000D773D" w:rsidRPr="008A0C14">
        <w:rPr>
          <w:lang w:val="en-US"/>
        </w:rPr>
        <w:t xml:space="preserve"> </w:t>
      </w:r>
      <w:r w:rsidR="00B879FB" w:rsidRPr="008A0C14">
        <w:rPr>
          <w:lang w:val="en-US"/>
        </w:rPr>
        <w:t>(</w:t>
      </w:r>
      <w:r w:rsidR="000D773D" w:rsidRPr="008A0C14">
        <w:rPr>
          <w:lang w:val="en-US"/>
        </w:rPr>
        <w:t>also used to mea</w:t>
      </w:r>
      <w:r w:rsidR="00B879FB" w:rsidRPr="008A0C14">
        <w:rPr>
          <w:lang w:val="en-US"/>
        </w:rPr>
        <w:t>s</w:t>
      </w:r>
      <w:r w:rsidR="000D773D" w:rsidRPr="008A0C14">
        <w:rPr>
          <w:lang w:val="en-US"/>
        </w:rPr>
        <w:t>ure total accumulated doses</w:t>
      </w:r>
      <w:r w:rsidR="00B879FB" w:rsidRPr="008A0C14">
        <w:rPr>
          <w:lang w:val="en-US"/>
        </w:rPr>
        <w:t>)</w:t>
      </w:r>
      <w:r w:rsidRPr="008A0C14">
        <w:rPr>
          <w:lang w:val="en-US"/>
        </w:rPr>
        <w:t xml:space="preserve">. This approach </w:t>
      </w:r>
      <w:r w:rsidR="00B15314" w:rsidRPr="008A0C14">
        <w:rPr>
          <w:lang w:val="en-US"/>
        </w:rPr>
        <w:t xml:space="preserve">was </w:t>
      </w:r>
      <w:r w:rsidRPr="008A0C14">
        <w:rPr>
          <w:lang w:val="en-US"/>
        </w:rPr>
        <w:t xml:space="preserve">aimed at eliminating both </w:t>
      </w:r>
      <w:r w:rsidR="00B15314" w:rsidRPr="008A0C14">
        <w:rPr>
          <w:lang w:val="en-US"/>
        </w:rPr>
        <w:t>th</w:t>
      </w:r>
      <w:r w:rsidR="00B15314" w:rsidRPr="00486BED">
        <w:rPr>
          <w:lang w:val="en-US"/>
        </w:rPr>
        <w:t xml:space="preserve">e </w:t>
      </w:r>
      <w:r w:rsidRPr="00486BED">
        <w:rPr>
          <w:lang w:val="en-US"/>
        </w:rPr>
        <w:t xml:space="preserve">background dose and </w:t>
      </w:r>
      <w:r w:rsidR="00B15314" w:rsidRPr="00486BED">
        <w:rPr>
          <w:lang w:val="en-US"/>
        </w:rPr>
        <w:t xml:space="preserve">the </w:t>
      </w:r>
      <w:r w:rsidRPr="00486BED">
        <w:rPr>
          <w:lang w:val="en-US"/>
        </w:rPr>
        <w:t xml:space="preserve">method-specific bias, but </w:t>
      </w:r>
      <w:r w:rsidR="00FB65E7">
        <w:rPr>
          <w:lang w:val="en-US"/>
        </w:rPr>
        <w:t>could only be applied</w:t>
      </w:r>
      <w:r w:rsidRPr="00486BED">
        <w:rPr>
          <w:lang w:val="en-US"/>
        </w:rPr>
        <w:t xml:space="preserve"> for precise EPR measurements. </w:t>
      </w:r>
      <w:r w:rsidR="00FB65E7">
        <w:rPr>
          <w:lang w:val="en-US"/>
        </w:rPr>
        <w:t>In reality, ho</w:t>
      </w:r>
      <w:r w:rsidR="00C6429D">
        <w:rPr>
          <w:lang w:val="en-US"/>
        </w:rPr>
        <w:t>w</w:t>
      </w:r>
      <w:r w:rsidR="00FB65E7">
        <w:rPr>
          <w:lang w:val="en-US"/>
        </w:rPr>
        <w:t xml:space="preserve">ever, </w:t>
      </w:r>
      <w:r w:rsidR="00B15314" w:rsidRPr="00486BED">
        <w:rPr>
          <w:lang w:val="en-US"/>
        </w:rPr>
        <w:t xml:space="preserve">the </w:t>
      </w:r>
      <w:r w:rsidRPr="00486BED">
        <w:rPr>
          <w:lang w:val="en-US"/>
        </w:rPr>
        <w:t xml:space="preserve">EPR detected background doses are close to </w:t>
      </w:r>
      <w:r w:rsidR="00B15314" w:rsidRPr="00486BED">
        <w:rPr>
          <w:lang w:val="en-US"/>
        </w:rPr>
        <w:t xml:space="preserve">the </w:t>
      </w:r>
      <w:r w:rsidRPr="00486BED">
        <w:rPr>
          <w:lang w:val="en-US"/>
        </w:rPr>
        <w:t>detection limit (“noisy” data)</w:t>
      </w:r>
      <w:r w:rsidR="00B15314" w:rsidRPr="00486BED">
        <w:rPr>
          <w:lang w:val="en-US"/>
        </w:rPr>
        <w:t>,</w:t>
      </w:r>
      <w:r w:rsidRPr="00486BED">
        <w:rPr>
          <w:lang w:val="en-US"/>
        </w:rPr>
        <w:t xml:space="preserve"> and cannot be assumed </w:t>
      </w:r>
      <w:r w:rsidR="00FB65E7">
        <w:rPr>
          <w:lang w:val="en-US"/>
        </w:rPr>
        <w:t>to be</w:t>
      </w:r>
      <w:r w:rsidRPr="00486BED">
        <w:rPr>
          <w:lang w:val="en-US"/>
        </w:rPr>
        <w:t xml:space="preserve"> precise. Therefore, </w:t>
      </w:r>
      <w:r w:rsidR="00C6429D">
        <w:rPr>
          <w:lang w:val="en-US"/>
        </w:rPr>
        <w:t>a</w:t>
      </w:r>
      <w:r w:rsidRPr="00486BED">
        <w:rPr>
          <w:lang w:val="en-US"/>
        </w:rPr>
        <w:t xml:space="preserve"> statistical method for reconstruction of </w:t>
      </w:r>
      <w:r w:rsidR="00B15314" w:rsidRPr="00486BED">
        <w:rPr>
          <w:lang w:val="en-US"/>
        </w:rPr>
        <w:t xml:space="preserve">the </w:t>
      </w:r>
      <w:r w:rsidRPr="00486BED">
        <w:rPr>
          <w:lang w:val="en-US"/>
        </w:rPr>
        <w:t xml:space="preserve">background dose distribution based on </w:t>
      </w:r>
      <w:r w:rsidR="00B15314" w:rsidRPr="00486BED">
        <w:rPr>
          <w:lang w:val="en-US"/>
        </w:rPr>
        <w:t xml:space="preserve">the </w:t>
      </w:r>
      <w:r w:rsidRPr="00486BED">
        <w:rPr>
          <w:lang w:val="en-US"/>
        </w:rPr>
        <w:t xml:space="preserve">available “noisy” data was suggested (Zalyapin et al., 2014). </w:t>
      </w:r>
      <w:r w:rsidR="00C6429D">
        <w:rPr>
          <w:lang w:val="en-US"/>
        </w:rPr>
        <w:t>In this method, t</w:t>
      </w:r>
      <w:r w:rsidR="00B15314" w:rsidRPr="00486BED">
        <w:rPr>
          <w:lang w:val="en-US"/>
        </w:rPr>
        <w:t xml:space="preserve">he </w:t>
      </w:r>
      <w:r w:rsidRPr="00486BED">
        <w:rPr>
          <w:lang w:val="en-US"/>
        </w:rPr>
        <w:t>background doses</w:t>
      </w:r>
      <w:r w:rsidR="00C6429D">
        <w:rPr>
          <w:lang w:val="en-US"/>
        </w:rPr>
        <w:t xml:space="preserve"> once reconstructed</w:t>
      </w:r>
      <w:r w:rsidRPr="00486BED">
        <w:rPr>
          <w:lang w:val="en-US"/>
        </w:rPr>
        <w:t xml:space="preserve"> can be used as </w:t>
      </w:r>
      <w:r w:rsidR="00C6429D">
        <w:rPr>
          <w:lang w:val="en-US"/>
        </w:rPr>
        <w:t xml:space="preserve">input for </w:t>
      </w:r>
      <w:r w:rsidRPr="00486BED">
        <w:rPr>
          <w:lang w:val="en-US"/>
        </w:rPr>
        <w:t xml:space="preserve">a stochastic model </w:t>
      </w:r>
      <w:r w:rsidR="00C6429D">
        <w:rPr>
          <w:lang w:val="en-US"/>
        </w:rPr>
        <w:t xml:space="preserve">providing </w:t>
      </w:r>
      <w:r w:rsidRPr="00486BED">
        <w:rPr>
          <w:lang w:val="en-US"/>
        </w:rPr>
        <w:t xml:space="preserve">surrogate reference. </w:t>
      </w:r>
      <w:r w:rsidR="00B15314" w:rsidRPr="00486BED">
        <w:rPr>
          <w:lang w:val="en-US"/>
        </w:rPr>
        <w:t xml:space="preserve">The </w:t>
      </w:r>
      <w:r w:rsidR="00B15314" w:rsidRPr="00486BED">
        <w:t>reconstruction</w:t>
      </w:r>
      <w:r w:rsidRPr="00486BED">
        <w:t xml:space="preserve"> of the background dose distribution </w:t>
      </w:r>
      <w:r w:rsidR="00C6429D">
        <w:t>represent</w:t>
      </w:r>
      <w:r w:rsidRPr="00486BED">
        <w:t xml:space="preserve">s an important step not only </w:t>
      </w:r>
      <w:r w:rsidR="00C6429D">
        <w:t>for</w:t>
      </w:r>
      <w:r w:rsidRPr="00486BED">
        <w:t xml:space="preserve"> </w:t>
      </w:r>
      <w:r w:rsidR="00B15314" w:rsidRPr="00486BED">
        <w:t xml:space="preserve">the </w:t>
      </w:r>
      <w:r w:rsidRPr="00486BED">
        <w:t xml:space="preserve">estimation of a method-specific bias, but also for subtraction of </w:t>
      </w:r>
      <w:r w:rsidR="00B15314" w:rsidRPr="00486BED">
        <w:t xml:space="preserve">the </w:t>
      </w:r>
      <w:r w:rsidRPr="00486BED">
        <w:t>mean background dose from the cumulative enamel dose</w:t>
      </w:r>
      <w:r w:rsidR="00587F13" w:rsidRPr="00486BED">
        <w:t>s</w:t>
      </w:r>
      <w:r w:rsidRPr="00486BED">
        <w:t xml:space="preserve"> of exposed people, and for evaluation of the total uncertainty of </w:t>
      </w:r>
      <w:r w:rsidR="00B15314" w:rsidRPr="00486BED">
        <w:t xml:space="preserve">the </w:t>
      </w:r>
      <w:r w:rsidRPr="00486BED">
        <w:t xml:space="preserve">EPR-derived external doses (including both </w:t>
      </w:r>
      <w:r w:rsidR="00587F13" w:rsidRPr="00486BED">
        <w:t xml:space="preserve">the </w:t>
      </w:r>
      <w:r w:rsidRPr="00486BED">
        <w:t xml:space="preserve">measurement uncertainty and </w:t>
      </w:r>
      <w:r w:rsidR="00587F13" w:rsidRPr="00486BED">
        <w:t xml:space="preserve">the </w:t>
      </w:r>
      <w:r w:rsidRPr="00486BED">
        <w:t xml:space="preserve">individual variability of background doses in </w:t>
      </w:r>
      <w:r w:rsidR="00B15314" w:rsidRPr="00486BED">
        <w:t xml:space="preserve">the </w:t>
      </w:r>
      <w:r w:rsidRPr="00486BED">
        <w:t>tooth enamel).</w:t>
      </w:r>
    </w:p>
    <w:p w14:paraId="5AE21B4B" w14:textId="77777777" w:rsidR="00310457" w:rsidRPr="00486BED" w:rsidRDefault="00310457" w:rsidP="00486BED">
      <w:pPr>
        <w:pStyle w:val="IRPABody1"/>
        <w:spacing w:after="240" w:line="360" w:lineRule="auto"/>
        <w:ind w:firstLine="708"/>
      </w:pPr>
      <w:r w:rsidRPr="00486BED">
        <w:rPr>
          <w:lang w:val="en-US"/>
        </w:rPr>
        <w:t xml:space="preserve">All of these previous efforts serve as </w:t>
      </w:r>
      <w:r w:rsidR="00B15314" w:rsidRPr="00486BED">
        <w:rPr>
          <w:lang w:val="en-US"/>
        </w:rPr>
        <w:t>a</w:t>
      </w:r>
      <w:r w:rsidRPr="00486BED">
        <w:rPr>
          <w:lang w:val="en-US"/>
        </w:rPr>
        <w:t xml:space="preserve"> basis for </w:t>
      </w:r>
      <w:r w:rsidR="00494736" w:rsidRPr="00486BED">
        <w:rPr>
          <w:lang w:val="en-US"/>
        </w:rPr>
        <w:t xml:space="preserve">a </w:t>
      </w:r>
      <w:r w:rsidRPr="00486BED">
        <w:rPr>
          <w:lang w:val="en-US"/>
        </w:rPr>
        <w:t xml:space="preserve">correct interpretation of </w:t>
      </w:r>
      <w:r w:rsidR="00494736" w:rsidRPr="00486BED">
        <w:rPr>
          <w:lang w:val="en-US"/>
        </w:rPr>
        <w:t xml:space="preserve">the </w:t>
      </w:r>
      <w:r w:rsidRPr="00486BED">
        <w:rPr>
          <w:lang w:val="en-US"/>
        </w:rPr>
        <w:t>EPR dosimetry results in terms of external dosimetry</w:t>
      </w:r>
      <w:r w:rsidR="00B15314" w:rsidRPr="00486BED">
        <w:rPr>
          <w:lang w:val="en-US"/>
        </w:rPr>
        <w:t>,</w:t>
      </w:r>
      <w:r w:rsidRPr="00486BED">
        <w:rPr>
          <w:lang w:val="en-US"/>
        </w:rPr>
        <w:t xml:space="preserve"> and for validation of the TRDS </w:t>
      </w:r>
      <w:r w:rsidR="00874C0F">
        <w:rPr>
          <w:lang w:val="en-US"/>
        </w:rPr>
        <w:t>dose estimates</w:t>
      </w:r>
      <w:r w:rsidRPr="00486BED">
        <w:rPr>
          <w:lang w:val="en-US"/>
        </w:rPr>
        <w:t xml:space="preserve">. It should be noted that </w:t>
      </w:r>
      <w:r w:rsidR="00573EB6">
        <w:rPr>
          <w:lang w:val="en-US"/>
        </w:rPr>
        <w:t>the present study represents</w:t>
      </w:r>
      <w:r w:rsidRPr="00486BED">
        <w:rPr>
          <w:lang w:val="en-US"/>
        </w:rPr>
        <w:t xml:space="preserve"> the first combined analysis of all </w:t>
      </w:r>
      <w:r w:rsidR="00B15314" w:rsidRPr="00486BED">
        <w:rPr>
          <w:lang w:val="en-US"/>
        </w:rPr>
        <w:t xml:space="preserve">the </w:t>
      </w:r>
      <w:r w:rsidRPr="00486BED">
        <w:rPr>
          <w:lang w:val="en-US"/>
        </w:rPr>
        <w:t xml:space="preserve">data </w:t>
      </w:r>
      <w:r w:rsidR="00B15314" w:rsidRPr="00486BED">
        <w:rPr>
          <w:lang w:val="en-US"/>
        </w:rPr>
        <w:t xml:space="preserve">available </w:t>
      </w:r>
      <w:r w:rsidRPr="00486BED">
        <w:rPr>
          <w:lang w:val="en-US"/>
        </w:rPr>
        <w:t xml:space="preserve">on EPR dosimetry with teeth of permanent residents of the Techa riverside territory. The aim of the paper is to </w:t>
      </w:r>
      <w:r w:rsidR="00573EB6">
        <w:rPr>
          <w:lang w:val="en-US"/>
        </w:rPr>
        <w:t xml:space="preserve">provide a correct </w:t>
      </w:r>
      <w:r w:rsidRPr="00486BED">
        <w:rPr>
          <w:lang w:val="en-US"/>
        </w:rPr>
        <w:t>interpret</w:t>
      </w:r>
      <w:r w:rsidR="00573EB6">
        <w:rPr>
          <w:lang w:val="en-US"/>
        </w:rPr>
        <w:t>ation</w:t>
      </w:r>
      <w:r w:rsidRPr="00486BED">
        <w:rPr>
          <w:lang w:val="en-US"/>
        </w:rPr>
        <w:t xml:space="preserve"> </w:t>
      </w:r>
      <w:r w:rsidR="00573EB6">
        <w:rPr>
          <w:lang w:val="en-US"/>
        </w:rPr>
        <w:t xml:space="preserve">of </w:t>
      </w:r>
      <w:r w:rsidRPr="00486BED">
        <w:rPr>
          <w:lang w:val="en-US"/>
        </w:rPr>
        <w:t xml:space="preserve">the EPR dosimetry results in terms of </w:t>
      </w:r>
      <w:r w:rsidR="00B15314" w:rsidRPr="00486BED">
        <w:rPr>
          <w:lang w:val="en-US"/>
        </w:rPr>
        <w:t xml:space="preserve">the </w:t>
      </w:r>
      <w:r w:rsidRPr="00486BED">
        <w:rPr>
          <w:lang w:val="en-US"/>
        </w:rPr>
        <w:t>external dosimetry</w:t>
      </w:r>
      <w:r w:rsidR="00573EB6">
        <w:rPr>
          <w:lang w:val="en-US"/>
        </w:rPr>
        <w:t>, and to validate TRDS dose estimates</w:t>
      </w:r>
      <w:r w:rsidRPr="00486BED">
        <w:rPr>
          <w:lang w:val="en-US"/>
        </w:rPr>
        <w:t>. For this purpose, background doses were reconstructed, harmonization of EPR doses was performed</w:t>
      </w:r>
      <w:r w:rsidR="00B15314" w:rsidRPr="00486BED">
        <w:rPr>
          <w:lang w:val="en-US"/>
        </w:rPr>
        <w:t>,</w:t>
      </w:r>
      <w:r w:rsidRPr="00486BED">
        <w:rPr>
          <w:lang w:val="en-US"/>
        </w:rPr>
        <w:t xml:space="preserve"> and internal enamel doses (due to </w:t>
      </w:r>
      <w:r w:rsidRPr="00486BED">
        <w:rPr>
          <w:vertAlign w:val="superscript"/>
          <w:lang w:val="en-US"/>
        </w:rPr>
        <w:t>89,90</w:t>
      </w:r>
      <w:r w:rsidRPr="00486BED">
        <w:rPr>
          <w:lang w:val="en-US"/>
        </w:rPr>
        <w:t xml:space="preserve">Sr and </w:t>
      </w:r>
      <w:r w:rsidRPr="00486BED">
        <w:rPr>
          <w:vertAlign w:val="superscript"/>
          <w:lang w:val="en-US"/>
        </w:rPr>
        <w:t>137</w:t>
      </w:r>
      <w:r w:rsidRPr="00486BED">
        <w:rPr>
          <w:lang w:val="en-US"/>
        </w:rPr>
        <w:t xml:space="preserve">Cs) were evaluated. </w:t>
      </w:r>
      <w:r w:rsidR="00573EB6">
        <w:rPr>
          <w:lang w:val="en-US"/>
        </w:rPr>
        <w:t xml:space="preserve">Based on these efforts, </w:t>
      </w:r>
      <w:r w:rsidRPr="00486BED">
        <w:t>EPR</w:t>
      </w:r>
      <w:r w:rsidR="00573EB6">
        <w:t>-</w:t>
      </w:r>
      <w:r w:rsidRPr="00486BED">
        <w:t xml:space="preserve">derived external doses </w:t>
      </w:r>
      <w:r w:rsidR="00573EB6">
        <w:t>a</w:t>
      </w:r>
      <w:r w:rsidRPr="00486BED">
        <w:t xml:space="preserve">re compared with </w:t>
      </w:r>
      <w:r w:rsidR="00573EB6">
        <w:t xml:space="preserve">doses </w:t>
      </w:r>
      <w:r w:rsidRPr="00486BED">
        <w:t>predict</w:t>
      </w:r>
      <w:r w:rsidR="00573EB6">
        <w:t>ed</w:t>
      </w:r>
      <w:r w:rsidRPr="00486BED">
        <w:t xml:space="preserve"> </w:t>
      </w:r>
      <w:r w:rsidR="00573EB6">
        <w:t>by</w:t>
      </w:r>
      <w:r w:rsidRPr="00486BED">
        <w:t xml:space="preserve"> the new TRDS version.</w:t>
      </w:r>
    </w:p>
    <w:p w14:paraId="2F3DE988" w14:textId="77777777" w:rsidR="00F763B2" w:rsidRDefault="00F763B2" w:rsidP="00F763B2">
      <w:pPr>
        <w:spacing w:after="240" w:line="360" w:lineRule="auto"/>
        <w:jc w:val="both"/>
        <w:rPr>
          <w:rFonts w:ascii="Times New Roman" w:hAnsi="Times New Roman" w:cs="Times New Roman"/>
          <w:b/>
          <w:sz w:val="24"/>
          <w:szCs w:val="24"/>
          <w:lang w:val="en-GB"/>
        </w:rPr>
      </w:pPr>
    </w:p>
    <w:p w14:paraId="7534E5B6" w14:textId="77777777" w:rsidR="00310457" w:rsidRPr="00F763B2" w:rsidRDefault="00310457" w:rsidP="00F763B2">
      <w:pPr>
        <w:spacing w:after="240" w:line="360" w:lineRule="auto"/>
        <w:jc w:val="both"/>
        <w:rPr>
          <w:rFonts w:ascii="Times New Roman" w:hAnsi="Times New Roman" w:cs="Times New Roman"/>
          <w:b/>
          <w:sz w:val="24"/>
          <w:szCs w:val="24"/>
          <w:lang w:val="en-GB"/>
        </w:rPr>
      </w:pPr>
      <w:r w:rsidRPr="00F763B2">
        <w:rPr>
          <w:rFonts w:ascii="Times New Roman" w:hAnsi="Times New Roman" w:cs="Times New Roman"/>
          <w:b/>
          <w:sz w:val="24"/>
          <w:szCs w:val="24"/>
          <w:lang w:val="en-GB"/>
        </w:rPr>
        <w:t>Materials and methods</w:t>
      </w:r>
    </w:p>
    <w:p w14:paraId="095D791F" w14:textId="77777777" w:rsidR="00310457" w:rsidRPr="00486BED" w:rsidRDefault="00352DA6" w:rsidP="00486BED">
      <w:pPr>
        <w:spacing w:after="240" w:line="360" w:lineRule="auto"/>
        <w:ind w:firstLine="426"/>
        <w:jc w:val="both"/>
        <w:rPr>
          <w:rFonts w:ascii="Times New Roman" w:hAnsi="Times New Roman" w:cs="Times New Roman"/>
          <w:sz w:val="24"/>
          <w:szCs w:val="24"/>
          <w:lang w:val="en-GB"/>
        </w:rPr>
      </w:pPr>
      <w:r w:rsidRPr="00486BED">
        <w:rPr>
          <w:rFonts w:ascii="Times New Roman" w:hAnsi="Times New Roman" w:cs="Times New Roman"/>
          <w:sz w:val="24"/>
          <w:szCs w:val="24"/>
          <w:lang w:val="en-GB"/>
        </w:rPr>
        <w:t>The e</w:t>
      </w:r>
      <w:r w:rsidR="00310457" w:rsidRPr="00486BED">
        <w:rPr>
          <w:rFonts w:ascii="Times New Roman" w:hAnsi="Times New Roman" w:cs="Times New Roman"/>
          <w:sz w:val="24"/>
          <w:szCs w:val="24"/>
          <w:lang w:val="en-GB"/>
        </w:rPr>
        <w:t xml:space="preserve">xternal doses in the tooth enamel of the Techa riverside population accumulated due to both anthropogenic and natural sources of </w:t>
      </w:r>
      <w:r w:rsidR="00AB2B70">
        <w:rPr>
          <w:rFonts w:ascii="Times New Roman" w:hAnsi="Times New Roman" w:cs="Times New Roman"/>
          <w:sz w:val="24"/>
          <w:szCs w:val="24"/>
          <w:lang w:val="en-GB"/>
        </w:rPr>
        <w:t>ionizing</w:t>
      </w:r>
      <w:r w:rsidR="00AB2B70" w:rsidRPr="00486BED">
        <w:rPr>
          <w:rFonts w:ascii="Times New Roman" w:hAnsi="Times New Roman" w:cs="Times New Roman"/>
          <w:sz w:val="24"/>
          <w:szCs w:val="24"/>
          <w:lang w:val="en-GB"/>
        </w:rPr>
        <w:t xml:space="preserve"> </w:t>
      </w:r>
      <w:r w:rsidR="00310457" w:rsidRPr="00486BED">
        <w:rPr>
          <w:rFonts w:ascii="Times New Roman" w:hAnsi="Times New Roman" w:cs="Times New Roman"/>
          <w:sz w:val="24"/>
          <w:szCs w:val="24"/>
          <w:lang w:val="en-GB"/>
        </w:rPr>
        <w:t xml:space="preserve">radiation. </w:t>
      </w:r>
      <w:r w:rsidRPr="00486BED">
        <w:rPr>
          <w:rFonts w:ascii="Times New Roman" w:hAnsi="Times New Roman" w:cs="Times New Roman"/>
          <w:sz w:val="24"/>
          <w:szCs w:val="24"/>
          <w:lang w:val="en-GB"/>
        </w:rPr>
        <w:t>The e</w:t>
      </w:r>
      <w:r w:rsidR="00310457" w:rsidRPr="00486BED">
        <w:rPr>
          <w:rFonts w:ascii="Times New Roman" w:hAnsi="Times New Roman" w:cs="Times New Roman"/>
          <w:sz w:val="24"/>
          <w:szCs w:val="24"/>
          <w:lang w:val="en-GB"/>
        </w:rPr>
        <w:t xml:space="preserve">xternal dose fraction of </w:t>
      </w:r>
      <w:r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 xml:space="preserve">anthropogenic </w:t>
      </w:r>
      <w:r w:rsidR="0097091A">
        <w:rPr>
          <w:rFonts w:ascii="Times New Roman" w:hAnsi="Times New Roman" w:cs="Times New Roman"/>
          <w:sz w:val="24"/>
          <w:szCs w:val="24"/>
          <w:lang w:val="en-GB"/>
        </w:rPr>
        <w:t xml:space="preserve">tooth </w:t>
      </w:r>
      <w:r w:rsidR="00310457" w:rsidRPr="00486BED">
        <w:rPr>
          <w:rFonts w:ascii="Times New Roman" w:hAnsi="Times New Roman" w:cs="Times New Roman"/>
          <w:sz w:val="24"/>
          <w:szCs w:val="24"/>
          <w:lang w:val="en-GB"/>
        </w:rPr>
        <w:t>exposure can be formulated according to Eq (1).</w:t>
      </w:r>
    </w:p>
    <w:p w14:paraId="61FC536E" w14:textId="77777777" w:rsidR="00310457" w:rsidRPr="00486BED" w:rsidRDefault="00F04885" w:rsidP="00486BED">
      <w:pPr>
        <w:tabs>
          <w:tab w:val="left" w:pos="8364"/>
        </w:tabs>
        <w:spacing w:after="240" w:line="360" w:lineRule="auto"/>
        <w:jc w:val="both"/>
        <w:rPr>
          <w:rFonts w:ascii="Times New Roman" w:eastAsiaTheme="minorEastAsia" w:hAnsi="Times New Roman" w:cs="Times New Roman"/>
          <w:sz w:val="24"/>
          <w:szCs w:val="24"/>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e</m:t>
            </m:r>
            <m:r>
              <w:rPr>
                <w:rFonts w:ascii="Cambria Math" w:hAnsi="Cambria Math" w:cs="Times New Roman"/>
                <w:sz w:val="24"/>
                <w:szCs w:val="24"/>
                <w:lang w:val="en-GB"/>
              </w:rPr>
              <m:t>xt</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anthropogenic</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int</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medical</m:t>
            </m:r>
          </m:sub>
        </m:sSub>
      </m:oMath>
      <w:r w:rsidR="00310457" w:rsidRPr="00486BED">
        <w:rPr>
          <w:rFonts w:ascii="Times New Roman" w:eastAsiaTheme="minorEastAsia" w:hAnsi="Times New Roman" w:cs="Times New Roman"/>
          <w:sz w:val="24"/>
          <w:szCs w:val="24"/>
          <w:lang w:val="en-GB"/>
        </w:rPr>
        <w:t>,</w:t>
      </w:r>
      <w:r w:rsidR="00310457" w:rsidRPr="00486BED">
        <w:rPr>
          <w:rFonts w:ascii="Times New Roman" w:eastAsiaTheme="minorEastAsia" w:hAnsi="Times New Roman" w:cs="Times New Roman"/>
          <w:sz w:val="24"/>
          <w:szCs w:val="24"/>
          <w:lang w:val="en-GB"/>
        </w:rPr>
        <w:tab/>
        <w:t>(1)</w:t>
      </w:r>
    </w:p>
    <w:p w14:paraId="28199381" w14:textId="2914BE95" w:rsidR="00310457" w:rsidRPr="00486BED" w:rsidRDefault="00352B87" w:rsidP="00486BED">
      <w:pPr>
        <w:tabs>
          <w:tab w:val="left" w:pos="8364"/>
        </w:tabs>
        <w:spacing w:after="24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GB"/>
        </w:rPr>
        <w:t>w</w:t>
      </w:r>
      <w:r w:rsidR="00BD597C">
        <w:rPr>
          <w:rFonts w:ascii="Times New Roman" w:eastAsiaTheme="minorEastAsia" w:hAnsi="Times New Roman" w:cs="Times New Roman"/>
          <w:sz w:val="24"/>
          <w:szCs w:val="24"/>
          <w:lang w:val="en-GB"/>
        </w:rPr>
        <w:t xml:space="preserve">here </w:t>
      </w:r>
      <w:r w:rsidR="00310457" w:rsidRPr="00486BED">
        <w:rPr>
          <w:rFonts w:ascii="Times New Roman" w:eastAsiaTheme="minorEastAsia" w:hAnsi="Times New Roman" w:cs="Times New Roman"/>
          <w:i/>
          <w:sz w:val="24"/>
          <w:szCs w:val="24"/>
          <w:lang w:val="en-GB"/>
        </w:rPr>
        <w:t>D</w:t>
      </w:r>
      <w:r w:rsidR="00310457" w:rsidRPr="00486BED">
        <w:rPr>
          <w:rFonts w:ascii="Times New Roman" w:eastAsiaTheme="minorEastAsia" w:hAnsi="Times New Roman" w:cs="Times New Roman"/>
          <w:i/>
          <w:sz w:val="24"/>
          <w:szCs w:val="24"/>
          <w:vertAlign w:val="subscript"/>
          <w:lang w:val="en-GB"/>
        </w:rPr>
        <w:t>ex</w:t>
      </w:r>
      <w:r w:rsidR="00310457" w:rsidRPr="00486BED">
        <w:rPr>
          <w:rFonts w:ascii="Times New Roman" w:eastAsiaTheme="minorEastAsia" w:hAnsi="Times New Roman" w:cs="Times New Roman"/>
          <w:sz w:val="24"/>
          <w:szCs w:val="24"/>
          <w:vertAlign w:val="subscript"/>
          <w:lang w:val="en-GB"/>
        </w:rPr>
        <w:t xml:space="preserve">t </w:t>
      </w:r>
      <w:r w:rsidR="00310457" w:rsidRPr="00486BED">
        <w:rPr>
          <w:rFonts w:ascii="Times New Roman" w:eastAsiaTheme="minorEastAsia" w:hAnsi="Times New Roman" w:cs="Times New Roman"/>
          <w:sz w:val="24"/>
          <w:szCs w:val="24"/>
          <w:lang w:val="en-GB"/>
        </w:rPr>
        <w:t>is</w:t>
      </w:r>
      <w:r w:rsidR="00310457" w:rsidRPr="00486BED">
        <w:rPr>
          <w:rFonts w:ascii="Times New Roman" w:eastAsiaTheme="minorEastAsia" w:hAnsi="Times New Roman" w:cs="Times New Roman"/>
          <w:sz w:val="24"/>
          <w:szCs w:val="24"/>
          <w:lang w:val="en-US"/>
        </w:rPr>
        <w:t xml:space="preserve"> </w:t>
      </w:r>
      <w:r w:rsidR="0097091A">
        <w:rPr>
          <w:rFonts w:ascii="Times New Roman" w:eastAsiaTheme="minorEastAsia" w:hAnsi="Times New Roman" w:cs="Times New Roman"/>
          <w:sz w:val="24"/>
          <w:szCs w:val="24"/>
          <w:lang w:val="en-US"/>
        </w:rPr>
        <w:t>the</w:t>
      </w:r>
      <w:r w:rsidR="0097091A" w:rsidRPr="00486BED">
        <w:rPr>
          <w:rFonts w:ascii="Times New Roman" w:eastAsiaTheme="minorEastAsia" w:hAnsi="Times New Roman" w:cs="Times New Roman"/>
          <w:sz w:val="24"/>
          <w:szCs w:val="24"/>
          <w:lang w:val="en-GB"/>
        </w:rPr>
        <w:t xml:space="preserve"> </w:t>
      </w:r>
      <w:r w:rsidR="00310457" w:rsidRPr="00486BED">
        <w:rPr>
          <w:rFonts w:ascii="Times New Roman" w:eastAsiaTheme="minorEastAsia" w:hAnsi="Times New Roman" w:cs="Times New Roman"/>
          <w:sz w:val="24"/>
          <w:szCs w:val="24"/>
          <w:lang w:val="en-GB"/>
        </w:rPr>
        <w:t xml:space="preserve">external dose in the enamel; </w:t>
      </w:r>
      <w:r w:rsidR="00310457" w:rsidRPr="00486BED">
        <w:rPr>
          <w:rFonts w:ascii="Times New Roman" w:eastAsiaTheme="minorEastAsia" w:hAnsi="Times New Roman" w:cs="Times New Roman"/>
          <w:i/>
          <w:sz w:val="24"/>
          <w:szCs w:val="24"/>
          <w:lang w:val="en-GB"/>
        </w:rPr>
        <w:t>D</w:t>
      </w:r>
      <w:r w:rsidR="00310457" w:rsidRPr="00486BED">
        <w:rPr>
          <w:rFonts w:ascii="Times New Roman" w:eastAsiaTheme="minorEastAsia" w:hAnsi="Times New Roman" w:cs="Times New Roman"/>
          <w:i/>
          <w:sz w:val="24"/>
          <w:szCs w:val="24"/>
          <w:vertAlign w:val="subscript"/>
          <w:lang w:val="en-GB"/>
        </w:rPr>
        <w:t>anthropogenic</w:t>
      </w:r>
      <w:r w:rsidR="00310457" w:rsidRPr="00486BED">
        <w:rPr>
          <w:rFonts w:ascii="Times New Roman" w:eastAsiaTheme="minorEastAsia" w:hAnsi="Times New Roman" w:cs="Times New Roman"/>
          <w:sz w:val="24"/>
          <w:szCs w:val="24"/>
          <w:lang w:val="en-GB"/>
        </w:rPr>
        <w:t xml:space="preserve"> is </w:t>
      </w:r>
      <w:r w:rsidR="002D0395">
        <w:rPr>
          <w:rFonts w:ascii="Times New Roman" w:eastAsiaTheme="minorEastAsia" w:hAnsi="Times New Roman" w:cs="Times New Roman"/>
          <w:sz w:val="24"/>
          <w:szCs w:val="24"/>
          <w:lang w:val="en-US"/>
        </w:rPr>
        <w:t>t</w:t>
      </w:r>
      <w:r w:rsidR="002D0395">
        <w:rPr>
          <w:rFonts w:ascii="Times New Roman" w:eastAsiaTheme="minorEastAsia" w:hAnsi="Times New Roman" w:cs="Times New Roman"/>
          <w:sz w:val="24"/>
          <w:szCs w:val="24"/>
          <w:lang w:val="en-GB"/>
        </w:rPr>
        <w:t>he</w:t>
      </w:r>
      <w:r w:rsidR="002D0395" w:rsidRPr="00486BED">
        <w:rPr>
          <w:rFonts w:ascii="Times New Roman" w:eastAsiaTheme="minorEastAsia" w:hAnsi="Times New Roman" w:cs="Times New Roman"/>
          <w:sz w:val="24"/>
          <w:szCs w:val="24"/>
          <w:lang w:val="en-GB"/>
        </w:rPr>
        <w:t xml:space="preserve"> </w:t>
      </w:r>
      <w:r w:rsidR="00310457" w:rsidRPr="00486BED">
        <w:rPr>
          <w:rFonts w:ascii="Times New Roman" w:eastAsiaTheme="minorEastAsia" w:hAnsi="Times New Roman" w:cs="Times New Roman"/>
          <w:sz w:val="24"/>
          <w:szCs w:val="24"/>
          <w:lang w:val="en-GB"/>
        </w:rPr>
        <w:t xml:space="preserve">cumulative absorbed dose in the enamel derived from </w:t>
      </w:r>
      <w:r w:rsidR="00352DA6" w:rsidRPr="00486BED">
        <w:rPr>
          <w:rFonts w:ascii="Times New Roman" w:eastAsiaTheme="minorEastAsia" w:hAnsi="Times New Roman" w:cs="Times New Roman"/>
          <w:sz w:val="24"/>
          <w:szCs w:val="24"/>
          <w:lang w:val="en-GB"/>
        </w:rPr>
        <w:t xml:space="preserve">the </w:t>
      </w:r>
      <w:r w:rsidR="00310457" w:rsidRPr="00486BED">
        <w:rPr>
          <w:rFonts w:ascii="Times New Roman" w:eastAsiaTheme="minorEastAsia" w:hAnsi="Times New Roman" w:cs="Times New Roman"/>
          <w:sz w:val="24"/>
          <w:szCs w:val="24"/>
          <w:lang w:val="en-GB"/>
        </w:rPr>
        <w:t xml:space="preserve">EPR measurements after </w:t>
      </w:r>
      <w:r w:rsidR="00352DA6" w:rsidRPr="00486BED">
        <w:rPr>
          <w:rFonts w:ascii="Times New Roman" w:eastAsiaTheme="minorEastAsia" w:hAnsi="Times New Roman" w:cs="Times New Roman"/>
          <w:sz w:val="24"/>
          <w:szCs w:val="24"/>
          <w:lang w:val="en-GB"/>
        </w:rPr>
        <w:t xml:space="preserve">a </w:t>
      </w:r>
      <w:r w:rsidR="00310457" w:rsidRPr="00486BED">
        <w:rPr>
          <w:rFonts w:ascii="Times New Roman" w:eastAsiaTheme="minorEastAsia" w:hAnsi="Times New Roman" w:cs="Times New Roman"/>
          <w:sz w:val="24"/>
          <w:szCs w:val="24"/>
          <w:lang w:val="en-GB"/>
        </w:rPr>
        <w:t>preliminary data harmonization</w:t>
      </w:r>
      <w:r w:rsidR="00352DA6" w:rsidRPr="00486BED">
        <w:rPr>
          <w:rFonts w:ascii="Times New Roman" w:eastAsiaTheme="minorEastAsia" w:hAnsi="Times New Roman" w:cs="Times New Roman"/>
          <w:sz w:val="24"/>
          <w:szCs w:val="24"/>
          <w:lang w:val="en-GB"/>
        </w:rPr>
        <w:t>,</w:t>
      </w:r>
      <w:r w:rsidR="00310457" w:rsidRPr="00486BED">
        <w:rPr>
          <w:rFonts w:ascii="Times New Roman" w:eastAsiaTheme="minorEastAsia" w:hAnsi="Times New Roman" w:cs="Times New Roman"/>
          <w:sz w:val="24"/>
          <w:szCs w:val="24"/>
          <w:lang w:val="en-GB"/>
        </w:rPr>
        <w:t xml:space="preserve"> and </w:t>
      </w:r>
      <w:r w:rsidR="0097091A">
        <w:rPr>
          <w:rFonts w:ascii="Times New Roman" w:eastAsiaTheme="minorEastAsia" w:hAnsi="Times New Roman" w:cs="Times New Roman"/>
          <w:sz w:val="24"/>
          <w:szCs w:val="24"/>
          <w:lang w:val="en-GB"/>
        </w:rPr>
        <w:t xml:space="preserve">after </w:t>
      </w:r>
      <w:r w:rsidR="00310457" w:rsidRPr="00486BED">
        <w:rPr>
          <w:rFonts w:ascii="Times New Roman" w:eastAsiaTheme="minorEastAsia" w:hAnsi="Times New Roman" w:cs="Times New Roman"/>
          <w:sz w:val="24"/>
          <w:szCs w:val="24"/>
          <w:lang w:val="en-GB"/>
        </w:rPr>
        <w:t xml:space="preserve">subtraction of </w:t>
      </w:r>
      <w:r w:rsidR="00352DA6" w:rsidRPr="00486BED">
        <w:rPr>
          <w:rFonts w:ascii="Times New Roman" w:eastAsiaTheme="minorEastAsia" w:hAnsi="Times New Roman" w:cs="Times New Roman"/>
          <w:sz w:val="24"/>
          <w:szCs w:val="24"/>
          <w:lang w:val="en-GB"/>
        </w:rPr>
        <w:t xml:space="preserve">the </w:t>
      </w:r>
      <w:r w:rsidR="00310457" w:rsidRPr="00486BED">
        <w:rPr>
          <w:rFonts w:ascii="Times New Roman" w:eastAsiaTheme="minorEastAsia" w:hAnsi="Times New Roman" w:cs="Times New Roman"/>
          <w:sz w:val="24"/>
          <w:szCs w:val="24"/>
          <w:lang w:val="en-GB"/>
        </w:rPr>
        <w:t xml:space="preserve">background dose fraction;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medical</m:t>
            </m:r>
          </m:sub>
        </m:sSub>
      </m:oMath>
      <w:r w:rsidR="00310457" w:rsidRPr="00486BED">
        <w:rPr>
          <w:rFonts w:ascii="Times New Roman" w:eastAsiaTheme="minorEastAsia" w:hAnsi="Times New Roman" w:cs="Times New Roman"/>
          <w:sz w:val="24"/>
          <w:szCs w:val="24"/>
          <w:lang w:val="en-GB"/>
        </w:rPr>
        <w:t xml:space="preserve"> is </w:t>
      </w:r>
      <w:r w:rsidR="0097091A">
        <w:rPr>
          <w:rFonts w:ascii="Times New Roman" w:eastAsiaTheme="minorEastAsia" w:hAnsi="Times New Roman" w:cs="Times New Roman"/>
          <w:sz w:val="24"/>
          <w:szCs w:val="24"/>
          <w:lang w:val="en-GB"/>
        </w:rPr>
        <w:t>the</w:t>
      </w:r>
      <w:r w:rsidR="00310457" w:rsidRPr="00486BED">
        <w:rPr>
          <w:rFonts w:ascii="Times New Roman" w:eastAsiaTheme="minorEastAsia" w:hAnsi="Times New Roman" w:cs="Times New Roman"/>
          <w:sz w:val="24"/>
          <w:szCs w:val="24"/>
          <w:lang w:val="en-GB"/>
        </w:rPr>
        <w:t xml:space="preserve"> dose in </w:t>
      </w:r>
      <w:r w:rsidR="00352DA6" w:rsidRPr="00486BED">
        <w:rPr>
          <w:rFonts w:ascii="Times New Roman" w:eastAsiaTheme="minorEastAsia" w:hAnsi="Times New Roman" w:cs="Times New Roman"/>
          <w:sz w:val="24"/>
          <w:szCs w:val="24"/>
          <w:lang w:val="en-GB"/>
        </w:rPr>
        <w:t xml:space="preserve">the </w:t>
      </w:r>
      <w:r w:rsidR="00310457" w:rsidRPr="00486BED">
        <w:rPr>
          <w:rFonts w:ascii="Times New Roman" w:eastAsiaTheme="minorEastAsia" w:hAnsi="Times New Roman" w:cs="Times New Roman"/>
          <w:sz w:val="24"/>
          <w:szCs w:val="24"/>
          <w:lang w:val="en-GB"/>
        </w:rPr>
        <w:t xml:space="preserve">enamel formed due to </w:t>
      </w:r>
      <w:r w:rsidR="00352DA6" w:rsidRPr="00486BED">
        <w:rPr>
          <w:rFonts w:ascii="Times New Roman" w:eastAsiaTheme="minorEastAsia" w:hAnsi="Times New Roman" w:cs="Times New Roman"/>
          <w:sz w:val="24"/>
          <w:szCs w:val="24"/>
          <w:lang w:val="en-GB"/>
        </w:rPr>
        <w:t xml:space="preserve">the </w:t>
      </w:r>
      <w:r w:rsidR="00310457" w:rsidRPr="00486BED">
        <w:rPr>
          <w:rFonts w:ascii="Times New Roman" w:eastAsiaTheme="minorEastAsia" w:hAnsi="Times New Roman" w:cs="Times New Roman"/>
          <w:sz w:val="24"/>
          <w:szCs w:val="24"/>
          <w:lang w:val="en-GB"/>
        </w:rPr>
        <w:t xml:space="preserve">medical diagnostics; </w:t>
      </w:r>
      <w:r w:rsidR="00310457" w:rsidRPr="008A0C14">
        <w:rPr>
          <w:rFonts w:ascii="Times New Roman" w:eastAsiaTheme="minorEastAsia" w:hAnsi="Times New Roman" w:cs="Times New Roman"/>
          <w:i/>
          <w:sz w:val="24"/>
          <w:szCs w:val="24"/>
          <w:lang w:val="en-GB"/>
        </w:rPr>
        <w:t>D</w:t>
      </w:r>
      <w:r w:rsidR="00310457" w:rsidRPr="008A0C14">
        <w:rPr>
          <w:rFonts w:ascii="Times New Roman" w:eastAsiaTheme="minorEastAsia" w:hAnsi="Times New Roman" w:cs="Times New Roman"/>
          <w:i/>
          <w:sz w:val="24"/>
          <w:szCs w:val="24"/>
          <w:vertAlign w:val="subscript"/>
          <w:lang w:val="en-GB"/>
        </w:rPr>
        <w:t>int</w:t>
      </w:r>
      <w:r w:rsidR="00310457" w:rsidRPr="008A0C14">
        <w:rPr>
          <w:rFonts w:ascii="Times New Roman" w:eastAsiaTheme="minorEastAsia" w:hAnsi="Times New Roman" w:cs="Times New Roman"/>
          <w:sz w:val="24"/>
          <w:szCs w:val="24"/>
          <w:lang w:val="en-GB"/>
        </w:rPr>
        <w:t xml:space="preserve"> </w:t>
      </w:r>
      <w:r w:rsidR="002D0395" w:rsidRPr="008A0C14">
        <w:rPr>
          <w:rFonts w:ascii="Times New Roman" w:eastAsiaTheme="minorEastAsia" w:hAnsi="Times New Roman" w:cs="Times New Roman"/>
          <w:sz w:val="24"/>
          <w:szCs w:val="24"/>
          <w:lang w:val="en-GB"/>
        </w:rPr>
        <w:t xml:space="preserve">is the internal dose due to bone-seeking </w:t>
      </w:r>
      <w:r w:rsidR="002D0395" w:rsidRPr="008A0C14">
        <w:rPr>
          <w:rFonts w:ascii="Times New Roman" w:eastAsiaTheme="minorEastAsia" w:hAnsi="Times New Roman" w:cs="Times New Roman"/>
          <w:sz w:val="24"/>
          <w:szCs w:val="24"/>
          <w:vertAlign w:val="superscript"/>
          <w:lang w:val="en-GB"/>
        </w:rPr>
        <w:t>90,89</w:t>
      </w:r>
      <w:r w:rsidR="002D0395" w:rsidRPr="008A0C14">
        <w:rPr>
          <w:rFonts w:ascii="Times New Roman" w:eastAsiaTheme="minorEastAsia" w:hAnsi="Times New Roman" w:cs="Times New Roman"/>
          <w:sz w:val="24"/>
          <w:szCs w:val="24"/>
          <w:lang w:val="en-GB"/>
        </w:rPr>
        <w:t xml:space="preserve">Sr </w:t>
      </w:r>
      <w:r w:rsidR="00310457" w:rsidRPr="008A0C14">
        <w:rPr>
          <w:rFonts w:ascii="Times New Roman" w:eastAsiaTheme="minorEastAsia" w:hAnsi="Times New Roman" w:cs="Times New Roman"/>
          <w:sz w:val="24"/>
          <w:szCs w:val="24"/>
          <w:lang w:val="en-US"/>
        </w:rPr>
        <w:t xml:space="preserve">and </w:t>
      </w:r>
      <w:r w:rsidR="00310457" w:rsidRPr="008A0C14">
        <w:rPr>
          <w:rFonts w:ascii="Times New Roman" w:eastAsiaTheme="minorEastAsia" w:hAnsi="Times New Roman" w:cs="Times New Roman"/>
          <w:sz w:val="24"/>
          <w:szCs w:val="24"/>
          <w:vertAlign w:val="superscript"/>
          <w:lang w:val="en-US"/>
        </w:rPr>
        <w:t>137</w:t>
      </w:r>
      <w:r w:rsidR="00310457" w:rsidRPr="008A0C14">
        <w:rPr>
          <w:rFonts w:ascii="Times New Roman" w:eastAsiaTheme="minorEastAsia" w:hAnsi="Times New Roman" w:cs="Times New Roman"/>
          <w:sz w:val="24"/>
          <w:szCs w:val="24"/>
          <w:lang w:val="en-US"/>
        </w:rPr>
        <w:t xml:space="preserve">Cs in </w:t>
      </w:r>
      <w:r w:rsidR="00352DA6" w:rsidRPr="008A0C14">
        <w:rPr>
          <w:rFonts w:ascii="Times New Roman" w:eastAsiaTheme="minorEastAsia" w:hAnsi="Times New Roman" w:cs="Times New Roman"/>
          <w:sz w:val="24"/>
          <w:szCs w:val="24"/>
          <w:lang w:val="en-US"/>
        </w:rPr>
        <w:t xml:space="preserve">the </w:t>
      </w:r>
      <w:r w:rsidR="00310457" w:rsidRPr="008A0C14">
        <w:rPr>
          <w:rFonts w:ascii="Times New Roman" w:eastAsiaTheme="minorEastAsia" w:hAnsi="Times New Roman" w:cs="Times New Roman"/>
          <w:sz w:val="24"/>
          <w:szCs w:val="24"/>
          <w:lang w:val="en-US"/>
        </w:rPr>
        <w:t>soft tissues.</w:t>
      </w:r>
      <w:r w:rsidR="00310457" w:rsidRPr="00486BED">
        <w:rPr>
          <w:rFonts w:ascii="Times New Roman" w:eastAsiaTheme="minorEastAsia" w:hAnsi="Times New Roman" w:cs="Times New Roman"/>
          <w:sz w:val="24"/>
          <w:szCs w:val="24"/>
          <w:lang w:val="en-US"/>
        </w:rPr>
        <w:t xml:space="preserve"> </w:t>
      </w:r>
    </w:p>
    <w:p w14:paraId="783C8EF5" w14:textId="77777777" w:rsidR="00310457" w:rsidRPr="00486BED" w:rsidRDefault="00310457" w:rsidP="00486BED">
      <w:pPr>
        <w:spacing w:after="240" w:line="360" w:lineRule="auto"/>
        <w:ind w:firstLine="426"/>
        <w:jc w:val="both"/>
        <w:rPr>
          <w:rFonts w:ascii="Times New Roman" w:hAnsi="Times New Roman" w:cs="Times New Roman"/>
          <w:sz w:val="24"/>
          <w:szCs w:val="24"/>
          <w:lang w:val="en-GB"/>
        </w:rPr>
      </w:pPr>
      <w:r w:rsidRPr="00486BED">
        <w:rPr>
          <w:rFonts w:ascii="Times New Roman" w:hAnsi="Times New Roman" w:cs="Times New Roman"/>
          <w:sz w:val="24"/>
          <w:szCs w:val="24"/>
          <w:lang w:val="en-GB"/>
        </w:rPr>
        <w:t xml:space="preserve">The general scheme of the anthropogenic dose estimation with EPR dosimetry is shown in Fig.1. The scheme consists of </w:t>
      </w:r>
      <w:r w:rsidR="008A26B4">
        <w:rPr>
          <w:rFonts w:ascii="Times New Roman" w:hAnsi="Times New Roman" w:cs="Times New Roman"/>
          <w:sz w:val="24"/>
          <w:szCs w:val="24"/>
          <w:lang w:val="en-GB"/>
        </w:rPr>
        <w:t>four</w:t>
      </w:r>
      <w:r w:rsidRPr="00486BED">
        <w:rPr>
          <w:rFonts w:ascii="Times New Roman" w:hAnsi="Times New Roman" w:cs="Times New Roman"/>
          <w:sz w:val="24"/>
          <w:szCs w:val="24"/>
          <w:lang w:val="en-GB"/>
        </w:rPr>
        <w:t xml:space="preserve"> main </w:t>
      </w:r>
      <w:r w:rsidR="008A26B4">
        <w:rPr>
          <w:rFonts w:ascii="Times New Roman" w:hAnsi="Times New Roman" w:cs="Times New Roman"/>
          <w:sz w:val="24"/>
          <w:szCs w:val="24"/>
          <w:lang w:val="en-GB"/>
        </w:rPr>
        <w:t>parts</w:t>
      </w:r>
      <w:r w:rsidR="00352DA6" w:rsidRPr="00486BED">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including </w:t>
      </w:r>
      <w:r w:rsidR="002D0214">
        <w:rPr>
          <w:rFonts w:ascii="Times New Roman" w:hAnsi="Times New Roman" w:cs="Times New Roman"/>
          <w:sz w:val="24"/>
          <w:szCs w:val="24"/>
          <w:lang w:val="en-GB"/>
        </w:rPr>
        <w:t xml:space="preserve">establishment of </w:t>
      </w:r>
      <w:r w:rsidR="008A26B4">
        <w:rPr>
          <w:rFonts w:ascii="Times New Roman" w:hAnsi="Times New Roman" w:cs="Times New Roman"/>
          <w:sz w:val="24"/>
          <w:szCs w:val="24"/>
          <w:lang w:val="en-GB"/>
        </w:rPr>
        <w:t>a</w:t>
      </w:r>
      <w:r w:rsidRPr="00486BED">
        <w:rPr>
          <w:rFonts w:ascii="Times New Roman" w:hAnsi="Times New Roman" w:cs="Times New Roman"/>
          <w:sz w:val="24"/>
          <w:szCs w:val="24"/>
          <w:lang w:val="en-GB"/>
        </w:rPr>
        <w:t xml:space="preserve"> database of EPR measurements; methodological approaches used for combining and analysing the data; steps for harmonization of </w:t>
      </w:r>
      <w:r w:rsidR="00352DA6"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EPR measurements</w:t>
      </w:r>
      <w:r w:rsidR="008A26B4">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and steps to derive individual doses from the EPR measurements.</w:t>
      </w:r>
    </w:p>
    <w:p w14:paraId="464537B4" w14:textId="77777777" w:rsidR="00310457" w:rsidRPr="00486BED" w:rsidRDefault="00310457" w:rsidP="00486BED">
      <w:pPr>
        <w:spacing w:after="240" w:line="360" w:lineRule="auto"/>
        <w:jc w:val="both"/>
        <w:rPr>
          <w:rFonts w:ascii="Times New Roman" w:hAnsi="Times New Roman" w:cs="Times New Roman"/>
          <w:sz w:val="24"/>
          <w:szCs w:val="24"/>
          <w:lang w:val="en-GB"/>
        </w:rPr>
      </w:pPr>
      <w:r w:rsidRPr="00486BED">
        <w:rPr>
          <w:rFonts w:ascii="Times New Roman" w:eastAsiaTheme="minorEastAsia" w:hAnsi="Times New Roman" w:cs="Times New Roman"/>
          <w:sz w:val="24"/>
          <w:szCs w:val="24"/>
          <w:lang w:val="en-US"/>
        </w:rPr>
        <w:tab/>
        <w:t xml:space="preserve">The key task for evaluation of </w:t>
      </w:r>
      <w:r w:rsidR="00352DA6" w:rsidRPr="00486BED">
        <w:rPr>
          <w:rFonts w:ascii="Times New Roman" w:eastAsiaTheme="minorEastAsia" w:hAnsi="Times New Roman" w:cs="Times New Roman"/>
          <w:sz w:val="24"/>
          <w:szCs w:val="24"/>
          <w:lang w:val="en-US"/>
        </w:rPr>
        <w:t xml:space="preserve">the </w:t>
      </w:r>
      <w:r w:rsidRPr="00486BED">
        <w:rPr>
          <w:rFonts w:ascii="Times New Roman" w:eastAsiaTheme="minorEastAsia" w:hAnsi="Times New Roman" w:cs="Times New Roman"/>
          <w:sz w:val="24"/>
          <w:szCs w:val="24"/>
          <w:lang w:val="en-US"/>
        </w:rPr>
        <w:t xml:space="preserve">anthropogenic doses was to subtract the background doses from the EPR-detected </w:t>
      </w:r>
      <w:r w:rsidR="00710F3D">
        <w:rPr>
          <w:rFonts w:ascii="Times New Roman" w:eastAsiaTheme="minorEastAsia" w:hAnsi="Times New Roman" w:cs="Times New Roman"/>
          <w:sz w:val="24"/>
          <w:szCs w:val="24"/>
          <w:lang w:val="en-US"/>
        </w:rPr>
        <w:t>doses</w:t>
      </w:r>
      <w:r w:rsidRPr="00486BED">
        <w:rPr>
          <w:rFonts w:ascii="Times New Roman" w:eastAsiaTheme="minorEastAsia" w:hAnsi="Times New Roman" w:cs="Times New Roman"/>
          <w:sz w:val="24"/>
          <w:szCs w:val="24"/>
          <w:lang w:val="en-US"/>
        </w:rPr>
        <w:t xml:space="preserve">. </w:t>
      </w:r>
      <w:r w:rsidR="00352DA6" w:rsidRPr="00486BED">
        <w:rPr>
          <w:rFonts w:ascii="Times New Roman" w:eastAsiaTheme="minorEastAsia" w:hAnsi="Times New Roman" w:cs="Times New Roman"/>
          <w:sz w:val="24"/>
          <w:szCs w:val="24"/>
          <w:lang w:val="en-US"/>
        </w:rPr>
        <w:t>The b</w:t>
      </w:r>
      <w:r w:rsidRPr="00486BED">
        <w:rPr>
          <w:rFonts w:ascii="Times New Roman" w:eastAsiaTheme="minorEastAsia" w:hAnsi="Times New Roman" w:cs="Times New Roman"/>
          <w:sz w:val="24"/>
          <w:szCs w:val="24"/>
          <w:lang w:val="en-US"/>
        </w:rPr>
        <w:t xml:space="preserve">ackground dose distribution was reconstructed from the EPR measurements of the teeth donated by </w:t>
      </w:r>
      <w:r w:rsidR="00352DA6" w:rsidRPr="00486BED">
        <w:rPr>
          <w:rFonts w:ascii="Times New Roman" w:eastAsiaTheme="minorEastAsia" w:hAnsi="Times New Roman" w:cs="Times New Roman"/>
          <w:sz w:val="24"/>
          <w:szCs w:val="24"/>
          <w:lang w:val="en-US"/>
        </w:rPr>
        <w:t xml:space="preserve">the </w:t>
      </w:r>
      <w:r w:rsidRPr="00486BED">
        <w:rPr>
          <w:rFonts w:ascii="Times New Roman" w:eastAsiaTheme="minorEastAsia" w:hAnsi="Times New Roman" w:cs="Times New Roman"/>
          <w:sz w:val="24"/>
          <w:szCs w:val="24"/>
          <w:lang w:val="en-US"/>
        </w:rPr>
        <w:t xml:space="preserve">unexposed donors (M1 in Fig. 1). The anthropogenic dose and the radiation background can only be distinguished when </w:t>
      </w:r>
      <w:r w:rsidR="00BD667B">
        <w:rPr>
          <w:rFonts w:ascii="Times New Roman" w:eastAsiaTheme="minorEastAsia" w:hAnsi="Times New Roman" w:cs="Times New Roman"/>
          <w:sz w:val="24"/>
          <w:szCs w:val="24"/>
          <w:lang w:val="en-US"/>
        </w:rPr>
        <w:t xml:space="preserve">the </w:t>
      </w:r>
      <w:r w:rsidRPr="00486BED">
        <w:rPr>
          <w:rFonts w:ascii="Times New Roman" w:eastAsiaTheme="minorEastAsia" w:hAnsi="Times New Roman" w:cs="Times New Roman"/>
          <w:sz w:val="24"/>
          <w:szCs w:val="24"/>
          <w:lang w:val="en-US"/>
        </w:rPr>
        <w:t xml:space="preserve">anthropogenic dose </w:t>
      </w:r>
      <w:r w:rsidR="00335F33">
        <w:rPr>
          <w:rFonts w:ascii="Times New Roman" w:eastAsiaTheme="minorEastAsia" w:hAnsi="Times New Roman" w:cs="Times New Roman"/>
          <w:sz w:val="24"/>
          <w:szCs w:val="24"/>
          <w:lang w:val="en-US"/>
        </w:rPr>
        <w:t xml:space="preserve">significantly </w:t>
      </w:r>
      <w:r w:rsidRPr="00486BED">
        <w:rPr>
          <w:rFonts w:ascii="Times New Roman" w:eastAsiaTheme="minorEastAsia" w:hAnsi="Times New Roman" w:cs="Times New Roman"/>
          <w:sz w:val="24"/>
          <w:szCs w:val="24"/>
          <w:lang w:val="en-US"/>
        </w:rPr>
        <w:t>exceeds the background</w:t>
      </w:r>
      <w:r w:rsidR="00BD667B">
        <w:rPr>
          <w:rFonts w:ascii="Times New Roman" w:eastAsiaTheme="minorEastAsia" w:hAnsi="Times New Roman" w:cs="Times New Roman"/>
          <w:sz w:val="24"/>
          <w:szCs w:val="24"/>
          <w:lang w:val="en-US"/>
        </w:rPr>
        <w:t xml:space="preserve"> dose</w:t>
      </w:r>
      <w:r w:rsidRPr="00486BED">
        <w:rPr>
          <w:rFonts w:ascii="Times New Roman" w:eastAsiaTheme="minorEastAsia" w:hAnsi="Times New Roman" w:cs="Times New Roman"/>
          <w:sz w:val="24"/>
          <w:szCs w:val="24"/>
          <w:lang w:val="en-US"/>
        </w:rPr>
        <w:t xml:space="preserve">. </w:t>
      </w:r>
      <w:r w:rsidRPr="00486BED">
        <w:rPr>
          <w:rFonts w:ascii="Times New Roman" w:hAnsi="Times New Roman" w:cs="Times New Roman"/>
          <w:sz w:val="24"/>
          <w:szCs w:val="24"/>
          <w:lang w:val="en-GB"/>
        </w:rPr>
        <w:t xml:space="preserve">The statistical criterion for defining the individual anthropogenic dose (M5 in Figure 1) was introduced in Shishkina et al (2014a) as a limit of individualization </w:t>
      </w:r>
      <w:r w:rsidRPr="00486BED">
        <w:rPr>
          <w:rFonts w:ascii="Times New Roman" w:hAnsi="Times New Roman" w:cs="Times New Roman"/>
          <w:sz w:val="24"/>
          <w:szCs w:val="24"/>
          <w:lang w:val="en-US"/>
        </w:rPr>
        <w:t>(</w:t>
      </w:r>
      <w:r w:rsidRPr="00486BED">
        <w:rPr>
          <w:rFonts w:ascii="Times New Roman" w:hAnsi="Times New Roman" w:cs="Times New Roman"/>
          <w:i/>
          <w:sz w:val="24"/>
          <w:szCs w:val="24"/>
          <w:lang w:val="en-US"/>
        </w:rPr>
        <w:t>LI</w:t>
      </w:r>
      <w:r w:rsidRPr="00486BED">
        <w:rPr>
          <w:rFonts w:ascii="Times New Roman" w:hAnsi="Times New Roman" w:cs="Times New Roman"/>
          <w:b/>
          <w:sz w:val="24"/>
          <w:szCs w:val="24"/>
          <w:lang w:val="en-US"/>
        </w:rPr>
        <w:t>)</w:t>
      </w:r>
      <w:r w:rsidRPr="00486BED">
        <w:rPr>
          <w:rFonts w:ascii="Times New Roman" w:hAnsi="Times New Roman" w:cs="Times New Roman"/>
          <w:sz w:val="24"/>
          <w:szCs w:val="24"/>
          <w:lang w:val="en-US"/>
        </w:rPr>
        <w:t xml:space="preserve">. The </w:t>
      </w:r>
      <w:r w:rsidRPr="00486BED">
        <w:rPr>
          <w:rFonts w:ascii="Times New Roman" w:hAnsi="Times New Roman" w:cs="Times New Roman"/>
          <w:i/>
          <w:sz w:val="24"/>
          <w:szCs w:val="24"/>
          <w:lang w:val="en-US"/>
        </w:rPr>
        <w:t>LI</w:t>
      </w:r>
      <w:r w:rsidRPr="00486BED">
        <w:rPr>
          <w:rFonts w:ascii="Times New Roman" w:hAnsi="Times New Roman" w:cs="Times New Roman"/>
          <w:sz w:val="24"/>
          <w:szCs w:val="24"/>
          <w:lang w:val="en-US"/>
        </w:rPr>
        <w:t xml:space="preserve"> is</w:t>
      </w:r>
      <w:r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US"/>
        </w:rPr>
        <w:t xml:space="preserve">a threshold above which the measurand can be definitely interpreted as a response to </w:t>
      </w:r>
      <w:r w:rsidR="00352DA6"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anthropogenic exposure </w:t>
      </w:r>
      <w:r w:rsidR="00BD597C">
        <w:rPr>
          <w:rFonts w:ascii="Times New Roman" w:hAnsi="Times New Roman" w:cs="Times New Roman"/>
          <w:sz w:val="24"/>
          <w:szCs w:val="24"/>
          <w:lang w:val="en-US"/>
        </w:rPr>
        <w:t xml:space="preserve">significantly </w:t>
      </w:r>
      <w:r w:rsidRPr="00486BED">
        <w:rPr>
          <w:rFonts w:ascii="Times New Roman" w:hAnsi="Times New Roman" w:cs="Times New Roman"/>
          <w:sz w:val="24"/>
          <w:szCs w:val="24"/>
          <w:lang w:val="en-US"/>
        </w:rPr>
        <w:t xml:space="preserve">exceeding the background level (Eq 2). </w:t>
      </w:r>
    </w:p>
    <w:p w14:paraId="6876C10A" w14:textId="77777777" w:rsidR="00310457" w:rsidRPr="00486BED" w:rsidRDefault="00E40A79" w:rsidP="00486BED">
      <w:pPr>
        <w:tabs>
          <w:tab w:val="left" w:pos="8222"/>
        </w:tabs>
        <w:autoSpaceDE w:val="0"/>
        <w:autoSpaceDN w:val="0"/>
        <w:adjustRightInd w:val="0"/>
        <w:spacing w:after="240" w:line="360" w:lineRule="auto"/>
        <w:jc w:val="both"/>
        <w:rPr>
          <w:rFonts w:ascii="Times New Roman" w:hAnsi="Times New Roman" w:cs="Times New Roman"/>
          <w:sz w:val="24"/>
          <w:szCs w:val="24"/>
          <w:lang w:val="en-US"/>
        </w:rPr>
      </w:pPr>
      <w:r w:rsidRPr="00E40A79">
        <w:rPr>
          <w:rFonts w:ascii="Times New Roman" w:hAnsi="Times New Roman" w:cs="Times New Roman"/>
          <w:position w:val="-14"/>
          <w:sz w:val="24"/>
          <w:szCs w:val="24"/>
        </w:rPr>
        <w:object w:dxaOrig="2700" w:dyaOrig="420" w14:anchorId="452D1E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8pt" o:ole="">
            <v:imagedata r:id="rId10" o:title=""/>
          </v:shape>
          <o:OLEObject Type="Embed" ProgID="Equation.3" ShapeID="_x0000_i1025" DrawAspect="Content" ObjectID="_1586772670" r:id="rId11"/>
        </w:object>
      </w:r>
      <w:r>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ab/>
        <w:t>(2)</w:t>
      </w:r>
    </w:p>
    <w:p w14:paraId="2ED895DE" w14:textId="77777777" w:rsidR="00310457" w:rsidRPr="00486BED" w:rsidRDefault="00E40A79" w:rsidP="00486BED">
      <w:pPr>
        <w:tabs>
          <w:tab w:val="left" w:pos="8364"/>
        </w:tabs>
        <w:spacing w:after="240" w:line="360" w:lineRule="auto"/>
        <w:jc w:val="both"/>
        <w:rPr>
          <w:rFonts w:ascii="Times New Roman" w:eastAsiaTheme="minorEastAsia" w:hAnsi="Times New Roman" w:cs="Times New Roman"/>
          <w:sz w:val="24"/>
          <w:szCs w:val="24"/>
          <w:lang w:val="en-US"/>
        </w:rPr>
      </w:pPr>
      <w:r w:rsidRPr="008A0C14">
        <w:rPr>
          <w:rFonts w:ascii="Times New Roman" w:hAnsi="Times New Roman" w:cs="Times New Roman"/>
          <w:sz w:val="24"/>
          <w:szCs w:val="24"/>
          <w:lang w:val="en-US"/>
        </w:rPr>
        <w:t>w</w:t>
      </w:r>
      <w:r w:rsidR="00BD597C" w:rsidRPr="008A0C14">
        <w:rPr>
          <w:rFonts w:ascii="Times New Roman" w:hAnsi="Times New Roman" w:cs="Times New Roman"/>
          <w:sz w:val="24"/>
          <w:szCs w:val="24"/>
          <w:lang w:val="en-US"/>
        </w:rPr>
        <w:t xml:space="preserve">here </w:t>
      </w:r>
      <w:r w:rsidR="00BD597C" w:rsidRPr="008A0C14">
        <w:rPr>
          <w:rFonts w:ascii="Times New Roman" w:eastAsiaTheme="minorEastAsia" w:hAnsi="Times New Roman" w:cs="Times New Roman"/>
          <w:i/>
          <w:sz w:val="24"/>
          <w:szCs w:val="24"/>
          <w:lang w:val="en-US"/>
        </w:rPr>
        <w:t>P</w:t>
      </w:r>
      <w:r w:rsidR="00BD597C" w:rsidRPr="008A0C14">
        <w:rPr>
          <w:rFonts w:ascii="Times New Roman" w:eastAsiaTheme="minorEastAsia" w:hAnsi="Times New Roman" w:cs="Times New Roman"/>
          <w:sz w:val="24"/>
          <w:szCs w:val="24"/>
          <w:lang w:val="en-US"/>
        </w:rPr>
        <w:t xml:space="preserve"> is </w:t>
      </w:r>
      <w:r w:rsidRPr="008A0C14">
        <w:rPr>
          <w:rFonts w:ascii="Times New Roman" w:eastAsiaTheme="minorEastAsia" w:hAnsi="Times New Roman" w:cs="Times New Roman"/>
          <w:sz w:val="24"/>
          <w:szCs w:val="24"/>
          <w:lang w:val="en-US"/>
        </w:rPr>
        <w:t>the probability t</w:t>
      </w:r>
      <w:r w:rsidR="00AF752C" w:rsidRPr="008A0C14">
        <w:rPr>
          <w:rFonts w:ascii="Times New Roman" w:eastAsiaTheme="minorEastAsia" w:hAnsi="Times New Roman" w:cs="Times New Roman"/>
          <w:sz w:val="24"/>
          <w:szCs w:val="24"/>
          <w:lang w:val="en-US"/>
        </w:rPr>
        <w:t xml:space="preserve">hat an EPR measurement, </w:t>
      </w:r>
      <m:oMath>
        <m:acc>
          <m:accPr>
            <m:ctrlPr>
              <w:rPr>
                <w:rFonts w:ascii="Cambria Math" w:hAnsi="Cambria Math" w:cs="Times New Roman"/>
                <w:i/>
                <w:sz w:val="24"/>
                <w:szCs w:val="24"/>
                <w:lang w:val="en-US"/>
              </w:rPr>
            </m:ctrlPr>
          </m:accPr>
          <m:e>
            <m:r>
              <w:rPr>
                <w:rFonts w:ascii="Cambria Math" w:hAnsi="Cambria Math" w:cs="Times New Roman"/>
                <w:sz w:val="24"/>
                <w:szCs w:val="24"/>
                <w:lang w:val="en-US"/>
              </w:rPr>
              <m:t>D</m:t>
            </m:r>
          </m:e>
        </m:acc>
        <m:r>
          <w:rPr>
            <w:rFonts w:ascii="Cambria Math" w:hAnsi="Cambria Math" w:cs="Times New Roman"/>
            <w:sz w:val="24"/>
            <w:szCs w:val="24"/>
            <w:lang w:val="en-US"/>
          </w:rPr>
          <m:t xml:space="preserve"> , </m:t>
        </m:r>
      </m:oMath>
      <w:r w:rsidR="00AF752C" w:rsidRPr="008A0C14">
        <w:rPr>
          <w:rFonts w:ascii="Times New Roman" w:eastAsiaTheme="minorEastAsia" w:hAnsi="Times New Roman" w:cs="Times New Roman"/>
          <w:sz w:val="24"/>
          <w:szCs w:val="24"/>
          <w:lang w:val="en-US"/>
        </w:rPr>
        <w:t xml:space="preserve"> </w:t>
      </w:r>
      <w:r w:rsidR="00AF752C" w:rsidRPr="008A0C14">
        <w:rPr>
          <w:rFonts w:ascii="Times New Roman" w:hAnsi="Times New Roman" w:cs="Times New Roman"/>
          <w:color w:val="333333"/>
          <w:sz w:val="24"/>
          <w:szCs w:val="24"/>
          <w:shd w:val="clear" w:color="auto" w:fill="FFFFFF"/>
          <w:lang w:val="en-US"/>
        </w:rPr>
        <w:t>can give a dose below</w:t>
      </w:r>
      <w:r w:rsidR="00AF752C" w:rsidRPr="008A0C14">
        <w:rPr>
          <w:rFonts w:ascii="Times New Roman" w:hAnsi="Times New Roman" w:cs="Times New Roman"/>
          <w:sz w:val="24"/>
          <w:szCs w:val="24"/>
          <w:lang w:val="en-US"/>
        </w:rPr>
        <w:t xml:space="preserve"> the background dose, </w:t>
      </w:r>
      <w:r w:rsidR="00AF752C" w:rsidRPr="008A0C14">
        <w:rPr>
          <w:rFonts w:ascii="Times New Roman" w:hAnsi="Times New Roman" w:cs="Times New Roman"/>
          <w:i/>
          <w:sz w:val="24"/>
          <w:szCs w:val="24"/>
          <w:lang w:val="en-US"/>
        </w:rPr>
        <w:t>D</w:t>
      </w:r>
      <w:r w:rsidR="00AF752C" w:rsidRPr="008A0C14">
        <w:rPr>
          <w:rFonts w:ascii="Times New Roman" w:hAnsi="Times New Roman" w:cs="Times New Roman"/>
          <w:i/>
          <w:sz w:val="24"/>
          <w:szCs w:val="24"/>
          <w:vertAlign w:val="subscript"/>
          <w:lang w:val="en-US"/>
        </w:rPr>
        <w:t>back</w:t>
      </w:r>
      <w:r w:rsidR="00BD597C" w:rsidRPr="008A0C14">
        <w:rPr>
          <w:rFonts w:ascii="Times New Roman" w:eastAsiaTheme="minorEastAsia" w:hAnsi="Times New Roman" w:cs="Times New Roman"/>
          <w:sz w:val="24"/>
          <w:szCs w:val="24"/>
          <w:lang w:val="en-US"/>
        </w:rPr>
        <w:t>.</w:t>
      </w:r>
      <w:r w:rsidR="00BD597C">
        <w:rPr>
          <w:rFonts w:ascii="Times New Roman" w:eastAsiaTheme="minorEastAsia" w:hAnsi="Times New Roman" w:cs="Times New Roman"/>
          <w:sz w:val="24"/>
          <w:szCs w:val="24"/>
          <w:lang w:val="en-US"/>
        </w:rPr>
        <w:t xml:space="preserve"> </w:t>
      </w:r>
      <w:r w:rsidR="00310457" w:rsidRPr="00486BED">
        <w:rPr>
          <w:rFonts w:ascii="Times New Roman" w:hAnsi="Times New Roman" w:cs="Times New Roman"/>
          <w:sz w:val="24"/>
          <w:szCs w:val="24"/>
          <w:lang w:val="en-US"/>
        </w:rPr>
        <w:t>As can be seen from Eq (2)</w:t>
      </w:r>
      <w:r w:rsidR="00352DA6" w:rsidRPr="00486BED">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the </w:t>
      </w:r>
      <w:r w:rsidR="00310457" w:rsidRPr="00486BED">
        <w:rPr>
          <w:rFonts w:ascii="Times New Roman" w:hAnsi="Times New Roman" w:cs="Times New Roman"/>
          <w:i/>
          <w:sz w:val="24"/>
          <w:szCs w:val="24"/>
          <w:lang w:val="en-US"/>
        </w:rPr>
        <w:t>LI</w:t>
      </w:r>
      <w:r w:rsidR="00310457" w:rsidRPr="00486BED">
        <w:rPr>
          <w:rFonts w:ascii="Times New Roman" w:hAnsi="Times New Roman" w:cs="Times New Roman"/>
          <w:sz w:val="24"/>
          <w:szCs w:val="24"/>
          <w:lang w:val="en-US"/>
        </w:rPr>
        <w:t xml:space="preserve"> is defined by the width of </w:t>
      </w:r>
      <w:r w:rsidR="00352DA6"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background dose distribution (M1 in Fig. 1). </w:t>
      </w:r>
      <w:r w:rsidR="00310457" w:rsidRPr="00486BED">
        <w:rPr>
          <w:rFonts w:ascii="Times New Roman" w:eastAsiaTheme="minorEastAsia" w:hAnsi="Times New Roman" w:cs="Times New Roman"/>
          <w:sz w:val="24"/>
          <w:szCs w:val="24"/>
          <w:lang w:val="en-US"/>
        </w:rPr>
        <w:t xml:space="preserve">The reconstructed background dose distribution was used for evaluation of the method-specific </w:t>
      </w:r>
      <w:r w:rsidR="00310457" w:rsidRPr="00486BED">
        <w:rPr>
          <w:rFonts w:ascii="Times New Roman" w:eastAsiaTheme="minorEastAsia" w:hAnsi="Times New Roman" w:cs="Times New Roman"/>
          <w:i/>
          <w:sz w:val="24"/>
          <w:szCs w:val="24"/>
          <w:lang w:val="en-US"/>
        </w:rPr>
        <w:t>LI</w:t>
      </w:r>
      <w:r w:rsidR="00310457" w:rsidRPr="00486BED">
        <w:rPr>
          <w:rFonts w:ascii="Times New Roman" w:eastAsiaTheme="minorEastAsia" w:hAnsi="Times New Roman" w:cs="Times New Roman"/>
          <w:sz w:val="24"/>
          <w:szCs w:val="24"/>
          <w:lang w:val="en-US"/>
        </w:rPr>
        <w:t xml:space="preserve">, evaluation of systematic errors (H1 </w:t>
      </w:r>
      <w:r w:rsidR="00310457" w:rsidRPr="00486BED">
        <w:rPr>
          <w:rFonts w:ascii="Times New Roman" w:hAnsi="Times New Roman" w:cs="Times New Roman"/>
          <w:sz w:val="24"/>
          <w:szCs w:val="24"/>
          <w:lang w:val="en-US"/>
        </w:rPr>
        <w:t xml:space="preserve">in </w:t>
      </w:r>
      <w:r w:rsidR="00310457" w:rsidRPr="00486BED">
        <w:rPr>
          <w:rFonts w:ascii="Times New Roman" w:eastAsiaTheme="minorEastAsia" w:hAnsi="Times New Roman" w:cs="Times New Roman"/>
          <w:sz w:val="24"/>
          <w:szCs w:val="24"/>
          <w:lang w:val="en-US"/>
        </w:rPr>
        <w:t xml:space="preserve">Figure 1), </w:t>
      </w:r>
      <w:r w:rsidR="00310457" w:rsidRPr="00486BED">
        <w:rPr>
          <w:rFonts w:ascii="Times New Roman" w:hAnsi="Times New Roman" w:cs="Times New Roman"/>
          <w:sz w:val="24"/>
          <w:szCs w:val="24"/>
          <w:lang w:val="en-US"/>
        </w:rPr>
        <w:t xml:space="preserve">assigning </w:t>
      </w:r>
      <w:r w:rsidR="00D82E4F" w:rsidRPr="00486BED">
        <w:rPr>
          <w:rFonts w:ascii="Times New Roman" w:hAnsi="Times New Roman" w:cs="Times New Roman"/>
          <w:sz w:val="24"/>
          <w:szCs w:val="24"/>
          <w:lang w:val="en-US"/>
        </w:rPr>
        <w:t>a</w:t>
      </w:r>
      <w:r w:rsidR="00310457" w:rsidRPr="00486BED">
        <w:rPr>
          <w:rFonts w:ascii="Times New Roman" w:hAnsi="Times New Roman" w:cs="Times New Roman"/>
          <w:sz w:val="24"/>
          <w:szCs w:val="24"/>
          <w:lang w:val="en-US"/>
        </w:rPr>
        <w:t xml:space="preserve"> mathematical expectation for doses of less than the </w:t>
      </w:r>
      <w:r w:rsidR="00310457" w:rsidRPr="00486BED">
        <w:rPr>
          <w:rFonts w:ascii="Times New Roman" w:hAnsi="Times New Roman" w:cs="Times New Roman"/>
          <w:i/>
          <w:sz w:val="24"/>
          <w:szCs w:val="24"/>
          <w:lang w:val="en-US"/>
        </w:rPr>
        <w:t>LI</w:t>
      </w:r>
      <w:r w:rsidR="00310457" w:rsidRPr="00486BED">
        <w:rPr>
          <w:rFonts w:ascii="Times New Roman" w:hAnsi="Times New Roman" w:cs="Times New Roman"/>
          <w:sz w:val="24"/>
          <w:szCs w:val="24"/>
          <w:lang w:val="en-US"/>
        </w:rPr>
        <w:t xml:space="preserve"> (</w:t>
      </w:r>
      <w:r w:rsidR="00310457" w:rsidRPr="00486BED">
        <w:rPr>
          <w:rFonts w:ascii="Times New Roman" w:hAnsi="Times New Roman" w:cs="Times New Roman"/>
          <w:i/>
          <w:sz w:val="24"/>
          <w:szCs w:val="24"/>
          <w:lang w:val="en-US"/>
        </w:rPr>
        <w:t>BLI</w:t>
      </w:r>
      <w:r w:rsidR="00310457" w:rsidRPr="00486BED">
        <w:rPr>
          <w:rFonts w:ascii="Times New Roman" w:hAnsi="Times New Roman" w:cs="Times New Roman"/>
          <w:sz w:val="24"/>
          <w:szCs w:val="24"/>
          <w:lang w:val="en-US"/>
        </w:rPr>
        <w:t>)</w:t>
      </w:r>
      <w:r w:rsidR="00D82E4F" w:rsidRPr="00486BED">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and subtraction of </w:t>
      </w:r>
      <w:r w:rsidR="00D82E4F"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mean background dose (I1 and I2 in Fig. 1)</w:t>
      </w:r>
      <w:r w:rsidR="00310457" w:rsidRPr="00486BED">
        <w:rPr>
          <w:rFonts w:ascii="Times New Roman" w:eastAsiaTheme="minorEastAsia" w:hAnsi="Times New Roman" w:cs="Times New Roman"/>
          <w:sz w:val="24"/>
          <w:szCs w:val="24"/>
          <w:lang w:val="en-US"/>
        </w:rPr>
        <w:t>.</w:t>
      </w:r>
    </w:p>
    <w:p w14:paraId="45FA3B71" w14:textId="77777777" w:rsidR="00310457" w:rsidRPr="00F763B2"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sz w:val="24"/>
          <w:szCs w:val="24"/>
          <w:lang w:val="en-GB"/>
        </w:rPr>
        <w:t>Sample description</w:t>
      </w:r>
    </w:p>
    <w:p w14:paraId="2BC73711" w14:textId="77777777" w:rsidR="00310457" w:rsidRPr="00486BED" w:rsidRDefault="00310457" w:rsidP="00486BED">
      <w:pPr>
        <w:spacing w:after="240" w:line="360" w:lineRule="auto"/>
        <w:ind w:firstLine="708"/>
        <w:jc w:val="both"/>
        <w:rPr>
          <w:rFonts w:ascii="Times New Roman" w:hAnsi="Times New Roman" w:cs="Times New Roman"/>
          <w:i/>
          <w:sz w:val="24"/>
          <w:szCs w:val="24"/>
          <w:lang w:val="en-US"/>
        </w:rPr>
      </w:pPr>
      <w:r w:rsidRPr="00486BED">
        <w:rPr>
          <w:rFonts w:ascii="Times New Roman" w:hAnsi="Times New Roman" w:cs="Times New Roman"/>
          <w:sz w:val="24"/>
          <w:szCs w:val="24"/>
          <w:lang w:val="en-GB"/>
        </w:rPr>
        <w:t xml:space="preserve">It took about two decades to accumulate EPR measurements in </w:t>
      </w:r>
      <w:r w:rsidR="00C9363F"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tooth enamel of the Techa riverside population (D2 in Fig.1)</w:t>
      </w:r>
      <w:r w:rsidR="00C9363F" w:rsidRPr="00486BED">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and </w:t>
      </w:r>
      <w:r w:rsidR="00363D29">
        <w:rPr>
          <w:rFonts w:ascii="Times New Roman" w:hAnsi="Times New Roman" w:cs="Times New Roman"/>
          <w:sz w:val="24"/>
          <w:szCs w:val="24"/>
          <w:lang w:val="en-GB"/>
        </w:rPr>
        <w:t xml:space="preserve">of </w:t>
      </w:r>
      <w:r w:rsidR="00C9363F"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rural residents of </w:t>
      </w:r>
      <w:r w:rsidR="00C9363F"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uncontaminated areas (D1 in Fig.1)</w:t>
      </w:r>
      <w:r w:rsidRPr="00486BED">
        <w:rPr>
          <w:rFonts w:ascii="Times New Roman" w:hAnsi="Times New Roman" w:cs="Times New Roman"/>
          <w:sz w:val="24"/>
          <w:szCs w:val="24"/>
          <w:shd w:val="clear" w:color="auto" w:fill="FFFFFF"/>
          <w:lang w:val="en-US"/>
        </w:rPr>
        <w:t>. Th</w:t>
      </w:r>
      <w:r w:rsidR="00363D29">
        <w:rPr>
          <w:rFonts w:ascii="Times New Roman" w:hAnsi="Times New Roman" w:cs="Times New Roman"/>
          <w:sz w:val="24"/>
          <w:szCs w:val="24"/>
          <w:shd w:val="clear" w:color="auto" w:fill="FFFFFF"/>
          <w:lang w:val="en-US"/>
        </w:rPr>
        <w:t>is</w:t>
      </w:r>
      <w:r w:rsidRPr="00486BED">
        <w:rPr>
          <w:rFonts w:ascii="Times New Roman" w:hAnsi="Times New Roman" w:cs="Times New Roman"/>
          <w:sz w:val="24"/>
          <w:szCs w:val="24"/>
          <w:shd w:val="clear" w:color="auto" w:fill="FFFFFF"/>
          <w:lang w:val="en-US"/>
        </w:rPr>
        <w:t xml:space="preserve"> </w:t>
      </w:r>
      <w:r w:rsidRPr="00486BED">
        <w:rPr>
          <w:rFonts w:ascii="Times New Roman" w:hAnsi="Times New Roman" w:cs="Times New Roman"/>
          <w:sz w:val="24"/>
          <w:szCs w:val="24"/>
          <w:lang w:val="en-GB"/>
        </w:rPr>
        <w:t>long-term study</w:t>
      </w:r>
      <w:r w:rsidRPr="00486BED">
        <w:rPr>
          <w:rFonts w:ascii="Times New Roman" w:hAnsi="Times New Roman" w:cs="Times New Roman"/>
          <w:sz w:val="24"/>
          <w:szCs w:val="24"/>
          <w:shd w:val="clear" w:color="auto" w:fill="FFFFFF"/>
          <w:lang w:val="en-US"/>
        </w:rPr>
        <w:t xml:space="preserve"> required </w:t>
      </w:r>
      <w:r w:rsidR="00C9363F" w:rsidRPr="00486BED">
        <w:rPr>
          <w:rFonts w:ascii="Times New Roman" w:hAnsi="Times New Roman" w:cs="Times New Roman"/>
          <w:sz w:val="24"/>
          <w:szCs w:val="24"/>
          <w:shd w:val="clear" w:color="auto" w:fill="FFFFFF"/>
          <w:lang w:val="en-US"/>
        </w:rPr>
        <w:t>the</w:t>
      </w:r>
      <w:r w:rsidRPr="00486BED">
        <w:rPr>
          <w:rFonts w:ascii="Times New Roman" w:hAnsi="Times New Roman" w:cs="Times New Roman"/>
          <w:sz w:val="24"/>
          <w:szCs w:val="24"/>
          <w:shd w:val="clear" w:color="auto" w:fill="FFFFFF"/>
          <w:lang w:val="en-US"/>
        </w:rPr>
        <w:t xml:space="preserve"> use </w:t>
      </w:r>
      <w:r w:rsidR="00C9363F" w:rsidRPr="00486BED">
        <w:rPr>
          <w:rFonts w:ascii="Times New Roman" w:hAnsi="Times New Roman" w:cs="Times New Roman"/>
          <w:sz w:val="24"/>
          <w:szCs w:val="24"/>
          <w:shd w:val="clear" w:color="auto" w:fill="FFFFFF"/>
          <w:lang w:val="en-US"/>
        </w:rPr>
        <w:t xml:space="preserve">of </w:t>
      </w:r>
      <w:r w:rsidRPr="00486BED">
        <w:rPr>
          <w:rFonts w:ascii="Times New Roman" w:hAnsi="Times New Roman" w:cs="Times New Roman"/>
          <w:sz w:val="24"/>
          <w:szCs w:val="24"/>
          <w:shd w:val="clear" w:color="auto" w:fill="FFFFFF"/>
          <w:lang w:val="en-US"/>
        </w:rPr>
        <w:t xml:space="preserve">efficient approaches </w:t>
      </w:r>
      <w:r w:rsidR="00C9363F" w:rsidRPr="00486BED">
        <w:rPr>
          <w:rFonts w:ascii="Times New Roman" w:hAnsi="Times New Roman" w:cs="Times New Roman"/>
          <w:sz w:val="24"/>
          <w:szCs w:val="24"/>
          <w:shd w:val="clear" w:color="auto" w:fill="FFFFFF"/>
          <w:lang w:val="en-US"/>
        </w:rPr>
        <w:t>to</w:t>
      </w:r>
      <w:r w:rsidRPr="00486BED">
        <w:rPr>
          <w:rFonts w:ascii="Times New Roman" w:hAnsi="Times New Roman" w:cs="Times New Roman"/>
          <w:sz w:val="24"/>
          <w:szCs w:val="24"/>
          <w:shd w:val="clear" w:color="auto" w:fill="FFFFFF"/>
          <w:lang w:val="en-US"/>
        </w:rPr>
        <w:t xml:space="preserve"> collect and analyz</w:t>
      </w:r>
      <w:r w:rsidR="00C9363F" w:rsidRPr="00486BED">
        <w:rPr>
          <w:rFonts w:ascii="Times New Roman" w:hAnsi="Times New Roman" w:cs="Times New Roman"/>
          <w:sz w:val="24"/>
          <w:szCs w:val="24"/>
          <w:shd w:val="clear" w:color="auto" w:fill="FFFFFF"/>
          <w:lang w:val="en-US"/>
        </w:rPr>
        <w:t>e</w:t>
      </w:r>
      <w:r w:rsidRPr="00486BED">
        <w:rPr>
          <w:rFonts w:ascii="Times New Roman" w:hAnsi="Times New Roman" w:cs="Times New Roman"/>
          <w:sz w:val="24"/>
          <w:szCs w:val="24"/>
          <w:shd w:val="clear" w:color="auto" w:fill="FFFFFF"/>
          <w:lang w:val="en-US"/>
        </w:rPr>
        <w:t xml:space="preserve"> the data. For this purpose, the database “Teeth” was used for registration of </w:t>
      </w:r>
      <w:r w:rsidR="00C9363F" w:rsidRPr="00486BED">
        <w:rPr>
          <w:rFonts w:ascii="Times New Roman" w:hAnsi="Times New Roman" w:cs="Times New Roman"/>
          <w:sz w:val="24"/>
          <w:szCs w:val="24"/>
          <w:shd w:val="clear" w:color="auto" w:fill="FFFFFF"/>
          <w:lang w:val="en-US"/>
        </w:rPr>
        <w:t xml:space="preserve">the </w:t>
      </w:r>
      <w:r w:rsidRPr="00486BED">
        <w:rPr>
          <w:rFonts w:ascii="Times New Roman" w:hAnsi="Times New Roman" w:cs="Times New Roman"/>
          <w:sz w:val="24"/>
          <w:szCs w:val="24"/>
          <w:shd w:val="clear" w:color="auto" w:fill="FFFFFF"/>
          <w:lang w:val="en-US"/>
        </w:rPr>
        <w:t xml:space="preserve">tooth samples (Shishkina et al., 2001b). </w:t>
      </w:r>
      <w:r w:rsidR="00C9363F" w:rsidRPr="00486BED">
        <w:rPr>
          <w:rFonts w:ascii="Times New Roman" w:hAnsi="Times New Roman" w:cs="Times New Roman"/>
          <w:sz w:val="24"/>
          <w:szCs w:val="24"/>
          <w:shd w:val="clear" w:color="auto" w:fill="FFFFFF"/>
          <w:lang w:val="en-US"/>
        </w:rPr>
        <w:t>The s</w:t>
      </w:r>
      <w:r w:rsidRPr="00486BED">
        <w:rPr>
          <w:rFonts w:ascii="Times New Roman" w:hAnsi="Times New Roman" w:cs="Times New Roman"/>
          <w:sz w:val="24"/>
          <w:szCs w:val="24"/>
          <w:shd w:val="clear" w:color="auto" w:fill="FFFFFF"/>
          <w:lang w:val="en-US"/>
        </w:rPr>
        <w:t xml:space="preserve">amples were treated and examined in different laboratories located in different countries. Therefore, </w:t>
      </w:r>
      <w:r w:rsidR="00C9363F" w:rsidRPr="00486BED">
        <w:rPr>
          <w:rFonts w:ascii="Times New Roman" w:hAnsi="Times New Roman" w:cs="Times New Roman"/>
          <w:sz w:val="24"/>
          <w:szCs w:val="24"/>
          <w:shd w:val="clear" w:color="auto" w:fill="FFFFFF"/>
          <w:lang w:val="en-US"/>
        </w:rPr>
        <w:t>a</w:t>
      </w:r>
      <w:r w:rsidRPr="00486BED">
        <w:rPr>
          <w:rFonts w:ascii="Times New Roman" w:hAnsi="Times New Roman" w:cs="Times New Roman"/>
          <w:sz w:val="24"/>
          <w:szCs w:val="24"/>
          <w:shd w:val="clear" w:color="auto" w:fill="FFFFFF"/>
          <w:lang w:val="en-US"/>
        </w:rPr>
        <w:t xml:space="preserve"> diligent </w:t>
      </w:r>
      <w:r w:rsidR="00C9363F" w:rsidRPr="00486BED">
        <w:rPr>
          <w:rFonts w:ascii="Times New Roman" w:hAnsi="Times New Roman" w:cs="Times New Roman"/>
          <w:sz w:val="24"/>
          <w:szCs w:val="24"/>
          <w:shd w:val="clear" w:color="auto" w:fill="FFFFFF"/>
          <w:lang w:val="en-US"/>
        </w:rPr>
        <w:t xml:space="preserve">management of </w:t>
      </w:r>
      <w:r w:rsidRPr="00486BED">
        <w:rPr>
          <w:rFonts w:ascii="Times New Roman" w:hAnsi="Times New Roman" w:cs="Times New Roman"/>
          <w:sz w:val="24"/>
          <w:szCs w:val="24"/>
          <w:shd w:val="clear" w:color="auto" w:fill="FFFFFF"/>
          <w:lang w:val="en-US"/>
        </w:rPr>
        <w:t>sample</w:t>
      </w:r>
      <w:r w:rsidR="00C9363F" w:rsidRPr="00486BED">
        <w:rPr>
          <w:rFonts w:ascii="Times New Roman" w:hAnsi="Times New Roman" w:cs="Times New Roman"/>
          <w:sz w:val="24"/>
          <w:szCs w:val="24"/>
          <w:shd w:val="clear" w:color="auto" w:fill="FFFFFF"/>
          <w:lang w:val="en-US"/>
        </w:rPr>
        <w:t>s</w:t>
      </w:r>
      <w:r w:rsidRPr="00486BED">
        <w:rPr>
          <w:rFonts w:ascii="Times New Roman" w:hAnsi="Times New Roman" w:cs="Times New Roman"/>
          <w:sz w:val="24"/>
          <w:szCs w:val="24"/>
          <w:shd w:val="clear" w:color="auto" w:fill="FFFFFF"/>
          <w:lang w:val="en-US"/>
        </w:rPr>
        <w:t xml:space="preserve"> and data was </w:t>
      </w:r>
      <w:r w:rsidR="00363D29">
        <w:rPr>
          <w:rFonts w:ascii="Times New Roman" w:hAnsi="Times New Roman" w:cs="Times New Roman"/>
          <w:sz w:val="24"/>
          <w:szCs w:val="24"/>
          <w:shd w:val="clear" w:color="auto" w:fill="FFFFFF"/>
          <w:lang w:val="en-US"/>
        </w:rPr>
        <w:t>required</w:t>
      </w:r>
      <w:r w:rsidRPr="00486BED">
        <w:rPr>
          <w:rFonts w:ascii="Times New Roman" w:hAnsi="Times New Roman" w:cs="Times New Roman"/>
          <w:sz w:val="24"/>
          <w:szCs w:val="24"/>
          <w:shd w:val="clear" w:color="auto" w:fill="FFFFFF"/>
          <w:lang w:val="en-US"/>
        </w:rPr>
        <w:t>.</w:t>
      </w:r>
    </w:p>
    <w:p w14:paraId="149858ED" w14:textId="77777777" w:rsidR="00310457" w:rsidRPr="00486BED" w:rsidRDefault="00310457" w:rsidP="00486BED">
      <w:pPr>
        <w:spacing w:after="240" w:line="360" w:lineRule="auto"/>
        <w:jc w:val="both"/>
        <w:rPr>
          <w:rFonts w:ascii="Times New Roman" w:hAnsi="Times New Roman" w:cs="Times New Roman"/>
          <w:i/>
          <w:sz w:val="24"/>
          <w:szCs w:val="24"/>
          <w:lang w:val="en-US"/>
        </w:rPr>
      </w:pPr>
      <w:r w:rsidRPr="00486BED">
        <w:rPr>
          <w:rFonts w:ascii="Times New Roman" w:hAnsi="Times New Roman" w:cs="Times New Roman"/>
          <w:i/>
          <w:sz w:val="24"/>
          <w:szCs w:val="24"/>
          <w:lang w:val="en-US"/>
        </w:rPr>
        <w:t>Techa riverside residents</w:t>
      </w:r>
    </w:p>
    <w:p w14:paraId="33983618" w14:textId="77777777" w:rsidR="00310457" w:rsidRPr="00486BED" w:rsidRDefault="00310457" w:rsidP="00486BED">
      <w:pPr>
        <w:spacing w:after="240" w:line="360" w:lineRule="auto"/>
        <w:ind w:firstLine="708"/>
        <w:jc w:val="both"/>
        <w:rPr>
          <w:rFonts w:ascii="Times New Roman" w:hAnsi="Times New Roman" w:cs="Times New Roman"/>
          <w:color w:val="000000"/>
          <w:sz w:val="24"/>
          <w:szCs w:val="24"/>
          <w:lang w:val="en-US"/>
        </w:rPr>
      </w:pPr>
      <w:r w:rsidRPr="00486BED">
        <w:rPr>
          <w:rFonts w:ascii="Times New Roman" w:hAnsi="Times New Roman" w:cs="Times New Roman"/>
          <w:sz w:val="24"/>
          <w:szCs w:val="24"/>
          <w:lang w:val="en-GB"/>
        </w:rPr>
        <w:t xml:space="preserve">Totally, 302 teeth collected from 173 donors born in 1913-1943, who lived permanently </w:t>
      </w:r>
      <w:r w:rsidR="00C9363F" w:rsidRPr="00486BED">
        <w:rPr>
          <w:rFonts w:ascii="Times New Roman" w:hAnsi="Times New Roman" w:cs="Times New Roman"/>
          <w:sz w:val="24"/>
          <w:szCs w:val="24"/>
          <w:lang w:val="en-GB"/>
        </w:rPr>
        <w:t xml:space="preserve">in </w:t>
      </w:r>
      <w:r w:rsidR="00CC2AF9">
        <w:rPr>
          <w:rFonts w:ascii="Times New Roman" w:hAnsi="Times New Roman" w:cs="Times New Roman"/>
          <w:sz w:val="24"/>
          <w:szCs w:val="24"/>
          <w:lang w:val="en-GB"/>
        </w:rPr>
        <w:t xml:space="preserve">one of </w:t>
      </w:r>
      <w:r w:rsidR="00C9363F" w:rsidRPr="00486BED">
        <w:rPr>
          <w:rFonts w:ascii="Times New Roman" w:hAnsi="Times New Roman" w:cs="Times New Roman"/>
          <w:sz w:val="24"/>
          <w:szCs w:val="24"/>
          <w:lang w:val="en-GB"/>
        </w:rPr>
        <w:t>the Techa riverside settlements over</w:t>
      </w:r>
      <w:r w:rsidRPr="00486BED">
        <w:rPr>
          <w:rFonts w:ascii="Times New Roman" w:hAnsi="Times New Roman" w:cs="Times New Roman"/>
          <w:sz w:val="24"/>
          <w:szCs w:val="24"/>
          <w:lang w:val="en-GB"/>
        </w:rPr>
        <w:t xml:space="preserve"> the period </w:t>
      </w:r>
      <w:r w:rsidR="00C9363F" w:rsidRPr="00486BED">
        <w:rPr>
          <w:rFonts w:ascii="Times New Roman" w:hAnsi="Times New Roman" w:cs="Times New Roman"/>
          <w:sz w:val="24"/>
          <w:szCs w:val="24"/>
          <w:lang w:val="en-GB"/>
        </w:rPr>
        <w:t>from</w:t>
      </w:r>
      <w:r w:rsidRPr="00486BED">
        <w:rPr>
          <w:rFonts w:ascii="Times New Roman" w:hAnsi="Times New Roman" w:cs="Times New Roman"/>
          <w:sz w:val="24"/>
          <w:szCs w:val="24"/>
          <w:lang w:val="en-GB"/>
        </w:rPr>
        <w:t xml:space="preserve"> 1950</w:t>
      </w:r>
      <w:r w:rsidR="00C9363F" w:rsidRPr="00486BED">
        <w:rPr>
          <w:rFonts w:ascii="Times New Roman" w:hAnsi="Times New Roman" w:cs="Times New Roman"/>
          <w:sz w:val="24"/>
          <w:szCs w:val="24"/>
          <w:lang w:val="en-GB"/>
        </w:rPr>
        <w:t xml:space="preserve"> through </w:t>
      </w:r>
      <w:r w:rsidRPr="00486BED">
        <w:rPr>
          <w:rFonts w:ascii="Times New Roman" w:hAnsi="Times New Roman" w:cs="Times New Roman"/>
          <w:sz w:val="24"/>
          <w:szCs w:val="24"/>
          <w:lang w:val="en-GB"/>
        </w:rPr>
        <w:t xml:space="preserve">1952, were </w:t>
      </w:r>
      <w:r w:rsidRPr="00486BED">
        <w:rPr>
          <w:rFonts w:ascii="Times New Roman" w:hAnsi="Times New Roman" w:cs="Times New Roman"/>
          <w:sz w:val="24"/>
          <w:szCs w:val="24"/>
          <w:lang w:val="en-US"/>
        </w:rPr>
        <w:t>investigated</w:t>
      </w:r>
      <w:r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US"/>
        </w:rPr>
        <w:t xml:space="preserve">The investigated teeth were all extracted </w:t>
      </w:r>
      <w:r w:rsidR="00C9363F" w:rsidRPr="00486BED">
        <w:rPr>
          <w:rFonts w:ascii="Times New Roman" w:hAnsi="Times New Roman" w:cs="Times New Roman"/>
          <w:sz w:val="24"/>
          <w:szCs w:val="24"/>
          <w:lang w:val="en-US"/>
        </w:rPr>
        <w:t>for</w:t>
      </w:r>
      <w:r w:rsidRPr="00486BED">
        <w:rPr>
          <w:rFonts w:ascii="Times New Roman" w:hAnsi="Times New Roman" w:cs="Times New Roman"/>
          <w:sz w:val="24"/>
          <w:szCs w:val="24"/>
          <w:lang w:val="en-US"/>
        </w:rPr>
        <w:t xml:space="preserve"> medical indications at </w:t>
      </w:r>
      <w:r w:rsidR="00C9363F"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local dental clinics in 1992-2010. </w:t>
      </w:r>
      <w:r w:rsidR="00CC2AF9">
        <w:rPr>
          <w:rFonts w:ascii="Times New Roman" w:hAnsi="Times New Roman" w:cs="Times New Roman"/>
          <w:sz w:val="24"/>
          <w:szCs w:val="24"/>
          <w:lang w:val="en-US"/>
        </w:rPr>
        <w:t>Calculat</w:t>
      </w:r>
      <w:r w:rsidRPr="00486BED">
        <w:rPr>
          <w:rFonts w:ascii="Times New Roman" w:hAnsi="Times New Roman" w:cs="Times New Roman"/>
          <w:sz w:val="24"/>
          <w:szCs w:val="24"/>
          <w:lang w:val="en-US"/>
        </w:rPr>
        <w:t xml:space="preserve">ing </w:t>
      </w:r>
      <w:r w:rsidRPr="00486BED">
        <w:rPr>
          <w:rStyle w:val="hps"/>
          <w:rFonts w:ascii="Times New Roman" w:hAnsi="Times New Roman" w:cs="Times New Roman"/>
          <w:sz w:val="24"/>
          <w:szCs w:val="24"/>
          <w:lang w:val="en"/>
        </w:rPr>
        <w:t xml:space="preserve">the crown age from </w:t>
      </w:r>
      <w:r w:rsidR="00C9363F" w:rsidRPr="00486BED">
        <w:rPr>
          <w:rStyle w:val="hps"/>
          <w:rFonts w:ascii="Times New Roman" w:hAnsi="Times New Roman" w:cs="Times New Roman"/>
          <w:sz w:val="24"/>
          <w:szCs w:val="24"/>
          <w:lang w:val="en"/>
        </w:rPr>
        <w:t xml:space="preserve">the </w:t>
      </w:r>
      <w:r w:rsidRPr="00486BED">
        <w:rPr>
          <w:rStyle w:val="hps"/>
          <w:rFonts w:ascii="Times New Roman" w:hAnsi="Times New Roman" w:cs="Times New Roman"/>
          <w:sz w:val="24"/>
          <w:szCs w:val="24"/>
          <w:lang w:val="en"/>
        </w:rPr>
        <w:t>beginning of enamel mineralization (Shishkina et al., 2014),</w:t>
      </w:r>
      <w:r w:rsidRPr="00486BED">
        <w:rPr>
          <w:rFonts w:ascii="Times New Roman" w:hAnsi="Times New Roman" w:cs="Times New Roman"/>
          <w:sz w:val="24"/>
          <w:szCs w:val="24"/>
          <w:lang w:val="en-GB"/>
        </w:rPr>
        <w:t xml:space="preserve"> only teeth </w:t>
      </w:r>
      <w:r w:rsidRPr="00486BED">
        <w:rPr>
          <w:rStyle w:val="hps"/>
          <w:rFonts w:ascii="Times New Roman" w:hAnsi="Times New Roman" w:cs="Times New Roman"/>
          <w:sz w:val="24"/>
          <w:szCs w:val="24"/>
          <w:lang w:val="en"/>
        </w:rPr>
        <w:t xml:space="preserve">aged </w:t>
      </w:r>
      <w:r w:rsidR="00CC2AF9">
        <w:rPr>
          <w:rStyle w:val="hps"/>
          <w:rFonts w:ascii="Times New Roman" w:hAnsi="Times New Roman" w:cs="Times New Roman"/>
          <w:sz w:val="24"/>
          <w:szCs w:val="24"/>
          <w:lang w:val="en"/>
        </w:rPr>
        <w:t>more than six</w:t>
      </w:r>
      <w:r w:rsidRPr="00486BED">
        <w:rPr>
          <w:rStyle w:val="hps"/>
          <w:rFonts w:ascii="Times New Roman" w:hAnsi="Times New Roman" w:cs="Times New Roman"/>
          <w:sz w:val="24"/>
          <w:szCs w:val="24"/>
          <w:lang w:val="en-US"/>
        </w:rPr>
        <w:t xml:space="preserve"> years</w:t>
      </w:r>
      <w:r w:rsidRPr="00486BED">
        <w:rPr>
          <w:rStyle w:val="hps"/>
          <w:rFonts w:ascii="Times New Roman" w:hAnsi="Times New Roman" w:cs="Times New Roman"/>
          <w:sz w:val="24"/>
          <w:szCs w:val="24"/>
          <w:lang w:val="en"/>
        </w:rPr>
        <w:t xml:space="preserve"> in September 1950 were considered. </w:t>
      </w:r>
      <w:r w:rsidRPr="00486BED">
        <w:rPr>
          <w:rFonts w:ascii="Times New Roman" w:hAnsi="Times New Roman" w:cs="Times New Roman"/>
          <w:sz w:val="24"/>
          <w:szCs w:val="24"/>
          <w:lang w:val="en-GB"/>
        </w:rPr>
        <w:t xml:space="preserve">About 30% of the donors donated several teeth (from 2 to 14). About 20% of the teeth were incisors. Most of the incisor samples were </w:t>
      </w:r>
      <w:r w:rsidR="00216F8C">
        <w:rPr>
          <w:rFonts w:ascii="Times New Roman" w:hAnsi="Times New Roman" w:cs="Times New Roman"/>
          <w:sz w:val="24"/>
          <w:szCs w:val="24"/>
          <w:lang w:val="en-GB"/>
        </w:rPr>
        <w:t xml:space="preserve">taken from </w:t>
      </w:r>
      <w:r w:rsidRPr="00486BED">
        <w:rPr>
          <w:rFonts w:ascii="Times New Roman" w:hAnsi="Times New Roman" w:cs="Times New Roman"/>
          <w:sz w:val="24"/>
          <w:szCs w:val="24"/>
          <w:lang w:val="en-GB"/>
        </w:rPr>
        <w:t>the lingual enamel fraction</w:t>
      </w:r>
      <w:r w:rsidR="00216F8C">
        <w:rPr>
          <w:rFonts w:ascii="Times New Roman" w:hAnsi="Times New Roman" w:cs="Times New Roman"/>
          <w:sz w:val="24"/>
          <w:szCs w:val="24"/>
          <w:lang w:val="en-GB"/>
        </w:rPr>
        <w:t xml:space="preserve">, while </w:t>
      </w:r>
      <w:r w:rsidRPr="00486BED">
        <w:rPr>
          <w:rFonts w:ascii="Times New Roman" w:hAnsi="Times New Roman" w:cs="Times New Roman"/>
          <w:sz w:val="24"/>
          <w:szCs w:val="24"/>
          <w:lang w:val="en-GB"/>
        </w:rPr>
        <w:t xml:space="preserve">about 30% of the incisors were measured using only </w:t>
      </w:r>
      <w:r w:rsidR="00216F8C">
        <w:rPr>
          <w:rFonts w:ascii="Times New Roman" w:hAnsi="Times New Roman" w:cs="Times New Roman"/>
          <w:sz w:val="24"/>
          <w:szCs w:val="24"/>
          <w:lang w:val="en-GB"/>
        </w:rPr>
        <w:t>the</w:t>
      </w:r>
      <w:r w:rsidRPr="00486BED">
        <w:rPr>
          <w:rFonts w:ascii="Times New Roman" w:hAnsi="Times New Roman" w:cs="Times New Roman"/>
          <w:sz w:val="24"/>
          <w:szCs w:val="24"/>
          <w:lang w:val="en-GB"/>
        </w:rPr>
        <w:t xml:space="preserve"> labial fraction or </w:t>
      </w:r>
      <w:r w:rsidR="00315BAF"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whole available enamel</w:t>
      </w:r>
      <w:r w:rsidR="00216F8C">
        <w:rPr>
          <w:rFonts w:ascii="Times New Roman" w:hAnsi="Times New Roman" w:cs="Times New Roman"/>
          <w:sz w:val="24"/>
          <w:szCs w:val="24"/>
          <w:lang w:val="en-GB"/>
        </w:rPr>
        <w:t xml:space="preserve"> including the labial fraction</w:t>
      </w:r>
      <w:r w:rsidRPr="00486BED">
        <w:rPr>
          <w:rFonts w:ascii="Times New Roman" w:hAnsi="Times New Roman" w:cs="Times New Roman"/>
          <w:sz w:val="24"/>
          <w:szCs w:val="24"/>
          <w:lang w:val="en-GB"/>
        </w:rPr>
        <w:t>. The donors</w:t>
      </w:r>
      <w:r w:rsidR="00315BAF" w:rsidRPr="00486BED">
        <w:rPr>
          <w:rFonts w:ascii="Times New Roman" w:hAnsi="Times New Roman" w:cs="Times New Roman"/>
          <w:sz w:val="24"/>
          <w:szCs w:val="24"/>
          <w:lang w:val="en-GB"/>
        </w:rPr>
        <w:t>’ age</w:t>
      </w:r>
      <w:r w:rsidRPr="00486BED">
        <w:rPr>
          <w:rFonts w:ascii="Times New Roman" w:hAnsi="Times New Roman" w:cs="Times New Roman"/>
          <w:sz w:val="24"/>
          <w:szCs w:val="24"/>
          <w:lang w:val="en-GB"/>
        </w:rPr>
        <w:t xml:space="preserve"> at the time of tooth extraction was </w:t>
      </w:r>
      <w:r w:rsidR="00315BAF" w:rsidRPr="00486BED">
        <w:rPr>
          <w:rFonts w:ascii="Times New Roman" w:hAnsi="Times New Roman" w:cs="Times New Roman"/>
          <w:sz w:val="24"/>
          <w:szCs w:val="24"/>
          <w:lang w:val="en-GB"/>
        </w:rPr>
        <w:t>with</w:t>
      </w:r>
      <w:r w:rsidRPr="00486BED">
        <w:rPr>
          <w:rFonts w:ascii="Times New Roman" w:hAnsi="Times New Roman" w:cs="Times New Roman"/>
          <w:sz w:val="24"/>
          <w:szCs w:val="24"/>
          <w:lang w:val="en-GB"/>
        </w:rPr>
        <w:t xml:space="preserve">in the range from 49 to 84 years; the age of the majority of the donors (70%) was within a narrower range </w:t>
      </w:r>
      <w:r w:rsidR="00352C7C">
        <w:rPr>
          <w:rFonts w:ascii="Times New Roman" w:hAnsi="Times New Roman" w:cs="Times New Roman"/>
          <w:sz w:val="24"/>
          <w:szCs w:val="24"/>
          <w:lang w:val="en-GB"/>
        </w:rPr>
        <w:t>from</w:t>
      </w:r>
      <w:r w:rsidRPr="00486BED">
        <w:rPr>
          <w:rFonts w:ascii="Times New Roman" w:hAnsi="Times New Roman" w:cs="Times New Roman"/>
          <w:sz w:val="24"/>
          <w:szCs w:val="24"/>
          <w:lang w:val="en-GB"/>
        </w:rPr>
        <w:t xml:space="preserve"> 61</w:t>
      </w:r>
      <w:r w:rsidR="00352C7C">
        <w:rPr>
          <w:rFonts w:ascii="Times New Roman" w:hAnsi="Times New Roman" w:cs="Times New Roman"/>
          <w:sz w:val="24"/>
          <w:szCs w:val="24"/>
          <w:lang w:val="en-GB"/>
        </w:rPr>
        <w:t xml:space="preserve"> to </w:t>
      </w:r>
      <w:r w:rsidRPr="00486BED">
        <w:rPr>
          <w:rFonts w:ascii="Times New Roman" w:hAnsi="Times New Roman" w:cs="Times New Roman"/>
          <w:sz w:val="24"/>
          <w:szCs w:val="24"/>
          <w:lang w:val="en-GB"/>
        </w:rPr>
        <w:t xml:space="preserve">76 years; the mean </w:t>
      </w:r>
      <w:r w:rsidR="00352C7C">
        <w:rPr>
          <w:rFonts w:ascii="Times New Roman" w:hAnsi="Times New Roman" w:cs="Times New Roman"/>
          <w:sz w:val="24"/>
          <w:szCs w:val="24"/>
          <w:lang w:val="en-GB"/>
        </w:rPr>
        <w:t xml:space="preserve">donor </w:t>
      </w:r>
      <w:r w:rsidRPr="00486BED">
        <w:rPr>
          <w:rFonts w:ascii="Times New Roman" w:hAnsi="Times New Roman" w:cs="Times New Roman"/>
          <w:sz w:val="24"/>
          <w:szCs w:val="24"/>
          <w:lang w:val="en-GB"/>
        </w:rPr>
        <w:t>age was 66</w:t>
      </w:r>
      <w:r w:rsidR="00352C7C">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w:t>
      </w:r>
      <w:r w:rsidR="00352C7C">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 xml:space="preserve">7 years. </w:t>
      </w:r>
      <w:r w:rsidRPr="00486BED">
        <w:rPr>
          <w:rFonts w:ascii="Times New Roman" w:hAnsi="Times New Roman" w:cs="Times New Roman"/>
          <w:color w:val="000000"/>
          <w:sz w:val="24"/>
          <w:szCs w:val="24"/>
          <w:lang w:val="en-US"/>
        </w:rPr>
        <w:t>Table 1 presents the distribution of people under study according to their place of residence. The riverside villages were divided into three groups, viz., (1) the area of the upper reaches (the Upper Techa: 7-70 km from the site of releases), (2) the area of the middle reaches (the Middle Techa: 75-88 km)</w:t>
      </w:r>
      <w:r w:rsidR="00315BAF" w:rsidRPr="00486BED">
        <w:rPr>
          <w:rFonts w:ascii="Times New Roman" w:hAnsi="Times New Roman" w:cs="Times New Roman"/>
          <w:color w:val="000000"/>
          <w:sz w:val="24"/>
          <w:szCs w:val="24"/>
          <w:lang w:val="en-US"/>
        </w:rPr>
        <w:t>,</w:t>
      </w:r>
      <w:r w:rsidRPr="00486BED">
        <w:rPr>
          <w:rFonts w:ascii="Times New Roman" w:hAnsi="Times New Roman" w:cs="Times New Roman"/>
          <w:color w:val="000000"/>
          <w:sz w:val="24"/>
          <w:szCs w:val="24"/>
          <w:lang w:val="en-US"/>
        </w:rPr>
        <w:t xml:space="preserve"> and (3) the area of the downstream </w:t>
      </w:r>
      <w:r w:rsidR="00157AC1">
        <w:rPr>
          <w:rFonts w:ascii="Times New Roman" w:hAnsi="Times New Roman" w:cs="Times New Roman"/>
          <w:color w:val="000000"/>
          <w:sz w:val="24"/>
          <w:szCs w:val="24"/>
          <w:lang w:val="en-US"/>
        </w:rPr>
        <w:t xml:space="preserve">reaches </w:t>
      </w:r>
      <w:r w:rsidRPr="00486BED">
        <w:rPr>
          <w:rFonts w:ascii="Times New Roman" w:hAnsi="Times New Roman" w:cs="Times New Roman"/>
          <w:color w:val="000000"/>
          <w:sz w:val="24"/>
          <w:szCs w:val="24"/>
          <w:lang w:val="en-US"/>
        </w:rPr>
        <w:t xml:space="preserve">(the </w:t>
      </w:r>
      <w:r w:rsidR="00315BAF" w:rsidRPr="00486BED">
        <w:rPr>
          <w:rFonts w:ascii="Times New Roman" w:hAnsi="Times New Roman" w:cs="Times New Roman"/>
          <w:color w:val="000000"/>
          <w:sz w:val="24"/>
          <w:szCs w:val="24"/>
          <w:lang w:val="en-US"/>
        </w:rPr>
        <w:t>Lower</w:t>
      </w:r>
      <w:r w:rsidRPr="00486BED">
        <w:rPr>
          <w:rFonts w:ascii="Times New Roman" w:hAnsi="Times New Roman" w:cs="Times New Roman"/>
          <w:color w:val="000000"/>
          <w:sz w:val="24"/>
          <w:szCs w:val="24"/>
          <w:lang w:val="en-US"/>
        </w:rPr>
        <w:t xml:space="preserve"> Techa: 105-237 km). The data on the </w:t>
      </w:r>
      <w:r w:rsidR="00315BAF" w:rsidRPr="00486BED">
        <w:rPr>
          <w:rFonts w:ascii="Times New Roman" w:hAnsi="Times New Roman" w:cs="Times New Roman"/>
          <w:color w:val="000000"/>
          <w:sz w:val="24"/>
          <w:szCs w:val="24"/>
          <w:lang w:val="en-US"/>
        </w:rPr>
        <w:t>Lower</w:t>
      </w:r>
      <w:r w:rsidRPr="00486BED">
        <w:rPr>
          <w:rFonts w:ascii="Times New Roman" w:hAnsi="Times New Roman" w:cs="Times New Roman"/>
          <w:color w:val="000000"/>
          <w:sz w:val="24"/>
          <w:szCs w:val="24"/>
          <w:lang w:val="en-US"/>
        </w:rPr>
        <w:t xml:space="preserve"> Techa, where the level of </w:t>
      </w:r>
      <w:r w:rsidR="00315BAF" w:rsidRPr="00486BED">
        <w:rPr>
          <w:rFonts w:ascii="Times New Roman" w:hAnsi="Times New Roman" w:cs="Times New Roman"/>
          <w:color w:val="000000"/>
          <w:sz w:val="24"/>
          <w:szCs w:val="24"/>
          <w:lang w:val="en-US"/>
        </w:rPr>
        <w:t xml:space="preserve">the </w:t>
      </w:r>
      <w:r w:rsidRPr="00486BED">
        <w:rPr>
          <w:rFonts w:ascii="Times New Roman" w:hAnsi="Times New Roman" w:cs="Times New Roman"/>
          <w:color w:val="000000"/>
          <w:sz w:val="24"/>
          <w:szCs w:val="24"/>
          <w:lang w:val="en-US"/>
        </w:rPr>
        <w:t xml:space="preserve">external exposure was relatively small, were pooled together. The data on some villages of the Upper Techa area were also combined to increase the statistics. </w:t>
      </w:r>
    </w:p>
    <w:p w14:paraId="716000D2" w14:textId="77777777" w:rsidR="00310457" w:rsidRPr="00486BED" w:rsidRDefault="00310457" w:rsidP="00486BED">
      <w:pPr>
        <w:spacing w:after="240" w:line="360" w:lineRule="auto"/>
        <w:jc w:val="both"/>
        <w:rPr>
          <w:rFonts w:ascii="Times New Roman" w:hAnsi="Times New Roman" w:cs="Times New Roman"/>
          <w:i/>
          <w:sz w:val="24"/>
          <w:szCs w:val="24"/>
          <w:lang w:val="en-GB"/>
        </w:rPr>
      </w:pPr>
      <w:r w:rsidRPr="00486BED">
        <w:rPr>
          <w:rFonts w:ascii="Times New Roman" w:hAnsi="Times New Roman" w:cs="Times New Roman"/>
          <w:i/>
          <w:sz w:val="24"/>
          <w:szCs w:val="24"/>
          <w:lang w:val="en-GB"/>
        </w:rPr>
        <w:t>Control donors for background dose reconstruction</w:t>
      </w:r>
    </w:p>
    <w:p w14:paraId="0B0C6AC8" w14:textId="77777777" w:rsidR="00310457" w:rsidRPr="00486BED" w:rsidRDefault="00310457" w:rsidP="00486BED">
      <w:pPr>
        <w:spacing w:after="240" w:line="360" w:lineRule="auto"/>
        <w:ind w:firstLine="708"/>
        <w:jc w:val="both"/>
        <w:rPr>
          <w:rFonts w:ascii="Times New Roman" w:hAnsi="Times New Roman" w:cs="Times New Roman"/>
          <w:sz w:val="24"/>
          <w:szCs w:val="24"/>
          <w:lang w:val="en-GB"/>
        </w:rPr>
      </w:pPr>
      <w:r w:rsidRPr="00486BED">
        <w:rPr>
          <w:rFonts w:ascii="Times New Roman" w:hAnsi="Times New Roman" w:cs="Times New Roman"/>
          <w:sz w:val="24"/>
          <w:szCs w:val="24"/>
          <w:lang w:val="en-GB"/>
        </w:rPr>
        <w:t xml:space="preserve">Three hundred ninety-five EPR measurements were performed </w:t>
      </w:r>
      <w:r w:rsidR="007700DF">
        <w:rPr>
          <w:rFonts w:ascii="Times New Roman" w:hAnsi="Times New Roman" w:cs="Times New Roman"/>
          <w:sz w:val="24"/>
          <w:szCs w:val="24"/>
          <w:lang w:val="en-GB"/>
        </w:rPr>
        <w:t>on</w:t>
      </w:r>
      <w:r w:rsidR="007700DF"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 xml:space="preserve">297 teeth of 255 donors, who were born in 1908-1968 and lived in non-contaminated villages of the Southern Urals. The age of the donors at the time of tooth extraction was </w:t>
      </w:r>
      <w:r w:rsidR="00315BAF" w:rsidRPr="00486BED">
        <w:rPr>
          <w:rFonts w:ascii="Times New Roman" w:hAnsi="Times New Roman" w:cs="Times New Roman"/>
          <w:sz w:val="24"/>
          <w:szCs w:val="24"/>
          <w:lang w:val="en-GB"/>
        </w:rPr>
        <w:t>within</w:t>
      </w:r>
      <w:r w:rsidRPr="00486BED">
        <w:rPr>
          <w:rFonts w:ascii="Times New Roman" w:hAnsi="Times New Roman" w:cs="Times New Roman"/>
          <w:sz w:val="24"/>
          <w:szCs w:val="24"/>
          <w:lang w:val="en-GB"/>
        </w:rPr>
        <w:t xml:space="preserve"> the range from </w:t>
      </w:r>
      <w:r w:rsidRPr="00486BED">
        <w:rPr>
          <w:rFonts w:ascii="Times New Roman" w:hAnsi="Times New Roman" w:cs="Times New Roman"/>
          <w:color w:val="000000"/>
          <w:sz w:val="24"/>
          <w:szCs w:val="24"/>
          <w:lang w:val="en-GB"/>
        </w:rPr>
        <w:t xml:space="preserve">37 to 93 years; </w:t>
      </w:r>
      <w:r w:rsidRPr="00486BED">
        <w:rPr>
          <w:rFonts w:ascii="Times New Roman" w:hAnsi="Times New Roman" w:cs="Times New Roman"/>
          <w:sz w:val="24"/>
          <w:szCs w:val="24"/>
          <w:lang w:val="en-GB"/>
        </w:rPr>
        <w:t xml:space="preserve">the age of the majority of </w:t>
      </w:r>
      <w:r w:rsidR="00315BAF"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donors (70%) was within a narrower range </w:t>
      </w:r>
      <w:r w:rsidR="007700DF">
        <w:rPr>
          <w:rFonts w:ascii="Times New Roman" w:hAnsi="Times New Roman" w:cs="Times New Roman"/>
          <w:sz w:val="24"/>
          <w:szCs w:val="24"/>
          <w:lang w:val="en-GB"/>
        </w:rPr>
        <w:t>from</w:t>
      </w:r>
      <w:r w:rsidRPr="00486BED">
        <w:rPr>
          <w:rFonts w:ascii="Times New Roman" w:hAnsi="Times New Roman" w:cs="Times New Roman"/>
          <w:color w:val="000000"/>
          <w:sz w:val="24"/>
          <w:szCs w:val="24"/>
          <w:lang w:val="en-GB"/>
        </w:rPr>
        <w:t xml:space="preserve"> 50 </w:t>
      </w:r>
      <w:r w:rsidR="007700DF">
        <w:rPr>
          <w:rFonts w:ascii="Times New Roman" w:hAnsi="Times New Roman" w:cs="Times New Roman"/>
          <w:color w:val="000000"/>
          <w:sz w:val="24"/>
          <w:szCs w:val="24"/>
          <w:lang w:val="en-GB"/>
        </w:rPr>
        <w:t>to</w:t>
      </w:r>
      <w:r w:rsidRPr="00486BED">
        <w:rPr>
          <w:rFonts w:ascii="Times New Roman" w:hAnsi="Times New Roman" w:cs="Times New Roman"/>
          <w:color w:val="000000"/>
          <w:sz w:val="24"/>
          <w:szCs w:val="24"/>
          <w:lang w:val="en-GB"/>
        </w:rPr>
        <w:t xml:space="preserve"> 70 years</w:t>
      </w:r>
      <w:r w:rsidRPr="00486BED">
        <w:rPr>
          <w:rFonts w:ascii="Times New Roman" w:hAnsi="Times New Roman" w:cs="Times New Roman"/>
          <w:color w:val="000000"/>
          <w:sz w:val="24"/>
          <w:szCs w:val="24"/>
          <w:lang w:val="en-US"/>
        </w:rPr>
        <w:t>; the mean age was 64</w:t>
      </w:r>
      <w:r w:rsidR="007700DF">
        <w:rPr>
          <w:rFonts w:ascii="Times New Roman" w:hAnsi="Times New Roman" w:cs="Times New Roman"/>
          <w:color w:val="000000"/>
          <w:sz w:val="24"/>
          <w:szCs w:val="24"/>
          <w:lang w:val="en-US"/>
        </w:rPr>
        <w:t xml:space="preserve"> </w:t>
      </w:r>
      <w:r w:rsidRPr="00486BED">
        <w:rPr>
          <w:rFonts w:ascii="Times New Roman" w:hAnsi="Times New Roman" w:cs="Times New Roman"/>
          <w:sz w:val="24"/>
          <w:szCs w:val="24"/>
          <w:lang w:val="en-GB"/>
        </w:rPr>
        <w:t>±</w:t>
      </w:r>
      <w:r w:rsidR="007700DF">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11 years</w:t>
      </w:r>
      <w:r w:rsidRPr="00486BED">
        <w:rPr>
          <w:rFonts w:ascii="Times New Roman" w:hAnsi="Times New Roman" w:cs="Times New Roman"/>
          <w:color w:val="000000"/>
          <w:sz w:val="24"/>
          <w:szCs w:val="24"/>
          <w:lang w:val="en-US"/>
        </w:rPr>
        <w:t xml:space="preserve">. </w:t>
      </w:r>
      <w:r w:rsidR="00315BAF" w:rsidRPr="00486BED">
        <w:rPr>
          <w:rFonts w:ascii="Times New Roman" w:hAnsi="Times New Roman" w:cs="Times New Roman"/>
          <w:color w:val="000000"/>
          <w:sz w:val="24"/>
          <w:szCs w:val="24"/>
          <w:lang w:val="en-US"/>
        </w:rPr>
        <w:t xml:space="preserve">The number of </w:t>
      </w:r>
      <w:r w:rsidR="000F141D">
        <w:rPr>
          <w:rFonts w:ascii="Times New Roman" w:hAnsi="Times New Roman" w:cs="Times New Roman"/>
          <w:color w:val="000000"/>
          <w:sz w:val="24"/>
          <w:szCs w:val="24"/>
          <w:lang w:val="en-US"/>
        </w:rPr>
        <w:t xml:space="preserve">donated </w:t>
      </w:r>
      <w:r w:rsidR="00315BAF" w:rsidRPr="00486BED">
        <w:rPr>
          <w:rFonts w:ascii="Times New Roman" w:hAnsi="Times New Roman" w:cs="Times New Roman"/>
          <w:sz w:val="24"/>
          <w:szCs w:val="24"/>
          <w:lang w:val="en-GB"/>
        </w:rPr>
        <w:t>incisors</w:t>
      </w:r>
      <w:r w:rsidRPr="00486BED">
        <w:rPr>
          <w:rFonts w:ascii="Times New Roman" w:hAnsi="Times New Roman" w:cs="Times New Roman"/>
          <w:sz w:val="24"/>
          <w:szCs w:val="24"/>
          <w:lang w:val="en-GB"/>
        </w:rPr>
        <w:t xml:space="preserve"> </w:t>
      </w:r>
      <w:r w:rsidR="007700DF">
        <w:rPr>
          <w:rFonts w:ascii="Times New Roman" w:hAnsi="Times New Roman" w:cs="Times New Roman"/>
          <w:sz w:val="24"/>
          <w:szCs w:val="24"/>
          <w:lang w:val="en-GB"/>
        </w:rPr>
        <w:t xml:space="preserve">corresponds </w:t>
      </w:r>
      <w:r w:rsidRPr="00486BED">
        <w:rPr>
          <w:rFonts w:ascii="Times New Roman" w:hAnsi="Times New Roman" w:cs="Times New Roman"/>
          <w:sz w:val="24"/>
          <w:szCs w:val="24"/>
          <w:lang w:val="en-GB"/>
        </w:rPr>
        <w:t xml:space="preserve">to 34% of the total number of </w:t>
      </w:r>
      <w:r w:rsidR="000F141D">
        <w:rPr>
          <w:rFonts w:ascii="Times New Roman" w:hAnsi="Times New Roman" w:cs="Times New Roman"/>
          <w:sz w:val="24"/>
          <w:szCs w:val="24"/>
          <w:lang w:val="en-GB"/>
        </w:rPr>
        <w:t xml:space="preserve">donated </w:t>
      </w:r>
      <w:r w:rsidRPr="00486BED">
        <w:rPr>
          <w:rFonts w:ascii="Times New Roman" w:hAnsi="Times New Roman" w:cs="Times New Roman"/>
          <w:sz w:val="24"/>
          <w:szCs w:val="24"/>
          <w:lang w:val="en-GB"/>
        </w:rPr>
        <w:t xml:space="preserve">teeth. </w:t>
      </w:r>
    </w:p>
    <w:p w14:paraId="7669431C"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Most of the enamel samples (for both exposed and unexposed donors) were measured by EPR in the year of </w:t>
      </w:r>
      <w:r w:rsidR="00F4212C"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tooth extraction. The maximum </w:t>
      </w:r>
      <w:r w:rsidR="009D54DC">
        <w:rPr>
          <w:rFonts w:ascii="Times New Roman" w:hAnsi="Times New Roman" w:cs="Times New Roman"/>
          <w:sz w:val="24"/>
          <w:szCs w:val="24"/>
          <w:lang w:val="en-US"/>
        </w:rPr>
        <w:t xml:space="preserve">time </w:t>
      </w:r>
      <w:r w:rsidRPr="00486BED">
        <w:rPr>
          <w:rFonts w:ascii="Times New Roman" w:hAnsi="Times New Roman" w:cs="Times New Roman"/>
          <w:sz w:val="24"/>
          <w:szCs w:val="24"/>
          <w:lang w:val="en-US"/>
        </w:rPr>
        <w:t xml:space="preserve">interval between tooth extraction and EPR measurement </w:t>
      </w:r>
      <w:r w:rsidR="009D54DC">
        <w:rPr>
          <w:rFonts w:ascii="Times New Roman" w:hAnsi="Times New Roman" w:cs="Times New Roman"/>
          <w:sz w:val="24"/>
          <w:szCs w:val="24"/>
          <w:lang w:val="en-US"/>
        </w:rPr>
        <w:t>was</w:t>
      </w:r>
      <w:r w:rsidR="00AF752C">
        <w:rPr>
          <w:rFonts w:ascii="Times New Roman" w:hAnsi="Times New Roman" w:cs="Times New Roman"/>
          <w:sz w:val="24"/>
          <w:szCs w:val="24"/>
          <w:lang w:val="en-US"/>
        </w:rPr>
        <w:t xml:space="preserve"> </w:t>
      </w:r>
      <w:r w:rsidR="009D54DC">
        <w:rPr>
          <w:rFonts w:ascii="Times New Roman" w:hAnsi="Times New Roman" w:cs="Times New Roman"/>
          <w:sz w:val="24"/>
          <w:szCs w:val="24"/>
          <w:lang w:val="en-US"/>
        </w:rPr>
        <w:t>five</w:t>
      </w:r>
      <w:r w:rsidRPr="00486BED">
        <w:rPr>
          <w:rFonts w:ascii="Times New Roman" w:hAnsi="Times New Roman" w:cs="Times New Roman"/>
          <w:sz w:val="24"/>
          <w:szCs w:val="24"/>
          <w:lang w:val="en-US"/>
        </w:rPr>
        <w:t xml:space="preserve"> years. The samples were stored in </w:t>
      </w:r>
      <w:r w:rsidR="009D54DC">
        <w:rPr>
          <w:rFonts w:ascii="Times New Roman" w:hAnsi="Times New Roman" w:cs="Times New Roman"/>
          <w:sz w:val="24"/>
          <w:szCs w:val="24"/>
          <w:lang w:val="en-US"/>
        </w:rPr>
        <w:t>a</w:t>
      </w:r>
      <w:r w:rsidRPr="00486BED">
        <w:rPr>
          <w:rFonts w:ascii="Times New Roman" w:hAnsi="Times New Roman" w:cs="Times New Roman"/>
          <w:sz w:val="24"/>
          <w:szCs w:val="24"/>
          <w:lang w:val="en-US"/>
        </w:rPr>
        <w:t xml:space="preserve"> fridge where the natural radiation background was almost twice as </w:t>
      </w:r>
      <w:r w:rsidR="00F4212C"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9D54DC">
        <w:rPr>
          <w:rFonts w:ascii="Times New Roman" w:hAnsi="Times New Roman" w:cs="Times New Roman"/>
          <w:sz w:val="24"/>
          <w:szCs w:val="24"/>
          <w:lang w:val="en-US"/>
        </w:rPr>
        <w:t xml:space="preserve"> as free in air</w:t>
      </w:r>
      <w:r w:rsidRPr="00486BED">
        <w:rPr>
          <w:rFonts w:ascii="Times New Roman" w:hAnsi="Times New Roman" w:cs="Times New Roman"/>
          <w:sz w:val="24"/>
          <w:szCs w:val="24"/>
          <w:lang w:val="en-US"/>
        </w:rPr>
        <w:t>.</w:t>
      </w:r>
    </w:p>
    <w:p w14:paraId="3F407BD0" w14:textId="77777777" w:rsidR="00310457" w:rsidRPr="00F763B2"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sz w:val="24"/>
          <w:szCs w:val="24"/>
          <w:lang w:val="en-GB"/>
        </w:rPr>
        <w:t xml:space="preserve">Methods of EPR dosimetry </w:t>
      </w:r>
    </w:p>
    <w:p w14:paraId="27DAB11B" w14:textId="77777777" w:rsidR="00310457" w:rsidRPr="00486BED" w:rsidRDefault="00310457" w:rsidP="00486BED">
      <w:pPr>
        <w:autoSpaceDE w:val="0"/>
        <w:autoSpaceDN w:val="0"/>
        <w:adjustRightInd w:val="0"/>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The teeth were measured at </w:t>
      </w:r>
      <w:r w:rsidR="0011203A">
        <w:rPr>
          <w:rFonts w:ascii="Times New Roman" w:hAnsi="Times New Roman" w:cs="Times New Roman"/>
          <w:sz w:val="24"/>
          <w:szCs w:val="24"/>
          <w:lang w:val="en-US"/>
        </w:rPr>
        <w:t>six</w:t>
      </w:r>
      <w:r w:rsidRPr="00486BED">
        <w:rPr>
          <w:rFonts w:ascii="Times New Roman" w:hAnsi="Times New Roman" w:cs="Times New Roman"/>
          <w:sz w:val="24"/>
          <w:szCs w:val="24"/>
          <w:lang w:val="en-US"/>
        </w:rPr>
        <w:t xml:space="preserve"> different laboratories, viz,</w:t>
      </w:r>
      <w:r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US"/>
        </w:rPr>
        <w:t xml:space="preserve">Institute of Metal Physics (IMP, Russia), Helmholtz Centrum Munich (HMGU, Germany), </w:t>
      </w:r>
      <w:r w:rsidRPr="00486BED">
        <w:rPr>
          <w:rFonts w:ascii="Times New Roman" w:hAnsi="Times New Roman" w:cs="Times New Roman"/>
          <w:bCs/>
          <w:iCs/>
          <w:sz w:val="24"/>
          <w:szCs w:val="24"/>
          <w:lang w:val="en-US"/>
        </w:rPr>
        <w:t>Istituto Superiore di Sanità</w:t>
      </w:r>
      <w:r w:rsidRPr="00486BED">
        <w:rPr>
          <w:rFonts w:ascii="Times New Roman" w:hAnsi="Times New Roman" w:cs="Times New Roman"/>
          <w:bCs/>
          <w:iCs/>
          <w:caps/>
          <w:sz w:val="24"/>
          <w:szCs w:val="24"/>
          <w:lang w:val="en-US"/>
        </w:rPr>
        <w:t xml:space="preserve"> </w:t>
      </w:r>
      <w:r w:rsidRPr="00486BED">
        <w:rPr>
          <w:rFonts w:ascii="Times New Roman" w:hAnsi="Times New Roman" w:cs="Times New Roman"/>
          <w:bCs/>
          <w:iCs/>
          <w:sz w:val="24"/>
          <w:szCs w:val="24"/>
          <w:lang w:val="en-US"/>
        </w:rPr>
        <w:t xml:space="preserve">(ISS, Italy), </w:t>
      </w:r>
      <w:r w:rsidRPr="00486BED">
        <w:rPr>
          <w:rFonts w:ascii="Times New Roman" w:hAnsi="Times New Roman" w:cs="Times New Roman"/>
          <w:sz w:val="24"/>
          <w:szCs w:val="24"/>
          <w:lang w:val="en-US" w:eastAsia="ru-RU"/>
        </w:rPr>
        <w:t>Medical Radiobiological Research Center (MRRC, Russia), Institute of Chemical Physics (ICP, Russia) and Institute of Biophysics (IBP, Russia)</w:t>
      </w:r>
      <w:r w:rsidRPr="00486BED">
        <w:rPr>
          <w:rFonts w:ascii="Times New Roman" w:hAnsi="Times New Roman" w:cs="Times New Roman"/>
          <w:bCs/>
          <w:iCs/>
          <w:sz w:val="24"/>
          <w:szCs w:val="24"/>
          <w:lang w:val="en-US"/>
        </w:rPr>
        <w:t xml:space="preserve">. Each laboratory used its own EPR dosimetry method. </w:t>
      </w:r>
      <w:r w:rsidRPr="00486BED">
        <w:rPr>
          <w:rFonts w:ascii="Times New Roman" w:hAnsi="Times New Roman" w:cs="Times New Roman"/>
          <w:sz w:val="24"/>
          <w:szCs w:val="24"/>
          <w:lang w:val="en-US"/>
        </w:rPr>
        <w:t>It should be noted that even one and the same laboratory could modify the EPR method with time</w:t>
      </w:r>
      <w:r w:rsidR="0053262E"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as it was </w:t>
      </w:r>
      <w:r w:rsidR="0011203A">
        <w:rPr>
          <w:rFonts w:ascii="Times New Roman" w:hAnsi="Times New Roman" w:cs="Times New Roman"/>
          <w:sz w:val="24"/>
          <w:szCs w:val="24"/>
          <w:lang w:val="en-US"/>
        </w:rPr>
        <w:t xml:space="preserve">the case for </w:t>
      </w:r>
      <w:r w:rsidRPr="00486BED">
        <w:rPr>
          <w:rFonts w:ascii="Times New Roman" w:hAnsi="Times New Roman" w:cs="Times New Roman"/>
          <w:sz w:val="24"/>
          <w:szCs w:val="24"/>
          <w:lang w:val="en-US"/>
        </w:rPr>
        <w:t>IMP and HMGU. E</w:t>
      </w:r>
      <w:r w:rsidR="0011203A">
        <w:rPr>
          <w:rFonts w:ascii="Times New Roman" w:hAnsi="Times New Roman" w:cs="Times New Roman"/>
          <w:sz w:val="24"/>
          <w:szCs w:val="24"/>
          <w:lang w:val="en-US"/>
        </w:rPr>
        <w:t xml:space="preserve">very applied </w:t>
      </w:r>
      <w:r w:rsidRPr="00486BED">
        <w:rPr>
          <w:rFonts w:ascii="Times New Roman" w:hAnsi="Times New Roman" w:cs="Times New Roman"/>
          <w:sz w:val="24"/>
          <w:szCs w:val="24"/>
          <w:lang w:val="en-US"/>
        </w:rPr>
        <w:t>method had its own performance parameters (</w:t>
      </w:r>
      <w:r w:rsidRPr="008A0C14">
        <w:rPr>
          <w:rFonts w:ascii="Times New Roman" w:hAnsi="Times New Roman" w:cs="Times New Roman"/>
          <w:sz w:val="24"/>
          <w:szCs w:val="24"/>
          <w:lang w:val="en-US"/>
        </w:rPr>
        <w:t xml:space="preserve">such as </w:t>
      </w:r>
      <w:r w:rsidR="001A63A5" w:rsidRPr="008A0C14">
        <w:rPr>
          <w:rFonts w:ascii="Times New Roman" w:hAnsi="Times New Roman" w:cs="Times New Roman"/>
          <w:sz w:val="24"/>
          <w:szCs w:val="24"/>
          <w:lang w:val="en-US"/>
        </w:rPr>
        <w:t xml:space="preserve">measurement </w:t>
      </w:r>
      <w:r w:rsidRPr="008A0C14">
        <w:rPr>
          <w:rFonts w:ascii="Times New Roman" w:hAnsi="Times New Roman" w:cs="Times New Roman"/>
          <w:sz w:val="24"/>
          <w:szCs w:val="24"/>
          <w:lang w:val="en-US"/>
        </w:rPr>
        <w:t>uncertainty</w:t>
      </w:r>
      <w:r w:rsidRPr="00486BED">
        <w:rPr>
          <w:rFonts w:ascii="Times New Roman" w:hAnsi="Times New Roman" w:cs="Times New Roman"/>
          <w:sz w:val="24"/>
          <w:szCs w:val="24"/>
          <w:lang w:val="en-US"/>
        </w:rPr>
        <w:t xml:space="preserve"> and limit of detection)</w:t>
      </w:r>
      <w:r w:rsidR="0053262E"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its own measurement uncertainty (Currie L.A., 1999; Currie L.A., 2004; ISO/IEC, 2007). </w:t>
      </w:r>
      <w:r w:rsidR="0053262E" w:rsidRPr="00486BED">
        <w:rPr>
          <w:rFonts w:ascii="Times New Roman" w:hAnsi="Times New Roman" w:cs="Times New Roman"/>
          <w:sz w:val="24"/>
          <w:szCs w:val="24"/>
          <w:lang w:val="en-US"/>
        </w:rPr>
        <w:t>The d</w:t>
      </w:r>
      <w:r w:rsidRPr="00486BED">
        <w:rPr>
          <w:rFonts w:ascii="Times New Roman" w:hAnsi="Times New Roman" w:cs="Times New Roman"/>
          <w:sz w:val="24"/>
          <w:szCs w:val="24"/>
          <w:lang w:val="en-US"/>
        </w:rPr>
        <w:t xml:space="preserve">escription of </w:t>
      </w:r>
      <w:r w:rsidR="0053262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methods </w:t>
      </w:r>
      <w:r w:rsidR="0011203A">
        <w:rPr>
          <w:rFonts w:ascii="Times New Roman" w:hAnsi="Times New Roman" w:cs="Times New Roman"/>
          <w:sz w:val="24"/>
          <w:szCs w:val="24"/>
          <w:lang w:val="en-US"/>
        </w:rPr>
        <w:t xml:space="preserve">applied </w:t>
      </w:r>
      <w:r w:rsidRPr="00486BED">
        <w:rPr>
          <w:rFonts w:ascii="Times New Roman" w:hAnsi="Times New Roman" w:cs="Times New Roman"/>
          <w:sz w:val="24"/>
          <w:szCs w:val="24"/>
          <w:lang w:val="en-US"/>
        </w:rPr>
        <w:t xml:space="preserve">is presented in Table 2. All the laboratories took part in at least one of </w:t>
      </w:r>
      <w:r w:rsidR="0053262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inter-laboratory comparisons performed in 1993, 1998, 2001 and 2005 (Chumak et al., 1996; Wieser et al., 2000a, 2005, 2006; Hoshi et al., 2007; Ivannikov et al., 2007).</w:t>
      </w:r>
    </w:p>
    <w:p w14:paraId="0BC92AC9" w14:textId="77777777" w:rsidR="00310457" w:rsidRPr="00486BED" w:rsidRDefault="00B46B7C" w:rsidP="00486BED">
      <w:pPr>
        <w:spacing w:after="240" w:line="360" w:lineRule="auto"/>
        <w:ind w:firstLine="708"/>
        <w:jc w:val="both"/>
        <w:rPr>
          <w:rFonts w:ascii="Times New Roman" w:hAnsi="Times New Roman" w:cs="Times New Roman"/>
          <w:sz w:val="24"/>
          <w:szCs w:val="24"/>
          <w:lang w:val="en-GB"/>
        </w:rPr>
      </w:pPr>
      <w:r w:rsidRPr="00486BED">
        <w:rPr>
          <w:rFonts w:ascii="Times New Roman" w:hAnsi="Times New Roman" w:cs="Times New Roman"/>
          <w:sz w:val="24"/>
          <w:szCs w:val="24"/>
          <w:lang w:val="en-GB"/>
        </w:rPr>
        <w:t xml:space="preserve">Aside from </w:t>
      </w:r>
      <w:r w:rsidR="00310457" w:rsidRPr="00486BED">
        <w:rPr>
          <w:rFonts w:ascii="Times New Roman" w:hAnsi="Times New Roman" w:cs="Times New Roman"/>
          <w:sz w:val="24"/>
          <w:szCs w:val="24"/>
          <w:lang w:val="en-GB"/>
        </w:rPr>
        <w:t>their own prepared samples,</w:t>
      </w:r>
      <w:r w:rsidRPr="00486BED">
        <w:rPr>
          <w:rFonts w:ascii="Times New Roman" w:hAnsi="Times New Roman" w:cs="Times New Roman"/>
          <w:sz w:val="24"/>
          <w:szCs w:val="24"/>
          <w:lang w:val="en-GB"/>
        </w:rPr>
        <w:t xml:space="preserve"> </w:t>
      </w:r>
      <w:r w:rsidR="00310457" w:rsidRPr="00486BED">
        <w:rPr>
          <w:rFonts w:ascii="Times New Roman" w:hAnsi="Times New Roman" w:cs="Times New Roman"/>
          <w:sz w:val="24"/>
          <w:szCs w:val="24"/>
          <w:lang w:val="en-GB"/>
        </w:rPr>
        <w:t xml:space="preserve">HMGU and ISS measured samples prepared by </w:t>
      </w:r>
      <w:r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 xml:space="preserve">IMP; </w:t>
      </w:r>
      <w:r w:rsidR="003F454C">
        <w:rPr>
          <w:rFonts w:ascii="Times New Roman" w:hAnsi="Times New Roman" w:cs="Times New Roman"/>
          <w:sz w:val="24"/>
          <w:szCs w:val="24"/>
          <w:lang w:val="en-GB"/>
        </w:rPr>
        <w:t xml:space="preserve">while </w:t>
      </w:r>
      <w:r w:rsidR="00310457" w:rsidRPr="00486BED">
        <w:rPr>
          <w:rFonts w:ascii="Times New Roman" w:hAnsi="Times New Roman" w:cs="Times New Roman"/>
          <w:sz w:val="24"/>
          <w:szCs w:val="24"/>
          <w:lang w:val="en-GB"/>
        </w:rPr>
        <w:t xml:space="preserve">MRRC and IMP measured samples prepared by HMGU. ISS and IMP used the same calibration curve for posterior and anterior teeth. HMGU used different calibration systems for </w:t>
      </w:r>
      <w:r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whole enamel (posterior teeth), labial fraction (incisors) and lingual fraction (incisors).</w:t>
      </w:r>
    </w:p>
    <w:p w14:paraId="3F7B098E"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GB"/>
        </w:rPr>
        <w:t>Different combinations of sample preparation, measurement techniques, calibration systems and type</w:t>
      </w:r>
      <w:r w:rsidR="00B46B7C" w:rsidRPr="00486BED">
        <w:rPr>
          <w:rFonts w:ascii="Times New Roman" w:hAnsi="Times New Roman" w:cs="Times New Roman"/>
          <w:sz w:val="24"/>
          <w:szCs w:val="24"/>
          <w:lang w:val="en-GB"/>
        </w:rPr>
        <w:t>s</w:t>
      </w:r>
      <w:r w:rsidRPr="00486BED">
        <w:rPr>
          <w:rFonts w:ascii="Times New Roman" w:hAnsi="Times New Roman" w:cs="Times New Roman"/>
          <w:sz w:val="24"/>
          <w:szCs w:val="24"/>
          <w:lang w:val="en-GB"/>
        </w:rPr>
        <w:t xml:space="preserve"> of enamel under study represent different methods with </w:t>
      </w:r>
      <w:r w:rsidR="003F454C">
        <w:rPr>
          <w:rFonts w:ascii="Times New Roman" w:hAnsi="Times New Roman" w:cs="Times New Roman"/>
          <w:sz w:val="24"/>
          <w:szCs w:val="24"/>
          <w:lang w:val="en-GB"/>
        </w:rPr>
        <w:t>specific</w:t>
      </w:r>
      <w:r w:rsidRPr="00486BED">
        <w:rPr>
          <w:rFonts w:ascii="Times New Roman" w:hAnsi="Times New Roman" w:cs="Times New Roman"/>
          <w:sz w:val="24"/>
          <w:szCs w:val="24"/>
          <w:lang w:val="en-GB"/>
        </w:rPr>
        <w:t xml:space="preserve"> performance parameters. </w:t>
      </w:r>
      <w:r w:rsidRPr="00486BED">
        <w:rPr>
          <w:rFonts w:ascii="Times New Roman" w:hAnsi="Times New Roman" w:cs="Times New Roman"/>
          <w:sz w:val="24"/>
          <w:szCs w:val="24"/>
          <w:lang w:val="en-US"/>
        </w:rPr>
        <w:t>The method-specific performance w</w:t>
      </w:r>
      <w:r w:rsidR="003F454C">
        <w:rPr>
          <w:rFonts w:ascii="Times New Roman" w:hAnsi="Times New Roman" w:cs="Times New Roman"/>
          <w:sz w:val="24"/>
          <w:szCs w:val="24"/>
          <w:lang w:val="en-US"/>
        </w:rPr>
        <w:t>as</w:t>
      </w:r>
      <w:r w:rsidRPr="00486BED">
        <w:rPr>
          <w:rFonts w:ascii="Times New Roman" w:hAnsi="Times New Roman" w:cs="Times New Roman"/>
          <w:sz w:val="24"/>
          <w:szCs w:val="24"/>
          <w:lang w:val="en-US"/>
        </w:rPr>
        <w:t xml:space="preserve"> evaluated based on experimental data on calibration (Shishkina et al, 2014b) or, when original data were not available, based on the results of inter-laboratory comparisons (Chumak et al., 1996; </w:t>
      </w:r>
      <w:r w:rsidRPr="00486BED">
        <w:rPr>
          <w:rFonts w:ascii="Times New Roman" w:hAnsi="Times New Roman" w:cs="Times New Roman"/>
          <w:sz w:val="24"/>
          <w:szCs w:val="24"/>
          <w:lang w:val="en-US" w:eastAsia="ru-RU"/>
        </w:rPr>
        <w:t xml:space="preserve">Hoshi et al., 2007; Ivannikov et al, 2007; </w:t>
      </w:r>
      <w:r w:rsidRPr="00486BED">
        <w:rPr>
          <w:rFonts w:ascii="Times New Roman" w:hAnsi="Times New Roman" w:cs="Times New Roman"/>
          <w:sz w:val="24"/>
          <w:szCs w:val="24"/>
          <w:lang w:val="en-US"/>
        </w:rPr>
        <w:t>Wieser et al., 2000a, 2005, 2006)</w:t>
      </w:r>
      <w:r w:rsidR="007F078D"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expert decisions. Appendix A presents the definitions of performance parameters, values of method-specific performances (critical dose </w:t>
      </w:r>
      <w:r w:rsidRPr="00486BED">
        <w:rPr>
          <w:rFonts w:ascii="Times New Roman" w:hAnsi="Times New Roman" w:cs="Times New Roman"/>
          <w:sz w:val="24"/>
          <w:szCs w:val="24"/>
          <w:lang w:val="en-GB"/>
        </w:rPr>
        <w:t>(</w:t>
      </w:r>
      <w:r w:rsidRPr="00486BED">
        <w:rPr>
          <w:rFonts w:ascii="Times New Roman" w:hAnsi="Times New Roman" w:cs="Times New Roman"/>
          <w:i/>
          <w:sz w:val="24"/>
          <w:szCs w:val="24"/>
          <w:lang w:val="en-GB"/>
        </w:rPr>
        <w:t>Dc</w:t>
      </w:r>
      <w:r w:rsidRPr="00486BED">
        <w:rPr>
          <w:rFonts w:ascii="Times New Roman" w:hAnsi="Times New Roman" w:cs="Times New Roman"/>
          <w:sz w:val="24"/>
          <w:szCs w:val="24"/>
          <w:lang w:val="en-GB"/>
        </w:rPr>
        <w:t>)</w:t>
      </w:r>
      <w:r w:rsidRPr="00486BED">
        <w:rPr>
          <w:rFonts w:ascii="Times New Roman" w:hAnsi="Times New Roman" w:cs="Times New Roman"/>
          <w:sz w:val="24"/>
          <w:szCs w:val="24"/>
          <w:lang w:val="en-US"/>
        </w:rPr>
        <w:t xml:space="preserve">, limit of detection </w:t>
      </w:r>
      <w:r w:rsidRPr="00486BED">
        <w:rPr>
          <w:rFonts w:ascii="Times New Roman" w:hAnsi="Times New Roman" w:cs="Times New Roman"/>
          <w:sz w:val="24"/>
          <w:szCs w:val="24"/>
          <w:lang w:val="en-GB"/>
        </w:rPr>
        <w:t>(</w:t>
      </w:r>
      <w:r w:rsidRPr="00486BED">
        <w:rPr>
          <w:rFonts w:ascii="Times New Roman" w:hAnsi="Times New Roman" w:cs="Times New Roman"/>
          <w:i/>
          <w:sz w:val="24"/>
          <w:szCs w:val="24"/>
          <w:lang w:val="en-GB"/>
        </w:rPr>
        <w:t>LD</w:t>
      </w:r>
      <w:r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US"/>
        </w:rPr>
        <w:t xml:space="preserve">and </w:t>
      </w:r>
      <w:r w:rsidRPr="00486BED">
        <w:rPr>
          <w:rFonts w:ascii="Times New Roman" w:eastAsia="Times New Roman" w:hAnsi="Times New Roman" w:cs="Times New Roman"/>
          <w:color w:val="000000"/>
          <w:sz w:val="24"/>
          <w:szCs w:val="24"/>
          <w:lang w:val="en-US" w:eastAsia="ru-RU"/>
        </w:rPr>
        <w:t xml:space="preserve">uncertainty </w:t>
      </w:r>
      <w:r w:rsidRPr="00486BED">
        <w:rPr>
          <w:rFonts w:ascii="Times New Roman" w:hAnsi="Times New Roman" w:cs="Times New Roman"/>
          <w:i/>
          <w:sz w:val="24"/>
          <w:szCs w:val="24"/>
          <w:lang w:val="en-US"/>
        </w:rPr>
        <w:t>g(D))</w:t>
      </w:r>
      <w:r w:rsidRPr="00486BED">
        <w:rPr>
          <w:rFonts w:ascii="Times New Roman" w:hAnsi="Times New Roman" w:cs="Times New Roman"/>
          <w:sz w:val="24"/>
          <w:szCs w:val="24"/>
          <w:lang w:val="en-US"/>
        </w:rPr>
        <w:t xml:space="preserve"> and examples of their evaluation.</w:t>
      </w:r>
      <w:r w:rsidRPr="00486BED">
        <w:rPr>
          <w:rFonts w:ascii="Times New Roman" w:hAnsi="Times New Roman" w:cs="Times New Roman"/>
          <w:sz w:val="24"/>
          <w:szCs w:val="24"/>
          <w:lang w:val="en-GB"/>
        </w:rPr>
        <w:t xml:space="preserve"> </w:t>
      </w:r>
      <w:r w:rsidRPr="00486BED">
        <w:rPr>
          <w:rFonts w:ascii="Times New Roman" w:hAnsi="Times New Roman" w:cs="Times New Roman"/>
          <w:i/>
          <w:sz w:val="24"/>
          <w:szCs w:val="24"/>
          <w:lang w:val="en-GB"/>
        </w:rPr>
        <w:t>Dc</w:t>
      </w:r>
      <w:r w:rsidRPr="00486BED">
        <w:rPr>
          <w:rFonts w:ascii="Times New Roman" w:hAnsi="Times New Roman" w:cs="Times New Roman"/>
          <w:sz w:val="24"/>
          <w:szCs w:val="24"/>
          <w:lang w:val="en-GB"/>
        </w:rPr>
        <w:t xml:space="preserve"> and </w:t>
      </w:r>
      <w:r w:rsidRPr="00486BED">
        <w:rPr>
          <w:rFonts w:ascii="Times New Roman" w:hAnsi="Times New Roman" w:cs="Times New Roman"/>
          <w:i/>
          <w:sz w:val="24"/>
          <w:szCs w:val="24"/>
          <w:lang w:val="en-GB"/>
        </w:rPr>
        <w:t>LD</w:t>
      </w:r>
      <w:r w:rsidRPr="00486BED">
        <w:rPr>
          <w:rFonts w:ascii="Times New Roman" w:hAnsi="Times New Roman" w:cs="Times New Roman"/>
          <w:sz w:val="24"/>
          <w:szCs w:val="24"/>
          <w:lang w:val="en-GB"/>
        </w:rPr>
        <w:t xml:space="preserve"> </w:t>
      </w:r>
      <w:r w:rsidR="003F454C">
        <w:rPr>
          <w:rFonts w:ascii="Times New Roman" w:hAnsi="Times New Roman" w:cs="Times New Roman"/>
          <w:sz w:val="24"/>
          <w:szCs w:val="24"/>
          <w:lang w:val="en-GB"/>
        </w:rPr>
        <w:t xml:space="preserve">values </w:t>
      </w:r>
      <w:r w:rsidRPr="00486BED">
        <w:rPr>
          <w:rFonts w:ascii="Times New Roman" w:hAnsi="Times New Roman" w:cs="Times New Roman"/>
          <w:sz w:val="24"/>
          <w:szCs w:val="24"/>
          <w:lang w:val="en-GB"/>
        </w:rPr>
        <w:t>for most of the methods were comparable for posterior teeth and lingual enamel of incisors and</w:t>
      </w:r>
      <w:r w:rsidR="003F454C">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on average they were 120 mGy and 260 mGy, respectively (40% of </w:t>
      </w:r>
      <w:r w:rsidR="005A0111">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measurements were performed using the methods with </w:t>
      </w:r>
      <w:r w:rsidRPr="00486BED">
        <w:rPr>
          <w:rFonts w:ascii="Times New Roman" w:hAnsi="Times New Roman" w:cs="Times New Roman"/>
          <w:i/>
          <w:sz w:val="24"/>
          <w:szCs w:val="24"/>
          <w:lang w:val="en-GB"/>
        </w:rPr>
        <w:t>LD</w:t>
      </w:r>
      <w:r w:rsidR="005A0111">
        <w:rPr>
          <w:rFonts w:ascii="Times New Roman" w:hAnsi="Times New Roman" w:cs="Times New Roman"/>
          <w:i/>
          <w:sz w:val="24"/>
          <w:szCs w:val="24"/>
          <w:lang w:val="en-GB"/>
        </w:rPr>
        <w:t xml:space="preserve"> </w:t>
      </w:r>
      <w:r w:rsidRPr="00486BED">
        <w:rPr>
          <w:rFonts w:ascii="Times New Roman" w:hAnsi="Times New Roman" w:cs="Times New Roman"/>
          <w:sz w:val="24"/>
          <w:szCs w:val="24"/>
          <w:lang w:val="en-GB"/>
        </w:rPr>
        <w:t>≤</w:t>
      </w:r>
      <w:r w:rsidR="005A0111">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150</w:t>
      </w:r>
      <w:r w:rsidR="005A0111">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mGy). The performance parameters of th</w:t>
      </w:r>
      <w:r w:rsidR="005A0111">
        <w:rPr>
          <w:rFonts w:ascii="Times New Roman" w:hAnsi="Times New Roman" w:cs="Times New Roman"/>
          <w:sz w:val="24"/>
          <w:szCs w:val="24"/>
          <w:lang w:val="en-GB"/>
        </w:rPr>
        <w:t>os</w:t>
      </w:r>
      <w:r w:rsidRPr="00486BED">
        <w:rPr>
          <w:rFonts w:ascii="Times New Roman" w:hAnsi="Times New Roman" w:cs="Times New Roman"/>
          <w:sz w:val="24"/>
          <w:szCs w:val="24"/>
          <w:lang w:val="en-GB"/>
        </w:rPr>
        <w:t xml:space="preserve">e methods </w:t>
      </w:r>
      <w:r w:rsidR="005A0111">
        <w:rPr>
          <w:rFonts w:ascii="Times New Roman" w:hAnsi="Times New Roman" w:cs="Times New Roman"/>
          <w:sz w:val="24"/>
          <w:szCs w:val="24"/>
          <w:lang w:val="en-GB"/>
        </w:rPr>
        <w:t>including</w:t>
      </w:r>
      <w:r w:rsidRPr="00486BED">
        <w:rPr>
          <w:rFonts w:ascii="Times New Roman" w:hAnsi="Times New Roman" w:cs="Times New Roman"/>
          <w:sz w:val="24"/>
          <w:szCs w:val="24"/>
          <w:lang w:val="en-GB"/>
        </w:rPr>
        <w:t xml:space="preserve"> measurement of labial or whole incisor enamel were, on average, 30-60 mGy higher. Some method values of </w:t>
      </w:r>
      <w:r w:rsidR="00DE3B48"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performance parameters </w:t>
      </w:r>
      <w:r w:rsidR="001B468C">
        <w:rPr>
          <w:rFonts w:ascii="Times New Roman" w:hAnsi="Times New Roman" w:cs="Times New Roman"/>
          <w:sz w:val="24"/>
          <w:szCs w:val="24"/>
          <w:lang w:val="en-GB"/>
        </w:rPr>
        <w:t xml:space="preserve">were </w:t>
      </w:r>
      <w:r w:rsidR="00A96AE0">
        <w:rPr>
          <w:rFonts w:ascii="Times New Roman" w:hAnsi="Times New Roman" w:cs="Times New Roman"/>
          <w:sz w:val="24"/>
          <w:szCs w:val="24"/>
          <w:lang w:val="en-GB"/>
        </w:rPr>
        <w:t xml:space="preserve">too high </w:t>
      </w:r>
      <w:r w:rsidRPr="00486BED">
        <w:rPr>
          <w:rFonts w:ascii="Times New Roman" w:hAnsi="Times New Roman" w:cs="Times New Roman"/>
          <w:sz w:val="24"/>
          <w:szCs w:val="24"/>
          <w:lang w:val="en-GB"/>
        </w:rPr>
        <w:t>to be acceptable for routine measurements. For example, after 2004</w:t>
      </w:r>
      <w:r w:rsidR="00DE3B48" w:rsidRPr="00486BED">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a deterioration</w:t>
      </w:r>
      <w:r w:rsidRPr="00486BED">
        <w:rPr>
          <w:rFonts w:ascii="Times New Roman" w:hAnsi="Times New Roman" w:cs="Times New Roman"/>
          <w:sz w:val="24"/>
          <w:szCs w:val="24"/>
          <w:lang w:val="en-US"/>
        </w:rPr>
        <w:t xml:space="preserve"> of </w:t>
      </w:r>
      <w:r w:rsidR="00A96AE0">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IMP spectrometer</w:t>
      </w:r>
      <w:r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US"/>
        </w:rPr>
        <w:t xml:space="preserve">resulted in </w:t>
      </w:r>
      <w:r w:rsidR="00DE3B48" w:rsidRPr="00486BED">
        <w:rPr>
          <w:rFonts w:ascii="Times New Roman" w:hAnsi="Times New Roman" w:cs="Times New Roman"/>
          <w:sz w:val="24"/>
          <w:szCs w:val="24"/>
          <w:lang w:val="en-US"/>
        </w:rPr>
        <w:t xml:space="preserve">a </w:t>
      </w:r>
      <w:r w:rsidRPr="00486BED">
        <w:rPr>
          <w:rFonts w:ascii="Times New Roman" w:hAnsi="Times New Roman" w:cs="Times New Roman"/>
          <w:sz w:val="24"/>
          <w:szCs w:val="24"/>
          <w:lang w:val="en-US"/>
        </w:rPr>
        <w:t>dramatic increase of instrumental noise</w:t>
      </w:r>
      <w:r w:rsidR="00A96AE0">
        <w:rPr>
          <w:rFonts w:ascii="Times New Roman" w:hAnsi="Times New Roman" w:cs="Times New Roman"/>
          <w:sz w:val="24"/>
          <w:szCs w:val="24"/>
          <w:lang w:val="en-US"/>
        </w:rPr>
        <w:t>, and</w:t>
      </w:r>
      <w:r w:rsidRPr="00486BED">
        <w:rPr>
          <w:rFonts w:ascii="Times New Roman" w:hAnsi="Times New Roman" w:cs="Times New Roman"/>
          <w:sz w:val="24"/>
          <w:szCs w:val="24"/>
          <w:lang w:val="en-US"/>
        </w:rPr>
        <w:t xml:space="preserve"> the </w:t>
      </w:r>
      <w:r w:rsidRPr="00486BED">
        <w:rPr>
          <w:rFonts w:ascii="Times New Roman" w:hAnsi="Times New Roman" w:cs="Times New Roman"/>
          <w:i/>
          <w:sz w:val="24"/>
          <w:szCs w:val="24"/>
          <w:lang w:val="en-US"/>
        </w:rPr>
        <w:t>LD</w:t>
      </w:r>
      <w:r w:rsidRPr="00486BED">
        <w:rPr>
          <w:rFonts w:ascii="Times New Roman" w:hAnsi="Times New Roman" w:cs="Times New Roman"/>
          <w:sz w:val="24"/>
          <w:szCs w:val="24"/>
          <w:lang w:val="en-US"/>
        </w:rPr>
        <w:t xml:space="preserve"> exceed</w:t>
      </w:r>
      <w:r w:rsidR="00DE3B48" w:rsidRPr="00486BED">
        <w:rPr>
          <w:rFonts w:ascii="Times New Roman" w:hAnsi="Times New Roman" w:cs="Times New Roman"/>
          <w:sz w:val="24"/>
          <w:szCs w:val="24"/>
          <w:lang w:val="en-US"/>
        </w:rPr>
        <w:t>ed</w:t>
      </w:r>
      <w:r w:rsidRPr="00486BED">
        <w:rPr>
          <w:rFonts w:ascii="Times New Roman" w:hAnsi="Times New Roman" w:cs="Times New Roman"/>
          <w:sz w:val="24"/>
          <w:szCs w:val="24"/>
          <w:lang w:val="en-US"/>
        </w:rPr>
        <w:t xml:space="preserve"> 500 mGy (Ivanov et al, 2011). Most of the samples measured by such a poor-quality method were from Techa riverside residents with expected high doses, and many of them were measured repeatedly </w:t>
      </w:r>
      <w:r w:rsidR="00A96AE0">
        <w:rPr>
          <w:rFonts w:ascii="Times New Roman" w:hAnsi="Times New Roman" w:cs="Times New Roman"/>
          <w:sz w:val="24"/>
          <w:szCs w:val="24"/>
          <w:lang w:val="en-US"/>
        </w:rPr>
        <w:t>using</w:t>
      </w:r>
      <w:r w:rsidRPr="00486BED">
        <w:rPr>
          <w:rFonts w:ascii="Times New Roman" w:hAnsi="Times New Roman" w:cs="Times New Roman"/>
          <w:sz w:val="24"/>
          <w:szCs w:val="24"/>
          <w:lang w:val="en-US"/>
        </w:rPr>
        <w:t xml:space="preserve"> other methods.  </w:t>
      </w:r>
    </w:p>
    <w:p w14:paraId="6E2A70B0" w14:textId="77777777" w:rsidR="00310457" w:rsidRPr="00F763B2"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sz w:val="24"/>
          <w:szCs w:val="24"/>
          <w:lang w:val="en-GB"/>
        </w:rPr>
        <w:t>Data analysis</w:t>
      </w:r>
    </w:p>
    <w:p w14:paraId="6D32038D" w14:textId="77777777" w:rsidR="00310457" w:rsidRPr="00F763B2" w:rsidRDefault="00310457" w:rsidP="00F763B2">
      <w:pPr>
        <w:spacing w:after="240" w:line="360" w:lineRule="auto"/>
        <w:jc w:val="both"/>
        <w:rPr>
          <w:rFonts w:ascii="Times New Roman" w:eastAsiaTheme="minorEastAsia" w:hAnsi="Times New Roman" w:cs="Times New Roman"/>
          <w:i/>
          <w:sz w:val="24"/>
          <w:szCs w:val="24"/>
          <w:lang w:val="en-US"/>
        </w:rPr>
      </w:pPr>
      <w:r w:rsidRPr="00F763B2">
        <w:rPr>
          <w:rFonts w:ascii="Times New Roman" w:eastAsiaTheme="minorEastAsia" w:hAnsi="Times New Roman" w:cs="Times New Roman"/>
          <w:i/>
          <w:sz w:val="24"/>
          <w:szCs w:val="24"/>
          <w:lang w:val="en-US"/>
        </w:rPr>
        <w:t xml:space="preserve">Statistical reconstruction of </w:t>
      </w:r>
      <w:r w:rsidR="00DE3B48" w:rsidRPr="00F763B2">
        <w:rPr>
          <w:rFonts w:ascii="Times New Roman" w:eastAsiaTheme="minorEastAsia" w:hAnsi="Times New Roman" w:cs="Times New Roman"/>
          <w:i/>
          <w:sz w:val="24"/>
          <w:szCs w:val="24"/>
          <w:lang w:val="en-US"/>
        </w:rPr>
        <w:t xml:space="preserve">the </w:t>
      </w:r>
      <w:r w:rsidRPr="00F763B2">
        <w:rPr>
          <w:rFonts w:ascii="Times New Roman" w:eastAsiaTheme="minorEastAsia" w:hAnsi="Times New Roman" w:cs="Times New Roman"/>
          <w:i/>
          <w:sz w:val="24"/>
          <w:szCs w:val="24"/>
          <w:lang w:val="en-US"/>
        </w:rPr>
        <w:t>background dose distribution</w:t>
      </w:r>
    </w:p>
    <w:p w14:paraId="32BF1C8E" w14:textId="77777777" w:rsidR="00310457" w:rsidRPr="00486BED" w:rsidRDefault="00310457" w:rsidP="00486BED">
      <w:pPr>
        <w:pStyle w:val="Listenabsatz"/>
        <w:spacing w:after="240" w:line="360" w:lineRule="auto"/>
        <w:ind w:left="0" w:firstLine="709"/>
        <w:jc w:val="both"/>
        <w:rPr>
          <w:rFonts w:ascii="Times New Roman" w:hAnsi="Times New Roman" w:cs="Times New Roman"/>
          <w:sz w:val="24"/>
          <w:szCs w:val="24"/>
          <w:lang w:val="en-US"/>
        </w:rPr>
      </w:pPr>
      <w:r w:rsidRPr="00486BED">
        <w:rPr>
          <w:rFonts w:ascii="Times New Roman" w:hAnsi="Times New Roman" w:cs="Times New Roman"/>
          <w:sz w:val="24"/>
          <w:szCs w:val="24"/>
          <w:lang w:val="en-GB"/>
        </w:rPr>
        <w:t xml:space="preserve">The method </w:t>
      </w:r>
      <w:r w:rsidR="00D27B44">
        <w:rPr>
          <w:rFonts w:ascii="Times New Roman" w:hAnsi="Times New Roman" w:cs="Times New Roman"/>
          <w:sz w:val="24"/>
          <w:szCs w:val="24"/>
          <w:lang w:val="en-GB"/>
        </w:rPr>
        <w:t xml:space="preserve">used </w:t>
      </w:r>
      <w:r w:rsidRPr="00486BED">
        <w:rPr>
          <w:rFonts w:ascii="Times New Roman" w:hAnsi="Times New Roman" w:cs="Times New Roman"/>
          <w:sz w:val="24"/>
          <w:szCs w:val="24"/>
          <w:lang w:val="en-GB"/>
        </w:rPr>
        <w:t xml:space="preserve">for statistical reconstruction of </w:t>
      </w:r>
      <w:r w:rsidR="00DE3B48"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background doses is based on the results of </w:t>
      </w:r>
      <w:r w:rsidR="00DE3B48"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EPR tooth dosimetry (</w:t>
      </w:r>
      <w:r w:rsidRPr="00486BED">
        <w:rPr>
          <w:rFonts w:ascii="Times New Roman" w:eastAsiaTheme="minorEastAsia" w:hAnsi="Times New Roman" w:cs="Times New Roman"/>
          <w:sz w:val="24"/>
          <w:szCs w:val="24"/>
          <w:lang w:val="en-US"/>
        </w:rPr>
        <w:t>M1 in Fig. 1).</w:t>
      </w:r>
      <w:r w:rsidRPr="00486BED">
        <w:rPr>
          <w:rFonts w:ascii="Times New Roman" w:hAnsi="Times New Roman" w:cs="Times New Roman"/>
          <w:sz w:val="24"/>
          <w:szCs w:val="24"/>
          <w:lang w:val="en-GB"/>
        </w:rPr>
        <w:t xml:space="preserve"> According to Zalyapin et al. (2014), the</w:t>
      </w:r>
      <w:r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GB"/>
        </w:rPr>
        <w:t>model</w:t>
      </w:r>
      <w:r w:rsidRPr="00486BED">
        <w:rPr>
          <w:rFonts w:ascii="Times New Roman" w:hAnsi="Times New Roman" w:cs="Times New Roman"/>
          <w:sz w:val="24"/>
          <w:szCs w:val="24"/>
          <w:lang w:val="en-US"/>
        </w:rPr>
        <w:t xml:space="preserve"> describing </w:t>
      </w:r>
      <w:r w:rsidR="00D27B44">
        <w:rPr>
          <w:rFonts w:ascii="Times New Roman" w:hAnsi="Times New Roman" w:cs="Times New Roman"/>
          <w:sz w:val="24"/>
          <w:szCs w:val="24"/>
          <w:lang w:val="en-GB"/>
        </w:rPr>
        <w:t>the</w:t>
      </w:r>
      <w:r w:rsidRPr="00486BED">
        <w:rPr>
          <w:rFonts w:ascii="Times New Roman" w:hAnsi="Times New Roman" w:cs="Times New Roman"/>
          <w:sz w:val="24"/>
          <w:szCs w:val="24"/>
          <w:lang w:val="en-US"/>
        </w:rPr>
        <w:t xml:space="preserve"> result of </w:t>
      </w:r>
      <w:r w:rsidR="00D27B44">
        <w:rPr>
          <w:rFonts w:ascii="Times New Roman" w:hAnsi="Times New Roman" w:cs="Times New Roman"/>
          <w:sz w:val="24"/>
          <w:szCs w:val="24"/>
          <w:lang w:val="en-US"/>
        </w:rPr>
        <w:t>a</w:t>
      </w:r>
      <w:r w:rsidR="001B468C">
        <w:rPr>
          <w:rFonts w:ascii="Times New Roman" w:hAnsi="Times New Roman" w:cs="Times New Roman"/>
          <w:sz w:val="24"/>
          <w:szCs w:val="24"/>
          <w:lang w:val="en-US"/>
        </w:rPr>
        <w:t>n</w:t>
      </w:r>
      <w:r w:rsidR="00DE3B48"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EPR </w:t>
      </w:r>
      <w:r w:rsidRPr="00486BED">
        <w:rPr>
          <w:rFonts w:ascii="Times New Roman" w:hAnsi="Times New Roman" w:cs="Times New Roman"/>
          <w:sz w:val="24"/>
          <w:szCs w:val="24"/>
          <w:lang w:val="en-GB"/>
        </w:rPr>
        <w:t>measurement</w:t>
      </w:r>
      <w:r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GB"/>
        </w:rPr>
        <w:t>can</w:t>
      </w:r>
      <w:r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GB"/>
        </w:rPr>
        <w:t>be</w:t>
      </w:r>
      <w:r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GB"/>
        </w:rPr>
        <w:t>formulated</w:t>
      </w:r>
      <w:r w:rsidRPr="00486BED">
        <w:rPr>
          <w:rFonts w:ascii="Times New Roman" w:hAnsi="Times New Roman" w:cs="Times New Roman"/>
          <w:sz w:val="24"/>
          <w:szCs w:val="24"/>
          <w:lang w:val="en-US"/>
        </w:rPr>
        <w:t xml:space="preserve"> </w:t>
      </w:r>
      <w:r w:rsidR="00DE3B48" w:rsidRPr="00486BED">
        <w:rPr>
          <w:rFonts w:ascii="Times New Roman" w:hAnsi="Times New Roman" w:cs="Times New Roman"/>
          <w:sz w:val="24"/>
          <w:szCs w:val="24"/>
          <w:lang w:val="en-GB"/>
        </w:rPr>
        <w:t>as follows</w:t>
      </w:r>
      <w:r w:rsidRPr="00486BED">
        <w:rPr>
          <w:rFonts w:ascii="Times New Roman" w:hAnsi="Times New Roman" w:cs="Times New Roman"/>
          <w:sz w:val="24"/>
          <w:szCs w:val="24"/>
          <w:lang w:val="en-GB"/>
        </w:rPr>
        <w:t xml:space="preserve"> (Eq</w:t>
      </w:r>
      <w:r w:rsidRPr="00486BED">
        <w:rPr>
          <w:rFonts w:ascii="Times New Roman" w:hAnsi="Times New Roman" w:cs="Times New Roman"/>
          <w:sz w:val="24"/>
          <w:szCs w:val="24"/>
          <w:lang w:val="en-US"/>
        </w:rPr>
        <w:t xml:space="preserve">. 3):  </w:t>
      </w:r>
    </w:p>
    <w:tbl>
      <w:tblPr>
        <w:tblW w:w="0" w:type="auto"/>
        <w:tblLook w:val="04A0" w:firstRow="1" w:lastRow="0" w:firstColumn="1" w:lastColumn="0" w:noHBand="0" w:noVBand="1"/>
      </w:tblPr>
      <w:tblGrid>
        <w:gridCol w:w="8755"/>
        <w:gridCol w:w="816"/>
      </w:tblGrid>
      <w:tr w:rsidR="00310457" w:rsidRPr="00486BED" w14:paraId="79375C30" w14:textId="77777777" w:rsidTr="00587F13">
        <w:tc>
          <w:tcPr>
            <w:tcW w:w="8755" w:type="dxa"/>
          </w:tcPr>
          <w:p w14:paraId="68B72F74" w14:textId="77777777" w:rsidR="00310457" w:rsidRPr="00486BED" w:rsidRDefault="00F04885" w:rsidP="00486BED">
            <w:pPr>
              <w:spacing w:after="240" w:line="360" w:lineRule="auto"/>
              <w:jc w:val="both"/>
              <w:rPr>
                <w:rFonts w:ascii="Times New Roman" w:hAnsi="Times New Roman" w:cs="Times New Roman"/>
                <w:sz w:val="24"/>
                <w:szCs w:val="24"/>
                <w:lang w:val="en-US"/>
              </w:rPr>
            </w:pPr>
            <m:oMath>
              <m:acc>
                <m:accPr>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hAnsi="Cambria Math" w:cs="Times New Roman"/>
                  <w:sz w:val="24"/>
                  <w:szCs w:val="24"/>
                  <w:lang w:val="en-US"/>
                </w:rPr>
                <m:t>=</m:t>
              </m:r>
              <m:r>
                <w:rPr>
                  <w:rFonts w:ascii="Cambria Math" w:hAnsi="Cambria Math" w:cs="Times New Roman"/>
                  <w:sz w:val="24"/>
                  <w:szCs w:val="24"/>
                </w:rPr>
                <m:t>D</m:t>
              </m:r>
              <m:r>
                <w:rPr>
                  <w:rFonts w:ascii="Cambria Math" w:hAnsi="Cambria Math" w:cs="Times New Roman"/>
                  <w:sz w:val="24"/>
                  <w:szCs w:val="24"/>
                  <w:lang w:val="en-US"/>
                </w:rPr>
                <m:t>+</m:t>
              </m:r>
              <m:r>
                <w:rPr>
                  <w:rFonts w:ascii="Cambria Math" w:hAnsi="Cambria Math" w:cs="Times New Roman"/>
                  <w:sz w:val="24"/>
                  <w:szCs w:val="24"/>
                </w:rPr>
                <m:t>E</m:t>
              </m:r>
            </m:oMath>
            <w:r w:rsidR="00310457" w:rsidRPr="00486BED">
              <w:rPr>
                <w:rFonts w:ascii="Times New Roman" w:eastAsiaTheme="minorEastAsia" w:hAnsi="Times New Roman" w:cs="Times New Roman"/>
                <w:sz w:val="24"/>
                <w:szCs w:val="24"/>
                <w:lang w:val="en-US"/>
              </w:rPr>
              <w:t>,</w:t>
            </w:r>
          </w:p>
        </w:tc>
        <w:tc>
          <w:tcPr>
            <w:tcW w:w="816" w:type="dxa"/>
          </w:tcPr>
          <w:p w14:paraId="56A45400" w14:textId="77777777" w:rsidR="00310457" w:rsidRPr="00486BED" w:rsidRDefault="00310457" w:rsidP="00486BED">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(3)</w:t>
            </w:r>
          </w:p>
        </w:tc>
      </w:tr>
    </w:tbl>
    <w:p w14:paraId="5BD8959F" w14:textId="77777777" w:rsidR="00310457" w:rsidRPr="00486BED" w:rsidRDefault="00310457" w:rsidP="00486BED">
      <w:pPr>
        <w:pStyle w:val="Listenabsatz"/>
        <w:spacing w:after="240" w:line="360" w:lineRule="auto"/>
        <w:ind w:left="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where </w:t>
      </w:r>
      <m:oMath>
        <m:acc>
          <m:accPr>
            <m:ctrlPr>
              <w:rPr>
                <w:rFonts w:ascii="Cambria Math" w:hAnsi="Cambria Math" w:cs="Times New Roman"/>
                <w:i/>
                <w:sz w:val="24"/>
                <w:szCs w:val="24"/>
              </w:rPr>
            </m:ctrlPr>
          </m:accPr>
          <m:e>
            <m:r>
              <w:rPr>
                <w:rFonts w:ascii="Cambria Math" w:hAnsi="Cambria Math" w:cs="Times New Roman"/>
                <w:sz w:val="24"/>
                <w:szCs w:val="24"/>
              </w:rPr>
              <m:t>D</m:t>
            </m:r>
          </m:e>
        </m:acc>
      </m:oMath>
      <w:r w:rsidRPr="00486BED">
        <w:rPr>
          <w:rFonts w:ascii="Times New Roman" w:hAnsi="Times New Roman" w:cs="Times New Roman"/>
          <w:sz w:val="24"/>
          <w:szCs w:val="24"/>
          <w:lang w:val="en-US"/>
        </w:rPr>
        <w:t xml:space="preserve"> is an EPR-measured dose; </w:t>
      </w:r>
      <m:oMath>
        <m:r>
          <w:rPr>
            <w:rFonts w:ascii="Cambria Math" w:hAnsi="Cambria Math" w:cs="Times New Roman"/>
            <w:sz w:val="24"/>
            <w:szCs w:val="24"/>
          </w:rPr>
          <m:t>D</m:t>
        </m:r>
      </m:oMath>
      <w:r w:rsidRPr="00486BED">
        <w:rPr>
          <w:rFonts w:ascii="Times New Roman" w:hAnsi="Times New Roman" w:cs="Times New Roman"/>
          <w:sz w:val="24"/>
          <w:szCs w:val="24"/>
          <w:lang w:val="en-US"/>
        </w:rPr>
        <w:t xml:space="preserve"> is a “true” dose; </w:t>
      </w:r>
      <w:r w:rsidRPr="00486BED">
        <w:rPr>
          <w:rFonts w:ascii="Times New Roman" w:hAnsi="Times New Roman" w:cs="Times New Roman"/>
          <w:i/>
          <w:sz w:val="24"/>
          <w:szCs w:val="24"/>
        </w:rPr>
        <w:t>Е</w:t>
      </w:r>
      <w:r w:rsidRPr="00486BED">
        <w:rPr>
          <w:rFonts w:ascii="Times New Roman" w:hAnsi="Times New Roman" w:cs="Times New Roman"/>
          <w:sz w:val="24"/>
          <w:szCs w:val="24"/>
          <w:lang w:val="en-US"/>
        </w:rPr>
        <w:t xml:space="preserve"> is a measurement error which includes both a dose-dependent stochastic error </w:t>
      </w:r>
      <w:r w:rsidRPr="00486BED">
        <w:rPr>
          <w:rFonts w:ascii="Times New Roman" w:hAnsi="Times New Roman" w:cs="Times New Roman"/>
          <w:i/>
          <w:sz w:val="24"/>
          <w:szCs w:val="24"/>
          <w:lang w:val="en-US"/>
        </w:rPr>
        <w:t>g(D)</w:t>
      </w:r>
      <w:r w:rsidRPr="00486BED">
        <w:rPr>
          <w:rFonts w:ascii="Times New Roman" w:hAnsi="Times New Roman" w:cs="Times New Roman"/>
          <w:sz w:val="24"/>
          <w:szCs w:val="24"/>
          <w:lang w:val="en-US"/>
        </w:rPr>
        <w:t xml:space="preserve"> and a systematic error </w:t>
      </w:r>
      <w:r w:rsidRPr="008A0C14">
        <w:rPr>
          <w:rFonts w:ascii="Times New Roman" w:hAnsi="Times New Roman" w:cs="Times New Roman"/>
          <w:i/>
          <w:sz w:val="24"/>
          <w:szCs w:val="24"/>
          <w:lang w:val="en-US"/>
        </w:rPr>
        <w:t>C</w:t>
      </w:r>
      <w:r w:rsidRPr="008A0C14">
        <w:rPr>
          <w:rFonts w:ascii="Times New Roman" w:hAnsi="Times New Roman" w:cs="Times New Roman"/>
          <w:sz w:val="24"/>
          <w:szCs w:val="24"/>
          <w:lang w:val="en-US"/>
        </w:rPr>
        <w:t xml:space="preserve">. </w:t>
      </w:r>
      <w:r w:rsidR="001B468C" w:rsidRPr="008A0C14">
        <w:rPr>
          <w:rFonts w:ascii="Times New Roman" w:hAnsi="Times New Roman" w:cs="Times New Roman"/>
          <w:sz w:val="24"/>
          <w:szCs w:val="24"/>
          <w:lang w:val="en-US"/>
        </w:rPr>
        <w:t>Applying this model to the background dose description, t</w:t>
      </w:r>
      <w:r w:rsidR="00C845FE" w:rsidRPr="008A0C14">
        <w:rPr>
          <w:rFonts w:ascii="Times New Roman" w:hAnsi="Times New Roman" w:cs="Times New Roman"/>
          <w:sz w:val="24"/>
          <w:szCs w:val="24"/>
          <w:lang w:val="en-US"/>
        </w:rPr>
        <w:t>he i</w:t>
      </w:r>
      <w:r w:rsidRPr="008A0C14">
        <w:rPr>
          <w:rFonts w:ascii="Times New Roman" w:hAnsi="Times New Roman" w:cs="Times New Roman"/>
          <w:sz w:val="24"/>
          <w:szCs w:val="24"/>
          <w:lang w:val="en-US"/>
        </w:rPr>
        <w:t xml:space="preserve">ndividual “true” background dose </w:t>
      </w:r>
      <w:r w:rsidRPr="008A0C14">
        <w:rPr>
          <w:rFonts w:ascii="Times New Roman" w:hAnsi="Times New Roman" w:cs="Times New Roman"/>
          <w:i/>
          <w:sz w:val="24"/>
          <w:szCs w:val="24"/>
          <w:lang w:val="en-US"/>
        </w:rPr>
        <w:t>D</w:t>
      </w:r>
      <w:r w:rsidRPr="008A0C14">
        <w:rPr>
          <w:rFonts w:ascii="Times New Roman" w:hAnsi="Times New Roman" w:cs="Times New Roman"/>
          <w:sz w:val="24"/>
          <w:szCs w:val="24"/>
          <w:lang w:val="en-US"/>
        </w:rPr>
        <w:t xml:space="preserve"> is unknown</w:t>
      </w:r>
      <w:r w:rsidR="00C845FE" w:rsidRPr="008A0C14">
        <w:rPr>
          <w:rFonts w:ascii="Times New Roman" w:hAnsi="Times New Roman" w:cs="Times New Roman"/>
          <w:sz w:val="24"/>
          <w:szCs w:val="24"/>
          <w:lang w:val="en-US"/>
        </w:rPr>
        <w:t>,</w:t>
      </w:r>
      <w:r w:rsidRPr="008A0C14">
        <w:rPr>
          <w:rFonts w:ascii="Times New Roman" w:hAnsi="Times New Roman" w:cs="Times New Roman"/>
          <w:sz w:val="24"/>
          <w:szCs w:val="24"/>
          <w:lang w:val="en-US"/>
        </w:rPr>
        <w:t xml:space="preserve"> and </w:t>
      </w:r>
      <w:r w:rsidR="00C845FE" w:rsidRPr="008A0C14">
        <w:rPr>
          <w:rFonts w:ascii="Times New Roman" w:hAnsi="Times New Roman" w:cs="Times New Roman"/>
          <w:sz w:val="24"/>
          <w:szCs w:val="24"/>
          <w:lang w:val="en-US"/>
        </w:rPr>
        <w:t xml:space="preserve">it </w:t>
      </w:r>
      <w:r w:rsidRPr="008A0C14">
        <w:rPr>
          <w:rFonts w:ascii="Times New Roman" w:hAnsi="Times New Roman" w:cs="Times New Roman"/>
          <w:sz w:val="24"/>
          <w:szCs w:val="24"/>
          <w:lang w:val="en-US"/>
        </w:rPr>
        <w:t xml:space="preserve">can be described as </w:t>
      </w:r>
      <w:r w:rsidR="006D7BFD" w:rsidRPr="008A0C14">
        <w:rPr>
          <w:rFonts w:ascii="Times New Roman" w:hAnsi="Times New Roman" w:cs="Times New Roman"/>
          <w:sz w:val="24"/>
          <w:szCs w:val="24"/>
          <w:lang w:val="en-US"/>
        </w:rPr>
        <w:t>being part of a dose distribution</w:t>
      </w:r>
      <w:r w:rsidR="001B468C" w:rsidRPr="008A0C14">
        <w:rPr>
          <w:rFonts w:ascii="Times New Roman" w:hAnsi="Times New Roman" w:cs="Times New Roman"/>
          <w:sz w:val="24"/>
          <w:szCs w:val="24"/>
          <w:lang w:val="en-US"/>
        </w:rPr>
        <w:t xml:space="preserve"> </w:t>
      </w:r>
      <m:oMath>
        <m:acc>
          <m:accPr>
            <m:ctrlPr>
              <w:rPr>
                <w:rFonts w:ascii="Cambria Math" w:hAnsi="Cambria Math" w:cs="Times New Roman"/>
                <w:b/>
                <w:i/>
                <w:sz w:val="24"/>
                <w:szCs w:val="24"/>
              </w:rPr>
            </m:ctrlPr>
          </m:accPr>
          <m:e>
            <m:r>
              <m:rPr>
                <m:sty m:val="bi"/>
              </m:rPr>
              <w:rPr>
                <w:rFonts w:ascii="Cambria Math" w:hAnsi="Cambria Math" w:cs="Times New Roman"/>
                <w:sz w:val="24"/>
                <w:szCs w:val="24"/>
              </w:rPr>
              <m:t>D</m:t>
            </m:r>
          </m:e>
        </m:acc>
      </m:oMath>
      <w:r w:rsidRPr="008A0C14">
        <w:rPr>
          <w:rFonts w:ascii="Times New Roman" w:hAnsi="Times New Roman" w:cs="Times New Roman"/>
          <w:sz w:val="24"/>
          <w:szCs w:val="24"/>
          <w:lang w:val="en-US"/>
        </w:rPr>
        <w:t>. The shape of a “true” background</w:t>
      </w:r>
      <w:r w:rsidRPr="00486BED">
        <w:rPr>
          <w:rFonts w:ascii="Times New Roman" w:hAnsi="Times New Roman" w:cs="Times New Roman"/>
          <w:sz w:val="24"/>
          <w:szCs w:val="24"/>
          <w:lang w:val="en-US"/>
        </w:rPr>
        <w:t xml:space="preserve"> dose distribution is assumed to be lognormal with </w:t>
      </w:r>
      <w:r w:rsidR="00C845F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scale parameter </w:t>
      </w:r>
      <w:r w:rsidRPr="00486BED">
        <w:rPr>
          <w:rFonts w:ascii="Times New Roman" w:hAnsi="Times New Roman" w:cs="Times New Roman"/>
          <w:i/>
          <w:sz w:val="24"/>
          <w:szCs w:val="24"/>
          <w:lang w:val="en-US"/>
        </w:rPr>
        <w:t>m</w:t>
      </w:r>
      <w:r w:rsidRPr="00486BED">
        <w:rPr>
          <w:rFonts w:ascii="Times New Roman" w:hAnsi="Times New Roman" w:cs="Times New Roman"/>
          <w:sz w:val="24"/>
          <w:szCs w:val="24"/>
          <w:lang w:val="en-US"/>
        </w:rPr>
        <w:t xml:space="preserve"> and </w:t>
      </w:r>
      <w:r w:rsidR="00C845F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shape parameter </w:t>
      </w:r>
      <w:r w:rsidRPr="00486BED">
        <w:rPr>
          <w:rFonts w:ascii="Times New Roman" w:hAnsi="Times New Roman" w:cs="Times New Roman"/>
          <w:i/>
          <w:sz w:val="24"/>
          <w:szCs w:val="24"/>
          <w:lang w:val="en-AU"/>
        </w:rPr>
        <w:t>s</w:t>
      </w:r>
      <w:r w:rsidRPr="00486BED">
        <w:rPr>
          <w:rFonts w:ascii="Times New Roman" w:hAnsi="Times New Roman" w:cs="Times New Roman"/>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back</m:t>
            </m:r>
          </m:sub>
        </m:sSub>
        <m:r>
          <w:rPr>
            <w:rFonts w:ascii="Cambria Math" w:hAnsi="Cambria Math" w:cs="Times New Roman"/>
            <w:sz w:val="24"/>
            <w:szCs w:val="24"/>
            <w:lang w:val="en-US"/>
          </w:rPr>
          <m:t>=</m:t>
        </m:r>
        <m:r>
          <w:rPr>
            <w:rFonts w:ascii="Cambria Math" w:hAnsi="Cambria Math" w:cs="Times New Roman"/>
            <w:sz w:val="24"/>
            <w:szCs w:val="24"/>
          </w:rPr>
          <m:t>LogN</m:t>
        </m:r>
        <m:r>
          <w:rPr>
            <w:rFonts w:ascii="Cambria Math" w:hAnsi="Cambria Math" w:cs="Times New Roman"/>
            <w:sz w:val="24"/>
            <w:szCs w:val="24"/>
            <w:lang w:val="en-US"/>
          </w:rPr>
          <m:t>[</m:t>
        </m:r>
        <m:r>
          <w:rPr>
            <w:rFonts w:ascii="Cambria Math" w:hAnsi="Cambria Math" w:cs="Times New Roman"/>
            <w:sz w:val="24"/>
            <w:szCs w:val="24"/>
          </w:rPr>
          <m:t>m</m:t>
        </m:r>
        <m:r>
          <w:rPr>
            <w:rFonts w:ascii="Cambria Math" w:hAnsi="Cambria Math" w:cs="Times New Roman"/>
            <w:sz w:val="24"/>
            <w:szCs w:val="24"/>
            <w:lang w:val="en-US"/>
          </w:rPr>
          <m:t>,</m:t>
        </m:r>
        <m:r>
          <w:rPr>
            <w:rFonts w:ascii="Cambria Math" w:hAnsi="Cambria Math" w:cs="Times New Roman"/>
            <w:sz w:val="24"/>
            <w:szCs w:val="24"/>
          </w:rPr>
          <m:t>s</m:t>
        </m:r>
        <m:r>
          <w:rPr>
            <w:rFonts w:ascii="Cambria Math" w:hAnsi="Cambria Math" w:cs="Times New Roman"/>
            <w:sz w:val="24"/>
            <w:szCs w:val="24"/>
            <w:lang w:val="en-US"/>
          </w:rPr>
          <m:t>]</m:t>
        </m:r>
      </m:oMath>
      <w:r w:rsidRPr="00486BED">
        <w:rPr>
          <w:rFonts w:ascii="Times New Roman" w:hAnsi="Times New Roman" w:cs="Times New Roman"/>
          <w:sz w:val="24"/>
          <w:szCs w:val="24"/>
          <w:lang w:val="en-US"/>
        </w:rPr>
        <w:t xml:space="preserve">). The method-specific stochastic error of </w:t>
      </w:r>
      <w:r w:rsidR="00C845F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measurements is normally distributed with unknown scale parameter </w:t>
      </w:r>
      <w:r w:rsidRPr="00486BED">
        <w:rPr>
          <w:rFonts w:ascii="Times New Roman" w:hAnsi="Times New Roman" w:cs="Times New Roman"/>
          <w:i/>
          <w:sz w:val="24"/>
          <w:szCs w:val="24"/>
          <w:lang w:val="en-US"/>
        </w:rPr>
        <w:t>C</w:t>
      </w:r>
      <w:r w:rsidRPr="00486BED">
        <w:rPr>
          <w:rFonts w:ascii="Times New Roman" w:hAnsi="Times New Roman" w:cs="Times New Roman"/>
          <w:sz w:val="24"/>
          <w:szCs w:val="24"/>
          <w:lang w:val="en-US"/>
        </w:rPr>
        <w:t xml:space="preserve"> (systematic error) and known shape parameter </w:t>
      </w:r>
      <w:r w:rsidRPr="00486BED">
        <w:rPr>
          <w:rFonts w:ascii="Times New Roman" w:hAnsi="Times New Roman" w:cs="Times New Roman"/>
          <w:i/>
          <w:sz w:val="24"/>
          <w:szCs w:val="24"/>
          <w:lang w:val="en-US"/>
        </w:rPr>
        <w:t>g(D)</w:t>
      </w:r>
      <w:r w:rsidRPr="00486BED">
        <w:rPr>
          <w:rFonts w:ascii="Times New Roman" w:hAnsi="Times New Roman" w:cs="Times New Roman"/>
          <w:sz w:val="24"/>
          <w:szCs w:val="24"/>
          <w:lang w:val="en-US"/>
        </w:rPr>
        <w:t xml:space="preserve">, which corresponds to </w:t>
      </w:r>
      <w:r w:rsidR="00C845F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dose-dependent uncertainty shown in Table A1. The final expression of the model of EPR measurement is shown by Eq. (4)</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310457" w:rsidRPr="00486BED" w14:paraId="19D6EA1C" w14:textId="77777777" w:rsidTr="00587F13">
        <w:tc>
          <w:tcPr>
            <w:tcW w:w="8755" w:type="dxa"/>
          </w:tcPr>
          <w:p w14:paraId="1EF0DC17" w14:textId="77777777" w:rsidR="00310457" w:rsidRPr="00486BED" w:rsidRDefault="00F04885" w:rsidP="00486BED">
            <w:pPr>
              <w:spacing w:after="240" w:line="360" w:lineRule="auto"/>
              <w:jc w:val="both"/>
              <w:rPr>
                <w:sz w:val="24"/>
                <w:szCs w:val="24"/>
                <w:lang w:val="en-US"/>
              </w:rPr>
            </w:pPr>
            <m:oMathPara>
              <m:oMath>
                <m:acc>
                  <m:accPr>
                    <m:ctrlPr>
                      <w:rPr>
                        <w:rFonts w:ascii="Cambria Math" w:hAnsi="Cambria Math"/>
                        <w:b/>
                        <w:i/>
                        <w:sz w:val="24"/>
                        <w:szCs w:val="24"/>
                      </w:rPr>
                    </m:ctrlPr>
                  </m:accPr>
                  <m:e>
                    <m:r>
                      <m:rPr>
                        <m:sty m:val="bi"/>
                      </m:rPr>
                      <w:rPr>
                        <w:rFonts w:ascii="Cambria Math" w:hAnsi="Cambria Math"/>
                        <w:sz w:val="24"/>
                        <w:szCs w:val="24"/>
                      </w:rPr>
                      <m:t>D</m:t>
                    </m:r>
                  </m:e>
                </m:acc>
                <m:r>
                  <w:rPr>
                    <w:rFonts w:ascii="Cambria Math" w:hAnsi="Cambria Math"/>
                    <w:sz w:val="24"/>
                    <w:szCs w:val="24"/>
                    <w:lang w:val="en-US"/>
                  </w:rPr>
                  <m:t>=</m:t>
                </m:r>
                <m:r>
                  <w:rPr>
                    <w:rFonts w:ascii="Cambria Math" w:hAnsi="Cambria Math"/>
                    <w:sz w:val="24"/>
                    <w:szCs w:val="24"/>
                  </w:rPr>
                  <m:t>LogN</m:t>
                </m:r>
                <m:d>
                  <m:dPr>
                    <m:begChr m:val="["/>
                    <m:endChr m:val="]"/>
                    <m:ctrlPr>
                      <w:rPr>
                        <w:rFonts w:ascii="Cambria Math" w:hAnsi="Cambria Math"/>
                        <w:i/>
                        <w:sz w:val="24"/>
                        <w:szCs w:val="24"/>
                      </w:rPr>
                    </m:ctrlPr>
                  </m:dPr>
                  <m:e>
                    <m:r>
                      <w:rPr>
                        <w:rFonts w:ascii="Cambria Math" w:hAnsi="Cambria Math"/>
                        <w:sz w:val="24"/>
                        <w:szCs w:val="24"/>
                      </w:rPr>
                      <m:t>m</m:t>
                    </m:r>
                    <m:r>
                      <w:rPr>
                        <w:rFonts w:ascii="Cambria Math" w:hAnsi="Cambria Math"/>
                        <w:sz w:val="24"/>
                        <w:szCs w:val="24"/>
                        <w:lang w:val="en-US"/>
                      </w:rPr>
                      <m:t>,</m:t>
                    </m:r>
                    <m:r>
                      <w:rPr>
                        <w:rFonts w:ascii="Cambria Math" w:hAnsi="Cambria Math"/>
                        <w:sz w:val="24"/>
                        <w:szCs w:val="24"/>
                      </w:rPr>
                      <m:t>s</m:t>
                    </m:r>
                  </m:e>
                </m:d>
                <m:r>
                  <w:rPr>
                    <w:rFonts w:ascii="Cambria Math" w:hAnsi="Cambria Math"/>
                    <w:sz w:val="24"/>
                    <w:szCs w:val="24"/>
                    <w:lang w:val="en-US"/>
                  </w:rPr>
                  <m:t>+</m:t>
                </m:r>
                <m:r>
                  <w:rPr>
                    <w:rFonts w:ascii="Cambria Math" w:hAnsi="Cambria Math"/>
                    <w:sz w:val="24"/>
                    <w:szCs w:val="24"/>
                  </w:rPr>
                  <m:t>N</m:t>
                </m:r>
                <m:r>
                  <w:rPr>
                    <w:rFonts w:ascii="Cambria Math" w:hAnsi="Cambria Math"/>
                    <w:sz w:val="24"/>
                    <w:szCs w:val="24"/>
                    <w:lang w:val="en-US"/>
                  </w:rPr>
                  <m:t>[</m:t>
                </m:r>
                <m:r>
                  <w:rPr>
                    <w:rFonts w:ascii="Cambria Math" w:hAnsi="Cambria Math"/>
                    <w:sz w:val="24"/>
                    <w:szCs w:val="24"/>
                  </w:rPr>
                  <m:t>C</m:t>
                </m:r>
                <m:r>
                  <w:rPr>
                    <w:rFonts w:ascii="Cambria Math" w:hAnsi="Cambria Math"/>
                    <w:sz w:val="24"/>
                    <w:szCs w:val="24"/>
                    <w:lang w:val="en-US"/>
                  </w:rPr>
                  <m:t>,</m:t>
                </m:r>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D</m:t>
                    </m:r>
                  </m:e>
                </m:d>
                <m:r>
                  <w:rPr>
                    <w:rFonts w:ascii="Cambria Math" w:hAnsi="Cambria Math"/>
                    <w:sz w:val="24"/>
                    <w:szCs w:val="24"/>
                    <w:lang w:val="en-US"/>
                  </w:rPr>
                  <m:t>]</m:t>
                </m:r>
              </m:oMath>
            </m:oMathPara>
          </w:p>
        </w:tc>
        <w:tc>
          <w:tcPr>
            <w:tcW w:w="816" w:type="dxa"/>
          </w:tcPr>
          <w:p w14:paraId="19382457" w14:textId="77777777" w:rsidR="00310457" w:rsidRPr="00486BED" w:rsidRDefault="00310457" w:rsidP="00486BED">
            <w:pPr>
              <w:spacing w:after="240" w:line="360" w:lineRule="auto"/>
              <w:jc w:val="both"/>
              <w:rPr>
                <w:sz w:val="24"/>
                <w:szCs w:val="24"/>
                <w:lang w:val="en-US"/>
              </w:rPr>
            </w:pPr>
            <w:r w:rsidRPr="00486BED">
              <w:rPr>
                <w:sz w:val="24"/>
                <w:szCs w:val="24"/>
                <w:lang w:val="en-US"/>
              </w:rPr>
              <w:t>(4)</w:t>
            </w:r>
          </w:p>
        </w:tc>
      </w:tr>
    </w:tbl>
    <w:p w14:paraId="64DFF91B" w14:textId="77777777" w:rsidR="00310457" w:rsidRPr="00486BED" w:rsidRDefault="00310457" w:rsidP="00486BED">
      <w:pPr>
        <w:pStyle w:val="Listenabsatz"/>
        <w:spacing w:after="240" w:line="360" w:lineRule="auto"/>
        <w:ind w:left="0" w:firstLine="72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This equation describes the observed background dose distribution (</w:t>
      </w:r>
      <m:oMath>
        <m:acc>
          <m:accPr>
            <m:ctrlPr>
              <w:rPr>
                <w:rFonts w:ascii="Cambria Math" w:hAnsi="Cambria Math" w:cs="Times New Roman"/>
                <w:i/>
                <w:sz w:val="24"/>
                <w:szCs w:val="24"/>
              </w:rPr>
            </m:ctrlPr>
          </m:accPr>
          <m:e>
            <m:r>
              <w:rPr>
                <w:rFonts w:ascii="Cambria Math" w:hAnsi="Cambria Math" w:cs="Times New Roman"/>
                <w:sz w:val="24"/>
                <w:szCs w:val="24"/>
              </w:rPr>
              <m:t>D</m:t>
            </m:r>
          </m:e>
        </m:acc>
      </m:oMath>
      <w:r w:rsidRPr="00486BED">
        <w:rPr>
          <w:rFonts w:ascii="Times New Roman" w:eastAsiaTheme="minorEastAsia" w:hAnsi="Times New Roman" w:cs="Times New Roman"/>
          <w:sz w:val="24"/>
          <w:szCs w:val="24"/>
          <w:lang w:val="en-US"/>
        </w:rPr>
        <w:t>)</w:t>
      </w:r>
      <w:r w:rsidRPr="00486BED">
        <w:rPr>
          <w:rFonts w:ascii="Times New Roman" w:hAnsi="Times New Roman" w:cs="Times New Roman"/>
          <w:sz w:val="24"/>
          <w:szCs w:val="24"/>
          <w:lang w:val="en-US"/>
        </w:rPr>
        <w:t xml:space="preserve"> as “true” doses affected by the method-specific systematic and random errors. As can be seen from Eq. (4), there are </w:t>
      </w:r>
      <w:r w:rsidR="00D074E4">
        <w:rPr>
          <w:rFonts w:ascii="Times New Roman" w:hAnsi="Times New Roman" w:cs="Times New Roman"/>
          <w:sz w:val="24"/>
          <w:szCs w:val="24"/>
          <w:lang w:val="en-US"/>
        </w:rPr>
        <w:t>three</w:t>
      </w:r>
      <w:r w:rsidRPr="00486BED">
        <w:rPr>
          <w:rFonts w:ascii="Times New Roman" w:hAnsi="Times New Roman" w:cs="Times New Roman"/>
          <w:sz w:val="24"/>
          <w:szCs w:val="24"/>
          <w:lang w:val="en-US"/>
        </w:rPr>
        <w:t xml:space="preserve"> unknown variables, viz., </w:t>
      </w:r>
      <w:r w:rsidRPr="00486BED">
        <w:rPr>
          <w:rFonts w:ascii="Times New Roman" w:hAnsi="Times New Roman" w:cs="Times New Roman"/>
          <w:i/>
          <w:sz w:val="24"/>
          <w:szCs w:val="24"/>
          <w:lang w:val="en-US"/>
        </w:rPr>
        <w:t>m</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s</w:t>
      </w:r>
      <w:r w:rsidRPr="00486BED">
        <w:rPr>
          <w:rFonts w:ascii="Times New Roman" w:hAnsi="Times New Roman" w:cs="Times New Roman"/>
          <w:sz w:val="24"/>
          <w:szCs w:val="24"/>
          <w:lang w:val="en-US"/>
        </w:rPr>
        <w:t xml:space="preserve"> and </w:t>
      </w:r>
      <w:r w:rsidRPr="00486BED">
        <w:rPr>
          <w:rFonts w:ascii="Times New Roman" w:hAnsi="Times New Roman" w:cs="Times New Roman"/>
          <w:i/>
          <w:sz w:val="24"/>
          <w:szCs w:val="24"/>
          <w:lang w:val="en-US"/>
        </w:rPr>
        <w:t>C</w:t>
      </w:r>
      <w:r w:rsidRPr="00486BED">
        <w:rPr>
          <w:rFonts w:ascii="Times New Roman" w:hAnsi="Times New Roman" w:cs="Times New Roman"/>
          <w:sz w:val="24"/>
          <w:szCs w:val="24"/>
          <w:lang w:val="en-US"/>
        </w:rPr>
        <w:t xml:space="preserve">. The statistical method of moments was used to solve </w:t>
      </w:r>
      <w:r w:rsidR="00D074E4">
        <w:rPr>
          <w:rFonts w:ascii="Times New Roman" w:hAnsi="Times New Roman" w:cs="Times New Roman"/>
          <w:sz w:val="24"/>
          <w:szCs w:val="24"/>
          <w:lang w:val="en-US"/>
        </w:rPr>
        <w:t>Eq. 4</w:t>
      </w:r>
      <w:r w:rsidRPr="00486BED">
        <w:rPr>
          <w:rFonts w:ascii="Times New Roman" w:hAnsi="Times New Roman" w:cs="Times New Roman"/>
          <w:sz w:val="24"/>
          <w:szCs w:val="24"/>
          <w:lang w:val="en-US"/>
        </w:rPr>
        <w:t>. Th</w:t>
      </w:r>
      <w:r w:rsidR="00D074E4">
        <w:rPr>
          <w:rFonts w:ascii="Times New Roman" w:hAnsi="Times New Roman" w:cs="Times New Roman"/>
          <w:sz w:val="24"/>
          <w:szCs w:val="24"/>
          <w:lang w:val="en-US"/>
        </w:rPr>
        <w:t>is</w:t>
      </w:r>
      <w:r w:rsidRPr="00486BED">
        <w:rPr>
          <w:rFonts w:ascii="Times New Roman" w:hAnsi="Times New Roman" w:cs="Times New Roman"/>
          <w:sz w:val="24"/>
          <w:szCs w:val="24"/>
          <w:lang w:val="en-US"/>
        </w:rPr>
        <w:t xml:space="preserve"> method involves equating sample moments with </w:t>
      </w:r>
      <w:r w:rsidR="00536A73"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corresponding theoretical moments. This way, Eq. (4) was transformed into a system of three expressions (Eq</w:t>
      </w:r>
      <w:r w:rsidR="003058E7">
        <w:rPr>
          <w:rFonts w:ascii="Times New Roman" w:hAnsi="Times New Roman" w:cs="Times New Roman"/>
          <w:sz w:val="24"/>
          <w:szCs w:val="24"/>
          <w:lang w:val="en-US"/>
        </w:rPr>
        <w:t>s</w:t>
      </w:r>
      <w:r w:rsidRPr="00486BED">
        <w:rPr>
          <w:rFonts w:ascii="Times New Roman" w:hAnsi="Times New Roman" w:cs="Times New Roman"/>
          <w:sz w:val="24"/>
          <w:szCs w:val="24"/>
          <w:lang w:val="en-US"/>
        </w:rPr>
        <w:t>. 5) equating the 1</w:t>
      </w:r>
      <w:r w:rsidRPr="009604FA">
        <w:rPr>
          <w:rFonts w:ascii="Times New Roman" w:hAnsi="Times New Roman" w:cs="Times New Roman"/>
          <w:sz w:val="24"/>
          <w:szCs w:val="24"/>
          <w:vertAlign w:val="superscript"/>
          <w:lang w:val="en-US"/>
        </w:rPr>
        <w:t>st</w:t>
      </w:r>
      <w:r w:rsidRPr="00486BED">
        <w:rPr>
          <w:rFonts w:ascii="Times New Roman" w:hAnsi="Times New Roman" w:cs="Times New Roman"/>
          <w:sz w:val="24"/>
          <w:szCs w:val="24"/>
          <w:lang w:val="en-US"/>
        </w:rPr>
        <w:t>, 2</w:t>
      </w:r>
      <w:r w:rsidRPr="009604FA">
        <w:rPr>
          <w:rFonts w:ascii="Times New Roman" w:hAnsi="Times New Roman" w:cs="Times New Roman"/>
          <w:sz w:val="24"/>
          <w:szCs w:val="24"/>
          <w:vertAlign w:val="superscript"/>
          <w:lang w:val="en-US"/>
        </w:rPr>
        <w:t>nd</w:t>
      </w:r>
      <w:r w:rsidRPr="00486BED">
        <w:rPr>
          <w:rFonts w:ascii="Times New Roman" w:hAnsi="Times New Roman" w:cs="Times New Roman"/>
          <w:sz w:val="24"/>
          <w:szCs w:val="24"/>
          <w:lang w:val="en-US"/>
        </w:rPr>
        <w:t xml:space="preserve"> and 3</w:t>
      </w:r>
      <w:r w:rsidRPr="009604FA">
        <w:rPr>
          <w:rFonts w:ascii="Times New Roman" w:hAnsi="Times New Roman" w:cs="Times New Roman"/>
          <w:sz w:val="24"/>
          <w:szCs w:val="24"/>
          <w:vertAlign w:val="superscript"/>
          <w:lang w:val="en-US"/>
        </w:rPr>
        <w:t>rd</w:t>
      </w:r>
      <w:r w:rsidRPr="00486BED">
        <w:rPr>
          <w:rFonts w:ascii="Times New Roman" w:hAnsi="Times New Roman" w:cs="Times New Roman"/>
          <w:sz w:val="24"/>
          <w:szCs w:val="24"/>
          <w:lang w:val="en-US"/>
        </w:rPr>
        <w:t xml:space="preserve"> moments (the first is the mean, the second is the variance</w:t>
      </w:r>
      <w:r w:rsidR="00C845FE" w:rsidRPr="00486BED">
        <w:rPr>
          <w:rFonts w:ascii="Times New Roman" w:hAnsi="Times New Roman" w:cs="Times New Roman"/>
          <w:sz w:val="24"/>
          <w:szCs w:val="24"/>
          <w:lang w:val="en-US"/>
        </w:rPr>
        <w:t xml:space="preserve"> and</w:t>
      </w:r>
      <w:r w:rsidRPr="00486BED">
        <w:rPr>
          <w:rFonts w:ascii="Times New Roman" w:hAnsi="Times New Roman" w:cs="Times New Roman"/>
          <w:sz w:val="24"/>
          <w:szCs w:val="24"/>
          <w:lang w:val="en-US"/>
        </w:rPr>
        <w:t xml:space="preserve"> the third is the skewness) of an empirical background dose distribution to the corresponding theoretical moments. The details of the </w:t>
      </w:r>
      <w:r w:rsidR="003058E7">
        <w:rPr>
          <w:rFonts w:ascii="Times New Roman" w:hAnsi="Times New Roman" w:cs="Times New Roman"/>
          <w:sz w:val="24"/>
          <w:szCs w:val="24"/>
          <w:lang w:val="en-US"/>
        </w:rPr>
        <w:t xml:space="preserve">required </w:t>
      </w:r>
      <w:r w:rsidRPr="00486BED">
        <w:rPr>
          <w:rFonts w:ascii="Times New Roman" w:hAnsi="Times New Roman" w:cs="Times New Roman"/>
          <w:sz w:val="24"/>
          <w:szCs w:val="24"/>
          <w:lang w:val="en-US"/>
        </w:rPr>
        <w:t xml:space="preserve">mathematical transformations were published in Zalyapin et al. (2014). </w:t>
      </w:r>
    </w:p>
    <w:p w14:paraId="7F645ED7" w14:textId="77777777" w:rsidR="00310457" w:rsidRPr="00486BED" w:rsidRDefault="00F04885" w:rsidP="00486BED">
      <w:pPr>
        <w:pStyle w:val="Listenabsatz"/>
        <w:spacing w:after="240" w:line="360" w:lineRule="auto"/>
        <w:ind w:left="0"/>
        <w:jc w:val="both"/>
        <w:rPr>
          <w:rFonts w:ascii="Times New Roman" w:eastAsiaTheme="minorEastAsia" w:hAnsi="Times New Roman" w:cs="Times New Roman"/>
          <w:sz w:val="24"/>
          <w:szCs w:val="24"/>
          <w:lang w:val="en-US"/>
        </w:rPr>
      </w:pPr>
      <m:oMath>
        <m:d>
          <m:dPr>
            <m:begChr m:val="{"/>
            <m:endChr m:val=""/>
            <m:ctrlPr>
              <w:rPr>
                <w:rFonts w:ascii="Cambria Math" w:eastAsia="Calibri" w:hAnsi="Cambria Math" w:cs="Times New Roman"/>
                <w:i/>
                <w:sz w:val="24"/>
                <w:szCs w:val="24"/>
              </w:rPr>
            </m:ctrlPr>
          </m:dPr>
          <m:e>
            <m:m>
              <m:mPr>
                <m:mcs>
                  <m:mc>
                    <m:mcPr>
                      <m:count m:val="1"/>
                      <m:mcJc m:val="center"/>
                    </m:mcPr>
                  </m:mc>
                </m:mcs>
                <m:ctrlPr>
                  <w:rPr>
                    <w:rFonts w:ascii="Cambria Math" w:eastAsia="Calibri" w:hAnsi="Cambria Math" w:cs="Times New Roman"/>
                    <w:i/>
                    <w:sz w:val="24"/>
                    <w:szCs w:val="24"/>
                  </w:rPr>
                </m:ctrlPr>
              </m:mPr>
              <m:m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e</m:t>
                      </m:r>
                    </m:e>
                    <m:sup>
                      <m:r>
                        <w:rPr>
                          <w:rFonts w:ascii="Cambria Math" w:hAnsi="Cambria Math" w:cs="Times New Roman"/>
                          <w:sz w:val="24"/>
                          <w:szCs w:val="24"/>
                          <w:lang w:val="en-AU"/>
                        </w:rPr>
                        <m:t>m+</m:t>
                      </m:r>
                      <m:f>
                        <m:fPr>
                          <m:ctrlPr>
                            <w:rPr>
                              <w:rFonts w:ascii="Cambria Math" w:hAnsi="Cambria Math" w:cs="Times New Roman"/>
                              <w:i/>
                              <w:sz w:val="24"/>
                              <w:szCs w:val="24"/>
                              <w:lang w:val="en-AU"/>
                            </w:rPr>
                          </m:ctrlPr>
                        </m:fPr>
                        <m:num>
                          <m:sSup>
                            <m:sSupPr>
                              <m:ctrlPr>
                                <w:rPr>
                                  <w:rFonts w:ascii="Cambria Math" w:hAnsi="Cambria Math" w:cs="Times New Roman"/>
                                  <w:i/>
                                  <w:sz w:val="24"/>
                                  <w:szCs w:val="24"/>
                                  <w:lang w:val="en-AU"/>
                                </w:rPr>
                              </m:ctrlPr>
                            </m:sSupPr>
                            <m:e>
                              <m:r>
                                <w:rPr>
                                  <w:rFonts w:ascii="Cambria Math" w:hAnsi="Cambria Math" w:cs="Times New Roman"/>
                                  <w:sz w:val="24"/>
                                  <w:szCs w:val="24"/>
                                  <w:lang w:val="en-AU"/>
                                </w:rPr>
                                <m:t>s</m:t>
                              </m:r>
                            </m:e>
                            <m:sup>
                              <m:r>
                                <w:rPr>
                                  <w:rFonts w:ascii="Cambria Math" w:hAnsi="Cambria Math" w:cs="Times New Roman"/>
                                  <w:sz w:val="24"/>
                                  <w:szCs w:val="24"/>
                                  <w:lang w:val="en-AU"/>
                                </w:rPr>
                                <m:t>2</m:t>
                              </m:r>
                            </m:sup>
                          </m:sSup>
                        </m:num>
                        <m:den>
                          <m:r>
                            <w:rPr>
                              <w:rFonts w:ascii="Cambria Math" w:hAnsi="Cambria Math" w:cs="Times New Roman"/>
                              <w:sz w:val="24"/>
                              <w:szCs w:val="24"/>
                              <w:lang w:val="en-AU"/>
                            </w:rPr>
                            <m:t>2</m:t>
                          </m:r>
                        </m:den>
                      </m:f>
                    </m:sup>
                  </m:sSup>
                  <m:r>
                    <w:rPr>
                      <w:rFonts w:ascii="Cambria Math" w:hAnsi="Cambria Math" w:cs="Times New Roman"/>
                      <w:sz w:val="24"/>
                      <w:szCs w:val="24"/>
                      <w:lang w:val="en-AU"/>
                    </w:rPr>
                    <m:t>+C=</m:t>
                  </m:r>
                  <m:f>
                    <m:fPr>
                      <m:ctrlPr>
                        <w:rPr>
                          <w:rFonts w:ascii="Cambria Math" w:hAnsi="Cambria Math" w:cs="Times New Roman"/>
                          <w:i/>
                          <w:sz w:val="24"/>
                          <w:szCs w:val="24"/>
                        </w:rPr>
                      </m:ctrlPr>
                    </m:fPr>
                    <m:num>
                      <m:r>
                        <w:rPr>
                          <w:rFonts w:ascii="Cambria Math" w:hAnsi="Cambria Math" w:cs="Times New Roman"/>
                          <w:sz w:val="24"/>
                          <w:szCs w:val="24"/>
                          <w:lang w:val="en-US"/>
                        </w:rPr>
                        <m:t>1</m:t>
                      </m:r>
                    </m:num>
                    <m:den>
                      <m:r>
                        <w:rPr>
                          <w:rFonts w:ascii="Cambria Math" w:hAnsi="Cambria Math" w:cs="Times New Roman"/>
                          <w:sz w:val="24"/>
                          <w:szCs w:val="24"/>
                        </w:rPr>
                        <m:t>N</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hAnsi="Cambria Math" w:cs="Times New Roman"/>
                          <w:sz w:val="24"/>
                          <w:szCs w:val="24"/>
                          <w:lang w:val="en-US"/>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j</m:t>
                          </m:r>
                        </m:sub>
                      </m:sSub>
                    </m:e>
                  </m:nary>
                </m:e>
              </m:mr>
              <m:m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lang w:val="en-US"/>
                        </w:rPr>
                        <m:t>2</m:t>
                      </m:r>
                      <m:r>
                        <w:rPr>
                          <w:rFonts w:ascii="Cambria Math" w:hAnsi="Cambria Math" w:cs="Times New Roman"/>
                          <w:sz w:val="24"/>
                          <w:szCs w:val="24"/>
                        </w:rPr>
                        <m:t>m</m:t>
                      </m:r>
                      <m:r>
                        <w:rPr>
                          <w:rFonts w:ascii="Cambria Math" w:hAnsi="Cambria Math" w:cs="Times New Roman"/>
                          <w:sz w:val="24"/>
                          <w:szCs w:val="24"/>
                          <w:lang w:val="en-US"/>
                        </w:rPr>
                        <m:t>+2</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lang w:val="en-US"/>
                            </w:rPr>
                            <m:t>2</m:t>
                          </m:r>
                        </m:sup>
                      </m:sSup>
                    </m:sup>
                  </m:sSup>
                  <m:r>
                    <w:rPr>
                      <w:rFonts w:ascii="Cambria Math" w:hAnsi="Cambria Math" w:cs="Times New Roman"/>
                      <w:sz w:val="24"/>
                      <w:szCs w:val="24"/>
                      <w:lang w:val="en-US"/>
                    </w:rPr>
                    <m:t>+</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lang w:val="en-US"/>
                        </w:rPr>
                        <m:t>2</m:t>
                      </m:r>
                    </m:sup>
                  </m:sSup>
                  <m:r>
                    <w:rPr>
                      <w:rFonts w:ascii="Cambria Math" w:hAnsi="Cambria Math" w:cs="Times New Roman"/>
                      <w:sz w:val="24"/>
                      <w:szCs w:val="24"/>
                      <w:lang w:val="en-US"/>
                    </w:rPr>
                    <m:t>+2</m:t>
                  </m:r>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m:t>
                      </m:r>
                      <m:r>
                        <w:rPr>
                          <w:rFonts w:ascii="Cambria Math" w:hAnsi="Cambria Math" w:cs="Times New Roman"/>
                          <w:sz w:val="24"/>
                          <w:szCs w:val="24"/>
                          <w:lang w:val="en-US"/>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sup>
                  </m:sSup>
                  <m:r>
                    <w:rPr>
                      <w:rFonts w:ascii="Cambria Math" w:hAnsi="Cambria Math" w:cs="Times New Roman"/>
                      <w:sz w:val="24"/>
                      <w:szCs w:val="24"/>
                      <w:lang w:val="en-US"/>
                    </w:rPr>
                    <m:t>+</m:t>
                  </m:r>
                  <m:nary>
                    <m:naryPr>
                      <m:limLoc m:val="subSup"/>
                      <m:ctrlPr>
                        <w:rPr>
                          <w:rFonts w:ascii="Cambria Math" w:eastAsia="Calibri" w:hAnsi="Cambria Math" w:cs="Times New Roman"/>
                          <w:i/>
                          <w:sz w:val="24"/>
                          <w:szCs w:val="24"/>
                        </w:rPr>
                      </m:ctrlPr>
                    </m:naryPr>
                    <m:sub>
                      <m:r>
                        <w:rPr>
                          <w:rFonts w:ascii="Cambria Math" w:hAnsi="Cambria Math" w:cs="Times New Roman"/>
                          <w:sz w:val="24"/>
                          <w:szCs w:val="24"/>
                          <w:lang w:val="en-US"/>
                        </w:rPr>
                        <m:t>0</m:t>
                      </m:r>
                    </m:sub>
                    <m:sup>
                      <m:r>
                        <w:rPr>
                          <w:rFonts w:ascii="Cambria Math" w:hAnsi="Cambria Math" w:cs="Times New Roman"/>
                          <w:sz w:val="24"/>
                          <w:szCs w:val="24"/>
                          <w:lang w:val="en-US"/>
                        </w:rPr>
                        <m:t>∞</m:t>
                      </m:r>
                    </m:sup>
                    <m:e>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lang w:val="en-US"/>
                            </w:rPr>
                            <m:t>2</m:t>
                          </m:r>
                        </m:sup>
                      </m:sSup>
                      <m:d>
                        <m:dPr>
                          <m:ctrlPr>
                            <w:rPr>
                              <w:rFonts w:ascii="Cambria Math" w:hAnsi="Cambria Math" w:cs="Times New Roman"/>
                              <w:i/>
                              <w:sz w:val="24"/>
                              <w:szCs w:val="24"/>
                            </w:rPr>
                          </m:ctrlPr>
                        </m:dPr>
                        <m:e>
                          <m:r>
                            <w:rPr>
                              <w:rFonts w:ascii="Cambria Math" w:hAnsi="Cambria Math" w:cs="Times New Roman"/>
                              <w:sz w:val="24"/>
                              <w:szCs w:val="24"/>
                            </w:rPr>
                            <m:t>D</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U</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dD</m:t>
                      </m:r>
                    </m:e>
                  </m:nary>
                  <m:r>
                    <w:rPr>
                      <w:rFonts w:ascii="Cambria Math" w:eastAsia="Calibri" w:hAnsi="Cambria Math" w:cs="Times New Roman"/>
                      <w:sz w:val="24"/>
                      <w:szCs w:val="24"/>
                      <w:lang w:val="en-US"/>
                    </w:rPr>
                    <m:t>=</m:t>
                  </m:r>
                  <m:f>
                    <m:fPr>
                      <m:ctrlPr>
                        <w:rPr>
                          <w:rFonts w:ascii="Cambria Math" w:hAnsi="Cambria Math" w:cs="Times New Roman"/>
                          <w:i/>
                          <w:sz w:val="24"/>
                          <w:szCs w:val="24"/>
                        </w:rPr>
                      </m:ctrlPr>
                    </m:fPr>
                    <m:num>
                      <m:r>
                        <w:rPr>
                          <w:rFonts w:ascii="Cambria Math" w:hAnsi="Cambria Math" w:cs="Times New Roman"/>
                          <w:sz w:val="24"/>
                          <w:szCs w:val="24"/>
                          <w:lang w:val="en-US"/>
                        </w:rPr>
                        <m:t>1</m:t>
                      </m:r>
                    </m:num>
                    <m:den>
                      <m:r>
                        <w:rPr>
                          <w:rFonts w:ascii="Cambria Math" w:hAnsi="Cambria Math" w:cs="Times New Roman"/>
                          <w:sz w:val="24"/>
                          <w:szCs w:val="24"/>
                        </w:rPr>
                        <m:t>N</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hAnsi="Cambria Math" w:cs="Times New Roman"/>
                          <w:sz w:val="24"/>
                          <w:szCs w:val="24"/>
                          <w:lang w:val="en-US"/>
                        </w:rPr>
                        <m:t>=1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j</m:t>
                              </m:r>
                            </m:sub>
                          </m:sSub>
                        </m:e>
                        <m:sup>
                          <m:r>
                            <w:rPr>
                              <w:rFonts w:ascii="Cambria Math" w:hAnsi="Cambria Math" w:cs="Times New Roman"/>
                              <w:sz w:val="24"/>
                              <w:szCs w:val="24"/>
                              <w:lang w:val="en-US"/>
                            </w:rPr>
                            <m:t>2</m:t>
                          </m:r>
                        </m:sup>
                      </m:sSup>
                    </m:e>
                  </m:nary>
                </m:e>
              </m:mr>
              <m:m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lang w:val="en-US"/>
                        </w:rPr>
                        <m:t>3</m:t>
                      </m:r>
                      <m:r>
                        <w:rPr>
                          <w:rFonts w:ascii="Cambria Math" w:hAnsi="Cambria Math" w:cs="Times New Roman"/>
                          <w:sz w:val="24"/>
                          <w:szCs w:val="24"/>
                        </w:rPr>
                        <m:t>m</m:t>
                      </m:r>
                      <m:r>
                        <w:rPr>
                          <w:rFonts w:ascii="Cambria Math" w:hAnsi="Cambria Math" w:cs="Times New Roman"/>
                          <w:sz w:val="24"/>
                          <w:szCs w:val="24"/>
                          <w:lang w:val="en-US"/>
                        </w:rPr>
                        <m:t>+</m:t>
                      </m:r>
                      <m:f>
                        <m:fPr>
                          <m:ctrlPr>
                            <w:rPr>
                              <w:rFonts w:ascii="Cambria Math" w:hAnsi="Cambria Math" w:cs="Times New Roman"/>
                              <w:i/>
                              <w:sz w:val="24"/>
                              <w:szCs w:val="24"/>
                            </w:rPr>
                          </m:ctrlPr>
                        </m:fPr>
                        <m:num>
                          <m:r>
                            <w:rPr>
                              <w:rFonts w:ascii="Cambria Math" w:hAnsi="Cambria Math" w:cs="Times New Roman"/>
                              <w:sz w:val="24"/>
                              <w:szCs w:val="24"/>
                              <w:lang w:val="en-US"/>
                            </w:rPr>
                            <m:t>9</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sup>
                  </m:sSup>
                  <m:r>
                    <w:rPr>
                      <w:rFonts w:ascii="Cambria Math" w:hAnsi="Cambria Math" w:cs="Times New Roman"/>
                      <w:sz w:val="24"/>
                      <w:szCs w:val="24"/>
                      <w:lang w:val="en-US"/>
                    </w:rPr>
                    <m:t>+</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lang w:val="en-US"/>
                        </w:rPr>
                        <m:t>3</m:t>
                      </m:r>
                    </m:sup>
                  </m:sSup>
                  <m:r>
                    <w:rPr>
                      <w:rFonts w:ascii="Cambria Math" w:hAnsi="Cambria Math" w:cs="Times New Roman"/>
                      <w:sz w:val="24"/>
                      <w:szCs w:val="24"/>
                      <w:lang w:val="en-US"/>
                    </w:rPr>
                    <m:t>+3</m:t>
                  </m:r>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lang w:val="en-US"/>
                        </w:rPr>
                        <m:t>2</m:t>
                      </m:r>
                    </m:sup>
                  </m:sSup>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m:t>
                      </m:r>
                      <m:r>
                        <w:rPr>
                          <w:rFonts w:ascii="Cambria Math" w:hAnsi="Cambria Math" w:cs="Times New Roman"/>
                          <w:sz w:val="24"/>
                          <w:szCs w:val="24"/>
                          <w:lang w:val="en-US"/>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sup>
                  </m:sSup>
                  <m:r>
                    <w:rPr>
                      <w:rFonts w:ascii="Cambria Math" w:hAnsi="Cambria Math" w:cs="Times New Roman"/>
                      <w:sz w:val="24"/>
                      <w:szCs w:val="24"/>
                      <w:lang w:val="en-US"/>
                    </w:rPr>
                    <m:t>+3</m:t>
                  </m:r>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lang w:val="en-US"/>
                        </w:rPr>
                        <m:t>2</m:t>
                      </m:r>
                      <m:r>
                        <w:rPr>
                          <w:rFonts w:ascii="Cambria Math" w:hAnsi="Cambria Math" w:cs="Times New Roman"/>
                          <w:sz w:val="24"/>
                          <w:szCs w:val="24"/>
                        </w:rPr>
                        <m:t>m</m:t>
                      </m:r>
                      <m:r>
                        <w:rPr>
                          <w:rFonts w:ascii="Cambria Math" w:hAnsi="Cambria Math" w:cs="Times New Roman"/>
                          <w:sz w:val="24"/>
                          <w:szCs w:val="24"/>
                          <w:lang w:val="en-US"/>
                        </w:rPr>
                        <m:t>+2</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lang w:val="en-US"/>
                            </w:rPr>
                            <m:t>2</m:t>
                          </m:r>
                        </m:sup>
                      </m:sSup>
                    </m:sup>
                  </m:sSup>
                  <m:r>
                    <w:rPr>
                      <w:rFonts w:ascii="Cambria Math" w:hAnsi="Cambria Math" w:cs="Times New Roman"/>
                      <w:sz w:val="24"/>
                      <w:szCs w:val="24"/>
                      <w:lang w:val="en-US"/>
                    </w:rPr>
                    <m:t>+3</m:t>
                  </m:r>
                  <m:r>
                    <w:rPr>
                      <w:rFonts w:ascii="Cambria Math" w:hAnsi="Cambria Math" w:cs="Times New Roman"/>
                      <w:sz w:val="24"/>
                      <w:szCs w:val="24"/>
                    </w:rPr>
                    <m:t>C</m:t>
                  </m:r>
                  <m:nary>
                    <m:naryPr>
                      <m:limLoc m:val="subSup"/>
                      <m:ctrlPr>
                        <w:rPr>
                          <w:rFonts w:ascii="Cambria Math" w:eastAsia="Calibri" w:hAnsi="Cambria Math" w:cs="Times New Roman"/>
                          <w:i/>
                          <w:sz w:val="24"/>
                          <w:szCs w:val="24"/>
                        </w:rPr>
                      </m:ctrlPr>
                    </m:naryPr>
                    <m:sub>
                      <m:r>
                        <w:rPr>
                          <w:rFonts w:ascii="Cambria Math" w:hAnsi="Cambria Math" w:cs="Times New Roman"/>
                          <w:sz w:val="24"/>
                          <w:szCs w:val="24"/>
                          <w:lang w:val="en-US"/>
                        </w:rPr>
                        <m:t>0</m:t>
                      </m:r>
                    </m:sub>
                    <m:sup>
                      <m:r>
                        <w:rPr>
                          <w:rFonts w:ascii="Cambria Math" w:hAnsi="Cambria Math" w:cs="Times New Roman"/>
                          <w:sz w:val="24"/>
                          <w:szCs w:val="24"/>
                          <w:lang w:val="en-US"/>
                        </w:rPr>
                        <m:t>∞</m:t>
                      </m:r>
                    </m:sup>
                    <m:e>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lang w:val="en-US"/>
                            </w:rPr>
                            <m:t>2</m:t>
                          </m:r>
                        </m:sup>
                      </m:sSup>
                      <m:d>
                        <m:dPr>
                          <m:ctrlPr>
                            <w:rPr>
                              <w:rFonts w:ascii="Cambria Math" w:hAnsi="Cambria Math" w:cs="Times New Roman"/>
                              <w:i/>
                              <w:sz w:val="24"/>
                              <w:szCs w:val="24"/>
                            </w:rPr>
                          </m:ctrlPr>
                        </m:dPr>
                        <m:e>
                          <m:r>
                            <w:rPr>
                              <w:rFonts w:ascii="Cambria Math" w:hAnsi="Cambria Math" w:cs="Times New Roman"/>
                              <w:sz w:val="24"/>
                              <w:szCs w:val="24"/>
                            </w:rPr>
                            <m:t>D</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U</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dD</m:t>
                      </m:r>
                    </m:e>
                  </m:nary>
                  <m:r>
                    <w:rPr>
                      <w:rFonts w:ascii="Cambria Math" w:hAnsi="Cambria Math" w:cs="Times New Roman"/>
                      <w:sz w:val="24"/>
                      <w:szCs w:val="24"/>
                      <w:lang w:val="en-US"/>
                    </w:rPr>
                    <m:t>+3</m:t>
                  </m:r>
                  <m:nary>
                    <m:naryPr>
                      <m:limLoc m:val="subSup"/>
                      <m:ctrlPr>
                        <w:rPr>
                          <w:rFonts w:ascii="Cambria Math" w:eastAsia="Calibri" w:hAnsi="Cambria Math" w:cs="Times New Roman"/>
                          <w:i/>
                          <w:sz w:val="24"/>
                          <w:szCs w:val="24"/>
                        </w:rPr>
                      </m:ctrlPr>
                    </m:naryPr>
                    <m:sub>
                      <m:r>
                        <w:rPr>
                          <w:rFonts w:ascii="Cambria Math" w:hAnsi="Cambria Math" w:cs="Times New Roman"/>
                          <w:sz w:val="24"/>
                          <w:szCs w:val="24"/>
                          <w:lang w:val="en-US"/>
                        </w:rPr>
                        <m:t>0</m:t>
                      </m:r>
                    </m:sub>
                    <m:sup>
                      <m:r>
                        <w:rPr>
                          <w:rFonts w:ascii="Cambria Math" w:hAnsi="Cambria Math" w:cs="Times New Roman"/>
                          <w:sz w:val="24"/>
                          <w:szCs w:val="24"/>
                          <w:lang w:val="en-US"/>
                        </w:rPr>
                        <m:t>∞</m:t>
                      </m:r>
                    </m:sup>
                    <m:e>
                      <m:sSup>
                        <m:sSupPr>
                          <m:ctrlPr>
                            <w:rPr>
                              <w:rFonts w:ascii="Cambria Math" w:hAnsi="Cambria Math" w:cs="Times New Roman"/>
                              <w:i/>
                              <w:sz w:val="24"/>
                              <w:szCs w:val="24"/>
                            </w:rPr>
                          </m:ctrlPr>
                        </m:sSupPr>
                        <m:e>
                          <m:r>
                            <w:rPr>
                              <w:rFonts w:ascii="Cambria Math" w:hAnsi="Cambria Math" w:cs="Times New Roman"/>
                              <w:sz w:val="24"/>
                              <w:szCs w:val="24"/>
                            </w:rPr>
                            <m:t>D</m:t>
                          </m:r>
                          <m:r>
                            <w:rPr>
                              <w:rFonts w:ascii="Cambria Math" w:hAnsi="Cambria Math" w:cs="Times New Roman"/>
                              <w:sz w:val="24"/>
                              <w:szCs w:val="24"/>
                              <w:lang w:val="en-US"/>
                            </w:rPr>
                            <m:t>∙</m:t>
                          </m:r>
                          <m:r>
                            <w:rPr>
                              <w:rFonts w:ascii="Cambria Math" w:hAnsi="Cambria Math" w:cs="Times New Roman"/>
                              <w:sz w:val="24"/>
                              <w:szCs w:val="24"/>
                            </w:rPr>
                            <m:t>g</m:t>
                          </m:r>
                        </m:e>
                        <m:sup>
                          <m:r>
                            <w:rPr>
                              <w:rFonts w:ascii="Cambria Math" w:hAnsi="Cambria Math" w:cs="Times New Roman"/>
                              <w:sz w:val="24"/>
                              <w:szCs w:val="24"/>
                              <w:lang w:val="en-US"/>
                            </w:rPr>
                            <m:t>2</m:t>
                          </m:r>
                        </m:sup>
                      </m:sSup>
                      <m:d>
                        <m:dPr>
                          <m:ctrlPr>
                            <w:rPr>
                              <w:rFonts w:ascii="Cambria Math" w:hAnsi="Cambria Math" w:cs="Times New Roman"/>
                              <w:i/>
                              <w:sz w:val="24"/>
                              <w:szCs w:val="24"/>
                            </w:rPr>
                          </m:ctrlPr>
                        </m:dPr>
                        <m:e>
                          <m:r>
                            <w:rPr>
                              <w:rFonts w:ascii="Cambria Math" w:hAnsi="Cambria Math" w:cs="Times New Roman"/>
                              <w:sz w:val="24"/>
                              <w:szCs w:val="24"/>
                            </w:rPr>
                            <m:t>D</m:t>
                          </m:r>
                        </m:e>
                      </m:d>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U</m:t>
                          </m:r>
                        </m:sub>
                      </m:sSub>
                      <m:d>
                        <m:dPr>
                          <m:ctrlPr>
                            <w:rPr>
                              <w:rFonts w:ascii="Cambria Math" w:hAnsi="Cambria Math" w:cs="Times New Roman"/>
                              <w:i/>
                              <w:sz w:val="24"/>
                              <w:szCs w:val="24"/>
                            </w:rPr>
                          </m:ctrlPr>
                        </m:dPr>
                        <m:e>
                          <m:r>
                            <w:rPr>
                              <w:rFonts w:ascii="Cambria Math" w:hAnsi="Cambria Math" w:cs="Times New Roman"/>
                              <w:sz w:val="24"/>
                              <w:szCs w:val="24"/>
                            </w:rPr>
                            <m:t>D</m:t>
                          </m:r>
                        </m:e>
                      </m:d>
                      <m:r>
                        <w:rPr>
                          <w:rFonts w:ascii="Cambria Math" w:hAnsi="Cambria Math" w:cs="Times New Roman"/>
                          <w:sz w:val="24"/>
                          <w:szCs w:val="24"/>
                        </w:rPr>
                        <m:t>dD</m:t>
                      </m:r>
                    </m:e>
                  </m:nary>
                  <m:r>
                    <w:rPr>
                      <w:rFonts w:ascii="Cambria Math" w:eastAsia="Calibri" w:hAnsi="Cambria Math" w:cs="Times New Roman"/>
                      <w:sz w:val="24"/>
                      <w:szCs w:val="24"/>
                      <w:lang w:val="en-US"/>
                    </w:rPr>
                    <m:t>=</m:t>
                  </m:r>
                  <m:f>
                    <m:fPr>
                      <m:ctrlPr>
                        <w:rPr>
                          <w:rFonts w:ascii="Cambria Math" w:hAnsi="Cambria Math" w:cs="Times New Roman"/>
                          <w:i/>
                          <w:sz w:val="24"/>
                          <w:szCs w:val="24"/>
                        </w:rPr>
                      </m:ctrlPr>
                    </m:fPr>
                    <m:num>
                      <m:r>
                        <w:rPr>
                          <w:rFonts w:ascii="Cambria Math" w:hAnsi="Cambria Math" w:cs="Times New Roman"/>
                          <w:sz w:val="24"/>
                          <w:szCs w:val="24"/>
                          <w:lang w:val="en-US"/>
                        </w:rPr>
                        <m:t>1</m:t>
                      </m:r>
                    </m:num>
                    <m:den>
                      <m:r>
                        <w:rPr>
                          <w:rFonts w:ascii="Cambria Math" w:hAnsi="Cambria Math" w:cs="Times New Roman"/>
                          <w:sz w:val="24"/>
                          <w:szCs w:val="24"/>
                        </w:rPr>
                        <m:t>N</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hAnsi="Cambria Math" w:cs="Times New Roman"/>
                          <w:sz w:val="24"/>
                          <w:szCs w:val="24"/>
                          <w:lang w:val="en-US"/>
                        </w:rPr>
                        <m:t>=1</m:t>
                      </m:r>
                    </m:sub>
                    <m:sup>
                      <m:r>
                        <w:rPr>
                          <w:rFonts w:ascii="Cambria Math" w:hAnsi="Cambria Math" w:cs="Times New Roman"/>
                          <w:sz w:val="24"/>
                          <w:szCs w:val="24"/>
                        </w:rPr>
                        <m:t>N</m:t>
                      </m:r>
                    </m:sup>
                    <m:e>
                      <m:sSubSup>
                        <m:sSubSupPr>
                          <m:ctrlPr>
                            <w:rPr>
                              <w:rFonts w:ascii="Cambria Math" w:hAnsi="Cambria Math" w:cs="Times New Roman"/>
                              <w:i/>
                              <w:sz w:val="24"/>
                              <w:szCs w:val="24"/>
                              <w:lang w:val="en-AU"/>
                            </w:rPr>
                          </m:ctrlPr>
                        </m:sSubSupPr>
                        <m:e>
                          <m:acc>
                            <m:accPr>
                              <m:ctrlPr>
                                <w:rPr>
                                  <w:rFonts w:ascii="Cambria Math" w:hAnsi="Cambria Math"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lang w:val="en-AU"/>
                            </w:rPr>
                            <m:t>j</m:t>
                          </m:r>
                        </m:sub>
                        <m:sup>
                          <m:r>
                            <w:rPr>
                              <w:rFonts w:ascii="Cambria Math" w:hAnsi="Cambria Math" w:cs="Times New Roman"/>
                              <w:sz w:val="24"/>
                              <w:szCs w:val="24"/>
                              <w:lang w:val="en-AU"/>
                            </w:rPr>
                            <m:t>3</m:t>
                          </m:r>
                        </m:sup>
                      </m:sSubSup>
                    </m:e>
                  </m:nary>
                </m:e>
              </m:mr>
            </m:m>
          </m:e>
        </m:d>
      </m:oMath>
      <w:r w:rsidR="00310457" w:rsidRPr="00486BED">
        <w:rPr>
          <w:rFonts w:ascii="Times New Roman" w:eastAsiaTheme="minorEastAsia" w:hAnsi="Times New Roman" w:cs="Times New Roman"/>
          <w:sz w:val="24"/>
          <w:szCs w:val="24"/>
          <w:lang w:val="en-US"/>
        </w:rPr>
        <w:t>,</w:t>
      </w:r>
      <w:r w:rsidR="00310457" w:rsidRPr="00486BED">
        <w:rPr>
          <w:rFonts w:ascii="Times New Roman" w:eastAsiaTheme="minorEastAsia" w:hAnsi="Times New Roman" w:cs="Times New Roman"/>
          <w:sz w:val="24"/>
          <w:szCs w:val="24"/>
          <w:lang w:val="en-US"/>
        </w:rPr>
        <w:tab/>
        <w:t>(5)</w:t>
      </w:r>
    </w:p>
    <w:p w14:paraId="48975CBC" w14:textId="54B0B02D" w:rsidR="00310457" w:rsidRPr="00486BED" w:rsidRDefault="00310457" w:rsidP="00486BED">
      <w:pPr>
        <w:spacing w:after="240" w:line="360" w:lineRule="auto"/>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 xml:space="preserve">where </w:t>
      </w:r>
      <w:r w:rsidRPr="008A0C14">
        <w:rPr>
          <w:rFonts w:ascii="Times New Roman" w:hAnsi="Times New Roman" w:cs="Times New Roman"/>
          <w:i/>
          <w:sz w:val="24"/>
          <w:szCs w:val="24"/>
          <w:lang w:val="en-US"/>
        </w:rPr>
        <w:t>N</w:t>
      </w:r>
      <w:r w:rsidRPr="008A0C14">
        <w:rPr>
          <w:rFonts w:ascii="Times New Roman" w:hAnsi="Times New Roman" w:cs="Times New Roman"/>
          <w:sz w:val="24"/>
          <w:szCs w:val="24"/>
          <w:lang w:val="en-US"/>
        </w:rPr>
        <w:t xml:space="preserve"> is the </w:t>
      </w:r>
      <w:r w:rsidR="009604FA" w:rsidRPr="008A0C14">
        <w:rPr>
          <w:rFonts w:ascii="Times New Roman" w:hAnsi="Times New Roman" w:cs="Times New Roman"/>
          <w:sz w:val="24"/>
          <w:szCs w:val="24"/>
          <w:lang w:val="en-US"/>
        </w:rPr>
        <w:t xml:space="preserve">total </w:t>
      </w:r>
      <w:r w:rsidRPr="008A0C14">
        <w:rPr>
          <w:rFonts w:ascii="Times New Roman" w:hAnsi="Times New Roman" w:cs="Times New Roman"/>
          <w:sz w:val="24"/>
          <w:szCs w:val="24"/>
          <w:lang w:val="en-US"/>
        </w:rPr>
        <w:t>number of EPR measured background doses</w:t>
      </w:r>
      <m:oMath>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acc>
              <m:accPr>
                <m:ctrlPr>
                  <w:rPr>
                    <w:rFonts w:ascii="Cambria Math" w:hAnsi="Cambria Math" w:cs="Times New Roman"/>
                    <w:i/>
                    <w:sz w:val="24"/>
                    <w:szCs w:val="24"/>
                    <w:lang w:val="en-US"/>
                  </w:rPr>
                </m:ctrlPr>
              </m:accPr>
              <m:e>
                <m:r>
                  <w:rPr>
                    <w:rFonts w:ascii="Cambria Math" w:hAnsi="Cambria Math" w:cs="Times New Roman"/>
                    <w:sz w:val="24"/>
                    <w:szCs w:val="24"/>
                    <w:lang w:val="en-US"/>
                  </w:rPr>
                  <m:t>D</m:t>
                </m:r>
              </m:e>
            </m:acc>
          </m:e>
          <m:sub>
            <m:r>
              <w:rPr>
                <w:rFonts w:ascii="Cambria Math" w:hAnsi="Cambria Math" w:cs="Times New Roman"/>
                <w:sz w:val="24"/>
                <w:szCs w:val="24"/>
                <w:lang w:val="en-US"/>
              </w:rPr>
              <m:t>j</m:t>
            </m:r>
          </m:sub>
        </m:sSub>
      </m:oMath>
      <w:r w:rsidR="009604FA" w:rsidRPr="008A0C14">
        <w:rPr>
          <w:rFonts w:ascii="Times New Roman" w:eastAsiaTheme="minorEastAsia" w:hAnsi="Times New Roman" w:cs="Times New Roman"/>
          <w:sz w:val="24"/>
          <w:szCs w:val="24"/>
          <w:lang w:val="en-US"/>
        </w:rPr>
        <w:t xml:space="preserve"> (</w:t>
      </w:r>
      <w:r w:rsidR="009604FA" w:rsidRPr="008A0C14">
        <w:rPr>
          <w:rFonts w:ascii="Times New Roman" w:hAnsi="Times New Roman" w:cs="Times New Roman"/>
          <w:i/>
          <w:sz w:val="24"/>
          <w:szCs w:val="24"/>
          <w:lang w:val="en-US"/>
        </w:rPr>
        <w:t>j</w:t>
      </w:r>
      <w:r w:rsidR="009604FA" w:rsidRPr="008A0C14">
        <w:rPr>
          <w:rFonts w:ascii="Times New Roman" w:hAnsi="Times New Roman" w:cs="Times New Roman"/>
          <w:sz w:val="24"/>
          <w:szCs w:val="24"/>
          <w:lang w:val="en-US"/>
        </w:rPr>
        <w:t xml:space="preserve"> is a</w:t>
      </w:r>
      <w:r w:rsidR="00AD468A" w:rsidRPr="008A0C14">
        <w:rPr>
          <w:rFonts w:ascii="Times New Roman" w:hAnsi="Times New Roman" w:cs="Times New Roman"/>
          <w:sz w:val="24"/>
          <w:szCs w:val="24"/>
          <w:lang w:val="en-US"/>
        </w:rPr>
        <w:t>n</w:t>
      </w:r>
      <w:r w:rsidR="009604FA" w:rsidRPr="008A0C14">
        <w:rPr>
          <w:rFonts w:ascii="Times New Roman" w:hAnsi="Times New Roman" w:cs="Times New Roman"/>
          <w:sz w:val="24"/>
          <w:szCs w:val="24"/>
          <w:lang w:val="en-US"/>
        </w:rPr>
        <w:t xml:space="preserve"> </w:t>
      </w:r>
      <w:r w:rsidR="00AD468A" w:rsidRPr="008A0C14">
        <w:rPr>
          <w:rFonts w:ascii="Times New Roman" w:hAnsi="Times New Roman" w:cs="Times New Roman"/>
          <w:sz w:val="24"/>
          <w:szCs w:val="24"/>
          <w:lang w:val="en-US"/>
        </w:rPr>
        <w:t>index</w:t>
      </w:r>
      <w:r w:rsidR="009604FA" w:rsidRPr="008A0C14">
        <w:rPr>
          <w:rFonts w:ascii="Times New Roman" w:hAnsi="Times New Roman" w:cs="Times New Roman"/>
          <w:sz w:val="24"/>
          <w:szCs w:val="24"/>
          <w:lang w:val="en-US"/>
        </w:rPr>
        <w:t xml:space="preserve"> of </w:t>
      </w:r>
      <w:r w:rsidR="00D105C2" w:rsidRPr="008A0C14">
        <w:rPr>
          <w:rFonts w:ascii="Times New Roman" w:hAnsi="Times New Roman" w:cs="Times New Roman"/>
          <w:sz w:val="24"/>
          <w:szCs w:val="24"/>
          <w:lang w:val="en-US"/>
        </w:rPr>
        <w:t xml:space="preserve">a </w:t>
      </w:r>
      <w:r w:rsidR="009604FA" w:rsidRPr="008A0C14">
        <w:rPr>
          <w:rFonts w:ascii="Times New Roman" w:hAnsi="Times New Roman" w:cs="Times New Roman"/>
          <w:sz w:val="24"/>
          <w:szCs w:val="24"/>
          <w:lang w:val="en-US"/>
        </w:rPr>
        <w:t>background dose)</w:t>
      </w:r>
      <w:r w:rsidRPr="008A0C14">
        <w:rPr>
          <w:rFonts w:ascii="Times New Roman" w:hAnsi="Times New Roman" w:cs="Times New Roman"/>
          <w:sz w:val="24"/>
          <w:szCs w:val="24"/>
          <w:lang w:val="en-US"/>
        </w:rPr>
        <w:t>;</w:t>
      </w:r>
      <w:r w:rsidRPr="00486BED">
        <w:rPr>
          <w:rFonts w:ascii="Times New Roman" w:hAnsi="Times New Roman" w:cs="Times New Roman"/>
          <w:i/>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U</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D</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Ds</m:t>
            </m:r>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2π</m:t>
                </m:r>
              </m:e>
            </m:rad>
          </m:den>
        </m:f>
        <m:sSup>
          <m:sSupPr>
            <m:ctrlPr>
              <w:rPr>
                <w:rFonts w:ascii="Cambria Math" w:hAnsi="Cambria Math" w:cs="Times New Roman"/>
                <w:i/>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func>
                          <m:funcPr>
                            <m:ctrlPr>
                              <w:rPr>
                                <w:rFonts w:ascii="Cambria Math" w:hAnsi="Cambria Math" w:cs="Times New Roman"/>
                                <w:i/>
                                <w:sz w:val="24"/>
                                <w:szCs w:val="24"/>
                                <w:lang w:val="en-US"/>
                              </w:rPr>
                            </m:ctrlPr>
                          </m:funcPr>
                          <m:fName>
                            <m:r>
                              <w:rPr>
                                <w:rFonts w:ascii="Cambria Math" w:hAnsi="Cambria Math" w:cs="Times New Roman"/>
                                <w:sz w:val="24"/>
                                <w:szCs w:val="24"/>
                                <w:lang w:val="en-US"/>
                              </w:rPr>
                              <m:t>ln</m:t>
                            </m: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D</m:t>
                                </m:r>
                              </m:e>
                            </m:d>
                          </m:e>
                        </m:func>
                        <m:r>
                          <w:rPr>
                            <w:rFonts w:ascii="Cambria Math" w:hAnsi="Cambria Math" w:cs="Times New Roman"/>
                            <w:sz w:val="24"/>
                            <w:szCs w:val="24"/>
                            <w:lang w:val="en-US"/>
                          </w:rPr>
                          <m:t>-m</m:t>
                        </m:r>
                      </m:e>
                    </m:d>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s</m:t>
                    </m:r>
                  </m:e>
                  <m:sup>
                    <m:r>
                      <w:rPr>
                        <w:rFonts w:ascii="Cambria Math" w:hAnsi="Cambria Math" w:cs="Times New Roman"/>
                        <w:sz w:val="24"/>
                        <w:szCs w:val="24"/>
                        <w:lang w:val="en-US"/>
                      </w:rPr>
                      <m:t>2</m:t>
                    </m:r>
                  </m:sup>
                </m:sSup>
              </m:den>
            </m:f>
          </m:sup>
        </m:sSup>
      </m:oMath>
      <w:r w:rsidRPr="00486BED">
        <w:rPr>
          <w:rFonts w:ascii="Times New Roman" w:hAnsi="Times New Roman" w:cs="Times New Roman"/>
          <w:sz w:val="24"/>
          <w:szCs w:val="24"/>
          <w:lang w:val="en-US"/>
        </w:rPr>
        <w:t xml:space="preserve"> – probability density function of a lognormal dose (</w:t>
      </w:r>
      <w:r w:rsidRPr="00486BED">
        <w:rPr>
          <w:rFonts w:ascii="Times New Roman" w:hAnsi="Times New Roman" w:cs="Times New Roman"/>
          <w:i/>
          <w:sz w:val="24"/>
          <w:szCs w:val="24"/>
          <w:lang w:val="en-US"/>
        </w:rPr>
        <w:t>D</w:t>
      </w:r>
      <w:r w:rsidRPr="00486BED">
        <w:rPr>
          <w:rFonts w:ascii="Times New Roman" w:hAnsi="Times New Roman" w:cs="Times New Roman"/>
          <w:sz w:val="24"/>
          <w:szCs w:val="24"/>
          <w:lang w:val="en-US"/>
        </w:rPr>
        <w:t>) distribution.</w:t>
      </w:r>
    </w:p>
    <w:p w14:paraId="71CD713C" w14:textId="77777777" w:rsidR="00310457" w:rsidRPr="00486BED" w:rsidRDefault="00310457" w:rsidP="00486BED">
      <w:pPr>
        <w:tabs>
          <w:tab w:val="left" w:pos="8364"/>
        </w:tabs>
        <w:spacing w:after="240" w:line="360" w:lineRule="auto"/>
        <w:jc w:val="both"/>
        <w:rPr>
          <w:rFonts w:ascii="Times New Roman" w:eastAsiaTheme="minorEastAsia" w:hAnsi="Times New Roman" w:cs="Times New Roman"/>
          <w:sz w:val="24"/>
          <w:szCs w:val="24"/>
          <w:lang w:val="en-GB"/>
        </w:rPr>
      </w:pPr>
      <w:r w:rsidRPr="00486BED">
        <w:rPr>
          <w:rFonts w:ascii="Times New Roman" w:eastAsiaTheme="minorEastAsia" w:hAnsi="Times New Roman" w:cs="Times New Roman"/>
          <w:sz w:val="24"/>
          <w:szCs w:val="24"/>
          <w:lang w:val="en-US"/>
        </w:rPr>
        <w:t>Eq</w:t>
      </w:r>
      <w:r w:rsidR="003058E7">
        <w:rPr>
          <w:rFonts w:ascii="Times New Roman" w:eastAsiaTheme="minorEastAsia" w:hAnsi="Times New Roman" w:cs="Times New Roman"/>
          <w:sz w:val="24"/>
          <w:szCs w:val="24"/>
          <w:lang w:val="en-US"/>
        </w:rPr>
        <w:t>uation</w:t>
      </w:r>
      <w:r w:rsidRPr="00486BED">
        <w:rPr>
          <w:rFonts w:ascii="Times New Roman" w:eastAsiaTheme="minorEastAsia" w:hAnsi="Times New Roman" w:cs="Times New Roman"/>
          <w:sz w:val="24"/>
          <w:szCs w:val="24"/>
          <w:lang w:val="en-US"/>
        </w:rPr>
        <w:t xml:space="preserve">s (5) were solved numerically using </w:t>
      </w:r>
      <w:r w:rsidR="00536A73" w:rsidRPr="00486BED">
        <w:rPr>
          <w:rFonts w:ascii="Times New Roman" w:eastAsiaTheme="minorEastAsia" w:hAnsi="Times New Roman" w:cs="Times New Roman"/>
          <w:sz w:val="24"/>
          <w:szCs w:val="24"/>
          <w:lang w:val="en-US"/>
        </w:rPr>
        <w:t xml:space="preserve">the </w:t>
      </w:r>
      <w:r w:rsidRPr="00486BED">
        <w:rPr>
          <w:rFonts w:ascii="Times New Roman" w:eastAsiaTheme="minorEastAsia" w:hAnsi="Times New Roman" w:cs="Times New Roman"/>
          <w:sz w:val="24"/>
          <w:szCs w:val="24"/>
          <w:lang w:val="en-US"/>
        </w:rPr>
        <w:t xml:space="preserve">modified Newton method for systems of nonlinear equations (Traub, 1982). Uncertainty of background dose and bias estimates were calculated according to </w:t>
      </w:r>
      <w:r w:rsidRPr="00486BED">
        <w:rPr>
          <w:rFonts w:ascii="Times New Roman" w:hAnsi="Times New Roman" w:cs="Times New Roman"/>
          <w:sz w:val="24"/>
          <w:szCs w:val="24"/>
          <w:lang w:val="en-GB"/>
        </w:rPr>
        <w:t>Zalyapin et. al. (2014)</w:t>
      </w:r>
      <w:r w:rsidR="001E772E" w:rsidRPr="00486BED">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and were taken into account in </w:t>
      </w:r>
      <w:r w:rsidR="001E772E"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calculations of the overall uncertainty (M4</w:t>
      </w:r>
      <w:r w:rsidRPr="00486BED">
        <w:rPr>
          <w:rFonts w:ascii="Times New Roman" w:hAnsi="Times New Roman" w:cs="Times New Roman"/>
          <w:sz w:val="24"/>
          <w:szCs w:val="24"/>
          <w:lang w:val="en-US"/>
        </w:rPr>
        <w:t xml:space="preserve"> in Fig. 1</w:t>
      </w:r>
      <w:r w:rsidRPr="00486BED">
        <w:rPr>
          <w:rFonts w:ascii="Times New Roman" w:hAnsi="Times New Roman" w:cs="Times New Roman"/>
          <w:sz w:val="24"/>
          <w:szCs w:val="24"/>
          <w:lang w:val="en-GB"/>
        </w:rPr>
        <w:t>) of EPR derived anthropogenic doses.</w:t>
      </w:r>
    </w:p>
    <w:p w14:paraId="717DFBF0" w14:textId="77777777" w:rsidR="00310457" w:rsidRPr="00F763B2" w:rsidRDefault="00310457" w:rsidP="00F763B2">
      <w:pPr>
        <w:tabs>
          <w:tab w:val="left" w:pos="8364"/>
        </w:tabs>
        <w:spacing w:after="240" w:line="360" w:lineRule="auto"/>
        <w:jc w:val="both"/>
        <w:rPr>
          <w:rFonts w:ascii="Times New Roman" w:eastAsiaTheme="minorEastAsia" w:hAnsi="Times New Roman" w:cs="Times New Roman"/>
          <w:i/>
          <w:sz w:val="24"/>
          <w:szCs w:val="24"/>
          <w:lang w:val="en-GB"/>
        </w:rPr>
      </w:pPr>
      <w:r w:rsidRPr="00F763B2">
        <w:rPr>
          <w:rFonts w:ascii="Times New Roman" w:eastAsiaTheme="minorEastAsia" w:hAnsi="Times New Roman" w:cs="Times New Roman"/>
          <w:i/>
          <w:sz w:val="24"/>
          <w:szCs w:val="24"/>
          <w:lang w:val="en-GB"/>
        </w:rPr>
        <w:t>Harmonization of EPR measurements</w:t>
      </w:r>
    </w:p>
    <w:p w14:paraId="09370AD2" w14:textId="77777777" w:rsidR="00310457" w:rsidRPr="00486BED" w:rsidRDefault="00310457" w:rsidP="00486BED">
      <w:pPr>
        <w:autoSpaceDE w:val="0"/>
        <w:autoSpaceDN w:val="0"/>
        <w:adjustRightInd w:val="0"/>
        <w:spacing w:after="240" w:line="360" w:lineRule="auto"/>
        <w:jc w:val="both"/>
        <w:rPr>
          <w:rFonts w:ascii="Times New Roman" w:hAnsi="Times New Roman" w:cs="Times New Roman"/>
          <w:sz w:val="24"/>
          <w:szCs w:val="24"/>
          <w:lang w:val="en-GB"/>
        </w:rPr>
      </w:pPr>
      <w:r w:rsidRPr="00486BED">
        <w:rPr>
          <w:rFonts w:ascii="Times New Roman" w:hAnsi="Times New Roman" w:cs="Times New Roman"/>
          <w:sz w:val="24"/>
          <w:szCs w:val="24"/>
          <w:lang w:val="en-GB"/>
        </w:rPr>
        <w:t>According to Fig. 1, the fol</w:t>
      </w:r>
      <w:r w:rsidR="00781826" w:rsidRPr="00486BED">
        <w:rPr>
          <w:rFonts w:ascii="Times New Roman" w:hAnsi="Times New Roman" w:cs="Times New Roman"/>
          <w:sz w:val="24"/>
          <w:szCs w:val="24"/>
          <w:lang w:val="en-GB"/>
        </w:rPr>
        <w:t>l</w:t>
      </w:r>
      <w:r w:rsidR="00315BAF" w:rsidRPr="00486BED">
        <w:rPr>
          <w:rFonts w:ascii="Times New Roman" w:hAnsi="Times New Roman" w:cs="Times New Roman"/>
          <w:sz w:val="24"/>
          <w:szCs w:val="24"/>
          <w:lang w:val="en-GB"/>
        </w:rPr>
        <w:t>ow</w:t>
      </w:r>
      <w:r w:rsidR="00781826" w:rsidRPr="00486BED">
        <w:rPr>
          <w:rFonts w:ascii="Times New Roman" w:hAnsi="Times New Roman" w:cs="Times New Roman"/>
          <w:sz w:val="24"/>
          <w:szCs w:val="24"/>
          <w:lang w:val="en-GB"/>
        </w:rPr>
        <w:t>ing</w:t>
      </w:r>
      <w:r w:rsidRPr="00486BED">
        <w:rPr>
          <w:rFonts w:ascii="Times New Roman" w:hAnsi="Times New Roman" w:cs="Times New Roman"/>
          <w:sz w:val="24"/>
          <w:szCs w:val="24"/>
          <w:lang w:val="en-GB"/>
        </w:rPr>
        <w:t xml:space="preserve"> steps </w:t>
      </w:r>
      <w:r w:rsidR="00587F13" w:rsidRPr="00486BED">
        <w:rPr>
          <w:rFonts w:ascii="Times New Roman" w:hAnsi="Times New Roman" w:cs="Times New Roman"/>
          <w:sz w:val="24"/>
          <w:szCs w:val="24"/>
          <w:lang w:val="en-GB"/>
        </w:rPr>
        <w:t>aimed at</w:t>
      </w:r>
      <w:r w:rsidRPr="00486BED">
        <w:rPr>
          <w:rFonts w:ascii="Times New Roman" w:hAnsi="Times New Roman" w:cs="Times New Roman"/>
          <w:sz w:val="24"/>
          <w:szCs w:val="24"/>
          <w:lang w:val="en-GB"/>
        </w:rPr>
        <w:t xml:space="preserve"> EPR measurement harmonization were performed</w:t>
      </w:r>
      <w:r w:rsidRPr="00486BED">
        <w:rPr>
          <w:rFonts w:ascii="Times New Roman" w:hAnsi="Times New Roman" w:cs="Times New Roman"/>
          <w:sz w:val="24"/>
          <w:szCs w:val="24"/>
          <w:lang w:val="en-US"/>
        </w:rPr>
        <w:t>: correcti</w:t>
      </w:r>
      <w:r w:rsidR="00234A3B">
        <w:rPr>
          <w:rFonts w:ascii="Times New Roman" w:hAnsi="Times New Roman" w:cs="Times New Roman"/>
          <w:sz w:val="24"/>
          <w:szCs w:val="24"/>
          <w:lang w:val="en-US"/>
        </w:rPr>
        <w:t>ng for</w:t>
      </w:r>
      <w:r w:rsidRPr="00486BED">
        <w:rPr>
          <w:rFonts w:ascii="Times New Roman" w:hAnsi="Times New Roman" w:cs="Times New Roman"/>
          <w:sz w:val="24"/>
          <w:szCs w:val="24"/>
          <w:lang w:val="en-US"/>
        </w:rPr>
        <w:t xml:space="preserve"> systematic errors, assigning method-specific mathematical expectations to doses </w:t>
      </w:r>
      <w:r w:rsidR="00234A3B">
        <w:rPr>
          <w:rFonts w:ascii="Times New Roman" w:hAnsi="Times New Roman" w:cs="Times New Roman"/>
          <w:sz w:val="24"/>
          <w:szCs w:val="24"/>
          <w:lang w:val="en-US"/>
        </w:rPr>
        <w:t>smaller</w:t>
      </w:r>
      <w:r w:rsidRPr="00486BED">
        <w:rPr>
          <w:rFonts w:ascii="Times New Roman" w:hAnsi="Times New Roman" w:cs="Times New Roman"/>
          <w:sz w:val="24"/>
          <w:szCs w:val="24"/>
          <w:lang w:val="en-US"/>
        </w:rPr>
        <w:t xml:space="preserve"> than the detection limit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w:t>
      </w:r>
      <w:r w:rsidR="00781826"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evaluati</w:t>
      </w:r>
      <w:r w:rsidR="00234A3B">
        <w:rPr>
          <w:rFonts w:ascii="Times New Roman" w:hAnsi="Times New Roman" w:cs="Times New Roman"/>
          <w:sz w:val="24"/>
          <w:szCs w:val="24"/>
          <w:lang w:val="en-US"/>
        </w:rPr>
        <w:t>ng</w:t>
      </w:r>
      <w:r w:rsidRPr="00486BED">
        <w:rPr>
          <w:rFonts w:ascii="Times New Roman" w:hAnsi="Times New Roman" w:cs="Times New Roman"/>
          <w:sz w:val="24"/>
          <w:szCs w:val="24"/>
          <w:lang w:val="en-US"/>
        </w:rPr>
        <w:t xml:space="preserve"> uncertainties of </w:t>
      </w:r>
      <w:r w:rsidR="00781826"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unbiased dose estimates. Only after these steps</w:t>
      </w:r>
      <w:r w:rsidR="00781826"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the data could be pooled together (H5 in Fig. 1). </w:t>
      </w:r>
    </w:p>
    <w:p w14:paraId="1FA6CBAB" w14:textId="77777777" w:rsidR="00310457" w:rsidRPr="00486BED" w:rsidRDefault="00145C32"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u w:val="single"/>
          <w:lang w:val="en-GB"/>
        </w:rPr>
        <w:t>Correction for</w:t>
      </w:r>
      <w:r w:rsidR="00310457" w:rsidRPr="00486BED">
        <w:rPr>
          <w:rFonts w:ascii="Times New Roman" w:hAnsi="Times New Roman" w:cs="Times New Roman"/>
          <w:sz w:val="24"/>
          <w:szCs w:val="24"/>
          <w:u w:val="single"/>
          <w:lang w:val="en-GB"/>
        </w:rPr>
        <w:t xml:space="preserve"> systematic errors.</w:t>
      </w:r>
      <w:r w:rsidR="00310457" w:rsidRPr="00486BED">
        <w:rPr>
          <w:rFonts w:ascii="Times New Roman" w:hAnsi="Times New Roman" w:cs="Times New Roman"/>
          <w:sz w:val="24"/>
          <w:szCs w:val="24"/>
          <w:lang w:val="en-GB"/>
        </w:rPr>
        <w:t xml:space="preserve"> </w:t>
      </w:r>
      <w:r w:rsidR="00310457" w:rsidRPr="00486BED">
        <w:rPr>
          <w:rFonts w:ascii="Times New Roman" w:hAnsi="Times New Roman" w:cs="Times New Roman"/>
          <w:sz w:val="24"/>
          <w:szCs w:val="24"/>
          <w:lang w:val="en-US"/>
        </w:rPr>
        <w:t xml:space="preserve">Evaluation of the biases and dose corrections were performed under H1 and H2 harmonization </w:t>
      </w:r>
      <w:r w:rsidR="00781826" w:rsidRPr="00486BED">
        <w:rPr>
          <w:rFonts w:ascii="Times New Roman" w:hAnsi="Times New Roman" w:cs="Times New Roman"/>
          <w:sz w:val="24"/>
          <w:szCs w:val="24"/>
          <w:lang w:val="en-US"/>
        </w:rPr>
        <w:t xml:space="preserve">steps </w:t>
      </w:r>
      <w:r w:rsidR="00310457" w:rsidRPr="00486BED">
        <w:rPr>
          <w:rFonts w:ascii="Times New Roman" w:hAnsi="Times New Roman" w:cs="Times New Roman"/>
          <w:sz w:val="24"/>
          <w:szCs w:val="24"/>
          <w:lang w:val="en-US"/>
        </w:rPr>
        <w:t xml:space="preserve">(Fig. 1). </w:t>
      </w:r>
      <w:r w:rsidR="00310457" w:rsidRPr="00486BED">
        <w:rPr>
          <w:rFonts w:ascii="Times New Roman" w:hAnsi="Times New Roman" w:cs="Times New Roman"/>
          <w:sz w:val="24"/>
          <w:szCs w:val="24"/>
          <w:lang w:val="en-GB"/>
        </w:rPr>
        <w:t>The method for calculation of the additive bias, C, based on the background dose measurements (M1</w:t>
      </w:r>
      <w:r w:rsidR="00310457" w:rsidRPr="00486BED">
        <w:rPr>
          <w:rFonts w:ascii="Times New Roman" w:hAnsi="Times New Roman" w:cs="Times New Roman"/>
          <w:sz w:val="24"/>
          <w:szCs w:val="24"/>
          <w:lang w:val="en-US"/>
        </w:rPr>
        <w:t xml:space="preserve"> in Fig. 1</w:t>
      </w:r>
      <w:r w:rsidR="00310457" w:rsidRPr="00486BED">
        <w:rPr>
          <w:rFonts w:ascii="Times New Roman" w:hAnsi="Times New Roman" w:cs="Times New Roman"/>
          <w:sz w:val="24"/>
          <w:szCs w:val="24"/>
          <w:lang w:val="en-GB"/>
        </w:rPr>
        <w:t>)</w:t>
      </w:r>
      <w:r w:rsidR="009B27D4">
        <w:rPr>
          <w:rFonts w:ascii="Times New Roman" w:hAnsi="Times New Roman" w:cs="Times New Roman"/>
          <w:sz w:val="24"/>
          <w:szCs w:val="24"/>
          <w:lang w:val="en-GB"/>
        </w:rPr>
        <w:t>,</w:t>
      </w:r>
      <w:r w:rsidR="00310457" w:rsidRPr="00486BED">
        <w:rPr>
          <w:rFonts w:ascii="Times New Roman" w:hAnsi="Times New Roman" w:cs="Times New Roman"/>
          <w:sz w:val="24"/>
          <w:szCs w:val="24"/>
          <w:lang w:val="en-GB"/>
        </w:rPr>
        <w:t xml:space="preserve"> </w:t>
      </w:r>
      <w:r w:rsidR="009B27D4">
        <w:rPr>
          <w:rFonts w:ascii="Times New Roman" w:hAnsi="Times New Roman" w:cs="Times New Roman"/>
          <w:sz w:val="24"/>
          <w:szCs w:val="24"/>
          <w:lang w:val="en-GB"/>
        </w:rPr>
        <w:t>wa</w:t>
      </w:r>
      <w:r w:rsidR="00310457" w:rsidRPr="00486BED">
        <w:rPr>
          <w:rFonts w:ascii="Times New Roman" w:hAnsi="Times New Roman" w:cs="Times New Roman"/>
          <w:sz w:val="24"/>
          <w:szCs w:val="24"/>
          <w:lang w:val="en-GB"/>
        </w:rPr>
        <w:t>s described in the previous section. For th</w:t>
      </w:r>
      <w:r w:rsidR="009B27D4">
        <w:rPr>
          <w:rFonts w:ascii="Times New Roman" w:hAnsi="Times New Roman" w:cs="Times New Roman"/>
          <w:sz w:val="24"/>
          <w:szCs w:val="24"/>
          <w:lang w:val="en-GB"/>
        </w:rPr>
        <w:t>os</w:t>
      </w:r>
      <w:r w:rsidR="00310457" w:rsidRPr="00486BED">
        <w:rPr>
          <w:rFonts w:ascii="Times New Roman" w:hAnsi="Times New Roman" w:cs="Times New Roman"/>
          <w:sz w:val="24"/>
          <w:szCs w:val="24"/>
          <w:lang w:val="en-GB"/>
        </w:rPr>
        <w:t xml:space="preserve">e methods which did not </w:t>
      </w:r>
      <w:r w:rsidR="009B27D4">
        <w:rPr>
          <w:rFonts w:ascii="Times New Roman" w:hAnsi="Times New Roman" w:cs="Times New Roman"/>
          <w:sz w:val="24"/>
          <w:szCs w:val="24"/>
          <w:lang w:val="en-GB"/>
        </w:rPr>
        <w:t xml:space="preserve">include </w:t>
      </w:r>
      <w:r w:rsidR="00310457" w:rsidRPr="00486BED">
        <w:rPr>
          <w:rFonts w:ascii="Times New Roman" w:hAnsi="Times New Roman" w:cs="Times New Roman"/>
          <w:sz w:val="24"/>
          <w:szCs w:val="24"/>
          <w:lang w:val="en-GB"/>
        </w:rPr>
        <w:t>measure</w:t>
      </w:r>
      <w:r w:rsidR="009B27D4">
        <w:rPr>
          <w:rFonts w:ascii="Times New Roman" w:hAnsi="Times New Roman" w:cs="Times New Roman"/>
          <w:sz w:val="24"/>
          <w:szCs w:val="24"/>
          <w:lang w:val="en-GB"/>
        </w:rPr>
        <w:t>ment of</w:t>
      </w:r>
      <w:r w:rsidR="00781826" w:rsidRPr="00486BED">
        <w:rPr>
          <w:rFonts w:ascii="Times New Roman" w:hAnsi="Times New Roman" w:cs="Times New Roman"/>
          <w:sz w:val="24"/>
          <w:szCs w:val="24"/>
          <w:lang w:val="en-GB"/>
        </w:rPr>
        <w:t xml:space="preserve"> </w:t>
      </w:r>
      <w:r w:rsidR="00310457" w:rsidRPr="00486BED">
        <w:rPr>
          <w:rFonts w:ascii="Times New Roman" w:hAnsi="Times New Roman" w:cs="Times New Roman"/>
          <w:sz w:val="24"/>
          <w:szCs w:val="24"/>
          <w:lang w:val="en-GB"/>
        </w:rPr>
        <w:t>background doses</w:t>
      </w:r>
      <w:r w:rsidR="00781826" w:rsidRPr="00486BED">
        <w:rPr>
          <w:rFonts w:ascii="Times New Roman" w:hAnsi="Times New Roman" w:cs="Times New Roman"/>
          <w:sz w:val="24"/>
          <w:szCs w:val="24"/>
          <w:lang w:val="en-GB"/>
        </w:rPr>
        <w:t>,</w:t>
      </w:r>
      <w:r w:rsidR="00310457" w:rsidRPr="00486BED">
        <w:rPr>
          <w:rFonts w:ascii="Times New Roman" w:hAnsi="Times New Roman" w:cs="Times New Roman"/>
          <w:sz w:val="24"/>
          <w:szCs w:val="24"/>
          <w:lang w:val="en-GB"/>
        </w:rPr>
        <w:t xml:space="preserve"> the values of additive biases were estimated based on M2</w:t>
      </w:r>
      <w:r w:rsidR="00310457" w:rsidRPr="00486BED">
        <w:rPr>
          <w:rFonts w:ascii="Times New Roman" w:hAnsi="Times New Roman" w:cs="Times New Roman"/>
          <w:sz w:val="24"/>
          <w:szCs w:val="24"/>
          <w:lang w:val="en-US"/>
        </w:rPr>
        <w:t xml:space="preserve"> (Fig. 1), viz., </w:t>
      </w:r>
      <w:r w:rsidR="00781826"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analysis of </w:t>
      </w:r>
      <w:r w:rsidR="00781826" w:rsidRPr="00486BED">
        <w:rPr>
          <w:rFonts w:ascii="Times New Roman" w:hAnsi="Times New Roman" w:cs="Times New Roman"/>
          <w:sz w:val="24"/>
          <w:szCs w:val="24"/>
          <w:lang w:val="en-US"/>
        </w:rPr>
        <w:t xml:space="preserve">the </w:t>
      </w:r>
      <w:r w:rsidR="009B27D4">
        <w:rPr>
          <w:rFonts w:ascii="Times New Roman" w:hAnsi="Times New Roman" w:cs="Times New Roman"/>
          <w:sz w:val="24"/>
          <w:szCs w:val="24"/>
          <w:lang w:val="en-US"/>
        </w:rPr>
        <w:t xml:space="preserve">results of the </w:t>
      </w:r>
      <w:r w:rsidR="00310457" w:rsidRPr="00486BED">
        <w:rPr>
          <w:rFonts w:ascii="Times New Roman" w:hAnsi="Times New Roman" w:cs="Times New Roman"/>
          <w:sz w:val="24"/>
          <w:szCs w:val="24"/>
          <w:lang w:val="en-GB"/>
        </w:rPr>
        <w:t>intercomparisons performed in different years (Chumak et al., 1996; Wieser et al., 2000a,b; Shishkina et al, 2003; Wieser et al., 2005; Wieser et al., 2006; Ivannikov et al., 2007; Hoshi et al., 2007)</w:t>
      </w:r>
      <w:r w:rsidR="00310457" w:rsidRPr="00486BED">
        <w:rPr>
          <w:rFonts w:ascii="Times New Roman" w:hAnsi="Times New Roman" w:cs="Times New Roman"/>
          <w:sz w:val="24"/>
          <w:szCs w:val="24"/>
          <w:lang w:val="en-US"/>
        </w:rPr>
        <w:t>. T</w:t>
      </w:r>
      <w:r w:rsidR="00310457" w:rsidRPr="00486BED">
        <w:rPr>
          <w:rFonts w:ascii="Times New Roman" w:hAnsi="Times New Roman" w:cs="Times New Roman"/>
          <w:sz w:val="24"/>
          <w:szCs w:val="24"/>
          <w:lang w:val="en-GB"/>
        </w:rPr>
        <w:t xml:space="preserve">he multiplicative bias </w:t>
      </w:r>
      <w:r w:rsidR="00781826" w:rsidRPr="00486BED">
        <w:rPr>
          <w:rFonts w:ascii="Times New Roman" w:hAnsi="Times New Roman" w:cs="Times New Roman"/>
          <w:sz w:val="24"/>
          <w:szCs w:val="24"/>
          <w:lang w:val="en-GB"/>
        </w:rPr>
        <w:t xml:space="preserve">(which is </w:t>
      </w:r>
      <w:r w:rsidR="009B27D4">
        <w:rPr>
          <w:rFonts w:ascii="Times New Roman" w:hAnsi="Times New Roman" w:cs="Times New Roman"/>
          <w:sz w:val="24"/>
          <w:szCs w:val="24"/>
          <w:lang w:val="en-GB"/>
        </w:rPr>
        <w:t>the</w:t>
      </w:r>
      <w:r w:rsidR="00310457" w:rsidRPr="00486BED">
        <w:rPr>
          <w:rFonts w:ascii="Times New Roman" w:hAnsi="Times New Roman" w:cs="Times New Roman"/>
          <w:sz w:val="24"/>
          <w:szCs w:val="24"/>
          <w:lang w:val="en-GB"/>
        </w:rPr>
        <w:t xml:space="preserve"> result of </w:t>
      </w:r>
      <w:r w:rsidR="00781826"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US"/>
        </w:rPr>
        <w:t>nonlinearity of the EPR dose response</w:t>
      </w:r>
      <w:r w:rsidR="00781826" w:rsidRPr="00486BED">
        <w:rPr>
          <w:rFonts w:ascii="Times New Roman" w:hAnsi="Times New Roman" w:cs="Times New Roman"/>
          <w:sz w:val="24"/>
          <w:szCs w:val="24"/>
          <w:lang w:val="en-US"/>
        </w:rPr>
        <w:t>)</w:t>
      </w:r>
      <w:r w:rsidR="00310457" w:rsidRPr="00486BED">
        <w:rPr>
          <w:rFonts w:ascii="Times New Roman" w:hAnsi="Times New Roman" w:cs="Times New Roman"/>
          <w:sz w:val="24"/>
          <w:szCs w:val="24"/>
          <w:lang w:val="en-GB"/>
        </w:rPr>
        <w:t xml:space="preserve"> was evaluated based on M3</w:t>
      </w:r>
      <w:r w:rsidR="00310457" w:rsidRPr="00486BED">
        <w:rPr>
          <w:rFonts w:ascii="Times New Roman" w:hAnsi="Times New Roman" w:cs="Times New Roman"/>
          <w:sz w:val="24"/>
          <w:szCs w:val="24"/>
          <w:lang w:val="en-US"/>
        </w:rPr>
        <w:t xml:space="preserve"> (Fig. 1). According to Ivanov et al. (2014), the nonlinearity of the EPR dose response was </w:t>
      </w:r>
      <w:r w:rsidR="00781826" w:rsidRPr="00486BED">
        <w:rPr>
          <w:rFonts w:ascii="Times New Roman" w:hAnsi="Times New Roman" w:cs="Times New Roman"/>
          <w:sz w:val="24"/>
          <w:szCs w:val="24"/>
          <w:lang w:val="en-US"/>
        </w:rPr>
        <w:t xml:space="preserve">observed </w:t>
      </w:r>
      <w:r w:rsidR="00552584" w:rsidRPr="00486BED">
        <w:rPr>
          <w:rFonts w:ascii="Times New Roman" w:hAnsi="Times New Roman" w:cs="Times New Roman"/>
          <w:sz w:val="24"/>
          <w:szCs w:val="24"/>
          <w:lang w:val="en-US"/>
        </w:rPr>
        <w:t>as a result of</w:t>
      </w:r>
      <w:r w:rsidR="00310457" w:rsidRPr="00486BED">
        <w:rPr>
          <w:rFonts w:ascii="Times New Roman" w:hAnsi="Times New Roman" w:cs="Times New Roman"/>
          <w:sz w:val="24"/>
          <w:szCs w:val="24"/>
          <w:lang w:val="en-US"/>
        </w:rPr>
        <w:t xml:space="preserve"> </w:t>
      </w:r>
      <w:r w:rsidR="00552584" w:rsidRPr="00486BED">
        <w:rPr>
          <w:rFonts w:ascii="Times New Roman" w:hAnsi="Times New Roman" w:cs="Times New Roman"/>
          <w:sz w:val="24"/>
          <w:szCs w:val="24"/>
          <w:lang w:val="en-US"/>
        </w:rPr>
        <w:t xml:space="preserve">processing </w:t>
      </w:r>
      <w:r w:rsidR="00310457" w:rsidRPr="00486BED">
        <w:rPr>
          <w:rFonts w:ascii="Times New Roman" w:hAnsi="Times New Roman" w:cs="Times New Roman"/>
          <w:sz w:val="24"/>
          <w:szCs w:val="24"/>
          <w:lang w:val="en-US"/>
        </w:rPr>
        <w:t>noisy spectra detected without a reference signal (namely for methods 2-7</w:t>
      </w:r>
      <w:r w:rsidR="009B27D4">
        <w:rPr>
          <w:rFonts w:ascii="Times New Roman" w:hAnsi="Times New Roman" w:cs="Times New Roman"/>
          <w:sz w:val="24"/>
          <w:szCs w:val="24"/>
          <w:lang w:val="en-US"/>
        </w:rPr>
        <w:t xml:space="preserve"> (see Table 2)</w:t>
      </w:r>
      <w:r w:rsidR="00310457" w:rsidRPr="00486BED">
        <w:rPr>
          <w:rFonts w:ascii="Times New Roman" w:hAnsi="Times New Roman" w:cs="Times New Roman"/>
          <w:sz w:val="24"/>
          <w:szCs w:val="24"/>
          <w:lang w:val="en-US"/>
        </w:rPr>
        <w:t xml:space="preserve">, which used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IMP sample preparation and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IMP or HMGU measurement protocols). The nonlinearity of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EPR dose response appeared at the </w:t>
      </w:r>
      <w:r w:rsidR="00310457" w:rsidRPr="00486BED">
        <w:rPr>
          <w:rFonts w:ascii="Times New Roman" w:hAnsi="Times New Roman" w:cs="Times New Roman"/>
          <w:i/>
          <w:sz w:val="24"/>
          <w:szCs w:val="24"/>
          <w:lang w:val="en-US"/>
        </w:rPr>
        <w:t>BDL</w:t>
      </w:r>
      <w:r w:rsidR="00310457" w:rsidRPr="00486BED">
        <w:rPr>
          <w:rFonts w:ascii="Times New Roman" w:hAnsi="Times New Roman" w:cs="Times New Roman"/>
          <w:sz w:val="24"/>
          <w:szCs w:val="24"/>
          <w:lang w:val="en-US"/>
        </w:rPr>
        <w:t xml:space="preserve"> levels</w:t>
      </w:r>
      <w:r w:rsidR="00552584" w:rsidRPr="00486BED">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and affected the slope of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calibration </w:t>
      </w:r>
      <w:r w:rsidR="00DB4E2A">
        <w:rPr>
          <w:rFonts w:ascii="Times New Roman" w:hAnsi="Times New Roman" w:cs="Times New Roman"/>
          <w:sz w:val="24"/>
          <w:szCs w:val="24"/>
          <w:lang w:val="en-US"/>
        </w:rPr>
        <w:t>curve</w:t>
      </w:r>
      <w:r w:rsidR="00310457" w:rsidRPr="00486BED">
        <w:rPr>
          <w:rFonts w:ascii="Times New Roman" w:hAnsi="Times New Roman" w:cs="Times New Roman"/>
          <w:sz w:val="24"/>
          <w:szCs w:val="24"/>
          <w:lang w:val="en-US"/>
        </w:rPr>
        <w:t xml:space="preserve">. Therefore, the multiplicative correction should be performed only for the doses above the </w:t>
      </w:r>
      <w:r w:rsidR="00310457" w:rsidRPr="00486BED">
        <w:rPr>
          <w:rFonts w:ascii="Times New Roman" w:hAnsi="Times New Roman" w:cs="Times New Roman"/>
          <w:i/>
          <w:sz w:val="24"/>
          <w:szCs w:val="24"/>
          <w:lang w:val="en-US"/>
        </w:rPr>
        <w:t>DL</w:t>
      </w:r>
      <w:r w:rsidR="00310457" w:rsidRPr="00486BED">
        <w:rPr>
          <w:rFonts w:ascii="Times New Roman" w:hAnsi="Times New Roman" w:cs="Times New Roman"/>
          <w:sz w:val="24"/>
          <w:szCs w:val="24"/>
          <w:lang w:val="en-US"/>
        </w:rPr>
        <w:t xml:space="preserve"> after subtraction of an additive bias (</w:t>
      </w:r>
      <w:r w:rsidR="00310457" w:rsidRPr="00486BED">
        <w:rPr>
          <w:rFonts w:ascii="Times New Roman" w:hAnsi="Times New Roman" w:cs="Times New Roman"/>
          <w:i/>
          <w:sz w:val="24"/>
          <w:szCs w:val="24"/>
          <w:lang w:val="en-US"/>
        </w:rPr>
        <w:t>C</w:t>
      </w:r>
      <w:r w:rsidR="00310457" w:rsidRPr="00486BED">
        <w:rPr>
          <w:rFonts w:ascii="Times New Roman" w:hAnsi="Times New Roman" w:cs="Times New Roman"/>
          <w:sz w:val="24"/>
          <w:szCs w:val="24"/>
          <w:lang w:val="en-US"/>
        </w:rPr>
        <w:t xml:space="preserve">).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Monte Carlo simulations described in Ivanov et al. (2014) al</w:t>
      </w:r>
      <w:r w:rsidR="00552584"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310457" w:rsidRPr="00486BED">
        <w:rPr>
          <w:rFonts w:ascii="Times New Roman" w:hAnsi="Times New Roman" w:cs="Times New Roman"/>
          <w:sz w:val="24"/>
          <w:szCs w:val="24"/>
          <w:lang w:val="en-US"/>
        </w:rPr>
        <w:t xml:space="preserve">ed </w:t>
      </w:r>
      <w:r w:rsidR="00DB4E2A">
        <w:rPr>
          <w:rFonts w:ascii="Times New Roman" w:hAnsi="Times New Roman" w:cs="Times New Roman"/>
          <w:sz w:val="24"/>
          <w:szCs w:val="24"/>
          <w:lang w:val="en-US"/>
        </w:rPr>
        <w:t xml:space="preserve">quantification of </w:t>
      </w:r>
      <w:r w:rsidR="00310457" w:rsidRPr="00486BED">
        <w:rPr>
          <w:rFonts w:ascii="Times New Roman" w:hAnsi="Times New Roman" w:cs="Times New Roman"/>
          <w:sz w:val="24"/>
          <w:szCs w:val="24"/>
          <w:lang w:val="en-US"/>
        </w:rPr>
        <w:t xml:space="preserve">the multiplicative systematic errors </w:t>
      </w:r>
      <w:r w:rsidR="00DB4E2A">
        <w:rPr>
          <w:rFonts w:ascii="Times New Roman" w:hAnsi="Times New Roman" w:cs="Times New Roman"/>
          <w:sz w:val="24"/>
          <w:szCs w:val="24"/>
          <w:lang w:val="en-US"/>
        </w:rPr>
        <w:t xml:space="preserve">to correspond </w:t>
      </w:r>
      <w:r w:rsidR="00310457" w:rsidRPr="00486BED">
        <w:rPr>
          <w:rFonts w:ascii="Times New Roman" w:hAnsi="Times New Roman" w:cs="Times New Roman"/>
          <w:sz w:val="24"/>
          <w:szCs w:val="24"/>
          <w:lang w:val="en-US"/>
        </w:rPr>
        <w:t>to a factor of 1.30</w:t>
      </w:r>
      <w:r w:rsidR="00DB4E2A">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lang w:val="en-US"/>
        </w:rPr>
        <w:t>±</w:t>
      </w:r>
      <w:r w:rsidR="00DB4E2A">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lang w:val="en-US"/>
        </w:rPr>
        <w:t>0.02 and 1.10</w:t>
      </w:r>
      <w:r w:rsidR="00DB4E2A">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lang w:val="en-US"/>
        </w:rPr>
        <w:t>±</w:t>
      </w:r>
      <w:r w:rsidR="00DB4E2A">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lang w:val="en-US"/>
        </w:rPr>
        <w:t xml:space="preserve">0.03 for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IMP and HMGU measurement results (</w:t>
      </w:r>
      <w:r w:rsidR="00DB4E2A">
        <w:rPr>
          <w:rFonts w:ascii="Times New Roman" w:hAnsi="Times New Roman" w:cs="Times New Roman"/>
          <w:sz w:val="24"/>
          <w:szCs w:val="24"/>
          <w:lang w:val="en-US"/>
        </w:rPr>
        <w:t xml:space="preserve">for </w:t>
      </w:r>
      <w:r w:rsidR="00552584"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IMP sample preparation), respectively. </w:t>
      </w:r>
    </w:p>
    <w:p w14:paraId="5CE02D7F" w14:textId="77777777" w:rsidR="00310457" w:rsidRPr="00486BED" w:rsidRDefault="00310457" w:rsidP="00486BED">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u w:val="single"/>
          <w:lang w:val="en-GB"/>
        </w:rPr>
        <w:t>Treatment of undetects</w:t>
      </w:r>
      <w:r w:rsidRPr="00486BED">
        <w:rPr>
          <w:rFonts w:ascii="Times New Roman" w:hAnsi="Times New Roman" w:cs="Times New Roman"/>
          <w:sz w:val="24"/>
          <w:szCs w:val="24"/>
          <w:lang w:val="en-GB"/>
        </w:rPr>
        <w:t xml:space="preserve">. Evaluation </w:t>
      </w:r>
      <w:r w:rsidR="00977266">
        <w:rPr>
          <w:rFonts w:ascii="Times New Roman" w:hAnsi="Times New Roman" w:cs="Times New Roman"/>
          <w:sz w:val="24"/>
          <w:szCs w:val="24"/>
          <w:lang w:val="en-GB"/>
        </w:rPr>
        <w:t xml:space="preserve">of </w:t>
      </w:r>
      <w:r w:rsidRPr="00486BED">
        <w:rPr>
          <w:rFonts w:ascii="Times New Roman" w:hAnsi="Times New Roman" w:cs="Times New Roman"/>
          <w:sz w:val="24"/>
          <w:szCs w:val="24"/>
          <w:lang w:val="en-GB"/>
        </w:rPr>
        <w:t>an anthropogenic dose, which can be assigned to undetects, was the 3</w:t>
      </w:r>
      <w:r w:rsidRPr="00486BED">
        <w:rPr>
          <w:rFonts w:ascii="Times New Roman" w:hAnsi="Times New Roman" w:cs="Times New Roman"/>
          <w:sz w:val="24"/>
          <w:szCs w:val="24"/>
          <w:vertAlign w:val="superscript"/>
          <w:lang w:val="en-GB"/>
        </w:rPr>
        <w:t>rd</w:t>
      </w:r>
      <w:r w:rsidRPr="00486BED">
        <w:rPr>
          <w:rFonts w:ascii="Times New Roman" w:hAnsi="Times New Roman" w:cs="Times New Roman"/>
          <w:sz w:val="24"/>
          <w:szCs w:val="24"/>
          <w:lang w:val="en-GB"/>
        </w:rPr>
        <w:t xml:space="preserve"> step of the harmonization (M4</w:t>
      </w:r>
      <w:r w:rsidRPr="00486BED">
        <w:rPr>
          <w:rFonts w:ascii="Times New Roman" w:hAnsi="Times New Roman" w:cs="Times New Roman"/>
          <w:sz w:val="24"/>
          <w:szCs w:val="24"/>
          <w:lang w:val="en-US"/>
        </w:rPr>
        <w:t xml:space="preserve"> in Fig. 1)</w:t>
      </w:r>
      <w:r w:rsidRPr="00486BED">
        <w:rPr>
          <w:rFonts w:ascii="Times New Roman" w:hAnsi="Times New Roman" w:cs="Times New Roman"/>
          <w:sz w:val="24"/>
          <w:szCs w:val="24"/>
          <w:lang w:val="en-GB"/>
        </w:rPr>
        <w:t>. The method-specific mathematical expectations for</w:t>
      </w:r>
      <w:r w:rsidR="00552584" w:rsidRPr="00486BED">
        <w:rPr>
          <w:rFonts w:ascii="Times New Roman" w:hAnsi="Times New Roman" w:cs="Times New Roman"/>
          <w:sz w:val="24"/>
          <w:szCs w:val="24"/>
          <w:lang w:val="en-GB"/>
        </w:rPr>
        <w:t xml:space="preserve"> the</w:t>
      </w:r>
      <w:r w:rsidRPr="00486BED">
        <w:rPr>
          <w:rFonts w:ascii="Times New Roman" w:hAnsi="Times New Roman" w:cs="Times New Roman"/>
          <w:sz w:val="24"/>
          <w:szCs w:val="24"/>
          <w:lang w:val="en-GB"/>
        </w:rPr>
        <w:t xml:space="preserve"> </w:t>
      </w:r>
      <w:r w:rsidRPr="00486BED">
        <w:rPr>
          <w:rFonts w:ascii="Times New Roman" w:hAnsi="Times New Roman" w:cs="Times New Roman"/>
          <w:i/>
          <w:sz w:val="24"/>
          <w:szCs w:val="24"/>
          <w:lang w:val="en-GB"/>
        </w:rPr>
        <w:t>BDL</w:t>
      </w:r>
      <w:r w:rsidRPr="00486BED">
        <w:rPr>
          <w:rFonts w:ascii="Times New Roman" w:hAnsi="Times New Roman" w:cs="Times New Roman"/>
          <w:sz w:val="24"/>
          <w:szCs w:val="24"/>
          <w:lang w:val="en-GB"/>
        </w:rPr>
        <w:t xml:space="preserve"> doses were evaluated using </w:t>
      </w:r>
      <w:r w:rsidR="00552584"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Monte Carlo modelling of </w:t>
      </w:r>
      <w:r w:rsidR="00552584"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mean difference between </w:t>
      </w:r>
      <w:r w:rsidRPr="00486BED">
        <w:rPr>
          <w:rFonts w:ascii="Times New Roman" w:hAnsi="Times New Roman" w:cs="Times New Roman"/>
          <w:i/>
          <w:sz w:val="24"/>
          <w:szCs w:val="24"/>
          <w:lang w:val="en-GB"/>
        </w:rPr>
        <w:t>BDLs</w:t>
      </w:r>
      <w:r w:rsidRPr="00486BED">
        <w:rPr>
          <w:rFonts w:ascii="Times New Roman" w:hAnsi="Times New Roman" w:cs="Times New Roman"/>
          <w:sz w:val="24"/>
          <w:szCs w:val="24"/>
          <w:lang w:val="en-GB"/>
        </w:rPr>
        <w:t xml:space="preserve"> for exposed and unexposed </w:t>
      </w:r>
      <w:r w:rsidR="00977266">
        <w:rPr>
          <w:rFonts w:ascii="Times New Roman" w:hAnsi="Times New Roman" w:cs="Times New Roman"/>
          <w:sz w:val="24"/>
          <w:szCs w:val="24"/>
          <w:lang w:val="en-GB"/>
        </w:rPr>
        <w:t>individuals</w:t>
      </w:r>
      <w:r w:rsidRPr="00486BED">
        <w:rPr>
          <w:rFonts w:ascii="Times New Roman" w:hAnsi="Times New Roman" w:cs="Times New Roman"/>
          <w:sz w:val="24"/>
          <w:szCs w:val="24"/>
          <w:lang w:val="en-GB"/>
        </w:rPr>
        <w:t xml:space="preserve">. </w:t>
      </w:r>
      <w:r w:rsidR="00977266">
        <w:rPr>
          <w:rFonts w:ascii="Times New Roman" w:hAnsi="Times New Roman" w:cs="Times New Roman"/>
          <w:sz w:val="24"/>
          <w:szCs w:val="24"/>
          <w:lang w:val="en-GB"/>
        </w:rPr>
        <w:t>M</w:t>
      </w:r>
      <w:r w:rsidRPr="00486BED">
        <w:rPr>
          <w:rFonts w:ascii="Times New Roman" w:hAnsi="Times New Roman" w:cs="Times New Roman"/>
          <w:sz w:val="24"/>
          <w:szCs w:val="24"/>
          <w:lang w:val="en-GB"/>
        </w:rPr>
        <w:t>ultiple realization was performed as fo</w:t>
      </w:r>
      <w:r w:rsidR="00552584" w:rsidRPr="00486BED">
        <w:rPr>
          <w:rFonts w:ascii="Times New Roman" w:hAnsi="Times New Roman" w:cs="Times New Roman"/>
          <w:sz w:val="24"/>
          <w:szCs w:val="24"/>
          <w:lang w:val="en-GB"/>
        </w:rPr>
        <w:t>ll</w:t>
      </w:r>
      <w:r w:rsidR="00315BAF" w:rsidRPr="00486BED">
        <w:rPr>
          <w:rFonts w:ascii="Times New Roman" w:hAnsi="Times New Roman" w:cs="Times New Roman"/>
          <w:sz w:val="24"/>
          <w:szCs w:val="24"/>
          <w:lang w:val="en-GB"/>
        </w:rPr>
        <w:t>ow</w:t>
      </w:r>
      <w:r w:rsidRPr="00486BED">
        <w:rPr>
          <w:rFonts w:ascii="Times New Roman" w:hAnsi="Times New Roman" w:cs="Times New Roman"/>
          <w:sz w:val="24"/>
          <w:szCs w:val="24"/>
          <w:lang w:val="en-GB"/>
        </w:rPr>
        <w:t>s: a dose randomly selected out of</w:t>
      </w:r>
      <w:r w:rsidR="00552584" w:rsidRPr="00486BED">
        <w:rPr>
          <w:rFonts w:ascii="Times New Roman" w:hAnsi="Times New Roman" w:cs="Times New Roman"/>
          <w:sz w:val="24"/>
          <w:szCs w:val="24"/>
          <w:lang w:val="en-GB"/>
        </w:rPr>
        <w:t xml:space="preserve"> the</w:t>
      </w:r>
      <w:r w:rsidRPr="00486BED">
        <w:rPr>
          <w:rFonts w:ascii="Times New Roman" w:hAnsi="Times New Roman" w:cs="Times New Roman"/>
          <w:sz w:val="24"/>
          <w:szCs w:val="24"/>
          <w:lang w:val="en-GB"/>
        </w:rPr>
        <w:t xml:space="preserve"> </w:t>
      </w:r>
      <w:r w:rsidRPr="00486BED">
        <w:rPr>
          <w:rFonts w:ascii="Times New Roman" w:hAnsi="Times New Roman" w:cs="Times New Roman"/>
          <w:i/>
          <w:sz w:val="24"/>
          <w:szCs w:val="24"/>
          <w:lang w:val="en-GB"/>
        </w:rPr>
        <w:t>BDL</w:t>
      </w:r>
      <w:r w:rsidRPr="00486BED">
        <w:rPr>
          <w:rFonts w:ascii="Times New Roman" w:hAnsi="Times New Roman" w:cs="Times New Roman"/>
          <w:sz w:val="24"/>
          <w:szCs w:val="24"/>
          <w:lang w:val="en-GB"/>
        </w:rPr>
        <w:t xml:space="preserve"> EPR measurements for </w:t>
      </w:r>
      <w:r w:rsidR="00552584"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exposed population minus</w:t>
      </w:r>
      <w:r w:rsidR="00552584" w:rsidRPr="00486BED">
        <w:rPr>
          <w:rFonts w:ascii="Times New Roman" w:hAnsi="Times New Roman" w:cs="Times New Roman"/>
          <w:sz w:val="24"/>
          <w:szCs w:val="24"/>
          <w:lang w:val="en-GB"/>
        </w:rPr>
        <w:t xml:space="preserve"> a</w:t>
      </w:r>
      <w:r w:rsidRPr="00486BED">
        <w:rPr>
          <w:rFonts w:ascii="Times New Roman" w:hAnsi="Times New Roman" w:cs="Times New Roman"/>
          <w:sz w:val="24"/>
          <w:szCs w:val="24"/>
          <w:lang w:val="en-GB"/>
        </w:rPr>
        <w:t xml:space="preserve"> “true” background dose randomly selected from</w:t>
      </w:r>
      <w:r w:rsidR="00552584" w:rsidRPr="00486BED">
        <w:rPr>
          <w:rFonts w:ascii="Times New Roman" w:hAnsi="Times New Roman" w:cs="Times New Roman"/>
          <w:sz w:val="24"/>
          <w:szCs w:val="24"/>
          <w:lang w:val="en-GB"/>
        </w:rPr>
        <w:t xml:space="preserve"> the</w:t>
      </w:r>
      <w:r w:rsidRPr="00486BED">
        <w:rPr>
          <w:rFonts w:ascii="Times New Roman" w:hAnsi="Times New Roman" w:cs="Times New Roman"/>
          <w:sz w:val="24"/>
          <w:szCs w:val="24"/>
          <w:lang w:val="en-GB"/>
        </w:rPr>
        <w:t xml:space="preserve"> </w:t>
      </w:r>
      <m:oMath>
        <m:r>
          <w:rPr>
            <w:rFonts w:ascii="Cambria Math" w:hAnsi="Cambria Math" w:cs="Times New Roman"/>
            <w:sz w:val="24"/>
            <w:szCs w:val="24"/>
          </w:rPr>
          <m:t>LogN</m:t>
        </m:r>
        <m:d>
          <m:dPr>
            <m:begChr m:val="["/>
            <m:endChr m:val="]"/>
            <m:ctrlPr>
              <w:rPr>
                <w:rFonts w:ascii="Cambria Math" w:hAnsi="Cambria Math" w:cs="Times New Roman"/>
                <w:i/>
                <w:sz w:val="24"/>
                <w:szCs w:val="24"/>
              </w:rPr>
            </m:ctrlPr>
          </m:dPr>
          <m:e>
            <m:r>
              <w:rPr>
                <w:rFonts w:ascii="Cambria Math" w:hAnsi="Cambria Math" w:cs="Times New Roman"/>
                <w:sz w:val="24"/>
                <w:szCs w:val="24"/>
              </w:rPr>
              <m:t>m</m:t>
            </m:r>
            <m:r>
              <w:rPr>
                <w:rFonts w:ascii="Cambria Math" w:hAnsi="Cambria Math" w:cs="Times New Roman"/>
                <w:sz w:val="24"/>
                <w:szCs w:val="24"/>
                <w:lang w:val="en-US"/>
              </w:rPr>
              <m:t>,</m:t>
            </m:r>
            <m:r>
              <w:rPr>
                <w:rFonts w:ascii="Cambria Math" w:hAnsi="Cambria Math" w:cs="Times New Roman"/>
                <w:sz w:val="24"/>
                <w:szCs w:val="24"/>
              </w:rPr>
              <m:t>s</m:t>
            </m:r>
          </m:e>
        </m:d>
      </m:oMath>
      <w:r w:rsidRPr="00486BED">
        <w:rPr>
          <w:rFonts w:ascii="Times New Roman" w:eastAsiaTheme="minorEastAsia" w:hAnsi="Times New Roman" w:cs="Times New Roman"/>
          <w:sz w:val="24"/>
          <w:szCs w:val="24"/>
          <w:lang w:val="en-US"/>
        </w:rPr>
        <w:t xml:space="preserve"> </w:t>
      </w:r>
      <w:r w:rsidR="00977266">
        <w:rPr>
          <w:rFonts w:ascii="Times New Roman" w:eastAsiaTheme="minorEastAsia" w:hAnsi="Times New Roman" w:cs="Times New Roman"/>
          <w:sz w:val="24"/>
          <w:szCs w:val="24"/>
          <w:lang w:val="en-US"/>
        </w:rPr>
        <w:t xml:space="preserve">distribution </w:t>
      </w:r>
      <w:r w:rsidRPr="00486BED">
        <w:rPr>
          <w:rFonts w:ascii="Times New Roman" w:eastAsiaTheme="minorEastAsia" w:hAnsi="Times New Roman" w:cs="Times New Roman"/>
          <w:sz w:val="24"/>
          <w:szCs w:val="24"/>
          <w:lang w:val="en-US"/>
        </w:rPr>
        <w:t>(Eqn. 4)</w:t>
      </w:r>
      <w:r w:rsidRPr="00486BED">
        <w:rPr>
          <w:rFonts w:ascii="Times New Roman" w:hAnsi="Times New Roman" w:cs="Times New Roman"/>
          <w:sz w:val="24"/>
          <w:szCs w:val="24"/>
          <w:lang w:val="en-GB"/>
        </w:rPr>
        <w:t xml:space="preserve">. The deterministic version of this method was suggested in Volchkova et al. (2011). However, </w:t>
      </w:r>
      <w:r w:rsidR="00552584"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implementation of </w:t>
      </w:r>
      <w:r w:rsidR="00552584"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Monte Carlo simulations al</w:t>
      </w:r>
      <w:r w:rsidR="00552584" w:rsidRPr="00486BED">
        <w:rPr>
          <w:rFonts w:ascii="Times New Roman" w:hAnsi="Times New Roman" w:cs="Times New Roman"/>
          <w:sz w:val="24"/>
          <w:szCs w:val="24"/>
          <w:lang w:val="en-GB"/>
        </w:rPr>
        <w:t>l</w:t>
      </w:r>
      <w:r w:rsidR="00315BAF" w:rsidRPr="00486BED">
        <w:rPr>
          <w:rFonts w:ascii="Times New Roman" w:hAnsi="Times New Roman" w:cs="Times New Roman"/>
          <w:sz w:val="24"/>
          <w:szCs w:val="24"/>
          <w:lang w:val="en-GB"/>
        </w:rPr>
        <w:t>ow</w:t>
      </w:r>
      <w:r w:rsidR="00977266">
        <w:rPr>
          <w:rFonts w:ascii="Times New Roman" w:hAnsi="Times New Roman" w:cs="Times New Roman"/>
          <w:sz w:val="24"/>
          <w:szCs w:val="24"/>
          <w:lang w:val="en-GB"/>
        </w:rPr>
        <w:t>ed</w:t>
      </w:r>
      <w:r w:rsidRPr="00486BED">
        <w:rPr>
          <w:rFonts w:ascii="Times New Roman" w:hAnsi="Times New Roman" w:cs="Times New Roman"/>
          <w:sz w:val="24"/>
          <w:szCs w:val="24"/>
          <w:lang w:val="en-GB"/>
        </w:rPr>
        <w:t xml:space="preserve"> specifying the central estimate for </w:t>
      </w:r>
      <w:r w:rsidR="00977266">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truncated non-Gauss distribution of</w:t>
      </w:r>
      <w:r w:rsidR="00552584" w:rsidRPr="00486BED">
        <w:rPr>
          <w:rFonts w:ascii="Times New Roman" w:hAnsi="Times New Roman" w:cs="Times New Roman"/>
          <w:sz w:val="24"/>
          <w:szCs w:val="24"/>
          <w:lang w:val="en-GB"/>
        </w:rPr>
        <w:t xml:space="preserve"> the</w:t>
      </w:r>
      <w:r w:rsidRPr="00486BED">
        <w:rPr>
          <w:rFonts w:ascii="Times New Roman" w:hAnsi="Times New Roman" w:cs="Times New Roman"/>
          <w:sz w:val="24"/>
          <w:szCs w:val="24"/>
          <w:lang w:val="en-GB"/>
        </w:rPr>
        <w:t xml:space="preserve"> </w:t>
      </w:r>
      <w:r w:rsidRPr="00486BED">
        <w:rPr>
          <w:rFonts w:ascii="Times New Roman" w:hAnsi="Times New Roman" w:cs="Times New Roman"/>
          <w:i/>
          <w:sz w:val="24"/>
          <w:szCs w:val="24"/>
          <w:lang w:val="en-GB"/>
        </w:rPr>
        <w:t>BDL</w:t>
      </w:r>
      <w:r w:rsidRPr="00486BED">
        <w:rPr>
          <w:rFonts w:ascii="Times New Roman" w:hAnsi="Times New Roman" w:cs="Times New Roman"/>
          <w:sz w:val="24"/>
          <w:szCs w:val="24"/>
          <w:lang w:val="en-GB"/>
        </w:rPr>
        <w:t xml:space="preserve"> doses for exposed </w:t>
      </w:r>
      <w:r w:rsidR="00977266">
        <w:rPr>
          <w:rFonts w:ascii="Times New Roman" w:hAnsi="Times New Roman" w:cs="Times New Roman"/>
          <w:sz w:val="24"/>
          <w:szCs w:val="24"/>
          <w:lang w:val="en-GB"/>
        </w:rPr>
        <w:t>individuals</w:t>
      </w:r>
      <w:r w:rsidR="00552584" w:rsidRPr="00486BED">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 as well as evaluating the uncertainty of the mathematical expectation</w:t>
      </w:r>
      <w:r w:rsidR="00977266">
        <w:rPr>
          <w:rFonts w:ascii="Times New Roman" w:hAnsi="Times New Roman" w:cs="Times New Roman"/>
          <w:sz w:val="24"/>
          <w:szCs w:val="24"/>
          <w:lang w:val="en-GB"/>
        </w:rPr>
        <w:t xml:space="preserve"> values</w:t>
      </w:r>
      <w:r w:rsidRPr="00486BED">
        <w:rPr>
          <w:rFonts w:ascii="Times New Roman" w:hAnsi="Times New Roman" w:cs="Times New Roman"/>
          <w:sz w:val="24"/>
          <w:szCs w:val="24"/>
          <w:lang w:val="en-GB"/>
        </w:rPr>
        <w:t xml:space="preserve">. </w:t>
      </w:r>
    </w:p>
    <w:p w14:paraId="1F3E3AD4" w14:textId="77777777" w:rsidR="00310457" w:rsidRPr="00486BED" w:rsidRDefault="00310457" w:rsidP="00486BED">
      <w:pPr>
        <w:pStyle w:val="Listenabsatz"/>
        <w:autoSpaceDE w:val="0"/>
        <w:autoSpaceDN w:val="0"/>
        <w:adjustRightInd w:val="0"/>
        <w:spacing w:after="240" w:line="360" w:lineRule="auto"/>
        <w:ind w:left="0"/>
        <w:jc w:val="both"/>
        <w:rPr>
          <w:rFonts w:ascii="Times New Roman" w:hAnsi="Times New Roman" w:cs="Times New Roman"/>
          <w:sz w:val="24"/>
          <w:szCs w:val="24"/>
          <w:lang w:val="en-US"/>
        </w:rPr>
      </w:pPr>
      <w:r w:rsidRPr="00486BED">
        <w:rPr>
          <w:rFonts w:ascii="Times New Roman" w:hAnsi="Times New Roman" w:cs="Times New Roman"/>
          <w:sz w:val="24"/>
          <w:szCs w:val="24"/>
          <w:u w:val="single"/>
          <w:lang w:val="en-US"/>
        </w:rPr>
        <w:t>Standard uncertainty of dose evaluation.</w:t>
      </w:r>
      <w:r w:rsidRPr="00486BED">
        <w:rPr>
          <w:rFonts w:ascii="Times New Roman" w:hAnsi="Times New Roman" w:cs="Times New Roman"/>
          <w:sz w:val="24"/>
          <w:szCs w:val="24"/>
          <w:lang w:val="en-US"/>
        </w:rPr>
        <w:t xml:space="preserve"> The uncertainties of </w:t>
      </w:r>
      <w:r w:rsidRPr="00486BED">
        <w:rPr>
          <w:rFonts w:ascii="Times New Roman" w:hAnsi="Times New Roman" w:cs="Times New Roman"/>
          <w:i/>
          <w:sz w:val="24"/>
          <w:szCs w:val="24"/>
          <w:lang w:val="en-US"/>
        </w:rPr>
        <w:t>D</w:t>
      </w:r>
      <w:r w:rsidR="00392103">
        <w:rPr>
          <w:rFonts w:ascii="Times New Roman" w:hAnsi="Times New Roman" w:cs="Times New Roman"/>
          <w:i/>
          <w:sz w:val="24"/>
          <w:szCs w:val="24"/>
          <w:lang w:val="en-US"/>
        </w:rPr>
        <w:t xml:space="preserve"> </w:t>
      </w:r>
      <w:r w:rsidRPr="00486BED">
        <w:rPr>
          <w:rFonts w:ascii="Times New Roman" w:hAnsi="Times New Roman" w:cs="Times New Roman"/>
          <w:i/>
          <w:sz w:val="24"/>
          <w:szCs w:val="24"/>
          <w:lang w:val="en-US"/>
        </w:rPr>
        <w:t>&lt; DL</w:t>
      </w:r>
      <w:r w:rsidRPr="00486BED">
        <w:rPr>
          <w:rFonts w:ascii="Times New Roman" w:hAnsi="Times New Roman" w:cs="Times New Roman"/>
          <w:sz w:val="24"/>
          <w:szCs w:val="24"/>
          <w:lang w:val="en-US"/>
        </w:rPr>
        <w:t xml:space="preserve"> and </w:t>
      </w:r>
      <w:r w:rsidRPr="00486BED">
        <w:rPr>
          <w:rFonts w:ascii="Times New Roman" w:hAnsi="Times New Roman" w:cs="Times New Roman"/>
          <w:i/>
          <w:sz w:val="24"/>
          <w:szCs w:val="24"/>
          <w:lang w:val="en-US"/>
        </w:rPr>
        <w:t>D</w:t>
      </w:r>
      <w:r w:rsidR="00392103">
        <w:rPr>
          <w:rFonts w:ascii="Times New Roman" w:hAnsi="Times New Roman" w:cs="Times New Roman"/>
          <w:i/>
          <w:sz w:val="24"/>
          <w:szCs w:val="24"/>
          <w:lang w:val="en-US"/>
        </w:rPr>
        <w:t xml:space="preserve"> </w:t>
      </w:r>
      <w:r w:rsidRPr="00486BED">
        <w:rPr>
          <w:rFonts w:ascii="Times New Roman" w:hAnsi="Times New Roman" w:cs="Times New Roman"/>
          <w:i/>
          <w:sz w:val="24"/>
          <w:szCs w:val="24"/>
          <w:lang w:val="en-US"/>
        </w:rPr>
        <w:t>&gt;</w:t>
      </w:r>
      <w:r w:rsidR="00392103">
        <w:rPr>
          <w:rFonts w:ascii="Times New Roman" w:hAnsi="Times New Roman" w:cs="Times New Roman"/>
          <w:i/>
          <w:sz w:val="24"/>
          <w:szCs w:val="24"/>
          <w:lang w:val="en-US"/>
        </w:rPr>
        <w:t xml:space="preserve"> </w:t>
      </w:r>
      <w:r w:rsidRPr="00486BED">
        <w:rPr>
          <w:rFonts w:ascii="Times New Roman" w:hAnsi="Times New Roman" w:cs="Times New Roman"/>
          <w:i/>
          <w:sz w:val="24"/>
          <w:szCs w:val="24"/>
          <w:lang w:val="en-US"/>
        </w:rPr>
        <w:t>DL</w:t>
      </w:r>
      <w:r w:rsidRPr="00486BED">
        <w:rPr>
          <w:rFonts w:ascii="Times New Roman" w:hAnsi="Times New Roman" w:cs="Times New Roman"/>
          <w:sz w:val="24"/>
          <w:szCs w:val="24"/>
          <w:lang w:val="en-US"/>
        </w:rPr>
        <w:t xml:space="preserve"> were also evaluated separately (H4 in Fig. 1). </w:t>
      </w:r>
      <w:r w:rsidR="00552584" w:rsidRPr="00486BED">
        <w:rPr>
          <w:rFonts w:ascii="Times New Roman" w:hAnsi="Times New Roman" w:cs="Times New Roman"/>
          <w:sz w:val="24"/>
          <w:szCs w:val="24"/>
          <w:lang w:val="en-US"/>
        </w:rPr>
        <w:t>The u</w:t>
      </w:r>
      <w:r w:rsidRPr="00486BED">
        <w:rPr>
          <w:rFonts w:ascii="Times New Roman" w:hAnsi="Times New Roman" w:cs="Times New Roman"/>
          <w:sz w:val="24"/>
          <w:szCs w:val="24"/>
          <w:lang w:val="en-US"/>
        </w:rPr>
        <w:t xml:space="preserve">ncertainty of </w:t>
      </w:r>
      <w:r w:rsidRPr="00486BED">
        <w:rPr>
          <w:rFonts w:ascii="Times New Roman" w:hAnsi="Times New Roman" w:cs="Times New Roman"/>
          <w:i/>
          <w:sz w:val="24"/>
          <w:szCs w:val="24"/>
          <w:lang w:val="en-US"/>
        </w:rPr>
        <w:t>D</w:t>
      </w:r>
      <w:r w:rsidR="00392103">
        <w:rPr>
          <w:rFonts w:ascii="Times New Roman" w:hAnsi="Times New Roman" w:cs="Times New Roman"/>
          <w:i/>
          <w:sz w:val="24"/>
          <w:szCs w:val="24"/>
          <w:lang w:val="en-US"/>
        </w:rPr>
        <w:t xml:space="preserve"> </w:t>
      </w:r>
      <w:r w:rsidRPr="00486BED">
        <w:rPr>
          <w:rFonts w:ascii="Times New Roman" w:hAnsi="Times New Roman" w:cs="Times New Roman"/>
          <w:i/>
          <w:sz w:val="24"/>
          <w:szCs w:val="24"/>
          <w:lang w:val="en-US"/>
        </w:rPr>
        <w:t>&gt;</w:t>
      </w:r>
      <w:r w:rsidR="00392103">
        <w:rPr>
          <w:rFonts w:ascii="Times New Roman" w:hAnsi="Times New Roman" w:cs="Times New Roman"/>
          <w:i/>
          <w:sz w:val="24"/>
          <w:szCs w:val="24"/>
          <w:lang w:val="en-US"/>
        </w:rPr>
        <w:t xml:space="preserve"> </w:t>
      </w:r>
      <w:r w:rsidRPr="00486BED">
        <w:rPr>
          <w:rFonts w:ascii="Times New Roman" w:hAnsi="Times New Roman" w:cs="Times New Roman"/>
          <w:i/>
          <w:sz w:val="24"/>
          <w:szCs w:val="24"/>
          <w:lang w:val="en-US"/>
        </w:rPr>
        <w:t>DL</w:t>
      </w:r>
      <w:r w:rsidRPr="00486BED">
        <w:rPr>
          <w:rFonts w:ascii="Times New Roman" w:hAnsi="Times New Roman" w:cs="Times New Roman"/>
          <w:sz w:val="24"/>
          <w:szCs w:val="24"/>
          <w:lang w:val="en-US"/>
        </w:rPr>
        <w:t xml:space="preserve"> consists of the method-specific measurement uncertainty (Table A1), the uncertainty of bias correction, the uncertainty due to individual variability of </w:t>
      </w:r>
      <w:r w:rsidR="00552584"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enamel radiation sensitivity</w:t>
      </w:r>
      <w:r w:rsidR="00552584"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the background dose variation. </w:t>
      </w:r>
      <w:r w:rsidR="00552584" w:rsidRPr="00486BED">
        <w:rPr>
          <w:rFonts w:ascii="Times New Roman" w:hAnsi="Times New Roman" w:cs="Times New Roman"/>
          <w:sz w:val="24"/>
          <w:szCs w:val="24"/>
          <w:lang w:val="en-US"/>
        </w:rPr>
        <w:t>The u</w:t>
      </w:r>
      <w:r w:rsidRPr="00486BED">
        <w:rPr>
          <w:rFonts w:ascii="Times New Roman" w:hAnsi="Times New Roman" w:cs="Times New Roman"/>
          <w:sz w:val="24"/>
          <w:szCs w:val="24"/>
          <w:lang w:val="en-US"/>
        </w:rPr>
        <w:t xml:space="preserve">ncertainty of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doses </w:t>
      </w:r>
      <w:r w:rsidR="00793B39">
        <w:rPr>
          <w:rFonts w:ascii="Times New Roman" w:hAnsi="Times New Roman" w:cs="Times New Roman"/>
          <w:sz w:val="24"/>
          <w:szCs w:val="24"/>
          <w:lang w:val="en-US"/>
        </w:rPr>
        <w:t>(</w:t>
      </w:r>
      <w:r w:rsidR="00793B39" w:rsidRPr="00486BED">
        <w:rPr>
          <w:rFonts w:ascii="Times New Roman" w:hAnsi="Times New Roman" w:cs="Times New Roman"/>
          <w:i/>
          <w:sz w:val="24"/>
          <w:szCs w:val="24"/>
          <w:lang w:val="en-US"/>
        </w:rPr>
        <w:t>D</w:t>
      </w:r>
      <w:r w:rsidR="00793B39">
        <w:rPr>
          <w:rFonts w:ascii="Times New Roman" w:hAnsi="Times New Roman" w:cs="Times New Roman"/>
          <w:i/>
          <w:sz w:val="24"/>
          <w:szCs w:val="24"/>
          <w:lang w:val="en-US"/>
        </w:rPr>
        <w:t xml:space="preserve"> </w:t>
      </w:r>
      <w:r w:rsidR="00793B39" w:rsidRPr="00486BED">
        <w:rPr>
          <w:rFonts w:ascii="Times New Roman" w:hAnsi="Times New Roman" w:cs="Times New Roman"/>
          <w:i/>
          <w:sz w:val="24"/>
          <w:szCs w:val="24"/>
          <w:lang w:val="en-US"/>
        </w:rPr>
        <w:t>&lt; DL</w:t>
      </w:r>
      <w:r w:rsidR="00793B39">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consists of </w:t>
      </w:r>
      <w:r w:rsidR="00552584"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uncertainty of the mathematical expectation </w:t>
      </w:r>
      <w:r w:rsidR="00793B39">
        <w:rPr>
          <w:rFonts w:ascii="Times New Roman" w:hAnsi="Times New Roman" w:cs="Times New Roman"/>
          <w:sz w:val="24"/>
          <w:szCs w:val="24"/>
          <w:lang w:val="en-US"/>
        </w:rPr>
        <w:t xml:space="preserve">value </w:t>
      </w:r>
      <w:r w:rsidRPr="00486BED">
        <w:rPr>
          <w:rFonts w:ascii="Times New Roman" w:hAnsi="Times New Roman" w:cs="Times New Roman"/>
          <w:sz w:val="24"/>
          <w:szCs w:val="24"/>
          <w:lang w:val="en-US"/>
        </w:rPr>
        <w:t xml:space="preserve">substituted </w:t>
      </w:r>
      <w:r w:rsidR="00793B39">
        <w:rPr>
          <w:rFonts w:ascii="Times New Roman" w:hAnsi="Times New Roman" w:cs="Times New Roman"/>
          <w:sz w:val="24"/>
          <w:szCs w:val="24"/>
          <w:lang w:val="en-US"/>
        </w:rPr>
        <w:t xml:space="preserve">for the </w:t>
      </w:r>
      <w:r w:rsidRPr="00486BED">
        <w:rPr>
          <w:rFonts w:ascii="Times New Roman" w:hAnsi="Times New Roman" w:cs="Times New Roman"/>
          <w:sz w:val="24"/>
          <w:szCs w:val="24"/>
          <w:lang w:val="en-US"/>
        </w:rPr>
        <w:t>undetects</w:t>
      </w:r>
      <w:r w:rsidRPr="00486BED">
        <w:rPr>
          <w:rFonts w:ascii="Times New Roman" w:hAnsi="Times New Roman" w:cs="Times New Roman"/>
          <w:i/>
          <w:sz w:val="24"/>
          <w:szCs w:val="24"/>
          <w:lang w:val="en-US"/>
        </w:rPr>
        <w:t xml:space="preserve"> </w:t>
      </w:r>
      <w:r w:rsidRPr="00486BED">
        <w:rPr>
          <w:rFonts w:ascii="Times New Roman" w:hAnsi="Times New Roman" w:cs="Times New Roman"/>
          <w:sz w:val="24"/>
          <w:szCs w:val="24"/>
          <w:lang w:val="en-US"/>
        </w:rPr>
        <w:t xml:space="preserve">(described above) and </w:t>
      </w:r>
      <w:r w:rsidR="00793B39">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uncertainty of </w:t>
      </w:r>
      <w:r w:rsidR="00552584"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additive bias. </w:t>
      </w:r>
    </w:p>
    <w:p w14:paraId="31639AC1" w14:textId="77777777" w:rsidR="00310457" w:rsidRPr="00486BED" w:rsidRDefault="00310457" w:rsidP="00F763B2">
      <w:pPr>
        <w:pStyle w:val="Listenabsatz"/>
        <w:autoSpaceDE w:val="0"/>
        <w:autoSpaceDN w:val="0"/>
        <w:adjustRightInd w:val="0"/>
        <w:spacing w:after="240" w:line="360" w:lineRule="auto"/>
        <w:ind w:left="0"/>
        <w:contextualSpacing w:val="0"/>
        <w:jc w:val="both"/>
        <w:rPr>
          <w:rFonts w:ascii="Times New Roman" w:hAnsi="Times New Roman" w:cs="Times New Roman"/>
          <w:sz w:val="24"/>
          <w:szCs w:val="24"/>
          <w:lang w:val="en-US"/>
        </w:rPr>
      </w:pPr>
      <w:r w:rsidRPr="00486BED">
        <w:rPr>
          <w:rFonts w:ascii="Times New Roman" w:hAnsi="Times New Roman" w:cs="Times New Roman"/>
          <w:sz w:val="24"/>
          <w:szCs w:val="24"/>
          <w:u w:val="single"/>
          <w:lang w:val="en-US"/>
        </w:rPr>
        <w:t xml:space="preserve">Test </w:t>
      </w:r>
      <w:r w:rsidR="002D6E07">
        <w:rPr>
          <w:rFonts w:ascii="Times New Roman" w:hAnsi="Times New Roman" w:cs="Times New Roman"/>
          <w:sz w:val="24"/>
          <w:szCs w:val="24"/>
          <w:u w:val="single"/>
          <w:lang w:val="en-US"/>
        </w:rPr>
        <w:t>for</w:t>
      </w:r>
      <w:r w:rsidRPr="00486BED">
        <w:rPr>
          <w:rFonts w:ascii="Times New Roman" w:hAnsi="Times New Roman" w:cs="Times New Roman"/>
          <w:sz w:val="24"/>
          <w:szCs w:val="24"/>
          <w:u w:val="single"/>
          <w:lang w:val="en-US"/>
        </w:rPr>
        <w:t xml:space="preserve"> quality of harmonization (blind test)</w:t>
      </w:r>
      <w:r w:rsidRPr="00486BED">
        <w:rPr>
          <w:rFonts w:ascii="Times New Roman" w:hAnsi="Times New Roman" w:cs="Times New Roman"/>
          <w:sz w:val="24"/>
          <w:szCs w:val="24"/>
          <w:lang w:val="en-US"/>
        </w:rPr>
        <w:t xml:space="preserve">. The quality of harmonization was evaluated </w:t>
      </w:r>
      <w:r w:rsidR="00552584" w:rsidRPr="00486BED">
        <w:rPr>
          <w:rFonts w:ascii="Times New Roman" w:hAnsi="Times New Roman" w:cs="Times New Roman"/>
          <w:sz w:val="24"/>
          <w:szCs w:val="24"/>
          <w:lang w:val="en-US"/>
        </w:rPr>
        <w:t>using a</w:t>
      </w:r>
      <w:r w:rsidRPr="00486BED">
        <w:rPr>
          <w:rFonts w:ascii="Times New Roman" w:hAnsi="Times New Roman" w:cs="Times New Roman"/>
          <w:sz w:val="24"/>
          <w:szCs w:val="24"/>
          <w:lang w:val="en-US"/>
        </w:rPr>
        <w:t xml:space="preserve"> blind test. </w:t>
      </w:r>
      <w:r w:rsidR="00552584" w:rsidRPr="00486BED">
        <w:rPr>
          <w:rFonts w:ascii="Times New Roman" w:hAnsi="Times New Roman" w:cs="Times New Roman"/>
          <w:sz w:val="24"/>
          <w:szCs w:val="24"/>
          <w:lang w:val="en-US"/>
        </w:rPr>
        <w:t>The s</w:t>
      </w:r>
      <w:r w:rsidRPr="00486BED">
        <w:rPr>
          <w:rFonts w:ascii="Times New Roman" w:hAnsi="Times New Roman" w:cs="Times New Roman"/>
          <w:sz w:val="24"/>
          <w:szCs w:val="24"/>
          <w:lang w:val="en-US"/>
        </w:rPr>
        <w:t>amples prepared by</w:t>
      </w:r>
      <w:r w:rsidR="00552584"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IMP and HMGU were irradiated by known doses </w:t>
      </w:r>
      <w:r w:rsidRPr="00486BED">
        <w:rPr>
          <w:rFonts w:ascii="Times New Roman" w:hAnsi="Times New Roman" w:cs="Times New Roman"/>
          <w:sz w:val="24"/>
          <w:szCs w:val="24"/>
          <w:lang w:val="en-GB"/>
        </w:rPr>
        <w:t xml:space="preserve">at the </w:t>
      </w:r>
      <w:r w:rsidRPr="00486BED">
        <w:rPr>
          <w:rFonts w:ascii="Times New Roman" w:hAnsi="Times New Roman" w:cs="Times New Roman"/>
          <w:bCs/>
          <w:iCs/>
          <w:color w:val="252525"/>
          <w:sz w:val="24"/>
          <w:szCs w:val="24"/>
          <w:shd w:val="clear" w:color="auto" w:fill="FFFFFF"/>
          <w:lang w:val="en-US"/>
        </w:rPr>
        <w:t>Institut</w:t>
      </w:r>
      <w:r w:rsidR="002D6E07">
        <w:rPr>
          <w:rFonts w:ascii="Times New Roman" w:hAnsi="Times New Roman" w:cs="Times New Roman"/>
          <w:bCs/>
          <w:iCs/>
          <w:color w:val="252525"/>
          <w:sz w:val="24"/>
          <w:szCs w:val="24"/>
          <w:shd w:val="clear" w:color="auto" w:fill="FFFFFF"/>
          <w:lang w:val="en-US"/>
        </w:rPr>
        <w:t>e</w:t>
      </w:r>
      <w:r w:rsidRPr="00486BED">
        <w:rPr>
          <w:rFonts w:ascii="Times New Roman" w:hAnsi="Times New Roman" w:cs="Times New Roman"/>
          <w:bCs/>
          <w:iCs/>
          <w:color w:val="252525"/>
          <w:sz w:val="24"/>
          <w:szCs w:val="24"/>
          <w:shd w:val="clear" w:color="auto" w:fill="FFFFFF"/>
          <w:lang w:val="en-US"/>
        </w:rPr>
        <w:t xml:space="preserve"> de Radioprotection et de Sûreté Nucléaire</w:t>
      </w:r>
      <w:r w:rsidR="002D6E07" w:rsidRPr="00486BED" w:rsidDel="002D6E07">
        <w:rPr>
          <w:rStyle w:val="apple-converted-space"/>
          <w:rFonts w:ascii="Times New Roman" w:hAnsi="Times New Roman" w:cs="Times New Roman"/>
          <w:color w:val="252525"/>
          <w:sz w:val="24"/>
          <w:szCs w:val="24"/>
          <w:shd w:val="clear" w:color="auto" w:fill="FFFFFF"/>
          <w:lang w:val="en-US"/>
        </w:rPr>
        <w:t xml:space="preserve"> </w:t>
      </w:r>
      <w:r w:rsidRPr="00486BED">
        <w:rPr>
          <w:rFonts w:ascii="Times New Roman" w:hAnsi="Times New Roman" w:cs="Times New Roman"/>
          <w:sz w:val="24"/>
          <w:szCs w:val="24"/>
          <w:lang w:val="en-GB"/>
        </w:rPr>
        <w:t xml:space="preserve">(IRSN, France) using a </w:t>
      </w:r>
      <w:r w:rsidRPr="00486BED">
        <w:rPr>
          <w:rFonts w:ascii="Times New Roman" w:hAnsi="Times New Roman" w:cs="Times New Roman"/>
          <w:sz w:val="24"/>
          <w:szCs w:val="24"/>
          <w:vertAlign w:val="superscript"/>
          <w:lang w:val="en-GB"/>
        </w:rPr>
        <w:t>60</w:t>
      </w:r>
      <w:r w:rsidRPr="00486BED">
        <w:rPr>
          <w:rFonts w:ascii="Times New Roman" w:hAnsi="Times New Roman" w:cs="Times New Roman"/>
          <w:sz w:val="24"/>
          <w:szCs w:val="24"/>
          <w:lang w:val="en-GB"/>
        </w:rPr>
        <w:t xml:space="preserve">Co horizontal beam source. </w:t>
      </w:r>
      <w:r w:rsidR="00587F13" w:rsidRPr="00486BED">
        <w:rPr>
          <w:rFonts w:ascii="Times New Roman" w:hAnsi="Times New Roman" w:cs="Times New Roman"/>
          <w:sz w:val="24"/>
          <w:szCs w:val="24"/>
          <w:lang w:val="en-GB"/>
        </w:rPr>
        <w:t xml:space="preserve">Dr. </w:t>
      </w:r>
      <w:r w:rsidRPr="00486BED">
        <w:rPr>
          <w:rFonts w:ascii="Times New Roman" w:hAnsi="Times New Roman" w:cs="Times New Roman"/>
          <w:sz w:val="24"/>
          <w:szCs w:val="24"/>
          <w:lang w:val="en-US"/>
        </w:rPr>
        <w:t xml:space="preserve">Francois </w:t>
      </w:r>
      <w:r w:rsidRPr="00486BED">
        <w:rPr>
          <w:rFonts w:ascii="Times New Roman" w:hAnsi="Times New Roman" w:cs="Times New Roman"/>
          <w:sz w:val="24"/>
          <w:szCs w:val="24"/>
          <w:lang w:val="en-GB"/>
        </w:rPr>
        <w:t>Trompier</w:t>
      </w:r>
      <w:r w:rsidRPr="00486BED">
        <w:rPr>
          <w:rFonts w:ascii="Times New Roman" w:hAnsi="Times New Roman" w:cs="Times New Roman"/>
          <w:sz w:val="24"/>
          <w:szCs w:val="24"/>
          <w:lang w:val="en-US"/>
        </w:rPr>
        <w:t xml:space="preserve"> kindly provided his help with </w:t>
      </w:r>
      <w:r w:rsidR="00552584"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irradiation</w:t>
      </w:r>
      <w:r w:rsidRPr="00486BED">
        <w:rPr>
          <w:rFonts w:ascii="Times New Roman" w:hAnsi="Times New Roman" w:cs="Times New Roman"/>
          <w:sz w:val="24"/>
          <w:szCs w:val="24"/>
          <w:lang w:val="en-GB"/>
        </w:rPr>
        <w:t>.</w:t>
      </w:r>
      <w:r w:rsidRPr="00486BED">
        <w:rPr>
          <w:rFonts w:ascii="Times New Roman" w:hAnsi="Times New Roman" w:cs="Times New Roman"/>
          <w:sz w:val="24"/>
          <w:szCs w:val="24"/>
          <w:lang w:val="en-US"/>
        </w:rPr>
        <w:t xml:space="preserve"> The samples prepared by HMGU were irradiated according to the fol</w:t>
      </w:r>
      <w:r w:rsidR="00552584"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Pr="00486BED">
        <w:rPr>
          <w:rFonts w:ascii="Times New Roman" w:hAnsi="Times New Roman" w:cs="Times New Roman"/>
          <w:sz w:val="24"/>
          <w:szCs w:val="24"/>
          <w:lang w:val="en-US"/>
        </w:rPr>
        <w:t>ing scheme (sample number x dose of irradiation): 3 x 0 Gy; 1 x 120 Gy; 1 x 460 Gy; 1 x 1</w:t>
      </w:r>
      <w:r w:rsidR="002D6E07">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300 Gy. The samples prepared by IMP were irradiated according to the </w:t>
      </w:r>
      <w:r w:rsidR="002D6E07">
        <w:rPr>
          <w:rFonts w:ascii="Times New Roman" w:hAnsi="Times New Roman" w:cs="Times New Roman"/>
          <w:sz w:val="24"/>
          <w:szCs w:val="24"/>
          <w:lang w:val="en-US"/>
        </w:rPr>
        <w:t>following</w:t>
      </w:r>
      <w:r w:rsidRPr="00486BED">
        <w:rPr>
          <w:rFonts w:ascii="Times New Roman" w:hAnsi="Times New Roman" w:cs="Times New Roman"/>
          <w:sz w:val="24"/>
          <w:szCs w:val="24"/>
          <w:lang w:val="en-US"/>
        </w:rPr>
        <w:t xml:space="preserve"> scheme: 5 x 0 Gy; 1 x 150 Gy; 1 x 680 Gy; 1 x 1300 Gy. </w:t>
      </w:r>
      <w:r w:rsidR="00552584" w:rsidRPr="00486BED">
        <w:rPr>
          <w:rFonts w:ascii="Times New Roman" w:hAnsi="Times New Roman" w:cs="Times New Roman"/>
          <w:sz w:val="24"/>
          <w:szCs w:val="24"/>
          <w:lang w:val="en-US"/>
        </w:rPr>
        <w:t xml:space="preserve">The </w:t>
      </w:r>
      <w:r w:rsidR="002D6E07">
        <w:rPr>
          <w:rFonts w:ascii="Times New Roman" w:hAnsi="Times New Roman" w:cs="Times New Roman"/>
          <w:sz w:val="24"/>
          <w:szCs w:val="24"/>
          <w:lang w:val="en-US"/>
        </w:rPr>
        <w:t xml:space="preserve">samples were then measured by </w:t>
      </w:r>
      <w:r w:rsidRPr="00486BED">
        <w:rPr>
          <w:rFonts w:ascii="Times New Roman" w:hAnsi="Times New Roman" w:cs="Times New Roman"/>
          <w:sz w:val="24"/>
          <w:szCs w:val="24"/>
          <w:lang w:val="en-GB"/>
        </w:rPr>
        <w:t>ISS, IMP and HMGU</w:t>
      </w:r>
      <w:r w:rsidRPr="00486BED">
        <w:rPr>
          <w:rFonts w:ascii="Times New Roman" w:hAnsi="Times New Roman" w:cs="Times New Roman"/>
          <w:sz w:val="24"/>
          <w:szCs w:val="24"/>
          <w:lang w:val="en-US"/>
        </w:rPr>
        <w:t>.</w:t>
      </w:r>
    </w:p>
    <w:p w14:paraId="55349961" w14:textId="77777777" w:rsidR="00310457" w:rsidRPr="00F763B2" w:rsidRDefault="00310457" w:rsidP="00F763B2">
      <w:pPr>
        <w:autoSpaceDE w:val="0"/>
        <w:autoSpaceDN w:val="0"/>
        <w:adjustRightInd w:val="0"/>
        <w:spacing w:after="240" w:line="360" w:lineRule="auto"/>
        <w:jc w:val="both"/>
        <w:rPr>
          <w:rFonts w:ascii="Times New Roman" w:hAnsi="Times New Roman" w:cs="Times New Roman"/>
          <w:i/>
          <w:sz w:val="24"/>
          <w:szCs w:val="24"/>
          <w:lang w:val="en-GB"/>
        </w:rPr>
      </w:pPr>
      <w:r w:rsidRPr="00F763B2">
        <w:rPr>
          <w:rFonts w:ascii="Times New Roman" w:hAnsi="Times New Roman" w:cs="Times New Roman"/>
          <w:i/>
          <w:sz w:val="24"/>
          <w:szCs w:val="24"/>
          <w:lang w:val="en-GB"/>
        </w:rPr>
        <w:t xml:space="preserve">Evaluation of </w:t>
      </w:r>
      <w:r w:rsidR="00552584" w:rsidRPr="00F763B2">
        <w:rPr>
          <w:rFonts w:ascii="Times New Roman" w:hAnsi="Times New Roman" w:cs="Times New Roman"/>
          <w:i/>
          <w:sz w:val="24"/>
          <w:szCs w:val="24"/>
          <w:lang w:val="en-GB"/>
        </w:rPr>
        <w:t xml:space="preserve">the </w:t>
      </w:r>
      <w:r w:rsidRPr="00F763B2">
        <w:rPr>
          <w:rFonts w:ascii="Times New Roman" w:hAnsi="Times New Roman" w:cs="Times New Roman"/>
          <w:i/>
          <w:sz w:val="24"/>
          <w:szCs w:val="24"/>
          <w:lang w:val="en-GB"/>
        </w:rPr>
        <w:t>anthropogenic doses</w:t>
      </w:r>
    </w:p>
    <w:p w14:paraId="5DED1213" w14:textId="77777777" w:rsidR="00310457" w:rsidRPr="00486BED" w:rsidRDefault="00552584" w:rsidP="00F763B2">
      <w:pPr>
        <w:autoSpaceDE w:val="0"/>
        <w:autoSpaceDN w:val="0"/>
        <w:adjustRightInd w:val="0"/>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EPR</w:t>
      </w:r>
      <w:r w:rsidR="00633B04">
        <w:rPr>
          <w:rFonts w:ascii="Times New Roman" w:hAnsi="Times New Roman" w:cs="Times New Roman"/>
          <w:sz w:val="24"/>
          <w:szCs w:val="24"/>
          <w:lang w:val="en-GB"/>
        </w:rPr>
        <w:t>-</w:t>
      </w:r>
      <w:r w:rsidR="00310457" w:rsidRPr="00486BED">
        <w:rPr>
          <w:rFonts w:ascii="Times New Roman" w:hAnsi="Times New Roman" w:cs="Times New Roman"/>
          <w:sz w:val="24"/>
          <w:szCs w:val="24"/>
          <w:lang w:val="en-GB"/>
        </w:rPr>
        <w:t xml:space="preserve">derived anthropogenic dose can be considered </w:t>
      </w:r>
      <w:r w:rsidR="00633B04">
        <w:rPr>
          <w:rFonts w:ascii="Times New Roman" w:hAnsi="Times New Roman" w:cs="Times New Roman"/>
          <w:sz w:val="24"/>
          <w:szCs w:val="24"/>
          <w:lang w:val="en-GB"/>
        </w:rPr>
        <w:t xml:space="preserve">to be specific for </w:t>
      </w:r>
      <w:r w:rsidR="00310457" w:rsidRPr="00486BED">
        <w:rPr>
          <w:rFonts w:ascii="Times New Roman" w:hAnsi="Times New Roman" w:cs="Times New Roman"/>
          <w:sz w:val="24"/>
          <w:szCs w:val="24"/>
          <w:lang w:val="en-GB"/>
        </w:rPr>
        <w:t>an individual when it exceed</w:t>
      </w:r>
      <w:r w:rsidRPr="00486BED">
        <w:rPr>
          <w:rFonts w:ascii="Times New Roman" w:hAnsi="Times New Roman" w:cs="Times New Roman"/>
          <w:sz w:val="24"/>
          <w:szCs w:val="24"/>
          <w:lang w:val="en-GB"/>
        </w:rPr>
        <w:t>s (statistically significant)</w:t>
      </w:r>
      <w:r w:rsidR="00310457" w:rsidRPr="00486BED">
        <w:rPr>
          <w:rFonts w:ascii="Times New Roman" w:hAnsi="Times New Roman" w:cs="Times New Roman"/>
          <w:sz w:val="24"/>
          <w:szCs w:val="24"/>
          <w:lang w:val="en-GB"/>
        </w:rPr>
        <w:t xml:space="preserve"> the background level of </w:t>
      </w:r>
      <w:r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exposure (</w:t>
      </w:r>
      <w:r w:rsidR="00310457" w:rsidRPr="00486BED">
        <w:rPr>
          <w:rFonts w:ascii="Times New Roman" w:hAnsi="Times New Roman" w:cs="Times New Roman"/>
          <w:i/>
          <w:sz w:val="24"/>
          <w:szCs w:val="24"/>
          <w:lang w:val="en-GB"/>
        </w:rPr>
        <w:t>&gt;</w:t>
      </w:r>
      <w:r w:rsidR="00633B04">
        <w:rPr>
          <w:rFonts w:ascii="Times New Roman" w:hAnsi="Times New Roman" w:cs="Times New Roman"/>
          <w:i/>
          <w:sz w:val="24"/>
          <w:szCs w:val="24"/>
          <w:lang w:val="en-GB"/>
        </w:rPr>
        <w:t xml:space="preserve"> </w:t>
      </w:r>
      <w:r w:rsidR="00310457" w:rsidRPr="00486BED">
        <w:rPr>
          <w:rFonts w:ascii="Times New Roman" w:hAnsi="Times New Roman" w:cs="Times New Roman"/>
          <w:i/>
          <w:sz w:val="24"/>
          <w:szCs w:val="24"/>
          <w:lang w:val="en-GB"/>
        </w:rPr>
        <w:t>LI</w:t>
      </w:r>
      <w:r w:rsidR="00310457" w:rsidRPr="00486BED">
        <w:rPr>
          <w:rFonts w:ascii="Times New Roman" w:hAnsi="Times New Roman" w:cs="Times New Roman"/>
          <w:sz w:val="24"/>
          <w:szCs w:val="24"/>
          <w:lang w:val="en-GB"/>
        </w:rPr>
        <w:t xml:space="preserve">). </w:t>
      </w:r>
      <w:r w:rsidR="00633B04">
        <w:rPr>
          <w:rFonts w:ascii="Times New Roman" w:hAnsi="Times New Roman" w:cs="Times New Roman"/>
          <w:sz w:val="24"/>
          <w:szCs w:val="24"/>
          <w:lang w:val="en-GB"/>
        </w:rPr>
        <w:t xml:space="preserve">In contrast, </w:t>
      </w:r>
      <w:r w:rsidR="00310457" w:rsidRPr="00486BED">
        <w:rPr>
          <w:rFonts w:ascii="Times New Roman" w:hAnsi="Times New Roman" w:cs="Times New Roman"/>
          <w:i/>
          <w:sz w:val="24"/>
          <w:szCs w:val="24"/>
          <w:lang w:val="en-US"/>
        </w:rPr>
        <w:t xml:space="preserve">BLI </w:t>
      </w:r>
      <w:r w:rsidR="00310457" w:rsidRPr="00486BED">
        <w:rPr>
          <w:rFonts w:ascii="Times New Roman" w:hAnsi="Times New Roman" w:cs="Times New Roman"/>
          <w:sz w:val="24"/>
          <w:szCs w:val="24"/>
          <w:lang w:val="en-GB"/>
        </w:rPr>
        <w:t xml:space="preserve">doses can be used only under </w:t>
      </w:r>
      <w:r w:rsidR="008B3FC3" w:rsidRPr="00486BED">
        <w:rPr>
          <w:rFonts w:ascii="Times New Roman" w:hAnsi="Times New Roman" w:cs="Times New Roman"/>
          <w:sz w:val="24"/>
          <w:szCs w:val="24"/>
          <w:lang w:val="en-GB"/>
        </w:rPr>
        <w:t xml:space="preserve">a </w:t>
      </w:r>
      <w:r w:rsidR="00310457" w:rsidRPr="00486BED">
        <w:rPr>
          <w:rFonts w:ascii="Times New Roman" w:hAnsi="Times New Roman" w:cs="Times New Roman"/>
          <w:sz w:val="24"/>
          <w:szCs w:val="24"/>
          <w:lang w:val="en-GB"/>
        </w:rPr>
        <w:t xml:space="preserve">group approach. If </w:t>
      </w:r>
      <w:r w:rsidR="008B3FC3"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US"/>
        </w:rPr>
        <w:t xml:space="preserve">EPR doses were above the </w:t>
      </w:r>
      <w:r w:rsidR="00310457" w:rsidRPr="00486BED">
        <w:rPr>
          <w:rFonts w:ascii="Times New Roman" w:hAnsi="Times New Roman" w:cs="Times New Roman"/>
          <w:i/>
          <w:sz w:val="24"/>
          <w:szCs w:val="24"/>
          <w:lang w:val="en-US"/>
        </w:rPr>
        <w:t>LI,</w:t>
      </w:r>
      <w:r w:rsidR="00310457" w:rsidRPr="00486BED">
        <w:rPr>
          <w:rFonts w:ascii="Times New Roman" w:hAnsi="Times New Roman" w:cs="Times New Roman"/>
          <w:sz w:val="24"/>
          <w:szCs w:val="24"/>
          <w:lang w:val="en-US"/>
        </w:rPr>
        <w:t xml:space="preserve"> then the mean background doses were simply subtracted (I2 in Fig. 1). </w:t>
      </w:r>
      <w:r w:rsidR="00310457" w:rsidRPr="00486BED">
        <w:rPr>
          <w:rFonts w:ascii="Times New Roman" w:hAnsi="Times New Roman" w:cs="Times New Roman"/>
          <w:i/>
          <w:sz w:val="24"/>
          <w:szCs w:val="24"/>
          <w:lang w:val="en-GB"/>
        </w:rPr>
        <w:t>BLI</w:t>
      </w:r>
      <w:r w:rsidR="00310457" w:rsidRPr="00486BED">
        <w:rPr>
          <w:rFonts w:ascii="Times New Roman" w:hAnsi="Times New Roman" w:cs="Times New Roman"/>
          <w:sz w:val="24"/>
          <w:szCs w:val="24"/>
          <w:lang w:val="en-GB"/>
        </w:rPr>
        <w:t xml:space="preserve"> </w:t>
      </w:r>
      <w:r w:rsidR="00310457" w:rsidRPr="00486BED">
        <w:rPr>
          <w:rFonts w:ascii="Times New Roman" w:hAnsi="Times New Roman" w:cs="Times New Roman"/>
          <w:sz w:val="24"/>
          <w:szCs w:val="24"/>
          <w:lang w:val="en-US"/>
        </w:rPr>
        <w:t xml:space="preserve">doses of </w:t>
      </w:r>
      <w:r w:rsidR="008B3FC3"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exposed </w:t>
      </w:r>
      <w:r w:rsidR="00633B04">
        <w:rPr>
          <w:rFonts w:ascii="Times New Roman" w:hAnsi="Times New Roman" w:cs="Times New Roman"/>
          <w:sz w:val="24"/>
          <w:szCs w:val="24"/>
          <w:lang w:val="en-US"/>
        </w:rPr>
        <w:t>individuals</w:t>
      </w:r>
      <w:r w:rsidR="00310457" w:rsidRPr="00486BED">
        <w:rPr>
          <w:rFonts w:ascii="Times New Roman" w:hAnsi="Times New Roman" w:cs="Times New Roman"/>
          <w:sz w:val="24"/>
          <w:szCs w:val="24"/>
          <w:lang w:val="en-US"/>
        </w:rPr>
        <w:t xml:space="preserve"> were analyzed separately</w:t>
      </w:r>
      <w:r w:rsidR="003A4404">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to evaluate the group mean values (mathematical expectations for </w:t>
      </w:r>
      <w:r w:rsidR="00310457" w:rsidRPr="00486BED">
        <w:rPr>
          <w:rFonts w:ascii="Times New Roman" w:hAnsi="Times New Roman" w:cs="Times New Roman"/>
          <w:i/>
          <w:sz w:val="24"/>
          <w:szCs w:val="24"/>
          <w:lang w:val="en-US"/>
        </w:rPr>
        <w:t>BLI</w:t>
      </w:r>
      <w:r w:rsidR="00310457" w:rsidRPr="00486BED">
        <w:rPr>
          <w:rFonts w:ascii="Times New Roman" w:hAnsi="Times New Roman" w:cs="Times New Roman"/>
          <w:sz w:val="24"/>
          <w:szCs w:val="24"/>
          <w:lang w:val="en-US"/>
        </w:rPr>
        <w:t xml:space="preserve">) supposed to be specific for </w:t>
      </w:r>
      <w:r w:rsidR="008B3FC3"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measurement methods and donor’s place of residence. </w:t>
      </w:r>
      <w:r w:rsidR="008B3FC3" w:rsidRPr="00486BED">
        <w:rPr>
          <w:rFonts w:ascii="Times New Roman" w:hAnsi="Times New Roman" w:cs="Times New Roman"/>
          <w:sz w:val="24"/>
          <w:szCs w:val="24"/>
          <w:lang w:val="en-US"/>
        </w:rPr>
        <w:t>The m</w:t>
      </w:r>
      <w:r w:rsidR="00310457" w:rsidRPr="00486BED">
        <w:rPr>
          <w:rFonts w:ascii="Times New Roman" w:hAnsi="Times New Roman" w:cs="Times New Roman"/>
          <w:sz w:val="24"/>
          <w:szCs w:val="24"/>
          <w:lang w:val="en-US"/>
        </w:rPr>
        <w:t xml:space="preserve">ean differences </w:t>
      </w:r>
      <w:r w:rsidR="00310457" w:rsidRPr="00486BED">
        <w:rPr>
          <w:rFonts w:ascii="Times New Roman" w:hAnsi="Times New Roman" w:cs="Times New Roman"/>
          <w:sz w:val="24"/>
          <w:szCs w:val="24"/>
          <w:lang w:val="en-GB"/>
        </w:rPr>
        <w:t xml:space="preserve">between the method-specific </w:t>
      </w:r>
      <w:r w:rsidR="00310457" w:rsidRPr="00486BED">
        <w:rPr>
          <w:rFonts w:ascii="Times New Roman" w:hAnsi="Times New Roman" w:cs="Times New Roman"/>
          <w:i/>
          <w:sz w:val="24"/>
          <w:szCs w:val="24"/>
          <w:lang w:val="en-GB"/>
        </w:rPr>
        <w:t>BLI</w:t>
      </w:r>
      <w:r w:rsidR="00310457" w:rsidRPr="00486BED">
        <w:rPr>
          <w:rFonts w:ascii="Times New Roman" w:hAnsi="Times New Roman" w:cs="Times New Roman"/>
          <w:sz w:val="24"/>
          <w:szCs w:val="24"/>
          <w:lang w:val="en-GB"/>
        </w:rPr>
        <w:t xml:space="preserve"> doses grouped according to </w:t>
      </w:r>
      <w:r w:rsidR="008B3FC3"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 xml:space="preserve">place of residence and the </w:t>
      </w:r>
      <w:r w:rsidR="00310457" w:rsidRPr="00486BED">
        <w:rPr>
          <w:rFonts w:ascii="Times New Roman" w:hAnsi="Times New Roman" w:cs="Times New Roman"/>
          <w:i/>
          <w:sz w:val="24"/>
          <w:szCs w:val="24"/>
          <w:lang w:val="en-GB"/>
        </w:rPr>
        <w:t>BLI</w:t>
      </w:r>
      <w:r w:rsidR="00310457" w:rsidRPr="00486BED">
        <w:rPr>
          <w:rFonts w:ascii="Times New Roman" w:hAnsi="Times New Roman" w:cs="Times New Roman"/>
          <w:sz w:val="24"/>
          <w:szCs w:val="24"/>
          <w:lang w:val="en-GB"/>
        </w:rPr>
        <w:t xml:space="preserve"> background doses (</w:t>
      </w:r>
      <m:oMath>
        <m:r>
          <w:rPr>
            <w:rFonts w:ascii="Cambria Math" w:hAnsi="Cambria Math" w:cs="Times New Roman"/>
            <w:sz w:val="24"/>
            <w:szCs w:val="24"/>
          </w:rPr>
          <m:t>LogN</m:t>
        </m:r>
        <m:d>
          <m:dPr>
            <m:begChr m:val="["/>
            <m:endChr m:val="]"/>
            <m:ctrlPr>
              <w:rPr>
                <w:rFonts w:ascii="Cambria Math" w:hAnsi="Cambria Math" w:cs="Times New Roman"/>
                <w:i/>
                <w:sz w:val="24"/>
                <w:szCs w:val="24"/>
              </w:rPr>
            </m:ctrlPr>
          </m:dPr>
          <m:e>
            <m:r>
              <w:rPr>
                <w:rFonts w:ascii="Cambria Math" w:hAnsi="Cambria Math" w:cs="Times New Roman"/>
                <w:sz w:val="24"/>
                <w:szCs w:val="24"/>
              </w:rPr>
              <m:t>m</m:t>
            </m:r>
            <m:r>
              <w:rPr>
                <w:rFonts w:ascii="Cambria Math" w:hAnsi="Cambria Math" w:cs="Times New Roman"/>
                <w:sz w:val="24"/>
                <w:szCs w:val="24"/>
                <w:lang w:val="en-US"/>
              </w:rPr>
              <m:t>,</m:t>
            </m:r>
            <m:r>
              <w:rPr>
                <w:rFonts w:ascii="Cambria Math" w:hAnsi="Cambria Math" w:cs="Times New Roman"/>
                <w:sz w:val="24"/>
                <w:szCs w:val="24"/>
              </w:rPr>
              <m:t>s</m:t>
            </m:r>
          </m:e>
        </m:d>
      </m:oMath>
      <w:r w:rsidR="00650D40" w:rsidRPr="00F447F7">
        <w:rPr>
          <w:rFonts w:ascii="Times New Roman" w:eastAsiaTheme="minorEastAsia" w:hAnsi="Times New Roman" w:cs="Times New Roman"/>
          <w:sz w:val="24"/>
          <w:szCs w:val="24"/>
          <w:lang w:val="en-US"/>
        </w:rPr>
        <w:t xml:space="preserve"> </w:t>
      </w:r>
      <w:r w:rsidR="00310457" w:rsidRPr="00486BED">
        <w:rPr>
          <w:rFonts w:ascii="Times New Roman" w:eastAsiaTheme="minorEastAsia" w:hAnsi="Times New Roman" w:cs="Times New Roman"/>
          <w:sz w:val="24"/>
          <w:szCs w:val="24"/>
          <w:lang w:val="en-US"/>
        </w:rPr>
        <w:t>&lt;</w:t>
      </w:r>
      <w:r w:rsidR="00650D40">
        <w:rPr>
          <w:rFonts w:ascii="Times New Roman" w:eastAsiaTheme="minorEastAsia" w:hAnsi="Times New Roman" w:cs="Times New Roman"/>
          <w:sz w:val="24"/>
          <w:szCs w:val="24"/>
          <w:lang w:val="en-US"/>
        </w:rPr>
        <w:t xml:space="preserve"> </w:t>
      </w:r>
      <w:r w:rsidR="00310457" w:rsidRPr="00486BED">
        <w:rPr>
          <w:rFonts w:ascii="Times New Roman" w:eastAsiaTheme="minorEastAsia" w:hAnsi="Times New Roman" w:cs="Times New Roman"/>
          <w:i/>
          <w:sz w:val="24"/>
          <w:szCs w:val="24"/>
          <w:lang w:val="en-US"/>
        </w:rPr>
        <w:t>LI</w:t>
      </w:r>
      <w:r w:rsidR="00310457" w:rsidRPr="00486BED">
        <w:rPr>
          <w:rFonts w:ascii="Times New Roman" w:eastAsiaTheme="minorEastAsia" w:hAnsi="Times New Roman" w:cs="Times New Roman"/>
          <w:sz w:val="24"/>
          <w:szCs w:val="24"/>
          <w:lang w:val="en-US"/>
        </w:rPr>
        <w:t>)</w:t>
      </w:r>
      <w:r w:rsidR="00310457" w:rsidRPr="00486BED">
        <w:rPr>
          <w:rFonts w:ascii="Times New Roman" w:hAnsi="Times New Roman" w:cs="Times New Roman"/>
          <w:sz w:val="24"/>
          <w:szCs w:val="24"/>
          <w:lang w:val="en-GB"/>
        </w:rPr>
        <w:t xml:space="preserve"> were evaluated using </w:t>
      </w:r>
      <w:r w:rsidR="008B3FC3" w:rsidRPr="00486BED">
        <w:rPr>
          <w:rFonts w:ascii="Times New Roman" w:hAnsi="Times New Roman" w:cs="Times New Roman"/>
          <w:sz w:val="24"/>
          <w:szCs w:val="24"/>
          <w:lang w:val="en-GB"/>
        </w:rPr>
        <w:t xml:space="preserve">the </w:t>
      </w:r>
      <w:r w:rsidR="00310457" w:rsidRPr="00486BED">
        <w:rPr>
          <w:rFonts w:ascii="Times New Roman" w:hAnsi="Times New Roman" w:cs="Times New Roman"/>
          <w:sz w:val="24"/>
          <w:szCs w:val="24"/>
          <w:lang w:val="en-GB"/>
        </w:rPr>
        <w:t>Monte Carlo method</w:t>
      </w:r>
      <w:r w:rsidR="00310457" w:rsidRPr="00486BED">
        <w:rPr>
          <w:rFonts w:ascii="Times New Roman" w:hAnsi="Times New Roman" w:cs="Times New Roman"/>
          <w:sz w:val="24"/>
          <w:szCs w:val="24"/>
          <w:lang w:val="en-US"/>
        </w:rPr>
        <w:t xml:space="preserve"> (I1 in Fig. 1). </w:t>
      </w:r>
    </w:p>
    <w:p w14:paraId="6ADB5C0F" w14:textId="77777777" w:rsidR="00310457" w:rsidRPr="00486BED" w:rsidRDefault="00310457" w:rsidP="00486BED">
      <w:pPr>
        <w:pStyle w:val="Listenabsatz"/>
        <w:autoSpaceDE w:val="0"/>
        <w:autoSpaceDN w:val="0"/>
        <w:adjustRightInd w:val="0"/>
        <w:spacing w:after="240" w:line="360" w:lineRule="auto"/>
        <w:ind w:left="0"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About 20% of the teeth were measured repeatedly using different </w:t>
      </w:r>
      <w:r w:rsidR="00650D40">
        <w:rPr>
          <w:rFonts w:ascii="Times New Roman" w:hAnsi="Times New Roman" w:cs="Times New Roman"/>
          <w:sz w:val="24"/>
          <w:szCs w:val="24"/>
          <w:lang w:val="en-US"/>
        </w:rPr>
        <w:t xml:space="preserve">EPR </w:t>
      </w:r>
      <w:r w:rsidRPr="00486BED">
        <w:rPr>
          <w:rFonts w:ascii="Times New Roman" w:hAnsi="Times New Roman" w:cs="Times New Roman"/>
          <w:sz w:val="24"/>
          <w:szCs w:val="24"/>
          <w:lang w:val="en-US"/>
        </w:rPr>
        <w:t xml:space="preserve">methods. Therefore, after </w:t>
      </w:r>
      <w:r w:rsidR="008B3FC3"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substitution of</w:t>
      </w:r>
      <w:r w:rsidR="008B3FC3" w:rsidRPr="00486BED">
        <w:rPr>
          <w:rFonts w:ascii="Times New Roman" w:hAnsi="Times New Roman" w:cs="Times New Roman"/>
          <w:sz w:val="24"/>
          <w:szCs w:val="24"/>
          <w:lang w:val="en-US"/>
        </w:rPr>
        <w:t xml:space="preserve"> the</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data with </w:t>
      </w:r>
      <w:r w:rsidR="008B3FC3" w:rsidRPr="00486BED">
        <w:rPr>
          <w:rFonts w:ascii="Times New Roman" w:hAnsi="Times New Roman" w:cs="Times New Roman"/>
          <w:sz w:val="24"/>
          <w:szCs w:val="24"/>
          <w:lang w:val="en-US"/>
        </w:rPr>
        <w:t xml:space="preserve">the </w:t>
      </w:r>
      <w:r w:rsidRPr="00486BED">
        <w:rPr>
          <w:rFonts w:ascii="Times New Roman" w:hAnsi="Times New Roman" w:cs="Times New Roman"/>
          <w:color w:val="000000"/>
          <w:sz w:val="24"/>
          <w:szCs w:val="24"/>
          <w:shd w:val="clear" w:color="auto" w:fill="FFFFFF"/>
          <w:lang w:val="en-US"/>
        </w:rPr>
        <w:t>corresponding</w:t>
      </w:r>
      <w:r w:rsidRPr="00486BED">
        <w:rPr>
          <w:rFonts w:ascii="Times New Roman" w:hAnsi="Times New Roman" w:cs="Times New Roman"/>
          <w:sz w:val="24"/>
          <w:szCs w:val="24"/>
          <w:lang w:val="en-US"/>
        </w:rPr>
        <w:t xml:space="preserve"> mathematical expectations, the results of </w:t>
      </w:r>
      <w:r w:rsidR="008B3FC3"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repeated EPR measurements were averaged with weights equal to </w:t>
      </w:r>
      <w:r w:rsidR="00650D40">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inverse square root of </w:t>
      </w:r>
      <w:r w:rsidR="008B3FC3"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relative dose uncertainty (I3 in Fig. 1). This method of data averaging (M6 in Fig.1) was elaborated at the previous stage of the study by Zalyapin et al. (2008). </w:t>
      </w:r>
    </w:p>
    <w:p w14:paraId="7C67A0A2" w14:textId="77777777" w:rsidR="00310457" w:rsidRPr="00486BED" w:rsidRDefault="008B3FC3" w:rsidP="00486BED">
      <w:pPr>
        <w:pStyle w:val="Listenabsatz"/>
        <w:autoSpaceDE w:val="0"/>
        <w:autoSpaceDN w:val="0"/>
        <w:adjustRightInd w:val="0"/>
        <w:spacing w:after="240" w:line="360" w:lineRule="auto"/>
        <w:ind w:left="0" w:firstLine="708"/>
        <w:jc w:val="both"/>
        <w:rPr>
          <w:rFonts w:ascii="Times New Roman" w:eastAsiaTheme="minorEastAsia" w:hAnsi="Times New Roman" w:cs="Times New Roman"/>
          <w:sz w:val="24"/>
          <w:szCs w:val="24"/>
          <w:lang w:val="en-US"/>
        </w:rPr>
      </w:pPr>
      <w:r w:rsidRPr="00486BED">
        <w:rPr>
          <w:rFonts w:ascii="Times New Roman" w:eastAsiaTheme="minorEastAsia" w:hAnsi="Times New Roman" w:cs="Times New Roman"/>
          <w:sz w:val="24"/>
          <w:szCs w:val="24"/>
          <w:lang w:val="en-US"/>
        </w:rPr>
        <w:t>Since</w:t>
      </w:r>
      <w:r w:rsidR="00310457" w:rsidRPr="00486BED">
        <w:rPr>
          <w:rFonts w:ascii="Times New Roman" w:eastAsiaTheme="minorEastAsia" w:hAnsi="Times New Roman" w:cs="Times New Roman"/>
          <w:sz w:val="24"/>
          <w:szCs w:val="24"/>
          <w:lang w:val="en-US"/>
        </w:rPr>
        <w:t xml:space="preserve"> about 30% of </w:t>
      </w:r>
      <w:r w:rsidRPr="00486BED">
        <w:rPr>
          <w:rFonts w:ascii="Times New Roman" w:eastAsiaTheme="minorEastAsia" w:hAnsi="Times New Roman" w:cs="Times New Roman"/>
          <w:sz w:val="24"/>
          <w:szCs w:val="24"/>
          <w:lang w:val="en-US"/>
        </w:rPr>
        <w:t xml:space="preserve">the </w:t>
      </w:r>
      <w:r w:rsidR="00310457" w:rsidRPr="00486BED">
        <w:rPr>
          <w:rFonts w:ascii="Times New Roman" w:eastAsiaTheme="minorEastAsia" w:hAnsi="Times New Roman" w:cs="Times New Roman"/>
          <w:sz w:val="24"/>
          <w:szCs w:val="24"/>
          <w:lang w:val="en-US"/>
        </w:rPr>
        <w:t>individuals donated more than one tooth, the mean dose assigned to the individual was calculated.</w:t>
      </w:r>
      <w:r w:rsidRPr="00486BED">
        <w:rPr>
          <w:rFonts w:ascii="Times New Roman" w:eastAsiaTheme="minorEastAsia" w:hAnsi="Times New Roman" w:cs="Times New Roman"/>
          <w:sz w:val="24"/>
          <w:szCs w:val="24"/>
          <w:lang w:val="en-US"/>
        </w:rPr>
        <w:t xml:space="preserve"> The</w:t>
      </w:r>
      <w:r w:rsidR="00310457" w:rsidRPr="00486BED">
        <w:rPr>
          <w:rFonts w:ascii="Times New Roman" w:eastAsiaTheme="minorEastAsia" w:hAnsi="Times New Roman" w:cs="Times New Roman"/>
          <w:sz w:val="24"/>
          <w:szCs w:val="24"/>
          <w:lang w:val="en-US"/>
        </w:rPr>
        <w:t xml:space="preserve"> </w:t>
      </w:r>
      <w:r w:rsidR="00310457" w:rsidRPr="00486BED">
        <w:rPr>
          <w:rFonts w:ascii="Times New Roman" w:eastAsiaTheme="minorEastAsia" w:hAnsi="Times New Roman" w:cs="Times New Roman"/>
          <w:i/>
          <w:sz w:val="24"/>
          <w:szCs w:val="24"/>
          <w:lang w:val="en-US"/>
        </w:rPr>
        <w:t>BLI</w:t>
      </w:r>
      <w:r w:rsidR="00310457" w:rsidRPr="00486BED">
        <w:rPr>
          <w:rFonts w:ascii="Times New Roman" w:eastAsiaTheme="minorEastAsia" w:hAnsi="Times New Roman" w:cs="Times New Roman"/>
          <w:sz w:val="24"/>
          <w:szCs w:val="24"/>
          <w:lang w:val="en-US"/>
        </w:rPr>
        <w:t xml:space="preserve"> doses were simply averaged. If the measurements were represented by doses above the </w:t>
      </w:r>
      <w:r w:rsidR="00310457" w:rsidRPr="00486BED">
        <w:rPr>
          <w:rFonts w:ascii="Times New Roman" w:eastAsiaTheme="minorEastAsia" w:hAnsi="Times New Roman" w:cs="Times New Roman"/>
          <w:i/>
          <w:sz w:val="24"/>
          <w:szCs w:val="24"/>
          <w:lang w:val="en-US"/>
        </w:rPr>
        <w:t>LI</w:t>
      </w:r>
      <w:r w:rsidRPr="00486BED">
        <w:rPr>
          <w:rFonts w:ascii="Times New Roman" w:eastAsiaTheme="minorEastAsia" w:hAnsi="Times New Roman" w:cs="Times New Roman"/>
          <w:i/>
          <w:sz w:val="24"/>
          <w:szCs w:val="24"/>
          <w:lang w:val="en-US"/>
        </w:rPr>
        <w:t>,</w:t>
      </w:r>
      <w:r w:rsidR="00310457" w:rsidRPr="00486BED">
        <w:rPr>
          <w:rFonts w:ascii="Times New Roman" w:eastAsiaTheme="minorEastAsia" w:hAnsi="Times New Roman" w:cs="Times New Roman"/>
          <w:sz w:val="24"/>
          <w:szCs w:val="24"/>
          <w:lang w:val="en-US"/>
        </w:rPr>
        <w:t xml:space="preserve"> or by both </w:t>
      </w:r>
      <w:r w:rsidR="00310457" w:rsidRPr="00486BED">
        <w:rPr>
          <w:rFonts w:ascii="Times New Roman" w:eastAsiaTheme="minorEastAsia" w:hAnsi="Times New Roman" w:cs="Times New Roman"/>
          <w:i/>
          <w:sz w:val="24"/>
          <w:szCs w:val="24"/>
          <w:lang w:val="en-US"/>
        </w:rPr>
        <w:t>BLI</w:t>
      </w:r>
      <w:r w:rsidR="00310457" w:rsidRPr="00486BED">
        <w:rPr>
          <w:rFonts w:ascii="Times New Roman" w:eastAsiaTheme="minorEastAsia" w:hAnsi="Times New Roman" w:cs="Times New Roman"/>
          <w:sz w:val="24"/>
          <w:szCs w:val="24"/>
          <w:lang w:val="en-US"/>
        </w:rPr>
        <w:t xml:space="preserve"> and above </w:t>
      </w:r>
      <w:r w:rsidR="00310457" w:rsidRPr="00486BED">
        <w:rPr>
          <w:rFonts w:ascii="Times New Roman" w:eastAsiaTheme="minorEastAsia" w:hAnsi="Times New Roman" w:cs="Times New Roman"/>
          <w:i/>
          <w:sz w:val="24"/>
          <w:szCs w:val="24"/>
          <w:lang w:val="en-US"/>
        </w:rPr>
        <w:t>LI</w:t>
      </w:r>
      <w:r w:rsidR="00310457" w:rsidRPr="00486BED">
        <w:rPr>
          <w:rFonts w:ascii="Times New Roman" w:eastAsiaTheme="minorEastAsia" w:hAnsi="Times New Roman" w:cs="Times New Roman"/>
          <w:sz w:val="24"/>
          <w:szCs w:val="24"/>
          <w:lang w:val="en-US"/>
        </w:rPr>
        <w:t xml:space="preserve"> d</w:t>
      </w:r>
      <w:r w:rsidR="00650D40">
        <w:rPr>
          <w:rFonts w:ascii="Times New Roman" w:eastAsiaTheme="minorEastAsia" w:hAnsi="Times New Roman" w:cs="Times New Roman"/>
          <w:sz w:val="24"/>
          <w:szCs w:val="24"/>
          <w:lang w:val="en-US"/>
        </w:rPr>
        <w:t>oses</w:t>
      </w:r>
      <w:r w:rsidR="00310457" w:rsidRPr="00486BED">
        <w:rPr>
          <w:rFonts w:ascii="Times New Roman" w:eastAsiaTheme="minorEastAsia" w:hAnsi="Times New Roman" w:cs="Times New Roman"/>
          <w:sz w:val="24"/>
          <w:szCs w:val="24"/>
          <w:lang w:val="en-US"/>
        </w:rPr>
        <w:t>, then the weight averaging was applied (</w:t>
      </w:r>
      <w:r w:rsidR="00650D40">
        <w:rPr>
          <w:rFonts w:ascii="Times New Roman" w:eastAsiaTheme="minorEastAsia" w:hAnsi="Times New Roman" w:cs="Times New Roman"/>
          <w:sz w:val="24"/>
          <w:szCs w:val="24"/>
          <w:lang w:val="en-US"/>
        </w:rPr>
        <w:t>with</w:t>
      </w:r>
      <w:r w:rsidRPr="00486BED">
        <w:rPr>
          <w:rFonts w:ascii="Times New Roman" w:eastAsiaTheme="minorEastAsia" w:hAnsi="Times New Roman" w:cs="Times New Roman"/>
          <w:sz w:val="24"/>
          <w:szCs w:val="24"/>
          <w:lang w:val="en-US"/>
        </w:rPr>
        <w:t xml:space="preserve"> </w:t>
      </w:r>
      <w:r w:rsidR="00310457" w:rsidRPr="00486BED">
        <w:rPr>
          <w:rFonts w:ascii="Times New Roman" w:hAnsi="Times New Roman" w:cs="Times New Roman"/>
          <w:sz w:val="24"/>
          <w:szCs w:val="24"/>
          <w:lang w:val="en-US"/>
        </w:rPr>
        <w:t xml:space="preserve">weights equal to </w:t>
      </w:r>
      <w:r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inverse square root of relative uncertainty</w:t>
      </w:r>
      <w:r w:rsidRPr="00486BED">
        <w:rPr>
          <w:rFonts w:ascii="Times New Roman" w:hAnsi="Times New Roman" w:cs="Times New Roman"/>
          <w:sz w:val="24"/>
          <w:szCs w:val="24"/>
          <w:lang w:val="en-US"/>
        </w:rPr>
        <w:t xml:space="preserve"> of the doses</w:t>
      </w:r>
      <w:r w:rsidR="00310457" w:rsidRPr="00486BED">
        <w:rPr>
          <w:rFonts w:ascii="Times New Roman" w:eastAsiaTheme="minorEastAsia" w:hAnsi="Times New Roman" w:cs="Times New Roman"/>
          <w:sz w:val="24"/>
          <w:szCs w:val="24"/>
          <w:lang w:val="en-US"/>
        </w:rPr>
        <w:t xml:space="preserve">). It should be noted that the individual external doses </w:t>
      </w:r>
      <w:r w:rsidR="00650D40">
        <w:rPr>
          <w:rFonts w:ascii="Times New Roman" w:eastAsiaTheme="minorEastAsia" w:hAnsi="Times New Roman" w:cs="Times New Roman"/>
          <w:sz w:val="24"/>
          <w:szCs w:val="24"/>
          <w:lang w:val="en-US"/>
        </w:rPr>
        <w:t>obtained from</w:t>
      </w:r>
      <w:r w:rsidR="00310457" w:rsidRPr="00486BED">
        <w:rPr>
          <w:rFonts w:ascii="Times New Roman" w:eastAsiaTheme="minorEastAsia" w:hAnsi="Times New Roman" w:cs="Times New Roman"/>
          <w:sz w:val="24"/>
          <w:szCs w:val="24"/>
          <w:lang w:val="en-US"/>
        </w:rPr>
        <w:t xml:space="preserve"> different teeth of </w:t>
      </w:r>
      <w:r w:rsidRPr="00486BED">
        <w:rPr>
          <w:rFonts w:ascii="Times New Roman" w:eastAsiaTheme="minorEastAsia" w:hAnsi="Times New Roman" w:cs="Times New Roman"/>
          <w:sz w:val="24"/>
          <w:szCs w:val="24"/>
          <w:lang w:val="en-US"/>
        </w:rPr>
        <w:t>the</w:t>
      </w:r>
      <w:r w:rsidR="00310457" w:rsidRPr="00486BED">
        <w:rPr>
          <w:rFonts w:ascii="Times New Roman" w:eastAsiaTheme="minorEastAsia" w:hAnsi="Times New Roman" w:cs="Times New Roman"/>
          <w:sz w:val="24"/>
          <w:szCs w:val="24"/>
          <w:lang w:val="en-US"/>
        </w:rPr>
        <w:t xml:space="preserve"> same donor were averaged </w:t>
      </w:r>
      <w:r w:rsidR="00650D40">
        <w:rPr>
          <w:rFonts w:ascii="Times New Roman" w:eastAsiaTheme="minorEastAsia" w:hAnsi="Times New Roman" w:cs="Times New Roman"/>
          <w:sz w:val="24"/>
          <w:szCs w:val="24"/>
          <w:lang w:val="en-US"/>
        </w:rPr>
        <w:t>in</w:t>
      </w:r>
      <w:r w:rsidR="00310457" w:rsidRPr="00486BED">
        <w:rPr>
          <w:rFonts w:ascii="Times New Roman" w:eastAsiaTheme="minorEastAsia" w:hAnsi="Times New Roman" w:cs="Times New Roman"/>
          <w:sz w:val="24"/>
          <w:szCs w:val="24"/>
          <w:lang w:val="en-US"/>
        </w:rPr>
        <w:t xml:space="preserve"> the same way after subtraction of </w:t>
      </w:r>
      <w:r w:rsidR="00650D40">
        <w:rPr>
          <w:rFonts w:ascii="Times New Roman" w:eastAsiaTheme="minorEastAsia" w:hAnsi="Times New Roman" w:cs="Times New Roman"/>
          <w:sz w:val="24"/>
          <w:szCs w:val="24"/>
          <w:lang w:val="en-US"/>
        </w:rPr>
        <w:t xml:space="preserve">the individual </w:t>
      </w:r>
      <w:r w:rsidR="00310457" w:rsidRPr="00486BED">
        <w:rPr>
          <w:rFonts w:ascii="Times New Roman" w:eastAsiaTheme="minorEastAsia" w:hAnsi="Times New Roman" w:cs="Times New Roman"/>
          <w:sz w:val="24"/>
          <w:szCs w:val="24"/>
          <w:lang w:val="en-US"/>
        </w:rPr>
        <w:t>internal tooth-specific dose</w:t>
      </w:r>
      <w:r w:rsidR="00650D40">
        <w:rPr>
          <w:rFonts w:ascii="Times New Roman" w:eastAsiaTheme="minorEastAsia" w:hAnsi="Times New Roman" w:cs="Times New Roman"/>
          <w:sz w:val="24"/>
          <w:szCs w:val="24"/>
          <w:lang w:val="en-US"/>
        </w:rPr>
        <w:t>s</w:t>
      </w:r>
      <w:r w:rsidR="00310457" w:rsidRPr="00486BED">
        <w:rPr>
          <w:rFonts w:ascii="Times New Roman" w:eastAsiaTheme="minorEastAsia" w:hAnsi="Times New Roman" w:cs="Times New Roman"/>
          <w:sz w:val="24"/>
          <w:szCs w:val="24"/>
          <w:lang w:val="en-US"/>
        </w:rPr>
        <w:t xml:space="preserve">. </w:t>
      </w:r>
    </w:p>
    <w:p w14:paraId="2E8A6A5A" w14:textId="77777777" w:rsidR="00310457" w:rsidRPr="00F763B2" w:rsidRDefault="00310457" w:rsidP="00F763B2">
      <w:pPr>
        <w:spacing w:after="240" w:line="360" w:lineRule="auto"/>
        <w:jc w:val="both"/>
        <w:rPr>
          <w:rFonts w:ascii="Times New Roman" w:eastAsiaTheme="minorEastAsia" w:hAnsi="Times New Roman" w:cs="Times New Roman"/>
          <w:i/>
          <w:sz w:val="24"/>
          <w:szCs w:val="24"/>
          <w:lang w:val="en-US"/>
        </w:rPr>
      </w:pPr>
      <w:r w:rsidRPr="00F763B2">
        <w:rPr>
          <w:rFonts w:ascii="Times New Roman" w:hAnsi="Times New Roman" w:cs="Times New Roman"/>
          <w:i/>
          <w:sz w:val="24"/>
          <w:szCs w:val="24"/>
          <w:lang w:val="en-US"/>
        </w:rPr>
        <w:t>Calculation of internal dose in the tooth enamel</w:t>
      </w:r>
    </w:p>
    <w:p w14:paraId="0F1ED025" w14:textId="77777777" w:rsidR="00310457" w:rsidRPr="00486BED" w:rsidRDefault="00CB7232" w:rsidP="00486BED">
      <w:pPr>
        <w:pStyle w:val="Listenabsatz"/>
        <w:spacing w:after="240" w:line="360" w:lineRule="auto"/>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310457" w:rsidRPr="00486BED">
        <w:rPr>
          <w:rFonts w:ascii="Times New Roman" w:hAnsi="Times New Roman" w:cs="Times New Roman"/>
          <w:sz w:val="24"/>
          <w:szCs w:val="24"/>
          <w:lang w:val="en-US"/>
        </w:rPr>
        <w:t>alculation of internal doses in the tooth enamel (</w:t>
      </w:r>
      <w:r w:rsidR="00310457" w:rsidRPr="00486BED">
        <w:rPr>
          <w:rFonts w:ascii="Times New Roman" w:hAnsi="Times New Roman" w:cs="Times New Roman"/>
          <w:i/>
          <w:sz w:val="24"/>
          <w:szCs w:val="24"/>
          <w:lang w:val="en-US"/>
        </w:rPr>
        <w:t>D</w:t>
      </w:r>
      <w:r w:rsidR="00310457" w:rsidRPr="00486BED">
        <w:rPr>
          <w:rFonts w:ascii="Times New Roman" w:hAnsi="Times New Roman" w:cs="Times New Roman"/>
          <w:i/>
          <w:sz w:val="24"/>
          <w:szCs w:val="24"/>
          <w:vertAlign w:val="subscript"/>
          <w:lang w:val="en-US"/>
        </w:rPr>
        <w:t>int</w:t>
      </w:r>
      <w:r w:rsidR="00310457" w:rsidRPr="00486BED">
        <w:rPr>
          <w:rFonts w:ascii="Times New Roman" w:hAnsi="Times New Roman" w:cs="Times New Roman"/>
          <w:sz w:val="24"/>
          <w:szCs w:val="24"/>
          <w:lang w:val="en-US"/>
        </w:rPr>
        <w:t xml:space="preserve">) was performed taking into account </w:t>
      </w:r>
      <w:r>
        <w:rPr>
          <w:rFonts w:ascii="Times New Roman" w:hAnsi="Times New Roman" w:cs="Times New Roman"/>
          <w:sz w:val="24"/>
          <w:szCs w:val="24"/>
          <w:lang w:val="en-US"/>
        </w:rPr>
        <w:t>three</w:t>
      </w:r>
      <w:r w:rsidR="00310457" w:rsidRPr="00486BED">
        <w:rPr>
          <w:rFonts w:ascii="Times New Roman" w:hAnsi="Times New Roman" w:cs="Times New Roman"/>
          <w:sz w:val="24"/>
          <w:szCs w:val="24"/>
          <w:lang w:val="en-US"/>
        </w:rPr>
        <w:t xml:space="preserve"> dose-</w:t>
      </w:r>
      <w:r>
        <w:rPr>
          <w:rFonts w:ascii="Times New Roman" w:hAnsi="Times New Roman" w:cs="Times New Roman"/>
          <w:sz w:val="24"/>
          <w:szCs w:val="24"/>
          <w:lang w:val="en-US"/>
        </w:rPr>
        <w:t>relevant</w:t>
      </w:r>
      <w:r w:rsidR="00310457" w:rsidRPr="00486BED">
        <w:rPr>
          <w:rFonts w:ascii="Times New Roman" w:hAnsi="Times New Roman" w:cs="Times New Roman"/>
          <w:sz w:val="24"/>
          <w:szCs w:val="24"/>
          <w:lang w:val="en-US"/>
        </w:rPr>
        <w:t xml:space="preserve"> radionuclides: </w:t>
      </w:r>
      <w:r w:rsidR="00310457" w:rsidRPr="00486BED">
        <w:rPr>
          <w:rFonts w:ascii="Times New Roman" w:hAnsi="Times New Roman" w:cs="Times New Roman"/>
          <w:sz w:val="24"/>
          <w:szCs w:val="24"/>
          <w:vertAlign w:val="superscript"/>
          <w:lang w:val="en-US"/>
        </w:rPr>
        <w:t>90</w:t>
      </w:r>
      <w:r w:rsidR="00310457" w:rsidRPr="00486BED">
        <w:rPr>
          <w:rFonts w:ascii="Times New Roman" w:hAnsi="Times New Roman" w:cs="Times New Roman"/>
          <w:sz w:val="24"/>
          <w:szCs w:val="24"/>
          <w:lang w:val="en-US"/>
        </w:rPr>
        <w:t xml:space="preserve">Sr (and its progeny </w:t>
      </w:r>
      <w:r w:rsidR="00310457" w:rsidRPr="00486BED">
        <w:rPr>
          <w:rFonts w:ascii="Times New Roman" w:hAnsi="Times New Roman" w:cs="Times New Roman"/>
          <w:sz w:val="24"/>
          <w:szCs w:val="24"/>
          <w:vertAlign w:val="superscript"/>
          <w:lang w:val="en-US"/>
        </w:rPr>
        <w:t>90</w:t>
      </w:r>
      <w:r w:rsidR="00310457" w:rsidRPr="00486BED">
        <w:rPr>
          <w:rFonts w:ascii="Times New Roman" w:hAnsi="Times New Roman" w:cs="Times New Roman"/>
          <w:sz w:val="24"/>
          <w:szCs w:val="24"/>
          <w:lang w:val="en-US"/>
        </w:rPr>
        <w:t xml:space="preserve">Y), </w:t>
      </w:r>
      <w:r w:rsidR="00310457" w:rsidRPr="00486BED">
        <w:rPr>
          <w:rFonts w:ascii="Times New Roman" w:hAnsi="Times New Roman" w:cs="Times New Roman"/>
          <w:sz w:val="24"/>
          <w:szCs w:val="24"/>
          <w:vertAlign w:val="superscript"/>
          <w:lang w:val="en-US"/>
        </w:rPr>
        <w:t>89</w:t>
      </w:r>
      <w:r w:rsidR="00310457" w:rsidRPr="00486BED">
        <w:rPr>
          <w:rFonts w:ascii="Times New Roman" w:hAnsi="Times New Roman" w:cs="Times New Roman"/>
          <w:sz w:val="24"/>
          <w:szCs w:val="24"/>
          <w:lang w:val="en-US"/>
        </w:rPr>
        <w:t xml:space="preserve">Sr and </w:t>
      </w:r>
      <w:r w:rsidR="00310457" w:rsidRPr="00486BED">
        <w:rPr>
          <w:rFonts w:ascii="Times New Roman" w:hAnsi="Times New Roman" w:cs="Times New Roman"/>
          <w:sz w:val="24"/>
          <w:szCs w:val="24"/>
          <w:vertAlign w:val="superscript"/>
          <w:lang w:val="en-US"/>
        </w:rPr>
        <w:t>137</w:t>
      </w:r>
      <w:r w:rsidR="00310457" w:rsidRPr="00486BED">
        <w:rPr>
          <w:rFonts w:ascii="Times New Roman" w:hAnsi="Times New Roman" w:cs="Times New Roman"/>
          <w:sz w:val="24"/>
          <w:szCs w:val="24"/>
          <w:lang w:val="en-US"/>
        </w:rPr>
        <w:t xml:space="preserve">Cs (and its progeny </w:t>
      </w:r>
      <w:r w:rsidR="00310457" w:rsidRPr="00486BED">
        <w:rPr>
          <w:rFonts w:ascii="Times New Roman" w:hAnsi="Times New Roman" w:cs="Times New Roman"/>
          <w:sz w:val="24"/>
          <w:szCs w:val="24"/>
          <w:vertAlign w:val="superscript"/>
          <w:lang w:val="en-US"/>
        </w:rPr>
        <w:t>137m</w:t>
      </w:r>
      <w:r w:rsidR="00310457" w:rsidRPr="00486BED">
        <w:rPr>
          <w:rFonts w:ascii="Times New Roman" w:hAnsi="Times New Roman" w:cs="Times New Roman"/>
          <w:sz w:val="24"/>
          <w:szCs w:val="24"/>
          <w:lang w:val="en-US"/>
        </w:rPr>
        <w:t xml:space="preserve">Ba). </w:t>
      </w:r>
    </w:p>
    <w:p w14:paraId="2C23DFED" w14:textId="77777777" w:rsidR="00310457" w:rsidRPr="00486BED" w:rsidRDefault="00310457" w:rsidP="00486BED">
      <w:pPr>
        <w:spacing w:after="240" w:line="360" w:lineRule="auto"/>
        <w:ind w:left="360"/>
        <w:jc w:val="both"/>
        <w:rPr>
          <w:rFonts w:ascii="Times New Roman" w:hAnsi="Times New Roman" w:cs="Times New Roman"/>
          <w:i/>
          <w:sz w:val="24"/>
          <w:szCs w:val="24"/>
          <w:u w:val="single"/>
          <w:lang w:val="en-US"/>
        </w:rPr>
      </w:pPr>
      <w:r w:rsidRPr="00486BED">
        <w:rPr>
          <w:rFonts w:ascii="Times New Roman" w:hAnsi="Times New Roman" w:cs="Times New Roman"/>
          <w:i/>
          <w:sz w:val="24"/>
          <w:szCs w:val="24"/>
          <w:u w:val="single"/>
          <w:vertAlign w:val="superscript"/>
          <w:lang w:val="en-US"/>
        </w:rPr>
        <w:t>90</w:t>
      </w:r>
      <w:r w:rsidRPr="00486BED">
        <w:rPr>
          <w:rFonts w:ascii="Times New Roman" w:hAnsi="Times New Roman" w:cs="Times New Roman"/>
          <w:i/>
          <w:sz w:val="24"/>
          <w:szCs w:val="24"/>
          <w:u w:val="single"/>
          <w:lang w:val="en-US"/>
        </w:rPr>
        <w:t>Sr/</w:t>
      </w:r>
      <w:r w:rsidRPr="00486BED">
        <w:rPr>
          <w:rFonts w:ascii="Times New Roman" w:hAnsi="Times New Roman" w:cs="Times New Roman"/>
          <w:i/>
          <w:sz w:val="24"/>
          <w:szCs w:val="24"/>
          <w:u w:val="single"/>
          <w:vertAlign w:val="superscript"/>
          <w:lang w:val="en-US"/>
        </w:rPr>
        <w:t>90</w:t>
      </w:r>
      <w:r w:rsidRPr="00486BED">
        <w:rPr>
          <w:rFonts w:ascii="Times New Roman" w:hAnsi="Times New Roman" w:cs="Times New Roman"/>
          <w:i/>
          <w:sz w:val="24"/>
          <w:szCs w:val="24"/>
          <w:u w:val="single"/>
          <w:lang w:val="en-US"/>
        </w:rPr>
        <w:t>Y</w:t>
      </w:r>
    </w:p>
    <w:p w14:paraId="775261AF" w14:textId="77777777" w:rsidR="00310457" w:rsidRPr="008A0C14" w:rsidRDefault="00CB7232" w:rsidP="00486BED">
      <w:pPr>
        <w:spacing w:after="24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310457" w:rsidRPr="00486BED">
        <w:rPr>
          <w:rFonts w:ascii="Times New Roman" w:hAnsi="Times New Roman" w:cs="Times New Roman"/>
          <w:sz w:val="24"/>
          <w:szCs w:val="24"/>
          <w:lang w:val="en-US"/>
        </w:rPr>
        <w:t>alculation of internal dose (Eq.6) in the tooth enamel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D</m:t>
            </m:r>
          </m:e>
          <m:sub>
            <m:r>
              <w:rPr>
                <w:rFonts w:ascii="Cambria Math" w:hAnsi="Cambria Math" w:cs="Times New Roman"/>
                <w:sz w:val="24"/>
                <w:szCs w:val="24"/>
                <w:lang w:val="en-US"/>
              </w:rPr>
              <m:t>int</m:t>
            </m:r>
          </m:sub>
          <m:sup>
            <m:r>
              <w:rPr>
                <w:rFonts w:ascii="Cambria Math" w:hAnsi="Cambria Math" w:cs="Times New Roman"/>
                <w:sz w:val="24"/>
                <w:szCs w:val="24"/>
                <w:lang w:val="en-US"/>
              </w:rPr>
              <m:t>90Sr</m:t>
            </m:r>
          </m:sup>
        </m:sSubSup>
      </m:oMath>
      <w:r w:rsidR="00310457" w:rsidRPr="00486BED">
        <w:rPr>
          <w:rFonts w:ascii="Times New Roman" w:hAnsi="Times New Roman" w:cs="Times New Roman"/>
          <w:sz w:val="24"/>
          <w:szCs w:val="24"/>
          <w:lang w:val="en-US"/>
        </w:rPr>
        <w:t>) was performed based on</w:t>
      </w:r>
      <w:r w:rsidR="008B3FC3" w:rsidRPr="00486BED">
        <w:rPr>
          <w:rFonts w:ascii="Times New Roman" w:hAnsi="Times New Roman" w:cs="Times New Roman"/>
          <w:sz w:val="24"/>
          <w:szCs w:val="24"/>
          <w:lang w:val="en-US"/>
        </w:rPr>
        <w:t xml:space="preserve"> the</w:t>
      </w:r>
      <w:r w:rsidR="00310457" w:rsidRPr="00486BED">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vertAlign w:val="superscript"/>
          <w:lang w:val="en-US"/>
        </w:rPr>
        <w:t>90</w:t>
      </w:r>
      <w:r w:rsidR="00310457" w:rsidRPr="00486BED">
        <w:rPr>
          <w:rFonts w:ascii="Times New Roman" w:hAnsi="Times New Roman" w:cs="Times New Roman"/>
          <w:sz w:val="24"/>
          <w:szCs w:val="24"/>
          <w:lang w:val="en-US"/>
        </w:rPr>
        <w:t>Sr activity concentrations (</w:t>
      </w:r>
      <w:r w:rsidR="00310457" w:rsidRPr="00486BED">
        <w:rPr>
          <w:rFonts w:ascii="Times New Roman" w:hAnsi="Times New Roman" w:cs="Times New Roman"/>
          <w:i/>
          <w:sz w:val="24"/>
          <w:szCs w:val="24"/>
          <w:lang w:val="en-US"/>
        </w:rPr>
        <w:t>A</w:t>
      </w:r>
      <w:r w:rsidR="00310457" w:rsidRPr="00486BED">
        <w:rPr>
          <w:rFonts w:ascii="Times New Roman" w:hAnsi="Times New Roman" w:cs="Times New Roman"/>
          <w:i/>
          <w:sz w:val="24"/>
          <w:szCs w:val="24"/>
          <w:vertAlign w:val="subscript"/>
          <w:lang w:val="en-US"/>
        </w:rPr>
        <w:t>i</w:t>
      </w:r>
      <w:r w:rsidR="00310457" w:rsidRPr="00486BED">
        <w:rPr>
          <w:rFonts w:ascii="Times New Roman" w:hAnsi="Times New Roman" w:cs="Times New Roman"/>
          <w:i/>
          <w:sz w:val="24"/>
          <w:szCs w:val="24"/>
          <w:lang w:val="en-US"/>
        </w:rPr>
        <w:t>)</w:t>
      </w:r>
      <w:r w:rsidR="00310457" w:rsidRPr="00486BED">
        <w:rPr>
          <w:rFonts w:ascii="Times New Roman" w:hAnsi="Times New Roman" w:cs="Times New Roman"/>
          <w:sz w:val="24"/>
          <w:szCs w:val="24"/>
          <w:lang w:val="en-US"/>
        </w:rPr>
        <w:t xml:space="preserve"> (recalculated to 2010) in the </w:t>
      </w:r>
      <w:r>
        <w:rPr>
          <w:rFonts w:ascii="Times New Roman" w:hAnsi="Times New Roman" w:cs="Times New Roman"/>
          <w:sz w:val="24"/>
          <w:szCs w:val="24"/>
          <w:lang w:val="en-US"/>
        </w:rPr>
        <w:t xml:space="preserve">various </w:t>
      </w:r>
      <w:r w:rsidR="00310457" w:rsidRPr="00486BED">
        <w:rPr>
          <w:rFonts w:ascii="Times New Roman" w:hAnsi="Times New Roman" w:cs="Times New Roman"/>
          <w:sz w:val="24"/>
          <w:szCs w:val="24"/>
          <w:lang w:val="en-US"/>
        </w:rPr>
        <w:t xml:space="preserve">tooth compartments, </w:t>
      </w:r>
      <w:r w:rsidR="00310457" w:rsidRPr="00486BED">
        <w:rPr>
          <w:rFonts w:ascii="Times New Roman" w:hAnsi="Times New Roman" w:cs="Times New Roman"/>
          <w:i/>
          <w:sz w:val="24"/>
          <w:szCs w:val="24"/>
          <w:lang w:val="en-US"/>
        </w:rPr>
        <w:t>i,</w:t>
      </w:r>
      <w:r w:rsidR="00310457" w:rsidRPr="00486BED">
        <w:rPr>
          <w:rFonts w:ascii="Times New Roman" w:hAnsi="Times New Roman" w:cs="Times New Roman"/>
          <w:sz w:val="24"/>
          <w:szCs w:val="24"/>
          <w:lang w:val="en-US"/>
        </w:rPr>
        <w:t xml:space="preserve"> (enamel, crown dentin and root dentin) and </w:t>
      </w:r>
      <w:r>
        <w:rPr>
          <w:rFonts w:ascii="Times New Roman" w:hAnsi="Times New Roman" w:cs="Times New Roman"/>
          <w:sz w:val="24"/>
          <w:szCs w:val="24"/>
          <w:lang w:val="en-US"/>
        </w:rPr>
        <w:t xml:space="preserve">on </w:t>
      </w:r>
      <w:r w:rsidR="00310457" w:rsidRPr="00486BED">
        <w:rPr>
          <w:rFonts w:ascii="Times New Roman" w:hAnsi="Times New Roman" w:cs="Times New Roman"/>
          <w:sz w:val="24"/>
          <w:szCs w:val="24"/>
          <w:lang w:val="en-US"/>
        </w:rPr>
        <w:t>dose coefficients (</w:t>
      </w:r>
      <w:r w:rsidR="00310457" w:rsidRPr="00486BED">
        <w:rPr>
          <w:rFonts w:ascii="Times New Roman" w:hAnsi="Times New Roman" w:cs="Times New Roman"/>
          <w:i/>
          <w:sz w:val="24"/>
          <w:szCs w:val="24"/>
          <w:lang w:val="en-US"/>
        </w:rPr>
        <w:t>DC</w:t>
      </w:r>
      <w:r w:rsidR="00310457" w:rsidRPr="00486BED">
        <w:rPr>
          <w:rFonts w:ascii="Times New Roman" w:hAnsi="Times New Roman" w:cs="Times New Roman"/>
          <w:i/>
          <w:sz w:val="24"/>
          <w:szCs w:val="24"/>
          <w:vertAlign w:val="subscript"/>
          <w:lang w:val="en-US"/>
        </w:rPr>
        <w:t>i</w:t>
      </w:r>
      <w:r w:rsidR="00310457" w:rsidRPr="00486BED">
        <w:rPr>
          <w:rFonts w:ascii="Times New Roman" w:hAnsi="Times New Roman" w:cs="Times New Roman"/>
          <w:sz w:val="24"/>
          <w:szCs w:val="24"/>
          <w:lang w:val="en-US"/>
        </w:rPr>
        <w:t xml:space="preserve">). The </w:t>
      </w:r>
      <w:r w:rsidR="00310457" w:rsidRPr="00486BED">
        <w:rPr>
          <w:rFonts w:ascii="Times New Roman" w:hAnsi="Times New Roman" w:cs="Times New Roman"/>
          <w:i/>
          <w:sz w:val="24"/>
          <w:szCs w:val="24"/>
          <w:lang w:val="en-US"/>
        </w:rPr>
        <w:t>DC</w:t>
      </w:r>
      <w:r w:rsidR="00310457" w:rsidRPr="00486BED">
        <w:rPr>
          <w:rFonts w:ascii="Times New Roman" w:hAnsi="Times New Roman" w:cs="Times New Roman"/>
          <w:i/>
          <w:sz w:val="24"/>
          <w:szCs w:val="24"/>
          <w:vertAlign w:val="subscript"/>
          <w:lang w:val="en-US"/>
        </w:rPr>
        <w:t>i</w:t>
      </w:r>
      <w:r w:rsidR="00310457" w:rsidRPr="00486BED" w:rsidDel="004B6EB6">
        <w:rPr>
          <w:rFonts w:ascii="Times New Roman" w:hAnsi="Times New Roman" w:cs="Times New Roman"/>
          <w:b/>
          <w:sz w:val="24"/>
          <w:szCs w:val="24"/>
          <w:lang w:val="en-US"/>
        </w:rPr>
        <w:t xml:space="preserve"> </w:t>
      </w:r>
      <w:r w:rsidR="00F447F7" w:rsidRPr="008A0C14">
        <w:rPr>
          <w:rFonts w:ascii="Times New Roman" w:hAnsi="Times New Roman" w:cs="Times New Roman"/>
          <w:sz w:val="24"/>
          <w:szCs w:val="24"/>
          <w:lang w:val="en-US"/>
        </w:rPr>
        <w:t>is the factor determi</w:t>
      </w:r>
      <w:r w:rsidR="00EA4CE1" w:rsidRPr="008A0C14">
        <w:rPr>
          <w:rFonts w:ascii="Times New Roman" w:hAnsi="Times New Roman" w:cs="Times New Roman"/>
          <w:sz w:val="24"/>
          <w:szCs w:val="24"/>
          <w:lang w:val="en-US"/>
        </w:rPr>
        <w:t>n</w:t>
      </w:r>
      <w:r w:rsidR="00F447F7" w:rsidRPr="008A0C14">
        <w:rPr>
          <w:rFonts w:ascii="Times New Roman" w:hAnsi="Times New Roman" w:cs="Times New Roman"/>
          <w:sz w:val="24"/>
          <w:szCs w:val="24"/>
          <w:lang w:val="en-US"/>
        </w:rPr>
        <w:t>ing the radiation exposure of tooth enamel by</w:t>
      </w:r>
      <w:r w:rsidR="00EA4CE1" w:rsidRPr="008A0C14">
        <w:rPr>
          <w:rFonts w:ascii="Times New Roman" w:hAnsi="Times New Roman" w:cs="Times New Roman"/>
          <w:sz w:val="24"/>
          <w:szCs w:val="24"/>
          <w:lang w:val="en-US"/>
        </w:rPr>
        <w:t xml:space="preserve"> </w:t>
      </w:r>
      <w:r w:rsidR="00F447F7" w:rsidRPr="008A0C14">
        <w:rPr>
          <w:rFonts w:ascii="Times New Roman" w:hAnsi="Times New Roman" w:cs="Times New Roman"/>
          <w:sz w:val="24"/>
          <w:szCs w:val="24"/>
          <w:vertAlign w:val="superscript"/>
          <w:lang w:val="en-US"/>
        </w:rPr>
        <w:t>90</w:t>
      </w:r>
      <w:r w:rsidR="00F447F7" w:rsidRPr="008A0C14">
        <w:rPr>
          <w:rFonts w:ascii="Times New Roman" w:hAnsi="Times New Roman" w:cs="Times New Roman"/>
          <w:sz w:val="24"/>
          <w:szCs w:val="24"/>
          <w:lang w:val="en-US"/>
        </w:rPr>
        <w:t>Sr</w:t>
      </w:r>
      <w:r w:rsidR="00EA4CE1" w:rsidRPr="008A0C14">
        <w:rPr>
          <w:rFonts w:ascii="Times New Roman" w:hAnsi="Times New Roman" w:cs="Times New Roman"/>
          <w:sz w:val="24"/>
          <w:szCs w:val="24"/>
          <w:lang w:val="en-US"/>
        </w:rPr>
        <w:t>/</w:t>
      </w:r>
      <w:r w:rsidR="00EA4CE1" w:rsidRPr="008A0C14">
        <w:rPr>
          <w:rFonts w:ascii="Times New Roman" w:hAnsi="Times New Roman" w:cs="Times New Roman"/>
          <w:sz w:val="24"/>
          <w:szCs w:val="24"/>
          <w:vertAlign w:val="superscript"/>
          <w:lang w:val="en-US"/>
        </w:rPr>
        <w:t>90</w:t>
      </w:r>
      <w:r w:rsidR="00EA4CE1" w:rsidRPr="008A0C14">
        <w:rPr>
          <w:rFonts w:ascii="Times New Roman" w:hAnsi="Times New Roman" w:cs="Times New Roman"/>
          <w:sz w:val="24"/>
          <w:szCs w:val="24"/>
          <w:lang w:val="en-US"/>
        </w:rPr>
        <w:t>Y</w:t>
      </w:r>
      <w:r w:rsidR="00F447F7" w:rsidRPr="008A0C14">
        <w:rPr>
          <w:rFonts w:ascii="Times New Roman" w:hAnsi="Times New Roman" w:cs="Times New Roman"/>
          <w:sz w:val="24"/>
          <w:szCs w:val="24"/>
          <w:lang w:val="en-US"/>
        </w:rPr>
        <w:t xml:space="preserve"> incorporated </w:t>
      </w:r>
      <w:r w:rsidR="00310457" w:rsidRPr="008A0C14">
        <w:rPr>
          <w:rFonts w:ascii="Times New Roman" w:hAnsi="Times New Roman" w:cs="Times New Roman"/>
          <w:sz w:val="24"/>
          <w:szCs w:val="24"/>
          <w:lang w:val="en-US"/>
        </w:rPr>
        <w:t xml:space="preserve">in </w:t>
      </w:r>
      <w:r w:rsidR="00F447F7" w:rsidRPr="008A0C14">
        <w:rPr>
          <w:rFonts w:ascii="Times New Roman" w:hAnsi="Times New Roman" w:cs="Times New Roman"/>
          <w:sz w:val="24"/>
          <w:szCs w:val="24"/>
          <w:lang w:val="en-US"/>
        </w:rPr>
        <w:t xml:space="preserve">a tooth compartment </w:t>
      </w:r>
      <w:r w:rsidR="00310457" w:rsidRPr="008A0C14">
        <w:rPr>
          <w:rFonts w:ascii="Times New Roman" w:hAnsi="Times New Roman" w:cs="Times New Roman"/>
          <w:i/>
          <w:sz w:val="24"/>
          <w:szCs w:val="24"/>
          <w:lang w:val="en-US"/>
        </w:rPr>
        <w:t>i</w:t>
      </w:r>
      <w:r w:rsidR="00930839" w:rsidRPr="008A0C14">
        <w:rPr>
          <w:rFonts w:ascii="Times New Roman" w:hAnsi="Times New Roman" w:cs="Times New Roman"/>
          <w:sz w:val="24"/>
          <w:szCs w:val="24"/>
          <w:lang w:val="en-US"/>
        </w:rPr>
        <w:t xml:space="preserve"> (mGy/year per Bq/g )</w:t>
      </w:r>
      <w:r w:rsidR="00310457" w:rsidRPr="008A0C14">
        <w:rPr>
          <w:rFonts w:ascii="Times New Roman" w:hAnsi="Times New Roman" w:cs="Times New Roman"/>
          <w:sz w:val="24"/>
          <w:szCs w:val="24"/>
          <w:lang w:val="en-US"/>
        </w:rPr>
        <w:t xml:space="preserve"> (Shishkina et al. 2006)</w:t>
      </w:r>
      <w:r w:rsidRPr="008A0C14">
        <w:rPr>
          <w:rFonts w:ascii="Times New Roman" w:hAnsi="Times New Roman" w:cs="Times New Roman"/>
          <w:sz w:val="24"/>
          <w:szCs w:val="24"/>
          <w:lang w:val="en-US"/>
        </w:rPr>
        <w:t xml:space="preserve"> </w:t>
      </w:r>
    </w:p>
    <w:p w14:paraId="2E7A6791" w14:textId="77777777" w:rsidR="00310457" w:rsidRPr="008A0C14" w:rsidRDefault="00310457" w:rsidP="00486BED">
      <w:pPr>
        <w:tabs>
          <w:tab w:val="left" w:pos="7560"/>
        </w:tabs>
        <w:spacing w:after="240" w:line="360" w:lineRule="auto"/>
        <w:ind w:firstLine="708"/>
        <w:jc w:val="both"/>
        <w:rPr>
          <w:rFonts w:ascii="Times New Roman" w:hAnsi="Times New Roman" w:cs="Times New Roman"/>
          <w:sz w:val="24"/>
          <w:szCs w:val="24"/>
          <w:lang w:val="en-US"/>
        </w:rPr>
      </w:pPr>
      <w:r w:rsidRPr="008A0C14">
        <w:rPr>
          <w:rFonts w:ascii="Times New Roman" w:hAnsi="Times New Roman" w:cs="Times New Roman"/>
          <w:position w:val="-36"/>
          <w:sz w:val="24"/>
          <w:szCs w:val="24"/>
        </w:rPr>
        <w:object w:dxaOrig="4760" w:dyaOrig="840" w14:anchorId="6EECD73B">
          <v:shape id="_x0000_i1026" type="#_x0000_t75" style="width:284.25pt;height:50.25pt" o:ole="">
            <v:imagedata r:id="rId12" o:title=""/>
          </v:shape>
          <o:OLEObject Type="Embed" ProgID="Equation.3" ShapeID="_x0000_i1026" DrawAspect="Content" ObjectID="_1586772671" r:id="rId13"/>
        </w:object>
      </w:r>
      <w:r w:rsidRPr="008A0C14">
        <w:rPr>
          <w:rFonts w:ascii="Times New Roman" w:hAnsi="Times New Roman" w:cs="Times New Roman"/>
          <w:sz w:val="24"/>
          <w:szCs w:val="24"/>
          <w:lang w:val="en-US"/>
        </w:rPr>
        <w:t xml:space="preserve">, </w:t>
      </w:r>
      <w:r w:rsidRPr="008A0C14">
        <w:rPr>
          <w:rFonts w:ascii="Times New Roman" w:hAnsi="Times New Roman" w:cs="Times New Roman"/>
          <w:sz w:val="24"/>
          <w:szCs w:val="24"/>
          <w:lang w:val="en-US"/>
        </w:rPr>
        <w:tab/>
        <w:t>(6)</w:t>
      </w:r>
    </w:p>
    <w:p w14:paraId="28E3FC38" w14:textId="7FB3E547" w:rsidR="00310457" w:rsidRPr="008A0C14" w:rsidRDefault="00310457" w:rsidP="00486BED">
      <w:pPr>
        <w:spacing w:after="240" w:line="360" w:lineRule="auto"/>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 xml:space="preserve">where </w:t>
      </w:r>
      <m:oMath>
        <m:r>
          <w:rPr>
            <w:rFonts w:ascii="Cambria Math" w:hAnsi="Cambria Math" w:cs="Times New Roman"/>
            <w:sz w:val="24"/>
            <w:szCs w:val="24"/>
            <w:lang w:val="en-US"/>
          </w:rPr>
          <m:t>λ=0.024</m:t>
        </m:r>
      </m:oMath>
      <w:r w:rsidRPr="008A0C14">
        <w:rPr>
          <w:rFonts w:ascii="Times New Roman" w:eastAsiaTheme="minorEastAsia" w:hAnsi="Times New Roman" w:cs="Times New Roman"/>
          <w:sz w:val="24"/>
          <w:szCs w:val="24"/>
          <w:lang w:val="en-US"/>
        </w:rPr>
        <w:t xml:space="preserve"> y</w:t>
      </w:r>
      <w:r w:rsidRPr="008A0C14">
        <w:rPr>
          <w:rFonts w:ascii="Times New Roman" w:eastAsiaTheme="minorEastAsia" w:hAnsi="Times New Roman" w:cs="Times New Roman"/>
          <w:sz w:val="24"/>
          <w:szCs w:val="24"/>
          <w:vertAlign w:val="superscript"/>
          <w:lang w:val="en-US"/>
        </w:rPr>
        <w:t>-1</w:t>
      </w:r>
      <w:r w:rsidRPr="008A0C14">
        <w:rPr>
          <w:rFonts w:ascii="Times New Roman" w:eastAsiaTheme="minorEastAsia" w:hAnsi="Times New Roman" w:cs="Times New Roman"/>
          <w:sz w:val="24"/>
          <w:szCs w:val="24"/>
          <w:lang w:val="en-US"/>
        </w:rPr>
        <w:t xml:space="preserve"> </w:t>
      </w:r>
      <w:r w:rsidRPr="008A0C14">
        <w:rPr>
          <w:rFonts w:ascii="Times New Roman" w:hAnsi="Times New Roman" w:cs="Times New Roman"/>
          <w:sz w:val="24"/>
          <w:szCs w:val="24"/>
          <w:lang w:val="en-US"/>
        </w:rPr>
        <w:t xml:space="preserve">is the constant of </w:t>
      </w:r>
      <w:r w:rsidRPr="008A0C14">
        <w:rPr>
          <w:rFonts w:ascii="Times New Roman" w:hAnsi="Times New Roman" w:cs="Times New Roman"/>
          <w:sz w:val="24"/>
          <w:szCs w:val="24"/>
          <w:vertAlign w:val="superscript"/>
          <w:lang w:val="en-US"/>
        </w:rPr>
        <w:t>90</w:t>
      </w:r>
      <w:r w:rsidRPr="008A0C14">
        <w:rPr>
          <w:rFonts w:ascii="Times New Roman" w:hAnsi="Times New Roman" w:cs="Times New Roman"/>
          <w:sz w:val="24"/>
          <w:szCs w:val="24"/>
          <w:lang w:val="en-US"/>
        </w:rPr>
        <w:t>Sr radioactive decay</w:t>
      </w:r>
      <w:r w:rsidR="000450BD" w:rsidRPr="008A0C14">
        <w:rPr>
          <w:rFonts w:ascii="Times New Roman" w:hAnsi="Times New Roman" w:cs="Times New Roman"/>
          <w:sz w:val="24"/>
          <w:szCs w:val="24"/>
          <w:lang w:val="en-US"/>
        </w:rPr>
        <w:t xml:space="preserve"> (assuming zero biological elimination of radionuclides)</w:t>
      </w:r>
      <w:r w:rsidRPr="008A0C14">
        <w:rPr>
          <w:rFonts w:ascii="Times New Roman" w:hAnsi="Times New Roman" w:cs="Times New Roman"/>
          <w:sz w:val="24"/>
          <w:szCs w:val="24"/>
          <w:lang w:val="en-US"/>
        </w:rPr>
        <w:t xml:space="preserve">; </w:t>
      </w:r>
      <w:r w:rsidRPr="008A0C14">
        <w:rPr>
          <w:rFonts w:ascii="Times New Roman" w:hAnsi="Times New Roman" w:cs="Times New Roman"/>
          <w:i/>
          <w:sz w:val="24"/>
          <w:szCs w:val="24"/>
          <w:lang w:val="en-US"/>
        </w:rPr>
        <w:t>τ</w:t>
      </w:r>
      <w:r w:rsidRPr="008A0C14">
        <w:rPr>
          <w:rFonts w:ascii="Times New Roman" w:hAnsi="Times New Roman" w:cs="Times New Roman"/>
          <w:i/>
          <w:sz w:val="24"/>
          <w:szCs w:val="24"/>
          <w:vertAlign w:val="subscript"/>
          <w:lang w:val="en-US"/>
        </w:rPr>
        <w:t>0</w:t>
      </w:r>
      <w:r w:rsidRPr="008A0C14">
        <w:rPr>
          <w:rFonts w:ascii="Times New Roman" w:hAnsi="Times New Roman" w:cs="Times New Roman"/>
          <w:i/>
          <w:sz w:val="24"/>
          <w:szCs w:val="24"/>
          <w:lang w:val="en-US"/>
        </w:rPr>
        <w:t xml:space="preserve"> </w:t>
      </w:r>
      <w:r w:rsidRPr="008A0C14">
        <w:rPr>
          <w:rFonts w:ascii="Times New Roman" w:hAnsi="Times New Roman" w:cs="Times New Roman"/>
          <w:sz w:val="24"/>
          <w:szCs w:val="24"/>
          <w:lang w:val="en-US"/>
        </w:rPr>
        <w:t xml:space="preserve">is the time </w:t>
      </w:r>
      <w:r w:rsidR="008F61D3" w:rsidRPr="008A0C14">
        <w:rPr>
          <w:rFonts w:ascii="Times New Roman" w:hAnsi="Times New Roman" w:cs="Times New Roman"/>
          <w:sz w:val="24"/>
          <w:szCs w:val="24"/>
          <w:lang w:val="en-US"/>
        </w:rPr>
        <w:t xml:space="preserve">when the </w:t>
      </w:r>
      <w:r w:rsidRPr="008A0C14">
        <w:rPr>
          <w:rFonts w:ascii="Times New Roman" w:hAnsi="Times New Roman" w:cs="Times New Roman"/>
          <w:sz w:val="24"/>
          <w:szCs w:val="24"/>
          <w:lang w:val="en-US"/>
        </w:rPr>
        <w:t>intake</w:t>
      </w:r>
      <w:r w:rsidR="008F61D3" w:rsidRPr="008A0C14">
        <w:rPr>
          <w:rFonts w:ascii="Times New Roman" w:hAnsi="Times New Roman" w:cs="Times New Roman"/>
          <w:sz w:val="24"/>
          <w:szCs w:val="24"/>
          <w:lang w:val="en-US"/>
        </w:rPr>
        <w:t xml:space="preserve"> happened </w:t>
      </w:r>
      <w:r w:rsidR="00EA4CE1" w:rsidRPr="008A0C14">
        <w:rPr>
          <w:rFonts w:ascii="Times New Roman" w:hAnsi="Times New Roman" w:cs="Times New Roman"/>
          <w:sz w:val="24"/>
          <w:szCs w:val="24"/>
          <w:lang w:val="en-US"/>
        </w:rPr>
        <w:t xml:space="preserve">(assuming a single intake), </w:t>
      </w:r>
      <w:r w:rsidR="008F61D3" w:rsidRPr="008A0C14">
        <w:rPr>
          <w:rFonts w:ascii="Times New Roman" w:hAnsi="Times New Roman" w:cs="Times New Roman"/>
          <w:i/>
          <w:sz w:val="24"/>
          <w:szCs w:val="24"/>
          <w:lang w:val="en-US"/>
        </w:rPr>
        <w:t>τ</w:t>
      </w:r>
      <w:r w:rsidR="008F61D3" w:rsidRPr="008A0C14">
        <w:rPr>
          <w:rFonts w:ascii="Times New Roman" w:hAnsi="Times New Roman" w:cs="Times New Roman"/>
          <w:i/>
          <w:sz w:val="24"/>
          <w:szCs w:val="24"/>
          <w:vertAlign w:val="subscript"/>
          <w:lang w:val="en-US"/>
        </w:rPr>
        <w:t>m</w:t>
      </w:r>
      <w:r w:rsidR="008F61D3" w:rsidRPr="008A0C14">
        <w:rPr>
          <w:rFonts w:ascii="Times New Roman" w:hAnsi="Times New Roman" w:cs="Times New Roman"/>
          <w:i/>
          <w:sz w:val="24"/>
          <w:szCs w:val="24"/>
          <w:lang w:val="en-US"/>
        </w:rPr>
        <w:t>,</w:t>
      </w:r>
      <w:r w:rsidR="000450BD" w:rsidRPr="008A0C14">
        <w:rPr>
          <w:rFonts w:ascii="Times New Roman" w:hAnsi="Times New Roman" w:cs="Times New Roman"/>
          <w:i/>
          <w:sz w:val="24"/>
          <w:szCs w:val="24"/>
          <w:lang w:val="en-US"/>
        </w:rPr>
        <w:t xml:space="preserve"> </w:t>
      </w:r>
      <w:r w:rsidR="000450BD" w:rsidRPr="008A0C14">
        <w:rPr>
          <w:rFonts w:ascii="Times New Roman" w:hAnsi="Times New Roman" w:cs="Times New Roman"/>
          <w:sz w:val="24"/>
          <w:szCs w:val="24"/>
          <w:lang w:val="en-US"/>
        </w:rPr>
        <w:t>is the time of EPR dose measurement</w:t>
      </w:r>
      <w:r w:rsidR="000450BD" w:rsidRPr="008A0C14">
        <w:rPr>
          <w:rFonts w:ascii="Times New Roman" w:hAnsi="Times New Roman" w:cs="Times New Roman"/>
          <w:i/>
          <w:sz w:val="24"/>
          <w:szCs w:val="24"/>
          <w:lang w:val="en-US"/>
        </w:rPr>
        <w:t>;</w:t>
      </w:r>
      <w:r w:rsidR="008F61D3" w:rsidRPr="008A0C14">
        <w:rPr>
          <w:rFonts w:ascii="Times New Roman" w:hAnsi="Times New Roman" w:cs="Times New Roman"/>
          <w:i/>
          <w:sz w:val="24"/>
          <w:szCs w:val="24"/>
          <w:lang w:val="en-US"/>
        </w:rPr>
        <w:t xml:space="preserve"> n</w:t>
      </w:r>
      <w:r w:rsidR="000450BD" w:rsidRPr="008A0C14">
        <w:rPr>
          <w:rFonts w:ascii="Times New Roman" w:hAnsi="Times New Roman" w:cs="Times New Roman"/>
          <w:i/>
          <w:sz w:val="24"/>
          <w:szCs w:val="24"/>
          <w:lang w:val="en-US"/>
        </w:rPr>
        <w:t xml:space="preserve"> </w:t>
      </w:r>
      <w:r w:rsidR="000450BD" w:rsidRPr="008A0C14">
        <w:rPr>
          <w:rFonts w:ascii="Times New Roman" w:hAnsi="Times New Roman" w:cs="Times New Roman"/>
          <w:sz w:val="24"/>
          <w:szCs w:val="24"/>
          <w:lang w:val="en-US"/>
        </w:rPr>
        <w:t>is the number of tooth compartments assumed to be the sources of enamel exposure due to contamination</w:t>
      </w:r>
      <w:r w:rsidR="008F61D3" w:rsidRPr="008A0C14">
        <w:rPr>
          <w:rFonts w:ascii="Times New Roman" w:hAnsi="Times New Roman" w:cs="Times New Roman"/>
          <w:i/>
          <w:sz w:val="24"/>
          <w:szCs w:val="24"/>
          <w:lang w:val="en-US"/>
        </w:rPr>
        <w:t xml:space="preserve">, </w:t>
      </w:r>
      <w:r w:rsidR="008F61D3" w:rsidRPr="008A0C14">
        <w:rPr>
          <w:rFonts w:ascii="Times New Roman" w:hAnsi="Times New Roman" w:cs="Times New Roman"/>
          <w:sz w:val="24"/>
          <w:szCs w:val="24"/>
          <w:lang w:val="en-US"/>
        </w:rPr>
        <w:t xml:space="preserve">and </w:t>
      </w:r>
      <w:r w:rsidR="008F61D3" w:rsidRPr="008A0C14">
        <w:rPr>
          <w:rFonts w:ascii="Times New Roman" w:hAnsi="Times New Roman" w:cs="Times New Roman"/>
          <w:i/>
          <w:sz w:val="24"/>
          <w:szCs w:val="24"/>
          <w:lang w:val="en-US"/>
        </w:rPr>
        <w:t>T</w:t>
      </w:r>
      <w:r w:rsidR="008F61D3" w:rsidRPr="008A0C14">
        <w:rPr>
          <w:rFonts w:ascii="Times New Roman" w:hAnsi="Times New Roman" w:cs="Times New Roman"/>
          <w:sz w:val="24"/>
          <w:szCs w:val="24"/>
          <w:lang w:val="en-US"/>
        </w:rPr>
        <w:t xml:space="preserve"> </w:t>
      </w:r>
      <w:r w:rsidR="000450BD" w:rsidRPr="008A0C14">
        <w:rPr>
          <w:rFonts w:ascii="Times New Roman" w:hAnsi="Times New Roman" w:cs="Times New Roman"/>
          <w:sz w:val="24"/>
          <w:szCs w:val="24"/>
          <w:lang w:val="en-US"/>
        </w:rPr>
        <w:t xml:space="preserve">is the </w:t>
      </w:r>
      <w:r w:rsidR="00930839" w:rsidRPr="008A0C14">
        <w:rPr>
          <w:rFonts w:ascii="Times New Roman" w:hAnsi="Times New Roman" w:cs="Times New Roman"/>
          <w:sz w:val="24"/>
          <w:szCs w:val="24"/>
          <w:lang w:val="en-US"/>
        </w:rPr>
        <w:t>donor’ birth year (see Appendix B)</w:t>
      </w:r>
      <w:r w:rsidRPr="008A0C14">
        <w:rPr>
          <w:rFonts w:ascii="Times New Roman" w:hAnsi="Times New Roman" w:cs="Times New Roman"/>
          <w:sz w:val="24"/>
          <w:szCs w:val="24"/>
          <w:lang w:val="en-US"/>
        </w:rPr>
        <w:t xml:space="preserve">. </w:t>
      </w:r>
    </w:p>
    <w:p w14:paraId="4D4FC251" w14:textId="77777777" w:rsidR="00310457" w:rsidRPr="008A0C14" w:rsidRDefault="00310457" w:rsidP="00486BED">
      <w:pPr>
        <w:spacing w:after="240" w:line="360" w:lineRule="auto"/>
        <w:ind w:firstLine="426"/>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 xml:space="preserve">The calculations were performed using a set of model approximations, viz.: </w:t>
      </w:r>
    </w:p>
    <w:p w14:paraId="07DE6C54" w14:textId="77777777" w:rsidR="00310457" w:rsidRPr="00486BED" w:rsidRDefault="00FC389F" w:rsidP="00486BED">
      <w:pPr>
        <w:pStyle w:val="Listenabsatz"/>
        <w:numPr>
          <w:ilvl w:val="0"/>
          <w:numId w:val="34"/>
        </w:numPr>
        <w:spacing w:after="240" w:line="360" w:lineRule="auto"/>
        <w:ind w:left="0" w:firstLine="426"/>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T</w:t>
      </w:r>
      <w:r w:rsidR="00310457" w:rsidRPr="008A0C14">
        <w:rPr>
          <w:rFonts w:ascii="Times New Roman" w:hAnsi="Times New Roman" w:cs="Times New Roman"/>
          <w:sz w:val="24"/>
          <w:szCs w:val="24"/>
          <w:lang w:val="en-US"/>
        </w:rPr>
        <w:t xml:space="preserve">he crown geometry and the corresponding dose coefficients </w:t>
      </w:r>
      <w:r w:rsidR="00D41F63" w:rsidRPr="008A0C14">
        <w:rPr>
          <w:rFonts w:ascii="Times New Roman" w:hAnsi="Times New Roman" w:cs="Times New Roman"/>
          <w:sz w:val="24"/>
          <w:szCs w:val="24"/>
          <w:lang w:val="en-US"/>
        </w:rPr>
        <w:t>are assumed to be</w:t>
      </w:r>
      <w:r w:rsidR="00310457" w:rsidRPr="008A0C14">
        <w:rPr>
          <w:rFonts w:ascii="Times New Roman" w:hAnsi="Times New Roman" w:cs="Times New Roman"/>
          <w:sz w:val="24"/>
          <w:szCs w:val="24"/>
          <w:lang w:val="en-US"/>
        </w:rPr>
        <w:t xml:space="preserve"> age</w:t>
      </w:r>
      <w:r w:rsidR="00310457" w:rsidRPr="00486BED">
        <w:rPr>
          <w:rFonts w:ascii="Times New Roman" w:hAnsi="Times New Roman" w:cs="Times New Roman"/>
          <w:sz w:val="24"/>
          <w:szCs w:val="24"/>
          <w:lang w:val="en-US"/>
        </w:rPr>
        <w:t xml:space="preserve"> dependent (Volchkova and Shishkina, 2012; Volchkova and Shishkina, 2013);</w:t>
      </w:r>
    </w:p>
    <w:p w14:paraId="7AEE9041" w14:textId="77777777" w:rsidR="00310457" w:rsidRPr="00486BED" w:rsidRDefault="00310457" w:rsidP="00486BED">
      <w:pPr>
        <w:pStyle w:val="Listenabsatz"/>
        <w:numPr>
          <w:ilvl w:val="0"/>
          <w:numId w:val="34"/>
        </w:numPr>
        <w:spacing w:after="240" w:line="360" w:lineRule="auto"/>
        <w:ind w:left="0" w:firstLine="426"/>
        <w:jc w:val="both"/>
        <w:rPr>
          <w:rFonts w:ascii="Times New Roman" w:hAnsi="Times New Roman" w:cs="Times New Roman"/>
          <w:sz w:val="24"/>
          <w:szCs w:val="24"/>
          <w:lang w:val="en-US"/>
        </w:rPr>
      </w:pP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is assumed to be uniformly distributed in the secondary dentin of </w:t>
      </w:r>
      <w:r w:rsidR="008B3FC3"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teeth </w:t>
      </w:r>
      <w:r w:rsidR="00FC389F">
        <w:rPr>
          <w:rFonts w:ascii="Times New Roman" w:hAnsi="Times New Roman" w:cs="Times New Roman"/>
          <w:sz w:val="24"/>
          <w:szCs w:val="24"/>
          <w:lang w:val="en-US"/>
        </w:rPr>
        <w:t xml:space="preserve">which were </w:t>
      </w:r>
      <w:r w:rsidRPr="00486BED">
        <w:rPr>
          <w:rFonts w:ascii="Times New Roman" w:hAnsi="Times New Roman" w:cs="Times New Roman"/>
          <w:sz w:val="24"/>
          <w:szCs w:val="24"/>
          <w:lang w:val="en-US"/>
        </w:rPr>
        <w:t>fully completed at the time of the intake (Shiskina et al, 2001a); if the crown had been completed (&gt;6 years)</w:t>
      </w:r>
      <w:r w:rsidR="008B3FC3"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but the root was in the process of development, the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is assumed to be uniformly distributed in the primary dentin. </w:t>
      </w:r>
      <w:r w:rsidR="00FC389F">
        <w:rPr>
          <w:rFonts w:ascii="Times New Roman" w:hAnsi="Times New Roman" w:cs="Times New Roman"/>
          <w:sz w:val="24"/>
          <w:szCs w:val="24"/>
          <w:lang w:val="en-US"/>
        </w:rPr>
        <w:t>A</w:t>
      </w:r>
      <w:r w:rsidRPr="00486BED">
        <w:rPr>
          <w:rFonts w:ascii="Times New Roman" w:hAnsi="Times New Roman" w:cs="Times New Roman"/>
          <w:sz w:val="24"/>
          <w:szCs w:val="24"/>
          <w:lang w:val="en-US"/>
        </w:rPr>
        <w:t xml:space="preserve"> mass correction, converting the average activity concentration in the dentin to the activity concentration in the contaminated dentin fraction, is applied to the dose coefficient (Appendix B) (Volchkova , 2014);</w:t>
      </w:r>
    </w:p>
    <w:p w14:paraId="2D21013B" w14:textId="77777777" w:rsidR="00310457" w:rsidRPr="00486BED" w:rsidRDefault="00FC389F" w:rsidP="00486BED">
      <w:pPr>
        <w:pStyle w:val="Listenabsatz"/>
        <w:numPr>
          <w:ilvl w:val="0"/>
          <w:numId w:val="34"/>
        </w:numPr>
        <w:spacing w:after="240" w:line="36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lang w:val="en-US"/>
        </w:rPr>
        <w:t>Although</w:t>
      </w:r>
      <w:r w:rsidR="00310457" w:rsidRPr="00486BED">
        <w:rPr>
          <w:rFonts w:ascii="Times New Roman" w:hAnsi="Times New Roman" w:cs="Times New Roman"/>
          <w:sz w:val="24"/>
          <w:szCs w:val="24"/>
          <w:lang w:val="en-US"/>
        </w:rPr>
        <w:t xml:space="preserve"> the intake continued from 1948 to 1956, </w:t>
      </w:r>
      <w:r w:rsidR="00D41F63">
        <w:rPr>
          <w:rFonts w:ascii="Times New Roman" w:hAnsi="Times New Roman" w:cs="Times New Roman"/>
          <w:sz w:val="24"/>
          <w:szCs w:val="24"/>
          <w:lang w:val="en-US"/>
        </w:rPr>
        <w:t>it i</w:t>
      </w:r>
      <w:r>
        <w:rPr>
          <w:rFonts w:ascii="Times New Roman" w:hAnsi="Times New Roman" w:cs="Times New Roman"/>
          <w:sz w:val="24"/>
          <w:szCs w:val="24"/>
          <w:lang w:val="en-US"/>
        </w:rPr>
        <w:t>s assumed that only a mean</w:t>
      </w:r>
      <w:r w:rsidR="00310457" w:rsidRPr="00486BED">
        <w:rPr>
          <w:rFonts w:ascii="Times New Roman" w:hAnsi="Times New Roman" w:cs="Times New Roman"/>
          <w:sz w:val="24"/>
          <w:szCs w:val="24"/>
          <w:lang w:val="en-US"/>
        </w:rPr>
        <w:t xml:space="preserve"> single intake </w:t>
      </w:r>
      <w:r>
        <w:rPr>
          <w:rFonts w:ascii="Times New Roman" w:hAnsi="Times New Roman" w:cs="Times New Roman"/>
          <w:sz w:val="24"/>
          <w:szCs w:val="24"/>
          <w:lang w:val="en-US"/>
        </w:rPr>
        <w:t>had happened</w:t>
      </w:r>
      <w:r w:rsidR="00310457" w:rsidRPr="00486BED">
        <w:rPr>
          <w:rFonts w:ascii="Times New Roman" w:hAnsi="Times New Roman" w:cs="Times New Roman"/>
          <w:sz w:val="24"/>
          <w:szCs w:val="24"/>
          <w:lang w:val="en-US"/>
        </w:rPr>
        <w:t xml:space="preserve">. The time </w:t>
      </w:r>
      <w:r>
        <w:rPr>
          <w:rFonts w:ascii="Times New Roman" w:hAnsi="Times New Roman" w:cs="Times New Roman"/>
          <w:sz w:val="24"/>
          <w:szCs w:val="24"/>
          <w:lang w:val="en-US"/>
        </w:rPr>
        <w:t xml:space="preserve">when this </w:t>
      </w:r>
      <w:r w:rsidR="00310457" w:rsidRPr="00486BED">
        <w:rPr>
          <w:rFonts w:ascii="Times New Roman" w:hAnsi="Times New Roman" w:cs="Times New Roman"/>
          <w:sz w:val="24"/>
          <w:szCs w:val="24"/>
          <w:lang w:val="en-US"/>
        </w:rPr>
        <w:t>single intake</w:t>
      </w:r>
      <w:r>
        <w:rPr>
          <w:rFonts w:ascii="Times New Roman" w:hAnsi="Times New Roman" w:cs="Times New Roman"/>
          <w:sz w:val="24"/>
          <w:szCs w:val="24"/>
          <w:lang w:val="en-US"/>
        </w:rPr>
        <w:t xml:space="preserve"> happened</w:t>
      </w:r>
      <w:r w:rsidR="00310457" w:rsidRPr="00486BED">
        <w:rPr>
          <w:rFonts w:ascii="Times New Roman" w:hAnsi="Times New Roman" w:cs="Times New Roman"/>
          <w:sz w:val="24"/>
          <w:szCs w:val="24"/>
          <w:lang w:val="en-US"/>
        </w:rPr>
        <w:t xml:space="preserve">, </w:t>
      </w:r>
      <w:r w:rsidR="00310457" w:rsidRPr="00486BED">
        <w:rPr>
          <w:rFonts w:ascii="Times New Roman" w:hAnsi="Times New Roman" w:cs="Times New Roman"/>
          <w:i/>
          <w:sz w:val="24"/>
          <w:szCs w:val="24"/>
          <w:lang w:val="en-US"/>
        </w:rPr>
        <w:t>τ</w:t>
      </w:r>
      <w:r w:rsidR="00310457" w:rsidRPr="00486BED">
        <w:rPr>
          <w:rFonts w:ascii="Times New Roman" w:hAnsi="Times New Roman" w:cs="Times New Roman"/>
          <w:i/>
          <w:sz w:val="24"/>
          <w:szCs w:val="24"/>
          <w:vertAlign w:val="subscript"/>
          <w:lang w:val="en-US"/>
        </w:rPr>
        <w:t xml:space="preserve">0 </w:t>
      </w:r>
      <w:r w:rsidR="00310457" w:rsidRPr="00486BED">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r w:rsidR="00310457" w:rsidRPr="00486BED">
        <w:rPr>
          <w:rFonts w:ascii="Times New Roman" w:hAnsi="Times New Roman" w:cs="Times New Roman"/>
          <w:sz w:val="24"/>
          <w:szCs w:val="24"/>
          <w:lang w:val="en-US"/>
        </w:rPr>
        <w:t xml:space="preserve">1950.67 (September 1950), </w:t>
      </w:r>
      <w:r w:rsidR="00D41F63">
        <w:rPr>
          <w:rFonts w:ascii="Times New Roman" w:hAnsi="Times New Roman" w:cs="Times New Roman"/>
          <w:sz w:val="24"/>
          <w:szCs w:val="24"/>
          <w:lang w:val="en-US"/>
        </w:rPr>
        <w:t>i</w:t>
      </w:r>
      <w:r w:rsidR="00310457" w:rsidRPr="00486BED">
        <w:rPr>
          <w:rFonts w:ascii="Times New Roman" w:hAnsi="Times New Roman" w:cs="Times New Roman"/>
          <w:sz w:val="24"/>
          <w:szCs w:val="24"/>
          <w:lang w:val="en-US"/>
        </w:rPr>
        <w:t xml:space="preserve">s </w:t>
      </w:r>
      <w:r w:rsidR="008B3FC3" w:rsidRPr="00486BED">
        <w:rPr>
          <w:rFonts w:ascii="Times New Roman" w:hAnsi="Times New Roman" w:cs="Times New Roman"/>
          <w:sz w:val="24"/>
          <w:szCs w:val="24"/>
          <w:lang w:val="en-US"/>
        </w:rPr>
        <w:t>calculated</w:t>
      </w:r>
      <w:r w:rsidR="004E2142" w:rsidRPr="00486BED">
        <w:rPr>
          <w:rFonts w:ascii="Times New Roman" w:hAnsi="Times New Roman" w:cs="Times New Roman"/>
          <w:sz w:val="24"/>
          <w:szCs w:val="24"/>
          <w:lang w:val="en-US"/>
        </w:rPr>
        <w:t xml:space="preserve"> as an</w:t>
      </w:r>
      <w:r w:rsidR="00310457" w:rsidRPr="00486BED">
        <w:rPr>
          <w:rFonts w:ascii="Times New Roman" w:hAnsi="Times New Roman" w:cs="Times New Roman"/>
          <w:sz w:val="24"/>
          <w:szCs w:val="24"/>
          <w:lang w:val="en-US"/>
        </w:rPr>
        <w:t xml:space="preserve"> average </w:t>
      </w:r>
      <w:r w:rsidR="004E2142" w:rsidRPr="00486BED">
        <w:rPr>
          <w:rFonts w:ascii="Times New Roman" w:hAnsi="Times New Roman" w:cs="Times New Roman"/>
          <w:sz w:val="24"/>
          <w:szCs w:val="24"/>
          <w:lang w:val="en-US"/>
        </w:rPr>
        <w:t>weighted by</w:t>
      </w:r>
      <w:r w:rsidR="00310457" w:rsidRPr="00486BED">
        <w:rPr>
          <w:rFonts w:ascii="Times New Roman" w:hAnsi="Times New Roman" w:cs="Times New Roman"/>
          <w:sz w:val="24"/>
          <w:szCs w:val="24"/>
          <w:lang w:val="en-US"/>
        </w:rPr>
        <w:t xml:space="preserve"> the </w:t>
      </w:r>
      <w:r w:rsidR="004E2142" w:rsidRPr="00486BED">
        <w:rPr>
          <w:rFonts w:ascii="Times New Roman" w:hAnsi="Times New Roman" w:cs="Times New Roman"/>
          <w:sz w:val="24"/>
          <w:szCs w:val="24"/>
          <w:lang w:val="en-US"/>
        </w:rPr>
        <w:t xml:space="preserve">monthly intakes of radionuclide activity </w:t>
      </w:r>
      <w:r w:rsidR="00310457" w:rsidRPr="00486BED">
        <w:rPr>
          <w:rFonts w:ascii="Times New Roman" w:hAnsi="Times New Roman" w:cs="Times New Roman"/>
          <w:sz w:val="24"/>
          <w:szCs w:val="24"/>
          <w:lang w:val="en-US"/>
        </w:rPr>
        <w:t>(Tolstykh et al, 2011);</w:t>
      </w:r>
    </w:p>
    <w:p w14:paraId="6638F266" w14:textId="77777777" w:rsidR="00310457" w:rsidRPr="00486BED" w:rsidRDefault="00D41F63" w:rsidP="00486BED">
      <w:pPr>
        <w:pStyle w:val="Listenabsatz"/>
        <w:numPr>
          <w:ilvl w:val="0"/>
          <w:numId w:val="34"/>
        </w:numPr>
        <w:spacing w:after="240" w:line="360" w:lineRule="auto"/>
        <w:ind w:left="0" w:firstLine="426"/>
        <w:jc w:val="both"/>
        <w:rPr>
          <w:rFonts w:ascii="Times New Roman" w:hAnsi="Times New Roman" w:cs="Times New Roman"/>
          <w:sz w:val="24"/>
          <w:szCs w:val="24"/>
          <w:lang w:val="en-US"/>
        </w:rPr>
      </w:pPr>
      <w:r>
        <w:rPr>
          <w:rStyle w:val="apple-converted-space"/>
          <w:rFonts w:ascii="Times New Roman" w:hAnsi="Times New Roman" w:cs="Times New Roman"/>
          <w:sz w:val="24"/>
          <w:szCs w:val="24"/>
          <w:shd w:val="clear" w:color="auto" w:fill="FEFEFE"/>
          <w:lang w:val="en-US"/>
        </w:rPr>
        <w:t>It i</w:t>
      </w:r>
      <w:r w:rsidR="00FC389F">
        <w:rPr>
          <w:rStyle w:val="apple-converted-space"/>
          <w:rFonts w:ascii="Times New Roman" w:hAnsi="Times New Roman" w:cs="Times New Roman"/>
          <w:sz w:val="24"/>
          <w:szCs w:val="24"/>
          <w:shd w:val="clear" w:color="auto" w:fill="FEFEFE"/>
          <w:lang w:val="en-US"/>
        </w:rPr>
        <w:t xml:space="preserve">s assumed that </w:t>
      </w:r>
      <w:r w:rsidR="00FC389F" w:rsidRPr="00930839">
        <w:rPr>
          <w:rStyle w:val="apple-converted-space"/>
          <w:rFonts w:ascii="Times New Roman" w:hAnsi="Times New Roman" w:cs="Times New Roman"/>
          <w:sz w:val="24"/>
          <w:szCs w:val="24"/>
          <w:shd w:val="clear" w:color="auto" w:fill="FEFEFE"/>
          <w:vertAlign w:val="superscript"/>
          <w:lang w:val="en-US"/>
        </w:rPr>
        <w:t>90</w:t>
      </w:r>
      <w:r w:rsidR="00FC389F">
        <w:rPr>
          <w:rStyle w:val="apple-converted-space"/>
          <w:rFonts w:ascii="Times New Roman" w:hAnsi="Times New Roman" w:cs="Times New Roman"/>
          <w:sz w:val="24"/>
          <w:szCs w:val="24"/>
          <w:shd w:val="clear" w:color="auto" w:fill="FEFEFE"/>
          <w:lang w:val="en-US"/>
        </w:rPr>
        <w:t xml:space="preserve">Sr once in the </w:t>
      </w:r>
      <w:r>
        <w:rPr>
          <w:rStyle w:val="apple-converted-space"/>
          <w:rFonts w:ascii="Times New Roman" w:hAnsi="Times New Roman" w:cs="Times New Roman"/>
          <w:sz w:val="24"/>
          <w:szCs w:val="24"/>
          <w:shd w:val="clear" w:color="auto" w:fill="FEFEFE"/>
          <w:lang w:val="en-US"/>
        </w:rPr>
        <w:t xml:space="preserve">investigated </w:t>
      </w:r>
      <w:r w:rsidR="00FC389F">
        <w:rPr>
          <w:rStyle w:val="apple-converted-space"/>
          <w:rFonts w:ascii="Times New Roman" w:hAnsi="Times New Roman" w:cs="Times New Roman"/>
          <w:sz w:val="24"/>
          <w:szCs w:val="24"/>
          <w:shd w:val="clear" w:color="auto" w:fill="FEFEFE"/>
          <w:lang w:val="en-US"/>
        </w:rPr>
        <w:t xml:space="preserve">tooth </w:t>
      </w:r>
      <w:r>
        <w:rPr>
          <w:rStyle w:val="apple-converted-space"/>
          <w:rFonts w:ascii="Times New Roman" w:hAnsi="Times New Roman" w:cs="Times New Roman"/>
          <w:sz w:val="24"/>
          <w:szCs w:val="24"/>
          <w:shd w:val="clear" w:color="auto" w:fill="FEFEFE"/>
          <w:lang w:val="en-US"/>
        </w:rPr>
        <w:t xml:space="preserve">tissues </w:t>
      </w:r>
      <w:r w:rsidR="00FC389F">
        <w:rPr>
          <w:rStyle w:val="apple-converted-space"/>
          <w:rFonts w:ascii="Times New Roman" w:hAnsi="Times New Roman" w:cs="Times New Roman"/>
          <w:sz w:val="24"/>
          <w:szCs w:val="24"/>
          <w:shd w:val="clear" w:color="auto" w:fill="FEFEFE"/>
          <w:lang w:val="en-US"/>
        </w:rPr>
        <w:t xml:space="preserve">stays there forever </w:t>
      </w:r>
      <w:r>
        <w:rPr>
          <w:rStyle w:val="apple-converted-space"/>
          <w:rFonts w:ascii="Times New Roman" w:hAnsi="Times New Roman" w:cs="Times New Roman"/>
          <w:sz w:val="24"/>
          <w:szCs w:val="24"/>
          <w:shd w:val="clear" w:color="auto" w:fill="FEFEFE"/>
          <w:lang w:val="en-US"/>
        </w:rPr>
        <w:t>(</w:t>
      </w:r>
      <w:r w:rsidR="00310457" w:rsidRPr="00486BED">
        <w:rPr>
          <w:rStyle w:val="apple-converted-space"/>
          <w:rFonts w:ascii="Times New Roman" w:hAnsi="Times New Roman" w:cs="Times New Roman"/>
          <w:sz w:val="24"/>
          <w:szCs w:val="24"/>
          <w:shd w:val="clear" w:color="auto" w:fill="FEFEFE"/>
          <w:lang w:val="en-US"/>
        </w:rPr>
        <w:t xml:space="preserve">zero-rate metabolic elimination of </w:t>
      </w:r>
      <w:r w:rsidR="00310457" w:rsidRPr="00486BED">
        <w:rPr>
          <w:rStyle w:val="apple-converted-space"/>
          <w:rFonts w:ascii="Times New Roman" w:hAnsi="Times New Roman" w:cs="Times New Roman"/>
          <w:sz w:val="24"/>
          <w:szCs w:val="24"/>
          <w:shd w:val="clear" w:color="auto" w:fill="FEFEFE"/>
          <w:vertAlign w:val="superscript"/>
          <w:lang w:val="en-US"/>
        </w:rPr>
        <w:t>90</w:t>
      </w:r>
      <w:r w:rsidR="00310457" w:rsidRPr="00486BED">
        <w:rPr>
          <w:rStyle w:val="apple-converted-space"/>
          <w:rFonts w:ascii="Times New Roman" w:hAnsi="Times New Roman" w:cs="Times New Roman"/>
          <w:sz w:val="24"/>
          <w:szCs w:val="24"/>
          <w:shd w:val="clear" w:color="auto" w:fill="FEFEFE"/>
          <w:lang w:val="en-US"/>
        </w:rPr>
        <w:t>Sr</w:t>
      </w:r>
      <w:r>
        <w:rPr>
          <w:rStyle w:val="apple-converted-space"/>
          <w:rFonts w:ascii="Times New Roman" w:hAnsi="Times New Roman" w:cs="Times New Roman"/>
          <w:sz w:val="24"/>
          <w:szCs w:val="24"/>
          <w:shd w:val="clear" w:color="auto" w:fill="FEFEFE"/>
          <w:lang w:val="en-US"/>
        </w:rPr>
        <w:t>)</w:t>
      </w:r>
      <w:r w:rsidR="00310457" w:rsidRPr="00486BED">
        <w:rPr>
          <w:rStyle w:val="apple-converted-space"/>
          <w:rFonts w:ascii="Times New Roman" w:hAnsi="Times New Roman" w:cs="Times New Roman"/>
          <w:sz w:val="24"/>
          <w:szCs w:val="24"/>
          <w:shd w:val="clear" w:color="auto" w:fill="FEFEFE"/>
          <w:lang w:val="en-US"/>
        </w:rPr>
        <w:t xml:space="preserve">, </w:t>
      </w:r>
      <w:r>
        <w:rPr>
          <w:rStyle w:val="apple-converted-space"/>
          <w:rFonts w:ascii="Times New Roman" w:hAnsi="Times New Roman" w:cs="Times New Roman"/>
          <w:sz w:val="24"/>
          <w:szCs w:val="24"/>
          <w:shd w:val="clear" w:color="auto" w:fill="FEFEFE"/>
          <w:lang w:val="en-US"/>
        </w:rPr>
        <w:t xml:space="preserve">and only </w:t>
      </w:r>
      <w:r w:rsidR="00310457" w:rsidRPr="00486BED">
        <w:rPr>
          <w:rStyle w:val="apple-converted-space"/>
          <w:rFonts w:ascii="Times New Roman" w:hAnsi="Times New Roman" w:cs="Times New Roman"/>
          <w:sz w:val="24"/>
          <w:szCs w:val="24"/>
          <w:shd w:val="clear" w:color="auto" w:fill="FEFEFE"/>
          <w:lang w:val="en-US"/>
        </w:rPr>
        <w:t>radio</w:t>
      </w:r>
      <w:r w:rsidR="0050572E">
        <w:rPr>
          <w:rStyle w:val="apple-converted-space"/>
          <w:rFonts w:ascii="Times New Roman" w:hAnsi="Times New Roman" w:cs="Times New Roman"/>
          <w:sz w:val="24"/>
          <w:szCs w:val="24"/>
          <w:shd w:val="clear" w:color="auto" w:fill="FEFEFE"/>
          <w:lang w:val="en-US"/>
        </w:rPr>
        <w:t>n</w:t>
      </w:r>
      <w:r w:rsidR="00930839">
        <w:rPr>
          <w:rStyle w:val="apple-converted-space"/>
          <w:rFonts w:ascii="Times New Roman" w:hAnsi="Times New Roman" w:cs="Times New Roman"/>
          <w:sz w:val="24"/>
          <w:szCs w:val="24"/>
          <w:shd w:val="clear" w:color="auto" w:fill="FEFEFE"/>
          <w:lang w:val="en-US"/>
        </w:rPr>
        <w:t>uclide</w:t>
      </w:r>
      <w:r w:rsidR="0050572E">
        <w:rPr>
          <w:rStyle w:val="apple-converted-space"/>
          <w:rFonts w:ascii="Times New Roman" w:hAnsi="Times New Roman" w:cs="Times New Roman"/>
          <w:sz w:val="24"/>
          <w:szCs w:val="24"/>
          <w:shd w:val="clear" w:color="auto" w:fill="FEFEFE"/>
          <w:lang w:val="en-US"/>
        </w:rPr>
        <w:t xml:space="preserve"> </w:t>
      </w:r>
      <w:r w:rsidR="00310457" w:rsidRPr="00486BED">
        <w:rPr>
          <w:rStyle w:val="apple-converted-space"/>
          <w:rFonts w:ascii="Times New Roman" w:hAnsi="Times New Roman" w:cs="Times New Roman"/>
          <w:sz w:val="24"/>
          <w:szCs w:val="24"/>
          <w:shd w:val="clear" w:color="auto" w:fill="FEFEFE"/>
          <w:lang w:val="en-US"/>
        </w:rPr>
        <w:t>active decay (</w:t>
      </w:r>
      <m:oMath>
        <m:r>
          <w:rPr>
            <w:rFonts w:ascii="Cambria Math" w:hAnsi="Cambria Math" w:cs="Times New Roman"/>
            <w:sz w:val="24"/>
            <w:szCs w:val="24"/>
            <w:lang w:val="en-US"/>
          </w:rPr>
          <m:t>λ)</m:t>
        </m:r>
      </m:oMath>
      <w:r w:rsidR="00310457" w:rsidRPr="00486BED">
        <w:rPr>
          <w:rStyle w:val="apple-converted-space"/>
          <w:rFonts w:ascii="Times New Roman" w:hAnsi="Times New Roman" w:cs="Times New Roman"/>
          <w:sz w:val="24"/>
          <w:szCs w:val="24"/>
          <w:shd w:val="clear" w:color="auto" w:fill="FEFEFE"/>
          <w:lang w:val="en-US"/>
        </w:rPr>
        <w:t xml:space="preserve"> </w:t>
      </w:r>
      <w:r>
        <w:rPr>
          <w:rStyle w:val="apple-converted-space"/>
          <w:rFonts w:ascii="Times New Roman" w:hAnsi="Times New Roman" w:cs="Times New Roman"/>
          <w:sz w:val="24"/>
          <w:szCs w:val="24"/>
          <w:shd w:val="clear" w:color="auto" w:fill="FEFEFE"/>
          <w:lang w:val="en-US"/>
        </w:rPr>
        <w:t>i</w:t>
      </w:r>
      <w:r w:rsidR="00310457" w:rsidRPr="00486BED">
        <w:rPr>
          <w:rStyle w:val="apple-converted-space"/>
          <w:rFonts w:ascii="Times New Roman" w:hAnsi="Times New Roman" w:cs="Times New Roman"/>
          <w:sz w:val="24"/>
          <w:szCs w:val="24"/>
          <w:shd w:val="clear" w:color="auto" w:fill="FEFEFE"/>
          <w:lang w:val="en-US"/>
        </w:rPr>
        <w:t>s considered in Eq. 6.</w:t>
      </w:r>
    </w:p>
    <w:p w14:paraId="31B81536"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All </w:t>
      </w:r>
      <w:r w:rsidR="00D41F63">
        <w:rPr>
          <w:rFonts w:ascii="Times New Roman" w:hAnsi="Times New Roman" w:cs="Times New Roman"/>
          <w:sz w:val="24"/>
          <w:szCs w:val="24"/>
          <w:lang w:val="en-US"/>
        </w:rPr>
        <w:t xml:space="preserve">these assumptions, made for the sake of </w:t>
      </w:r>
      <w:r w:rsidRPr="00486BED">
        <w:rPr>
          <w:rFonts w:ascii="Times New Roman" w:hAnsi="Times New Roman" w:cs="Times New Roman"/>
          <w:sz w:val="24"/>
          <w:szCs w:val="24"/>
          <w:lang w:val="en-US"/>
        </w:rPr>
        <w:t>simplification</w:t>
      </w:r>
      <w:r w:rsidR="00D41F63">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were justified and validated </w:t>
      </w:r>
      <w:r w:rsidR="00D41F63">
        <w:rPr>
          <w:rFonts w:ascii="Times New Roman" w:hAnsi="Times New Roman" w:cs="Times New Roman"/>
          <w:sz w:val="24"/>
          <w:szCs w:val="24"/>
          <w:lang w:val="en-US"/>
        </w:rPr>
        <w:t xml:space="preserve">before they were applied </w:t>
      </w:r>
      <w:r w:rsidRPr="00486BED">
        <w:rPr>
          <w:rFonts w:ascii="Times New Roman" w:hAnsi="Times New Roman" w:cs="Times New Roman"/>
          <w:sz w:val="24"/>
          <w:szCs w:val="24"/>
          <w:lang w:val="en-US"/>
        </w:rPr>
        <w:t>(see the Supplemental Material). D</w:t>
      </w:r>
      <w:r w:rsidR="0050572E">
        <w:rPr>
          <w:rFonts w:ascii="Times New Roman" w:hAnsi="Times New Roman" w:cs="Times New Roman"/>
          <w:sz w:val="24"/>
          <w:szCs w:val="24"/>
          <w:lang w:val="en-US"/>
        </w:rPr>
        <w:t xml:space="preserve">ose </w:t>
      </w:r>
      <w:r w:rsidRPr="00486BED">
        <w:rPr>
          <w:rFonts w:ascii="Times New Roman" w:hAnsi="Times New Roman" w:cs="Times New Roman"/>
          <w:sz w:val="24"/>
          <w:szCs w:val="24"/>
          <w:lang w:val="en-US"/>
        </w:rPr>
        <w:t>C</w:t>
      </w:r>
      <w:r w:rsidR="0050572E">
        <w:rPr>
          <w:rFonts w:ascii="Times New Roman" w:hAnsi="Times New Roman" w:cs="Times New Roman"/>
          <w:sz w:val="24"/>
          <w:szCs w:val="24"/>
          <w:lang w:val="en-US"/>
        </w:rPr>
        <w:t>oefficient</w:t>
      </w:r>
      <w:r w:rsidRPr="00486BED">
        <w:rPr>
          <w:rFonts w:ascii="Times New Roman" w:hAnsi="Times New Roman" w:cs="Times New Roman"/>
          <w:sz w:val="24"/>
          <w:szCs w:val="24"/>
          <w:lang w:val="en-US"/>
        </w:rPr>
        <w:t xml:space="preserve">s were calculated using Monte Carlo </w:t>
      </w:r>
      <w:r w:rsidR="0050572E">
        <w:rPr>
          <w:rFonts w:ascii="Times New Roman" w:hAnsi="Times New Roman" w:cs="Times New Roman"/>
          <w:sz w:val="24"/>
          <w:szCs w:val="24"/>
          <w:lang w:val="en-US"/>
        </w:rPr>
        <w:t xml:space="preserve">simulation of </w:t>
      </w:r>
      <w:r w:rsidRPr="00486BED">
        <w:rPr>
          <w:rFonts w:ascii="Times New Roman" w:hAnsi="Times New Roman" w:cs="Times New Roman"/>
          <w:sz w:val="24"/>
          <w:szCs w:val="24"/>
          <w:lang w:val="en-US"/>
        </w:rPr>
        <w:t xml:space="preserve"> electron-photon transport</w:t>
      </w:r>
      <w:r w:rsidR="0050572E">
        <w:rPr>
          <w:rFonts w:ascii="Times New Roman" w:hAnsi="Times New Roman" w:cs="Times New Roman"/>
          <w:sz w:val="24"/>
          <w:szCs w:val="24"/>
          <w:lang w:val="en-US"/>
        </w:rPr>
        <w:t xml:space="preserve"> in teeth, where the simulated electrons come </w:t>
      </w:r>
      <w:r w:rsidRPr="00486BED">
        <w:rPr>
          <w:rFonts w:ascii="Times New Roman" w:hAnsi="Times New Roman" w:cs="Times New Roman"/>
          <w:sz w:val="24"/>
          <w:szCs w:val="24"/>
          <w:lang w:val="en-US"/>
        </w:rPr>
        <w:t xml:space="preserve">from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and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Y decays (assumed in secular equilibrium) (Shved and Shishkina, 2000; Tolstykh et al., 2000; Tikunov et al., 2006). </w:t>
      </w:r>
      <w:r w:rsidR="0050572E">
        <w:rPr>
          <w:rFonts w:ascii="Times New Roman" w:hAnsi="Times New Roman" w:cs="Times New Roman"/>
          <w:sz w:val="24"/>
          <w:szCs w:val="24"/>
          <w:lang w:val="en-US"/>
        </w:rPr>
        <w:t xml:space="preserve">Note that </w:t>
      </w:r>
      <w:r w:rsidRPr="00486BED">
        <w:rPr>
          <w:rStyle w:val="apple-converted-space"/>
          <w:rFonts w:ascii="Times New Roman" w:hAnsi="Times New Roman" w:cs="Times New Roman"/>
          <w:sz w:val="24"/>
          <w:szCs w:val="24"/>
          <w:shd w:val="clear" w:color="auto" w:fill="FEFEFE"/>
          <w:lang w:val="en-US"/>
        </w:rPr>
        <w:t xml:space="preserve">radionuclide activity concentrations, </w:t>
      </w:r>
      <w:r w:rsidRPr="00486BED">
        <w:rPr>
          <w:rFonts w:ascii="Times New Roman" w:hAnsi="Times New Roman" w:cs="Times New Roman"/>
          <w:position w:val="-12"/>
          <w:sz w:val="24"/>
          <w:szCs w:val="24"/>
        </w:rPr>
        <w:object w:dxaOrig="320" w:dyaOrig="380" w14:anchorId="0F09D591">
          <v:shape id="_x0000_i1027" type="#_x0000_t75" style="width:15.75pt;height:18.75pt" o:ole="">
            <v:imagedata r:id="rId14" o:title=""/>
          </v:shape>
          <o:OLEObject Type="Embed" ProgID="Equation.3" ShapeID="_x0000_i1027" DrawAspect="Content" ObjectID="_1586772672" r:id="rId15"/>
        </w:object>
      </w:r>
      <w:r w:rsidRPr="00486BED">
        <w:rPr>
          <w:rFonts w:ascii="Times New Roman" w:hAnsi="Times New Roman" w:cs="Times New Roman"/>
          <w:sz w:val="24"/>
          <w:szCs w:val="24"/>
          <w:lang w:val="en-US"/>
        </w:rPr>
        <w:t xml:space="preserve">, </w:t>
      </w:r>
      <w:r w:rsidR="00E4177B" w:rsidRPr="00486BED">
        <w:rPr>
          <w:rFonts w:ascii="Times New Roman" w:hAnsi="Times New Roman" w:cs="Times New Roman"/>
          <w:sz w:val="24"/>
          <w:szCs w:val="24"/>
          <w:lang w:val="en-US"/>
        </w:rPr>
        <w:t xml:space="preserve">are </w:t>
      </w:r>
      <w:r w:rsidRPr="00486BED">
        <w:rPr>
          <w:rStyle w:val="apple-converted-space"/>
          <w:rFonts w:ascii="Times New Roman" w:hAnsi="Times New Roman" w:cs="Times New Roman"/>
          <w:sz w:val="24"/>
          <w:szCs w:val="24"/>
          <w:shd w:val="clear" w:color="auto" w:fill="FEFEFE"/>
          <w:lang w:val="en-US"/>
        </w:rPr>
        <w:t xml:space="preserve">traditionally expressed in terms of </w:t>
      </w:r>
      <w:r w:rsidR="00E4177B" w:rsidRPr="00486BED">
        <w:rPr>
          <w:rStyle w:val="apple-converted-space"/>
          <w:rFonts w:ascii="Times New Roman" w:hAnsi="Times New Roman" w:cs="Times New Roman"/>
          <w:sz w:val="24"/>
          <w:szCs w:val="24"/>
          <w:shd w:val="clear" w:color="auto" w:fill="FEFEFE"/>
          <w:lang w:val="en-US"/>
        </w:rPr>
        <w:t xml:space="preserve">the </w:t>
      </w:r>
      <w:r w:rsidRPr="00486BED">
        <w:rPr>
          <w:rStyle w:val="apple-converted-space"/>
          <w:rFonts w:ascii="Times New Roman" w:hAnsi="Times New Roman" w:cs="Times New Roman"/>
          <w:sz w:val="24"/>
          <w:szCs w:val="24"/>
          <w:shd w:val="clear" w:color="auto" w:fill="FEFEFE"/>
          <w:lang w:val="en-US"/>
        </w:rPr>
        <w:t xml:space="preserve">activity concentration of the parent radionuclide, </w:t>
      </w:r>
      <w:r w:rsidRPr="00486BED">
        <w:rPr>
          <w:rStyle w:val="apple-converted-space"/>
          <w:rFonts w:ascii="Times New Roman" w:hAnsi="Times New Roman" w:cs="Times New Roman"/>
          <w:sz w:val="24"/>
          <w:szCs w:val="24"/>
          <w:shd w:val="clear" w:color="auto" w:fill="FEFEFE"/>
          <w:vertAlign w:val="superscript"/>
          <w:lang w:val="en-US"/>
        </w:rPr>
        <w:t>90</w:t>
      </w:r>
      <w:r w:rsidRPr="00486BED">
        <w:rPr>
          <w:rStyle w:val="apple-converted-space"/>
          <w:rFonts w:ascii="Times New Roman" w:hAnsi="Times New Roman" w:cs="Times New Roman"/>
          <w:sz w:val="24"/>
          <w:szCs w:val="24"/>
          <w:shd w:val="clear" w:color="auto" w:fill="FEFEFE"/>
          <w:lang w:val="en-US"/>
        </w:rPr>
        <w:t xml:space="preserve">Sr. </w:t>
      </w:r>
      <w:r w:rsidR="00A30074">
        <w:rPr>
          <w:rStyle w:val="apple-converted-space"/>
          <w:rFonts w:ascii="Times New Roman" w:hAnsi="Times New Roman" w:cs="Times New Roman"/>
          <w:sz w:val="24"/>
          <w:szCs w:val="24"/>
          <w:shd w:val="clear" w:color="auto" w:fill="FEFEFE"/>
          <w:lang w:val="en-US"/>
        </w:rPr>
        <w:t>Therefore</w:t>
      </w:r>
      <w:r w:rsidR="008177E5">
        <w:rPr>
          <w:rStyle w:val="apple-converted-space"/>
          <w:rFonts w:ascii="Times New Roman" w:hAnsi="Times New Roman" w:cs="Times New Roman"/>
          <w:sz w:val="24"/>
          <w:szCs w:val="24"/>
          <w:shd w:val="clear" w:color="auto" w:fill="FEFEFE"/>
          <w:lang w:val="en-US"/>
        </w:rPr>
        <w:t xml:space="preserve">, </w:t>
      </w:r>
      <w:r w:rsidR="00A30074">
        <w:rPr>
          <w:rStyle w:val="apple-converted-space"/>
          <w:rFonts w:ascii="Times New Roman" w:hAnsi="Times New Roman" w:cs="Times New Roman"/>
          <w:sz w:val="24"/>
          <w:szCs w:val="24"/>
          <w:shd w:val="clear" w:color="auto" w:fill="FEFEFE"/>
          <w:lang w:val="en-US"/>
        </w:rPr>
        <w:t xml:space="preserve">the activity in tooth tissue due to </w:t>
      </w:r>
      <w:r w:rsidR="00A30074" w:rsidRPr="00930839">
        <w:rPr>
          <w:rStyle w:val="apple-converted-space"/>
          <w:rFonts w:ascii="Times New Roman" w:hAnsi="Times New Roman" w:cs="Times New Roman"/>
          <w:sz w:val="24"/>
          <w:szCs w:val="24"/>
          <w:shd w:val="clear" w:color="auto" w:fill="FEFEFE"/>
          <w:vertAlign w:val="superscript"/>
          <w:lang w:val="en-US"/>
        </w:rPr>
        <w:t>90</w:t>
      </w:r>
      <w:r w:rsidR="00A30074">
        <w:rPr>
          <w:rStyle w:val="apple-converted-space"/>
          <w:rFonts w:ascii="Times New Roman" w:hAnsi="Times New Roman" w:cs="Times New Roman"/>
          <w:sz w:val="24"/>
          <w:szCs w:val="24"/>
          <w:shd w:val="clear" w:color="auto" w:fill="FEFEFE"/>
          <w:lang w:val="en-US"/>
        </w:rPr>
        <w:t xml:space="preserve">Sr and </w:t>
      </w:r>
      <w:r w:rsidR="00A30074" w:rsidRPr="00930839">
        <w:rPr>
          <w:rStyle w:val="apple-converted-space"/>
          <w:rFonts w:ascii="Times New Roman" w:hAnsi="Times New Roman" w:cs="Times New Roman"/>
          <w:sz w:val="24"/>
          <w:szCs w:val="24"/>
          <w:shd w:val="clear" w:color="auto" w:fill="FEFEFE"/>
          <w:vertAlign w:val="superscript"/>
          <w:lang w:val="en-US"/>
        </w:rPr>
        <w:t>90</w:t>
      </w:r>
      <w:r w:rsidR="00A30074">
        <w:rPr>
          <w:rStyle w:val="apple-converted-space"/>
          <w:rFonts w:ascii="Times New Roman" w:hAnsi="Times New Roman" w:cs="Times New Roman"/>
          <w:sz w:val="24"/>
          <w:szCs w:val="24"/>
          <w:shd w:val="clear" w:color="auto" w:fill="FEFEFE"/>
          <w:lang w:val="en-US"/>
        </w:rPr>
        <w:t xml:space="preserve">Y in equilibrium is expressed as twice the activity due to </w:t>
      </w:r>
      <w:r w:rsidR="00A30074" w:rsidRPr="00930839">
        <w:rPr>
          <w:rStyle w:val="apple-converted-space"/>
          <w:rFonts w:ascii="Times New Roman" w:hAnsi="Times New Roman" w:cs="Times New Roman"/>
          <w:sz w:val="24"/>
          <w:szCs w:val="24"/>
          <w:shd w:val="clear" w:color="auto" w:fill="FEFEFE"/>
          <w:vertAlign w:val="superscript"/>
          <w:lang w:val="en-US"/>
        </w:rPr>
        <w:t>90</w:t>
      </w:r>
      <w:r w:rsidR="00A30074">
        <w:rPr>
          <w:rStyle w:val="apple-converted-space"/>
          <w:rFonts w:ascii="Times New Roman" w:hAnsi="Times New Roman" w:cs="Times New Roman"/>
          <w:sz w:val="24"/>
          <w:szCs w:val="24"/>
          <w:shd w:val="clear" w:color="auto" w:fill="FEFEFE"/>
          <w:lang w:val="en-US"/>
        </w:rPr>
        <w:t xml:space="preserve">Sr </w:t>
      </w:r>
      <w:r w:rsidRPr="00486BED">
        <w:rPr>
          <w:rStyle w:val="apple-converted-space"/>
          <w:rFonts w:ascii="Times New Roman" w:hAnsi="Times New Roman" w:cs="Times New Roman"/>
          <w:sz w:val="24"/>
          <w:szCs w:val="24"/>
          <w:shd w:val="clear" w:color="auto" w:fill="FEFEFE"/>
          <w:lang w:val="en-US"/>
        </w:rPr>
        <w:t>in Eq</w:t>
      </w:r>
      <w:r w:rsidR="003310EB">
        <w:rPr>
          <w:rStyle w:val="apple-converted-space"/>
          <w:rFonts w:ascii="Times New Roman" w:hAnsi="Times New Roman" w:cs="Times New Roman"/>
          <w:sz w:val="24"/>
          <w:szCs w:val="24"/>
          <w:shd w:val="clear" w:color="auto" w:fill="FEFEFE"/>
          <w:lang w:val="en-US"/>
        </w:rPr>
        <w:t>.</w:t>
      </w:r>
      <w:r w:rsidRPr="00486BED">
        <w:rPr>
          <w:rStyle w:val="apple-converted-space"/>
          <w:rFonts w:ascii="Times New Roman" w:hAnsi="Times New Roman" w:cs="Times New Roman"/>
          <w:sz w:val="24"/>
          <w:szCs w:val="24"/>
          <w:shd w:val="clear" w:color="auto" w:fill="FEFEFE"/>
          <w:lang w:val="en-US"/>
        </w:rPr>
        <w:t xml:space="preserve"> (6</w:t>
      </w:r>
      <w:r w:rsidR="00930839">
        <w:rPr>
          <w:rStyle w:val="apple-converted-space"/>
          <w:rFonts w:ascii="Times New Roman" w:hAnsi="Times New Roman" w:cs="Times New Roman"/>
          <w:sz w:val="24"/>
          <w:szCs w:val="24"/>
          <w:shd w:val="clear" w:color="auto" w:fill="FEFEFE"/>
          <w:lang w:val="en-US"/>
        </w:rPr>
        <w:t>)</w:t>
      </w:r>
      <w:r w:rsidRPr="00486BED">
        <w:rPr>
          <w:rStyle w:val="apple-converted-space"/>
          <w:rFonts w:ascii="Times New Roman" w:hAnsi="Times New Roman" w:cs="Times New Roman"/>
          <w:sz w:val="24"/>
          <w:szCs w:val="24"/>
          <w:shd w:val="clear" w:color="auto" w:fill="FEFEFE"/>
          <w:lang w:val="en-US"/>
        </w:rPr>
        <w:t>.</w:t>
      </w:r>
    </w:p>
    <w:p w14:paraId="7E129081"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Style w:val="hps"/>
          <w:rFonts w:ascii="Times New Roman" w:hAnsi="Times New Roman" w:cs="Times New Roman"/>
          <w:sz w:val="24"/>
          <w:szCs w:val="24"/>
          <w:lang w:val="en"/>
        </w:rPr>
        <w:t xml:space="preserve">The data on </w:t>
      </w:r>
      <w:r w:rsidRPr="00486BED">
        <w:rPr>
          <w:rStyle w:val="hps"/>
          <w:rFonts w:ascii="Times New Roman" w:hAnsi="Times New Roman" w:cs="Times New Roman"/>
          <w:sz w:val="24"/>
          <w:szCs w:val="24"/>
          <w:vertAlign w:val="superscript"/>
          <w:lang w:val="en"/>
        </w:rPr>
        <w:t>90</w:t>
      </w:r>
      <w:r w:rsidRPr="00486BED">
        <w:rPr>
          <w:rStyle w:val="hps"/>
          <w:rFonts w:ascii="Times New Roman" w:hAnsi="Times New Roman" w:cs="Times New Roman"/>
          <w:sz w:val="24"/>
          <w:szCs w:val="24"/>
          <w:lang w:val="en"/>
        </w:rPr>
        <w:t>Sr activity concentration in teeth represent an essential part of th</w:t>
      </w:r>
      <w:r w:rsidR="00070B31">
        <w:rPr>
          <w:rStyle w:val="hps"/>
          <w:rFonts w:ascii="Times New Roman" w:hAnsi="Times New Roman" w:cs="Times New Roman"/>
          <w:sz w:val="24"/>
          <w:szCs w:val="24"/>
          <w:lang w:val="en"/>
        </w:rPr>
        <w:t>e present study</w:t>
      </w:r>
      <w:r w:rsidRPr="00486BED">
        <w:rPr>
          <w:rStyle w:val="hps"/>
          <w:rFonts w:ascii="Times New Roman" w:hAnsi="Times New Roman" w:cs="Times New Roman"/>
          <w:sz w:val="24"/>
          <w:szCs w:val="24"/>
          <w:lang w:val="en"/>
        </w:rPr>
        <w:t xml:space="preserve">. </w:t>
      </w:r>
      <w:r w:rsidR="00070B31">
        <w:rPr>
          <w:rStyle w:val="hps"/>
          <w:rFonts w:ascii="Times New Roman" w:hAnsi="Times New Roman" w:cs="Times New Roman"/>
          <w:sz w:val="24"/>
          <w:szCs w:val="24"/>
          <w:lang w:val="en"/>
        </w:rPr>
        <w:t>It is noted that t</w:t>
      </w:r>
      <w:r w:rsidR="004E2142" w:rsidRPr="00486BED">
        <w:rPr>
          <w:rStyle w:val="hps"/>
          <w:rFonts w:ascii="Times New Roman" w:hAnsi="Times New Roman" w:cs="Times New Roman"/>
          <w:sz w:val="24"/>
          <w:szCs w:val="24"/>
          <w:lang w:val="en"/>
        </w:rPr>
        <w:t>he</w:t>
      </w:r>
      <w:r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activity concentration in tooth tissues </w:t>
      </w:r>
      <w:r w:rsidR="000E76B5">
        <w:rPr>
          <w:rFonts w:ascii="Times New Roman" w:hAnsi="Times New Roman" w:cs="Times New Roman"/>
          <w:sz w:val="24"/>
          <w:szCs w:val="24"/>
          <w:lang w:val="en-US"/>
        </w:rPr>
        <w:t xml:space="preserve">was also measured </w:t>
      </w:r>
      <w:r w:rsidR="003310EB">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about 60 years after intake) </w:t>
      </w:r>
      <w:r w:rsidRPr="00486BED">
        <w:rPr>
          <w:rStyle w:val="hps"/>
          <w:rFonts w:ascii="Times New Roman" w:hAnsi="Times New Roman" w:cs="Times New Roman"/>
          <w:sz w:val="24"/>
          <w:szCs w:val="24"/>
          <w:lang w:val="en"/>
        </w:rPr>
        <w:t>using a passive thermoluminescent (PTL) method of detection (</w:t>
      </w:r>
      <w:r w:rsidRPr="00486BED">
        <w:rPr>
          <w:rFonts w:ascii="Times New Roman" w:hAnsi="Times New Roman" w:cs="Times New Roman"/>
          <w:sz w:val="24"/>
          <w:szCs w:val="24"/>
          <w:lang w:val="en-US"/>
        </w:rPr>
        <w:t xml:space="preserve">Göksu et al. 2002; </w:t>
      </w:r>
      <w:r w:rsidRPr="00486BED">
        <w:rPr>
          <w:rStyle w:val="hps"/>
          <w:rFonts w:ascii="Times New Roman" w:hAnsi="Times New Roman" w:cs="Times New Roman"/>
          <w:sz w:val="24"/>
          <w:szCs w:val="24"/>
          <w:lang w:val="en"/>
        </w:rPr>
        <w:t>Shishkina, 2012a)</w:t>
      </w:r>
      <w:r w:rsidR="000E76B5">
        <w:rPr>
          <w:rStyle w:val="hps"/>
          <w:rFonts w:ascii="Times New Roman" w:hAnsi="Times New Roman" w:cs="Times New Roman"/>
          <w:sz w:val="24"/>
          <w:szCs w:val="24"/>
          <w:lang w:val="en"/>
        </w:rPr>
        <w:t>,</w:t>
      </w:r>
      <w:r w:rsidRPr="00486BED">
        <w:rPr>
          <w:rStyle w:val="hps"/>
          <w:rFonts w:ascii="Times New Roman" w:hAnsi="Times New Roman" w:cs="Times New Roman"/>
          <w:sz w:val="24"/>
          <w:szCs w:val="24"/>
          <w:lang w:val="en"/>
        </w:rPr>
        <w:t xml:space="preserve"> for about 35</w:t>
      </w:r>
      <w:r w:rsidRPr="00486BED">
        <w:rPr>
          <w:rFonts w:ascii="Times New Roman" w:hAnsi="Times New Roman" w:cs="Times New Roman"/>
          <w:sz w:val="24"/>
          <w:szCs w:val="24"/>
          <w:lang w:val="en"/>
        </w:rPr>
        <w:t xml:space="preserve">% </w:t>
      </w:r>
      <w:r w:rsidRPr="00486BED">
        <w:rPr>
          <w:rStyle w:val="hpsatn"/>
          <w:rFonts w:ascii="Times New Roman" w:hAnsi="Times New Roman" w:cs="Times New Roman"/>
          <w:sz w:val="24"/>
          <w:szCs w:val="24"/>
          <w:lang w:val="en"/>
        </w:rPr>
        <w:t xml:space="preserve">of </w:t>
      </w:r>
      <w:r w:rsidR="00C52305" w:rsidRPr="00486BED">
        <w:rPr>
          <w:rStyle w:val="hpsatn"/>
          <w:rFonts w:ascii="Times New Roman" w:hAnsi="Times New Roman" w:cs="Times New Roman"/>
          <w:sz w:val="24"/>
          <w:szCs w:val="24"/>
          <w:lang w:val="en"/>
        </w:rPr>
        <w:t xml:space="preserve">the </w:t>
      </w:r>
      <w:r w:rsidRPr="00486BED">
        <w:rPr>
          <w:rStyle w:val="hpsatn"/>
          <w:rFonts w:ascii="Times New Roman" w:hAnsi="Times New Roman" w:cs="Times New Roman"/>
          <w:sz w:val="24"/>
          <w:szCs w:val="24"/>
          <w:lang w:val="en"/>
        </w:rPr>
        <w:t xml:space="preserve">teeth </w:t>
      </w:r>
      <w:r w:rsidRPr="00486BED">
        <w:rPr>
          <w:rFonts w:ascii="Times New Roman" w:hAnsi="Times New Roman" w:cs="Times New Roman"/>
          <w:sz w:val="24"/>
          <w:szCs w:val="24"/>
          <w:lang w:val="en"/>
        </w:rPr>
        <w:t xml:space="preserve">with known </w:t>
      </w:r>
      <w:r w:rsidRPr="00486BED">
        <w:rPr>
          <w:rStyle w:val="hps"/>
          <w:rFonts w:ascii="Times New Roman" w:hAnsi="Times New Roman" w:cs="Times New Roman"/>
          <w:sz w:val="24"/>
          <w:szCs w:val="24"/>
          <w:lang w:val="en"/>
        </w:rPr>
        <w:t>EPR</w:t>
      </w:r>
      <w:r w:rsidRPr="00486BED">
        <w:rPr>
          <w:rFonts w:ascii="Times New Roman" w:hAnsi="Times New Roman" w:cs="Times New Roman"/>
          <w:sz w:val="24"/>
          <w:szCs w:val="24"/>
          <w:lang w:val="en"/>
        </w:rPr>
        <w:t xml:space="preserve"> </w:t>
      </w:r>
      <w:r w:rsidRPr="00486BED">
        <w:rPr>
          <w:rStyle w:val="hps"/>
          <w:rFonts w:ascii="Times New Roman" w:hAnsi="Times New Roman" w:cs="Times New Roman"/>
          <w:sz w:val="24"/>
          <w:szCs w:val="24"/>
          <w:lang w:val="en"/>
        </w:rPr>
        <w:t>dose</w:t>
      </w:r>
      <w:r w:rsidR="00C52305" w:rsidRPr="00486BED">
        <w:rPr>
          <w:rStyle w:val="hps"/>
          <w:rFonts w:ascii="Times New Roman" w:hAnsi="Times New Roman" w:cs="Times New Roman"/>
          <w:sz w:val="24"/>
          <w:szCs w:val="24"/>
          <w:lang w:val="en"/>
        </w:rPr>
        <w:t>s</w:t>
      </w:r>
      <w:r w:rsidRPr="00486BED">
        <w:rPr>
          <w:rFonts w:ascii="Times New Roman" w:hAnsi="Times New Roman" w:cs="Times New Roman"/>
          <w:sz w:val="24"/>
          <w:szCs w:val="24"/>
          <w:lang w:val="en"/>
        </w:rPr>
        <w:t>. Table 1 shows the availability of individual</w:t>
      </w:r>
      <w:r w:rsidR="00AB0766">
        <w:rPr>
          <w:rFonts w:ascii="Times New Roman" w:hAnsi="Times New Roman" w:cs="Times New Roman"/>
          <w:sz w:val="24"/>
          <w:szCs w:val="24"/>
          <w:lang w:val="en"/>
        </w:rPr>
        <w:t>ly</w:t>
      </w:r>
      <w:r w:rsidRPr="00486BED">
        <w:rPr>
          <w:rFonts w:ascii="Times New Roman" w:hAnsi="Times New Roman" w:cs="Times New Roman"/>
          <w:sz w:val="24"/>
          <w:szCs w:val="24"/>
          <w:lang w:val="en"/>
        </w:rPr>
        <w:t xml:space="preserve"> measure</w:t>
      </w:r>
      <w:r w:rsidR="00AB0766">
        <w:rPr>
          <w:rFonts w:ascii="Times New Roman" w:hAnsi="Times New Roman" w:cs="Times New Roman"/>
          <w:sz w:val="24"/>
          <w:szCs w:val="24"/>
          <w:lang w:val="en"/>
        </w:rPr>
        <w:t>d</w:t>
      </w:r>
      <w:r w:rsidRPr="00486BED">
        <w:rPr>
          <w:rFonts w:ascii="Times New Roman" w:hAnsi="Times New Roman" w:cs="Times New Roman"/>
          <w:sz w:val="24"/>
          <w:szCs w:val="24"/>
          <w:lang w:val="en"/>
        </w:rPr>
        <w:t xml:space="preserve"> </w:t>
      </w:r>
      <w:r w:rsidRPr="00486BED">
        <w:rPr>
          <w:rFonts w:ascii="Times New Roman" w:hAnsi="Times New Roman" w:cs="Times New Roman"/>
          <w:sz w:val="24"/>
          <w:szCs w:val="24"/>
          <w:vertAlign w:val="superscript"/>
          <w:lang w:val="en"/>
        </w:rPr>
        <w:t>90</w:t>
      </w:r>
      <w:r w:rsidRPr="00486BED">
        <w:rPr>
          <w:rFonts w:ascii="Times New Roman" w:hAnsi="Times New Roman" w:cs="Times New Roman"/>
          <w:sz w:val="24"/>
          <w:szCs w:val="24"/>
          <w:lang w:val="en"/>
        </w:rPr>
        <w:t xml:space="preserve">Sr activity </w:t>
      </w:r>
      <w:r w:rsidRPr="00486BED">
        <w:rPr>
          <w:rFonts w:ascii="Times New Roman" w:hAnsi="Times New Roman" w:cs="Times New Roman"/>
          <w:sz w:val="24"/>
          <w:szCs w:val="24"/>
          <w:lang w:val="en-US"/>
        </w:rPr>
        <w:t>concentrations in the tooth enamel</w:t>
      </w:r>
      <w:r w:rsidRPr="00486BED">
        <w:rPr>
          <w:rFonts w:ascii="Times New Roman" w:hAnsi="Times New Roman" w:cs="Times New Roman"/>
          <w:sz w:val="24"/>
          <w:szCs w:val="24"/>
          <w:lang w:val="en"/>
        </w:rPr>
        <w:t xml:space="preserve">. The measurement results were reported in Shishkina et al. (2014a). If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activity concentrations </w:t>
      </w:r>
      <w:r w:rsidRPr="00486BED">
        <w:rPr>
          <w:rStyle w:val="hps"/>
          <w:rFonts w:ascii="Times New Roman" w:hAnsi="Times New Roman" w:cs="Times New Roman"/>
          <w:sz w:val="24"/>
          <w:szCs w:val="24"/>
          <w:lang w:val="en"/>
        </w:rPr>
        <w:t xml:space="preserve">were not </w:t>
      </w:r>
      <w:r w:rsidR="00070B31">
        <w:rPr>
          <w:rStyle w:val="hps"/>
          <w:rFonts w:ascii="Times New Roman" w:hAnsi="Times New Roman" w:cs="Times New Roman"/>
          <w:sz w:val="24"/>
          <w:szCs w:val="24"/>
          <w:lang w:val="en"/>
        </w:rPr>
        <w:t>measured in a certain tissue of a single tooth</w:t>
      </w:r>
      <w:r w:rsidRPr="00486BED">
        <w:rPr>
          <w:rStyle w:val="hps"/>
          <w:rFonts w:ascii="Times New Roman" w:hAnsi="Times New Roman" w:cs="Times New Roman"/>
          <w:sz w:val="24"/>
          <w:szCs w:val="24"/>
          <w:lang w:val="en"/>
        </w:rPr>
        <w:t xml:space="preserve">, then </w:t>
      </w:r>
      <w:r w:rsidRPr="00486BED">
        <w:rPr>
          <w:rStyle w:val="hps"/>
          <w:rFonts w:ascii="Times New Roman" w:hAnsi="Times New Roman" w:cs="Times New Roman"/>
          <w:sz w:val="24"/>
          <w:szCs w:val="24"/>
          <w:lang w:val="en-US"/>
        </w:rPr>
        <w:t xml:space="preserve">the </w:t>
      </w:r>
      <w:r w:rsidR="00070B31">
        <w:rPr>
          <w:rStyle w:val="hps"/>
          <w:rFonts w:ascii="Times New Roman" w:hAnsi="Times New Roman" w:cs="Times New Roman"/>
          <w:sz w:val="24"/>
          <w:szCs w:val="24"/>
          <w:lang w:val="en-US"/>
        </w:rPr>
        <w:t>concentration measured in the same tissue of another tooth of this donor was used</w:t>
      </w:r>
      <w:r w:rsidRPr="00486BED">
        <w:rPr>
          <w:rStyle w:val="hps"/>
          <w:rFonts w:ascii="Times New Roman" w:hAnsi="Times New Roman" w:cs="Times New Roman"/>
          <w:sz w:val="24"/>
          <w:szCs w:val="24"/>
          <w:lang w:val="en"/>
        </w:rPr>
        <w:t>. If only one tooth was investigated for a person,</w:t>
      </w:r>
      <w:r w:rsidRPr="00486BED">
        <w:rPr>
          <w:rStyle w:val="hps"/>
          <w:rFonts w:ascii="Times New Roman" w:hAnsi="Times New Roman" w:cs="Times New Roman"/>
          <w:sz w:val="24"/>
          <w:szCs w:val="24"/>
          <w:lang w:val="en-US"/>
        </w:rPr>
        <w:t xml:space="preserve"> then</w:t>
      </w:r>
      <w:r w:rsidR="00070B31">
        <w:rPr>
          <w:rStyle w:val="hps"/>
          <w:rFonts w:ascii="Times New Roman" w:hAnsi="Times New Roman" w:cs="Times New Roman"/>
          <w:sz w:val="24"/>
          <w:szCs w:val="24"/>
          <w:lang w:val="en-US"/>
        </w:rPr>
        <w:t xml:space="preserve"> the</w:t>
      </w:r>
      <w:r w:rsidRPr="00486BED">
        <w:rPr>
          <w:rStyle w:val="hps"/>
          <w:rFonts w:ascii="Times New Roman" w:hAnsi="Times New Roman" w:cs="Times New Roman"/>
          <w:sz w:val="24"/>
          <w:szCs w:val="24"/>
          <w:lang w:val="en"/>
        </w:rPr>
        <w:t xml:space="preserve"> </w:t>
      </w:r>
      <w:r w:rsidRPr="00486BED">
        <w:rPr>
          <w:rStyle w:val="hps"/>
          <w:rFonts w:ascii="Times New Roman" w:hAnsi="Times New Roman" w:cs="Times New Roman"/>
          <w:sz w:val="24"/>
          <w:szCs w:val="24"/>
          <w:vertAlign w:val="superscript"/>
          <w:lang w:val="en"/>
        </w:rPr>
        <w:t>90</w:t>
      </w:r>
      <w:r w:rsidRPr="00486BED">
        <w:rPr>
          <w:rStyle w:val="hps"/>
          <w:rFonts w:ascii="Times New Roman" w:hAnsi="Times New Roman" w:cs="Times New Roman"/>
          <w:sz w:val="24"/>
          <w:szCs w:val="24"/>
          <w:lang w:val="en"/>
        </w:rPr>
        <w:t xml:space="preserve">Sr activity concentration measured in the root dentin was extrapolated to the crown dentin. If </w:t>
      </w:r>
      <w:r w:rsidR="00C52305" w:rsidRPr="00486BED">
        <w:rPr>
          <w:rStyle w:val="hps"/>
          <w:rFonts w:ascii="Times New Roman" w:hAnsi="Times New Roman" w:cs="Times New Roman"/>
          <w:sz w:val="24"/>
          <w:szCs w:val="24"/>
          <w:lang w:val="en"/>
        </w:rPr>
        <w:t xml:space="preserve">the </w:t>
      </w:r>
      <w:r w:rsidRPr="00486BED">
        <w:rPr>
          <w:rStyle w:val="hps"/>
          <w:rFonts w:ascii="Times New Roman" w:hAnsi="Times New Roman" w:cs="Times New Roman"/>
          <w:sz w:val="24"/>
          <w:szCs w:val="24"/>
          <w:lang w:val="en"/>
        </w:rPr>
        <w:t>donor’s teeth were not measured</w:t>
      </w:r>
      <w:r w:rsidR="00070B31">
        <w:rPr>
          <w:rStyle w:val="hps"/>
          <w:rFonts w:ascii="Times New Roman" w:hAnsi="Times New Roman" w:cs="Times New Roman"/>
          <w:sz w:val="24"/>
          <w:szCs w:val="24"/>
          <w:lang w:val="en"/>
        </w:rPr>
        <w:t xml:space="preserve"> at all</w:t>
      </w:r>
      <w:r w:rsidRPr="00486BED">
        <w:rPr>
          <w:rStyle w:val="hps"/>
          <w:rFonts w:ascii="Times New Roman" w:hAnsi="Times New Roman" w:cs="Times New Roman"/>
          <w:sz w:val="24"/>
          <w:szCs w:val="24"/>
          <w:lang w:val="en"/>
        </w:rPr>
        <w:t>, then</w:t>
      </w:r>
      <w:r w:rsidR="00C52305" w:rsidRPr="00486BED">
        <w:rPr>
          <w:rStyle w:val="hps"/>
          <w:rFonts w:ascii="Times New Roman" w:hAnsi="Times New Roman" w:cs="Times New Roman"/>
          <w:sz w:val="24"/>
          <w:szCs w:val="24"/>
          <w:lang w:val="en"/>
        </w:rPr>
        <w:t xml:space="preserve"> the</w:t>
      </w:r>
      <w:r w:rsidRPr="00486BED">
        <w:rPr>
          <w:rStyle w:val="hps"/>
          <w:rFonts w:ascii="Times New Roman" w:hAnsi="Times New Roman" w:cs="Times New Roman"/>
          <w:sz w:val="24"/>
          <w:szCs w:val="24"/>
          <w:lang w:val="en"/>
        </w:rPr>
        <w:t xml:space="preserve"> </w:t>
      </w:r>
      <w:r w:rsidRPr="00486BED">
        <w:rPr>
          <w:rStyle w:val="hps"/>
          <w:rFonts w:ascii="Times New Roman" w:hAnsi="Times New Roman" w:cs="Times New Roman"/>
          <w:sz w:val="24"/>
          <w:szCs w:val="24"/>
          <w:vertAlign w:val="superscript"/>
          <w:lang w:val="en"/>
        </w:rPr>
        <w:t>90</w:t>
      </w:r>
      <w:r w:rsidRPr="00486BED">
        <w:rPr>
          <w:rStyle w:val="hps"/>
          <w:rFonts w:ascii="Times New Roman" w:hAnsi="Times New Roman" w:cs="Times New Roman"/>
          <w:sz w:val="24"/>
          <w:szCs w:val="24"/>
          <w:lang w:val="en"/>
        </w:rPr>
        <w:t xml:space="preserve">Sr activity concentration </w:t>
      </w:r>
      <w:r w:rsidRPr="00486BED">
        <w:rPr>
          <w:rFonts w:ascii="Times New Roman" w:hAnsi="Times New Roman" w:cs="Times New Roman"/>
          <w:sz w:val="24"/>
          <w:szCs w:val="24"/>
          <w:lang w:val="en-US" w:eastAsia="de-DE"/>
        </w:rPr>
        <w:t>in the enamel and crown dentin</w:t>
      </w:r>
      <w:r w:rsidRPr="00486BED">
        <w:rPr>
          <w:rStyle w:val="hps"/>
          <w:rFonts w:ascii="Times New Roman" w:hAnsi="Times New Roman" w:cs="Times New Roman"/>
          <w:sz w:val="24"/>
          <w:szCs w:val="24"/>
          <w:lang w:val="en"/>
        </w:rPr>
        <w:t xml:space="preserve"> (</w:t>
      </w:r>
      <w:r w:rsidRPr="00486BED">
        <w:rPr>
          <w:rFonts w:ascii="Times New Roman" w:hAnsi="Times New Roman" w:cs="Times New Roman"/>
          <w:sz w:val="24"/>
          <w:szCs w:val="24"/>
          <w:lang w:val="en-US"/>
        </w:rPr>
        <w:t xml:space="preserve">as of 2010) </w:t>
      </w:r>
      <w:r w:rsidRPr="00486BED">
        <w:rPr>
          <w:rStyle w:val="hps"/>
          <w:rFonts w:ascii="Times New Roman" w:hAnsi="Times New Roman" w:cs="Times New Roman"/>
          <w:sz w:val="24"/>
          <w:szCs w:val="24"/>
          <w:lang w:val="en"/>
        </w:rPr>
        <w:t xml:space="preserve">was calculated according to </w:t>
      </w:r>
      <w:r w:rsidRPr="00486BED">
        <w:rPr>
          <w:rFonts w:ascii="Times New Roman" w:hAnsi="Times New Roman" w:cs="Times New Roman"/>
          <w:sz w:val="24"/>
          <w:szCs w:val="24"/>
          <w:lang w:val="en-US"/>
        </w:rPr>
        <w:t xml:space="preserve">Shishkina et al. (2014a). </w:t>
      </w:r>
    </w:p>
    <w:p w14:paraId="293EA78A" w14:textId="77777777" w:rsidR="00310457" w:rsidRPr="00486BED" w:rsidRDefault="00310457" w:rsidP="00486BED">
      <w:pPr>
        <w:autoSpaceDE w:val="0"/>
        <w:autoSpaceDN w:val="0"/>
        <w:adjustRightInd w:val="0"/>
        <w:spacing w:after="240" w:line="360" w:lineRule="auto"/>
        <w:jc w:val="both"/>
        <w:rPr>
          <w:rFonts w:ascii="Times New Roman" w:hAnsi="Times New Roman" w:cs="Times New Roman"/>
          <w:i/>
          <w:sz w:val="24"/>
          <w:szCs w:val="24"/>
          <w:u w:val="single"/>
          <w:lang w:val="en-US"/>
        </w:rPr>
      </w:pPr>
      <w:r w:rsidRPr="00486BED">
        <w:rPr>
          <w:rFonts w:ascii="Times New Roman" w:hAnsi="Times New Roman" w:cs="Times New Roman"/>
          <w:i/>
          <w:sz w:val="24"/>
          <w:szCs w:val="24"/>
          <w:u w:val="single"/>
          <w:vertAlign w:val="superscript"/>
          <w:lang w:val="en-US"/>
        </w:rPr>
        <w:t>89</w:t>
      </w:r>
      <w:r w:rsidRPr="00486BED">
        <w:rPr>
          <w:rFonts w:ascii="Times New Roman" w:hAnsi="Times New Roman" w:cs="Times New Roman"/>
          <w:i/>
          <w:sz w:val="24"/>
          <w:szCs w:val="24"/>
          <w:u w:val="single"/>
          <w:lang w:val="en-US"/>
        </w:rPr>
        <w:t>Sr</w:t>
      </w:r>
    </w:p>
    <w:p w14:paraId="63AE2A94" w14:textId="77777777" w:rsidR="00310457" w:rsidRPr="00486BED" w:rsidRDefault="00310457" w:rsidP="00486BED">
      <w:pPr>
        <w:autoSpaceDE w:val="0"/>
        <w:autoSpaceDN w:val="0"/>
        <w:adjustRightInd w:val="0"/>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According to Shagina et al. (2012a), the average ratio of </w:t>
      </w:r>
      <w:r w:rsidRPr="00486BED">
        <w:rPr>
          <w:rFonts w:ascii="Times New Roman" w:hAnsi="Times New Roman" w:cs="Times New Roman"/>
          <w:sz w:val="24"/>
          <w:szCs w:val="24"/>
          <w:vertAlign w:val="superscript"/>
          <w:lang w:val="en-US"/>
        </w:rPr>
        <w:t>89</w:t>
      </w:r>
      <w:r w:rsidRPr="00486BED">
        <w:rPr>
          <w:rFonts w:ascii="Times New Roman" w:hAnsi="Times New Roman" w:cs="Times New Roman"/>
          <w:sz w:val="24"/>
          <w:szCs w:val="24"/>
          <w:lang w:val="en-US"/>
        </w:rPr>
        <w:t>Sr-to-</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activity concentrations in the river water in 1950-1951 was equal to about 3. Therefore, the </w:t>
      </w:r>
      <w:r w:rsidR="00C52305" w:rsidRPr="00486BED">
        <w:rPr>
          <w:rFonts w:ascii="Times New Roman" w:hAnsi="Times New Roman" w:cs="Times New Roman"/>
          <w:sz w:val="24"/>
          <w:szCs w:val="24"/>
          <w:vertAlign w:val="superscript"/>
          <w:lang w:val="en-US"/>
        </w:rPr>
        <w:t>89</w:t>
      </w:r>
      <w:r w:rsidR="00C52305" w:rsidRPr="00486BED">
        <w:rPr>
          <w:rFonts w:ascii="Times New Roman" w:hAnsi="Times New Roman" w:cs="Times New Roman"/>
          <w:sz w:val="24"/>
          <w:szCs w:val="24"/>
          <w:lang w:val="en-US"/>
        </w:rPr>
        <w:t xml:space="preserve">Sr </w:t>
      </w:r>
      <w:r w:rsidRPr="00486BED">
        <w:rPr>
          <w:rFonts w:ascii="Times New Roman" w:hAnsi="Times New Roman" w:cs="Times New Roman"/>
          <w:sz w:val="24"/>
          <w:szCs w:val="24"/>
          <w:lang w:val="en-US"/>
        </w:rPr>
        <w:t xml:space="preserve">activity </w:t>
      </w:r>
      <w:r w:rsidR="00C52305" w:rsidRPr="00486BED">
        <w:rPr>
          <w:rFonts w:ascii="Times New Roman" w:hAnsi="Times New Roman" w:cs="Times New Roman"/>
          <w:sz w:val="24"/>
          <w:szCs w:val="24"/>
          <w:lang w:val="en-US"/>
        </w:rPr>
        <w:t>concentrations</w:t>
      </w:r>
      <w:r w:rsidRPr="00486BED">
        <w:rPr>
          <w:rFonts w:ascii="Times New Roman" w:hAnsi="Times New Roman" w:cs="Times New Roman"/>
          <w:sz w:val="24"/>
          <w:szCs w:val="24"/>
          <w:lang w:val="en-US"/>
        </w:rPr>
        <w:t xml:space="preserve"> in the tooth tissues were assumed to be 3 times higher than those for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The average decay energy of </w:t>
      </w:r>
      <w:r w:rsidRPr="00486BED">
        <w:rPr>
          <w:rFonts w:ascii="Times New Roman" w:hAnsi="Times New Roman" w:cs="Times New Roman"/>
          <w:sz w:val="24"/>
          <w:szCs w:val="24"/>
          <w:vertAlign w:val="superscript"/>
          <w:lang w:val="en-US"/>
        </w:rPr>
        <w:t>89</w:t>
      </w:r>
      <w:r w:rsidRPr="00486BED">
        <w:rPr>
          <w:rFonts w:ascii="Times New Roman" w:hAnsi="Times New Roman" w:cs="Times New Roman"/>
          <w:sz w:val="24"/>
          <w:szCs w:val="24"/>
          <w:lang w:val="en-US"/>
        </w:rPr>
        <w:t xml:space="preserve">Sr is about 585 keV which is comparable to the mean energy of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Sr+</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Y (in equilibrium) decays </w:t>
      </w:r>
      <w:r w:rsidR="00932923">
        <w:rPr>
          <w:rFonts w:ascii="Times New Roman" w:hAnsi="Times New Roman" w:cs="Times New Roman"/>
          <w:sz w:val="24"/>
          <w:szCs w:val="24"/>
          <w:lang w:val="en-US"/>
        </w:rPr>
        <w:t xml:space="preserve">being </w:t>
      </w:r>
      <w:r w:rsidRPr="00486BED">
        <w:rPr>
          <w:rFonts w:ascii="Times New Roman" w:hAnsi="Times New Roman" w:cs="Times New Roman"/>
          <w:sz w:val="24"/>
          <w:szCs w:val="24"/>
          <w:lang w:val="en-US"/>
        </w:rPr>
        <w:t xml:space="preserve">554 keV. Therefore, the dose coefficients </w:t>
      </w:r>
      <w:r w:rsidR="00932923">
        <w:rPr>
          <w:rFonts w:ascii="Times New Roman" w:hAnsi="Times New Roman" w:cs="Times New Roman"/>
          <w:sz w:val="24"/>
          <w:szCs w:val="24"/>
          <w:lang w:val="en-US"/>
        </w:rPr>
        <w:t xml:space="preserve">for </w:t>
      </w:r>
      <w:r w:rsidR="00932923" w:rsidRPr="00486BED">
        <w:rPr>
          <w:rFonts w:ascii="Times New Roman" w:hAnsi="Times New Roman" w:cs="Times New Roman"/>
          <w:sz w:val="24"/>
          <w:szCs w:val="24"/>
          <w:vertAlign w:val="superscript"/>
          <w:lang w:val="en-US"/>
        </w:rPr>
        <w:t>89</w:t>
      </w:r>
      <w:r w:rsidR="00932923" w:rsidRPr="00486BED">
        <w:rPr>
          <w:rFonts w:ascii="Times New Roman" w:hAnsi="Times New Roman" w:cs="Times New Roman"/>
          <w:sz w:val="24"/>
          <w:szCs w:val="24"/>
          <w:lang w:val="en-US"/>
        </w:rPr>
        <w:t xml:space="preserve">Sr </w:t>
      </w:r>
      <w:r w:rsidR="00932923">
        <w:rPr>
          <w:rFonts w:ascii="Times New Roman" w:hAnsi="Times New Roman" w:cs="Times New Roman"/>
          <w:sz w:val="24"/>
          <w:szCs w:val="24"/>
          <w:lang w:val="en-US"/>
        </w:rPr>
        <w:t xml:space="preserve">and </w:t>
      </w:r>
      <w:r w:rsidR="00932923" w:rsidRPr="00486BED">
        <w:rPr>
          <w:rFonts w:ascii="Times New Roman" w:hAnsi="Times New Roman" w:cs="Times New Roman"/>
          <w:sz w:val="24"/>
          <w:szCs w:val="24"/>
          <w:vertAlign w:val="superscript"/>
          <w:lang w:val="en-US"/>
        </w:rPr>
        <w:t>90</w:t>
      </w:r>
      <w:r w:rsidR="00932923" w:rsidRPr="00486BED">
        <w:rPr>
          <w:rFonts w:ascii="Times New Roman" w:hAnsi="Times New Roman" w:cs="Times New Roman"/>
          <w:sz w:val="24"/>
          <w:szCs w:val="24"/>
          <w:lang w:val="en-US"/>
        </w:rPr>
        <w:t>Sr+</w:t>
      </w:r>
      <w:r w:rsidR="00932923" w:rsidRPr="00486BED">
        <w:rPr>
          <w:rFonts w:ascii="Times New Roman" w:hAnsi="Times New Roman" w:cs="Times New Roman"/>
          <w:sz w:val="24"/>
          <w:szCs w:val="24"/>
          <w:vertAlign w:val="superscript"/>
          <w:lang w:val="en-US"/>
        </w:rPr>
        <w:t>90</w:t>
      </w:r>
      <w:r w:rsidR="00932923" w:rsidRPr="00486BED">
        <w:rPr>
          <w:rFonts w:ascii="Times New Roman" w:hAnsi="Times New Roman" w:cs="Times New Roman"/>
          <w:sz w:val="24"/>
          <w:szCs w:val="24"/>
          <w:lang w:val="en-US"/>
        </w:rPr>
        <w:t xml:space="preserve">Y </w:t>
      </w:r>
      <w:r w:rsidR="00932923">
        <w:rPr>
          <w:rFonts w:ascii="Times New Roman" w:hAnsi="Times New Roman" w:cs="Times New Roman"/>
          <w:sz w:val="24"/>
          <w:szCs w:val="24"/>
          <w:lang w:val="en-US"/>
        </w:rPr>
        <w:t xml:space="preserve">were </w:t>
      </w:r>
      <w:r w:rsidRPr="00486BED">
        <w:rPr>
          <w:rFonts w:ascii="Times New Roman" w:hAnsi="Times New Roman" w:cs="Times New Roman"/>
          <w:sz w:val="24"/>
          <w:szCs w:val="24"/>
          <w:lang w:val="en-US"/>
        </w:rPr>
        <w:t>assumed to be similar</w:t>
      </w:r>
      <w:r w:rsidR="00932923">
        <w:rPr>
          <w:rFonts w:ascii="Times New Roman" w:hAnsi="Times New Roman" w:cs="Times New Roman"/>
          <w:sz w:val="24"/>
          <w:szCs w:val="24"/>
          <w:lang w:val="en-US"/>
        </w:rPr>
        <w:t xml:space="preserve">, and the </w:t>
      </w:r>
      <w:r w:rsidRPr="00486BED">
        <w:rPr>
          <w:rFonts w:ascii="Times New Roman" w:hAnsi="Times New Roman" w:cs="Times New Roman"/>
          <w:sz w:val="24"/>
          <w:szCs w:val="24"/>
          <w:lang w:val="en-US"/>
        </w:rPr>
        <w:t xml:space="preserve">internal dose due to </w:t>
      </w:r>
      <w:r w:rsidRPr="00486BED">
        <w:rPr>
          <w:rFonts w:ascii="Times New Roman" w:hAnsi="Times New Roman" w:cs="Times New Roman"/>
          <w:sz w:val="24"/>
          <w:szCs w:val="24"/>
          <w:vertAlign w:val="superscript"/>
          <w:lang w:val="en-US"/>
        </w:rPr>
        <w:t>89</w:t>
      </w:r>
      <w:r w:rsidRPr="00486BED">
        <w:rPr>
          <w:rFonts w:ascii="Times New Roman" w:hAnsi="Times New Roman" w:cs="Times New Roman"/>
          <w:sz w:val="24"/>
          <w:szCs w:val="24"/>
          <w:lang w:val="en-US"/>
        </w:rPr>
        <w:t xml:space="preserve">Sr was calculated according to Eq. (7). </w:t>
      </w:r>
    </w:p>
    <w:p w14:paraId="2BA45A9D" w14:textId="77777777" w:rsidR="00310457" w:rsidRPr="00486BED" w:rsidRDefault="00310457" w:rsidP="00486BED">
      <w:pPr>
        <w:tabs>
          <w:tab w:val="left" w:pos="7938"/>
        </w:tabs>
        <w:autoSpaceDE w:val="0"/>
        <w:autoSpaceDN w:val="0"/>
        <w:adjustRightInd w:val="0"/>
        <w:spacing w:after="240" w:line="360" w:lineRule="auto"/>
        <w:jc w:val="both"/>
        <w:rPr>
          <w:rFonts w:ascii="Times New Roman" w:hAnsi="Times New Roman" w:cs="Times New Roman"/>
          <w:sz w:val="24"/>
          <w:szCs w:val="24"/>
          <w:lang w:val="en-US"/>
        </w:rPr>
      </w:pPr>
      <w:r w:rsidRPr="00486BED">
        <w:rPr>
          <w:rFonts w:ascii="Times New Roman" w:hAnsi="Times New Roman" w:cs="Times New Roman"/>
          <w:position w:val="-36"/>
          <w:sz w:val="24"/>
          <w:szCs w:val="24"/>
        </w:rPr>
        <w:object w:dxaOrig="4900" w:dyaOrig="840" w14:anchorId="0752DB25">
          <v:shape id="_x0000_i1028" type="#_x0000_t75" style="width:294pt;height:50.25pt" o:ole="">
            <v:imagedata r:id="rId16" o:title=""/>
          </v:shape>
          <o:OLEObject Type="Embed" ProgID="Equation.3" ShapeID="_x0000_i1028" DrawAspect="Content" ObjectID="_1586772673" r:id="rId17"/>
        </w:object>
      </w:r>
      <w:r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ab/>
        <w:t>(7)</w:t>
      </w:r>
    </w:p>
    <w:p w14:paraId="5B35139F" w14:textId="77777777" w:rsidR="00310457" w:rsidRPr="00486BED" w:rsidRDefault="00310457" w:rsidP="00486BED">
      <w:pPr>
        <w:autoSpaceDE w:val="0"/>
        <w:autoSpaceDN w:val="0"/>
        <w:adjustRightInd w:val="0"/>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where </w:t>
      </w:r>
      <m:oMath>
        <m:sSup>
          <m:sSupPr>
            <m:ctrlPr>
              <w:rPr>
                <w:rFonts w:ascii="Cambria Math" w:hAnsi="Cambria Math" w:cs="Times New Roman"/>
                <w:i/>
                <w:sz w:val="24"/>
                <w:szCs w:val="24"/>
                <w:lang w:val="en-US"/>
              </w:rPr>
            </m:ctrlPr>
          </m:sSupPr>
          <m:e>
            <m:r>
              <w:rPr>
                <w:rFonts w:ascii="Cambria Math" w:hAnsi="Cambria Math" w:cs="Times New Roman"/>
                <w:sz w:val="24"/>
                <w:szCs w:val="24"/>
                <w:lang w:val="en-US"/>
              </w:rPr>
              <m:t>λ</m:t>
            </m:r>
          </m:e>
          <m:sup>
            <m:r>
              <w:rPr>
                <w:rFonts w:ascii="Cambria Math" w:hAnsi="Cambria Math" w:cs="Times New Roman"/>
                <w:sz w:val="24"/>
                <w:szCs w:val="24"/>
                <w:lang w:val="en-US"/>
              </w:rPr>
              <m:t>'</m:t>
            </m:r>
          </m:sup>
        </m:sSup>
        <m:r>
          <w:rPr>
            <w:rFonts w:ascii="Cambria Math" w:hAnsi="Cambria Math" w:cs="Times New Roman"/>
            <w:sz w:val="24"/>
            <w:szCs w:val="24"/>
            <w:lang w:val="en-US"/>
          </w:rPr>
          <m:t>=5</m:t>
        </m:r>
      </m:oMath>
      <w:r w:rsidRPr="00486BED">
        <w:rPr>
          <w:rFonts w:ascii="Times New Roman" w:eastAsiaTheme="minorEastAsia" w:hAnsi="Times New Roman" w:cs="Times New Roman"/>
          <w:sz w:val="24"/>
          <w:szCs w:val="24"/>
          <w:lang w:val="en-US"/>
        </w:rPr>
        <w:t xml:space="preserve"> y</w:t>
      </w:r>
      <w:r w:rsidRPr="00486BED">
        <w:rPr>
          <w:rFonts w:ascii="Times New Roman" w:eastAsiaTheme="minorEastAsia" w:hAnsi="Times New Roman" w:cs="Times New Roman"/>
          <w:sz w:val="24"/>
          <w:szCs w:val="24"/>
          <w:vertAlign w:val="superscript"/>
          <w:lang w:val="en-US"/>
        </w:rPr>
        <w:t>-1</w:t>
      </w:r>
      <w:r w:rsidRPr="00486BED">
        <w:rPr>
          <w:rFonts w:ascii="Times New Roman" w:eastAsiaTheme="minorEastAsia" w:hAnsi="Times New Roman" w:cs="Times New Roman"/>
          <w:sz w:val="24"/>
          <w:szCs w:val="24"/>
          <w:lang w:val="en-US"/>
        </w:rPr>
        <w:t xml:space="preserve"> </w:t>
      </w:r>
      <w:r w:rsidRPr="00486BED">
        <w:rPr>
          <w:rFonts w:ascii="Times New Roman" w:hAnsi="Times New Roman" w:cs="Times New Roman"/>
          <w:sz w:val="24"/>
          <w:szCs w:val="24"/>
          <w:lang w:val="en-US"/>
        </w:rPr>
        <w:t xml:space="preserve">is the constant of </w:t>
      </w:r>
      <w:r w:rsidRPr="00486BED">
        <w:rPr>
          <w:rFonts w:ascii="Times New Roman" w:hAnsi="Times New Roman" w:cs="Times New Roman"/>
          <w:sz w:val="24"/>
          <w:szCs w:val="24"/>
          <w:vertAlign w:val="superscript"/>
          <w:lang w:val="en-US"/>
        </w:rPr>
        <w:t>89</w:t>
      </w:r>
      <w:r w:rsidRPr="00486BED">
        <w:rPr>
          <w:rFonts w:ascii="Times New Roman" w:hAnsi="Times New Roman" w:cs="Times New Roman"/>
          <w:sz w:val="24"/>
          <w:szCs w:val="24"/>
          <w:lang w:val="en-US"/>
        </w:rPr>
        <w:t>Sr radioactive decay.</w:t>
      </w:r>
    </w:p>
    <w:p w14:paraId="1E3EABC2" w14:textId="77777777" w:rsidR="00310457" w:rsidRPr="00486BED" w:rsidRDefault="00310457" w:rsidP="00486BED">
      <w:pPr>
        <w:autoSpaceDE w:val="0"/>
        <w:autoSpaceDN w:val="0"/>
        <w:adjustRightInd w:val="0"/>
        <w:spacing w:after="240" w:line="360" w:lineRule="auto"/>
        <w:jc w:val="both"/>
        <w:rPr>
          <w:rFonts w:ascii="Times New Roman" w:hAnsi="Times New Roman" w:cs="Times New Roman"/>
          <w:i/>
          <w:sz w:val="24"/>
          <w:szCs w:val="24"/>
          <w:u w:val="single"/>
          <w:lang w:val="en-US"/>
        </w:rPr>
      </w:pPr>
      <w:r w:rsidRPr="00486BED">
        <w:rPr>
          <w:rFonts w:ascii="Times New Roman" w:hAnsi="Times New Roman" w:cs="Times New Roman"/>
          <w:i/>
          <w:sz w:val="24"/>
          <w:szCs w:val="24"/>
          <w:u w:val="single"/>
          <w:vertAlign w:val="superscript"/>
          <w:lang w:val="en-US"/>
        </w:rPr>
        <w:t>137</w:t>
      </w:r>
      <w:r w:rsidRPr="00486BED">
        <w:rPr>
          <w:rFonts w:ascii="Times New Roman" w:hAnsi="Times New Roman" w:cs="Times New Roman"/>
          <w:i/>
          <w:sz w:val="24"/>
          <w:szCs w:val="24"/>
          <w:u w:val="single"/>
          <w:lang w:val="en-US"/>
        </w:rPr>
        <w:t>Cs/</w:t>
      </w:r>
      <w:r w:rsidRPr="00486BED">
        <w:rPr>
          <w:rFonts w:ascii="Times New Roman" w:hAnsi="Times New Roman" w:cs="Times New Roman"/>
          <w:i/>
          <w:sz w:val="24"/>
          <w:szCs w:val="24"/>
          <w:u w:val="single"/>
          <w:vertAlign w:val="superscript"/>
          <w:lang w:val="en-US"/>
        </w:rPr>
        <w:t>137m</w:t>
      </w:r>
      <w:r w:rsidRPr="00486BED">
        <w:rPr>
          <w:rFonts w:ascii="Times New Roman" w:hAnsi="Times New Roman" w:cs="Times New Roman"/>
          <w:i/>
          <w:sz w:val="24"/>
          <w:szCs w:val="24"/>
          <w:u w:val="single"/>
          <w:lang w:val="en-US"/>
        </w:rPr>
        <w:t>Ba</w:t>
      </w:r>
    </w:p>
    <w:p w14:paraId="654FE1A7" w14:textId="3FE05BE8" w:rsidR="00310457" w:rsidRPr="00486BED" w:rsidRDefault="00310457" w:rsidP="00486BED">
      <w:pPr>
        <w:tabs>
          <w:tab w:val="left" w:pos="8364"/>
        </w:tabs>
        <w:spacing w:after="240" w:line="360" w:lineRule="auto"/>
        <w:jc w:val="both"/>
        <w:rPr>
          <w:rFonts w:ascii="Times New Roman" w:eastAsiaTheme="minorEastAsia" w:hAnsi="Times New Roman" w:cs="Times New Roman"/>
          <w:sz w:val="24"/>
          <w:szCs w:val="24"/>
          <w:lang w:val="en-US"/>
        </w:rPr>
      </w:pPr>
      <w:r w:rsidRPr="00486BED">
        <w:rPr>
          <w:rFonts w:ascii="Times New Roman" w:eastAsiaTheme="minorEastAsia" w:hAnsi="Times New Roman" w:cs="Times New Roman"/>
          <w:sz w:val="24"/>
          <w:szCs w:val="24"/>
          <w:lang w:val="en-US"/>
        </w:rPr>
        <w:t xml:space="preserve">The contribution of </w:t>
      </w:r>
      <w:r w:rsidRPr="00486BED">
        <w:rPr>
          <w:rFonts w:ascii="Times New Roman" w:eastAsiaTheme="minorEastAsia" w:hAnsi="Times New Roman" w:cs="Times New Roman"/>
          <w:sz w:val="24"/>
          <w:szCs w:val="24"/>
          <w:vertAlign w:val="superscript"/>
          <w:lang w:val="en-US"/>
        </w:rPr>
        <w:t>137</w:t>
      </w:r>
      <w:r w:rsidRPr="00486BED">
        <w:rPr>
          <w:rFonts w:ascii="Times New Roman" w:eastAsiaTheme="minorEastAsia" w:hAnsi="Times New Roman" w:cs="Times New Roman"/>
          <w:sz w:val="24"/>
          <w:szCs w:val="24"/>
          <w:lang w:val="en-US"/>
        </w:rPr>
        <w:t>Cs/</w:t>
      </w:r>
      <w:r w:rsidRPr="00486BED">
        <w:rPr>
          <w:rFonts w:ascii="Times New Roman" w:eastAsiaTheme="minorEastAsia" w:hAnsi="Times New Roman" w:cs="Times New Roman"/>
          <w:sz w:val="24"/>
          <w:szCs w:val="24"/>
          <w:vertAlign w:val="superscript"/>
          <w:lang w:val="en-US"/>
        </w:rPr>
        <w:t>137m</w:t>
      </w:r>
      <w:r w:rsidRPr="00486BED">
        <w:rPr>
          <w:rFonts w:ascii="Times New Roman" w:eastAsiaTheme="minorEastAsia" w:hAnsi="Times New Roman" w:cs="Times New Roman"/>
          <w:sz w:val="24"/>
          <w:szCs w:val="24"/>
          <w:lang w:val="en-US"/>
        </w:rPr>
        <w:t xml:space="preserve">Ba was evaluated by converting the internal </w:t>
      </w:r>
      <w:r w:rsidRPr="008A0C14">
        <w:rPr>
          <w:rFonts w:ascii="Times New Roman" w:eastAsiaTheme="minorEastAsia" w:hAnsi="Times New Roman" w:cs="Times New Roman"/>
          <w:sz w:val="24"/>
          <w:szCs w:val="24"/>
          <w:lang w:val="en-US"/>
        </w:rPr>
        <w:t xml:space="preserve">dose </w:t>
      </w:r>
      <w:r w:rsidR="003310EB" w:rsidRPr="008A0C14">
        <w:rPr>
          <w:rFonts w:ascii="Times New Roman" w:eastAsiaTheme="minorEastAsia" w:hAnsi="Times New Roman" w:cs="Times New Roman"/>
          <w:sz w:val="24"/>
          <w:szCs w:val="24"/>
          <w:lang w:val="en-US"/>
        </w:rPr>
        <w:t>accumulated in</w:t>
      </w:r>
      <w:r w:rsidRPr="008A0C14">
        <w:rPr>
          <w:rFonts w:ascii="Times New Roman" w:eastAsiaTheme="minorEastAsia" w:hAnsi="Times New Roman" w:cs="Times New Roman"/>
          <w:sz w:val="24"/>
          <w:szCs w:val="24"/>
          <w:lang w:val="en-US"/>
        </w:rPr>
        <w:t xml:space="preserve"> </w:t>
      </w:r>
      <w:r w:rsidR="00D87E2A" w:rsidRPr="008A0C14">
        <w:rPr>
          <w:rFonts w:ascii="Times New Roman" w:eastAsiaTheme="minorEastAsia" w:hAnsi="Times New Roman" w:cs="Times New Roman"/>
          <w:sz w:val="24"/>
          <w:szCs w:val="24"/>
          <w:lang w:val="en-US"/>
        </w:rPr>
        <w:t>soft</w:t>
      </w:r>
      <w:r w:rsidR="00D87E2A">
        <w:rPr>
          <w:rFonts w:ascii="Times New Roman" w:eastAsiaTheme="minorEastAsia" w:hAnsi="Times New Roman" w:cs="Times New Roman"/>
          <w:sz w:val="24"/>
          <w:szCs w:val="24"/>
          <w:lang w:val="en-US"/>
        </w:rPr>
        <w:t xml:space="preserve"> tissue (</w:t>
      </w:r>
      <w:r w:rsidRPr="00486BED">
        <w:rPr>
          <w:rFonts w:ascii="Times New Roman" w:eastAsiaTheme="minorEastAsia" w:hAnsi="Times New Roman" w:cs="Times New Roman"/>
          <w:sz w:val="24"/>
          <w:szCs w:val="24"/>
          <w:lang w:val="en-US"/>
        </w:rPr>
        <w:t>muscles</w:t>
      </w:r>
      <w:r w:rsidR="00D87E2A">
        <w:rPr>
          <w:rFonts w:ascii="Times New Roman" w:eastAsiaTheme="minorEastAsia" w:hAnsi="Times New Roman" w:cs="Times New Roman"/>
          <w:sz w:val="24"/>
          <w:szCs w:val="24"/>
          <w:lang w:val="en-US"/>
        </w:rPr>
        <w:t>)</w:t>
      </w:r>
      <w:r w:rsidRPr="00486BED">
        <w:rPr>
          <w:rFonts w:ascii="Times New Roman" w:eastAsiaTheme="minorEastAsia" w:hAnsi="Times New Roman" w:cs="Times New Roman"/>
          <w:sz w:val="24"/>
          <w:szCs w:val="24"/>
          <w:lang w:val="en-US"/>
        </w:rPr>
        <w:t xml:space="preserve"> to the internal enamel dose. </w:t>
      </w:r>
      <w:r w:rsidR="00A11E02">
        <w:rPr>
          <w:rFonts w:ascii="Times New Roman" w:eastAsiaTheme="minorEastAsia" w:hAnsi="Times New Roman" w:cs="Times New Roman"/>
          <w:sz w:val="24"/>
          <w:szCs w:val="24"/>
          <w:lang w:val="en-US"/>
        </w:rPr>
        <w:t xml:space="preserve">For this, </w:t>
      </w:r>
      <w:r w:rsidRPr="00486BED">
        <w:rPr>
          <w:rFonts w:ascii="Times New Roman" w:eastAsiaTheme="minorEastAsia" w:hAnsi="Times New Roman" w:cs="Times New Roman"/>
          <w:sz w:val="24"/>
          <w:szCs w:val="24"/>
          <w:lang w:val="en-US"/>
        </w:rPr>
        <w:t xml:space="preserve">soft tissue doses were calculated using the </w:t>
      </w:r>
      <w:r w:rsidRPr="00486BED">
        <w:rPr>
          <w:rStyle w:val="Hervorhebung"/>
          <w:rFonts w:ascii="Times New Roman" w:hAnsi="Times New Roman" w:cs="Times New Roman"/>
          <w:bCs/>
          <w:i w:val="0"/>
          <w:iCs w:val="0"/>
          <w:sz w:val="24"/>
          <w:szCs w:val="24"/>
          <w:shd w:val="clear" w:color="auto" w:fill="FFFFFF"/>
          <w:lang w:val="en-US"/>
        </w:rPr>
        <w:t>ICRP</w:t>
      </w:r>
      <w:r w:rsidRPr="00486BED">
        <w:rPr>
          <w:rFonts w:ascii="Times New Roman" w:hAnsi="Times New Roman" w:cs="Times New Roman"/>
          <w:sz w:val="24"/>
          <w:szCs w:val="24"/>
          <w:shd w:val="clear" w:color="auto" w:fill="FFFFFF"/>
          <w:lang w:val="en-US"/>
        </w:rPr>
        <w:t>-</w:t>
      </w:r>
      <w:r w:rsidRPr="00486BED">
        <w:rPr>
          <w:rStyle w:val="Hervorhebung"/>
          <w:rFonts w:ascii="Times New Roman" w:hAnsi="Times New Roman" w:cs="Times New Roman"/>
          <w:bCs/>
          <w:i w:val="0"/>
          <w:iCs w:val="0"/>
          <w:sz w:val="24"/>
          <w:szCs w:val="24"/>
          <w:shd w:val="clear" w:color="auto" w:fill="FFFFFF"/>
          <w:lang w:val="en-US"/>
        </w:rPr>
        <w:t>67</w:t>
      </w:r>
      <w:r w:rsidRPr="00486BED">
        <w:rPr>
          <w:rStyle w:val="apple-converted-space"/>
          <w:rFonts w:ascii="Times New Roman" w:hAnsi="Times New Roman" w:cs="Times New Roman"/>
          <w:sz w:val="24"/>
          <w:szCs w:val="24"/>
          <w:shd w:val="clear" w:color="auto" w:fill="FFFFFF"/>
          <w:lang w:val="en-US"/>
        </w:rPr>
        <w:t xml:space="preserve"> </w:t>
      </w:r>
      <w:r w:rsidRPr="00486BED">
        <w:rPr>
          <w:rFonts w:ascii="Times New Roman" w:hAnsi="Times New Roman" w:cs="Times New Roman"/>
          <w:sz w:val="24"/>
          <w:szCs w:val="24"/>
          <w:shd w:val="clear" w:color="auto" w:fill="FFFFFF"/>
          <w:lang w:val="en-US"/>
        </w:rPr>
        <w:t xml:space="preserve">model for </w:t>
      </w:r>
      <w:r w:rsidRPr="00486BED">
        <w:rPr>
          <w:rFonts w:ascii="Times New Roman" w:eastAsiaTheme="minorEastAsia" w:hAnsi="Times New Roman" w:cs="Times New Roman"/>
          <w:sz w:val="24"/>
          <w:szCs w:val="24"/>
          <w:vertAlign w:val="superscript"/>
          <w:lang w:val="en-US"/>
        </w:rPr>
        <w:t>137</w:t>
      </w:r>
      <w:r w:rsidRPr="00486BED">
        <w:rPr>
          <w:rFonts w:ascii="Times New Roman" w:eastAsiaTheme="minorEastAsia" w:hAnsi="Times New Roman" w:cs="Times New Roman"/>
          <w:sz w:val="24"/>
          <w:szCs w:val="24"/>
          <w:lang w:val="en-US"/>
        </w:rPr>
        <w:t>Cs</w:t>
      </w:r>
      <w:r w:rsidRPr="00486BED">
        <w:rPr>
          <w:rFonts w:ascii="Times New Roman" w:hAnsi="Times New Roman" w:cs="Times New Roman"/>
          <w:sz w:val="24"/>
          <w:szCs w:val="24"/>
          <w:shd w:val="clear" w:color="auto" w:fill="FFFFFF"/>
          <w:lang w:val="en-US"/>
        </w:rPr>
        <w:t xml:space="preserve"> dose calculation</w:t>
      </w:r>
      <w:r w:rsidRPr="00486BED">
        <w:rPr>
          <w:rFonts w:ascii="Times New Roman" w:eastAsiaTheme="minorEastAsia" w:hAnsi="Times New Roman" w:cs="Times New Roman"/>
          <w:sz w:val="24"/>
          <w:szCs w:val="24"/>
          <w:lang w:val="en-US"/>
        </w:rPr>
        <w:t xml:space="preserve"> (ICRP, 1993) </w:t>
      </w:r>
      <w:r w:rsidR="00A11E02">
        <w:rPr>
          <w:rFonts w:ascii="Times New Roman" w:eastAsiaTheme="minorEastAsia" w:hAnsi="Times New Roman" w:cs="Times New Roman"/>
          <w:sz w:val="24"/>
          <w:szCs w:val="24"/>
          <w:lang w:val="en-US"/>
        </w:rPr>
        <w:t xml:space="preserve">taking into account </w:t>
      </w:r>
      <w:r w:rsidRPr="00486BED">
        <w:rPr>
          <w:rFonts w:ascii="Times New Roman" w:eastAsiaTheme="minorEastAsia" w:hAnsi="Times New Roman" w:cs="Times New Roman"/>
          <w:sz w:val="24"/>
          <w:szCs w:val="24"/>
          <w:lang w:val="en-US"/>
        </w:rPr>
        <w:t xml:space="preserve">the age and the residence history of the Techa riverside residents (Tolstykh et al, 2013). According to </w:t>
      </w:r>
      <w:r w:rsidRPr="00486BED">
        <w:rPr>
          <w:rFonts w:ascii="Times New Roman" w:hAnsi="Times New Roman" w:cs="Times New Roman"/>
          <w:sz w:val="24"/>
          <w:szCs w:val="24"/>
          <w:lang w:val="en-US"/>
        </w:rPr>
        <w:t>Borysheva et al. (2007),</w:t>
      </w:r>
      <w:r w:rsidRPr="00486BED">
        <w:rPr>
          <w:rFonts w:ascii="Times New Roman" w:eastAsiaTheme="minorEastAsia" w:hAnsi="Times New Roman" w:cs="Times New Roman"/>
          <w:sz w:val="24"/>
          <w:szCs w:val="24"/>
          <w:lang w:val="en-US"/>
        </w:rPr>
        <w:t xml:space="preserve"> the enamel-to-whole body dose ratio is equal to 0.4. Assuming the </w:t>
      </w:r>
      <w:r w:rsidR="00A11E02">
        <w:rPr>
          <w:rFonts w:ascii="Times New Roman" w:eastAsiaTheme="minorEastAsia" w:hAnsi="Times New Roman" w:cs="Times New Roman"/>
          <w:sz w:val="24"/>
          <w:szCs w:val="24"/>
          <w:lang w:val="en-US"/>
        </w:rPr>
        <w:t>human</w:t>
      </w:r>
      <w:r w:rsidRPr="00486BED">
        <w:rPr>
          <w:rFonts w:ascii="Times New Roman" w:eastAsiaTheme="minorEastAsia" w:hAnsi="Times New Roman" w:cs="Times New Roman"/>
          <w:sz w:val="24"/>
          <w:szCs w:val="24"/>
          <w:lang w:val="en-US"/>
        </w:rPr>
        <w:t xml:space="preserve"> body is </w:t>
      </w:r>
      <w:r w:rsidR="00A11E02">
        <w:rPr>
          <w:rFonts w:ascii="Times New Roman" w:eastAsiaTheme="minorEastAsia" w:hAnsi="Times New Roman" w:cs="Times New Roman"/>
          <w:sz w:val="24"/>
          <w:szCs w:val="24"/>
          <w:lang w:val="en-US"/>
        </w:rPr>
        <w:t xml:space="preserve">mainly made </w:t>
      </w:r>
      <w:r w:rsidR="003310EB">
        <w:rPr>
          <w:rFonts w:ascii="Times New Roman" w:eastAsiaTheme="minorEastAsia" w:hAnsi="Times New Roman" w:cs="Times New Roman"/>
          <w:sz w:val="24"/>
          <w:szCs w:val="24"/>
          <w:lang w:val="en-US"/>
        </w:rPr>
        <w:t>of</w:t>
      </w:r>
      <w:r w:rsidR="003310EB" w:rsidRPr="00486BED">
        <w:rPr>
          <w:rFonts w:ascii="Times New Roman" w:eastAsiaTheme="minorEastAsia" w:hAnsi="Times New Roman" w:cs="Times New Roman"/>
          <w:sz w:val="24"/>
          <w:szCs w:val="24"/>
          <w:lang w:val="en-US"/>
        </w:rPr>
        <w:t xml:space="preserve"> soft</w:t>
      </w:r>
      <w:r w:rsidRPr="00486BED">
        <w:rPr>
          <w:rFonts w:ascii="Times New Roman" w:eastAsiaTheme="minorEastAsia" w:hAnsi="Times New Roman" w:cs="Times New Roman"/>
          <w:sz w:val="24"/>
          <w:szCs w:val="24"/>
          <w:lang w:val="en-US"/>
        </w:rPr>
        <w:t xml:space="preserve"> tissue, this value was used as the muscle-to-enamel dose conversion factor.</w:t>
      </w:r>
    </w:p>
    <w:p w14:paraId="4490BC01" w14:textId="77777777" w:rsidR="00310457" w:rsidRPr="00486BED" w:rsidRDefault="00310457" w:rsidP="00486BED">
      <w:pPr>
        <w:tabs>
          <w:tab w:val="left" w:pos="8364"/>
        </w:tabs>
        <w:spacing w:after="240" w:line="360" w:lineRule="auto"/>
        <w:jc w:val="both"/>
        <w:rPr>
          <w:rFonts w:ascii="Times New Roman" w:hAnsi="Times New Roman" w:cs="Times New Roman"/>
          <w:sz w:val="24"/>
          <w:szCs w:val="24"/>
          <w:lang w:val="en-US"/>
        </w:rPr>
      </w:pPr>
    </w:p>
    <w:p w14:paraId="7F894142" w14:textId="77777777" w:rsidR="00310457" w:rsidRPr="00F763B2" w:rsidRDefault="00310457" w:rsidP="00F763B2">
      <w:pPr>
        <w:spacing w:after="240" w:line="360" w:lineRule="auto"/>
        <w:jc w:val="both"/>
        <w:rPr>
          <w:rFonts w:ascii="Times New Roman" w:hAnsi="Times New Roman" w:cs="Times New Roman"/>
          <w:b/>
          <w:sz w:val="24"/>
          <w:szCs w:val="24"/>
          <w:lang w:val="en-GB"/>
        </w:rPr>
      </w:pPr>
      <w:r w:rsidRPr="00F763B2">
        <w:rPr>
          <w:rFonts w:ascii="Times New Roman" w:hAnsi="Times New Roman" w:cs="Times New Roman"/>
          <w:b/>
          <w:sz w:val="24"/>
          <w:szCs w:val="24"/>
          <w:lang w:val="en-GB"/>
        </w:rPr>
        <w:t xml:space="preserve">Results </w:t>
      </w:r>
    </w:p>
    <w:p w14:paraId="4F998B72" w14:textId="77777777" w:rsidR="00310457" w:rsidRPr="00F763B2"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sz w:val="24"/>
          <w:szCs w:val="24"/>
          <w:lang w:val="en-US"/>
        </w:rPr>
        <w:t>Background dose reconstruction</w:t>
      </w:r>
    </w:p>
    <w:p w14:paraId="508761AA" w14:textId="77777777" w:rsidR="00310457" w:rsidRPr="00486BED" w:rsidRDefault="00310457" w:rsidP="00486BED">
      <w:pPr>
        <w:spacing w:after="240" w:line="360" w:lineRule="auto"/>
        <w:ind w:firstLine="708"/>
        <w:jc w:val="both"/>
        <w:rPr>
          <w:rFonts w:ascii="Times New Roman" w:hAnsi="Times New Roman" w:cs="Times New Roman"/>
          <w:sz w:val="24"/>
          <w:szCs w:val="24"/>
          <w:lang w:val="en-GB"/>
        </w:rPr>
      </w:pPr>
      <w:r w:rsidRPr="00486BED">
        <w:rPr>
          <w:rFonts w:ascii="Times New Roman" w:hAnsi="Times New Roman" w:cs="Times New Roman"/>
          <w:sz w:val="24"/>
          <w:szCs w:val="24"/>
          <w:lang w:val="en-GB"/>
        </w:rPr>
        <w:t xml:space="preserve">Most of the </w:t>
      </w:r>
      <w:r w:rsidR="00386EC8">
        <w:rPr>
          <w:rFonts w:ascii="Times New Roman" w:hAnsi="Times New Roman" w:cs="Times New Roman"/>
          <w:sz w:val="24"/>
          <w:szCs w:val="24"/>
          <w:lang w:val="en-GB"/>
        </w:rPr>
        <w:t xml:space="preserve">measured </w:t>
      </w:r>
      <w:r w:rsidRPr="00486BED">
        <w:rPr>
          <w:rFonts w:ascii="Times New Roman" w:hAnsi="Times New Roman" w:cs="Times New Roman"/>
          <w:sz w:val="24"/>
          <w:szCs w:val="24"/>
          <w:lang w:val="en-GB"/>
        </w:rPr>
        <w:t xml:space="preserve">EPR </w:t>
      </w:r>
      <w:r w:rsidR="00386EC8">
        <w:rPr>
          <w:rFonts w:ascii="Times New Roman" w:hAnsi="Times New Roman" w:cs="Times New Roman"/>
          <w:sz w:val="24"/>
          <w:szCs w:val="24"/>
          <w:lang w:val="en-GB"/>
        </w:rPr>
        <w:t>doses</w:t>
      </w:r>
      <w:r w:rsidR="00386EC8"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 xml:space="preserve">were found to be less than 300 mGy for molars and </w:t>
      </w:r>
      <w:r w:rsidR="00386EC8">
        <w:rPr>
          <w:rFonts w:ascii="Times New Roman" w:hAnsi="Times New Roman" w:cs="Times New Roman"/>
          <w:sz w:val="24"/>
          <w:szCs w:val="24"/>
          <w:lang w:val="en-GB"/>
        </w:rPr>
        <w:t xml:space="preserve">less than </w:t>
      </w:r>
      <w:r w:rsidRPr="00486BED">
        <w:rPr>
          <w:rFonts w:ascii="Times New Roman" w:hAnsi="Times New Roman" w:cs="Times New Roman"/>
          <w:sz w:val="24"/>
          <w:szCs w:val="24"/>
          <w:lang w:val="en-GB"/>
        </w:rPr>
        <w:t xml:space="preserve">700 mGy for incisors. </w:t>
      </w:r>
      <w:r w:rsidR="002B20A9">
        <w:rPr>
          <w:rFonts w:ascii="Times New Roman" w:hAnsi="Times New Roman" w:cs="Times New Roman"/>
          <w:sz w:val="24"/>
          <w:szCs w:val="24"/>
          <w:lang w:val="en-GB"/>
        </w:rPr>
        <w:t xml:space="preserve">Less </w:t>
      </w:r>
      <w:r w:rsidRPr="00486BED">
        <w:rPr>
          <w:rFonts w:ascii="Times New Roman" w:hAnsi="Times New Roman" w:cs="Times New Roman"/>
          <w:sz w:val="24"/>
          <w:szCs w:val="24"/>
          <w:lang w:val="en-GB"/>
        </w:rPr>
        <w:t xml:space="preserve"> than 3% </w:t>
      </w:r>
      <w:r w:rsidR="002B20A9">
        <w:rPr>
          <w:rFonts w:ascii="Times New Roman" w:hAnsi="Times New Roman" w:cs="Times New Roman"/>
          <w:sz w:val="24"/>
          <w:szCs w:val="24"/>
          <w:lang w:val="en-GB"/>
        </w:rPr>
        <w:t xml:space="preserve">of the measured EPR doses </w:t>
      </w:r>
      <w:r w:rsidRPr="00486BED">
        <w:rPr>
          <w:rFonts w:ascii="Times New Roman" w:hAnsi="Times New Roman" w:cs="Times New Roman"/>
          <w:sz w:val="24"/>
          <w:szCs w:val="24"/>
          <w:lang w:val="en-GB"/>
        </w:rPr>
        <w:t>were exceeding 500 mGy and 1</w:t>
      </w:r>
      <w:r w:rsidR="002B20A9">
        <w:rPr>
          <w:rFonts w:ascii="Times New Roman" w:hAnsi="Times New Roman" w:cs="Times New Roman"/>
          <w:sz w:val="24"/>
          <w:szCs w:val="24"/>
          <w:lang w:val="en-GB"/>
        </w:rPr>
        <w:t>,</w:t>
      </w:r>
      <w:r w:rsidRPr="00486BED">
        <w:rPr>
          <w:rFonts w:ascii="Times New Roman" w:hAnsi="Times New Roman" w:cs="Times New Roman"/>
          <w:sz w:val="24"/>
          <w:szCs w:val="24"/>
          <w:lang w:val="en-GB"/>
        </w:rPr>
        <w:t xml:space="preserve">500 mGy for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posterior and anterior teeth, respectively. Table 3 presents </w:t>
      </w:r>
      <w:r w:rsidR="00C52305" w:rsidRPr="00486BED">
        <w:rPr>
          <w:rFonts w:ascii="Times New Roman" w:hAnsi="Times New Roman" w:cs="Times New Roman"/>
          <w:sz w:val="24"/>
          <w:szCs w:val="24"/>
          <w:lang w:val="en-GB"/>
        </w:rPr>
        <w:t xml:space="preserve">a </w:t>
      </w:r>
      <w:r w:rsidRPr="00486BED">
        <w:rPr>
          <w:rFonts w:ascii="Times New Roman" w:hAnsi="Times New Roman" w:cs="Times New Roman"/>
          <w:sz w:val="24"/>
          <w:szCs w:val="24"/>
          <w:lang w:val="en-GB"/>
        </w:rPr>
        <w:t xml:space="preserve">descriptive statistics for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background doses measured with different methods. As can be seen from Table 3,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maximum background doses were observed in the labial fraction of </w:t>
      </w:r>
      <w:r w:rsidR="00625E02">
        <w:rPr>
          <w:rFonts w:ascii="Times New Roman" w:hAnsi="Times New Roman" w:cs="Times New Roman"/>
          <w:sz w:val="24"/>
          <w:szCs w:val="24"/>
          <w:lang w:val="en-GB"/>
        </w:rPr>
        <w:t>enamel from anterior teeth</w:t>
      </w:r>
      <w:r w:rsidRPr="00486BED">
        <w:rPr>
          <w:rFonts w:ascii="Times New Roman" w:hAnsi="Times New Roman" w:cs="Times New Roman"/>
          <w:sz w:val="24"/>
          <w:szCs w:val="24"/>
          <w:lang w:val="en-GB"/>
        </w:rPr>
        <w:t xml:space="preserve">, which </w:t>
      </w:r>
      <w:r w:rsidR="00625E02">
        <w:rPr>
          <w:rFonts w:ascii="Times New Roman" w:hAnsi="Times New Roman" w:cs="Times New Roman"/>
          <w:sz w:val="24"/>
          <w:szCs w:val="24"/>
          <w:lang w:val="en-GB"/>
        </w:rPr>
        <w:t>i</w:t>
      </w:r>
      <w:r w:rsidRPr="00486BED">
        <w:rPr>
          <w:rFonts w:ascii="Times New Roman" w:hAnsi="Times New Roman" w:cs="Times New Roman"/>
          <w:sz w:val="24"/>
          <w:szCs w:val="24"/>
          <w:lang w:val="en-GB"/>
        </w:rPr>
        <w:t xml:space="preserve">s in agreement with studies </w:t>
      </w:r>
      <w:r w:rsidR="00625E02">
        <w:rPr>
          <w:rFonts w:ascii="Times New Roman" w:hAnsi="Times New Roman" w:cs="Times New Roman"/>
          <w:sz w:val="24"/>
          <w:szCs w:val="24"/>
          <w:lang w:val="en-GB"/>
        </w:rPr>
        <w:t xml:space="preserve">reporting an additional contribution </w:t>
      </w:r>
      <w:r w:rsidRPr="00486BED">
        <w:rPr>
          <w:rFonts w:ascii="Times New Roman" w:hAnsi="Times New Roman" w:cs="Times New Roman"/>
          <w:sz w:val="24"/>
          <w:szCs w:val="24"/>
          <w:lang w:val="en-GB"/>
        </w:rPr>
        <w:t xml:space="preserve">of UV </w:t>
      </w:r>
      <w:r w:rsidR="00625E02">
        <w:rPr>
          <w:rFonts w:ascii="Times New Roman" w:hAnsi="Times New Roman" w:cs="Times New Roman"/>
          <w:sz w:val="24"/>
          <w:szCs w:val="24"/>
          <w:lang w:val="en-GB"/>
        </w:rPr>
        <w:t xml:space="preserve">light </w:t>
      </w:r>
      <w:r w:rsidRPr="00486BED">
        <w:rPr>
          <w:rFonts w:ascii="Times New Roman" w:hAnsi="Times New Roman" w:cs="Times New Roman"/>
          <w:sz w:val="24"/>
          <w:szCs w:val="24"/>
          <w:lang w:val="en-GB"/>
        </w:rPr>
        <w:t xml:space="preserve">to </w:t>
      </w:r>
      <w:r w:rsidR="00625E02">
        <w:rPr>
          <w:rFonts w:ascii="Times New Roman" w:hAnsi="Times New Roman" w:cs="Times New Roman"/>
          <w:sz w:val="24"/>
          <w:szCs w:val="24"/>
          <w:lang w:val="en-GB"/>
        </w:rPr>
        <w:t xml:space="preserve">the EPR signals in those parts </w:t>
      </w:r>
      <w:r w:rsidRPr="00486BED">
        <w:rPr>
          <w:rFonts w:ascii="Times New Roman" w:hAnsi="Times New Roman" w:cs="Times New Roman"/>
          <w:sz w:val="24"/>
          <w:szCs w:val="24"/>
          <w:lang w:val="en-GB"/>
        </w:rPr>
        <w:t xml:space="preserve">of anterior teeth (Vorona et al., 2007; Sholom et al., 2010; Marrale et al., 2011). </w:t>
      </w:r>
      <w:r w:rsidR="002D5245">
        <w:rPr>
          <w:rFonts w:ascii="Times New Roman" w:hAnsi="Times New Roman" w:cs="Times New Roman"/>
          <w:sz w:val="24"/>
          <w:szCs w:val="24"/>
          <w:lang w:val="en-GB"/>
        </w:rPr>
        <w:t>It is noted, h</w:t>
      </w:r>
      <w:r w:rsidRPr="00486BED">
        <w:rPr>
          <w:rFonts w:ascii="Times New Roman" w:hAnsi="Times New Roman" w:cs="Times New Roman"/>
          <w:sz w:val="24"/>
          <w:szCs w:val="24"/>
          <w:lang w:val="en-GB"/>
        </w:rPr>
        <w:t xml:space="preserve">owever, </w:t>
      </w:r>
      <w:r w:rsidR="002D5245">
        <w:rPr>
          <w:rFonts w:ascii="Times New Roman" w:hAnsi="Times New Roman" w:cs="Times New Roman"/>
          <w:sz w:val="24"/>
          <w:szCs w:val="24"/>
          <w:lang w:val="en-GB"/>
        </w:rPr>
        <w:t xml:space="preserve">that </w:t>
      </w:r>
      <w:r w:rsidRPr="00486BED">
        <w:rPr>
          <w:rFonts w:ascii="Times New Roman" w:hAnsi="Times New Roman" w:cs="Times New Roman"/>
          <w:sz w:val="24"/>
          <w:szCs w:val="24"/>
          <w:lang w:val="en-GB"/>
        </w:rPr>
        <w:t xml:space="preserve">the doses reconstructed </w:t>
      </w:r>
      <w:r w:rsidR="002D5245">
        <w:rPr>
          <w:rFonts w:ascii="Times New Roman" w:hAnsi="Times New Roman" w:cs="Times New Roman"/>
          <w:sz w:val="24"/>
          <w:szCs w:val="24"/>
          <w:lang w:val="en-GB"/>
        </w:rPr>
        <w:t>from</w:t>
      </w:r>
      <w:r w:rsidR="002D5245"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 xml:space="preserve">the lingual </w:t>
      </w:r>
      <w:r w:rsidR="002D5245">
        <w:rPr>
          <w:rFonts w:ascii="Times New Roman" w:hAnsi="Times New Roman" w:cs="Times New Roman"/>
          <w:sz w:val="24"/>
          <w:szCs w:val="24"/>
          <w:lang w:val="en-GB"/>
        </w:rPr>
        <w:t>part</w:t>
      </w:r>
      <w:r w:rsidRPr="00486BED">
        <w:rPr>
          <w:rFonts w:ascii="Times New Roman" w:hAnsi="Times New Roman" w:cs="Times New Roman"/>
          <w:sz w:val="24"/>
          <w:szCs w:val="24"/>
          <w:lang w:val="en-GB"/>
        </w:rPr>
        <w:t xml:space="preserve"> of incisors, which </w:t>
      </w:r>
      <w:r w:rsidR="002D5245">
        <w:rPr>
          <w:rFonts w:ascii="Times New Roman" w:hAnsi="Times New Roman" w:cs="Times New Roman"/>
          <w:sz w:val="24"/>
          <w:szCs w:val="24"/>
          <w:lang w:val="en-GB"/>
        </w:rPr>
        <w:t>was</w:t>
      </w:r>
      <w:r w:rsidRPr="00486BED">
        <w:rPr>
          <w:rFonts w:ascii="Times New Roman" w:hAnsi="Times New Roman" w:cs="Times New Roman"/>
          <w:sz w:val="24"/>
          <w:szCs w:val="24"/>
          <w:lang w:val="en-GB"/>
        </w:rPr>
        <w:t xml:space="preserve"> not affected by UV</w:t>
      </w:r>
      <w:r w:rsidR="000B0F7B">
        <w:rPr>
          <w:rFonts w:ascii="Times New Roman" w:hAnsi="Times New Roman" w:cs="Times New Roman"/>
          <w:sz w:val="24"/>
          <w:szCs w:val="24"/>
          <w:lang w:val="en-GB"/>
        </w:rPr>
        <w:t xml:space="preserve"> light</w:t>
      </w:r>
      <w:r w:rsidRPr="00486BED">
        <w:rPr>
          <w:rFonts w:ascii="Times New Roman" w:hAnsi="Times New Roman" w:cs="Times New Roman"/>
          <w:sz w:val="24"/>
          <w:szCs w:val="24"/>
          <w:lang w:val="en-GB"/>
        </w:rPr>
        <w:t xml:space="preserve">, </w:t>
      </w:r>
      <w:r w:rsidR="000B0F7B">
        <w:rPr>
          <w:rFonts w:ascii="Times New Roman" w:hAnsi="Times New Roman" w:cs="Times New Roman"/>
          <w:sz w:val="24"/>
          <w:szCs w:val="24"/>
          <w:lang w:val="en-GB"/>
        </w:rPr>
        <w:t>a</w:t>
      </w:r>
      <w:r w:rsidRPr="00486BED">
        <w:rPr>
          <w:rFonts w:ascii="Times New Roman" w:hAnsi="Times New Roman" w:cs="Times New Roman"/>
          <w:sz w:val="24"/>
          <w:szCs w:val="24"/>
          <w:lang w:val="en-GB"/>
        </w:rPr>
        <w:t xml:space="preserve">re also higher than those </w:t>
      </w:r>
      <w:r w:rsidR="000B0F7B">
        <w:rPr>
          <w:rFonts w:ascii="Times New Roman" w:hAnsi="Times New Roman" w:cs="Times New Roman"/>
          <w:sz w:val="24"/>
          <w:szCs w:val="24"/>
          <w:lang w:val="en-GB"/>
        </w:rPr>
        <w:t>reconstructed from</w:t>
      </w:r>
      <w:r w:rsidRPr="00486BED">
        <w:rPr>
          <w:rFonts w:ascii="Times New Roman" w:hAnsi="Times New Roman" w:cs="Times New Roman"/>
          <w:sz w:val="24"/>
          <w:szCs w:val="24"/>
          <w:lang w:val="en-GB"/>
        </w:rPr>
        <w:t xml:space="preserve"> the enamel of posterior teeth. This is </w:t>
      </w:r>
      <w:r w:rsidR="00376616">
        <w:rPr>
          <w:rFonts w:ascii="Times New Roman" w:hAnsi="Times New Roman" w:cs="Times New Roman"/>
          <w:sz w:val="24"/>
          <w:szCs w:val="24"/>
          <w:lang w:val="en-GB"/>
        </w:rPr>
        <w:t xml:space="preserve">considered to be </w:t>
      </w:r>
      <w:r w:rsidRPr="00486BED">
        <w:rPr>
          <w:rFonts w:ascii="Times New Roman" w:hAnsi="Times New Roman" w:cs="Times New Roman"/>
          <w:sz w:val="24"/>
          <w:szCs w:val="24"/>
          <w:lang w:val="en-GB"/>
        </w:rPr>
        <w:t xml:space="preserve">the result of </w:t>
      </w:r>
      <w:r w:rsidR="00376616">
        <w:rPr>
          <w:rFonts w:ascii="Times New Roman" w:hAnsi="Times New Roman" w:cs="Times New Roman"/>
          <w:sz w:val="24"/>
          <w:szCs w:val="24"/>
          <w:lang w:val="en-GB"/>
        </w:rPr>
        <w:t>a</w:t>
      </w:r>
      <w:r w:rsidRPr="00486BED">
        <w:rPr>
          <w:rFonts w:ascii="Times New Roman" w:hAnsi="Times New Roman" w:cs="Times New Roman"/>
          <w:sz w:val="24"/>
          <w:szCs w:val="24"/>
          <w:lang w:val="en-GB"/>
        </w:rPr>
        <w:t xml:space="preserve"> bias in dose reconstruction. </w:t>
      </w:r>
      <w:r w:rsidR="00376616">
        <w:rPr>
          <w:rFonts w:ascii="Times New Roman" w:hAnsi="Times New Roman" w:cs="Times New Roman"/>
          <w:sz w:val="24"/>
          <w:szCs w:val="24"/>
          <w:lang w:val="en-GB"/>
        </w:rPr>
        <w:t>B</w:t>
      </w:r>
      <w:r w:rsidRPr="00486BED">
        <w:rPr>
          <w:rFonts w:ascii="Times New Roman" w:hAnsi="Times New Roman" w:cs="Times New Roman"/>
          <w:sz w:val="24"/>
          <w:szCs w:val="24"/>
          <w:lang w:val="en-GB"/>
        </w:rPr>
        <w:t xml:space="preserve">iased estimates are also the reason of negative dose values obtained for posterior teeth. All background doses measured using methods 4, 6, 7 and 8 were less than the </w:t>
      </w:r>
      <w:r w:rsidRPr="00486BED">
        <w:rPr>
          <w:rFonts w:ascii="Times New Roman" w:hAnsi="Times New Roman" w:cs="Times New Roman"/>
          <w:i/>
          <w:sz w:val="24"/>
          <w:szCs w:val="24"/>
          <w:lang w:val="en-GB"/>
        </w:rPr>
        <w:t>LD</w:t>
      </w:r>
      <w:r w:rsidRPr="00486BED">
        <w:rPr>
          <w:rFonts w:ascii="Times New Roman" w:hAnsi="Times New Roman" w:cs="Times New Roman"/>
          <w:sz w:val="24"/>
          <w:szCs w:val="24"/>
          <w:lang w:val="en-GB"/>
        </w:rPr>
        <w:t>s (Table A1). Figure 2 illustrates the difference</w:t>
      </w:r>
      <w:r w:rsidR="00034D11">
        <w:rPr>
          <w:rFonts w:ascii="Times New Roman" w:hAnsi="Times New Roman" w:cs="Times New Roman"/>
          <w:sz w:val="24"/>
          <w:szCs w:val="24"/>
          <w:lang w:val="en-GB"/>
        </w:rPr>
        <w:t>s</w:t>
      </w:r>
      <w:r w:rsidRPr="00486BED">
        <w:rPr>
          <w:rFonts w:ascii="Times New Roman" w:hAnsi="Times New Roman" w:cs="Times New Roman"/>
          <w:sz w:val="24"/>
          <w:szCs w:val="24"/>
          <w:lang w:val="en-GB"/>
        </w:rPr>
        <w:t xml:space="preserve"> between the distributions of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background doses measured in the enamel of posterior teeth using </w:t>
      </w:r>
      <w:r w:rsidR="00E92BB8">
        <w:rPr>
          <w:rFonts w:ascii="Times New Roman" w:hAnsi="Times New Roman" w:cs="Times New Roman"/>
          <w:sz w:val="24"/>
          <w:szCs w:val="24"/>
          <w:lang w:val="en-GB"/>
        </w:rPr>
        <w:t>method</w:t>
      </w:r>
      <w:r w:rsidR="00034D11">
        <w:rPr>
          <w:rFonts w:ascii="Times New Roman" w:hAnsi="Times New Roman" w:cs="Times New Roman"/>
          <w:sz w:val="24"/>
          <w:szCs w:val="24"/>
          <w:lang w:val="en-GB"/>
        </w:rPr>
        <w:t>s</w:t>
      </w:r>
      <w:r w:rsidR="00E92BB8">
        <w:rPr>
          <w:rFonts w:ascii="Times New Roman" w:hAnsi="Times New Roman" w:cs="Times New Roman"/>
          <w:sz w:val="24"/>
          <w:szCs w:val="24"/>
          <w:lang w:val="en-GB"/>
        </w:rPr>
        <w:t xml:space="preserve"> 2, 3, 10, 11, and 14</w:t>
      </w:r>
      <w:r w:rsidRPr="00486BED">
        <w:rPr>
          <w:rFonts w:ascii="Times New Roman" w:hAnsi="Times New Roman" w:cs="Times New Roman"/>
          <w:sz w:val="24"/>
          <w:szCs w:val="24"/>
          <w:lang w:val="en-GB"/>
        </w:rPr>
        <w:t>. The</w:t>
      </w:r>
      <w:r w:rsidR="00034D11">
        <w:rPr>
          <w:rFonts w:ascii="Times New Roman" w:hAnsi="Times New Roman" w:cs="Times New Roman"/>
          <w:sz w:val="24"/>
          <w:szCs w:val="24"/>
          <w:lang w:val="en-GB"/>
        </w:rPr>
        <w:t>se</w:t>
      </w:r>
      <w:r w:rsidRPr="00486BED">
        <w:rPr>
          <w:rFonts w:ascii="Times New Roman" w:hAnsi="Times New Roman" w:cs="Times New Roman"/>
          <w:sz w:val="24"/>
          <w:szCs w:val="24"/>
          <w:lang w:val="en-GB"/>
        </w:rPr>
        <w:t xml:space="preserve"> difference</w:t>
      </w:r>
      <w:r w:rsidR="00034D11">
        <w:rPr>
          <w:rFonts w:ascii="Times New Roman" w:hAnsi="Times New Roman" w:cs="Times New Roman"/>
          <w:sz w:val="24"/>
          <w:szCs w:val="24"/>
          <w:lang w:val="en-GB"/>
        </w:rPr>
        <w:t>s</w:t>
      </w:r>
      <w:r w:rsidRPr="00486BED">
        <w:rPr>
          <w:rFonts w:ascii="Times New Roman" w:hAnsi="Times New Roman" w:cs="Times New Roman"/>
          <w:sz w:val="24"/>
          <w:szCs w:val="24"/>
          <w:lang w:val="en-GB"/>
        </w:rPr>
        <w:t xml:space="preserve"> </w:t>
      </w:r>
      <w:r w:rsidR="00034D11">
        <w:rPr>
          <w:rFonts w:ascii="Times New Roman" w:hAnsi="Times New Roman" w:cs="Times New Roman"/>
          <w:sz w:val="24"/>
          <w:szCs w:val="24"/>
          <w:lang w:val="en-GB"/>
        </w:rPr>
        <w:t>are</w:t>
      </w:r>
      <w:r w:rsidRPr="00486BED">
        <w:rPr>
          <w:rFonts w:ascii="Times New Roman" w:hAnsi="Times New Roman" w:cs="Times New Roman"/>
          <w:sz w:val="24"/>
          <w:szCs w:val="24"/>
          <w:lang w:val="en-GB"/>
        </w:rPr>
        <w:t xml:space="preserve"> statistically significant (according to Mann-Whitney test, α=0.05). Therefore, such raw data could not be combined. The narrow range of the donor’s ages at the time of tooth extraction did not al</w:t>
      </w:r>
      <w:r w:rsidR="00C52305" w:rsidRPr="00486BED">
        <w:rPr>
          <w:rFonts w:ascii="Times New Roman" w:hAnsi="Times New Roman" w:cs="Times New Roman"/>
          <w:sz w:val="24"/>
          <w:szCs w:val="24"/>
          <w:lang w:val="en-GB"/>
        </w:rPr>
        <w:t>l</w:t>
      </w:r>
      <w:r w:rsidR="00315BAF" w:rsidRPr="00486BED">
        <w:rPr>
          <w:rFonts w:ascii="Times New Roman" w:hAnsi="Times New Roman" w:cs="Times New Roman"/>
          <w:sz w:val="24"/>
          <w:szCs w:val="24"/>
          <w:lang w:val="en-GB"/>
        </w:rPr>
        <w:t>ow</w:t>
      </w:r>
      <w:r w:rsidRPr="00486BED">
        <w:rPr>
          <w:rFonts w:ascii="Times New Roman" w:hAnsi="Times New Roman" w:cs="Times New Roman"/>
          <w:sz w:val="24"/>
          <w:szCs w:val="24"/>
          <w:lang w:val="en-GB"/>
        </w:rPr>
        <w:t xml:space="preserve"> finding an age dependence of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background doses using separate method-specific data pools. </w:t>
      </w:r>
      <w:r w:rsidR="00CE709C">
        <w:rPr>
          <w:rFonts w:ascii="Times New Roman" w:hAnsi="Times New Roman" w:cs="Times New Roman"/>
          <w:sz w:val="24"/>
          <w:szCs w:val="24"/>
          <w:lang w:val="en-GB"/>
        </w:rPr>
        <w:t>In addition</w:t>
      </w:r>
      <w:r w:rsidR="0069387A">
        <w:rPr>
          <w:rFonts w:ascii="Times New Roman" w:hAnsi="Times New Roman" w:cs="Times New Roman"/>
          <w:sz w:val="24"/>
          <w:szCs w:val="24"/>
          <w:lang w:val="en-GB"/>
        </w:rPr>
        <w:t>,</w:t>
      </w:r>
      <w:r w:rsidR="00CE709C">
        <w:rPr>
          <w:rFonts w:ascii="Times New Roman" w:hAnsi="Times New Roman" w:cs="Times New Roman"/>
          <w:sz w:val="24"/>
          <w:szCs w:val="24"/>
          <w:lang w:val="en-GB"/>
        </w:rPr>
        <w:t xml:space="preserve"> any</w:t>
      </w:r>
      <w:r w:rsidRPr="00486BED">
        <w:rPr>
          <w:rFonts w:ascii="Times New Roman" w:hAnsi="Times New Roman" w:cs="Times New Roman"/>
          <w:sz w:val="24"/>
          <w:szCs w:val="24"/>
          <w:lang w:val="en-GB"/>
        </w:rPr>
        <w:t xml:space="preserve"> age dependence could also be masked by relatively high detection limits and </w:t>
      </w:r>
      <w:r w:rsidR="00C52305" w:rsidRPr="00486BED">
        <w:rPr>
          <w:rFonts w:ascii="Times New Roman" w:hAnsi="Times New Roman" w:cs="Times New Roman"/>
          <w:sz w:val="24"/>
          <w:szCs w:val="24"/>
          <w:lang w:val="en-GB"/>
        </w:rPr>
        <w:t xml:space="preserve">a </w:t>
      </w:r>
      <w:r w:rsidRPr="00486BED">
        <w:rPr>
          <w:rFonts w:ascii="Times New Roman" w:hAnsi="Times New Roman" w:cs="Times New Roman"/>
          <w:sz w:val="24"/>
          <w:szCs w:val="24"/>
          <w:lang w:val="en-GB"/>
        </w:rPr>
        <w:t xml:space="preserve">large individual variability (about 16%) of the radiation sensitivity of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 xml:space="preserve">tooth enamel typical </w:t>
      </w:r>
      <w:r w:rsidR="00CE709C">
        <w:rPr>
          <w:rFonts w:ascii="Times New Roman" w:hAnsi="Times New Roman" w:cs="Times New Roman"/>
          <w:sz w:val="24"/>
          <w:szCs w:val="24"/>
          <w:lang w:val="en-GB"/>
        </w:rPr>
        <w:t>for</w:t>
      </w:r>
      <w:r w:rsidRPr="00486BED">
        <w:rPr>
          <w:rFonts w:ascii="Times New Roman" w:hAnsi="Times New Roman" w:cs="Times New Roman"/>
          <w:sz w:val="24"/>
          <w:szCs w:val="24"/>
          <w:lang w:val="en-GB"/>
        </w:rPr>
        <w:t xml:space="preserve">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Urals rural residents (Shishkina et al, 2012b).</w:t>
      </w:r>
    </w:p>
    <w:p w14:paraId="74BA9B02"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GB"/>
        </w:rPr>
        <w:t xml:space="preserve">As can be seen </w:t>
      </w:r>
      <w:r w:rsidR="00C17C3E">
        <w:rPr>
          <w:rFonts w:ascii="Times New Roman" w:hAnsi="Times New Roman" w:cs="Times New Roman"/>
          <w:sz w:val="24"/>
          <w:szCs w:val="24"/>
          <w:lang w:val="en-GB"/>
        </w:rPr>
        <w:t>in</w:t>
      </w:r>
      <w:r w:rsidR="00C17C3E" w:rsidRPr="00486BED">
        <w:rPr>
          <w:rFonts w:ascii="Times New Roman" w:hAnsi="Times New Roman" w:cs="Times New Roman"/>
          <w:sz w:val="24"/>
          <w:szCs w:val="24"/>
          <w:lang w:val="en-GB"/>
        </w:rPr>
        <w:t xml:space="preserve"> </w:t>
      </w:r>
      <w:r w:rsidRPr="00486BED">
        <w:rPr>
          <w:rFonts w:ascii="Times New Roman" w:hAnsi="Times New Roman" w:cs="Times New Roman"/>
          <w:sz w:val="24"/>
          <w:szCs w:val="24"/>
          <w:lang w:val="en-GB"/>
        </w:rPr>
        <w:t xml:space="preserve">Fig. 2, </w:t>
      </w:r>
      <w:r w:rsidR="00C17C3E">
        <w:rPr>
          <w:rFonts w:ascii="Times New Roman" w:hAnsi="Times New Roman" w:cs="Times New Roman"/>
          <w:sz w:val="24"/>
          <w:szCs w:val="24"/>
          <w:lang w:val="en-GB"/>
        </w:rPr>
        <w:t xml:space="preserve">for method 11 </w:t>
      </w:r>
      <w:r w:rsidRPr="00486BED">
        <w:rPr>
          <w:rFonts w:ascii="Times New Roman" w:hAnsi="Times New Roman" w:cs="Times New Roman"/>
          <w:sz w:val="24"/>
          <w:szCs w:val="24"/>
          <w:lang w:val="en-GB"/>
        </w:rPr>
        <w:t>about 50% of the doses exceed</w:t>
      </w:r>
      <w:r w:rsidR="00C17C3E">
        <w:rPr>
          <w:rFonts w:ascii="Times New Roman" w:hAnsi="Times New Roman" w:cs="Times New Roman"/>
          <w:sz w:val="24"/>
          <w:szCs w:val="24"/>
          <w:lang w:val="en-GB"/>
        </w:rPr>
        <w:t xml:space="preserve">ed the </w:t>
      </w:r>
      <w:r w:rsidRPr="00486BED">
        <w:rPr>
          <w:rFonts w:ascii="Times New Roman" w:hAnsi="Times New Roman" w:cs="Times New Roman"/>
          <w:i/>
          <w:sz w:val="24"/>
          <w:szCs w:val="24"/>
          <w:lang w:val="en-GB"/>
        </w:rPr>
        <w:t>LD</w:t>
      </w:r>
      <w:r w:rsidRPr="00486BED">
        <w:rPr>
          <w:rFonts w:ascii="Times New Roman" w:hAnsi="Times New Roman" w:cs="Times New Roman"/>
          <w:sz w:val="24"/>
          <w:szCs w:val="24"/>
          <w:lang w:val="en-GB"/>
        </w:rPr>
        <w:t xml:space="preserve">. These data were used for </w:t>
      </w:r>
      <w:r w:rsidR="00C5230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statistical reconstruction of the background doses (Eq. 5)</w:t>
      </w:r>
      <w:r w:rsidR="004125B8">
        <w:rPr>
          <w:rFonts w:ascii="Times New Roman" w:hAnsi="Times New Roman" w:cs="Times New Roman"/>
          <w:sz w:val="24"/>
          <w:szCs w:val="24"/>
          <w:lang w:val="en-GB"/>
        </w:rPr>
        <w:t xml:space="preserve">, and the numerical values obtained for </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m</w:t>
      </w:r>
      <w:r w:rsidRPr="00486BED">
        <w:rPr>
          <w:rFonts w:ascii="Times New Roman" w:hAnsi="Times New Roman" w:cs="Times New Roman"/>
          <w:sz w:val="24"/>
          <w:szCs w:val="24"/>
          <w:lang w:val="en-US"/>
        </w:rPr>
        <w:t xml:space="preserve"> and </w:t>
      </w:r>
      <w:r w:rsidRPr="00486BED">
        <w:rPr>
          <w:rFonts w:ascii="Times New Roman" w:hAnsi="Times New Roman" w:cs="Times New Roman"/>
          <w:i/>
          <w:sz w:val="24"/>
          <w:szCs w:val="24"/>
          <w:lang w:val="en-US"/>
        </w:rPr>
        <w:t>s</w:t>
      </w:r>
      <w:r w:rsidRPr="00486BED">
        <w:rPr>
          <w:rFonts w:ascii="Times New Roman" w:hAnsi="Times New Roman" w:cs="Times New Roman"/>
          <w:sz w:val="24"/>
          <w:szCs w:val="24"/>
          <w:lang w:val="en-US"/>
        </w:rPr>
        <w:t xml:space="preserve"> </w:t>
      </w:r>
      <w:r w:rsidR="004125B8">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parameters of the lognormal distribution of the background doses</w:t>
      </w:r>
      <w:r w:rsidR="004125B8">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are 3.9</w:t>
      </w:r>
      <w:r w:rsidR="004125B8">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4125B8">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0.5 and 0.7</w:t>
      </w:r>
      <w:r w:rsidR="004125B8">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4125B8">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0.1, respectively</w:t>
      </w:r>
      <w:r w:rsidR="004125B8">
        <w:rPr>
          <w:rFonts w:ascii="Times New Roman" w:hAnsi="Times New Roman" w:cs="Times New Roman"/>
          <w:sz w:val="24"/>
          <w:szCs w:val="24"/>
          <w:lang w:val="en-US"/>
        </w:rPr>
        <w:t>, both given in relative units</w:t>
      </w:r>
      <w:r w:rsidRPr="00486BED">
        <w:rPr>
          <w:rFonts w:ascii="Times New Roman" w:hAnsi="Times New Roman" w:cs="Times New Roman"/>
          <w:sz w:val="24"/>
          <w:szCs w:val="24"/>
          <w:lang w:val="en-US"/>
        </w:rPr>
        <w:t xml:space="preserve">. </w:t>
      </w:r>
      <w:r w:rsidR="00A15F70">
        <w:rPr>
          <w:rFonts w:ascii="Times New Roman" w:hAnsi="Times New Roman" w:cs="Times New Roman"/>
          <w:sz w:val="24"/>
          <w:szCs w:val="24"/>
          <w:lang w:val="en-US"/>
        </w:rPr>
        <w:t>With t</w:t>
      </w:r>
      <w:r w:rsidRPr="00486BED">
        <w:rPr>
          <w:rFonts w:ascii="Times New Roman" w:hAnsi="Times New Roman" w:cs="Times New Roman"/>
          <w:sz w:val="24"/>
          <w:szCs w:val="24"/>
          <w:lang w:val="en-US"/>
        </w:rPr>
        <w:t xml:space="preserve">hese parameters the mathematical expectation of </w:t>
      </w:r>
      <w:r w:rsidR="00A15F70">
        <w:rPr>
          <w:rFonts w:ascii="Times New Roman" w:hAnsi="Times New Roman" w:cs="Times New Roman"/>
          <w:sz w:val="24"/>
          <w:szCs w:val="24"/>
          <w:lang w:val="en-US"/>
        </w:rPr>
        <w:t>the</w:t>
      </w:r>
      <w:r w:rsidR="00C52305"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cumulative background dose </w:t>
      </w:r>
      <w:r w:rsidR="00A15F70">
        <w:rPr>
          <w:rFonts w:ascii="Times New Roman" w:hAnsi="Times New Roman" w:cs="Times New Roman"/>
          <w:sz w:val="24"/>
          <w:szCs w:val="24"/>
          <w:lang w:val="en-US"/>
        </w:rPr>
        <w:t xml:space="preserve">is </w:t>
      </w:r>
      <w:r w:rsidRPr="00486BED">
        <w:rPr>
          <w:rFonts w:ascii="Times New Roman" w:hAnsi="Times New Roman" w:cs="Times New Roman"/>
          <w:sz w:val="24"/>
          <w:szCs w:val="24"/>
          <w:lang w:val="en-US"/>
        </w:rPr>
        <w:t>63 mGy (</w:t>
      </w:r>
      <w:r w:rsidRPr="00486BED">
        <w:rPr>
          <w:rFonts w:ascii="Times New Roman" w:hAnsi="Times New Roman" w:cs="Times New Roman"/>
          <w:i/>
          <w:sz w:val="24"/>
          <w:szCs w:val="24"/>
          <w:lang w:val="en-US"/>
        </w:rPr>
        <w:t>CV</w:t>
      </w:r>
      <w:r w:rsidR="00A15F70">
        <w:rPr>
          <w:rFonts w:ascii="Times New Roman" w:hAnsi="Times New Roman" w:cs="Times New Roman"/>
          <w:i/>
          <w:sz w:val="24"/>
          <w:szCs w:val="24"/>
          <w:lang w:val="en-US"/>
        </w:rPr>
        <w:t xml:space="preserve"> </w:t>
      </w:r>
      <w:r w:rsidRPr="00486BED">
        <w:rPr>
          <w:rFonts w:ascii="Times New Roman" w:hAnsi="Times New Roman" w:cs="Times New Roman"/>
          <w:sz w:val="24"/>
          <w:szCs w:val="24"/>
          <w:lang w:val="en-US"/>
        </w:rPr>
        <w:t>=</w:t>
      </w:r>
      <w:r w:rsidR="00A15F70">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0.8)</w:t>
      </w:r>
      <w:r w:rsidR="00C52305"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and </w:t>
      </w:r>
      <w:r w:rsidR="00A15F70">
        <w:rPr>
          <w:rFonts w:ascii="Times New Roman" w:hAnsi="Times New Roman" w:cs="Times New Roman"/>
          <w:sz w:val="24"/>
          <w:szCs w:val="24"/>
          <w:lang w:val="en-US"/>
        </w:rPr>
        <w:t xml:space="preserve">that of the </w:t>
      </w:r>
      <w:r w:rsidRPr="00486BED">
        <w:rPr>
          <w:rFonts w:ascii="Times New Roman" w:hAnsi="Times New Roman" w:cs="Times New Roman"/>
          <w:sz w:val="24"/>
          <w:szCs w:val="24"/>
          <w:lang w:val="en-US"/>
        </w:rPr>
        <w:t xml:space="preserve">mean dose rate </w:t>
      </w:r>
      <w:r w:rsidR="00A15F70">
        <w:rPr>
          <w:rFonts w:ascii="Times New Roman" w:hAnsi="Times New Roman" w:cs="Times New Roman"/>
          <w:sz w:val="24"/>
          <w:szCs w:val="24"/>
          <w:lang w:val="en-US"/>
        </w:rPr>
        <w:t xml:space="preserve">is </w:t>
      </w:r>
      <w:r w:rsidRPr="00486BED">
        <w:rPr>
          <w:rFonts w:ascii="Times New Roman" w:hAnsi="Times New Roman" w:cs="Times New Roman"/>
          <w:sz w:val="24"/>
          <w:szCs w:val="24"/>
          <w:lang w:val="en-US"/>
        </w:rPr>
        <w:t>0.98 mGy year</w:t>
      </w:r>
      <w:r w:rsidRPr="00486BED">
        <w:rPr>
          <w:rFonts w:ascii="Times New Roman" w:hAnsi="Times New Roman" w:cs="Times New Roman"/>
          <w:sz w:val="24"/>
          <w:szCs w:val="24"/>
          <w:vertAlign w:val="superscript"/>
          <w:lang w:val="en-US"/>
        </w:rPr>
        <w:t>-1</w:t>
      </w:r>
      <w:r w:rsidRPr="00486BED">
        <w:rPr>
          <w:rFonts w:ascii="Times New Roman" w:hAnsi="Times New Roman" w:cs="Times New Roman"/>
          <w:sz w:val="24"/>
          <w:szCs w:val="24"/>
          <w:lang w:val="en-US"/>
        </w:rPr>
        <w:t xml:space="preserve">. The 25-95‰ of </w:t>
      </w:r>
      <w:r w:rsidR="00C52305"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cumulative doses and dose rates correspond to 30</w:t>
      </w:r>
      <w:r w:rsidR="00F07053">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F07053">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80 mGy year</w:t>
      </w:r>
      <w:r w:rsidRPr="00486BED">
        <w:rPr>
          <w:rFonts w:ascii="Times New Roman" w:hAnsi="Times New Roman" w:cs="Times New Roman"/>
          <w:sz w:val="24"/>
          <w:szCs w:val="24"/>
          <w:vertAlign w:val="superscript"/>
          <w:lang w:val="en-US"/>
        </w:rPr>
        <w:t>-1</w:t>
      </w:r>
      <w:r w:rsidRPr="00486BED">
        <w:rPr>
          <w:rFonts w:ascii="Times New Roman" w:hAnsi="Times New Roman" w:cs="Times New Roman"/>
          <w:sz w:val="24"/>
          <w:szCs w:val="24"/>
          <w:lang w:val="en-US"/>
        </w:rPr>
        <w:t xml:space="preserve"> and 0.47</w:t>
      </w:r>
      <w:r w:rsidR="00F07053">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F07053">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1.25 mGy year</w:t>
      </w:r>
      <w:r w:rsidRPr="00486BED">
        <w:rPr>
          <w:rFonts w:ascii="Times New Roman" w:hAnsi="Times New Roman" w:cs="Times New Roman"/>
          <w:sz w:val="24"/>
          <w:szCs w:val="24"/>
          <w:vertAlign w:val="superscript"/>
          <w:lang w:val="en-US"/>
        </w:rPr>
        <w:t>-1</w:t>
      </w:r>
      <w:r w:rsidRPr="00486BED">
        <w:rPr>
          <w:rFonts w:ascii="Times New Roman" w:hAnsi="Times New Roman" w:cs="Times New Roman"/>
          <w:sz w:val="24"/>
          <w:szCs w:val="24"/>
          <w:lang w:val="en-US"/>
        </w:rPr>
        <w:t>, respectively.</w:t>
      </w:r>
      <w:r w:rsidRPr="00486BED">
        <w:rPr>
          <w:rFonts w:ascii="Times New Roman" w:hAnsi="Times New Roman" w:cs="Times New Roman"/>
          <w:color w:val="FF0000"/>
          <w:sz w:val="24"/>
          <w:szCs w:val="24"/>
          <w:lang w:val="en-US"/>
        </w:rPr>
        <w:t xml:space="preserve"> </w:t>
      </w:r>
      <w:r w:rsidRPr="00486BED">
        <w:rPr>
          <w:rFonts w:ascii="Times New Roman" w:hAnsi="Times New Roman" w:cs="Times New Roman"/>
          <w:sz w:val="24"/>
          <w:szCs w:val="24"/>
          <w:lang w:val="en-US"/>
        </w:rPr>
        <w:t>The</w:t>
      </w:r>
      <w:r w:rsidR="00F07053">
        <w:rPr>
          <w:rFonts w:ascii="Times New Roman" w:hAnsi="Times New Roman" w:cs="Times New Roman"/>
          <w:sz w:val="24"/>
          <w:szCs w:val="24"/>
          <w:lang w:val="en-US"/>
        </w:rPr>
        <w:t>se</w:t>
      </w:r>
      <w:r w:rsidRPr="00486BED">
        <w:rPr>
          <w:rFonts w:ascii="Times New Roman" w:hAnsi="Times New Roman" w:cs="Times New Roman"/>
          <w:sz w:val="24"/>
          <w:szCs w:val="24"/>
          <w:lang w:val="en-US"/>
        </w:rPr>
        <w:t xml:space="preserve"> results are in good agreement with </w:t>
      </w:r>
      <w:r w:rsidR="00C52305"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estimates of indoor and outdoor exposure</w:t>
      </w:r>
      <w:r w:rsidR="00AB68B5">
        <w:rPr>
          <w:rFonts w:ascii="Times New Roman" w:hAnsi="Times New Roman" w:cs="Times New Roman"/>
          <w:sz w:val="24"/>
          <w:szCs w:val="24"/>
          <w:lang w:val="en-US"/>
        </w:rPr>
        <w:t>s</w:t>
      </w:r>
      <w:r w:rsidRPr="00486BED">
        <w:rPr>
          <w:rFonts w:ascii="Times New Roman" w:hAnsi="Times New Roman" w:cs="Times New Roman"/>
          <w:sz w:val="24"/>
          <w:szCs w:val="24"/>
          <w:lang w:val="en-US"/>
        </w:rPr>
        <w:t xml:space="preserve"> of rural residents of </w:t>
      </w:r>
      <w:r w:rsidR="00C52305"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Chelyabinsk Oblast (Skryabin and Pochinsky, 1985).</w:t>
      </w:r>
    </w:p>
    <w:p w14:paraId="35D99D47" w14:textId="77777777" w:rsidR="00310457" w:rsidRPr="00F763B2" w:rsidRDefault="00310457" w:rsidP="00F763B2">
      <w:pPr>
        <w:spacing w:after="240" w:line="360" w:lineRule="auto"/>
        <w:jc w:val="both"/>
        <w:rPr>
          <w:rFonts w:ascii="Times New Roman" w:hAnsi="Times New Roman" w:cs="Times New Roman"/>
          <w:sz w:val="24"/>
          <w:szCs w:val="24"/>
          <w:lang w:val="en-US"/>
        </w:rPr>
      </w:pPr>
      <w:r w:rsidRPr="00F763B2">
        <w:rPr>
          <w:rFonts w:ascii="Times New Roman" w:hAnsi="Times New Roman" w:cs="Times New Roman"/>
          <w:sz w:val="24"/>
          <w:szCs w:val="24"/>
          <w:lang w:val="en-US"/>
        </w:rPr>
        <w:t xml:space="preserve">Harmonization of EPR measurements </w:t>
      </w:r>
    </w:p>
    <w:p w14:paraId="787388E0" w14:textId="77777777" w:rsidR="00310457" w:rsidRDefault="00310457" w:rsidP="00486BED">
      <w:pPr>
        <w:pStyle w:val="Listenabsatz"/>
        <w:autoSpaceDE w:val="0"/>
        <w:autoSpaceDN w:val="0"/>
        <w:adjustRightInd w:val="0"/>
        <w:spacing w:after="240" w:line="360" w:lineRule="auto"/>
        <w:ind w:left="0" w:firstLine="72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The lognormal distribution (</w:t>
      </w:r>
      <w:r w:rsidRPr="00486BED">
        <w:rPr>
          <w:rFonts w:ascii="Times New Roman" w:hAnsi="Times New Roman" w:cs="Times New Roman"/>
          <w:i/>
          <w:sz w:val="24"/>
          <w:szCs w:val="24"/>
          <w:lang w:val="en-US"/>
        </w:rPr>
        <w:t>LogN</w:t>
      </w:r>
      <w:r w:rsidRPr="00486BED">
        <w:rPr>
          <w:rFonts w:ascii="Times New Roman" w:hAnsi="Times New Roman" w:cs="Times New Roman"/>
          <w:sz w:val="24"/>
          <w:szCs w:val="24"/>
          <w:lang w:val="en-US"/>
        </w:rPr>
        <w:t xml:space="preserve">(3.9, 0.7)) </w:t>
      </w:r>
      <w:r w:rsidR="00EA493E">
        <w:rPr>
          <w:rFonts w:ascii="Times New Roman" w:hAnsi="Times New Roman" w:cs="Times New Roman"/>
          <w:sz w:val="24"/>
          <w:szCs w:val="24"/>
          <w:lang w:val="en-US"/>
        </w:rPr>
        <w:t>of the</w:t>
      </w:r>
      <w:r w:rsidR="00EA493E" w:rsidRPr="00486BED">
        <w:rPr>
          <w:rFonts w:ascii="Times New Roman" w:hAnsi="Times New Roman" w:cs="Times New Roman"/>
          <w:sz w:val="24"/>
          <w:szCs w:val="24"/>
          <w:lang w:val="en-US"/>
        </w:rPr>
        <w:t xml:space="preserve"> “true” background dose </w:t>
      </w:r>
      <w:r w:rsidR="00EA493E">
        <w:rPr>
          <w:rFonts w:ascii="Times New Roman" w:hAnsi="Times New Roman" w:cs="Times New Roman"/>
          <w:sz w:val="24"/>
          <w:szCs w:val="24"/>
          <w:lang w:val="en-US"/>
        </w:rPr>
        <w:t xml:space="preserve">deduced above was used </w:t>
      </w:r>
      <w:r w:rsidRPr="00486BED">
        <w:rPr>
          <w:rFonts w:ascii="Times New Roman" w:hAnsi="Times New Roman" w:cs="Times New Roman"/>
          <w:sz w:val="24"/>
          <w:szCs w:val="24"/>
          <w:lang w:val="en-US"/>
        </w:rPr>
        <w:t xml:space="preserve">for evaluation of the method-specific biases </w:t>
      </w:r>
      <w:r w:rsidR="00FD00DF">
        <w:rPr>
          <w:rFonts w:ascii="Times New Roman" w:hAnsi="Times New Roman" w:cs="Times New Roman"/>
          <w:sz w:val="24"/>
          <w:szCs w:val="24"/>
          <w:lang w:val="en-US"/>
        </w:rPr>
        <w:t xml:space="preserve">inherent in the dose measurements using </w:t>
      </w:r>
      <w:r w:rsidRPr="00486BED">
        <w:rPr>
          <w:rFonts w:ascii="Times New Roman" w:hAnsi="Times New Roman" w:cs="Times New Roman"/>
          <w:sz w:val="24"/>
          <w:szCs w:val="24"/>
          <w:lang w:val="en-US"/>
        </w:rPr>
        <w:t xml:space="preserve">both posterior and anterior </w:t>
      </w:r>
      <w:r w:rsidR="0069387A" w:rsidRPr="00486BED">
        <w:rPr>
          <w:rFonts w:ascii="Times New Roman" w:hAnsi="Times New Roman" w:cs="Times New Roman"/>
          <w:sz w:val="24"/>
          <w:szCs w:val="24"/>
          <w:lang w:val="en-US"/>
        </w:rPr>
        <w:t>t</w:t>
      </w:r>
      <w:r w:rsidR="0069387A">
        <w:rPr>
          <w:rFonts w:ascii="Times New Roman" w:hAnsi="Times New Roman" w:cs="Times New Roman"/>
          <w:sz w:val="24"/>
          <w:szCs w:val="24"/>
          <w:lang w:val="en-US"/>
        </w:rPr>
        <w:t>oo</w:t>
      </w:r>
      <w:r w:rsidR="0069387A" w:rsidRPr="00486BED">
        <w:rPr>
          <w:rFonts w:ascii="Times New Roman" w:hAnsi="Times New Roman" w:cs="Times New Roman"/>
          <w:sz w:val="24"/>
          <w:szCs w:val="24"/>
          <w:lang w:val="en-US"/>
        </w:rPr>
        <w:t>th</w:t>
      </w:r>
      <w:r w:rsidR="0069387A">
        <w:rPr>
          <w:rFonts w:ascii="Times New Roman" w:hAnsi="Times New Roman" w:cs="Times New Roman"/>
          <w:sz w:val="24"/>
          <w:szCs w:val="24"/>
          <w:lang w:val="en-US"/>
        </w:rPr>
        <w:t xml:space="preserve"> </w:t>
      </w:r>
      <w:r w:rsidR="00FD00DF">
        <w:rPr>
          <w:rFonts w:ascii="Times New Roman" w:hAnsi="Times New Roman" w:cs="Times New Roman"/>
          <w:sz w:val="24"/>
          <w:szCs w:val="24"/>
          <w:lang w:val="en-US"/>
        </w:rPr>
        <w:t>samples</w:t>
      </w:r>
      <w:r w:rsidRPr="00486BED">
        <w:rPr>
          <w:rFonts w:ascii="Times New Roman" w:hAnsi="Times New Roman" w:cs="Times New Roman"/>
          <w:sz w:val="24"/>
          <w:szCs w:val="24"/>
          <w:lang w:val="en-US"/>
        </w:rPr>
        <w:t xml:space="preserve">. </w:t>
      </w:r>
      <w:r w:rsidR="00716D73">
        <w:rPr>
          <w:rFonts w:ascii="Times New Roman" w:hAnsi="Times New Roman" w:cs="Times New Roman"/>
          <w:sz w:val="24"/>
          <w:szCs w:val="24"/>
          <w:lang w:val="en-US"/>
        </w:rPr>
        <w:t>In</w:t>
      </w:r>
      <w:r w:rsidRPr="00486BED">
        <w:rPr>
          <w:rFonts w:ascii="Times New Roman" w:hAnsi="Times New Roman" w:cs="Times New Roman"/>
          <w:sz w:val="24"/>
          <w:szCs w:val="24"/>
          <w:lang w:val="en-US"/>
        </w:rPr>
        <w:t xml:space="preserve"> Eqs (5), the parameters of the distribution were </w:t>
      </w:r>
      <w:r w:rsidR="00716D73">
        <w:rPr>
          <w:rFonts w:ascii="Times New Roman" w:hAnsi="Times New Roman" w:cs="Times New Roman"/>
          <w:sz w:val="24"/>
          <w:szCs w:val="24"/>
          <w:lang w:val="en-US"/>
        </w:rPr>
        <w:t>used</w:t>
      </w:r>
      <w:r w:rsidRPr="00486BED">
        <w:rPr>
          <w:rFonts w:ascii="Times New Roman" w:hAnsi="Times New Roman" w:cs="Times New Roman"/>
          <w:sz w:val="24"/>
          <w:szCs w:val="24"/>
          <w:lang w:val="en-US"/>
        </w:rPr>
        <w:t xml:space="preserve"> in the first equation</w:t>
      </w:r>
      <w:r w:rsidR="00C52305"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the systematic errors</w:t>
      </w:r>
      <w:r w:rsidR="00C52305"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C</w:t>
      </w:r>
      <w:r w:rsidR="00C52305" w:rsidRPr="00486BED">
        <w:rPr>
          <w:rFonts w:ascii="Times New Roman" w:hAnsi="Times New Roman" w:cs="Times New Roman"/>
          <w:i/>
          <w:sz w:val="24"/>
          <w:szCs w:val="24"/>
          <w:lang w:val="en-US"/>
        </w:rPr>
        <w:t>,</w:t>
      </w:r>
      <w:r w:rsidRPr="00486BED">
        <w:rPr>
          <w:rFonts w:ascii="Times New Roman" w:hAnsi="Times New Roman" w:cs="Times New Roman"/>
          <w:sz w:val="24"/>
          <w:szCs w:val="24"/>
          <w:lang w:val="en-US"/>
        </w:rPr>
        <w:t xml:space="preserve"> were calculated for each of the data sets (Table 3</w:t>
      </w:r>
      <w:r w:rsidRPr="00763C9E">
        <w:rPr>
          <w:rFonts w:ascii="Times New Roman" w:hAnsi="Times New Roman" w:cs="Times New Roman"/>
          <w:sz w:val="24"/>
          <w:szCs w:val="24"/>
          <w:lang w:val="en-US"/>
        </w:rPr>
        <w:t xml:space="preserve">). </w:t>
      </w:r>
      <w:r w:rsidR="00763C9E" w:rsidRPr="008A0C14">
        <w:rPr>
          <w:rFonts w:ascii="Times New Roman" w:hAnsi="Times New Roman" w:cs="Times New Roman"/>
          <w:sz w:val="24"/>
          <w:szCs w:val="24"/>
          <w:lang w:val="en-US"/>
        </w:rPr>
        <w:t xml:space="preserve">The method-specific biases are presented in the table A1 of Appendix A. </w:t>
      </w:r>
      <w:r w:rsidRPr="008A0C14">
        <w:rPr>
          <w:rFonts w:ascii="Times New Roman" w:hAnsi="Times New Roman" w:cs="Times New Roman"/>
          <w:sz w:val="24"/>
          <w:szCs w:val="24"/>
          <w:lang w:val="en-US"/>
        </w:rPr>
        <w:t xml:space="preserve">It was found that the method-specific additive biases for EPR </w:t>
      </w:r>
      <w:r w:rsidR="00716D73" w:rsidRPr="008A0C14">
        <w:rPr>
          <w:rFonts w:ascii="Times New Roman" w:hAnsi="Times New Roman" w:cs="Times New Roman"/>
          <w:sz w:val="24"/>
          <w:szCs w:val="24"/>
          <w:lang w:val="en-US"/>
        </w:rPr>
        <w:t xml:space="preserve">doses obtained from </w:t>
      </w:r>
      <w:r w:rsidRPr="008A0C14">
        <w:rPr>
          <w:rFonts w:ascii="Times New Roman" w:hAnsi="Times New Roman" w:cs="Times New Roman"/>
          <w:sz w:val="24"/>
          <w:szCs w:val="24"/>
          <w:lang w:val="en-US"/>
        </w:rPr>
        <w:t xml:space="preserve">posterior teeth are </w:t>
      </w:r>
      <w:r w:rsidR="004478DD" w:rsidRPr="008A0C14">
        <w:rPr>
          <w:rFonts w:ascii="Times New Roman" w:hAnsi="Times New Roman" w:cs="Times New Roman"/>
          <w:sz w:val="24"/>
          <w:szCs w:val="24"/>
          <w:lang w:val="en-US"/>
        </w:rPr>
        <w:t>with</w:t>
      </w:r>
      <w:r w:rsidRPr="008A0C14">
        <w:rPr>
          <w:rFonts w:ascii="Times New Roman" w:hAnsi="Times New Roman" w:cs="Times New Roman"/>
          <w:sz w:val="24"/>
          <w:szCs w:val="24"/>
          <w:lang w:val="en-US"/>
        </w:rPr>
        <w:t>in the range from -</w:t>
      </w:r>
      <w:r w:rsidR="00763C9E" w:rsidRPr="008A0C14">
        <w:rPr>
          <w:rFonts w:ascii="Times New Roman" w:hAnsi="Times New Roman" w:cs="Times New Roman"/>
          <w:sz w:val="24"/>
          <w:szCs w:val="24"/>
          <w:lang w:val="en-US"/>
        </w:rPr>
        <w:t xml:space="preserve">50 (method 8) </w:t>
      </w:r>
      <w:r w:rsidRPr="008A0C14">
        <w:rPr>
          <w:rFonts w:ascii="Times New Roman" w:hAnsi="Times New Roman" w:cs="Times New Roman"/>
          <w:sz w:val="24"/>
          <w:szCs w:val="24"/>
          <w:lang w:val="en-US"/>
        </w:rPr>
        <w:t xml:space="preserve">to </w:t>
      </w:r>
      <w:r w:rsidR="00763C9E" w:rsidRPr="008A0C14">
        <w:rPr>
          <w:rFonts w:ascii="Times New Roman" w:hAnsi="Times New Roman" w:cs="Times New Roman"/>
          <w:sz w:val="24"/>
          <w:szCs w:val="24"/>
          <w:lang w:val="en-US"/>
        </w:rPr>
        <w:t xml:space="preserve">370 </w:t>
      </w:r>
      <w:r w:rsidRPr="008A0C14">
        <w:rPr>
          <w:rFonts w:ascii="Times New Roman" w:hAnsi="Times New Roman" w:cs="Times New Roman"/>
          <w:sz w:val="24"/>
          <w:szCs w:val="24"/>
          <w:lang w:val="en-US"/>
        </w:rPr>
        <w:t>mGy</w:t>
      </w:r>
      <w:r w:rsidR="00763C9E" w:rsidRPr="008A0C14">
        <w:rPr>
          <w:rFonts w:ascii="Times New Roman" w:hAnsi="Times New Roman" w:cs="Times New Roman"/>
          <w:sz w:val="24"/>
          <w:szCs w:val="24"/>
          <w:lang w:val="en-US"/>
        </w:rPr>
        <w:t>(method 13)</w:t>
      </w:r>
      <w:r w:rsidRPr="008A0C14">
        <w:rPr>
          <w:rFonts w:ascii="Times New Roman" w:hAnsi="Times New Roman" w:cs="Times New Roman"/>
          <w:sz w:val="24"/>
          <w:szCs w:val="24"/>
          <w:lang w:val="en-US"/>
        </w:rPr>
        <w:t>. The</w:t>
      </w:r>
      <w:r w:rsidRPr="005B76EE">
        <w:rPr>
          <w:rFonts w:ascii="Times New Roman" w:hAnsi="Times New Roman" w:cs="Times New Roman"/>
          <w:sz w:val="24"/>
          <w:szCs w:val="24"/>
          <w:lang w:val="en-US"/>
        </w:rPr>
        <w:t xml:space="preserve"> biases of </w:t>
      </w:r>
      <w:r w:rsidR="004478DD" w:rsidRPr="005B76EE">
        <w:rPr>
          <w:rFonts w:ascii="Times New Roman" w:hAnsi="Times New Roman" w:cs="Times New Roman"/>
          <w:sz w:val="24"/>
          <w:szCs w:val="24"/>
          <w:lang w:val="en-US"/>
        </w:rPr>
        <w:t xml:space="preserve">the </w:t>
      </w:r>
      <w:r w:rsidRPr="005B76EE">
        <w:rPr>
          <w:rFonts w:ascii="Times New Roman" w:hAnsi="Times New Roman" w:cs="Times New Roman"/>
          <w:sz w:val="24"/>
          <w:szCs w:val="24"/>
          <w:lang w:val="en-US"/>
        </w:rPr>
        <w:t xml:space="preserve">methods which used the lingual enamel fraction of anterior teeth were </w:t>
      </w:r>
      <w:r w:rsidR="00763C9E" w:rsidRPr="008A0C14">
        <w:rPr>
          <w:rFonts w:ascii="Times New Roman" w:hAnsi="Times New Roman" w:cs="Times New Roman"/>
          <w:sz w:val="24"/>
          <w:szCs w:val="24"/>
          <w:lang w:val="en-US"/>
        </w:rPr>
        <w:t>found to be in the range from</w:t>
      </w:r>
      <w:r w:rsidRPr="008A0C14">
        <w:rPr>
          <w:rFonts w:ascii="Times New Roman" w:hAnsi="Times New Roman" w:cs="Times New Roman"/>
          <w:sz w:val="24"/>
          <w:szCs w:val="24"/>
          <w:lang w:val="en-US"/>
        </w:rPr>
        <w:t xml:space="preserve"> 190</w:t>
      </w:r>
      <w:r w:rsidR="005B76EE" w:rsidRPr="008A0C14">
        <w:rPr>
          <w:rFonts w:ascii="Times New Roman" w:hAnsi="Times New Roman" w:cs="Times New Roman"/>
          <w:sz w:val="24"/>
          <w:szCs w:val="24"/>
          <w:lang w:val="en-US"/>
        </w:rPr>
        <w:t xml:space="preserve"> (methods 33, 34&amp;38)</w:t>
      </w:r>
      <w:r w:rsidRPr="008A0C14">
        <w:rPr>
          <w:rFonts w:ascii="Times New Roman" w:hAnsi="Times New Roman" w:cs="Times New Roman"/>
          <w:sz w:val="24"/>
          <w:szCs w:val="24"/>
          <w:lang w:val="en-US"/>
        </w:rPr>
        <w:t xml:space="preserve"> </w:t>
      </w:r>
      <w:r w:rsidR="00763C9E" w:rsidRPr="008A0C14">
        <w:rPr>
          <w:rFonts w:ascii="Times New Roman" w:hAnsi="Times New Roman" w:cs="Times New Roman"/>
          <w:sz w:val="24"/>
          <w:szCs w:val="24"/>
          <w:lang w:val="en-US"/>
        </w:rPr>
        <w:t>to</w:t>
      </w:r>
      <w:r w:rsidRPr="008A0C14">
        <w:rPr>
          <w:rFonts w:ascii="Times New Roman" w:hAnsi="Times New Roman" w:cs="Times New Roman"/>
          <w:sz w:val="24"/>
          <w:szCs w:val="24"/>
          <w:lang w:val="en-US"/>
        </w:rPr>
        <w:t xml:space="preserve"> </w:t>
      </w:r>
      <w:r w:rsidR="00763C9E" w:rsidRPr="008A0C14">
        <w:rPr>
          <w:rFonts w:ascii="Times New Roman" w:hAnsi="Times New Roman" w:cs="Times New Roman"/>
          <w:sz w:val="24"/>
          <w:szCs w:val="24"/>
          <w:lang w:val="en-US"/>
        </w:rPr>
        <w:t xml:space="preserve">430 </w:t>
      </w:r>
      <w:r w:rsidRPr="008A0C14">
        <w:rPr>
          <w:rFonts w:ascii="Times New Roman" w:hAnsi="Times New Roman" w:cs="Times New Roman"/>
          <w:sz w:val="24"/>
          <w:szCs w:val="24"/>
          <w:lang w:val="en-US"/>
        </w:rPr>
        <w:t>mGy</w:t>
      </w:r>
      <w:r w:rsidR="005B76EE" w:rsidRPr="008A0C14">
        <w:rPr>
          <w:rFonts w:ascii="Times New Roman" w:hAnsi="Times New Roman" w:cs="Times New Roman"/>
          <w:sz w:val="24"/>
          <w:szCs w:val="24"/>
          <w:lang w:val="en-US"/>
        </w:rPr>
        <w:t xml:space="preserve"> (method 37)</w:t>
      </w:r>
      <w:r w:rsidRPr="005B76EE">
        <w:rPr>
          <w:rFonts w:ascii="Times New Roman" w:hAnsi="Times New Roman" w:cs="Times New Roman"/>
          <w:sz w:val="24"/>
          <w:szCs w:val="24"/>
          <w:lang w:val="en-US"/>
        </w:rPr>
        <w:t xml:space="preserve">; the </w:t>
      </w:r>
      <w:r w:rsidR="00FD1A41" w:rsidRPr="005B76EE">
        <w:rPr>
          <w:rFonts w:ascii="Times New Roman" w:hAnsi="Times New Roman" w:cs="Times New Roman"/>
          <w:sz w:val="24"/>
          <w:szCs w:val="24"/>
          <w:lang w:val="en-US"/>
        </w:rPr>
        <w:t xml:space="preserve">doses obtained from </w:t>
      </w:r>
      <w:r w:rsidRPr="005B76EE">
        <w:rPr>
          <w:rFonts w:ascii="Times New Roman" w:hAnsi="Times New Roman" w:cs="Times New Roman"/>
          <w:sz w:val="24"/>
          <w:szCs w:val="24"/>
          <w:lang w:val="en-US"/>
        </w:rPr>
        <w:t xml:space="preserve">whole and labial incisor enamel were </w:t>
      </w:r>
      <w:r w:rsidR="005B76EE" w:rsidRPr="005B76EE">
        <w:rPr>
          <w:rFonts w:ascii="Times New Roman" w:hAnsi="Times New Roman" w:cs="Times New Roman"/>
          <w:sz w:val="24"/>
          <w:szCs w:val="24"/>
          <w:lang w:val="en-US"/>
        </w:rPr>
        <w:t>5</w:t>
      </w:r>
      <w:r w:rsidRPr="005B76EE">
        <w:rPr>
          <w:rFonts w:ascii="Times New Roman" w:hAnsi="Times New Roman" w:cs="Times New Roman"/>
          <w:sz w:val="24"/>
          <w:szCs w:val="24"/>
          <w:lang w:val="en-US"/>
        </w:rPr>
        <w:t>0 -</w:t>
      </w:r>
      <w:r w:rsidR="00716D73" w:rsidRPr="005B76EE">
        <w:rPr>
          <w:rFonts w:ascii="Times New Roman" w:hAnsi="Times New Roman" w:cs="Times New Roman"/>
          <w:sz w:val="24"/>
          <w:szCs w:val="24"/>
          <w:lang w:val="en-US"/>
        </w:rPr>
        <w:t xml:space="preserve"> </w:t>
      </w:r>
      <w:r w:rsidR="005B76EE" w:rsidRPr="005B76EE">
        <w:rPr>
          <w:rFonts w:ascii="Times New Roman" w:hAnsi="Times New Roman" w:cs="Times New Roman"/>
          <w:sz w:val="24"/>
          <w:szCs w:val="24"/>
          <w:lang w:val="en-US"/>
        </w:rPr>
        <w:t xml:space="preserve">580 </w:t>
      </w:r>
      <w:r w:rsidRPr="005B76EE">
        <w:rPr>
          <w:rFonts w:ascii="Times New Roman" w:hAnsi="Times New Roman" w:cs="Times New Roman"/>
          <w:sz w:val="24"/>
          <w:szCs w:val="24"/>
          <w:lang w:val="en-US"/>
        </w:rPr>
        <w:t xml:space="preserve">mGy higher than the mean background </w:t>
      </w:r>
      <w:r w:rsidR="00FD1A41" w:rsidRPr="005B76EE">
        <w:rPr>
          <w:rFonts w:ascii="Times New Roman" w:hAnsi="Times New Roman" w:cs="Times New Roman"/>
          <w:sz w:val="24"/>
          <w:szCs w:val="24"/>
          <w:lang w:val="en-US"/>
        </w:rPr>
        <w:t xml:space="preserve">dose </w:t>
      </w:r>
      <w:r w:rsidRPr="005B76EE">
        <w:rPr>
          <w:rFonts w:ascii="Times New Roman" w:hAnsi="Times New Roman" w:cs="Times New Roman"/>
          <w:sz w:val="24"/>
          <w:szCs w:val="24"/>
          <w:lang w:val="en-US"/>
        </w:rPr>
        <w:t>(</w:t>
      </w:r>
      <w:r w:rsidR="00FD1A41" w:rsidRPr="005B76EE">
        <w:rPr>
          <w:rFonts w:ascii="Times New Roman" w:hAnsi="Times New Roman" w:cs="Times New Roman"/>
          <w:sz w:val="24"/>
          <w:szCs w:val="24"/>
          <w:lang w:val="en-US"/>
        </w:rPr>
        <w:t xml:space="preserve">which serves as </w:t>
      </w:r>
      <w:r w:rsidRPr="005B76EE">
        <w:rPr>
          <w:rFonts w:ascii="Times New Roman" w:hAnsi="Times New Roman" w:cs="Times New Roman"/>
          <w:sz w:val="24"/>
          <w:szCs w:val="24"/>
          <w:lang w:val="en-US"/>
        </w:rPr>
        <w:t>surrogate reference).</w:t>
      </w:r>
      <w:r w:rsidRPr="00486BED">
        <w:rPr>
          <w:rFonts w:ascii="Times New Roman" w:hAnsi="Times New Roman" w:cs="Times New Roman"/>
          <w:sz w:val="24"/>
          <w:szCs w:val="24"/>
          <w:lang w:val="en-US"/>
        </w:rPr>
        <w:t xml:space="preserve"> </w:t>
      </w:r>
    </w:p>
    <w:p w14:paraId="035702A6" w14:textId="77777777" w:rsidR="00310457" w:rsidRPr="00486BED" w:rsidRDefault="00310457" w:rsidP="00486BED">
      <w:pPr>
        <w:pStyle w:val="Listenabsatz"/>
        <w:autoSpaceDE w:val="0"/>
        <w:autoSpaceDN w:val="0"/>
        <w:adjustRightInd w:val="0"/>
        <w:spacing w:after="240" w:line="360" w:lineRule="auto"/>
        <w:ind w:left="0" w:firstLine="720"/>
        <w:jc w:val="both"/>
        <w:rPr>
          <w:rFonts w:ascii="Times New Roman" w:hAnsi="Times New Roman" w:cs="Times New Roman"/>
          <w:sz w:val="24"/>
          <w:szCs w:val="24"/>
          <w:lang w:val="en-GB"/>
        </w:rPr>
      </w:pPr>
      <w:r w:rsidRPr="00486BED">
        <w:rPr>
          <w:rFonts w:ascii="Times New Roman" w:hAnsi="Times New Roman" w:cs="Times New Roman"/>
          <w:sz w:val="24"/>
          <w:szCs w:val="24"/>
          <w:lang w:val="en-US"/>
        </w:rPr>
        <w:t xml:space="preserve">The standard uncertainties were evaluated taking into account the </w:t>
      </w:r>
      <w:r w:rsidRPr="00486BED">
        <w:rPr>
          <w:rFonts w:ascii="Times New Roman" w:eastAsiaTheme="minorEastAsia" w:hAnsi="Times New Roman" w:cs="Times New Roman"/>
          <w:sz w:val="24"/>
          <w:szCs w:val="24"/>
          <w:lang w:val="en-US"/>
        </w:rPr>
        <w:t>m</w:t>
      </w:r>
      <w:r w:rsidRPr="00486BED">
        <w:rPr>
          <w:rFonts w:ascii="Times New Roman" w:eastAsia="Times New Roman" w:hAnsi="Times New Roman" w:cs="Times New Roman"/>
          <w:color w:val="000000"/>
          <w:sz w:val="24"/>
          <w:szCs w:val="24"/>
          <w:lang w:val="en-US" w:eastAsia="ru-RU"/>
        </w:rPr>
        <w:t xml:space="preserve">ethod-specific uncertainty </w:t>
      </w:r>
      <m:oMath>
        <m:r>
          <w:rPr>
            <w:rFonts w:ascii="Cambria Math" w:hAnsi="Cambria Math" w:cs="Times New Roman"/>
            <w:sz w:val="24"/>
            <w:szCs w:val="24"/>
            <w:lang w:val="en-US"/>
          </w:rPr>
          <m:t>g(D)</m:t>
        </m:r>
      </m:oMath>
      <w:r w:rsidRPr="00486BED">
        <w:rPr>
          <w:rFonts w:ascii="Times New Roman" w:hAnsi="Times New Roman" w:cs="Times New Roman"/>
          <w:sz w:val="24"/>
          <w:szCs w:val="24"/>
          <w:lang w:val="en-US"/>
        </w:rPr>
        <w:t xml:space="preserve"> (Table A1), the individual variability of radiation sensitivity of tooth enamel f</w:t>
      </w:r>
      <w:r w:rsidR="006944BA">
        <w:rPr>
          <w:rFonts w:ascii="Times New Roman" w:hAnsi="Times New Roman" w:cs="Times New Roman"/>
          <w:sz w:val="24"/>
          <w:szCs w:val="24"/>
          <w:lang w:val="en-US"/>
        </w:rPr>
        <w:t>rom</w:t>
      </w:r>
      <w:r w:rsidRPr="00486BED">
        <w:rPr>
          <w:rFonts w:ascii="Times New Roman" w:hAnsi="Times New Roman" w:cs="Times New Roman"/>
          <w:sz w:val="24"/>
          <w:szCs w:val="24"/>
          <w:lang w:val="en-US"/>
        </w:rPr>
        <w:t xml:space="preserve"> </w:t>
      </w:r>
      <w:r w:rsidRPr="00486BED">
        <w:rPr>
          <w:rFonts w:ascii="Times New Roman" w:eastAsiaTheme="minorEastAsia" w:hAnsi="Times New Roman" w:cs="Times New Roman"/>
          <w:sz w:val="24"/>
          <w:szCs w:val="24"/>
          <w:lang w:val="en-US" w:eastAsia="ru-RU"/>
        </w:rPr>
        <w:t>rural residents of the Urals (</w:t>
      </w:r>
      <w:r w:rsidRPr="00486BED">
        <w:rPr>
          <w:rFonts w:ascii="Times New Roman" w:hAnsi="Times New Roman" w:cs="Times New Roman"/>
          <w:sz w:val="24"/>
          <w:szCs w:val="24"/>
          <w:lang w:val="en-GB"/>
        </w:rPr>
        <w:t>Shishkina et al., 2012b</w:t>
      </w:r>
      <w:r w:rsidRPr="00486BED">
        <w:rPr>
          <w:rFonts w:ascii="Times New Roman" w:hAnsi="Times New Roman" w:cs="Times New Roman"/>
          <w:sz w:val="24"/>
          <w:szCs w:val="24"/>
          <w:lang w:val="en-US"/>
        </w:rPr>
        <w:t>)</w:t>
      </w:r>
      <w:r w:rsidR="004478DD"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w:t>
      </w:r>
      <w:r w:rsidR="006944BA">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individual variability of the background doses.</w:t>
      </w:r>
      <w:r w:rsidRPr="00486BED">
        <w:rPr>
          <w:rFonts w:ascii="Times New Roman" w:hAnsi="Times New Roman" w:cs="Times New Roman"/>
          <w:sz w:val="24"/>
          <w:szCs w:val="24"/>
          <w:lang w:val="en-GB"/>
        </w:rPr>
        <w:t xml:space="preserve"> Additionally, the uncertainties of the method-specific biases</w:t>
      </w:r>
      <w:r w:rsidR="003023D2">
        <w:rPr>
          <w:rFonts w:ascii="Times New Roman" w:hAnsi="Times New Roman" w:cs="Times New Roman"/>
          <w:sz w:val="24"/>
          <w:szCs w:val="24"/>
          <w:lang w:val="en-GB"/>
        </w:rPr>
        <w:t xml:space="preserve"> were taken into account</w:t>
      </w:r>
      <w:r w:rsidRPr="00486BED">
        <w:rPr>
          <w:rFonts w:ascii="Times New Roman" w:hAnsi="Times New Roman" w:cs="Times New Roman"/>
          <w:sz w:val="24"/>
          <w:szCs w:val="24"/>
          <w:lang w:val="en-GB"/>
        </w:rPr>
        <w:t xml:space="preserve">. </w:t>
      </w:r>
      <w:r w:rsidR="00891D7C">
        <w:rPr>
          <w:rFonts w:ascii="Times New Roman" w:hAnsi="Times New Roman" w:cs="Times New Roman"/>
          <w:sz w:val="24"/>
          <w:szCs w:val="24"/>
          <w:lang w:val="en-GB"/>
        </w:rPr>
        <w:t>As a result, t</w:t>
      </w:r>
      <w:r w:rsidRPr="00486BED">
        <w:rPr>
          <w:rFonts w:ascii="Times New Roman" w:hAnsi="Times New Roman" w:cs="Times New Roman"/>
          <w:sz w:val="24"/>
          <w:szCs w:val="24"/>
          <w:lang w:val="en-GB"/>
        </w:rPr>
        <w:t xml:space="preserve">he overall relative uncertainties of the doses close to </w:t>
      </w:r>
      <w:r w:rsidRPr="00486BED">
        <w:rPr>
          <w:rFonts w:ascii="Times New Roman" w:hAnsi="Times New Roman" w:cs="Times New Roman"/>
          <w:i/>
          <w:sz w:val="24"/>
          <w:szCs w:val="24"/>
          <w:lang w:val="en-GB"/>
        </w:rPr>
        <w:t>LD</w:t>
      </w:r>
      <w:r w:rsidRPr="00486BED">
        <w:rPr>
          <w:rFonts w:ascii="Times New Roman" w:hAnsi="Times New Roman" w:cs="Times New Roman"/>
          <w:sz w:val="24"/>
          <w:szCs w:val="24"/>
          <w:lang w:val="en-GB"/>
        </w:rPr>
        <w:t xml:space="preserve"> were found to be about 65%; for </w:t>
      </w:r>
      <w:r w:rsidR="00891D7C">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dose range (</w:t>
      </w:r>
      <w:r w:rsidRPr="00486BED">
        <w:rPr>
          <w:rFonts w:ascii="Times New Roman" w:hAnsi="Times New Roman" w:cs="Times New Roman"/>
          <w:i/>
          <w:sz w:val="24"/>
          <w:szCs w:val="24"/>
          <w:lang w:val="en-GB"/>
        </w:rPr>
        <w:t xml:space="preserve">LD </w:t>
      </w:r>
      <w:r w:rsidRPr="00486BED">
        <w:rPr>
          <w:rFonts w:ascii="Times New Roman" w:hAnsi="Times New Roman" w:cs="Times New Roman"/>
          <w:sz w:val="24"/>
          <w:szCs w:val="24"/>
          <w:lang w:val="en-GB"/>
        </w:rPr>
        <w:t>+ 100) mGy - 1.5 Gy, they were 17-35 % and 17-50% for methods applied to posterior and the anterior teeth, respectively.</w:t>
      </w:r>
    </w:p>
    <w:p w14:paraId="3C0D44CA"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Non-detectable doses (</w:t>
      </w:r>
      <w:r w:rsidRPr="00486BED">
        <w:rPr>
          <w:rFonts w:ascii="Times New Roman" w:hAnsi="Times New Roman" w:cs="Times New Roman"/>
          <w:i/>
          <w:sz w:val="24"/>
          <w:szCs w:val="24"/>
          <w:lang w:val="en-US"/>
        </w:rPr>
        <w:t>BDLs</w:t>
      </w:r>
      <w:r w:rsidRPr="00486BED">
        <w:rPr>
          <w:rFonts w:ascii="Times New Roman" w:hAnsi="Times New Roman" w:cs="Times New Roman"/>
          <w:sz w:val="24"/>
          <w:szCs w:val="24"/>
          <w:lang w:val="en-US"/>
        </w:rPr>
        <w:t xml:space="preserve">) </w:t>
      </w:r>
      <w:r w:rsidR="00891D7C">
        <w:rPr>
          <w:rFonts w:ascii="Times New Roman" w:hAnsi="Times New Roman" w:cs="Times New Roman"/>
          <w:sz w:val="24"/>
          <w:szCs w:val="24"/>
          <w:lang w:val="en-US"/>
        </w:rPr>
        <w:t>were</w:t>
      </w:r>
      <w:r w:rsidR="00891D7C"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not excluded from the statistical analysis</w:t>
      </w:r>
      <w:r w:rsidR="00891D7C">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to avoid </w:t>
      </w:r>
      <w:r w:rsidR="00891D7C">
        <w:rPr>
          <w:rFonts w:ascii="Times New Roman" w:hAnsi="Times New Roman" w:cs="Times New Roman"/>
          <w:sz w:val="24"/>
          <w:szCs w:val="24"/>
          <w:lang w:val="en-US"/>
        </w:rPr>
        <w:t>dose</w:t>
      </w:r>
      <w:r w:rsidRPr="00486BED">
        <w:rPr>
          <w:rFonts w:ascii="Times New Roman" w:hAnsi="Times New Roman" w:cs="Times New Roman"/>
          <w:sz w:val="24"/>
          <w:szCs w:val="24"/>
          <w:lang w:val="en-US"/>
        </w:rPr>
        <w:t xml:space="preserve"> overestimation. Therefore, the mathematical expectations for method-specific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measurements were estimated. To improve the statistics, the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measurement results obtained with different methods</w:t>
      </w:r>
      <w:r w:rsidR="00891D7C">
        <w:rPr>
          <w:rFonts w:ascii="Times New Roman" w:hAnsi="Times New Roman" w:cs="Times New Roman"/>
          <w:sz w:val="24"/>
          <w:szCs w:val="24"/>
          <w:lang w:val="en-US"/>
        </w:rPr>
        <w:t xml:space="preserve"> were </w:t>
      </w:r>
      <w:r w:rsidRPr="00486BED">
        <w:rPr>
          <w:rFonts w:ascii="Times New Roman" w:hAnsi="Times New Roman" w:cs="Times New Roman"/>
          <w:sz w:val="24"/>
          <w:szCs w:val="24"/>
          <w:lang w:val="en-US"/>
        </w:rPr>
        <w:t>corrected according to the method-specific biases</w:t>
      </w:r>
      <w:r w:rsidR="004478DD"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C</w:t>
      </w:r>
      <w:r w:rsidR="004478DD" w:rsidRPr="00486BED">
        <w:rPr>
          <w:rFonts w:ascii="Times New Roman" w:hAnsi="Times New Roman" w:cs="Times New Roman"/>
          <w:i/>
          <w:sz w:val="24"/>
          <w:szCs w:val="24"/>
          <w:lang w:val="en-US"/>
        </w:rPr>
        <w:t>,</w:t>
      </w:r>
      <w:r w:rsidRPr="00486BED">
        <w:rPr>
          <w:rFonts w:ascii="Times New Roman" w:hAnsi="Times New Roman" w:cs="Times New Roman"/>
          <w:sz w:val="24"/>
          <w:szCs w:val="24"/>
          <w:lang w:val="en-US"/>
        </w:rPr>
        <w:t xml:space="preserve"> </w:t>
      </w:r>
      <w:r w:rsidR="00891D7C">
        <w:rPr>
          <w:rFonts w:ascii="Times New Roman" w:hAnsi="Times New Roman" w:cs="Times New Roman"/>
          <w:sz w:val="24"/>
          <w:szCs w:val="24"/>
          <w:lang w:val="en-US"/>
        </w:rPr>
        <w:t xml:space="preserve">and then </w:t>
      </w:r>
      <w:r w:rsidRPr="00486BED">
        <w:rPr>
          <w:rFonts w:ascii="Times New Roman" w:hAnsi="Times New Roman" w:cs="Times New Roman"/>
          <w:sz w:val="24"/>
          <w:szCs w:val="24"/>
          <w:lang w:val="en-US"/>
        </w:rPr>
        <w:t xml:space="preserve">grouped according to the similarity of </w:t>
      </w:r>
      <w:r w:rsidRPr="00486BED">
        <w:rPr>
          <w:rFonts w:ascii="Times New Roman" w:hAnsi="Times New Roman" w:cs="Times New Roman"/>
          <w:i/>
          <w:sz w:val="24"/>
          <w:szCs w:val="24"/>
          <w:lang w:val="en-US"/>
        </w:rPr>
        <w:t>LDs</w:t>
      </w:r>
      <w:r w:rsidRPr="00486BED">
        <w:rPr>
          <w:rFonts w:ascii="Times New Roman" w:hAnsi="Times New Roman" w:cs="Times New Roman"/>
          <w:sz w:val="24"/>
          <w:szCs w:val="24"/>
          <w:lang w:val="en-US"/>
        </w:rPr>
        <w:t xml:space="preserve"> and differences between </w:t>
      </w:r>
      <w:r w:rsidRPr="00486BED">
        <w:rPr>
          <w:rFonts w:ascii="Times New Roman" w:hAnsi="Times New Roman" w:cs="Times New Roman"/>
          <w:i/>
          <w:sz w:val="24"/>
          <w:szCs w:val="24"/>
          <w:lang w:val="en-US"/>
        </w:rPr>
        <w:t>LD</w:t>
      </w:r>
      <w:r w:rsidRPr="00486BED">
        <w:rPr>
          <w:rFonts w:ascii="Times New Roman" w:hAnsi="Times New Roman" w:cs="Times New Roman"/>
          <w:sz w:val="24"/>
          <w:szCs w:val="24"/>
          <w:lang w:val="en-US"/>
        </w:rPr>
        <w:t xml:space="preserve"> and </w:t>
      </w:r>
      <w:r w:rsidRPr="00486BED">
        <w:rPr>
          <w:rFonts w:ascii="Times New Roman" w:hAnsi="Times New Roman" w:cs="Times New Roman"/>
          <w:i/>
          <w:sz w:val="24"/>
          <w:szCs w:val="24"/>
          <w:lang w:val="en-US"/>
        </w:rPr>
        <w:t>Dc</w:t>
      </w:r>
      <w:r w:rsidRPr="00486BED">
        <w:rPr>
          <w:rFonts w:ascii="Times New Roman" w:hAnsi="Times New Roman" w:cs="Times New Roman"/>
          <w:sz w:val="24"/>
          <w:szCs w:val="24"/>
          <w:lang w:val="en-US"/>
        </w:rPr>
        <w:t xml:space="preserve"> of the methods (Table A1). Totally, </w:t>
      </w:r>
      <w:r w:rsidR="00DE286B">
        <w:rPr>
          <w:rFonts w:ascii="Times New Roman" w:hAnsi="Times New Roman" w:cs="Times New Roman"/>
          <w:sz w:val="24"/>
          <w:szCs w:val="24"/>
          <w:lang w:val="en-US"/>
        </w:rPr>
        <w:t>nine</w:t>
      </w:r>
      <w:r w:rsidRPr="00486BED">
        <w:rPr>
          <w:rFonts w:ascii="Times New Roman" w:hAnsi="Times New Roman" w:cs="Times New Roman"/>
          <w:sz w:val="24"/>
          <w:szCs w:val="24"/>
          <w:lang w:val="en-US"/>
        </w:rPr>
        <w:t xml:space="preserve"> groups of </w:t>
      </w:r>
      <w:r w:rsidR="004478DD"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methods were formed</w:t>
      </w:r>
      <w:r w:rsidR="00DE286B">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Table 4</w:t>
      </w:r>
      <w:r w:rsidR="00DE286B">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The analysis of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data </w:t>
      </w:r>
      <w:r w:rsidR="0072667B">
        <w:rPr>
          <w:rFonts w:ascii="Times New Roman" w:hAnsi="Times New Roman" w:cs="Times New Roman"/>
          <w:sz w:val="24"/>
          <w:szCs w:val="24"/>
          <w:lang w:val="en-US"/>
        </w:rPr>
        <w:t>within</w:t>
      </w:r>
      <w:r w:rsidR="0072667B"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the groups does not show any reliable dependence of the measurement results on the donor residence. Therefore, all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data in a group were analyzed as one sample (</w:t>
      </w:r>
      <w:r w:rsidRPr="00486BED">
        <w:rPr>
          <w:rFonts w:ascii="Times New Roman" w:hAnsi="Times New Roman" w:cs="Times New Roman"/>
          <w:i/>
          <w:sz w:val="24"/>
          <w:szCs w:val="24"/>
          <w:lang w:val="en-US"/>
        </w:rPr>
        <w:t>I</w:t>
      </w:r>
      <w:r w:rsidRPr="00486BED">
        <w:rPr>
          <w:rFonts w:ascii="Times New Roman" w:hAnsi="Times New Roman" w:cs="Times New Roman"/>
          <w:i/>
          <w:sz w:val="24"/>
          <w:szCs w:val="24"/>
          <w:vertAlign w:val="subscript"/>
          <w:lang w:val="en-US"/>
        </w:rPr>
        <w:t>j</w:t>
      </w:r>
      <w:r w:rsidRPr="00486BED">
        <w:rPr>
          <w:rFonts w:ascii="Times New Roman" w:hAnsi="Times New Roman" w:cs="Times New Roman"/>
          <w:i/>
          <w:sz w:val="24"/>
          <w:szCs w:val="24"/>
          <w:lang w:val="en-US"/>
        </w:rPr>
        <w:t>)</w:t>
      </w:r>
      <w:r w:rsidRPr="00486BED">
        <w:rPr>
          <w:rFonts w:ascii="Times New Roman" w:hAnsi="Times New Roman" w:cs="Times New Roman"/>
          <w:sz w:val="24"/>
          <w:szCs w:val="24"/>
          <w:lang w:val="en-US"/>
        </w:rPr>
        <w:t xml:space="preserve">, where </w:t>
      </w:r>
      <w:r w:rsidRPr="00486BED">
        <w:rPr>
          <w:rFonts w:ascii="Times New Roman" w:hAnsi="Times New Roman" w:cs="Times New Roman"/>
          <w:i/>
          <w:sz w:val="24"/>
          <w:szCs w:val="24"/>
          <w:lang w:val="en-US"/>
        </w:rPr>
        <w:t>j</w:t>
      </w:r>
      <w:r w:rsidRPr="00486BED">
        <w:rPr>
          <w:rFonts w:ascii="Times New Roman" w:hAnsi="Times New Roman" w:cs="Times New Roman"/>
          <w:sz w:val="24"/>
          <w:szCs w:val="24"/>
          <w:lang w:val="en-US"/>
        </w:rPr>
        <w:t xml:space="preserve"> is the number of a group. </w:t>
      </w:r>
    </w:p>
    <w:p w14:paraId="6414D2D8" w14:textId="77777777" w:rsidR="00310457" w:rsidRPr="008A0C14" w:rsidRDefault="0072667B" w:rsidP="00486BED">
      <w:pPr>
        <w:spacing w:after="24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00310457" w:rsidRPr="00486BED">
        <w:rPr>
          <w:rFonts w:ascii="Times New Roman" w:hAnsi="Times New Roman" w:cs="Times New Roman"/>
          <w:sz w:val="24"/>
          <w:szCs w:val="24"/>
          <w:lang w:val="en-US"/>
        </w:rPr>
        <w:t xml:space="preserve">valuation of the mathematical expectation for the </w:t>
      </w:r>
      <w:r w:rsidR="00310457" w:rsidRPr="00486BED">
        <w:rPr>
          <w:rFonts w:ascii="Times New Roman" w:hAnsi="Times New Roman" w:cs="Times New Roman"/>
          <w:i/>
          <w:sz w:val="24"/>
          <w:szCs w:val="24"/>
          <w:lang w:val="en-US"/>
        </w:rPr>
        <w:t>BDL</w:t>
      </w:r>
      <w:r w:rsidR="00310457" w:rsidRPr="00486BED">
        <w:rPr>
          <w:rFonts w:ascii="Times New Roman" w:hAnsi="Times New Roman" w:cs="Times New Roman"/>
          <w:sz w:val="24"/>
          <w:szCs w:val="24"/>
          <w:lang w:val="en-US"/>
        </w:rPr>
        <w:t xml:space="preserve"> results was performed </w:t>
      </w:r>
      <w:r>
        <w:rPr>
          <w:rFonts w:ascii="Times New Roman" w:hAnsi="Times New Roman" w:cs="Times New Roman"/>
          <w:sz w:val="24"/>
          <w:szCs w:val="24"/>
          <w:lang w:val="en-US"/>
        </w:rPr>
        <w:t xml:space="preserve">using </w:t>
      </w:r>
      <w:r w:rsidR="00310457" w:rsidRPr="00486BED">
        <w:rPr>
          <w:rFonts w:ascii="Times New Roman" w:hAnsi="Times New Roman" w:cs="Times New Roman"/>
          <w:sz w:val="24"/>
          <w:szCs w:val="24"/>
          <w:lang w:val="en-US"/>
        </w:rPr>
        <w:t>Monte-Carlo technique</w:t>
      </w:r>
      <w:r>
        <w:rPr>
          <w:rFonts w:ascii="Times New Roman" w:hAnsi="Times New Roman" w:cs="Times New Roman"/>
          <w:sz w:val="24"/>
          <w:szCs w:val="24"/>
          <w:lang w:val="en-US"/>
        </w:rPr>
        <w:t>s:</w:t>
      </w:r>
      <w:r w:rsidR="00310457" w:rsidRPr="00486BED">
        <w:rPr>
          <w:rFonts w:ascii="Times New Roman" w:hAnsi="Times New Roman" w:cs="Times New Roman"/>
          <w:sz w:val="24"/>
          <w:szCs w:val="24"/>
          <w:lang w:val="en-US"/>
        </w:rPr>
        <w:t xml:space="preserve"> </w:t>
      </w:r>
      <w:r w:rsidR="00EB34C2">
        <w:rPr>
          <w:rFonts w:ascii="Times New Roman" w:hAnsi="Times New Roman" w:cs="Times New Roman"/>
          <w:sz w:val="24"/>
          <w:szCs w:val="24"/>
          <w:lang w:val="en-US"/>
        </w:rPr>
        <w:t>t</w:t>
      </w:r>
      <w:r w:rsidR="00EB34C2" w:rsidRPr="00486BED">
        <w:rPr>
          <w:rFonts w:ascii="Times New Roman" w:hAnsi="Times New Roman" w:cs="Times New Roman"/>
          <w:sz w:val="24"/>
          <w:szCs w:val="24"/>
          <w:lang w:val="en-US"/>
        </w:rPr>
        <w:t xml:space="preserve">he </w:t>
      </w:r>
      <w:r w:rsidR="00310457" w:rsidRPr="00486BED">
        <w:rPr>
          <w:rFonts w:ascii="Times New Roman" w:hAnsi="Times New Roman" w:cs="Times New Roman"/>
          <w:i/>
          <w:sz w:val="24"/>
          <w:szCs w:val="24"/>
          <w:lang w:val="en-US"/>
        </w:rPr>
        <w:t>BDL</w:t>
      </w:r>
      <w:r w:rsidR="00310457" w:rsidRPr="00486BED">
        <w:rPr>
          <w:rFonts w:ascii="Times New Roman" w:hAnsi="Times New Roman" w:cs="Times New Roman"/>
          <w:sz w:val="24"/>
          <w:szCs w:val="24"/>
          <w:lang w:val="en-US"/>
        </w:rPr>
        <w:t xml:space="preserve"> background doses were randomly selected from </w:t>
      </w:r>
      <w:r w:rsidR="005501A9" w:rsidRPr="00486BED">
        <w:rPr>
          <w:rFonts w:ascii="Times New Roman" w:hAnsi="Times New Roman" w:cs="Times New Roman"/>
          <w:sz w:val="24"/>
          <w:szCs w:val="24"/>
          <w:lang w:val="en-US"/>
        </w:rPr>
        <w:t xml:space="preserve">a </w:t>
      </w:r>
      <w:r w:rsidR="00310457" w:rsidRPr="00486BED">
        <w:rPr>
          <w:rFonts w:ascii="Times New Roman" w:hAnsi="Times New Roman" w:cs="Times New Roman"/>
          <w:sz w:val="24"/>
          <w:szCs w:val="24"/>
          <w:lang w:val="en-US"/>
        </w:rPr>
        <w:t xml:space="preserve">truncated lognormal distribution of </w:t>
      </w:r>
      <w:r w:rsidR="004478DD"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referen</w:t>
      </w:r>
      <w:r>
        <w:rPr>
          <w:rFonts w:ascii="Times New Roman" w:hAnsi="Times New Roman" w:cs="Times New Roman"/>
          <w:sz w:val="24"/>
          <w:szCs w:val="24"/>
          <w:lang w:val="en-US"/>
        </w:rPr>
        <w:t>ce</w:t>
      </w:r>
      <w:r w:rsidR="00310457" w:rsidRPr="00486BED">
        <w:rPr>
          <w:rFonts w:ascii="Times New Roman" w:hAnsi="Times New Roman" w:cs="Times New Roman"/>
          <w:sz w:val="24"/>
          <w:szCs w:val="24"/>
          <w:lang w:val="en-US"/>
        </w:rPr>
        <w:t xml:space="preserve"> background (</w:t>
      </w:r>
      <w:r w:rsidR="00310457" w:rsidRPr="00486BED">
        <w:rPr>
          <w:rFonts w:ascii="Times New Roman" w:hAnsi="Times New Roman" w:cs="Times New Roman"/>
          <w:i/>
          <w:sz w:val="24"/>
          <w:szCs w:val="24"/>
          <w:lang w:val="en-US"/>
        </w:rPr>
        <w:t>LogN</w:t>
      </w:r>
      <w:r w:rsidR="00310457" w:rsidRPr="00486BED">
        <w:rPr>
          <w:rFonts w:ascii="Times New Roman" w:hAnsi="Times New Roman" w:cs="Times New Roman"/>
          <w:sz w:val="24"/>
          <w:szCs w:val="24"/>
          <w:lang w:val="en-US"/>
        </w:rPr>
        <w:t>(3.9, 0.7)</w:t>
      </w:r>
      <w:r>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lang w:val="en-US"/>
        </w:rPr>
        <w:t>&lt;</w:t>
      </w:r>
      <w:r>
        <w:rPr>
          <w:rFonts w:ascii="Times New Roman" w:hAnsi="Times New Roman" w:cs="Times New Roman"/>
          <w:sz w:val="24"/>
          <w:szCs w:val="24"/>
          <w:lang w:val="en-US"/>
        </w:rPr>
        <w:t xml:space="preserve"> </w:t>
      </w:r>
      <w:r w:rsidR="00310457" w:rsidRPr="00486BED">
        <w:rPr>
          <w:rFonts w:ascii="Times New Roman" w:hAnsi="Times New Roman" w:cs="Times New Roman"/>
          <w:i/>
          <w:sz w:val="24"/>
          <w:szCs w:val="24"/>
          <w:lang w:val="en-US"/>
        </w:rPr>
        <w:t xml:space="preserve">LD) </w:t>
      </w:r>
      <w:r w:rsidR="00310457" w:rsidRPr="00486BED">
        <w:rPr>
          <w:rFonts w:ascii="Times New Roman" w:hAnsi="Times New Roman" w:cs="Times New Roman"/>
          <w:sz w:val="24"/>
          <w:szCs w:val="24"/>
          <w:lang w:val="en-US"/>
        </w:rPr>
        <w:t xml:space="preserve">forming 24 </w:t>
      </w:r>
      <w:r w:rsidR="00226FDA">
        <w:rPr>
          <w:rFonts w:ascii="Times New Roman" w:hAnsi="Times New Roman" w:cs="Times New Roman"/>
          <w:sz w:val="24"/>
          <w:szCs w:val="24"/>
          <w:lang w:val="en-US"/>
        </w:rPr>
        <w:t>set</w:t>
      </w:r>
      <w:r w:rsidR="00226FDA" w:rsidRPr="00486BED">
        <w:rPr>
          <w:rFonts w:ascii="Times New Roman" w:hAnsi="Times New Roman" w:cs="Times New Roman"/>
          <w:sz w:val="24"/>
          <w:szCs w:val="24"/>
          <w:lang w:val="en-US"/>
        </w:rPr>
        <w:t xml:space="preserve">s </w:t>
      </w:r>
      <w:r w:rsidR="00310457" w:rsidRPr="00486BED">
        <w:rPr>
          <w:rFonts w:ascii="Times New Roman" w:hAnsi="Times New Roman" w:cs="Times New Roman"/>
          <w:sz w:val="24"/>
          <w:szCs w:val="24"/>
          <w:lang w:val="en-US"/>
        </w:rPr>
        <w:t>(</w:t>
      </w:r>
      <w:r w:rsidR="00310457" w:rsidRPr="008A0C14">
        <w:rPr>
          <w:rFonts w:ascii="Times New Roman" w:hAnsi="Times New Roman" w:cs="Times New Roman"/>
          <w:i/>
          <w:sz w:val="24"/>
          <w:szCs w:val="24"/>
          <w:lang w:val="en-US"/>
        </w:rPr>
        <w:t>B</w:t>
      </w:r>
      <w:r w:rsidR="00310457" w:rsidRPr="008A0C14">
        <w:rPr>
          <w:rFonts w:ascii="Times New Roman" w:hAnsi="Times New Roman" w:cs="Times New Roman"/>
          <w:i/>
          <w:sz w:val="24"/>
          <w:szCs w:val="24"/>
          <w:vertAlign w:val="subscript"/>
          <w:lang w:val="en-US"/>
        </w:rPr>
        <w:t>i</w:t>
      </w:r>
      <w:r w:rsidR="00EB34C2" w:rsidRPr="008A0C14">
        <w:rPr>
          <w:rFonts w:ascii="Times New Roman" w:hAnsi="Times New Roman" w:cs="Times New Roman"/>
          <w:i/>
          <w:sz w:val="24"/>
          <w:szCs w:val="24"/>
          <w:vertAlign w:val="subscript"/>
          <w:lang w:val="en-US"/>
        </w:rPr>
        <w:t>,j</w:t>
      </w:r>
      <w:r w:rsidR="00310457" w:rsidRPr="008A0C14">
        <w:rPr>
          <w:rFonts w:ascii="Times New Roman" w:hAnsi="Times New Roman" w:cs="Times New Roman"/>
          <w:i/>
          <w:sz w:val="24"/>
          <w:szCs w:val="24"/>
          <w:lang w:val="en-US"/>
        </w:rPr>
        <w:t>)</w:t>
      </w:r>
      <w:r w:rsidR="00310457" w:rsidRPr="008A0C14">
        <w:rPr>
          <w:rFonts w:ascii="Times New Roman" w:hAnsi="Times New Roman" w:cs="Times New Roman"/>
          <w:sz w:val="24"/>
          <w:szCs w:val="24"/>
          <w:lang w:val="en-US"/>
        </w:rPr>
        <w:t>. Each of the</w:t>
      </w:r>
      <w:r w:rsidR="000F17E1" w:rsidRPr="008A0C14">
        <w:rPr>
          <w:rFonts w:ascii="Times New Roman" w:hAnsi="Times New Roman" w:cs="Times New Roman"/>
          <w:sz w:val="24"/>
          <w:szCs w:val="24"/>
          <w:lang w:val="en-US"/>
        </w:rPr>
        <w:t>s</w:t>
      </w:r>
      <w:r w:rsidR="00226FDA" w:rsidRPr="008A0C14">
        <w:rPr>
          <w:rFonts w:ascii="Times New Roman" w:hAnsi="Times New Roman" w:cs="Times New Roman"/>
          <w:sz w:val="24"/>
          <w:szCs w:val="24"/>
          <w:lang w:val="en-US"/>
        </w:rPr>
        <w:t>e</w:t>
      </w:r>
      <w:r w:rsidR="00310457" w:rsidRPr="008A0C14">
        <w:rPr>
          <w:rFonts w:ascii="Times New Roman" w:hAnsi="Times New Roman" w:cs="Times New Roman"/>
          <w:sz w:val="24"/>
          <w:szCs w:val="24"/>
          <w:lang w:val="en-US"/>
        </w:rPr>
        <w:t xml:space="preserve"> s</w:t>
      </w:r>
      <w:r w:rsidR="00226FDA" w:rsidRPr="008A0C14">
        <w:rPr>
          <w:rFonts w:ascii="Times New Roman" w:hAnsi="Times New Roman" w:cs="Times New Roman"/>
          <w:sz w:val="24"/>
          <w:szCs w:val="24"/>
          <w:lang w:val="en-US"/>
        </w:rPr>
        <w:t>ets</w:t>
      </w:r>
      <w:r w:rsidR="00310457" w:rsidRPr="008A0C14">
        <w:rPr>
          <w:rFonts w:ascii="Times New Roman" w:hAnsi="Times New Roman" w:cs="Times New Roman"/>
          <w:sz w:val="24"/>
          <w:szCs w:val="24"/>
          <w:lang w:val="en-US"/>
        </w:rPr>
        <w:t xml:space="preserve"> </w:t>
      </w:r>
      <w:r w:rsidR="00EB34C2" w:rsidRPr="008A0C14">
        <w:rPr>
          <w:rFonts w:ascii="Times New Roman" w:hAnsi="Times New Roman" w:cs="Times New Roman"/>
          <w:sz w:val="24"/>
          <w:szCs w:val="24"/>
          <w:lang w:val="en-US"/>
        </w:rPr>
        <w:t>(</w:t>
      </w:r>
      <w:r w:rsidR="00EB34C2" w:rsidRPr="008A0C14">
        <w:rPr>
          <w:rFonts w:ascii="Times New Roman" w:hAnsi="Times New Roman" w:cs="Times New Roman"/>
          <w:i/>
          <w:sz w:val="24"/>
          <w:szCs w:val="24"/>
          <w:lang w:val="en-US"/>
        </w:rPr>
        <w:t>i</w:t>
      </w:r>
      <w:r w:rsidR="00EB34C2" w:rsidRPr="008A0C14">
        <w:rPr>
          <w:rFonts w:ascii="Times New Roman" w:hAnsi="Times New Roman" w:cs="Times New Roman"/>
          <w:sz w:val="24"/>
          <w:szCs w:val="24"/>
          <w:lang w:val="en-US"/>
        </w:rPr>
        <w:t xml:space="preserve">) </w:t>
      </w:r>
      <w:r w:rsidR="00226FDA" w:rsidRPr="008A0C14">
        <w:rPr>
          <w:rFonts w:ascii="Times New Roman" w:hAnsi="Times New Roman" w:cs="Times New Roman"/>
          <w:sz w:val="24"/>
          <w:szCs w:val="24"/>
          <w:lang w:val="en-US"/>
        </w:rPr>
        <w:t xml:space="preserve">included the same number </w:t>
      </w:r>
      <w:r w:rsidR="00EB34C2" w:rsidRPr="008A0C14">
        <w:rPr>
          <w:rFonts w:ascii="Times New Roman" w:hAnsi="Times New Roman" w:cs="Times New Roman"/>
          <w:sz w:val="24"/>
          <w:szCs w:val="24"/>
          <w:lang w:val="en-US"/>
        </w:rPr>
        <w:t>(</w:t>
      </w:r>
      <w:r w:rsidR="00EB34C2" w:rsidRPr="008A0C14">
        <w:rPr>
          <w:rFonts w:ascii="Times New Roman" w:hAnsi="Times New Roman" w:cs="Times New Roman"/>
          <w:i/>
          <w:sz w:val="24"/>
          <w:szCs w:val="24"/>
          <w:lang w:val="en-US"/>
        </w:rPr>
        <w:t>j</w:t>
      </w:r>
      <w:r w:rsidR="00EB34C2" w:rsidRPr="008A0C14">
        <w:rPr>
          <w:rFonts w:ascii="Times New Roman" w:hAnsi="Times New Roman" w:cs="Times New Roman"/>
          <w:sz w:val="24"/>
          <w:szCs w:val="24"/>
          <w:lang w:val="en-US"/>
        </w:rPr>
        <w:t xml:space="preserve">) </w:t>
      </w:r>
      <w:r w:rsidR="00226FDA" w:rsidRPr="008A0C14">
        <w:rPr>
          <w:rFonts w:ascii="Times New Roman" w:hAnsi="Times New Roman" w:cs="Times New Roman"/>
          <w:sz w:val="24"/>
          <w:szCs w:val="24"/>
          <w:lang w:val="en-US"/>
        </w:rPr>
        <w:t xml:space="preserve">of values </w:t>
      </w:r>
      <w:r w:rsidR="00310457" w:rsidRPr="008A0C14">
        <w:rPr>
          <w:rFonts w:ascii="Times New Roman" w:hAnsi="Times New Roman" w:cs="Times New Roman"/>
          <w:sz w:val="24"/>
          <w:szCs w:val="24"/>
          <w:lang w:val="en-US"/>
        </w:rPr>
        <w:t>as the s</w:t>
      </w:r>
      <w:r w:rsidR="00226FDA" w:rsidRPr="008A0C14">
        <w:rPr>
          <w:rFonts w:ascii="Times New Roman" w:hAnsi="Times New Roman" w:cs="Times New Roman"/>
          <w:sz w:val="24"/>
          <w:szCs w:val="24"/>
          <w:lang w:val="en-US"/>
        </w:rPr>
        <w:t>et</w:t>
      </w:r>
      <w:r w:rsidR="00310457" w:rsidRPr="008A0C14">
        <w:rPr>
          <w:rFonts w:ascii="Times New Roman" w:hAnsi="Times New Roman" w:cs="Times New Roman"/>
          <w:sz w:val="24"/>
          <w:szCs w:val="24"/>
          <w:lang w:val="en-US"/>
        </w:rPr>
        <w:t xml:space="preserve"> of </w:t>
      </w:r>
      <w:r w:rsidR="00310457" w:rsidRPr="008A0C14">
        <w:rPr>
          <w:rFonts w:ascii="Times New Roman" w:hAnsi="Times New Roman" w:cs="Times New Roman"/>
          <w:i/>
          <w:sz w:val="24"/>
          <w:szCs w:val="24"/>
          <w:lang w:val="en-US"/>
        </w:rPr>
        <w:t>BDL</w:t>
      </w:r>
      <w:r w:rsidR="00310457" w:rsidRPr="008A0C14">
        <w:rPr>
          <w:rFonts w:ascii="Times New Roman" w:hAnsi="Times New Roman" w:cs="Times New Roman"/>
          <w:sz w:val="24"/>
          <w:szCs w:val="24"/>
          <w:lang w:val="en-US"/>
        </w:rPr>
        <w:t xml:space="preserve"> measurements (</w:t>
      </w:r>
      <w:r w:rsidR="00310457" w:rsidRPr="008A0C14">
        <w:rPr>
          <w:rFonts w:ascii="Times New Roman" w:hAnsi="Times New Roman" w:cs="Times New Roman"/>
          <w:i/>
          <w:sz w:val="24"/>
          <w:szCs w:val="24"/>
          <w:lang w:val="en-US"/>
        </w:rPr>
        <w:t>I</w:t>
      </w:r>
      <w:r w:rsidR="00310457" w:rsidRPr="008A0C14">
        <w:rPr>
          <w:rFonts w:ascii="Times New Roman" w:hAnsi="Times New Roman" w:cs="Times New Roman"/>
          <w:i/>
          <w:sz w:val="24"/>
          <w:szCs w:val="24"/>
          <w:vertAlign w:val="subscript"/>
          <w:lang w:val="en-US"/>
        </w:rPr>
        <w:t>j</w:t>
      </w:r>
      <w:r w:rsidR="00310457" w:rsidRPr="008A0C14">
        <w:rPr>
          <w:rFonts w:ascii="Times New Roman" w:hAnsi="Times New Roman" w:cs="Times New Roman"/>
          <w:i/>
          <w:sz w:val="24"/>
          <w:szCs w:val="24"/>
          <w:lang w:val="en-US"/>
        </w:rPr>
        <w:t>)</w:t>
      </w:r>
      <w:r w:rsidR="00310457" w:rsidRPr="008A0C14">
        <w:rPr>
          <w:rFonts w:ascii="Times New Roman" w:hAnsi="Times New Roman" w:cs="Times New Roman"/>
          <w:sz w:val="24"/>
          <w:szCs w:val="24"/>
          <w:lang w:val="en-US"/>
        </w:rPr>
        <w:t xml:space="preserve">. Each of the simulated </w:t>
      </w:r>
      <w:r w:rsidR="00A57124" w:rsidRPr="008A0C14">
        <w:rPr>
          <w:rFonts w:ascii="Times New Roman" w:hAnsi="Times New Roman" w:cs="Times New Roman"/>
          <w:sz w:val="24"/>
          <w:szCs w:val="24"/>
          <w:lang w:val="en-US"/>
        </w:rPr>
        <w:t xml:space="preserve">sets </w:t>
      </w:r>
      <w:r w:rsidR="00310457" w:rsidRPr="008A0C14">
        <w:rPr>
          <w:rFonts w:ascii="Times New Roman" w:hAnsi="Times New Roman" w:cs="Times New Roman"/>
          <w:sz w:val="24"/>
          <w:szCs w:val="24"/>
          <w:lang w:val="en-US"/>
        </w:rPr>
        <w:t>of</w:t>
      </w:r>
      <w:r w:rsidR="004478DD" w:rsidRPr="008A0C14">
        <w:rPr>
          <w:rFonts w:ascii="Times New Roman" w:hAnsi="Times New Roman" w:cs="Times New Roman"/>
          <w:sz w:val="24"/>
          <w:szCs w:val="24"/>
          <w:lang w:val="en-US"/>
        </w:rPr>
        <w:t xml:space="preserve"> the</w:t>
      </w:r>
      <w:r w:rsidR="00310457" w:rsidRPr="008A0C14">
        <w:rPr>
          <w:rFonts w:ascii="Times New Roman" w:hAnsi="Times New Roman" w:cs="Times New Roman"/>
          <w:sz w:val="24"/>
          <w:szCs w:val="24"/>
          <w:lang w:val="en-US"/>
        </w:rPr>
        <w:t xml:space="preserve"> </w:t>
      </w:r>
      <w:r w:rsidR="00310457" w:rsidRPr="008A0C14">
        <w:rPr>
          <w:rFonts w:ascii="Times New Roman" w:hAnsi="Times New Roman" w:cs="Times New Roman"/>
          <w:i/>
          <w:sz w:val="24"/>
          <w:szCs w:val="24"/>
          <w:lang w:val="en-US"/>
        </w:rPr>
        <w:t>BDL</w:t>
      </w:r>
      <w:r w:rsidR="00310457" w:rsidRPr="008A0C14">
        <w:rPr>
          <w:rFonts w:ascii="Times New Roman" w:hAnsi="Times New Roman" w:cs="Times New Roman"/>
          <w:sz w:val="24"/>
          <w:szCs w:val="24"/>
          <w:lang w:val="en-US"/>
        </w:rPr>
        <w:t xml:space="preserve"> background doses (</w:t>
      </w:r>
      <w:r w:rsidR="00310457" w:rsidRPr="008A0C14">
        <w:rPr>
          <w:rFonts w:ascii="Times New Roman" w:hAnsi="Times New Roman" w:cs="Times New Roman"/>
          <w:i/>
          <w:sz w:val="24"/>
          <w:szCs w:val="24"/>
          <w:lang w:val="en-US"/>
        </w:rPr>
        <w:t>B</w:t>
      </w:r>
      <w:r w:rsidR="00310457" w:rsidRPr="008A0C14">
        <w:rPr>
          <w:rFonts w:ascii="Times New Roman" w:hAnsi="Times New Roman" w:cs="Times New Roman"/>
          <w:i/>
          <w:sz w:val="24"/>
          <w:szCs w:val="24"/>
          <w:vertAlign w:val="subscript"/>
          <w:lang w:val="en-US"/>
        </w:rPr>
        <w:t>i</w:t>
      </w:r>
      <w:r w:rsidR="00EB34C2" w:rsidRPr="008A0C14">
        <w:rPr>
          <w:rFonts w:ascii="Times New Roman" w:hAnsi="Times New Roman" w:cs="Times New Roman"/>
          <w:i/>
          <w:sz w:val="24"/>
          <w:szCs w:val="24"/>
          <w:vertAlign w:val="subscript"/>
          <w:lang w:val="en-US"/>
        </w:rPr>
        <w:t>,j</w:t>
      </w:r>
      <w:r w:rsidR="00310457" w:rsidRPr="008A0C14">
        <w:rPr>
          <w:rFonts w:ascii="Times New Roman" w:hAnsi="Times New Roman" w:cs="Times New Roman"/>
          <w:sz w:val="24"/>
          <w:szCs w:val="24"/>
          <w:lang w:val="en-US"/>
        </w:rPr>
        <w:t xml:space="preserve">) was then subtracted from </w:t>
      </w:r>
      <w:r w:rsidR="00310457" w:rsidRPr="008A0C14">
        <w:rPr>
          <w:rFonts w:ascii="Times New Roman" w:hAnsi="Times New Roman" w:cs="Times New Roman"/>
          <w:i/>
          <w:sz w:val="24"/>
          <w:szCs w:val="24"/>
          <w:lang w:val="en-US"/>
        </w:rPr>
        <w:t>I</w:t>
      </w:r>
      <w:r w:rsidR="00310457" w:rsidRPr="008A0C14">
        <w:rPr>
          <w:rFonts w:ascii="Times New Roman" w:hAnsi="Times New Roman" w:cs="Times New Roman"/>
          <w:i/>
          <w:sz w:val="24"/>
          <w:szCs w:val="24"/>
          <w:vertAlign w:val="subscript"/>
          <w:lang w:val="en-US"/>
        </w:rPr>
        <w:t>j</w:t>
      </w:r>
      <w:r w:rsidR="00310457" w:rsidRPr="008A0C14">
        <w:rPr>
          <w:rFonts w:ascii="Times New Roman" w:hAnsi="Times New Roman" w:cs="Times New Roman"/>
          <w:b/>
          <w:i/>
          <w:sz w:val="24"/>
          <w:szCs w:val="24"/>
          <w:lang w:val="en-US"/>
        </w:rPr>
        <w:t xml:space="preserve"> </w:t>
      </w:r>
      <w:r w:rsidR="00310457" w:rsidRPr="008A0C14">
        <w:rPr>
          <w:rFonts w:ascii="Times New Roman" w:hAnsi="Times New Roman" w:cs="Times New Roman"/>
          <w:sz w:val="24"/>
          <w:szCs w:val="24"/>
          <w:lang w:val="en-US"/>
        </w:rPr>
        <w:t>(Eq. 8).</w:t>
      </w:r>
      <w:r w:rsidR="000F17E1" w:rsidRPr="008A0C14">
        <w:rPr>
          <w:rFonts w:ascii="Times New Roman" w:hAnsi="Times New Roman" w:cs="Times New Roman"/>
          <w:sz w:val="24"/>
          <w:szCs w:val="24"/>
          <w:lang w:val="en-US"/>
        </w:rPr>
        <w:t xml:space="preserve"> </w:t>
      </w:r>
    </w:p>
    <w:p w14:paraId="0DE9A407" w14:textId="77777777" w:rsidR="00310457" w:rsidRPr="00486BED" w:rsidRDefault="00310457" w:rsidP="00486BED">
      <w:pPr>
        <w:tabs>
          <w:tab w:val="left" w:pos="8505"/>
        </w:tabs>
        <w:spacing w:after="240" w:line="360" w:lineRule="auto"/>
        <w:ind w:firstLine="708"/>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Δ</w:t>
      </w:r>
      <w:r w:rsidRPr="008A0C14">
        <w:rPr>
          <w:rFonts w:ascii="Times New Roman" w:hAnsi="Times New Roman" w:cs="Times New Roman"/>
          <w:sz w:val="24"/>
          <w:szCs w:val="24"/>
          <w:vertAlign w:val="subscript"/>
          <w:lang w:val="en-US"/>
        </w:rPr>
        <w:t>i=</w:t>
      </w:r>
      <w:r w:rsidRPr="008A0C14">
        <w:rPr>
          <w:rFonts w:ascii="Times New Roman" w:hAnsi="Times New Roman" w:cs="Times New Roman"/>
          <w:i/>
          <w:sz w:val="24"/>
          <w:szCs w:val="24"/>
          <w:lang w:val="en-US"/>
        </w:rPr>
        <w:t xml:space="preserve"> I</w:t>
      </w:r>
      <w:r w:rsidRPr="008A0C14">
        <w:rPr>
          <w:rFonts w:ascii="Times New Roman" w:hAnsi="Times New Roman" w:cs="Times New Roman"/>
          <w:i/>
          <w:sz w:val="24"/>
          <w:szCs w:val="24"/>
          <w:vertAlign w:val="subscript"/>
          <w:lang w:val="en-US"/>
        </w:rPr>
        <w:t>j</w:t>
      </w:r>
      <w:r w:rsidRPr="008A0C14">
        <w:rPr>
          <w:rFonts w:ascii="Times New Roman" w:hAnsi="Times New Roman" w:cs="Times New Roman"/>
          <w:i/>
          <w:sz w:val="24"/>
          <w:szCs w:val="24"/>
          <w:lang w:val="en-US"/>
        </w:rPr>
        <w:t>- B</w:t>
      </w:r>
      <w:r w:rsidRPr="008A0C14">
        <w:rPr>
          <w:rFonts w:ascii="Times New Roman" w:hAnsi="Times New Roman" w:cs="Times New Roman"/>
          <w:i/>
          <w:sz w:val="24"/>
          <w:szCs w:val="24"/>
          <w:vertAlign w:val="subscript"/>
          <w:lang w:val="en-US"/>
        </w:rPr>
        <w:t>i</w:t>
      </w:r>
      <w:r w:rsidR="00EB34C2" w:rsidRPr="008A0C14">
        <w:rPr>
          <w:rFonts w:ascii="Times New Roman" w:hAnsi="Times New Roman" w:cs="Times New Roman"/>
          <w:i/>
          <w:sz w:val="24"/>
          <w:szCs w:val="24"/>
          <w:vertAlign w:val="subscript"/>
          <w:lang w:val="en-US"/>
        </w:rPr>
        <w:t>,j</w:t>
      </w:r>
      <w:r w:rsidRPr="008A0C14">
        <w:rPr>
          <w:rFonts w:ascii="Times New Roman" w:hAnsi="Times New Roman" w:cs="Times New Roman"/>
          <w:i/>
          <w:sz w:val="24"/>
          <w:szCs w:val="24"/>
          <w:vertAlign w:val="subscript"/>
          <w:lang w:val="en-US"/>
        </w:rPr>
        <w:tab/>
      </w:r>
      <w:r w:rsidRPr="008A0C14">
        <w:rPr>
          <w:rFonts w:ascii="Times New Roman" w:hAnsi="Times New Roman" w:cs="Times New Roman"/>
          <w:sz w:val="24"/>
          <w:szCs w:val="24"/>
          <w:lang w:val="en-US"/>
        </w:rPr>
        <w:t>(8)</w:t>
      </w:r>
    </w:p>
    <w:p w14:paraId="5746682C"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All the result</w:t>
      </w:r>
      <w:r w:rsidR="00705C66">
        <w:rPr>
          <w:rFonts w:ascii="Times New Roman" w:hAnsi="Times New Roman" w:cs="Times New Roman"/>
          <w:sz w:val="24"/>
          <w:szCs w:val="24"/>
          <w:lang w:val="en-US"/>
        </w:rPr>
        <w:t xml:space="preserve">ing </w:t>
      </w:r>
      <w:r w:rsidR="00705C66" w:rsidRPr="00486BED">
        <w:rPr>
          <w:rFonts w:ascii="Times New Roman" w:hAnsi="Times New Roman" w:cs="Times New Roman"/>
          <w:sz w:val="24"/>
          <w:szCs w:val="24"/>
          <w:lang w:val="en-US"/>
        </w:rPr>
        <w:t>Δ</w:t>
      </w:r>
      <w:r w:rsidR="00705C66">
        <w:rPr>
          <w:rFonts w:ascii="Times New Roman" w:hAnsi="Times New Roman" w:cs="Times New Roman"/>
          <w:sz w:val="24"/>
          <w:szCs w:val="24"/>
          <w:vertAlign w:val="subscript"/>
          <w:lang w:val="en-US"/>
        </w:rPr>
        <w:t xml:space="preserve">i </w:t>
      </w:r>
      <w:r w:rsidRPr="00486BED">
        <w:rPr>
          <w:rFonts w:ascii="Times New Roman" w:hAnsi="Times New Roman" w:cs="Times New Roman"/>
          <w:sz w:val="24"/>
          <w:szCs w:val="24"/>
          <w:lang w:val="en-US"/>
        </w:rPr>
        <w:t xml:space="preserve">were pooled into one sample </w:t>
      </w:r>
      <w:r w:rsidRPr="00486BED">
        <w:rPr>
          <w:rFonts w:ascii="Times New Roman" w:hAnsi="Times New Roman" w:cs="Times New Roman"/>
          <w:i/>
          <w:sz w:val="24"/>
          <w:szCs w:val="24"/>
          <w:lang w:val="en-US"/>
        </w:rPr>
        <w:t>BL</w:t>
      </w:r>
      <w:r w:rsidRPr="00486BED">
        <w:rPr>
          <w:rFonts w:ascii="Times New Roman" w:hAnsi="Times New Roman" w:cs="Times New Roman"/>
          <w:i/>
          <w:sz w:val="24"/>
          <w:szCs w:val="24"/>
          <w:vertAlign w:val="subscript"/>
          <w:lang w:val="en-US"/>
        </w:rPr>
        <w:t>j</w:t>
      </w:r>
      <w:r w:rsidRPr="00486BED">
        <w:rPr>
          <w:rFonts w:ascii="Times New Roman" w:hAnsi="Times New Roman" w:cs="Times New Roman"/>
          <w:i/>
          <w:sz w:val="24"/>
          <w:szCs w:val="24"/>
          <w:lang w:val="en-US"/>
        </w:rPr>
        <w:t>={</w:t>
      </w:r>
      <w:r w:rsidRPr="00486BED">
        <w:rPr>
          <w:rFonts w:ascii="Times New Roman" w:hAnsi="Times New Roman" w:cs="Times New Roman"/>
          <w:sz w:val="24"/>
          <w:szCs w:val="24"/>
          <w:lang w:val="en-US"/>
        </w:rPr>
        <w:t>Δ</w:t>
      </w:r>
      <w:r w:rsidRPr="00486BED">
        <w:rPr>
          <w:rFonts w:ascii="Times New Roman" w:hAnsi="Times New Roman" w:cs="Times New Roman"/>
          <w:sz w:val="24"/>
          <w:szCs w:val="24"/>
          <w:vertAlign w:val="subscript"/>
          <w:lang w:val="en-US"/>
        </w:rPr>
        <w:t>1</w:t>
      </w:r>
      <w:r w:rsidRPr="00486BED">
        <w:rPr>
          <w:rFonts w:ascii="Times New Roman" w:hAnsi="Times New Roman" w:cs="Times New Roman"/>
          <w:sz w:val="24"/>
          <w:szCs w:val="24"/>
          <w:lang w:val="en-US"/>
        </w:rPr>
        <w:t>, Δ</w:t>
      </w:r>
      <w:r w:rsidRPr="00486BED">
        <w:rPr>
          <w:rFonts w:ascii="Times New Roman" w:hAnsi="Times New Roman" w:cs="Times New Roman"/>
          <w:sz w:val="24"/>
          <w:szCs w:val="24"/>
          <w:vertAlign w:val="subscript"/>
          <w:lang w:val="en-US"/>
        </w:rPr>
        <w:t>2</w:t>
      </w:r>
      <w:r w:rsidRPr="00486BED">
        <w:rPr>
          <w:rFonts w:ascii="Times New Roman" w:hAnsi="Times New Roman" w:cs="Times New Roman"/>
          <w:sz w:val="24"/>
          <w:szCs w:val="24"/>
          <w:lang w:val="en-US"/>
        </w:rPr>
        <w:t>, …Δ</w:t>
      </w:r>
      <w:r w:rsidRPr="00486BED">
        <w:rPr>
          <w:rFonts w:ascii="Times New Roman" w:hAnsi="Times New Roman" w:cs="Times New Roman"/>
          <w:sz w:val="24"/>
          <w:szCs w:val="24"/>
          <w:vertAlign w:val="subscript"/>
          <w:lang w:val="en-US"/>
        </w:rPr>
        <w:t>24</w:t>
      </w:r>
      <w:r w:rsidRPr="00486BED">
        <w:rPr>
          <w:rFonts w:ascii="Times New Roman" w:hAnsi="Times New Roman" w:cs="Times New Roman"/>
          <w:i/>
          <w:sz w:val="24"/>
          <w:szCs w:val="24"/>
          <w:lang w:val="en-US"/>
        </w:rPr>
        <w:t>}</w:t>
      </w:r>
      <w:r w:rsidRPr="00486BED">
        <w:rPr>
          <w:rFonts w:ascii="Times New Roman" w:hAnsi="Times New Roman" w:cs="Times New Roman"/>
          <w:sz w:val="24"/>
          <w:szCs w:val="24"/>
          <w:lang w:val="en-US"/>
        </w:rPr>
        <w:t xml:space="preserve">. The mathematical expectation for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results was </w:t>
      </w:r>
      <w:r w:rsidR="00705C66">
        <w:rPr>
          <w:rFonts w:ascii="Times New Roman" w:hAnsi="Times New Roman" w:cs="Times New Roman"/>
          <w:sz w:val="24"/>
          <w:szCs w:val="24"/>
          <w:lang w:val="en-US"/>
        </w:rPr>
        <w:t xml:space="preserve">then </w:t>
      </w:r>
      <w:r w:rsidRPr="00486BED">
        <w:rPr>
          <w:rFonts w:ascii="Times New Roman" w:hAnsi="Times New Roman" w:cs="Times New Roman"/>
          <w:sz w:val="24"/>
          <w:szCs w:val="24"/>
          <w:lang w:val="en-US"/>
        </w:rPr>
        <w:t xml:space="preserve">calculated as </w:t>
      </w:r>
      <w:r w:rsidR="00705C66">
        <w:rPr>
          <w:rFonts w:ascii="Times New Roman" w:hAnsi="Times New Roman" w:cs="Times New Roman"/>
          <w:sz w:val="24"/>
          <w:szCs w:val="24"/>
          <w:lang w:val="en-US"/>
        </w:rPr>
        <w:t>the</w:t>
      </w:r>
      <w:r w:rsidRPr="00486BED">
        <w:rPr>
          <w:rFonts w:ascii="Times New Roman" w:hAnsi="Times New Roman" w:cs="Times New Roman"/>
          <w:sz w:val="24"/>
          <w:szCs w:val="24"/>
          <w:lang w:val="en-US"/>
        </w:rPr>
        <w:t xml:space="preserve"> sum of </w:t>
      </w:r>
      <w:r w:rsidR="00705C66">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mean (</w:t>
      </w:r>
      <w:r w:rsidRPr="00486BED">
        <w:rPr>
          <w:rFonts w:ascii="Times New Roman" w:hAnsi="Times New Roman" w:cs="Times New Roman"/>
          <w:i/>
          <w:sz w:val="24"/>
          <w:szCs w:val="24"/>
          <w:lang w:val="en-US"/>
        </w:rPr>
        <w:t>BL</w:t>
      </w:r>
      <w:r w:rsidRPr="00486BED">
        <w:rPr>
          <w:rFonts w:ascii="Times New Roman" w:hAnsi="Times New Roman" w:cs="Times New Roman"/>
          <w:sz w:val="24"/>
          <w:szCs w:val="24"/>
          <w:vertAlign w:val="subscript"/>
          <w:lang w:val="en-US"/>
        </w:rPr>
        <w:t>j</w:t>
      </w:r>
      <w:r w:rsidRPr="00486BED">
        <w:rPr>
          <w:rFonts w:ascii="Times New Roman" w:hAnsi="Times New Roman" w:cs="Times New Roman"/>
          <w:sz w:val="24"/>
          <w:szCs w:val="24"/>
          <w:lang w:val="en-US"/>
        </w:rPr>
        <w:t xml:space="preserve">) and the mathematical expectation of </w:t>
      </w:r>
      <w:r w:rsidR="004478DD"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background dose (63 mGy)</w:t>
      </w:r>
      <w:r w:rsidR="00705C66">
        <w:rPr>
          <w:rFonts w:ascii="Times New Roman" w:hAnsi="Times New Roman" w:cs="Times New Roman"/>
          <w:sz w:val="24"/>
          <w:szCs w:val="24"/>
          <w:lang w:val="en-US"/>
        </w:rPr>
        <w:t xml:space="preserve"> (see</w:t>
      </w:r>
      <w:r w:rsidRPr="00486BED">
        <w:rPr>
          <w:rFonts w:ascii="Times New Roman" w:hAnsi="Times New Roman" w:cs="Times New Roman"/>
          <w:sz w:val="24"/>
          <w:szCs w:val="24"/>
          <w:lang w:val="en-US"/>
        </w:rPr>
        <w:t xml:space="preserve"> Table 4</w:t>
      </w:r>
      <w:r w:rsidR="00705C66">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w:t>
      </w:r>
      <w:r w:rsidR="004478DD" w:rsidRPr="00486BED">
        <w:rPr>
          <w:rFonts w:ascii="Times New Roman" w:hAnsi="Times New Roman" w:cs="Times New Roman"/>
          <w:sz w:val="24"/>
          <w:szCs w:val="24"/>
          <w:lang w:val="en-US"/>
        </w:rPr>
        <w:t>The m</w:t>
      </w:r>
      <w:r w:rsidRPr="00486BED">
        <w:rPr>
          <w:rFonts w:ascii="Times New Roman" w:hAnsi="Times New Roman" w:cs="Times New Roman"/>
          <w:sz w:val="24"/>
          <w:szCs w:val="24"/>
          <w:lang w:val="en-US"/>
        </w:rPr>
        <w:t xml:space="preserve">athematical expectations of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were </w:t>
      </w:r>
      <w:r w:rsidR="00705C66">
        <w:rPr>
          <w:rFonts w:ascii="Times New Roman" w:hAnsi="Times New Roman" w:cs="Times New Roman"/>
          <w:sz w:val="24"/>
          <w:szCs w:val="24"/>
          <w:lang w:val="en-US"/>
        </w:rPr>
        <w:t xml:space="preserve">finally </w:t>
      </w:r>
      <w:r w:rsidRPr="00486BED">
        <w:rPr>
          <w:rFonts w:ascii="Times New Roman" w:hAnsi="Times New Roman" w:cs="Times New Roman"/>
          <w:sz w:val="24"/>
          <w:szCs w:val="24"/>
          <w:lang w:val="en-US"/>
        </w:rPr>
        <w:t xml:space="preserve">clustered into </w:t>
      </w:r>
      <w:r w:rsidR="00705C66">
        <w:rPr>
          <w:rFonts w:ascii="Times New Roman" w:hAnsi="Times New Roman" w:cs="Times New Roman"/>
          <w:sz w:val="24"/>
          <w:szCs w:val="24"/>
          <w:lang w:val="en-US"/>
        </w:rPr>
        <w:t>three</w:t>
      </w:r>
      <w:r w:rsidRPr="00486BED">
        <w:rPr>
          <w:rFonts w:ascii="Times New Roman" w:hAnsi="Times New Roman" w:cs="Times New Roman"/>
          <w:sz w:val="24"/>
          <w:szCs w:val="24"/>
          <w:lang w:val="en-US"/>
        </w:rPr>
        <w:t xml:space="preserve"> groups, vi</w:t>
      </w:r>
      <w:r w:rsidR="004478DD" w:rsidRPr="00486BED">
        <w:rPr>
          <w:rFonts w:ascii="Times New Roman" w:hAnsi="Times New Roman" w:cs="Times New Roman"/>
          <w:sz w:val="24"/>
          <w:szCs w:val="24"/>
          <w:lang w:val="en-US"/>
        </w:rPr>
        <w:t>z</w:t>
      </w:r>
      <w:r w:rsidRPr="00486BED">
        <w:rPr>
          <w:rFonts w:ascii="Times New Roman" w:hAnsi="Times New Roman" w:cs="Times New Roman"/>
          <w:sz w:val="24"/>
          <w:szCs w:val="24"/>
          <w:lang w:val="en-US"/>
        </w:rPr>
        <w:t xml:space="preserve">, 30-50 mGy, 60-90 mGy and 310-350 mGy. </w:t>
      </w:r>
      <w:r w:rsidR="00705C66">
        <w:rPr>
          <w:rFonts w:ascii="Times New Roman" w:hAnsi="Times New Roman" w:cs="Times New Roman"/>
          <w:sz w:val="24"/>
          <w:szCs w:val="24"/>
          <w:lang w:val="en-US"/>
        </w:rPr>
        <w:t>M</w:t>
      </w:r>
      <w:r w:rsidRPr="00486BED">
        <w:rPr>
          <w:rFonts w:ascii="Times New Roman" w:hAnsi="Times New Roman" w:cs="Times New Roman"/>
          <w:sz w:val="24"/>
          <w:szCs w:val="24"/>
          <w:lang w:val="en-US"/>
        </w:rPr>
        <w:t xml:space="preserve">inimum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values were observed for the methods with the best performances. All the </w:t>
      </w:r>
      <w:r w:rsidRPr="00486BED">
        <w:rPr>
          <w:rFonts w:ascii="Times New Roman" w:hAnsi="Times New Roman" w:cs="Times New Roman"/>
          <w:i/>
          <w:sz w:val="24"/>
          <w:szCs w:val="24"/>
          <w:lang w:val="en-US"/>
        </w:rPr>
        <w:t>BDL</w:t>
      </w:r>
      <w:r w:rsidRPr="00486BED">
        <w:rPr>
          <w:rFonts w:ascii="Times New Roman" w:hAnsi="Times New Roman" w:cs="Times New Roman"/>
          <w:sz w:val="24"/>
          <w:szCs w:val="24"/>
          <w:lang w:val="en-US"/>
        </w:rPr>
        <w:t xml:space="preserve"> data were substituted with the corresponding method-specific mathematical expectations. </w:t>
      </w:r>
    </w:p>
    <w:p w14:paraId="431752B3" w14:textId="77777777" w:rsidR="00310457" w:rsidRPr="00486BED" w:rsidRDefault="00310457" w:rsidP="00486BED">
      <w:pPr>
        <w:pStyle w:val="Listenabsatz"/>
        <w:autoSpaceDE w:val="0"/>
        <w:autoSpaceDN w:val="0"/>
        <w:adjustRightInd w:val="0"/>
        <w:spacing w:after="240" w:line="360" w:lineRule="auto"/>
        <w:ind w:left="0" w:firstLine="72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Figure 3 presents the results of </w:t>
      </w:r>
      <w:r w:rsidR="00CA1F82" w:rsidRPr="00486BED">
        <w:rPr>
          <w:rFonts w:ascii="Times New Roman" w:hAnsi="Times New Roman" w:cs="Times New Roman"/>
          <w:sz w:val="24"/>
          <w:szCs w:val="24"/>
          <w:lang w:val="en-US"/>
        </w:rPr>
        <w:t xml:space="preserve">a </w:t>
      </w:r>
      <w:r w:rsidRPr="00486BED">
        <w:rPr>
          <w:rFonts w:ascii="Times New Roman" w:hAnsi="Times New Roman" w:cs="Times New Roman"/>
          <w:sz w:val="24"/>
          <w:szCs w:val="24"/>
          <w:lang w:val="en-US"/>
        </w:rPr>
        <w:t xml:space="preserve">blind test before and after data harmonization. Figure 3a shows the primary data; Figure 3b demonstrates the harmonized doses for </w:t>
      </w:r>
      <w:r w:rsidR="00CA1F82"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methods 11, 12 and 13. Figures 3c and 3d represent the comparison of the primary and harmonized doses reconstructed using methods 5, 7 and 8. In addition to the additive bias, </w:t>
      </w:r>
      <w:r w:rsidR="00705C66">
        <w:rPr>
          <w:rFonts w:ascii="Times New Roman" w:hAnsi="Times New Roman" w:cs="Times New Roman"/>
          <w:sz w:val="24"/>
          <w:szCs w:val="24"/>
          <w:lang w:val="en-US"/>
        </w:rPr>
        <w:t xml:space="preserve">results of </w:t>
      </w:r>
      <w:r w:rsidRPr="00486BED">
        <w:rPr>
          <w:rFonts w:ascii="Times New Roman" w:hAnsi="Times New Roman" w:cs="Times New Roman"/>
          <w:sz w:val="24"/>
          <w:szCs w:val="24"/>
          <w:lang w:val="en-US"/>
        </w:rPr>
        <w:t xml:space="preserve">the methods 5 and 7 were corrected </w:t>
      </w:r>
      <w:r w:rsidR="00705C66">
        <w:rPr>
          <w:rFonts w:ascii="Times New Roman" w:hAnsi="Times New Roman" w:cs="Times New Roman"/>
          <w:sz w:val="24"/>
          <w:szCs w:val="24"/>
          <w:lang w:val="en-US"/>
        </w:rPr>
        <w:t>for</w:t>
      </w:r>
      <w:r w:rsidRPr="00486BED">
        <w:rPr>
          <w:rFonts w:ascii="Times New Roman" w:hAnsi="Times New Roman" w:cs="Times New Roman"/>
          <w:sz w:val="24"/>
          <w:szCs w:val="24"/>
          <w:lang w:val="en-US"/>
        </w:rPr>
        <w:t xml:space="preserve"> </w:t>
      </w:r>
      <w:r w:rsidR="005501A9" w:rsidRPr="00486BED">
        <w:rPr>
          <w:rFonts w:ascii="Times New Roman" w:hAnsi="Times New Roman" w:cs="Times New Roman"/>
          <w:sz w:val="24"/>
          <w:szCs w:val="24"/>
          <w:lang w:val="en-US"/>
        </w:rPr>
        <w:t>the</w:t>
      </w:r>
      <w:r w:rsidRPr="00486BED">
        <w:rPr>
          <w:rFonts w:ascii="Times New Roman" w:hAnsi="Times New Roman" w:cs="Times New Roman"/>
          <w:sz w:val="24"/>
          <w:szCs w:val="24"/>
          <w:lang w:val="en-US"/>
        </w:rPr>
        <w:t xml:space="preserve"> </w:t>
      </w:r>
      <w:r w:rsidR="005501A9" w:rsidRPr="00486BED">
        <w:rPr>
          <w:rFonts w:ascii="Times New Roman" w:hAnsi="Times New Roman" w:cs="Times New Roman"/>
          <w:sz w:val="24"/>
          <w:szCs w:val="24"/>
          <w:lang w:val="en-US"/>
        </w:rPr>
        <w:t xml:space="preserve">respective </w:t>
      </w:r>
      <w:r w:rsidRPr="00486BED">
        <w:rPr>
          <w:rFonts w:ascii="Times New Roman" w:hAnsi="Times New Roman" w:cs="Times New Roman"/>
          <w:sz w:val="24"/>
          <w:szCs w:val="24"/>
          <w:lang w:val="en-US"/>
        </w:rPr>
        <w:t>multiplicative bias</w:t>
      </w:r>
      <w:r w:rsidR="005501A9" w:rsidRPr="00486BED">
        <w:rPr>
          <w:rFonts w:ascii="Times New Roman" w:hAnsi="Times New Roman" w:cs="Times New Roman"/>
          <w:sz w:val="24"/>
          <w:szCs w:val="24"/>
          <w:lang w:val="en-US"/>
        </w:rPr>
        <w:t>es</w:t>
      </w:r>
      <w:r w:rsidRPr="00486BED">
        <w:rPr>
          <w:rFonts w:ascii="Times New Roman" w:hAnsi="Times New Roman" w:cs="Times New Roman"/>
          <w:sz w:val="24"/>
          <w:szCs w:val="24"/>
          <w:lang w:val="en-US"/>
        </w:rPr>
        <w:t xml:space="preserve">. As can be seen from Fig 3 the harmonization results in a </w:t>
      </w:r>
      <w:r w:rsidR="00705C66">
        <w:rPr>
          <w:rFonts w:ascii="Times New Roman" w:hAnsi="Times New Roman" w:cs="Times New Roman"/>
          <w:sz w:val="24"/>
          <w:szCs w:val="24"/>
          <w:lang w:val="en-US"/>
        </w:rPr>
        <w:t>two-</w:t>
      </w:r>
      <w:r w:rsidRPr="00486BED">
        <w:rPr>
          <w:rFonts w:ascii="Times New Roman" w:hAnsi="Times New Roman" w:cs="Times New Roman"/>
          <w:sz w:val="24"/>
          <w:szCs w:val="24"/>
          <w:lang w:val="en-US"/>
        </w:rPr>
        <w:t xml:space="preserve">fold reduction in the dose scattering relative to the line of coincidence. </w:t>
      </w:r>
    </w:p>
    <w:p w14:paraId="70CC7A63" w14:textId="77777777" w:rsidR="00310457" w:rsidRPr="00F763B2" w:rsidRDefault="00310457" w:rsidP="00F763B2">
      <w:pPr>
        <w:spacing w:after="240" w:line="360" w:lineRule="auto"/>
        <w:jc w:val="both"/>
        <w:rPr>
          <w:rFonts w:ascii="Times New Roman" w:hAnsi="Times New Roman" w:cs="Times New Roman"/>
          <w:sz w:val="24"/>
          <w:szCs w:val="24"/>
          <w:lang w:val="en-US"/>
        </w:rPr>
      </w:pPr>
      <w:r w:rsidRPr="00F763B2">
        <w:rPr>
          <w:rFonts w:ascii="Times New Roman" w:hAnsi="Times New Roman" w:cs="Times New Roman"/>
          <w:sz w:val="24"/>
          <w:szCs w:val="24"/>
          <w:lang w:val="en-US"/>
        </w:rPr>
        <w:t>Evaluation of anthropogenic doses in tooth enamel</w:t>
      </w:r>
    </w:p>
    <w:p w14:paraId="6F800E3D" w14:textId="77777777" w:rsidR="00310457" w:rsidRPr="00486BED" w:rsidRDefault="00310457" w:rsidP="00486BED">
      <w:pPr>
        <w:autoSpaceDE w:val="0"/>
        <w:autoSpaceDN w:val="0"/>
        <w:adjustRightInd w:val="0"/>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The </w:t>
      </w:r>
      <w:r w:rsidRPr="00486BED">
        <w:rPr>
          <w:rFonts w:ascii="Times New Roman" w:hAnsi="Times New Roman" w:cs="Times New Roman"/>
          <w:i/>
          <w:sz w:val="24"/>
          <w:szCs w:val="24"/>
          <w:lang w:val="en-US"/>
        </w:rPr>
        <w:t>LI</w:t>
      </w:r>
      <w:r w:rsidRPr="00486BED">
        <w:rPr>
          <w:rFonts w:ascii="Times New Roman" w:hAnsi="Times New Roman" w:cs="Times New Roman"/>
          <w:sz w:val="24"/>
          <w:szCs w:val="24"/>
          <w:lang w:val="en-US"/>
        </w:rPr>
        <w:t xml:space="preserve"> was calculated based on two-dimensional Monte Carlo simulations of </w:t>
      </w:r>
      <w:r w:rsidR="005501A9"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method-specific uncertainty versus individual variability of </w:t>
      </w:r>
      <w:r w:rsidR="005501A9"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background doses (Shishkina et al., 2014a). The higher the method precision</w:t>
      </w:r>
      <w:r w:rsidR="005501A9"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the more noticeable the contribution of the individual variability to </w:t>
      </w:r>
      <w:r w:rsidR="006B3F24"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total uncertainty was. Therefore, for the methods with bad performances (such as methods 5, 6 and 7</w:t>
      </w:r>
      <w:r w:rsidR="006B3F24"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according to Table A1) the </w:t>
      </w:r>
      <w:r w:rsidRPr="00486BED">
        <w:rPr>
          <w:rFonts w:ascii="Times New Roman" w:hAnsi="Times New Roman" w:cs="Times New Roman"/>
          <w:i/>
          <w:sz w:val="24"/>
          <w:szCs w:val="24"/>
          <w:lang w:val="en-US"/>
        </w:rPr>
        <w:t>LI</w:t>
      </w:r>
      <w:r w:rsidRPr="00486BED">
        <w:rPr>
          <w:rFonts w:ascii="Times New Roman" w:hAnsi="Times New Roman" w:cs="Times New Roman"/>
          <w:sz w:val="24"/>
          <w:szCs w:val="24"/>
          <w:lang w:val="en-US"/>
        </w:rPr>
        <w:t xml:space="preserve"> approaches </w:t>
      </w:r>
      <w:r w:rsidRPr="00486BED">
        <w:rPr>
          <w:rFonts w:ascii="Times New Roman" w:hAnsi="Times New Roman" w:cs="Times New Roman"/>
          <w:i/>
          <w:sz w:val="24"/>
          <w:szCs w:val="24"/>
          <w:lang w:val="en-US"/>
        </w:rPr>
        <w:t>LD</w:t>
      </w:r>
      <w:r w:rsidRPr="00486BED">
        <w:rPr>
          <w:rFonts w:ascii="Times New Roman" w:hAnsi="Times New Roman" w:cs="Times New Roman"/>
          <w:sz w:val="24"/>
          <w:szCs w:val="24"/>
          <w:lang w:val="en-US"/>
        </w:rPr>
        <w:t xml:space="preserve">. However, for most of the methods, the values of </w:t>
      </w:r>
      <w:r w:rsidRPr="00486BED">
        <w:rPr>
          <w:rFonts w:ascii="Times New Roman" w:hAnsi="Times New Roman" w:cs="Times New Roman"/>
          <w:i/>
          <w:sz w:val="24"/>
          <w:szCs w:val="24"/>
          <w:lang w:val="en-US"/>
        </w:rPr>
        <w:t>LI</w:t>
      </w:r>
      <w:r w:rsidRPr="00486BED">
        <w:rPr>
          <w:rFonts w:ascii="Times New Roman" w:hAnsi="Times New Roman" w:cs="Times New Roman"/>
          <w:sz w:val="24"/>
          <w:szCs w:val="24"/>
          <w:lang w:val="en-US"/>
        </w:rPr>
        <w:t xml:space="preserve"> were 80-100 mGy higher than the</w:t>
      </w:r>
      <w:r w:rsidR="00B62EF3">
        <w:rPr>
          <w:rFonts w:ascii="Times New Roman" w:hAnsi="Times New Roman" w:cs="Times New Roman"/>
          <w:sz w:val="24"/>
          <w:szCs w:val="24"/>
          <w:lang w:val="en-US"/>
        </w:rPr>
        <w:t xml:space="preserve"> corresponding</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LDs</w:t>
      </w:r>
      <w:r w:rsidRPr="00486BED">
        <w:rPr>
          <w:rFonts w:ascii="Times New Roman" w:hAnsi="Times New Roman" w:cs="Times New Roman"/>
          <w:sz w:val="24"/>
          <w:szCs w:val="24"/>
          <w:lang w:val="en-US"/>
        </w:rPr>
        <w:t xml:space="preserve">. </w:t>
      </w:r>
    </w:p>
    <w:p w14:paraId="1EAF381E"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For settlements located ≥50 km downstream the site of releases, </w:t>
      </w:r>
      <w:r w:rsidR="006B3F24" w:rsidRPr="00486BED">
        <w:rPr>
          <w:rFonts w:ascii="Times New Roman" w:hAnsi="Times New Roman" w:cs="Times New Roman"/>
          <w:sz w:val="24"/>
          <w:szCs w:val="24"/>
          <w:lang w:val="en-US"/>
        </w:rPr>
        <w:t xml:space="preserve">a </w:t>
      </w:r>
      <w:r w:rsidRPr="00486BED">
        <w:rPr>
          <w:rFonts w:ascii="Times New Roman" w:hAnsi="Times New Roman" w:cs="Times New Roman"/>
          <w:sz w:val="24"/>
          <w:szCs w:val="24"/>
          <w:lang w:val="en-US"/>
        </w:rPr>
        <w:t xml:space="preserve">combined analysis of </w:t>
      </w:r>
      <w:r w:rsidR="006B3F24" w:rsidRPr="00486BED">
        <w:rPr>
          <w:rFonts w:ascii="Times New Roman" w:hAnsi="Times New Roman" w:cs="Times New Roman"/>
          <w:sz w:val="24"/>
          <w:szCs w:val="24"/>
          <w:lang w:val="en-US"/>
        </w:rPr>
        <w:t xml:space="preserve">the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data showed no reliable dependence of doses on the residence</w:t>
      </w:r>
      <w:r w:rsidR="003D2061">
        <w:rPr>
          <w:rFonts w:ascii="Times New Roman" w:hAnsi="Times New Roman" w:cs="Times New Roman"/>
          <w:sz w:val="24"/>
          <w:szCs w:val="24"/>
          <w:lang w:val="en-US"/>
        </w:rPr>
        <w:t xml:space="preserve"> location</w:t>
      </w:r>
      <w:r w:rsidRPr="00486BED">
        <w:rPr>
          <w:rFonts w:ascii="Times New Roman" w:hAnsi="Times New Roman" w:cs="Times New Roman"/>
          <w:sz w:val="24"/>
          <w:szCs w:val="24"/>
          <w:lang w:val="en-US"/>
        </w:rPr>
        <w:t xml:space="preserve">. However, for </w:t>
      </w:r>
      <w:r w:rsidR="006B3F24"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settlements in the Upper Techa area (≤50 km), the dependence on residence </w:t>
      </w:r>
      <w:r w:rsidR="003D2061">
        <w:rPr>
          <w:rFonts w:ascii="Times New Roman" w:hAnsi="Times New Roman" w:cs="Times New Roman"/>
          <w:sz w:val="24"/>
          <w:szCs w:val="24"/>
          <w:lang w:val="en-US"/>
        </w:rPr>
        <w:t xml:space="preserve">location </w:t>
      </w:r>
      <w:r w:rsidRPr="00486BED">
        <w:rPr>
          <w:rFonts w:ascii="Times New Roman" w:hAnsi="Times New Roman" w:cs="Times New Roman"/>
          <w:sz w:val="24"/>
          <w:szCs w:val="24"/>
          <w:lang w:val="en-US"/>
        </w:rPr>
        <w:t xml:space="preserve">was significant. Table 5 presents the distance dependence of </w:t>
      </w:r>
      <w:r w:rsidR="00F544E5"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pooled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d</w:t>
      </w:r>
      <w:r w:rsidR="00F544E5" w:rsidRPr="00486BED">
        <w:rPr>
          <w:rFonts w:ascii="Times New Roman" w:hAnsi="Times New Roman" w:cs="Times New Roman"/>
          <w:sz w:val="24"/>
          <w:szCs w:val="24"/>
          <w:lang w:val="en-US"/>
        </w:rPr>
        <w:t>oses</w:t>
      </w:r>
      <w:r w:rsidRPr="00486BED">
        <w:rPr>
          <w:rFonts w:ascii="Times New Roman" w:hAnsi="Times New Roman" w:cs="Times New Roman"/>
          <w:sz w:val="24"/>
          <w:szCs w:val="24"/>
          <w:lang w:val="en-US"/>
        </w:rPr>
        <w:t xml:space="preserve">. As can be seen from Table 5, the highest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doses were observed in Metlino (7 km) and Nadyrovo (50 km) (</w:t>
      </w:r>
      <w:r w:rsidR="00EA775E">
        <w:rPr>
          <w:rFonts w:ascii="Times New Roman" w:hAnsi="Times New Roman" w:cs="Times New Roman"/>
          <w:sz w:val="24"/>
          <w:szCs w:val="24"/>
          <w:lang w:val="en-US"/>
        </w:rPr>
        <w:t xml:space="preserve">both </w:t>
      </w:r>
      <w:r w:rsidRPr="00486BED">
        <w:rPr>
          <w:rFonts w:ascii="Times New Roman" w:hAnsi="Times New Roman" w:cs="Times New Roman"/>
          <w:sz w:val="24"/>
          <w:szCs w:val="24"/>
          <w:lang w:val="en-US"/>
        </w:rPr>
        <w:t xml:space="preserve">located near stagnant reservoirs accumulating radionuclides) reflecting </w:t>
      </w:r>
      <w:r w:rsidR="00621EB6" w:rsidRPr="00486BED">
        <w:rPr>
          <w:rFonts w:ascii="Times New Roman" w:hAnsi="Times New Roman" w:cs="Times New Roman"/>
          <w:sz w:val="24"/>
          <w:szCs w:val="24"/>
          <w:lang w:val="en-US"/>
        </w:rPr>
        <w:t>a</w:t>
      </w:r>
      <w:r w:rsidRPr="00486BED">
        <w:rPr>
          <w:rFonts w:ascii="Times New Roman" w:hAnsi="Times New Roman" w:cs="Times New Roman"/>
          <w:sz w:val="24"/>
          <w:szCs w:val="24"/>
          <w:lang w:val="en-US"/>
        </w:rPr>
        <w:t xml:space="preserve"> higher contribution of anthropogenic exposure to </w:t>
      </w:r>
      <w:r w:rsidR="00621EB6"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cumulative enamel dose as compared to other settlements located </w:t>
      </w:r>
      <w:r w:rsidR="00F544E5" w:rsidRPr="00486BED">
        <w:rPr>
          <w:rFonts w:ascii="Times New Roman" w:hAnsi="Times New Roman" w:cs="Times New Roman"/>
          <w:sz w:val="24"/>
          <w:szCs w:val="24"/>
          <w:lang w:val="en-US"/>
        </w:rPr>
        <w:t>along</w:t>
      </w:r>
      <w:r w:rsidRPr="00486BED">
        <w:rPr>
          <w:rFonts w:ascii="Times New Roman" w:hAnsi="Times New Roman" w:cs="Times New Roman"/>
          <w:sz w:val="24"/>
          <w:szCs w:val="24"/>
          <w:lang w:val="en-US"/>
        </w:rPr>
        <w:t xml:space="preserve"> the free-f</w:t>
      </w:r>
      <w:r w:rsidR="00621EB6"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Pr="00486BED">
        <w:rPr>
          <w:rFonts w:ascii="Times New Roman" w:hAnsi="Times New Roman" w:cs="Times New Roman"/>
          <w:sz w:val="24"/>
          <w:szCs w:val="24"/>
          <w:lang w:val="en-US"/>
        </w:rPr>
        <w:t>ing Techa River. All</w:t>
      </w:r>
      <w:r w:rsidR="00621EB6" w:rsidRPr="00486BED">
        <w:rPr>
          <w:rFonts w:ascii="Times New Roman" w:hAnsi="Times New Roman" w:cs="Times New Roman"/>
          <w:sz w:val="24"/>
          <w:szCs w:val="24"/>
          <w:lang w:val="en-US"/>
        </w:rPr>
        <w:t xml:space="preserve"> the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values were substituted with distance-specific mathematical expectations</w:t>
      </w:r>
      <w:r w:rsidR="00EA775E">
        <w:rPr>
          <w:rFonts w:ascii="Times New Roman" w:hAnsi="Times New Roman" w:cs="Times New Roman"/>
          <w:sz w:val="24"/>
          <w:szCs w:val="24"/>
          <w:lang w:val="en-US"/>
        </w:rPr>
        <w:t xml:space="preserve"> as described above</w:t>
      </w:r>
      <w:r w:rsidRPr="00486BED">
        <w:rPr>
          <w:rFonts w:ascii="Times New Roman" w:hAnsi="Times New Roman" w:cs="Times New Roman"/>
          <w:sz w:val="24"/>
          <w:szCs w:val="24"/>
          <w:lang w:val="en-US"/>
        </w:rPr>
        <w:t xml:space="preserve">. </w:t>
      </w:r>
    </w:p>
    <w:p w14:paraId="43089769"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The mean background dose was subtracted from the harmonized EPR data to obtain anthropogenic doses accumulated in tooth enamel. Table 6 presents </w:t>
      </w:r>
      <w:r w:rsidR="00A24BC5">
        <w:rPr>
          <w:rFonts w:ascii="Times New Roman" w:hAnsi="Times New Roman" w:cs="Times New Roman"/>
          <w:sz w:val="24"/>
          <w:szCs w:val="24"/>
          <w:lang w:val="en-US"/>
        </w:rPr>
        <w:t xml:space="preserve">the resulting </w:t>
      </w:r>
      <w:r w:rsidRPr="00486BED">
        <w:rPr>
          <w:rFonts w:ascii="Times New Roman" w:hAnsi="Times New Roman" w:cs="Times New Roman"/>
          <w:sz w:val="24"/>
          <w:szCs w:val="24"/>
          <w:lang w:val="en-US"/>
        </w:rPr>
        <w:t>EPR-derived anthropogenic doses in the teeth of permanent Techa riverside residents, who lived at different distance</w:t>
      </w:r>
      <w:r w:rsidR="00A24BC5">
        <w:rPr>
          <w:rFonts w:ascii="Times New Roman" w:hAnsi="Times New Roman" w:cs="Times New Roman"/>
          <w:sz w:val="24"/>
          <w:szCs w:val="24"/>
          <w:lang w:val="en-US"/>
        </w:rPr>
        <w:t>s</w:t>
      </w:r>
      <w:r w:rsidRPr="00486BED">
        <w:rPr>
          <w:rFonts w:ascii="Times New Roman" w:hAnsi="Times New Roman" w:cs="Times New Roman"/>
          <w:sz w:val="24"/>
          <w:szCs w:val="24"/>
          <w:lang w:val="en-US"/>
        </w:rPr>
        <w:t xml:space="preserve"> from the site of releases. As can be seen from Table 6, the fraction of doses</w:t>
      </w:r>
      <w:r w:rsidR="00A24BC5">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accepted as individual </w:t>
      </w:r>
      <w:r w:rsidR="00A24BC5">
        <w:rPr>
          <w:rFonts w:ascii="Times New Roman" w:hAnsi="Times New Roman" w:cs="Times New Roman"/>
          <w:sz w:val="24"/>
          <w:szCs w:val="24"/>
          <w:lang w:val="en-US"/>
        </w:rPr>
        <w:t>doses</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&gt;LI</w:t>
      </w:r>
      <w:r w:rsidRPr="00486BED">
        <w:rPr>
          <w:rFonts w:ascii="Times New Roman" w:hAnsi="Times New Roman" w:cs="Times New Roman"/>
          <w:sz w:val="24"/>
          <w:szCs w:val="24"/>
          <w:lang w:val="en-US"/>
        </w:rPr>
        <w:t>), are exceeding 30% only in the settlements of the Upper Techa area; for Metlino and Nadyrovo th</w:t>
      </w:r>
      <w:r w:rsidR="00A24BC5">
        <w:rPr>
          <w:rFonts w:ascii="Times New Roman" w:hAnsi="Times New Roman" w:cs="Times New Roman"/>
          <w:sz w:val="24"/>
          <w:szCs w:val="24"/>
          <w:lang w:val="en-US"/>
        </w:rPr>
        <w:t>is</w:t>
      </w:r>
      <w:r w:rsidRPr="00486BED">
        <w:rPr>
          <w:rFonts w:ascii="Times New Roman" w:hAnsi="Times New Roman" w:cs="Times New Roman"/>
          <w:sz w:val="24"/>
          <w:szCs w:val="24"/>
          <w:lang w:val="en-US"/>
        </w:rPr>
        <w:t xml:space="preserve"> fraction reaches 60%. </w:t>
      </w:r>
      <w:r w:rsidR="00621EB6" w:rsidRPr="00486BED">
        <w:rPr>
          <w:rFonts w:ascii="Times New Roman" w:hAnsi="Times New Roman" w:cs="Times New Roman"/>
          <w:sz w:val="24"/>
          <w:szCs w:val="24"/>
          <w:lang w:val="en-US"/>
        </w:rPr>
        <w:t>The m</w:t>
      </w:r>
      <w:r w:rsidRPr="00486BED">
        <w:rPr>
          <w:rFonts w:ascii="Times New Roman" w:hAnsi="Times New Roman" w:cs="Times New Roman"/>
          <w:sz w:val="24"/>
          <w:szCs w:val="24"/>
          <w:lang w:val="en-US"/>
        </w:rPr>
        <w:t xml:space="preserve">edian anthropogenic doses were also </w:t>
      </w:r>
      <w:r w:rsidR="00A24BC5">
        <w:rPr>
          <w:rFonts w:ascii="Times New Roman" w:hAnsi="Times New Roman" w:cs="Times New Roman"/>
          <w:sz w:val="24"/>
          <w:szCs w:val="24"/>
          <w:lang w:val="en-US"/>
        </w:rPr>
        <w:t xml:space="preserve">highest </w:t>
      </w:r>
      <w:r w:rsidRPr="00486BED">
        <w:rPr>
          <w:rFonts w:ascii="Times New Roman" w:hAnsi="Times New Roman" w:cs="Times New Roman"/>
          <w:sz w:val="24"/>
          <w:szCs w:val="24"/>
          <w:lang w:val="en-US"/>
        </w:rPr>
        <w:t>in these settlements.</w:t>
      </w:r>
    </w:p>
    <w:p w14:paraId="3BA5800B" w14:textId="77777777" w:rsidR="00310457" w:rsidRPr="00F763B2" w:rsidRDefault="00310457" w:rsidP="00F763B2">
      <w:pPr>
        <w:spacing w:after="240" w:line="360" w:lineRule="auto"/>
        <w:jc w:val="both"/>
        <w:rPr>
          <w:rFonts w:ascii="Times New Roman" w:hAnsi="Times New Roman" w:cs="Times New Roman"/>
          <w:sz w:val="24"/>
          <w:szCs w:val="24"/>
          <w:lang w:val="en-US"/>
        </w:rPr>
      </w:pPr>
      <w:r w:rsidRPr="00F763B2">
        <w:rPr>
          <w:rFonts w:ascii="Times New Roman" w:hAnsi="Times New Roman" w:cs="Times New Roman"/>
          <w:sz w:val="24"/>
          <w:szCs w:val="24"/>
          <w:lang w:val="en-US"/>
        </w:rPr>
        <w:t>Internal doses in tooth enamel of the Techa riverside residents</w:t>
      </w:r>
    </w:p>
    <w:p w14:paraId="572E0B39" w14:textId="77777777" w:rsidR="00310457" w:rsidRPr="00486BED" w:rsidRDefault="00310457" w:rsidP="00486BED">
      <w:pPr>
        <w:autoSpaceDE w:val="0"/>
        <w:autoSpaceDN w:val="0"/>
        <w:adjustRightInd w:val="0"/>
        <w:spacing w:after="240" w:line="360" w:lineRule="auto"/>
        <w:ind w:firstLine="851"/>
        <w:jc w:val="both"/>
        <w:rPr>
          <w:rFonts w:ascii="Times New Roman" w:hAnsi="Times New Roman" w:cs="Times New Roman"/>
          <w:sz w:val="24"/>
          <w:szCs w:val="24"/>
          <w:lang w:val="en-US"/>
        </w:rPr>
      </w:pPr>
      <w:r w:rsidRPr="00486BED">
        <w:rPr>
          <w:rFonts w:ascii="Times New Roman" w:hAnsi="Times New Roman" w:cs="Times New Roman"/>
          <w:bCs/>
          <w:sz w:val="24"/>
          <w:szCs w:val="24"/>
          <w:lang w:val="en-US"/>
        </w:rPr>
        <w:t xml:space="preserve">According to Shishkina et al. (2014b), </w:t>
      </w:r>
      <w:r w:rsidRPr="00486BED">
        <w:rPr>
          <w:rFonts w:ascii="Times New Roman" w:hAnsi="Times New Roman" w:cs="Times New Roman"/>
          <w:sz w:val="24"/>
          <w:szCs w:val="24"/>
          <w:lang w:val="en-US"/>
        </w:rPr>
        <w:t xml:space="preserve">the levels of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Sr activity concentration in different tooth tissues of the Techa riverside residents depended on age. It was shown, t</w:t>
      </w:r>
      <w:r w:rsidRPr="00486BED">
        <w:rPr>
          <w:rFonts w:ascii="Times New Roman" w:hAnsi="Times New Roman" w:cs="Times New Roman"/>
          <w:bCs/>
          <w:sz w:val="24"/>
          <w:szCs w:val="24"/>
          <w:lang w:val="en-US"/>
        </w:rPr>
        <w:t xml:space="preserve">hat only the teeth with crowns </w:t>
      </w:r>
      <w:r w:rsidR="00CE66B5">
        <w:rPr>
          <w:rFonts w:ascii="Times New Roman" w:hAnsi="Times New Roman" w:cs="Times New Roman"/>
          <w:bCs/>
          <w:sz w:val="24"/>
          <w:szCs w:val="24"/>
          <w:lang w:val="en-US"/>
        </w:rPr>
        <w:t>older than six</w:t>
      </w:r>
      <w:r w:rsidRPr="00486BED">
        <w:rPr>
          <w:rFonts w:ascii="Times New Roman" w:hAnsi="Times New Roman" w:cs="Times New Roman"/>
          <w:bCs/>
          <w:sz w:val="24"/>
          <w:szCs w:val="24"/>
          <w:lang w:val="en-US"/>
        </w:rPr>
        <w:t xml:space="preserve"> years at </w:t>
      </w:r>
      <w:r w:rsidR="00E11D11" w:rsidRPr="00486BED">
        <w:rPr>
          <w:rFonts w:ascii="Times New Roman" w:hAnsi="Times New Roman" w:cs="Times New Roman"/>
          <w:bCs/>
          <w:sz w:val="24"/>
          <w:szCs w:val="24"/>
          <w:lang w:val="en-US"/>
        </w:rPr>
        <w:t xml:space="preserve">the </w:t>
      </w:r>
      <w:r w:rsidRPr="00486BED">
        <w:rPr>
          <w:rFonts w:ascii="Times New Roman" w:hAnsi="Times New Roman" w:cs="Times New Roman"/>
          <w:bCs/>
          <w:sz w:val="24"/>
          <w:szCs w:val="24"/>
          <w:lang w:val="en-US"/>
        </w:rPr>
        <w:t xml:space="preserve">time of </w:t>
      </w:r>
      <w:r w:rsidRPr="00486BED">
        <w:rPr>
          <w:rFonts w:ascii="Times New Roman" w:hAnsi="Times New Roman" w:cs="Times New Roman"/>
          <w:bCs/>
          <w:sz w:val="24"/>
          <w:szCs w:val="24"/>
          <w:vertAlign w:val="superscript"/>
          <w:lang w:val="en-US"/>
        </w:rPr>
        <w:t>90</w:t>
      </w:r>
      <w:r w:rsidRPr="00486BED">
        <w:rPr>
          <w:rFonts w:ascii="Times New Roman" w:hAnsi="Times New Roman" w:cs="Times New Roman"/>
          <w:bCs/>
          <w:sz w:val="24"/>
          <w:szCs w:val="24"/>
          <w:lang w:val="en-US"/>
        </w:rPr>
        <w:t xml:space="preserve">Sr intakes can be used for external dosimetry. The current activity concentrations of </w:t>
      </w:r>
      <w:r w:rsidRPr="00486BED">
        <w:rPr>
          <w:rFonts w:ascii="Times New Roman" w:hAnsi="Times New Roman" w:cs="Times New Roman"/>
          <w:bCs/>
          <w:sz w:val="24"/>
          <w:szCs w:val="24"/>
          <w:vertAlign w:val="superscript"/>
          <w:lang w:val="en-US"/>
        </w:rPr>
        <w:t>90</w:t>
      </w:r>
      <w:r w:rsidRPr="00486BED">
        <w:rPr>
          <w:rFonts w:ascii="Times New Roman" w:hAnsi="Times New Roman" w:cs="Times New Roman"/>
          <w:bCs/>
          <w:sz w:val="24"/>
          <w:szCs w:val="24"/>
          <w:lang w:val="en-US"/>
        </w:rPr>
        <w:t xml:space="preserve">Sr in </w:t>
      </w:r>
      <w:r w:rsidR="00E11D11" w:rsidRPr="00486BED">
        <w:rPr>
          <w:rFonts w:ascii="Times New Roman" w:hAnsi="Times New Roman" w:cs="Times New Roman"/>
          <w:bCs/>
          <w:sz w:val="24"/>
          <w:szCs w:val="24"/>
          <w:lang w:val="en-US"/>
        </w:rPr>
        <w:t xml:space="preserve">the </w:t>
      </w:r>
      <w:r w:rsidRPr="00486BED">
        <w:rPr>
          <w:rFonts w:ascii="Times New Roman" w:hAnsi="Times New Roman" w:cs="Times New Roman"/>
          <w:bCs/>
          <w:sz w:val="24"/>
          <w:szCs w:val="24"/>
          <w:lang w:val="en-US"/>
        </w:rPr>
        <w:t xml:space="preserve">enamel of such teeth are </w:t>
      </w:r>
      <w:r w:rsidR="00E11D11" w:rsidRPr="00486BED">
        <w:rPr>
          <w:rFonts w:ascii="Times New Roman" w:hAnsi="Times New Roman" w:cs="Times New Roman"/>
          <w:bCs/>
          <w:sz w:val="24"/>
          <w:szCs w:val="24"/>
          <w:lang w:val="en-US"/>
        </w:rPr>
        <w:t>with</w:t>
      </w:r>
      <w:r w:rsidRPr="00486BED">
        <w:rPr>
          <w:rFonts w:ascii="Times New Roman" w:hAnsi="Times New Roman" w:cs="Times New Roman"/>
          <w:bCs/>
          <w:sz w:val="24"/>
          <w:szCs w:val="24"/>
          <w:lang w:val="en-US"/>
        </w:rPr>
        <w:t xml:space="preserve">in the range </w:t>
      </w:r>
      <w:r w:rsidR="00E11D11" w:rsidRPr="00486BED">
        <w:rPr>
          <w:rFonts w:ascii="Times New Roman" w:hAnsi="Times New Roman" w:cs="Times New Roman"/>
          <w:bCs/>
          <w:sz w:val="24"/>
          <w:szCs w:val="24"/>
          <w:lang w:val="en-US"/>
        </w:rPr>
        <w:t>of</w:t>
      </w:r>
      <w:r w:rsidRPr="00486BED">
        <w:rPr>
          <w:rFonts w:ascii="Times New Roman" w:hAnsi="Times New Roman" w:cs="Times New Roman"/>
          <w:bCs/>
          <w:sz w:val="24"/>
          <w:szCs w:val="24"/>
          <w:lang w:val="en-US"/>
        </w:rPr>
        <w:t xml:space="preserve"> </w:t>
      </w:r>
      <w:r w:rsidRPr="00486BED">
        <w:rPr>
          <w:rFonts w:ascii="Times New Roman" w:hAnsi="Times New Roman" w:cs="Times New Roman"/>
          <w:sz w:val="24"/>
          <w:szCs w:val="24"/>
          <w:lang w:val="en-US"/>
        </w:rPr>
        <w:t>0.006–0.37 Bq g</w:t>
      </w:r>
      <w:r w:rsidRPr="00486BED">
        <w:rPr>
          <w:rFonts w:ascii="Times New Roman" w:hAnsi="Times New Roman" w:cs="Times New Roman"/>
          <w:sz w:val="24"/>
          <w:szCs w:val="24"/>
          <w:vertAlign w:val="superscript"/>
          <w:lang w:val="en-US"/>
        </w:rPr>
        <w:t>-1</w:t>
      </w:r>
      <w:r w:rsidRPr="00486BED">
        <w:rPr>
          <w:rFonts w:ascii="Times New Roman" w:hAnsi="Times New Roman" w:cs="Times New Roman"/>
          <w:sz w:val="24"/>
          <w:szCs w:val="24"/>
          <w:lang w:val="en-US"/>
        </w:rPr>
        <w:t xml:space="preserve">. </w:t>
      </w:r>
      <w:r w:rsidR="00CE66B5">
        <w:rPr>
          <w:rFonts w:ascii="Times New Roman" w:hAnsi="Times New Roman" w:cs="Times New Roman"/>
          <w:bCs/>
          <w:sz w:val="24"/>
          <w:szCs w:val="24"/>
          <w:lang w:val="en-US"/>
        </w:rPr>
        <w:t>In contrast</w:t>
      </w:r>
      <w:r w:rsidRPr="00486BED">
        <w:rPr>
          <w:rFonts w:ascii="Times New Roman" w:hAnsi="Times New Roman" w:cs="Times New Roman"/>
          <w:bCs/>
          <w:sz w:val="24"/>
          <w:szCs w:val="24"/>
          <w:lang w:val="en-US"/>
        </w:rPr>
        <w:t xml:space="preserve">, extra high doses in enamel (up to 60 Gy) could be observed for teeth that had been under formation </w:t>
      </w:r>
      <w:r w:rsidR="00E11D11" w:rsidRPr="00486BED">
        <w:rPr>
          <w:rFonts w:ascii="Times New Roman" w:hAnsi="Times New Roman" w:cs="Times New Roman"/>
          <w:bCs/>
          <w:sz w:val="24"/>
          <w:szCs w:val="24"/>
          <w:lang w:val="en-US"/>
        </w:rPr>
        <w:t>at</w:t>
      </w:r>
      <w:r w:rsidRPr="00486BED">
        <w:rPr>
          <w:rFonts w:ascii="Times New Roman" w:hAnsi="Times New Roman" w:cs="Times New Roman"/>
          <w:bCs/>
          <w:sz w:val="24"/>
          <w:szCs w:val="24"/>
          <w:lang w:val="en-US"/>
        </w:rPr>
        <w:t xml:space="preserve"> the time of radioactive releases (Shishkina et al., 2011a)</w:t>
      </w:r>
      <w:r w:rsidR="00CE66B5">
        <w:rPr>
          <w:rFonts w:ascii="Times New Roman" w:hAnsi="Times New Roman" w:cs="Times New Roman"/>
          <w:bCs/>
          <w:sz w:val="24"/>
          <w:szCs w:val="24"/>
          <w:lang w:val="en-US"/>
        </w:rPr>
        <w:t>, i.e., teeth which were younger than 6 years</w:t>
      </w:r>
      <w:r w:rsidRPr="00486BED">
        <w:rPr>
          <w:rFonts w:ascii="Times New Roman" w:hAnsi="Times New Roman" w:cs="Times New Roman"/>
          <w:bCs/>
          <w:sz w:val="24"/>
          <w:szCs w:val="24"/>
          <w:lang w:val="en-US"/>
        </w:rPr>
        <w:t xml:space="preserve">. </w:t>
      </w:r>
      <w:r w:rsidRPr="00486BED">
        <w:rPr>
          <w:rFonts w:ascii="Times New Roman" w:hAnsi="Times New Roman" w:cs="Times New Roman"/>
          <w:sz w:val="24"/>
          <w:szCs w:val="24"/>
          <w:lang w:val="en-US"/>
        </w:rPr>
        <w:t xml:space="preserve">The range of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activity concentrations in the dentin of completed teeth was reported </w:t>
      </w:r>
      <w:r w:rsidR="00E11D11" w:rsidRPr="00486BED">
        <w:rPr>
          <w:rFonts w:ascii="Times New Roman" w:hAnsi="Times New Roman" w:cs="Times New Roman"/>
          <w:sz w:val="24"/>
          <w:szCs w:val="24"/>
          <w:lang w:val="en-US"/>
        </w:rPr>
        <w:t>to be</w:t>
      </w:r>
      <w:r w:rsidRPr="00486BED">
        <w:rPr>
          <w:rFonts w:ascii="Times New Roman" w:hAnsi="Times New Roman" w:cs="Times New Roman"/>
          <w:sz w:val="24"/>
          <w:szCs w:val="24"/>
          <w:lang w:val="en-US"/>
        </w:rPr>
        <w:t xml:space="preserve"> 0.18 - 5.6 Bq g</w:t>
      </w:r>
      <w:r w:rsidRPr="00486BED">
        <w:rPr>
          <w:rFonts w:ascii="Times New Roman" w:hAnsi="Times New Roman" w:cs="Times New Roman"/>
          <w:sz w:val="24"/>
          <w:szCs w:val="24"/>
          <w:vertAlign w:val="superscript"/>
          <w:lang w:val="en-US"/>
        </w:rPr>
        <w:t>-1</w:t>
      </w:r>
      <w:r w:rsidRPr="00486BED">
        <w:rPr>
          <w:rFonts w:ascii="Times New Roman" w:hAnsi="Times New Roman" w:cs="Times New Roman"/>
          <w:sz w:val="24"/>
          <w:szCs w:val="24"/>
          <w:lang w:val="en-US"/>
        </w:rPr>
        <w:t xml:space="preserve"> (</w:t>
      </w:r>
      <w:r w:rsidRPr="00486BED">
        <w:rPr>
          <w:rFonts w:ascii="Times New Roman" w:hAnsi="Times New Roman" w:cs="Times New Roman"/>
          <w:bCs/>
          <w:sz w:val="24"/>
          <w:szCs w:val="24"/>
          <w:lang w:val="en-US"/>
        </w:rPr>
        <w:t>Shishkina et al. 2014b),</w:t>
      </w:r>
      <w:r w:rsidRPr="00486BED">
        <w:rPr>
          <w:rFonts w:ascii="Times New Roman" w:hAnsi="Times New Roman" w:cs="Times New Roman"/>
          <w:sz w:val="24"/>
          <w:szCs w:val="24"/>
          <w:lang w:val="en-US"/>
        </w:rPr>
        <w:t xml:space="preserve"> which resulted in the </w:t>
      </w:r>
      <w:r w:rsidRPr="008A0C14">
        <w:rPr>
          <w:rFonts w:ascii="Times New Roman" w:hAnsi="Times New Roman" w:cs="Times New Roman"/>
          <w:sz w:val="24"/>
          <w:szCs w:val="24"/>
          <w:lang w:val="en-US"/>
        </w:rPr>
        <w:t xml:space="preserve">internal </w:t>
      </w:r>
      <w:r w:rsidR="00D6039A" w:rsidRPr="008A0C14">
        <w:rPr>
          <w:rFonts w:ascii="Times New Roman" w:hAnsi="Times New Roman" w:cs="Times New Roman"/>
          <w:sz w:val="24"/>
          <w:szCs w:val="24"/>
          <w:lang w:val="en-US"/>
        </w:rPr>
        <w:t xml:space="preserve">enamel </w:t>
      </w:r>
      <w:r w:rsidRPr="008A0C14">
        <w:rPr>
          <w:rFonts w:ascii="Times New Roman" w:hAnsi="Times New Roman" w:cs="Times New Roman"/>
          <w:sz w:val="24"/>
          <w:szCs w:val="24"/>
          <w:lang w:val="en-US"/>
        </w:rPr>
        <w:t xml:space="preserve">doses </w:t>
      </w:r>
      <w:r w:rsidR="00D6039A" w:rsidRPr="008A0C14">
        <w:rPr>
          <w:rFonts w:ascii="Times New Roman" w:hAnsi="Times New Roman" w:cs="Times New Roman"/>
          <w:sz w:val="24"/>
          <w:szCs w:val="24"/>
          <w:lang w:val="en-US"/>
        </w:rPr>
        <w:t xml:space="preserve">(due to crossfire exposure) </w:t>
      </w:r>
      <w:r w:rsidRPr="008A0C14">
        <w:rPr>
          <w:rFonts w:ascii="Times New Roman" w:hAnsi="Times New Roman" w:cs="Times New Roman"/>
          <w:sz w:val="24"/>
          <w:szCs w:val="24"/>
          <w:lang w:val="en-US"/>
        </w:rPr>
        <w:t>presented</w:t>
      </w:r>
      <w:r w:rsidRPr="00486BED">
        <w:rPr>
          <w:rFonts w:ascii="Times New Roman" w:hAnsi="Times New Roman" w:cs="Times New Roman"/>
          <w:sz w:val="24"/>
          <w:szCs w:val="24"/>
          <w:lang w:val="en-US"/>
        </w:rPr>
        <w:t xml:space="preserve"> in Table 7. As can be seen from Table </w:t>
      </w:r>
      <w:r w:rsidR="00F544E5" w:rsidRPr="00486BED">
        <w:rPr>
          <w:rFonts w:ascii="Times New Roman" w:hAnsi="Times New Roman" w:cs="Times New Roman"/>
          <w:sz w:val="24"/>
          <w:szCs w:val="24"/>
          <w:lang w:val="en-US"/>
        </w:rPr>
        <w:t>7</w:t>
      </w:r>
      <w:r w:rsidRPr="00486BED">
        <w:rPr>
          <w:rFonts w:ascii="Times New Roman" w:hAnsi="Times New Roman" w:cs="Times New Roman"/>
          <w:sz w:val="24"/>
          <w:szCs w:val="24"/>
          <w:lang w:val="en-US"/>
        </w:rPr>
        <w:t xml:space="preserve">, there is no significant distance dependence of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Sr/</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Y enamel dose. </w:t>
      </w:r>
      <w:r w:rsidR="00E11D11" w:rsidRPr="00486BED">
        <w:rPr>
          <w:rFonts w:ascii="Times New Roman" w:hAnsi="Times New Roman" w:cs="Times New Roman"/>
          <w:sz w:val="24"/>
          <w:szCs w:val="24"/>
          <w:lang w:val="en-US"/>
        </w:rPr>
        <w:t>The m</w:t>
      </w:r>
      <w:r w:rsidRPr="00486BED">
        <w:rPr>
          <w:rFonts w:ascii="Times New Roman" w:hAnsi="Times New Roman" w:cs="Times New Roman"/>
          <w:sz w:val="24"/>
          <w:szCs w:val="24"/>
          <w:lang w:val="en-US"/>
        </w:rPr>
        <w:t xml:space="preserve">aximum values can reach several hundred mGy. </w:t>
      </w:r>
      <w:r w:rsidR="00E11D11" w:rsidRPr="00486BED">
        <w:rPr>
          <w:rFonts w:ascii="Times New Roman" w:hAnsi="Times New Roman" w:cs="Times New Roman"/>
          <w:sz w:val="24"/>
          <w:szCs w:val="24"/>
          <w:lang w:val="en-US"/>
        </w:rPr>
        <w:t>The c</w:t>
      </w:r>
      <w:r w:rsidRPr="00486BED">
        <w:rPr>
          <w:rFonts w:ascii="Times New Roman" w:hAnsi="Times New Roman" w:cs="Times New Roman"/>
          <w:sz w:val="24"/>
          <w:szCs w:val="24"/>
          <w:lang w:val="en-US"/>
        </w:rPr>
        <w:t xml:space="preserve">ontribution of </w:t>
      </w:r>
      <w:r w:rsidRPr="00486BED">
        <w:rPr>
          <w:rFonts w:ascii="Times New Roman" w:hAnsi="Times New Roman" w:cs="Times New Roman"/>
          <w:sz w:val="24"/>
          <w:szCs w:val="24"/>
          <w:vertAlign w:val="superscript"/>
          <w:lang w:val="en-US"/>
        </w:rPr>
        <w:t>89</w:t>
      </w:r>
      <w:r w:rsidRPr="00486BED">
        <w:rPr>
          <w:rFonts w:ascii="Times New Roman" w:hAnsi="Times New Roman" w:cs="Times New Roman"/>
          <w:sz w:val="24"/>
          <w:szCs w:val="24"/>
          <w:lang w:val="en-US"/>
        </w:rPr>
        <w:t>Sr to enamel dose was found to be insignificant (</w:t>
      </w:r>
      <w:r w:rsidR="00777938">
        <w:rPr>
          <w:rFonts w:ascii="Times New Roman" w:hAnsi="Times New Roman" w:cs="Times New Roman"/>
          <w:sz w:val="24"/>
          <w:szCs w:val="24"/>
          <w:lang w:val="en-US"/>
        </w:rPr>
        <w:t xml:space="preserve">i.e., it </w:t>
      </w:r>
      <w:r w:rsidRPr="00486BED">
        <w:rPr>
          <w:rFonts w:ascii="Times New Roman" w:hAnsi="Times New Roman" w:cs="Times New Roman"/>
          <w:sz w:val="24"/>
          <w:szCs w:val="24"/>
          <w:lang w:val="en-US"/>
        </w:rPr>
        <w:t xml:space="preserve">did not exceed 5 mGy). The doses induced in enamel by </w:t>
      </w:r>
      <w:r w:rsidRPr="00486BED">
        <w:rPr>
          <w:rFonts w:ascii="Times New Roman" w:eastAsia="Times New Roman" w:hAnsi="Times New Roman" w:cs="Times New Roman"/>
          <w:color w:val="000000"/>
          <w:sz w:val="24"/>
          <w:szCs w:val="24"/>
          <w:vertAlign w:val="superscript"/>
          <w:lang w:val="en-US" w:eastAsia="ru-RU"/>
        </w:rPr>
        <w:t>137</w:t>
      </w:r>
      <w:r w:rsidRPr="00486BED">
        <w:rPr>
          <w:rFonts w:ascii="Times New Roman" w:eastAsia="Times New Roman" w:hAnsi="Times New Roman" w:cs="Times New Roman"/>
          <w:color w:val="000000"/>
          <w:sz w:val="24"/>
          <w:szCs w:val="24"/>
          <w:lang w:eastAsia="ru-RU"/>
        </w:rPr>
        <w:t>С</w:t>
      </w:r>
      <w:r w:rsidRPr="00486BED">
        <w:rPr>
          <w:rFonts w:ascii="Times New Roman" w:eastAsia="Times New Roman" w:hAnsi="Times New Roman" w:cs="Times New Roman"/>
          <w:color w:val="000000"/>
          <w:sz w:val="24"/>
          <w:szCs w:val="24"/>
          <w:lang w:val="en-US" w:eastAsia="ru-RU"/>
        </w:rPr>
        <w:t>s/</w:t>
      </w:r>
      <w:r w:rsidRPr="00486BED">
        <w:rPr>
          <w:rFonts w:ascii="Times New Roman" w:eastAsia="Times New Roman" w:hAnsi="Times New Roman" w:cs="Times New Roman"/>
          <w:color w:val="000000"/>
          <w:sz w:val="24"/>
          <w:szCs w:val="24"/>
          <w:vertAlign w:val="superscript"/>
          <w:lang w:val="en-US" w:eastAsia="ru-RU"/>
        </w:rPr>
        <w:t>137m</w:t>
      </w:r>
      <w:r w:rsidRPr="00486BED">
        <w:rPr>
          <w:rFonts w:ascii="Times New Roman" w:eastAsia="Times New Roman" w:hAnsi="Times New Roman" w:cs="Times New Roman"/>
          <w:color w:val="000000"/>
          <w:sz w:val="24"/>
          <w:szCs w:val="24"/>
          <w:lang w:val="en-US" w:eastAsia="ru-RU"/>
        </w:rPr>
        <w:t xml:space="preserve">Ba were comparable to those </w:t>
      </w:r>
      <w:r w:rsidR="00777938">
        <w:rPr>
          <w:rFonts w:ascii="Times New Roman" w:eastAsia="Times New Roman" w:hAnsi="Times New Roman" w:cs="Times New Roman"/>
          <w:color w:val="000000"/>
          <w:sz w:val="24"/>
          <w:szCs w:val="24"/>
          <w:lang w:val="en-US" w:eastAsia="ru-RU"/>
        </w:rPr>
        <w:t>induced by</w:t>
      </w:r>
      <w:r w:rsidRPr="00486BED">
        <w:rPr>
          <w:rFonts w:ascii="Times New Roman" w:eastAsia="Times New Roman" w:hAnsi="Times New Roman" w:cs="Times New Roman"/>
          <w:color w:val="000000"/>
          <w:sz w:val="24"/>
          <w:szCs w:val="24"/>
          <w:lang w:val="en-US" w:eastAsia="ru-RU"/>
        </w:rPr>
        <w:t xml:space="preserve">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Sr/</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Y for the 3</w:t>
      </w:r>
      <w:r w:rsidRPr="00486BED">
        <w:rPr>
          <w:rFonts w:ascii="Times New Roman" w:hAnsi="Times New Roman" w:cs="Times New Roman"/>
          <w:sz w:val="24"/>
          <w:szCs w:val="24"/>
          <w:vertAlign w:val="superscript"/>
          <w:lang w:val="en-US"/>
        </w:rPr>
        <w:t>rd</w:t>
      </w:r>
      <w:r w:rsidRPr="00486BED">
        <w:rPr>
          <w:rFonts w:ascii="Times New Roman" w:hAnsi="Times New Roman" w:cs="Times New Roman"/>
          <w:sz w:val="24"/>
          <w:szCs w:val="24"/>
          <w:lang w:val="en-US"/>
        </w:rPr>
        <w:t xml:space="preserve"> - 5</w:t>
      </w:r>
      <w:r w:rsidRPr="00486BED">
        <w:rPr>
          <w:rFonts w:ascii="Times New Roman" w:hAnsi="Times New Roman" w:cs="Times New Roman"/>
          <w:sz w:val="24"/>
          <w:szCs w:val="24"/>
          <w:vertAlign w:val="superscript"/>
          <w:lang w:val="en-US"/>
        </w:rPr>
        <w:t>th</w:t>
      </w:r>
      <w:r w:rsidRPr="00486BED">
        <w:rPr>
          <w:rFonts w:ascii="Times New Roman" w:hAnsi="Times New Roman" w:cs="Times New Roman"/>
          <w:sz w:val="24"/>
          <w:szCs w:val="24"/>
          <w:lang w:val="en-US"/>
        </w:rPr>
        <w:t xml:space="preserve"> groups of donors living at the distance</w:t>
      </w:r>
      <w:r w:rsidR="00E11D11" w:rsidRPr="00486BED">
        <w:rPr>
          <w:rFonts w:ascii="Times New Roman" w:hAnsi="Times New Roman" w:cs="Times New Roman"/>
          <w:sz w:val="24"/>
          <w:szCs w:val="24"/>
          <w:lang w:val="en-US"/>
        </w:rPr>
        <w:t xml:space="preserve"> of</w:t>
      </w:r>
      <w:r w:rsidRPr="00486BED">
        <w:rPr>
          <w:rFonts w:ascii="Times New Roman" w:hAnsi="Times New Roman" w:cs="Times New Roman"/>
          <w:sz w:val="24"/>
          <w:szCs w:val="24"/>
          <w:lang w:val="en-US"/>
        </w:rPr>
        <w:t xml:space="preserve"> </w:t>
      </w:r>
      <w:r w:rsidR="00F03527">
        <w:rPr>
          <w:rFonts w:ascii="Times New Roman" w:hAnsi="Times New Roman" w:cs="Times New Roman"/>
          <w:sz w:val="24"/>
          <w:szCs w:val="24"/>
          <w:lang w:val="en-US"/>
        </w:rPr>
        <w:t>41</w:t>
      </w:r>
      <w:r w:rsidRPr="00486BED">
        <w:rPr>
          <w:rFonts w:ascii="Times New Roman" w:hAnsi="Times New Roman" w:cs="Times New Roman"/>
          <w:sz w:val="24"/>
          <w:szCs w:val="24"/>
          <w:lang w:val="en-US"/>
        </w:rPr>
        <w:t xml:space="preserve"> - 60 km from the site of releases (the area of the Upper Techa). According to Tolstykh et al. (2013), </w:t>
      </w:r>
      <w:r w:rsidR="00E11D11"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pastures of the villages of the 1</w:t>
      </w:r>
      <w:r w:rsidRPr="00486BED">
        <w:rPr>
          <w:rFonts w:ascii="Times New Roman" w:hAnsi="Times New Roman" w:cs="Times New Roman"/>
          <w:sz w:val="24"/>
          <w:szCs w:val="24"/>
          <w:vertAlign w:val="superscript"/>
          <w:lang w:val="en-US"/>
        </w:rPr>
        <w:t>st</w:t>
      </w:r>
      <w:r w:rsidRPr="00486BED">
        <w:rPr>
          <w:rFonts w:ascii="Times New Roman" w:hAnsi="Times New Roman" w:cs="Times New Roman"/>
          <w:sz w:val="24"/>
          <w:szCs w:val="24"/>
          <w:lang w:val="en-US"/>
        </w:rPr>
        <w:t xml:space="preserve"> and 2</w:t>
      </w:r>
      <w:r w:rsidRPr="00486BED">
        <w:rPr>
          <w:rFonts w:ascii="Times New Roman" w:hAnsi="Times New Roman" w:cs="Times New Roman"/>
          <w:sz w:val="24"/>
          <w:szCs w:val="24"/>
          <w:vertAlign w:val="superscript"/>
          <w:lang w:val="en-US"/>
        </w:rPr>
        <w:t>nd</w:t>
      </w:r>
      <w:r w:rsidRPr="00486BED">
        <w:rPr>
          <w:rFonts w:ascii="Times New Roman" w:hAnsi="Times New Roman" w:cs="Times New Roman"/>
          <w:sz w:val="24"/>
          <w:szCs w:val="24"/>
          <w:lang w:val="en-US"/>
        </w:rPr>
        <w:t xml:space="preserve"> groups were remote from the contaminated swampy floodplain. Therefore, </w:t>
      </w:r>
      <w:r w:rsidR="00F544E5"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cumulative internal doses in </w:t>
      </w:r>
      <w:r w:rsidR="00E11D11"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tooth enamel calculated for residents of these two groups were </w:t>
      </w:r>
      <w:r w:rsidR="00E11D11"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E11D11" w:rsidRPr="00486BED">
        <w:rPr>
          <w:rFonts w:ascii="Times New Roman" w:hAnsi="Times New Roman" w:cs="Times New Roman"/>
          <w:sz w:val="24"/>
          <w:szCs w:val="24"/>
          <w:lang w:val="en-US"/>
        </w:rPr>
        <w:t>er</w:t>
      </w:r>
      <w:r w:rsidRPr="00486BED">
        <w:rPr>
          <w:rFonts w:ascii="Times New Roman" w:hAnsi="Times New Roman" w:cs="Times New Roman"/>
          <w:sz w:val="24"/>
          <w:szCs w:val="24"/>
          <w:lang w:val="en-US"/>
        </w:rPr>
        <w:t xml:space="preserve"> than </w:t>
      </w:r>
      <w:r w:rsidR="00E11D11"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EPR-derived anthropogenic doses (Table 6). In other groups, the internal doses were comparable with</w:t>
      </w:r>
      <w:r w:rsidR="00E11D11" w:rsidRPr="00486BED">
        <w:rPr>
          <w:rFonts w:ascii="Times New Roman" w:hAnsi="Times New Roman" w:cs="Times New Roman"/>
          <w:sz w:val="24"/>
          <w:szCs w:val="24"/>
          <w:lang w:val="en-US"/>
        </w:rPr>
        <w:t xml:space="preserve"> the</w:t>
      </w:r>
      <w:r w:rsidRPr="00486BED">
        <w:rPr>
          <w:rFonts w:ascii="Times New Roman" w:hAnsi="Times New Roman" w:cs="Times New Roman"/>
          <w:sz w:val="24"/>
          <w:szCs w:val="24"/>
          <w:lang w:val="en-US"/>
        </w:rPr>
        <w:t xml:space="preserve"> anthropogenic doses in enamel. However, </w:t>
      </w:r>
      <w:r w:rsidR="00F03527">
        <w:rPr>
          <w:rFonts w:ascii="Times New Roman" w:hAnsi="Times New Roman" w:cs="Times New Roman"/>
          <w:sz w:val="24"/>
          <w:szCs w:val="24"/>
          <w:lang w:val="en-US"/>
        </w:rPr>
        <w:t xml:space="preserve">in general </w:t>
      </w:r>
      <w:r w:rsidRPr="00486BED">
        <w:rPr>
          <w:rFonts w:ascii="Times New Roman" w:hAnsi="Times New Roman" w:cs="Times New Roman"/>
          <w:sz w:val="24"/>
          <w:szCs w:val="24"/>
          <w:lang w:val="en-US"/>
        </w:rPr>
        <w:t xml:space="preserve">the maximum values of anthropogenic doses were significantly higher than the maximum values of internal doses.  </w:t>
      </w:r>
    </w:p>
    <w:p w14:paraId="1C7172C2" w14:textId="77777777" w:rsidR="00310457" w:rsidRPr="00F763B2" w:rsidRDefault="00310457" w:rsidP="00F763B2">
      <w:pPr>
        <w:spacing w:after="240" w:line="360" w:lineRule="auto"/>
        <w:jc w:val="both"/>
        <w:rPr>
          <w:rFonts w:ascii="Times New Roman" w:hAnsi="Times New Roman" w:cs="Times New Roman"/>
          <w:sz w:val="24"/>
          <w:szCs w:val="24"/>
          <w:lang w:val="en-US"/>
        </w:rPr>
      </w:pPr>
      <w:r w:rsidRPr="00F763B2">
        <w:rPr>
          <w:rFonts w:ascii="Times New Roman" w:hAnsi="Times New Roman" w:cs="Times New Roman"/>
          <w:sz w:val="24"/>
          <w:szCs w:val="24"/>
          <w:lang w:val="en-US"/>
        </w:rPr>
        <w:t>External doses in tooth enamel</w:t>
      </w:r>
      <w:r w:rsidR="00F03527">
        <w:rPr>
          <w:rFonts w:ascii="Times New Roman" w:hAnsi="Times New Roman" w:cs="Times New Roman"/>
          <w:sz w:val="24"/>
          <w:szCs w:val="24"/>
          <w:lang w:val="en-US"/>
        </w:rPr>
        <w:t xml:space="preserve"> </w:t>
      </w:r>
      <w:r w:rsidR="00F03527" w:rsidRPr="00F763B2">
        <w:rPr>
          <w:rFonts w:ascii="Times New Roman" w:hAnsi="Times New Roman" w:cs="Times New Roman"/>
          <w:sz w:val="24"/>
          <w:szCs w:val="24"/>
          <w:lang w:val="en-US"/>
        </w:rPr>
        <w:t>of the Techa riverside residents</w:t>
      </w:r>
    </w:p>
    <w:p w14:paraId="474C4947" w14:textId="77777777" w:rsidR="00310457" w:rsidRPr="00486BED" w:rsidRDefault="00E11D11"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The e</w:t>
      </w:r>
      <w:r w:rsidR="00310457" w:rsidRPr="00486BED">
        <w:rPr>
          <w:rFonts w:ascii="Times New Roman" w:hAnsi="Times New Roman" w:cs="Times New Roman"/>
          <w:sz w:val="24"/>
          <w:szCs w:val="24"/>
          <w:lang w:val="en-US"/>
        </w:rPr>
        <w:t xml:space="preserve">valuation of individual external dose is possible only when the cumulative anthropogenic dose is significantly higher than the background and </w:t>
      </w:r>
      <w:r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internal dose. </w:t>
      </w:r>
      <w:r w:rsidRPr="00486BED">
        <w:rPr>
          <w:rFonts w:ascii="Times New Roman" w:hAnsi="Times New Roman" w:cs="Times New Roman"/>
          <w:sz w:val="24"/>
          <w:szCs w:val="24"/>
          <w:lang w:val="en-US"/>
        </w:rPr>
        <w:t>A c</w:t>
      </w:r>
      <w:r w:rsidR="00310457" w:rsidRPr="00486BED">
        <w:rPr>
          <w:rFonts w:ascii="Times New Roman" w:hAnsi="Times New Roman" w:cs="Times New Roman"/>
          <w:sz w:val="24"/>
          <w:szCs w:val="24"/>
          <w:lang w:val="en-US"/>
        </w:rPr>
        <w:t>omparison of Table 6 and Table 7 al</w:t>
      </w:r>
      <w:r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310457" w:rsidRPr="00486BED">
        <w:rPr>
          <w:rFonts w:ascii="Times New Roman" w:hAnsi="Times New Roman" w:cs="Times New Roman"/>
          <w:sz w:val="24"/>
          <w:szCs w:val="24"/>
          <w:lang w:val="en-US"/>
        </w:rPr>
        <w:t xml:space="preserve">s </w:t>
      </w:r>
      <w:r w:rsidR="003A0DDD">
        <w:rPr>
          <w:rFonts w:ascii="Times New Roman" w:hAnsi="Times New Roman" w:cs="Times New Roman"/>
          <w:sz w:val="24"/>
          <w:szCs w:val="24"/>
          <w:lang w:val="en-US"/>
        </w:rPr>
        <w:t>the</w:t>
      </w:r>
      <w:r w:rsidRPr="00486BED">
        <w:rPr>
          <w:rFonts w:ascii="Times New Roman" w:hAnsi="Times New Roman" w:cs="Times New Roman"/>
          <w:sz w:val="24"/>
          <w:szCs w:val="24"/>
          <w:lang w:val="en-US"/>
        </w:rPr>
        <w:t xml:space="preserve"> conclusion</w:t>
      </w:r>
      <w:r w:rsidR="00310457" w:rsidRPr="00486BED">
        <w:rPr>
          <w:rFonts w:ascii="Times New Roman" w:hAnsi="Times New Roman" w:cs="Times New Roman"/>
          <w:sz w:val="24"/>
          <w:szCs w:val="24"/>
          <w:lang w:val="en-US"/>
        </w:rPr>
        <w:t xml:space="preserve"> that the assessment of </w:t>
      </w:r>
      <w:r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individual external doses in </w:t>
      </w:r>
      <w:r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tooth enamel is impossible for most of the Techa riverside residents. Actually, </w:t>
      </w:r>
      <w:r w:rsidRPr="00486BED">
        <w:rPr>
          <w:rFonts w:ascii="Times New Roman" w:hAnsi="Times New Roman" w:cs="Times New Roman"/>
          <w:sz w:val="24"/>
          <w:szCs w:val="24"/>
          <w:lang w:val="en-US"/>
        </w:rPr>
        <w:t xml:space="preserve">a </w:t>
      </w:r>
      <w:r w:rsidR="00310457" w:rsidRPr="00486BED">
        <w:rPr>
          <w:rFonts w:ascii="Times New Roman" w:hAnsi="Times New Roman" w:cs="Times New Roman"/>
          <w:sz w:val="24"/>
          <w:szCs w:val="24"/>
          <w:lang w:val="en-US"/>
        </w:rPr>
        <w:t xml:space="preserve">statistically significant difference between anthropogenic and internal doses was found only for 29 individuals. Therefore, </w:t>
      </w:r>
      <w:r w:rsidR="003A0DDD">
        <w:rPr>
          <w:rFonts w:ascii="Times New Roman" w:hAnsi="Times New Roman" w:cs="Times New Roman"/>
          <w:sz w:val="24"/>
          <w:szCs w:val="24"/>
          <w:lang w:val="en-US"/>
        </w:rPr>
        <w:t xml:space="preserve">only </w:t>
      </w:r>
      <w:r w:rsidR="00310457" w:rsidRPr="00486BED">
        <w:rPr>
          <w:rFonts w:ascii="Times New Roman" w:hAnsi="Times New Roman" w:cs="Times New Roman"/>
          <w:sz w:val="24"/>
          <w:szCs w:val="24"/>
          <w:lang w:val="en-US"/>
        </w:rPr>
        <w:t>the mean-group external doses were evaluated.</w:t>
      </w:r>
    </w:p>
    <w:p w14:paraId="54A40999" w14:textId="77777777" w:rsidR="00310457" w:rsidRPr="00486BED" w:rsidRDefault="00E11D11"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The c</w:t>
      </w:r>
      <w:r w:rsidR="00310457" w:rsidRPr="00486BED">
        <w:rPr>
          <w:rFonts w:ascii="Times New Roman" w:hAnsi="Times New Roman" w:cs="Times New Roman"/>
          <w:sz w:val="24"/>
          <w:szCs w:val="24"/>
          <w:lang w:val="en-US"/>
        </w:rPr>
        <w:t xml:space="preserve">alculated internal doses were subtracted from the cumulative anthropogenic </w:t>
      </w:r>
      <w:r w:rsidR="00EF5EA7">
        <w:rPr>
          <w:rFonts w:ascii="Times New Roman" w:hAnsi="Times New Roman" w:cs="Times New Roman"/>
          <w:sz w:val="24"/>
          <w:szCs w:val="24"/>
          <w:lang w:val="en-US"/>
        </w:rPr>
        <w:t>doses</w:t>
      </w:r>
      <w:r w:rsidR="00310457" w:rsidRPr="00486BED">
        <w:rPr>
          <w:rFonts w:ascii="Times New Roman" w:hAnsi="Times New Roman" w:cs="Times New Roman"/>
          <w:sz w:val="24"/>
          <w:szCs w:val="24"/>
          <w:lang w:val="en-US"/>
        </w:rPr>
        <w:t xml:space="preserve">. The doses </w:t>
      </w:r>
      <w:r w:rsidR="00CE3525">
        <w:rPr>
          <w:rFonts w:ascii="Times New Roman" w:hAnsi="Times New Roman" w:cs="Times New Roman"/>
          <w:sz w:val="24"/>
          <w:szCs w:val="24"/>
          <w:lang w:val="en-US"/>
        </w:rPr>
        <w:t>due to</w:t>
      </w:r>
      <w:r w:rsidR="00310457" w:rsidRPr="00486BED">
        <w:rPr>
          <w:rFonts w:ascii="Times New Roman" w:hAnsi="Times New Roman" w:cs="Times New Roman"/>
          <w:sz w:val="24"/>
          <w:szCs w:val="24"/>
          <w:lang w:val="en-US"/>
        </w:rPr>
        <w:t xml:space="preserve"> medical exposure</w:t>
      </w:r>
      <w:r w:rsidR="00CE3525">
        <w:rPr>
          <w:rFonts w:ascii="Times New Roman" w:hAnsi="Times New Roman" w:cs="Times New Roman"/>
          <w:sz w:val="24"/>
          <w:szCs w:val="24"/>
          <w:lang w:val="en-US"/>
        </w:rPr>
        <w:t>s</w:t>
      </w:r>
      <w:r w:rsidR="00310457" w:rsidRPr="00486BED">
        <w:rPr>
          <w:rFonts w:ascii="Times New Roman" w:hAnsi="Times New Roman" w:cs="Times New Roman"/>
          <w:sz w:val="24"/>
          <w:szCs w:val="24"/>
          <w:lang w:val="en-US"/>
        </w:rPr>
        <w:t xml:space="preserve"> were also subtracted from the anthropogenic doses to obtain the values associated with the radioactive contamination of the Techa River. According to Shishkina et al. (2011b), 66 </w:t>
      </w:r>
      <w:r w:rsidR="00CE3525">
        <w:rPr>
          <w:rFonts w:ascii="Times New Roman" w:hAnsi="Times New Roman" w:cs="Times New Roman"/>
          <w:sz w:val="24"/>
          <w:szCs w:val="24"/>
          <w:lang w:val="en-US"/>
        </w:rPr>
        <w:t>individuals</w:t>
      </w:r>
      <w:r w:rsidR="00310457" w:rsidRPr="00486BED">
        <w:rPr>
          <w:rFonts w:ascii="Times New Roman" w:hAnsi="Times New Roman" w:cs="Times New Roman"/>
          <w:sz w:val="24"/>
          <w:szCs w:val="24"/>
          <w:lang w:val="en-US"/>
        </w:rPr>
        <w:t xml:space="preserve"> were medically exposed </w:t>
      </w:r>
      <w:r w:rsidRPr="00486BED">
        <w:rPr>
          <w:rFonts w:ascii="Times New Roman" w:hAnsi="Times New Roman" w:cs="Times New Roman"/>
          <w:sz w:val="24"/>
          <w:szCs w:val="24"/>
          <w:lang w:val="en-US"/>
        </w:rPr>
        <w:t>to</w:t>
      </w:r>
      <w:r w:rsidR="00310457" w:rsidRPr="00486BED">
        <w:rPr>
          <w:rFonts w:ascii="Times New Roman" w:hAnsi="Times New Roman" w:cs="Times New Roman"/>
          <w:sz w:val="24"/>
          <w:szCs w:val="24"/>
          <w:lang w:val="en-US"/>
        </w:rPr>
        <w:t xml:space="preserve"> doses from 8 to 98 mGy. Most of </w:t>
      </w:r>
      <w:r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medical doses (75%) were </w:t>
      </w:r>
      <w:r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ower</w:t>
      </w:r>
      <w:r w:rsidR="00310457" w:rsidRPr="00486BED">
        <w:rPr>
          <w:rFonts w:ascii="Times New Roman" w:hAnsi="Times New Roman" w:cs="Times New Roman"/>
          <w:sz w:val="24"/>
          <w:szCs w:val="24"/>
          <w:lang w:val="en-US"/>
        </w:rPr>
        <w:t xml:space="preserve"> than 35 mGy</w:t>
      </w:r>
      <w:r w:rsidRPr="00486BED">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and only </w:t>
      </w:r>
      <w:r w:rsidR="00CE3525">
        <w:rPr>
          <w:rFonts w:ascii="Times New Roman" w:hAnsi="Times New Roman" w:cs="Times New Roman"/>
          <w:sz w:val="24"/>
          <w:szCs w:val="24"/>
          <w:lang w:val="en-US"/>
        </w:rPr>
        <w:t xml:space="preserve">five individuals </w:t>
      </w:r>
      <w:r w:rsidR="00310457" w:rsidRPr="00486BED">
        <w:rPr>
          <w:rFonts w:ascii="Times New Roman" w:hAnsi="Times New Roman" w:cs="Times New Roman"/>
          <w:sz w:val="24"/>
          <w:szCs w:val="24"/>
          <w:lang w:val="en-US"/>
        </w:rPr>
        <w:t>were exposed to doses above 50 mGy</w:t>
      </w:r>
      <w:r w:rsidR="00CE3525">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due to multiple examinations of their skulls. </w:t>
      </w:r>
    </w:p>
    <w:p w14:paraId="3411267F"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Thus, the external doses and respective uncertainties (taking into account both the uncertainty of anthropogenic and internal dose estimation) were calculated for each tooth available. </w:t>
      </w:r>
      <w:r w:rsidRPr="00486BED">
        <w:rPr>
          <w:rFonts w:ascii="Times New Roman" w:hAnsi="Times New Roman" w:cs="Times New Roman"/>
          <w:sz w:val="24"/>
          <w:szCs w:val="24"/>
          <w:lang w:val="en-GB"/>
        </w:rPr>
        <w:t xml:space="preserve">Figure 4 illustrates the average external doses for residents living in settlements located at different distances from the site of releases. </w:t>
      </w:r>
      <w:r w:rsidRPr="00486BED">
        <w:rPr>
          <w:rFonts w:ascii="Times New Roman" w:hAnsi="Times New Roman" w:cs="Times New Roman"/>
          <w:sz w:val="24"/>
          <w:szCs w:val="24"/>
          <w:lang w:val="en-US"/>
        </w:rPr>
        <w:t>As can be seen from Fig</w:t>
      </w:r>
      <w:r w:rsidR="000003CE">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4, two distinct peaks are visible at 7 and 50 km, which correspond to Metlino and Nadyrovo. </w:t>
      </w:r>
      <w:r w:rsidR="00E11D11" w:rsidRPr="00486BED">
        <w:rPr>
          <w:rFonts w:ascii="Times New Roman" w:hAnsi="Times New Roman" w:cs="Times New Roman"/>
          <w:sz w:val="24"/>
          <w:szCs w:val="24"/>
          <w:lang w:val="en-US"/>
        </w:rPr>
        <w:t>A s</w:t>
      </w:r>
      <w:r w:rsidRPr="00486BED">
        <w:rPr>
          <w:rFonts w:ascii="Times New Roman" w:hAnsi="Times New Roman" w:cs="Times New Roman"/>
          <w:sz w:val="24"/>
          <w:szCs w:val="24"/>
          <w:lang w:val="en-US"/>
        </w:rPr>
        <w:t xml:space="preserve">imilar tendency was obtained </w:t>
      </w:r>
      <w:r w:rsidR="006607B7">
        <w:rPr>
          <w:rFonts w:ascii="Times New Roman" w:hAnsi="Times New Roman" w:cs="Times New Roman"/>
          <w:sz w:val="24"/>
          <w:szCs w:val="24"/>
          <w:lang w:val="en-US"/>
        </w:rPr>
        <w:t>for</w:t>
      </w:r>
      <w:r w:rsidR="006607B7" w:rsidRPr="00486BED">
        <w:rPr>
          <w:rFonts w:ascii="Times New Roman" w:hAnsi="Times New Roman" w:cs="Times New Roman"/>
          <w:sz w:val="24"/>
          <w:szCs w:val="24"/>
          <w:lang w:val="en-US"/>
        </w:rPr>
        <w:t xml:space="preserve"> </w:t>
      </w:r>
      <w:r w:rsidR="00E11D11" w:rsidRPr="00486BED">
        <w:rPr>
          <w:rFonts w:ascii="Times New Roman" w:hAnsi="Times New Roman" w:cs="Times New Roman"/>
          <w:sz w:val="24"/>
          <w:szCs w:val="24"/>
          <w:lang w:val="en-US"/>
        </w:rPr>
        <w:t>the</w:t>
      </w:r>
      <w:r w:rsidRPr="00486BED">
        <w:rPr>
          <w:rFonts w:ascii="Times New Roman" w:hAnsi="Times New Roman" w:cs="Times New Roman"/>
          <w:sz w:val="24"/>
          <w:szCs w:val="24"/>
          <w:lang w:val="en-US"/>
        </w:rPr>
        <w:t xml:space="preserve">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measurement results (Table 5). </w:t>
      </w:r>
      <w:r w:rsidR="006607B7">
        <w:rPr>
          <w:rFonts w:ascii="Times New Roman" w:hAnsi="Times New Roman" w:cs="Times New Roman"/>
          <w:sz w:val="24"/>
          <w:szCs w:val="24"/>
          <w:lang w:val="en-US"/>
        </w:rPr>
        <w:t>As already mentioned, t</w:t>
      </w:r>
      <w:r w:rsidR="00E11D11" w:rsidRPr="00486BED">
        <w:rPr>
          <w:rFonts w:ascii="Times New Roman" w:hAnsi="Times New Roman" w:cs="Times New Roman"/>
          <w:sz w:val="24"/>
          <w:szCs w:val="24"/>
          <w:lang w:val="en-US"/>
        </w:rPr>
        <w:t>he e</w:t>
      </w:r>
      <w:r w:rsidRPr="00486BED">
        <w:rPr>
          <w:rFonts w:ascii="Times New Roman" w:hAnsi="Times New Roman" w:cs="Times New Roman"/>
          <w:sz w:val="24"/>
          <w:szCs w:val="24"/>
          <w:lang w:val="en-US"/>
        </w:rPr>
        <w:t xml:space="preserve">xposure at the </w:t>
      </w:r>
      <w:r w:rsidR="006607B7">
        <w:rPr>
          <w:rFonts w:ascii="Times New Roman" w:hAnsi="Times New Roman" w:cs="Times New Roman"/>
          <w:sz w:val="24"/>
          <w:szCs w:val="24"/>
          <w:lang w:val="en-US"/>
        </w:rPr>
        <w:t xml:space="preserve">Metlino </w:t>
      </w:r>
      <w:r w:rsidRPr="00486BED">
        <w:rPr>
          <w:rFonts w:ascii="Times New Roman" w:hAnsi="Times New Roman" w:cs="Times New Roman"/>
          <w:sz w:val="24"/>
          <w:szCs w:val="24"/>
          <w:lang w:val="en-US"/>
        </w:rPr>
        <w:t>pond and the blind fork shorelines was different from that at the river shore</w:t>
      </w:r>
      <w:r w:rsidR="006607B7">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due to</w:t>
      </w:r>
      <w:r w:rsidR="00D04D50" w:rsidRPr="00486BED">
        <w:rPr>
          <w:rFonts w:ascii="Times New Roman" w:hAnsi="Times New Roman" w:cs="Times New Roman"/>
          <w:sz w:val="24"/>
          <w:szCs w:val="24"/>
          <w:lang w:val="en-US"/>
        </w:rPr>
        <w:t xml:space="preserve"> an</w:t>
      </w:r>
      <w:r w:rsidRPr="00486BED">
        <w:rPr>
          <w:rFonts w:ascii="Times New Roman" w:hAnsi="Times New Roman" w:cs="Times New Roman"/>
          <w:sz w:val="24"/>
          <w:szCs w:val="24"/>
          <w:lang w:val="en-US"/>
        </w:rPr>
        <w:t xml:space="preserve"> increased sorption of radionuclides in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stagnant reservoirs as compared to the free-f</w:t>
      </w:r>
      <w:r w:rsidR="00D04D50"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Pr="00486BED">
        <w:rPr>
          <w:rFonts w:ascii="Times New Roman" w:hAnsi="Times New Roman" w:cs="Times New Roman"/>
          <w:sz w:val="24"/>
          <w:szCs w:val="24"/>
          <w:lang w:val="en-US"/>
        </w:rPr>
        <w:t xml:space="preserve">ing river. This fact explains both the highest mean external doses and their highest variability typical </w:t>
      </w:r>
      <w:r w:rsidR="006607B7">
        <w:rPr>
          <w:rFonts w:ascii="Times New Roman" w:hAnsi="Times New Roman" w:cs="Times New Roman"/>
          <w:sz w:val="24"/>
          <w:szCs w:val="24"/>
          <w:lang w:val="en-US"/>
        </w:rPr>
        <w:t>for</w:t>
      </w:r>
      <w:r w:rsidRPr="00486BED">
        <w:rPr>
          <w:rFonts w:ascii="Times New Roman" w:hAnsi="Times New Roman" w:cs="Times New Roman"/>
          <w:sz w:val="24"/>
          <w:szCs w:val="24"/>
          <w:lang w:val="en-US"/>
        </w:rPr>
        <w:t xml:space="preserve"> these two settlements. </w:t>
      </w:r>
      <w:r w:rsidR="006607B7">
        <w:rPr>
          <w:rFonts w:ascii="Times New Roman" w:hAnsi="Times New Roman" w:cs="Times New Roman"/>
          <w:sz w:val="24"/>
          <w:szCs w:val="24"/>
          <w:lang w:val="en-US"/>
        </w:rPr>
        <w:t>In contrast, t</w:t>
      </w:r>
      <w:r w:rsidR="00D04D50" w:rsidRPr="00486BED">
        <w:rPr>
          <w:rFonts w:ascii="Times New Roman" w:hAnsi="Times New Roman" w:cs="Times New Roman"/>
          <w:sz w:val="24"/>
          <w:szCs w:val="24"/>
          <w:lang w:val="en-US"/>
        </w:rPr>
        <w:t>he m</w:t>
      </w:r>
      <w:r w:rsidRPr="00486BED">
        <w:rPr>
          <w:rFonts w:ascii="Times New Roman" w:hAnsi="Times New Roman" w:cs="Times New Roman"/>
          <w:sz w:val="24"/>
          <w:szCs w:val="24"/>
          <w:lang w:val="en-US"/>
        </w:rPr>
        <w:t xml:space="preserve">ean doses in other settlements located </w:t>
      </w:r>
      <w:r w:rsidR="00D04D50" w:rsidRPr="00486BED">
        <w:rPr>
          <w:rFonts w:ascii="Times New Roman" w:hAnsi="Times New Roman" w:cs="Times New Roman"/>
          <w:sz w:val="24"/>
          <w:szCs w:val="24"/>
          <w:lang w:val="en-US"/>
        </w:rPr>
        <w:t>near</w:t>
      </w:r>
      <w:r w:rsidRPr="00486BED">
        <w:rPr>
          <w:rFonts w:ascii="Times New Roman" w:hAnsi="Times New Roman" w:cs="Times New Roman"/>
          <w:sz w:val="24"/>
          <w:szCs w:val="24"/>
          <w:lang w:val="en-US"/>
        </w:rPr>
        <w:t xml:space="preserve"> the free-f</w:t>
      </w:r>
      <w:r w:rsidR="00D04D50"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Pr="00486BED">
        <w:rPr>
          <w:rFonts w:ascii="Times New Roman" w:hAnsi="Times New Roman" w:cs="Times New Roman"/>
          <w:sz w:val="24"/>
          <w:szCs w:val="24"/>
          <w:lang w:val="en-US"/>
        </w:rPr>
        <w:t>ing river stream did not exceed 160 mGy. At the distance of 70 km the mean external dose decreased to 70 mGy, and farther</w:t>
      </w:r>
      <w:r w:rsidR="00D04D50" w:rsidRPr="00486BED">
        <w:rPr>
          <w:rFonts w:ascii="Times New Roman" w:hAnsi="Times New Roman" w:cs="Times New Roman"/>
          <w:sz w:val="24"/>
          <w:szCs w:val="24"/>
          <w:lang w:val="en-US"/>
        </w:rPr>
        <w:t xml:space="preserve"> </w:t>
      </w:r>
      <w:r w:rsidR="006607B7">
        <w:rPr>
          <w:rFonts w:ascii="Times New Roman" w:hAnsi="Times New Roman" w:cs="Times New Roman"/>
          <w:sz w:val="24"/>
          <w:szCs w:val="24"/>
          <w:lang w:val="en-US"/>
        </w:rPr>
        <w:t>downstream</w:t>
      </w:r>
      <w:r w:rsidRPr="00486BED">
        <w:rPr>
          <w:rFonts w:ascii="Times New Roman" w:hAnsi="Times New Roman" w:cs="Times New Roman"/>
          <w:sz w:val="24"/>
          <w:szCs w:val="24"/>
          <w:lang w:val="en-US"/>
        </w:rPr>
        <w:t xml:space="preserve">, in the Middle and </w:t>
      </w:r>
      <w:r w:rsidR="00315BAF" w:rsidRPr="00486BED">
        <w:rPr>
          <w:rFonts w:ascii="Times New Roman" w:hAnsi="Times New Roman" w:cs="Times New Roman"/>
          <w:sz w:val="24"/>
          <w:szCs w:val="24"/>
          <w:lang w:val="en-US"/>
        </w:rPr>
        <w:t>Lower</w:t>
      </w:r>
      <w:r w:rsidRPr="00486BED">
        <w:rPr>
          <w:rFonts w:ascii="Times New Roman" w:hAnsi="Times New Roman" w:cs="Times New Roman"/>
          <w:sz w:val="24"/>
          <w:szCs w:val="24"/>
          <w:lang w:val="en-US"/>
        </w:rPr>
        <w:t xml:space="preserve"> Techa areas it was about 60 mGy. </w:t>
      </w:r>
      <w:r w:rsidR="00D04D50" w:rsidRPr="00486BED">
        <w:rPr>
          <w:rFonts w:ascii="Times New Roman" w:hAnsi="Times New Roman" w:cs="Times New Roman"/>
          <w:sz w:val="24"/>
          <w:szCs w:val="24"/>
          <w:lang w:val="en-US"/>
        </w:rPr>
        <w:t>The m</w:t>
      </w:r>
      <w:r w:rsidRPr="00486BED">
        <w:rPr>
          <w:rFonts w:ascii="Times New Roman" w:hAnsi="Times New Roman" w:cs="Times New Roman"/>
          <w:sz w:val="24"/>
          <w:szCs w:val="24"/>
          <w:lang w:val="en-GB"/>
        </w:rPr>
        <w:t xml:space="preserve">aximum individual external doses reached 1.9 Gy in Metlino </w:t>
      </w:r>
      <w:r w:rsidRPr="00486BED">
        <w:rPr>
          <w:rFonts w:ascii="Times New Roman" w:hAnsi="Times New Roman" w:cs="Times New Roman"/>
          <w:sz w:val="24"/>
          <w:szCs w:val="24"/>
          <w:lang w:val="en-US"/>
        </w:rPr>
        <w:t>(7 km)</w:t>
      </w:r>
      <w:r w:rsidR="00D04D50" w:rsidRPr="00486BED">
        <w:rPr>
          <w:rFonts w:ascii="Times New Roman" w:hAnsi="Times New Roman" w:cs="Times New Roman"/>
          <w:sz w:val="24"/>
          <w:szCs w:val="24"/>
          <w:lang w:val="en-US"/>
        </w:rPr>
        <w:t>,</w:t>
      </w:r>
      <w:r w:rsidRPr="00486BED">
        <w:rPr>
          <w:rFonts w:ascii="Times New Roman" w:hAnsi="Times New Roman" w:cs="Times New Roman"/>
          <w:sz w:val="24"/>
          <w:szCs w:val="24"/>
          <w:lang w:val="en-GB"/>
        </w:rPr>
        <w:t xml:space="preserve"> and 2.2 Gy in Nadyrovo </w:t>
      </w:r>
      <w:r w:rsidRPr="00486BED">
        <w:rPr>
          <w:rFonts w:ascii="Times New Roman" w:hAnsi="Times New Roman" w:cs="Times New Roman"/>
          <w:sz w:val="24"/>
          <w:szCs w:val="24"/>
          <w:lang w:val="en-US"/>
        </w:rPr>
        <w:t xml:space="preserve">(50 km). </w:t>
      </w:r>
    </w:p>
    <w:p w14:paraId="10FEAFE7" w14:textId="77777777" w:rsidR="00310457" w:rsidRPr="00486BED" w:rsidRDefault="00310457" w:rsidP="00486BED">
      <w:pPr>
        <w:spacing w:after="240" w:line="360" w:lineRule="auto"/>
        <w:ind w:firstLine="708"/>
        <w:jc w:val="both"/>
        <w:rPr>
          <w:rFonts w:ascii="Times New Roman" w:hAnsi="Times New Roman" w:cs="Times New Roman"/>
          <w:sz w:val="24"/>
          <w:szCs w:val="24"/>
          <w:lang w:val="en-US"/>
        </w:rPr>
      </w:pPr>
    </w:p>
    <w:p w14:paraId="15AEFBA0" w14:textId="77777777" w:rsidR="00310457" w:rsidRPr="00F763B2" w:rsidRDefault="00310457" w:rsidP="00F763B2">
      <w:pPr>
        <w:spacing w:after="240" w:line="360" w:lineRule="auto"/>
        <w:jc w:val="both"/>
        <w:rPr>
          <w:rFonts w:ascii="Times New Roman" w:hAnsi="Times New Roman" w:cs="Times New Roman"/>
          <w:b/>
          <w:sz w:val="24"/>
          <w:szCs w:val="24"/>
          <w:lang w:val="en-US"/>
        </w:rPr>
      </w:pPr>
      <w:r w:rsidRPr="00F763B2">
        <w:rPr>
          <w:rFonts w:ascii="Times New Roman" w:hAnsi="Times New Roman" w:cs="Times New Roman"/>
          <w:b/>
          <w:sz w:val="24"/>
          <w:szCs w:val="24"/>
          <w:lang w:val="en-US"/>
        </w:rPr>
        <w:t>Discussion</w:t>
      </w:r>
    </w:p>
    <w:p w14:paraId="74F7E045" w14:textId="77777777" w:rsidR="00310457" w:rsidRPr="00486BED" w:rsidRDefault="00310457" w:rsidP="00486BED">
      <w:pPr>
        <w:spacing w:after="240" w:line="360" w:lineRule="auto"/>
        <w:ind w:firstLine="709"/>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A specific feature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tooth dosimetry in the Urals region is </w:t>
      </w:r>
      <w:r w:rsidR="00A74040">
        <w:rPr>
          <w:rFonts w:ascii="Times New Roman" w:hAnsi="Times New Roman" w:cs="Times New Roman"/>
          <w:sz w:val="24"/>
          <w:szCs w:val="24"/>
          <w:lang w:val="en-US"/>
        </w:rPr>
        <w:t>the</w:t>
      </w:r>
      <w:r w:rsidRPr="00486BED">
        <w:rPr>
          <w:rFonts w:ascii="Times New Roman" w:hAnsi="Times New Roman" w:cs="Times New Roman"/>
          <w:sz w:val="24"/>
          <w:szCs w:val="24"/>
          <w:lang w:val="en-US"/>
        </w:rPr>
        <w:t xml:space="preserve"> combination of internal and external exposure. Therefore, a set of experimental and computational methods </w:t>
      </w:r>
      <w:r w:rsidR="00A74040">
        <w:rPr>
          <w:rFonts w:ascii="Times New Roman" w:hAnsi="Times New Roman" w:cs="Times New Roman"/>
          <w:sz w:val="24"/>
          <w:szCs w:val="24"/>
          <w:lang w:val="en-US"/>
        </w:rPr>
        <w:t>had to be</w:t>
      </w:r>
      <w:r w:rsidRPr="00486BED">
        <w:rPr>
          <w:rFonts w:ascii="Times New Roman" w:hAnsi="Times New Roman" w:cs="Times New Roman"/>
          <w:sz w:val="24"/>
          <w:szCs w:val="24"/>
          <w:lang w:val="en-US"/>
        </w:rPr>
        <w:t xml:space="preserve"> used</w:t>
      </w:r>
      <w:r w:rsidR="00A74040">
        <w:rPr>
          <w:rFonts w:ascii="Times New Roman" w:hAnsi="Times New Roman" w:cs="Times New Roman"/>
          <w:sz w:val="24"/>
          <w:szCs w:val="24"/>
          <w:lang w:val="en-US"/>
        </w:rPr>
        <w:t xml:space="preserve"> for retrospective dose reconstruction</w:t>
      </w:r>
      <w:r w:rsidRPr="00486BED">
        <w:rPr>
          <w:rFonts w:ascii="Times New Roman" w:hAnsi="Times New Roman" w:cs="Times New Roman"/>
          <w:sz w:val="24"/>
          <w:szCs w:val="24"/>
          <w:lang w:val="en-US"/>
        </w:rPr>
        <w:t>. In the course of th</w:t>
      </w:r>
      <w:r w:rsidR="00627D6F">
        <w:rPr>
          <w:rFonts w:ascii="Times New Roman" w:hAnsi="Times New Roman" w:cs="Times New Roman"/>
          <w:sz w:val="24"/>
          <w:szCs w:val="24"/>
          <w:lang w:val="en-US"/>
        </w:rPr>
        <w:t>is</w:t>
      </w:r>
      <w:r w:rsidRPr="00486BED">
        <w:rPr>
          <w:rFonts w:ascii="Times New Roman" w:hAnsi="Times New Roman" w:cs="Times New Roman"/>
          <w:sz w:val="24"/>
          <w:szCs w:val="24"/>
          <w:lang w:val="en-US"/>
        </w:rPr>
        <w:t xml:space="preserve"> work a lot of subtasks were completed, such as improvements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EPR dosimetry methods (Ignatiev et al., 1996; Wieser et.al., 2000b; Fattibene et al., 2004), elaboration of the algorithm </w:t>
      </w:r>
      <w:r w:rsidR="00D04D50" w:rsidRPr="00486BED">
        <w:rPr>
          <w:rFonts w:ascii="Times New Roman" w:hAnsi="Times New Roman" w:cs="Times New Roman"/>
          <w:sz w:val="24"/>
          <w:szCs w:val="24"/>
          <w:lang w:val="en-US"/>
        </w:rPr>
        <w:t>for</w:t>
      </w:r>
      <w:r w:rsidRPr="00486BED">
        <w:rPr>
          <w:rFonts w:ascii="Times New Roman" w:hAnsi="Times New Roman" w:cs="Times New Roman"/>
          <w:sz w:val="24"/>
          <w:szCs w:val="24"/>
          <w:lang w:val="en-US"/>
        </w:rPr>
        <w:t xml:space="preserve"> evaluation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method-specific performances and uncertainties (Shishkina et al., 2014a; Ivanov et al., 2011), elaboration of a new method for passive TL beta detection of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 xml:space="preserve">Sr in tooth tissues (Göksu et al., 2002; Shishkina 2012a), calculation of dose coefficients converting tissue-specific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Sr activity concentrations to enamel dose rates (Tikunov et al., 2006, Volchkova and Shishkina, 2012)</w:t>
      </w:r>
      <w:r w:rsidR="00627D6F">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elaboration of the model of </w:t>
      </w:r>
      <w:r w:rsidRPr="00486BED">
        <w:rPr>
          <w:rFonts w:ascii="Times New Roman" w:hAnsi="Times New Roman" w:cs="Times New Roman"/>
          <w:sz w:val="24"/>
          <w:szCs w:val="24"/>
          <w:vertAlign w:val="superscript"/>
          <w:lang w:val="en-US"/>
        </w:rPr>
        <w:t>90</w:t>
      </w:r>
      <w:r w:rsidRPr="00486BED">
        <w:rPr>
          <w:rFonts w:ascii="Times New Roman" w:hAnsi="Times New Roman" w:cs="Times New Roman"/>
          <w:sz w:val="24"/>
          <w:szCs w:val="24"/>
          <w:lang w:val="en-US"/>
        </w:rPr>
        <w:t>Sr activity concentrations in</w:t>
      </w:r>
      <w:r w:rsidR="00D04D50" w:rsidRPr="00486BED">
        <w:rPr>
          <w:rFonts w:ascii="Times New Roman" w:hAnsi="Times New Roman" w:cs="Times New Roman"/>
          <w:sz w:val="24"/>
          <w:szCs w:val="24"/>
          <w:lang w:val="en-US"/>
        </w:rPr>
        <w:t xml:space="preserve"> the</w:t>
      </w:r>
      <w:r w:rsidRPr="00486BED">
        <w:rPr>
          <w:rFonts w:ascii="Times New Roman" w:hAnsi="Times New Roman" w:cs="Times New Roman"/>
          <w:sz w:val="24"/>
          <w:szCs w:val="24"/>
          <w:lang w:val="en-US"/>
        </w:rPr>
        <w:t xml:space="preserve"> tooth tissues 60 years after the intakes (Shishkina et al., 2014b). All these efforts </w:t>
      </w:r>
      <w:r w:rsidR="00627D6F">
        <w:rPr>
          <w:rFonts w:ascii="Times New Roman" w:hAnsi="Times New Roman" w:cs="Times New Roman"/>
          <w:sz w:val="24"/>
          <w:szCs w:val="24"/>
          <w:lang w:val="en-US"/>
        </w:rPr>
        <w:t xml:space="preserve">combined </w:t>
      </w:r>
      <w:r w:rsidRPr="00486BED">
        <w:rPr>
          <w:rFonts w:ascii="Times New Roman" w:hAnsi="Times New Roman" w:cs="Times New Roman"/>
          <w:sz w:val="24"/>
          <w:szCs w:val="24"/>
          <w:lang w:val="en-US"/>
        </w:rPr>
        <w:t>al</w:t>
      </w:r>
      <w:r w:rsidR="00D04D50"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627D6F">
        <w:rPr>
          <w:rFonts w:ascii="Times New Roman" w:hAnsi="Times New Roman" w:cs="Times New Roman"/>
          <w:sz w:val="24"/>
          <w:szCs w:val="24"/>
          <w:lang w:val="en-US"/>
        </w:rPr>
        <w:t>s</w:t>
      </w:r>
      <w:r w:rsidRPr="00486BED">
        <w:rPr>
          <w:rFonts w:ascii="Times New Roman" w:hAnsi="Times New Roman" w:cs="Times New Roman"/>
          <w:sz w:val="24"/>
          <w:szCs w:val="24"/>
          <w:lang w:val="en-US"/>
        </w:rPr>
        <w:t xml:space="preserve"> evaluat</w:t>
      </w:r>
      <w:r w:rsidR="00627D6F">
        <w:rPr>
          <w:rFonts w:ascii="Times New Roman" w:hAnsi="Times New Roman" w:cs="Times New Roman"/>
          <w:sz w:val="24"/>
          <w:szCs w:val="24"/>
          <w:lang w:val="en-US"/>
        </w:rPr>
        <w:t>ion of</w:t>
      </w:r>
      <w:r w:rsidRPr="00486BED">
        <w:rPr>
          <w:rFonts w:ascii="Times New Roman" w:hAnsi="Times New Roman" w:cs="Times New Roman"/>
          <w:sz w:val="24"/>
          <w:szCs w:val="24"/>
          <w:lang w:val="en-US"/>
        </w:rPr>
        <w:t xml:space="preserve"> anthropogenic doses in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tooth enamel of the Techa riverside residents</w:t>
      </w:r>
      <w:r w:rsidR="00D04D50"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assess</w:t>
      </w:r>
      <w:r w:rsidR="00627D6F">
        <w:rPr>
          <w:rFonts w:ascii="Times New Roman" w:hAnsi="Times New Roman" w:cs="Times New Roman"/>
          <w:sz w:val="24"/>
          <w:szCs w:val="24"/>
          <w:lang w:val="en-US"/>
        </w:rPr>
        <w:t>ment of</w:t>
      </w:r>
      <w:r w:rsidRPr="00486BED">
        <w:rPr>
          <w:rFonts w:ascii="Times New Roman" w:hAnsi="Times New Roman" w:cs="Times New Roman"/>
          <w:sz w:val="24"/>
          <w:szCs w:val="24"/>
          <w:lang w:val="en-US"/>
        </w:rPr>
        <w:t xml:space="preserve"> the contribution of different sources of enamel exposure, viz, internal dose due to </w:t>
      </w:r>
      <w:r w:rsidRPr="00486BED">
        <w:rPr>
          <w:rFonts w:ascii="Times New Roman" w:hAnsi="Times New Roman" w:cs="Times New Roman"/>
          <w:sz w:val="24"/>
          <w:szCs w:val="24"/>
          <w:vertAlign w:val="superscript"/>
          <w:lang w:val="en-US"/>
        </w:rPr>
        <w:t>90,89</w:t>
      </w:r>
      <w:r w:rsidRPr="00486BED">
        <w:rPr>
          <w:rFonts w:ascii="Times New Roman" w:hAnsi="Times New Roman" w:cs="Times New Roman"/>
          <w:sz w:val="24"/>
          <w:szCs w:val="24"/>
          <w:lang w:val="en-US"/>
        </w:rPr>
        <w:t xml:space="preserve">Sr incorporated in the tooth tissues and external doses. </w:t>
      </w:r>
    </w:p>
    <w:p w14:paraId="6463AB47" w14:textId="77777777" w:rsidR="00310457" w:rsidRPr="00486BED" w:rsidRDefault="00310457" w:rsidP="00486BED">
      <w:pPr>
        <w:spacing w:after="240" w:line="360" w:lineRule="auto"/>
        <w:ind w:firstLine="36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Figure 5 presents the external dose contribution to anthropogenic doses of the Techa riverside residents. As can be seen from Fig. 5, the fraction of external dose was dependent on the place of residence. The average external dose fraction </w:t>
      </w:r>
      <w:r w:rsidR="001D4D27">
        <w:rPr>
          <w:rFonts w:ascii="Times New Roman" w:hAnsi="Times New Roman" w:cs="Times New Roman"/>
          <w:sz w:val="24"/>
          <w:szCs w:val="24"/>
          <w:lang w:val="en-US"/>
        </w:rPr>
        <w:t xml:space="preserve">contributing to </w:t>
      </w:r>
      <w:r w:rsidRPr="00486BED">
        <w:rPr>
          <w:rFonts w:ascii="Times New Roman" w:hAnsi="Times New Roman" w:cs="Times New Roman"/>
          <w:sz w:val="24"/>
          <w:szCs w:val="24"/>
          <w:lang w:val="en-US"/>
        </w:rPr>
        <w:t>the anthropogenic enamel doses of Metlino residents (7 km) was 70</w:t>
      </w:r>
      <w:r w:rsidR="001D4D27">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1D4D27">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10%; 25 - 75‰ of the dose fractions fall within the range from 60% to 92%. At </w:t>
      </w:r>
      <w:r w:rsidR="001D4D27">
        <w:rPr>
          <w:rFonts w:ascii="Times New Roman" w:hAnsi="Times New Roman" w:cs="Times New Roman"/>
          <w:sz w:val="24"/>
          <w:szCs w:val="24"/>
          <w:lang w:val="en-US"/>
        </w:rPr>
        <w:t>a</w:t>
      </w:r>
      <w:r w:rsidRPr="00486BED">
        <w:rPr>
          <w:rFonts w:ascii="Times New Roman" w:hAnsi="Times New Roman" w:cs="Times New Roman"/>
          <w:sz w:val="24"/>
          <w:szCs w:val="24"/>
          <w:lang w:val="en-US"/>
        </w:rPr>
        <w:t xml:space="preserve"> distance of 18-33 km from the site of releases, the mean contribution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external exposure was 50</w:t>
      </w:r>
      <w:r w:rsidR="001D4D27">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1D4D27">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11%</w:t>
      </w:r>
      <w:r w:rsidR="00D04D50"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was comparable with the </w:t>
      </w:r>
      <w:r w:rsidRPr="00486BED">
        <w:rPr>
          <w:rFonts w:ascii="Times New Roman" w:hAnsi="Times New Roman" w:cs="Times New Roman"/>
          <w:sz w:val="24"/>
          <w:szCs w:val="24"/>
          <w:vertAlign w:val="superscript"/>
          <w:lang w:val="en-US"/>
        </w:rPr>
        <w:t>89,90</w:t>
      </w:r>
      <w:r w:rsidRPr="00486BED">
        <w:rPr>
          <w:rFonts w:ascii="Times New Roman" w:hAnsi="Times New Roman" w:cs="Times New Roman"/>
          <w:sz w:val="24"/>
          <w:szCs w:val="24"/>
          <w:lang w:val="en-US"/>
        </w:rPr>
        <w:t xml:space="preserve">Sr dose </w:t>
      </w:r>
      <w:r w:rsidR="001D4D27">
        <w:rPr>
          <w:rFonts w:ascii="Times New Roman" w:hAnsi="Times New Roman" w:cs="Times New Roman"/>
          <w:sz w:val="24"/>
          <w:szCs w:val="24"/>
          <w:lang w:val="en-US"/>
        </w:rPr>
        <w:t>contribution</w:t>
      </w:r>
      <w:r w:rsidRPr="00486BED">
        <w:rPr>
          <w:rFonts w:ascii="Times New Roman" w:hAnsi="Times New Roman" w:cs="Times New Roman"/>
          <w:sz w:val="24"/>
          <w:szCs w:val="24"/>
          <w:lang w:val="en-US"/>
        </w:rPr>
        <w:t xml:space="preserve"> (48</w:t>
      </w:r>
      <w:r w:rsidR="00D82DE5">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D82DE5">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11%). </w:t>
      </w:r>
      <w:r w:rsidR="00D04D50" w:rsidRPr="00486BED">
        <w:rPr>
          <w:rFonts w:ascii="Times New Roman" w:hAnsi="Times New Roman" w:cs="Times New Roman"/>
          <w:sz w:val="24"/>
          <w:szCs w:val="24"/>
          <w:lang w:val="en-US"/>
        </w:rPr>
        <w:t>The e</w:t>
      </w:r>
      <w:r w:rsidRPr="00486BED">
        <w:rPr>
          <w:rFonts w:ascii="Times New Roman" w:hAnsi="Times New Roman" w:cs="Times New Roman"/>
          <w:sz w:val="24"/>
          <w:szCs w:val="24"/>
          <w:lang w:val="en-US"/>
        </w:rPr>
        <w:t xml:space="preserve">xternal exposure of </w:t>
      </w:r>
      <w:r w:rsidR="006B70EC">
        <w:rPr>
          <w:rFonts w:ascii="Times New Roman" w:hAnsi="Times New Roman" w:cs="Times New Roman"/>
          <w:sz w:val="24"/>
          <w:szCs w:val="24"/>
          <w:lang w:val="en-US"/>
        </w:rPr>
        <w:t>individuals</w:t>
      </w:r>
      <w:r w:rsidR="006B70EC"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residing in Nadyrovo (50 km) made up 47</w:t>
      </w:r>
      <w:r w:rsidR="00D82DE5">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 11%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anthropogenic doses</w:t>
      </w:r>
      <w:r w:rsidR="00D04D50"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was comparable with</w:t>
      </w:r>
      <w:r w:rsidR="00D82DE5">
        <w:rPr>
          <w:rFonts w:ascii="Times New Roman" w:hAnsi="Times New Roman" w:cs="Times New Roman"/>
          <w:sz w:val="24"/>
          <w:szCs w:val="24"/>
          <w:lang w:val="en-US"/>
        </w:rPr>
        <w:t xml:space="preserve"> the</w:t>
      </w:r>
      <w:r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vertAlign w:val="superscript"/>
          <w:lang w:val="en-US"/>
        </w:rPr>
        <w:t>137</w:t>
      </w:r>
      <w:r w:rsidRPr="00486BED">
        <w:rPr>
          <w:rFonts w:ascii="Times New Roman" w:hAnsi="Times New Roman" w:cs="Times New Roman"/>
          <w:sz w:val="24"/>
          <w:szCs w:val="24"/>
          <w:lang w:val="en-US"/>
        </w:rPr>
        <w:t>Cs contribution (34</w:t>
      </w:r>
      <w:r w:rsidR="00D82DE5">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D82DE5">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9%). The tooth enamel of </w:t>
      </w:r>
      <w:r w:rsidR="00D82DE5">
        <w:rPr>
          <w:rFonts w:ascii="Times New Roman" w:hAnsi="Times New Roman" w:cs="Times New Roman"/>
          <w:sz w:val="24"/>
          <w:szCs w:val="24"/>
          <w:lang w:val="en-US"/>
        </w:rPr>
        <w:t>individuals</w:t>
      </w:r>
      <w:r w:rsidRPr="00486BED">
        <w:rPr>
          <w:rFonts w:ascii="Times New Roman" w:hAnsi="Times New Roman" w:cs="Times New Roman"/>
          <w:sz w:val="24"/>
          <w:szCs w:val="24"/>
          <w:lang w:val="en-US"/>
        </w:rPr>
        <w:t xml:space="preserve"> living </w:t>
      </w:r>
      <w:r w:rsidR="00D82DE5">
        <w:rPr>
          <w:rFonts w:ascii="Times New Roman" w:hAnsi="Times New Roman" w:cs="Times New Roman"/>
          <w:sz w:val="24"/>
          <w:szCs w:val="24"/>
          <w:lang w:val="en-US"/>
        </w:rPr>
        <w:t xml:space="preserve">further </w:t>
      </w:r>
      <w:r w:rsidRPr="00486BED">
        <w:rPr>
          <w:rFonts w:ascii="Times New Roman" w:hAnsi="Times New Roman" w:cs="Times New Roman"/>
          <w:sz w:val="24"/>
          <w:szCs w:val="24"/>
          <w:lang w:val="en-US"/>
        </w:rPr>
        <w:t>downstream of the Techa River had approximately equal dose fractions of three contributors (</w:t>
      </w:r>
      <w:r w:rsidRPr="00486BED">
        <w:rPr>
          <w:rFonts w:ascii="Times New Roman" w:hAnsi="Times New Roman" w:cs="Times New Roman"/>
          <w:sz w:val="24"/>
          <w:szCs w:val="24"/>
          <w:vertAlign w:val="superscript"/>
          <w:lang w:val="en-US"/>
        </w:rPr>
        <w:t>89,90</w:t>
      </w:r>
      <w:r w:rsidRPr="00486BED">
        <w:rPr>
          <w:rFonts w:ascii="Times New Roman" w:hAnsi="Times New Roman" w:cs="Times New Roman"/>
          <w:sz w:val="24"/>
          <w:szCs w:val="24"/>
          <w:lang w:val="en-US"/>
        </w:rPr>
        <w:t xml:space="preserve">Sr, </w:t>
      </w:r>
      <w:r w:rsidRPr="00486BED">
        <w:rPr>
          <w:rFonts w:ascii="Times New Roman" w:hAnsi="Times New Roman" w:cs="Times New Roman"/>
          <w:sz w:val="24"/>
          <w:szCs w:val="24"/>
          <w:vertAlign w:val="superscript"/>
          <w:lang w:val="en-US"/>
        </w:rPr>
        <w:t>137</w:t>
      </w:r>
      <w:r w:rsidRPr="00486BED">
        <w:rPr>
          <w:rFonts w:ascii="Times New Roman" w:hAnsi="Times New Roman" w:cs="Times New Roman"/>
          <w:sz w:val="24"/>
          <w:szCs w:val="24"/>
          <w:lang w:val="en-US"/>
        </w:rPr>
        <w:t>Cs, and external exposure).</w:t>
      </w:r>
    </w:p>
    <w:p w14:paraId="5EAEB881" w14:textId="77777777" w:rsidR="00310457" w:rsidRPr="00486BED" w:rsidRDefault="00310457" w:rsidP="00486BED">
      <w:pPr>
        <w:spacing w:after="240" w:line="360" w:lineRule="auto"/>
        <w:ind w:firstLine="36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Looking at Fig. 4, one can note that Nadyrovo falls out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sequence of external doses that decreased almost exponentially with the distance. Even the mean </w:t>
      </w:r>
      <w:r w:rsidRPr="00486BED">
        <w:rPr>
          <w:rFonts w:ascii="Times New Roman" w:hAnsi="Times New Roman" w:cs="Times New Roman"/>
          <w:i/>
          <w:sz w:val="24"/>
          <w:szCs w:val="24"/>
          <w:lang w:val="en-US"/>
        </w:rPr>
        <w:t>BLI</w:t>
      </w:r>
      <w:r w:rsidRPr="00486BED">
        <w:rPr>
          <w:rFonts w:ascii="Times New Roman" w:hAnsi="Times New Roman" w:cs="Times New Roman"/>
          <w:sz w:val="24"/>
          <w:szCs w:val="24"/>
          <w:lang w:val="en-US"/>
        </w:rPr>
        <w:t xml:space="preserve"> dose in Nadyrovo is higher than th</w:t>
      </w:r>
      <w:r w:rsidR="002C537B">
        <w:rPr>
          <w:rFonts w:ascii="Times New Roman" w:hAnsi="Times New Roman" w:cs="Times New Roman"/>
          <w:sz w:val="24"/>
          <w:szCs w:val="24"/>
          <w:lang w:val="en-US"/>
        </w:rPr>
        <w:t>e corresponding values</w:t>
      </w:r>
      <w:r w:rsidRPr="00486BED">
        <w:rPr>
          <w:rFonts w:ascii="Times New Roman" w:hAnsi="Times New Roman" w:cs="Times New Roman"/>
          <w:sz w:val="24"/>
          <w:szCs w:val="24"/>
          <w:lang w:val="en-US"/>
        </w:rPr>
        <w:t xml:space="preserve"> estimated for the neighboring settlements (Table 5). Two persons out of 10, who were from Nadyrovo and Nadyrov Most, lived very close to a highly contaminated blind fork of the Techa River in the area inundated by floods. In other words, </w:t>
      </w:r>
      <w:r w:rsidR="00556080">
        <w:rPr>
          <w:rFonts w:ascii="Times New Roman" w:hAnsi="Times New Roman" w:cs="Times New Roman"/>
          <w:sz w:val="24"/>
          <w:szCs w:val="24"/>
          <w:lang w:val="en-US"/>
        </w:rPr>
        <w:t xml:space="preserve">in terms of radiation exposure </w:t>
      </w:r>
      <w:r w:rsidRPr="00486BED">
        <w:rPr>
          <w:rFonts w:ascii="Times New Roman" w:hAnsi="Times New Roman" w:cs="Times New Roman"/>
          <w:sz w:val="24"/>
          <w:szCs w:val="24"/>
          <w:lang w:val="en-US"/>
        </w:rPr>
        <w:t xml:space="preserve">they </w:t>
      </w:r>
      <w:r w:rsidR="00556080">
        <w:rPr>
          <w:rFonts w:ascii="Times New Roman" w:hAnsi="Times New Roman" w:cs="Times New Roman"/>
          <w:sz w:val="24"/>
          <w:szCs w:val="24"/>
          <w:lang w:val="en-US"/>
        </w:rPr>
        <w:t>lived</w:t>
      </w:r>
      <w:r w:rsidR="00556080"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in the most adverse conditions. </w:t>
      </w:r>
      <w:r w:rsidR="00D04D50" w:rsidRPr="00486BED">
        <w:rPr>
          <w:rFonts w:ascii="Times New Roman" w:hAnsi="Times New Roman" w:cs="Times New Roman"/>
          <w:sz w:val="24"/>
          <w:szCs w:val="24"/>
          <w:lang w:val="en-US"/>
        </w:rPr>
        <w:t>The i</w:t>
      </w:r>
      <w:r w:rsidRPr="00486BED">
        <w:rPr>
          <w:rFonts w:ascii="Times New Roman" w:hAnsi="Times New Roman" w:cs="Times New Roman"/>
          <w:sz w:val="24"/>
          <w:szCs w:val="24"/>
          <w:lang w:val="en-US"/>
        </w:rPr>
        <w:t>ndividual anthropogenic enamel doses for them were found to be equal to 1.9</w:t>
      </w:r>
      <w:r w:rsidR="00556080">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556080">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0.4 Gy and 2.4</w:t>
      </w:r>
      <w:r w:rsidR="00556080">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w:t>
      </w:r>
      <w:r w:rsidR="00556080">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0.5 Gy. Therefore, both the group-averaged external doses and the dose variance were quite large for these settlements.</w:t>
      </w:r>
    </w:p>
    <w:p w14:paraId="6FE91469" w14:textId="77777777" w:rsidR="00310457" w:rsidRPr="00486BED" w:rsidRDefault="00310457" w:rsidP="00486BED">
      <w:pPr>
        <w:spacing w:after="240" w:line="360" w:lineRule="auto"/>
        <w:ind w:firstLine="36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The main purpose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EPR tooth dosimetry was the validation of the TRDS doses. The TRDS provides average estimates of the external dose for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groups of residents of the same age who lived at the same time </w:t>
      </w:r>
      <w:r w:rsidR="00556080">
        <w:rPr>
          <w:rFonts w:ascii="Times New Roman" w:hAnsi="Times New Roman" w:cs="Times New Roman"/>
          <w:sz w:val="24"/>
          <w:szCs w:val="24"/>
          <w:lang w:val="en-US"/>
        </w:rPr>
        <w:t>at</w:t>
      </w:r>
      <w:r w:rsidRPr="00486BED">
        <w:rPr>
          <w:rFonts w:ascii="Times New Roman" w:hAnsi="Times New Roman" w:cs="Times New Roman"/>
          <w:sz w:val="24"/>
          <w:szCs w:val="24"/>
          <w:lang w:val="en-US"/>
        </w:rPr>
        <w:t xml:space="preserve"> the same location (Degteva et al. 2000a,b; Degteva et al. 2006; Napier et al. 2013). The </w:t>
      </w:r>
      <w:r w:rsidR="00556080">
        <w:rPr>
          <w:rFonts w:ascii="Times New Roman" w:hAnsi="Times New Roman" w:cs="Times New Roman"/>
          <w:sz w:val="24"/>
          <w:szCs w:val="24"/>
          <w:lang w:val="en-US"/>
        </w:rPr>
        <w:t xml:space="preserve">TRDS </w:t>
      </w:r>
      <w:r w:rsidRPr="00486BED">
        <w:rPr>
          <w:rFonts w:ascii="Times New Roman" w:hAnsi="Times New Roman" w:cs="Times New Roman"/>
          <w:sz w:val="24"/>
          <w:szCs w:val="24"/>
          <w:lang w:val="en-US"/>
        </w:rPr>
        <w:t xml:space="preserve">estimates are based on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dose rates in air at the river banks, which </w:t>
      </w:r>
      <w:r w:rsidR="00965C14">
        <w:rPr>
          <w:rFonts w:ascii="Times New Roman" w:hAnsi="Times New Roman" w:cs="Times New Roman"/>
          <w:sz w:val="24"/>
          <w:szCs w:val="24"/>
          <w:lang w:val="en-US"/>
        </w:rPr>
        <w:t>we</w:t>
      </w:r>
      <w:r w:rsidRPr="00486BED">
        <w:rPr>
          <w:rFonts w:ascii="Times New Roman" w:hAnsi="Times New Roman" w:cs="Times New Roman"/>
          <w:sz w:val="24"/>
          <w:szCs w:val="24"/>
          <w:lang w:val="en-US"/>
        </w:rPr>
        <w:t xml:space="preserve">re evaluated with the use of data on radionuclide activity concentrations in the floodplain soil (Vorobiova et al. 1999; Shagina et al. 2012a), </w:t>
      </w:r>
      <w:r w:rsidR="00965C14">
        <w:rPr>
          <w:rFonts w:ascii="Times New Roman" w:hAnsi="Times New Roman" w:cs="Times New Roman"/>
          <w:sz w:val="24"/>
          <w:szCs w:val="24"/>
          <w:lang w:val="en-US"/>
        </w:rPr>
        <w:t>dose</w:t>
      </w:r>
      <w:r w:rsidR="00D04D50"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coefficients obtained by </w:t>
      </w:r>
      <w:r w:rsidR="00D04D50" w:rsidRPr="00486BED">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 xml:space="preserve">Monte Carlo simulations of </w:t>
      </w:r>
      <w:r w:rsidR="00D04D50"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air kerma for contaminated soil (Eckerman and Ryman 1993)</w:t>
      </w:r>
      <w:r w:rsidR="00FD3BFB"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and dose-reduction factors for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river shorelines (Apostoaei et al. 2000). </w:t>
      </w:r>
      <w:r w:rsidR="00965C14">
        <w:rPr>
          <w:rFonts w:ascii="Times New Roman" w:hAnsi="Times New Roman" w:cs="Times New Roman"/>
          <w:sz w:val="24"/>
          <w:szCs w:val="24"/>
          <w:lang w:val="en-US"/>
        </w:rPr>
        <w:t>In TRDS-2000, t</w:t>
      </w:r>
      <w:r w:rsidRPr="00486BED">
        <w:rPr>
          <w:rFonts w:ascii="Times New Roman" w:hAnsi="Times New Roman" w:cs="Times New Roman"/>
          <w:sz w:val="24"/>
          <w:szCs w:val="24"/>
          <w:lang w:val="en-US"/>
        </w:rPr>
        <w:t xml:space="preserve">he ratios of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dose rate outdoors </w:t>
      </w:r>
      <w:r w:rsidR="00965C14">
        <w:rPr>
          <w:rFonts w:ascii="Times New Roman" w:hAnsi="Times New Roman" w:cs="Times New Roman"/>
          <w:sz w:val="24"/>
          <w:szCs w:val="24"/>
          <w:lang w:val="en-US"/>
        </w:rPr>
        <w:t xml:space="preserve">in air </w:t>
      </w:r>
      <w:r w:rsidRPr="00486BED">
        <w:rPr>
          <w:rFonts w:ascii="Times New Roman" w:hAnsi="Times New Roman" w:cs="Times New Roman"/>
          <w:sz w:val="24"/>
          <w:szCs w:val="24"/>
          <w:lang w:val="en-US"/>
        </w:rPr>
        <w:t xml:space="preserve">near the houses to the dose rate </w:t>
      </w:r>
      <w:r w:rsidR="00965C14">
        <w:rPr>
          <w:rFonts w:ascii="Times New Roman" w:hAnsi="Times New Roman" w:cs="Times New Roman"/>
          <w:sz w:val="24"/>
          <w:szCs w:val="24"/>
          <w:lang w:val="en-US"/>
        </w:rPr>
        <w:t>at</w:t>
      </w:r>
      <w:r w:rsidRPr="00486BED">
        <w:rPr>
          <w:rFonts w:ascii="Times New Roman" w:hAnsi="Times New Roman" w:cs="Times New Roman"/>
          <w:sz w:val="24"/>
          <w:szCs w:val="24"/>
          <w:lang w:val="en-US"/>
        </w:rPr>
        <w:t xml:space="preserve"> the river bank </w:t>
      </w:r>
      <w:r w:rsidR="00965C14">
        <w:rPr>
          <w:rFonts w:ascii="Times New Roman" w:hAnsi="Times New Roman" w:cs="Times New Roman"/>
          <w:sz w:val="24"/>
          <w:szCs w:val="24"/>
          <w:lang w:val="en-US"/>
        </w:rPr>
        <w:t>of</w:t>
      </w:r>
      <w:r w:rsidRPr="00486BED">
        <w:rPr>
          <w:rFonts w:ascii="Times New Roman" w:hAnsi="Times New Roman" w:cs="Times New Roman"/>
          <w:sz w:val="24"/>
          <w:szCs w:val="24"/>
          <w:lang w:val="en-US"/>
        </w:rPr>
        <w:t xml:space="preserve"> each particular settlement were village-averaged; in the newest TRDS version</w:t>
      </w:r>
      <w:r w:rsidR="00FD3BFB" w:rsidRPr="00486BED">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the village-specific values were replaced by household-specific values (if available) (Shagina et al. 2012c). Air kerma was then converted to organ dose based on the results of Monte Carlo simulations of electron-photon transport in the environment and </w:t>
      </w:r>
      <w:r w:rsidR="00965C14">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human body. Additionally, indoors-to-outdoors dose ratio</w:t>
      </w:r>
      <w:r w:rsidR="00465DB3">
        <w:rPr>
          <w:rFonts w:ascii="Times New Roman" w:hAnsi="Times New Roman" w:cs="Times New Roman"/>
          <w:sz w:val="24"/>
          <w:szCs w:val="24"/>
          <w:lang w:val="en-US"/>
        </w:rPr>
        <w:t>s</w:t>
      </w:r>
      <w:r w:rsidRPr="00486BED">
        <w:rPr>
          <w:rFonts w:ascii="Times New Roman" w:hAnsi="Times New Roman" w:cs="Times New Roman"/>
          <w:sz w:val="24"/>
          <w:szCs w:val="24"/>
          <w:lang w:val="en-US"/>
        </w:rPr>
        <w:t xml:space="preserve"> w</w:t>
      </w:r>
      <w:r w:rsidR="00465DB3">
        <w:rPr>
          <w:rFonts w:ascii="Times New Roman" w:hAnsi="Times New Roman" w:cs="Times New Roman"/>
          <w:sz w:val="24"/>
          <w:szCs w:val="24"/>
          <w:lang w:val="en-US"/>
        </w:rPr>
        <w:t>ere</w:t>
      </w:r>
      <w:r w:rsidRPr="00486BED">
        <w:rPr>
          <w:rFonts w:ascii="Times New Roman" w:hAnsi="Times New Roman" w:cs="Times New Roman"/>
          <w:sz w:val="24"/>
          <w:szCs w:val="24"/>
          <w:lang w:val="en-US"/>
        </w:rPr>
        <w:t xml:space="preserve"> taken into account as well as the age dependent periods spent by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residents on the riverbanks, outdoors and indoors. </w:t>
      </w:r>
    </w:p>
    <w:p w14:paraId="5BC10165" w14:textId="77777777" w:rsidR="00310457" w:rsidRPr="00486BED" w:rsidRDefault="00465DB3" w:rsidP="00486BED">
      <w:pPr>
        <w:spacing w:after="240" w:line="360" w:lineRule="auto"/>
        <w:ind w:firstLine="36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P</w:t>
      </w:r>
      <w:r w:rsidR="00310457" w:rsidRPr="00486BED">
        <w:rPr>
          <w:rFonts w:ascii="Times New Roman" w:hAnsi="Times New Roman" w:cs="Times New Roman"/>
          <w:sz w:val="24"/>
          <w:szCs w:val="24"/>
          <w:lang w:val="en-US"/>
        </w:rPr>
        <w:t xml:space="preserve">reliminary TRDS validations using some EPR dosimetry results, viz., (1) the data on </w:t>
      </w:r>
      <w:r w:rsidR="00494736"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Metlino village (Degteva et al., 2005) and (2) the data on the villages located in the area of the upper reaches of the Techa River (Degteva et al., 2015), were already performed in the course of two previous studies. In the first study, external dose calculations were based on </w:t>
      </w:r>
      <w:r w:rsidR="00494736"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TRDS-2000 version</w:t>
      </w:r>
      <w:r>
        <w:rPr>
          <w:rFonts w:ascii="Times New Roman" w:hAnsi="Times New Roman" w:cs="Times New Roman"/>
          <w:sz w:val="24"/>
          <w:szCs w:val="24"/>
          <w:lang w:val="en-US"/>
        </w:rPr>
        <w:t>, and t</w:t>
      </w:r>
      <w:r w:rsidR="00310457" w:rsidRPr="00486BED">
        <w:rPr>
          <w:rFonts w:ascii="Times New Roman" w:hAnsi="Times New Roman" w:cs="Times New Roman"/>
          <w:sz w:val="24"/>
          <w:szCs w:val="24"/>
          <w:lang w:val="en-US"/>
        </w:rPr>
        <w:t xml:space="preserve">he TRDS-2000 and EPR-derived doses were found to </w:t>
      </w:r>
      <w:r w:rsidR="00310457" w:rsidRPr="008A0C14">
        <w:rPr>
          <w:rFonts w:ascii="Times New Roman" w:hAnsi="Times New Roman" w:cs="Times New Roman"/>
          <w:sz w:val="24"/>
          <w:szCs w:val="24"/>
          <w:lang w:val="en-US"/>
        </w:rPr>
        <w:t xml:space="preserve">be </w:t>
      </w:r>
      <w:hyperlink r:id="rId18" w:history="1">
        <w:r w:rsidR="00F17AF0" w:rsidRPr="008A0C14">
          <w:rPr>
            <w:rStyle w:val="Hyperlink"/>
            <w:rFonts w:ascii="Times New Roman" w:hAnsi="Times New Roman" w:cs="Times New Roman"/>
            <w:color w:val="auto"/>
            <w:sz w:val="24"/>
            <w:szCs w:val="24"/>
            <w:lang w:val="en-US"/>
          </w:rPr>
          <w:t>noncontradictory</w:t>
        </w:r>
      </w:hyperlink>
      <w:r w:rsidR="00F17AF0" w:rsidRPr="008A0C14">
        <w:rPr>
          <w:rFonts w:ascii="Times New Roman" w:hAnsi="Times New Roman" w:cs="Times New Roman"/>
          <w:sz w:val="24"/>
          <w:szCs w:val="24"/>
          <w:lang w:val="en-US"/>
        </w:rPr>
        <w:t xml:space="preserve"> data</w:t>
      </w:r>
      <w:r w:rsidR="00310457" w:rsidRPr="008A0C14">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w:t>
      </w:r>
      <w:r w:rsidR="00F82770">
        <w:rPr>
          <w:rFonts w:ascii="Times New Roman" w:hAnsi="Times New Roman" w:cs="Times New Roman"/>
          <w:sz w:val="24"/>
          <w:szCs w:val="24"/>
          <w:lang w:val="en-US"/>
        </w:rPr>
        <w:t>In this study, h</w:t>
      </w:r>
      <w:r w:rsidR="00310457" w:rsidRPr="00486BED">
        <w:rPr>
          <w:rFonts w:ascii="Times New Roman" w:hAnsi="Times New Roman" w:cs="Times New Roman"/>
          <w:sz w:val="24"/>
          <w:szCs w:val="24"/>
          <w:lang w:val="en-US"/>
        </w:rPr>
        <w:t xml:space="preserve">owever, the calculation results were </w:t>
      </w:r>
      <w:r w:rsidR="00F82770">
        <w:rPr>
          <w:rFonts w:ascii="Times New Roman" w:hAnsi="Times New Roman" w:cs="Times New Roman"/>
          <w:sz w:val="24"/>
          <w:szCs w:val="24"/>
          <w:lang w:val="en-US"/>
        </w:rPr>
        <w:t xml:space="preserve">only </w:t>
      </w:r>
      <w:r w:rsidR="00310457" w:rsidRPr="00486BED">
        <w:rPr>
          <w:rFonts w:ascii="Times New Roman" w:hAnsi="Times New Roman" w:cs="Times New Roman"/>
          <w:sz w:val="24"/>
          <w:szCs w:val="24"/>
          <w:lang w:val="en-US"/>
        </w:rPr>
        <w:t xml:space="preserve">compared to </w:t>
      </w:r>
      <w:r w:rsidR="00494736"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non-harmonized EPR measurements of teeth donated only by 16 donors. </w:t>
      </w:r>
      <w:r w:rsidR="00A0017A">
        <w:rPr>
          <w:rFonts w:ascii="Times New Roman" w:hAnsi="Times New Roman" w:cs="Times New Roman"/>
          <w:sz w:val="24"/>
          <w:szCs w:val="24"/>
          <w:lang w:val="en-US"/>
        </w:rPr>
        <w:t>E</w:t>
      </w:r>
      <w:r w:rsidR="00310457" w:rsidRPr="00486BED">
        <w:rPr>
          <w:rFonts w:ascii="Times New Roman" w:hAnsi="Times New Roman" w:cs="Times New Roman"/>
          <w:sz w:val="24"/>
          <w:szCs w:val="24"/>
          <w:lang w:val="en-US"/>
        </w:rPr>
        <w:t xml:space="preserve">xternal doses were derived by subtraction of </w:t>
      </w:r>
      <w:r w:rsidR="00FD3BFB"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preliminar</w:t>
      </w:r>
      <w:r w:rsidR="00FD3BFB" w:rsidRPr="00486BED">
        <w:rPr>
          <w:rFonts w:ascii="Times New Roman" w:hAnsi="Times New Roman" w:cs="Times New Roman"/>
          <w:sz w:val="24"/>
          <w:szCs w:val="24"/>
          <w:lang w:val="en-US"/>
        </w:rPr>
        <w:t>il</w:t>
      </w:r>
      <w:r w:rsidR="00310457" w:rsidRPr="00486BED">
        <w:rPr>
          <w:rFonts w:ascii="Times New Roman" w:hAnsi="Times New Roman" w:cs="Times New Roman"/>
          <w:sz w:val="24"/>
          <w:szCs w:val="24"/>
          <w:lang w:val="en-US"/>
        </w:rPr>
        <w:t>y calculated internal and background dose values</w:t>
      </w:r>
      <w:r w:rsidR="00A0017A">
        <w:rPr>
          <w:rFonts w:ascii="Times New Roman" w:hAnsi="Times New Roman" w:cs="Times New Roman"/>
          <w:sz w:val="24"/>
          <w:szCs w:val="24"/>
          <w:lang w:val="en-US"/>
        </w:rPr>
        <w:t xml:space="preserve"> from the measured EPR doses</w:t>
      </w:r>
      <w:r w:rsidR="00310457" w:rsidRPr="00486BED">
        <w:rPr>
          <w:rFonts w:ascii="Times New Roman" w:hAnsi="Times New Roman" w:cs="Times New Roman"/>
          <w:sz w:val="24"/>
          <w:szCs w:val="24"/>
          <w:lang w:val="en-US"/>
        </w:rPr>
        <w:t xml:space="preserve">. </w:t>
      </w:r>
      <w:r w:rsidR="00CC08B4">
        <w:rPr>
          <w:rFonts w:ascii="Times New Roman" w:hAnsi="Times New Roman" w:cs="Times New Roman"/>
          <w:sz w:val="24"/>
          <w:szCs w:val="24"/>
          <w:lang w:val="en-US"/>
        </w:rPr>
        <w:t>A m</w:t>
      </w:r>
      <w:r w:rsidR="00310457" w:rsidRPr="00486BED">
        <w:rPr>
          <w:rFonts w:ascii="Times New Roman" w:hAnsi="Times New Roman" w:cs="Times New Roman"/>
          <w:sz w:val="24"/>
          <w:szCs w:val="24"/>
          <w:lang w:val="en-US"/>
        </w:rPr>
        <w:t>ore accurate enamel dose reconstruction was presented in the second study</w:t>
      </w:r>
      <w:r w:rsidR="00494736" w:rsidRPr="00486BED">
        <w:rPr>
          <w:rFonts w:ascii="Times New Roman" w:hAnsi="Times New Roman" w:cs="Times New Roman"/>
          <w:sz w:val="24"/>
          <w:szCs w:val="24"/>
          <w:lang w:val="en-US"/>
        </w:rPr>
        <w:t xml:space="preserve"> which involved </w:t>
      </w:r>
      <w:r w:rsidR="00310457" w:rsidRPr="00486BED">
        <w:rPr>
          <w:rFonts w:ascii="Times New Roman" w:hAnsi="Times New Roman" w:cs="Times New Roman"/>
          <w:sz w:val="24"/>
          <w:szCs w:val="24"/>
          <w:lang w:val="en-US"/>
        </w:rPr>
        <w:t>79 residents of the Upper Techa area</w:t>
      </w:r>
      <w:r w:rsidR="00494736" w:rsidRPr="00486BED">
        <w:rPr>
          <w:rFonts w:ascii="Times New Roman" w:hAnsi="Times New Roman" w:cs="Times New Roman"/>
          <w:sz w:val="24"/>
          <w:szCs w:val="24"/>
          <w:lang w:val="en-US"/>
        </w:rPr>
        <w:t xml:space="preserve">. </w:t>
      </w:r>
      <w:r w:rsidR="00CC08B4">
        <w:rPr>
          <w:rFonts w:ascii="Times New Roman" w:hAnsi="Times New Roman" w:cs="Times New Roman"/>
          <w:sz w:val="24"/>
          <w:szCs w:val="24"/>
          <w:lang w:val="en-US"/>
        </w:rPr>
        <w:t xml:space="preserve">In that study, </w:t>
      </w:r>
      <w:r w:rsidR="00494736" w:rsidRPr="00486BED">
        <w:rPr>
          <w:rFonts w:ascii="Times New Roman" w:hAnsi="Times New Roman" w:cs="Times New Roman"/>
          <w:sz w:val="24"/>
          <w:szCs w:val="24"/>
          <w:lang w:val="en-US"/>
        </w:rPr>
        <w:t>enamel doses were reconstructed</w:t>
      </w:r>
      <w:r w:rsidR="00310457" w:rsidRPr="00486BED">
        <w:rPr>
          <w:rFonts w:ascii="Times New Roman" w:hAnsi="Times New Roman" w:cs="Times New Roman"/>
          <w:sz w:val="24"/>
          <w:szCs w:val="24"/>
          <w:lang w:val="en-US"/>
        </w:rPr>
        <w:t xml:space="preserve"> in terms of the external exposure plus</w:t>
      </w:r>
      <w:r w:rsidR="00494736" w:rsidRPr="00486BED">
        <w:rPr>
          <w:rFonts w:ascii="Times New Roman" w:hAnsi="Times New Roman" w:cs="Times New Roman"/>
          <w:sz w:val="24"/>
          <w:szCs w:val="24"/>
          <w:lang w:val="en-US"/>
        </w:rPr>
        <w:t xml:space="preserve"> </w:t>
      </w:r>
      <w:r w:rsidR="0041726B">
        <w:rPr>
          <w:rFonts w:ascii="Times New Roman" w:hAnsi="Times New Roman" w:cs="Times New Roman"/>
          <w:sz w:val="24"/>
          <w:szCs w:val="24"/>
          <w:lang w:val="en-US"/>
        </w:rPr>
        <w:t xml:space="preserve">the </w:t>
      </w:r>
      <w:r w:rsidR="00494736" w:rsidRPr="00486BED">
        <w:rPr>
          <w:rFonts w:ascii="Times New Roman" w:hAnsi="Times New Roman" w:cs="Times New Roman"/>
          <w:sz w:val="24"/>
          <w:szCs w:val="24"/>
          <w:lang w:val="en-US"/>
        </w:rPr>
        <w:t>non-subtracted internal</w:t>
      </w:r>
      <w:r w:rsidR="00310457" w:rsidRPr="00486BED">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vertAlign w:val="superscript"/>
          <w:lang w:val="en-US"/>
        </w:rPr>
        <w:t>137</w:t>
      </w:r>
      <w:r w:rsidR="00310457" w:rsidRPr="00486BED">
        <w:rPr>
          <w:rFonts w:ascii="Times New Roman" w:hAnsi="Times New Roman" w:cs="Times New Roman"/>
          <w:sz w:val="24"/>
          <w:szCs w:val="24"/>
          <w:lang w:val="en-US"/>
        </w:rPr>
        <w:t>Cs</w:t>
      </w:r>
      <w:r w:rsidR="00494736" w:rsidRPr="00486BED">
        <w:rPr>
          <w:rFonts w:ascii="Times New Roman" w:hAnsi="Times New Roman" w:cs="Times New Roman"/>
          <w:sz w:val="24"/>
          <w:szCs w:val="24"/>
          <w:lang w:val="en-US"/>
        </w:rPr>
        <w:t xml:space="preserve"> contribution</w:t>
      </w:r>
      <w:r w:rsidR="00310457" w:rsidRPr="00486BED">
        <w:rPr>
          <w:rFonts w:ascii="Times New Roman" w:hAnsi="Times New Roman" w:cs="Times New Roman"/>
          <w:sz w:val="24"/>
          <w:szCs w:val="24"/>
          <w:lang w:val="en-US"/>
        </w:rPr>
        <w:t xml:space="preserve">. </w:t>
      </w:r>
      <w:r w:rsidR="00494736" w:rsidRPr="00486BED">
        <w:rPr>
          <w:rFonts w:ascii="Times New Roman" w:hAnsi="Times New Roman" w:cs="Times New Roman"/>
          <w:sz w:val="24"/>
          <w:szCs w:val="24"/>
          <w:lang w:val="en-US"/>
        </w:rPr>
        <w:t xml:space="preserve">The dose due to </w:t>
      </w:r>
      <w:r w:rsidR="00494736" w:rsidRPr="00486BED">
        <w:rPr>
          <w:rFonts w:ascii="Times New Roman" w:hAnsi="Times New Roman" w:cs="Times New Roman"/>
          <w:sz w:val="24"/>
          <w:szCs w:val="24"/>
          <w:vertAlign w:val="superscript"/>
          <w:lang w:val="en-US"/>
        </w:rPr>
        <w:t>137</w:t>
      </w:r>
      <w:r w:rsidR="00494736" w:rsidRPr="00486BED">
        <w:rPr>
          <w:rFonts w:ascii="Times New Roman" w:hAnsi="Times New Roman" w:cs="Times New Roman"/>
          <w:sz w:val="24"/>
          <w:szCs w:val="24"/>
          <w:lang w:val="en-US"/>
        </w:rPr>
        <w:t xml:space="preserve">Cs </w:t>
      </w:r>
      <w:r w:rsidR="008E7702" w:rsidRPr="00486BED">
        <w:rPr>
          <w:rFonts w:ascii="Times New Roman" w:hAnsi="Times New Roman" w:cs="Times New Roman"/>
          <w:sz w:val="24"/>
          <w:szCs w:val="24"/>
          <w:lang w:val="en-US"/>
        </w:rPr>
        <w:t>was not subtracted i</w:t>
      </w:r>
      <w:r w:rsidR="00310457" w:rsidRPr="00486BED">
        <w:rPr>
          <w:rFonts w:ascii="Times New Roman" w:hAnsi="Times New Roman" w:cs="Times New Roman"/>
          <w:sz w:val="24"/>
          <w:szCs w:val="24"/>
          <w:lang w:val="en-US"/>
        </w:rPr>
        <w:t xml:space="preserve">n order to obtain </w:t>
      </w:r>
      <w:r w:rsidR="0041726B">
        <w:rPr>
          <w:rFonts w:ascii="Times New Roman" w:hAnsi="Times New Roman" w:cs="Times New Roman"/>
          <w:sz w:val="24"/>
          <w:szCs w:val="24"/>
          <w:lang w:val="en-US"/>
        </w:rPr>
        <w:t>a</w:t>
      </w:r>
      <w:r w:rsidR="00310457" w:rsidRPr="00486BED">
        <w:rPr>
          <w:rFonts w:ascii="Times New Roman" w:hAnsi="Times New Roman" w:cs="Times New Roman"/>
          <w:sz w:val="24"/>
          <w:szCs w:val="24"/>
          <w:lang w:val="en-US"/>
        </w:rPr>
        <w:t xml:space="preserve"> dose value that can be compared not only to </w:t>
      </w:r>
      <w:r w:rsidR="008E7702"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TRDS (version of 2015) predictions</w:t>
      </w:r>
      <w:r w:rsidR="008E7702" w:rsidRPr="00486BED">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but also to </w:t>
      </w:r>
      <w:r w:rsidR="0041726B">
        <w:rPr>
          <w:rFonts w:ascii="Times New Roman" w:hAnsi="Times New Roman" w:cs="Times New Roman"/>
          <w:sz w:val="24"/>
          <w:szCs w:val="24"/>
          <w:lang w:val="en-US"/>
        </w:rPr>
        <w:t>doses</w:t>
      </w:r>
      <w:r w:rsidR="00310457" w:rsidRPr="00486BED">
        <w:rPr>
          <w:rFonts w:ascii="Times New Roman" w:hAnsi="Times New Roman" w:cs="Times New Roman"/>
          <w:sz w:val="24"/>
          <w:szCs w:val="24"/>
          <w:lang w:val="en-US"/>
        </w:rPr>
        <w:t xml:space="preserve"> derived from fluorescence in situ hybridization (FISH) </w:t>
      </w:r>
      <w:r w:rsidR="0041726B">
        <w:rPr>
          <w:rFonts w:ascii="Times New Roman" w:hAnsi="Times New Roman" w:cs="Times New Roman"/>
          <w:sz w:val="24"/>
          <w:szCs w:val="24"/>
          <w:lang w:val="en-US"/>
        </w:rPr>
        <w:t>measurements</w:t>
      </w:r>
      <w:r w:rsidR="00310457" w:rsidRPr="00486BED">
        <w:rPr>
          <w:rFonts w:ascii="Times New Roman" w:hAnsi="Times New Roman" w:cs="Times New Roman"/>
          <w:sz w:val="24"/>
          <w:szCs w:val="24"/>
          <w:lang w:val="en-US"/>
        </w:rPr>
        <w:t xml:space="preserve"> (Degteva et al., 2015). The study revealed some TRDS underestimation as compared to both EPR- and FISH-based doses for Nadyrovo residents (Degteva et al. 2015). Thus, the decision was made to </w:t>
      </w:r>
      <w:r w:rsidR="00516C8F">
        <w:rPr>
          <w:rFonts w:ascii="Times New Roman" w:hAnsi="Times New Roman" w:cs="Times New Roman"/>
          <w:sz w:val="24"/>
          <w:szCs w:val="24"/>
          <w:lang w:val="en-US"/>
        </w:rPr>
        <w:t>include</w:t>
      </w:r>
      <w:r w:rsidR="00310457" w:rsidRPr="00486BED">
        <w:rPr>
          <w:rFonts w:ascii="Times New Roman" w:hAnsi="Times New Roman" w:cs="Times New Roman"/>
          <w:sz w:val="24"/>
          <w:szCs w:val="24"/>
          <w:lang w:val="en-US"/>
        </w:rPr>
        <w:t xml:space="preserve"> the model of radionuclide distribution and dose rate formation in the ‘swampy area’ (giving maximum estimates) </w:t>
      </w:r>
      <w:r w:rsidR="00516C8F">
        <w:rPr>
          <w:rFonts w:ascii="Times New Roman" w:hAnsi="Times New Roman" w:cs="Times New Roman"/>
          <w:sz w:val="24"/>
          <w:szCs w:val="24"/>
          <w:lang w:val="en-US"/>
        </w:rPr>
        <w:t>in</w:t>
      </w:r>
      <w:r w:rsidR="00310457" w:rsidRPr="00486BED">
        <w:rPr>
          <w:rFonts w:ascii="Times New Roman" w:hAnsi="Times New Roman" w:cs="Times New Roman"/>
          <w:sz w:val="24"/>
          <w:szCs w:val="24"/>
          <w:lang w:val="en-US"/>
        </w:rPr>
        <w:t xml:space="preserve"> the newest TRDS version (version of 2016)</w:t>
      </w:r>
      <w:r w:rsidR="00516C8F">
        <w:rPr>
          <w:rFonts w:ascii="Times New Roman" w:hAnsi="Times New Roman" w:cs="Times New Roman"/>
          <w:sz w:val="24"/>
          <w:szCs w:val="24"/>
          <w:lang w:val="en-US"/>
        </w:rPr>
        <w:t>,</w:t>
      </w:r>
      <w:r w:rsidR="00310457" w:rsidRPr="00486BED">
        <w:rPr>
          <w:rFonts w:ascii="Times New Roman" w:hAnsi="Times New Roman" w:cs="Times New Roman"/>
          <w:sz w:val="24"/>
          <w:szCs w:val="24"/>
          <w:lang w:val="en-US"/>
        </w:rPr>
        <w:t xml:space="preserve"> for external dose reconstruction in Nadyrovo. </w:t>
      </w:r>
      <w:r w:rsidR="008E7702" w:rsidRPr="00486BED">
        <w:rPr>
          <w:rFonts w:ascii="Times New Roman" w:hAnsi="Times New Roman" w:cs="Times New Roman"/>
          <w:sz w:val="24"/>
          <w:szCs w:val="24"/>
          <w:lang w:val="en-US"/>
        </w:rPr>
        <w:t>The n</w:t>
      </w:r>
      <w:r w:rsidR="00310457" w:rsidRPr="00486BED">
        <w:rPr>
          <w:rFonts w:ascii="Times New Roman" w:hAnsi="Times New Roman" w:cs="Times New Roman"/>
          <w:sz w:val="24"/>
          <w:szCs w:val="24"/>
          <w:lang w:val="en-US"/>
        </w:rPr>
        <w:t xml:space="preserve">ew theoretical doses were calculated based on the re-evaluated organ dose coefficients resulting from the modelling of the most realistic scenarios of </w:t>
      </w:r>
      <w:r w:rsidR="008E7702" w:rsidRPr="00486BED">
        <w:rPr>
          <w:rFonts w:ascii="Times New Roman" w:hAnsi="Times New Roman" w:cs="Times New Roman"/>
          <w:sz w:val="24"/>
          <w:szCs w:val="24"/>
          <w:lang w:val="en-US"/>
        </w:rPr>
        <w:t xml:space="preserve">the </w:t>
      </w:r>
      <w:r w:rsidR="00310457" w:rsidRPr="00486BED">
        <w:rPr>
          <w:rFonts w:ascii="Times New Roman" w:hAnsi="Times New Roman" w:cs="Times New Roman"/>
          <w:sz w:val="24"/>
          <w:szCs w:val="24"/>
          <w:lang w:val="en-US"/>
        </w:rPr>
        <w:t xml:space="preserve">external exposure on the Techa River (Schwarz and Bolch 2014). It was found  that the dose rate </w:t>
      </w:r>
      <w:r w:rsidR="00516C8F">
        <w:rPr>
          <w:rFonts w:ascii="Times New Roman" w:hAnsi="Times New Roman" w:cs="Times New Roman"/>
          <w:sz w:val="24"/>
          <w:szCs w:val="24"/>
          <w:lang w:val="en-US"/>
        </w:rPr>
        <w:t>due to</w:t>
      </w:r>
      <w:r w:rsidR="008E7702" w:rsidRPr="00486BED">
        <w:rPr>
          <w:rFonts w:ascii="Times New Roman" w:hAnsi="Times New Roman" w:cs="Times New Roman"/>
          <w:sz w:val="24"/>
          <w:szCs w:val="24"/>
          <w:lang w:val="en-US"/>
        </w:rPr>
        <w:t xml:space="preserve"> </w:t>
      </w:r>
      <w:r w:rsidR="00310457" w:rsidRPr="00486BED">
        <w:rPr>
          <w:rFonts w:ascii="Times New Roman" w:hAnsi="Times New Roman" w:cs="Times New Roman"/>
          <w:sz w:val="24"/>
          <w:szCs w:val="24"/>
          <w:lang w:val="en-US"/>
        </w:rPr>
        <w:t xml:space="preserve">external exposure </w:t>
      </w:r>
      <w:r w:rsidR="00516C8F">
        <w:rPr>
          <w:rFonts w:ascii="Times New Roman" w:hAnsi="Times New Roman" w:cs="Times New Roman"/>
          <w:sz w:val="24"/>
          <w:szCs w:val="24"/>
          <w:lang w:val="en-US"/>
        </w:rPr>
        <w:t>at</w:t>
      </w:r>
      <w:r w:rsidR="00310457" w:rsidRPr="00486BED">
        <w:rPr>
          <w:rFonts w:ascii="Times New Roman" w:hAnsi="Times New Roman" w:cs="Times New Roman"/>
          <w:sz w:val="24"/>
          <w:szCs w:val="24"/>
          <w:lang w:val="en-US"/>
        </w:rPr>
        <w:t xml:space="preserve"> the shoreline in Nadyrovo was almost twice as high as the previous model predict</w:t>
      </w:r>
      <w:r w:rsidR="00516C8F">
        <w:rPr>
          <w:rFonts w:ascii="Times New Roman" w:hAnsi="Times New Roman" w:cs="Times New Roman"/>
          <w:sz w:val="24"/>
          <w:szCs w:val="24"/>
          <w:lang w:val="en-US"/>
        </w:rPr>
        <w:t>ed</w:t>
      </w:r>
      <w:r w:rsidR="00310457" w:rsidRPr="00486BED">
        <w:rPr>
          <w:rFonts w:ascii="Times New Roman" w:hAnsi="Times New Roman" w:cs="Times New Roman"/>
          <w:sz w:val="24"/>
          <w:szCs w:val="24"/>
          <w:lang w:val="en-US"/>
        </w:rPr>
        <w:t>.</w:t>
      </w:r>
    </w:p>
    <w:p w14:paraId="165F6645" w14:textId="77777777" w:rsidR="00746F12" w:rsidRPr="008A0C14" w:rsidRDefault="00310457" w:rsidP="00486BED">
      <w:pPr>
        <w:spacing w:after="240" w:line="360" w:lineRule="auto"/>
        <w:ind w:firstLine="720"/>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In th</w:t>
      </w:r>
      <w:r w:rsidR="00874DCF">
        <w:rPr>
          <w:rFonts w:ascii="Times New Roman" w:hAnsi="Times New Roman" w:cs="Times New Roman"/>
          <w:sz w:val="24"/>
          <w:szCs w:val="24"/>
          <w:lang w:val="en-US"/>
        </w:rPr>
        <w:t>e present</w:t>
      </w:r>
      <w:r w:rsidRPr="00486BED">
        <w:rPr>
          <w:rFonts w:ascii="Times New Roman" w:hAnsi="Times New Roman" w:cs="Times New Roman"/>
          <w:sz w:val="24"/>
          <w:szCs w:val="24"/>
          <w:lang w:val="en-US"/>
        </w:rPr>
        <w:t xml:space="preserve"> </w:t>
      </w:r>
      <w:r w:rsidR="00746F12" w:rsidRPr="00486BED">
        <w:rPr>
          <w:rFonts w:ascii="Times New Roman" w:hAnsi="Times New Roman" w:cs="Times New Roman"/>
          <w:sz w:val="24"/>
          <w:szCs w:val="24"/>
          <w:lang w:val="en-US"/>
        </w:rPr>
        <w:t>paper,</w:t>
      </w:r>
      <w:r w:rsidRPr="00486BED">
        <w:rPr>
          <w:rFonts w:ascii="Times New Roman" w:hAnsi="Times New Roman" w:cs="Times New Roman"/>
          <w:sz w:val="24"/>
          <w:szCs w:val="24"/>
          <w:lang w:val="en-US"/>
        </w:rPr>
        <w:t xml:space="preserve"> EPR-derived external doses of 173 riverside residents from the whole area of the Techa River (including the </w:t>
      </w:r>
      <w:r w:rsidR="00315BAF" w:rsidRPr="00486BED">
        <w:rPr>
          <w:rFonts w:ascii="Times New Roman" w:hAnsi="Times New Roman" w:cs="Times New Roman"/>
          <w:sz w:val="24"/>
          <w:szCs w:val="24"/>
          <w:lang w:val="en-US"/>
        </w:rPr>
        <w:t>Lower</w:t>
      </w:r>
      <w:r w:rsidRPr="00486BED">
        <w:rPr>
          <w:rFonts w:ascii="Times New Roman" w:hAnsi="Times New Roman" w:cs="Times New Roman"/>
          <w:sz w:val="24"/>
          <w:szCs w:val="24"/>
          <w:lang w:val="en-US"/>
        </w:rPr>
        <w:t xml:space="preserve"> Techa) were compared to the newest calculation results. Figure 6 presents the comparison of the EPR- and TRDS (version of 2016) - derived external doses in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tooth enamel of the permanent Techa riverside residents grouped according to their place of residence (Table 1). As can be seen from Figure 6, </w:t>
      </w:r>
      <w:r w:rsidR="00FD3BFB" w:rsidRPr="00486BED">
        <w:rPr>
          <w:rFonts w:ascii="Times New Roman" w:hAnsi="Times New Roman" w:cs="Times New Roman"/>
          <w:sz w:val="24"/>
          <w:szCs w:val="24"/>
          <w:lang w:val="en-US"/>
        </w:rPr>
        <w:t>a</w:t>
      </w:r>
      <w:r w:rsidRPr="00486BED">
        <w:rPr>
          <w:rFonts w:ascii="Times New Roman" w:hAnsi="Times New Roman" w:cs="Times New Roman"/>
          <w:sz w:val="24"/>
          <w:szCs w:val="24"/>
          <w:lang w:val="en-US"/>
        </w:rPr>
        <w:t xml:space="preserve"> reliable correlation was found.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EPR-derived external doses are in very good agreement with the </w:t>
      </w:r>
      <w:r w:rsidR="0001654E">
        <w:rPr>
          <w:rFonts w:ascii="Times New Roman" w:hAnsi="Times New Roman" w:cs="Times New Roman"/>
          <w:sz w:val="24"/>
          <w:szCs w:val="24"/>
          <w:lang w:val="en-US"/>
        </w:rPr>
        <w:t>TRDS-derived doses</w:t>
      </w:r>
      <w:r w:rsidR="00746F12">
        <w:rPr>
          <w:rFonts w:ascii="Times New Roman" w:hAnsi="Times New Roman" w:cs="Times New Roman"/>
          <w:sz w:val="24"/>
          <w:szCs w:val="24"/>
          <w:lang w:val="en-US"/>
        </w:rPr>
        <w:t xml:space="preserve"> </w:t>
      </w:r>
      <w:r w:rsidR="00746F12" w:rsidRPr="008A0C14">
        <w:rPr>
          <w:rFonts w:ascii="Times New Roman" w:hAnsi="Times New Roman" w:cs="Times New Roman"/>
          <w:sz w:val="24"/>
          <w:szCs w:val="24"/>
          <w:lang w:val="en-US"/>
        </w:rPr>
        <w:t>(Eq</w:t>
      </w:r>
      <w:r w:rsidRPr="008A0C14">
        <w:rPr>
          <w:rFonts w:ascii="Times New Roman" w:hAnsi="Times New Roman" w:cs="Times New Roman"/>
          <w:sz w:val="24"/>
          <w:szCs w:val="24"/>
          <w:lang w:val="en-US"/>
        </w:rPr>
        <w:t>.</w:t>
      </w:r>
      <w:r w:rsidR="00746F12" w:rsidRPr="008A0C14">
        <w:rPr>
          <w:rFonts w:ascii="Times New Roman" w:hAnsi="Times New Roman" w:cs="Times New Roman"/>
          <w:sz w:val="24"/>
          <w:szCs w:val="24"/>
          <w:lang w:val="en-US"/>
        </w:rPr>
        <w:t xml:space="preserve"> 9).</w:t>
      </w:r>
      <w:r w:rsidR="001D1182" w:rsidRPr="008A0C14">
        <w:rPr>
          <w:rFonts w:ascii="Times New Roman" w:hAnsi="Times New Roman" w:cs="Times New Roman"/>
          <w:sz w:val="24"/>
          <w:szCs w:val="24"/>
          <w:lang w:val="en-US"/>
        </w:rPr>
        <w:t xml:space="preserve"> </w:t>
      </w:r>
    </w:p>
    <w:p w14:paraId="64E33217" w14:textId="77777777" w:rsidR="00746F12" w:rsidRPr="008A0C14" w:rsidRDefault="00746F12" w:rsidP="00746F12">
      <w:pPr>
        <w:tabs>
          <w:tab w:val="left" w:pos="8364"/>
        </w:tabs>
        <w:spacing w:after="240" w:line="360" w:lineRule="auto"/>
        <w:ind w:firstLine="3119"/>
        <w:jc w:val="both"/>
        <w:rPr>
          <w:rFonts w:ascii="Times New Roman" w:hAnsi="Times New Roman" w:cs="Times New Roman"/>
          <w:b/>
          <w:sz w:val="24"/>
          <w:szCs w:val="24"/>
          <w:lang w:val="en-US"/>
        </w:rPr>
      </w:pPr>
      <w:r w:rsidRPr="008A0C14">
        <w:rPr>
          <w:rFonts w:ascii="Times New Roman" w:hAnsi="Times New Roman" w:cs="Times New Roman"/>
          <w:i/>
          <w:sz w:val="24"/>
          <w:szCs w:val="24"/>
          <w:lang w:val="en-US"/>
        </w:rPr>
        <w:t>Y=47+0.8*x</w:t>
      </w:r>
      <w:r w:rsidRPr="008A0C14">
        <w:rPr>
          <w:rFonts w:ascii="Times New Roman" w:hAnsi="Times New Roman" w:cs="Times New Roman"/>
          <w:b/>
          <w:sz w:val="24"/>
          <w:szCs w:val="24"/>
          <w:lang w:val="en-US"/>
        </w:rPr>
        <w:tab/>
        <w:t>(9)</w:t>
      </w:r>
    </w:p>
    <w:p w14:paraId="7B059211" w14:textId="77777777" w:rsidR="00310457" w:rsidRPr="008A0C14" w:rsidRDefault="00D71B8C" w:rsidP="00486BED">
      <w:pPr>
        <w:spacing w:after="240" w:line="360" w:lineRule="auto"/>
        <w:ind w:firstLine="720"/>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 xml:space="preserve">The </w:t>
      </w:r>
      <w:r w:rsidR="00A958B8" w:rsidRPr="008A0C14">
        <w:rPr>
          <w:rFonts w:ascii="Times New Roman" w:hAnsi="Times New Roman" w:cs="Times New Roman"/>
          <w:sz w:val="24"/>
          <w:szCs w:val="24"/>
          <w:lang w:val="en-US"/>
        </w:rPr>
        <w:t>determination coefficient (r</w:t>
      </w:r>
      <w:r w:rsidR="00A958B8" w:rsidRPr="008A0C14">
        <w:rPr>
          <w:rFonts w:ascii="Times New Roman" w:hAnsi="Times New Roman" w:cs="Times New Roman"/>
          <w:sz w:val="24"/>
          <w:szCs w:val="24"/>
          <w:vertAlign w:val="superscript"/>
          <w:lang w:val="en-US"/>
        </w:rPr>
        <w:t>2</w:t>
      </w:r>
      <w:r w:rsidR="00A958B8" w:rsidRPr="008A0C14">
        <w:rPr>
          <w:rFonts w:ascii="Times New Roman" w:hAnsi="Times New Roman" w:cs="Times New Roman"/>
          <w:sz w:val="24"/>
          <w:szCs w:val="24"/>
          <w:lang w:val="en-US"/>
        </w:rPr>
        <w:t xml:space="preserve">) for </w:t>
      </w:r>
      <w:r w:rsidRPr="008A0C14">
        <w:rPr>
          <w:rFonts w:ascii="Times New Roman" w:hAnsi="Times New Roman" w:cs="Times New Roman"/>
          <w:sz w:val="24"/>
          <w:szCs w:val="24"/>
          <w:lang w:val="en-US"/>
        </w:rPr>
        <w:t xml:space="preserve">linear fit equation </w:t>
      </w:r>
      <w:r w:rsidR="00A958B8" w:rsidRPr="008A0C14">
        <w:rPr>
          <w:rFonts w:ascii="Times New Roman" w:hAnsi="Times New Roman" w:cs="Times New Roman"/>
          <w:sz w:val="24"/>
          <w:szCs w:val="24"/>
          <w:lang w:val="en-US"/>
        </w:rPr>
        <w:t>(Eq. 9) is equal to 0.863 (p=</w:t>
      </w:r>
      <w:r w:rsidR="00A958B8" w:rsidRPr="008A0C14">
        <w:rPr>
          <w:rFonts w:ascii="Times New Roman" w:eastAsia="Times New Roman" w:hAnsi="Times New Roman" w:cs="Times New Roman"/>
          <w:sz w:val="24"/>
          <w:szCs w:val="24"/>
          <w:lang w:val="en-US"/>
        </w:rPr>
        <w:t xml:space="preserve"> 0.0003)</w:t>
      </w:r>
      <w:r w:rsidR="001D1182" w:rsidRPr="008A0C14">
        <w:rPr>
          <w:rFonts w:ascii="Times New Roman" w:hAnsi="Times New Roman" w:cs="Times New Roman"/>
          <w:sz w:val="24"/>
          <w:szCs w:val="24"/>
          <w:lang w:val="en-US"/>
        </w:rPr>
        <w:t xml:space="preserve">. </w:t>
      </w:r>
      <w:r w:rsidR="007554AC" w:rsidRPr="008A0C14">
        <w:rPr>
          <w:rFonts w:ascii="Times New Roman" w:hAnsi="Times New Roman" w:cs="Times New Roman"/>
          <w:sz w:val="24"/>
          <w:szCs w:val="24"/>
          <w:lang w:val="en-US"/>
        </w:rPr>
        <w:t>The slope is equal to 0.8±0.1 mGy</w:t>
      </w:r>
      <w:r w:rsidR="007554AC" w:rsidRPr="008A0C14">
        <w:rPr>
          <w:rFonts w:ascii="Times New Roman" w:hAnsi="Times New Roman" w:cs="Times New Roman"/>
          <w:sz w:val="24"/>
          <w:szCs w:val="24"/>
          <w:vertAlign w:val="superscript"/>
          <w:lang w:val="en-US"/>
        </w:rPr>
        <w:t>-1</w:t>
      </w:r>
      <w:r w:rsidR="007554AC" w:rsidRPr="008A0C14">
        <w:rPr>
          <w:rFonts w:ascii="Times New Roman" w:hAnsi="Times New Roman" w:cs="Times New Roman"/>
          <w:sz w:val="24"/>
          <w:szCs w:val="24"/>
          <w:lang w:val="en-US"/>
        </w:rPr>
        <w:t>.</w:t>
      </w:r>
      <w:r w:rsidR="001A2EEB" w:rsidRPr="008A0C14">
        <w:rPr>
          <w:rFonts w:ascii="Times New Roman" w:hAnsi="Times New Roman" w:cs="Times New Roman"/>
          <w:sz w:val="24"/>
          <w:szCs w:val="24"/>
          <w:lang w:val="en-US"/>
        </w:rPr>
        <w:t xml:space="preserve">This means that EPR and TRDS doses agree within 20%. </w:t>
      </w:r>
      <w:r w:rsidR="00A958B8" w:rsidRPr="008A0C14">
        <w:rPr>
          <w:rFonts w:ascii="Times New Roman" w:hAnsi="Times New Roman" w:cs="Times New Roman"/>
          <w:sz w:val="24"/>
          <w:szCs w:val="24"/>
          <w:lang w:val="en-US"/>
        </w:rPr>
        <w:t xml:space="preserve">The standard error of free term of Eq. 9 is equal to ±34 </w:t>
      </w:r>
      <w:r w:rsidR="007554AC" w:rsidRPr="008A0C14">
        <w:rPr>
          <w:rFonts w:ascii="Times New Roman" w:hAnsi="Times New Roman" w:cs="Times New Roman"/>
          <w:sz w:val="24"/>
          <w:szCs w:val="24"/>
          <w:lang w:val="en-US"/>
        </w:rPr>
        <w:t>m</w:t>
      </w:r>
      <w:r w:rsidR="00A958B8" w:rsidRPr="008A0C14">
        <w:rPr>
          <w:rFonts w:ascii="Times New Roman" w:hAnsi="Times New Roman" w:cs="Times New Roman"/>
          <w:sz w:val="24"/>
          <w:szCs w:val="24"/>
          <w:lang w:val="en-US"/>
        </w:rPr>
        <w:t>Gy/</w:t>
      </w:r>
      <w:r w:rsidR="007554AC" w:rsidRPr="008A0C14">
        <w:rPr>
          <w:rFonts w:ascii="Times New Roman" w:hAnsi="Times New Roman" w:cs="Times New Roman"/>
          <w:sz w:val="24"/>
          <w:szCs w:val="24"/>
          <w:lang w:val="en-US"/>
        </w:rPr>
        <w:t>m</w:t>
      </w:r>
      <w:r w:rsidR="00A958B8" w:rsidRPr="008A0C14">
        <w:rPr>
          <w:rFonts w:ascii="Times New Roman" w:hAnsi="Times New Roman" w:cs="Times New Roman"/>
          <w:sz w:val="24"/>
          <w:szCs w:val="24"/>
          <w:lang w:val="en-US"/>
        </w:rPr>
        <w:t>Gy</w:t>
      </w:r>
      <w:r w:rsidR="007554AC" w:rsidRPr="008A0C14">
        <w:rPr>
          <w:rFonts w:ascii="Times New Roman" w:hAnsi="Times New Roman" w:cs="Times New Roman"/>
          <w:sz w:val="24"/>
          <w:szCs w:val="24"/>
          <w:lang w:val="en-US"/>
        </w:rPr>
        <w:t>. Therefore, the intercept is not statistically significant differ from zero (α=0.05)</w:t>
      </w:r>
      <w:r w:rsidR="00746F12" w:rsidRPr="008A0C14">
        <w:rPr>
          <w:rFonts w:ascii="Times New Roman" w:hAnsi="Times New Roman" w:cs="Times New Roman"/>
          <w:sz w:val="24"/>
          <w:szCs w:val="24"/>
          <w:lang w:val="en-US"/>
        </w:rPr>
        <w:t xml:space="preserve"> and forcing the regression through the origin doesn’t increase the slop statistically significant, as well as, it doesn’t improve the fit quality. </w:t>
      </w:r>
      <w:r w:rsidR="00707ECE" w:rsidRPr="008A0C14">
        <w:rPr>
          <w:rFonts w:ascii="Times New Roman" w:hAnsi="Times New Roman" w:cs="Times New Roman"/>
          <w:sz w:val="24"/>
          <w:szCs w:val="24"/>
          <w:lang w:val="en-US"/>
        </w:rPr>
        <w:t>Such a good agreement gives a confidence that</w:t>
      </w:r>
      <w:r w:rsidR="000B4A05" w:rsidRPr="008A0C14">
        <w:rPr>
          <w:rFonts w:ascii="Times New Roman" w:hAnsi="Times New Roman" w:cs="Times New Roman"/>
          <w:sz w:val="24"/>
          <w:szCs w:val="24"/>
          <w:lang w:val="en-US"/>
        </w:rPr>
        <w:t xml:space="preserve"> </w:t>
      </w:r>
      <w:r w:rsidR="00707ECE" w:rsidRPr="008A0C14">
        <w:rPr>
          <w:rFonts w:ascii="Times New Roman" w:hAnsi="Times New Roman" w:cs="Times New Roman"/>
          <w:sz w:val="24"/>
          <w:szCs w:val="24"/>
          <w:lang w:val="en-US"/>
        </w:rPr>
        <w:t xml:space="preserve">the </w:t>
      </w:r>
      <w:r w:rsidR="001F1335" w:rsidRPr="008A0C14">
        <w:rPr>
          <w:rFonts w:ascii="Times New Roman" w:hAnsi="Times New Roman" w:cs="Times New Roman"/>
          <w:sz w:val="24"/>
          <w:szCs w:val="24"/>
          <w:lang w:val="en-US"/>
        </w:rPr>
        <w:t xml:space="preserve">mean </w:t>
      </w:r>
      <w:r w:rsidR="00707ECE" w:rsidRPr="008A0C14">
        <w:rPr>
          <w:rFonts w:ascii="Times New Roman" w:hAnsi="Times New Roman" w:cs="Times New Roman"/>
          <w:sz w:val="24"/>
          <w:szCs w:val="24"/>
          <w:lang w:val="en-US"/>
        </w:rPr>
        <w:t>external doses calculated with the TRDS algorithm are correct. Further comparison of individual EPR-derived external doses with the predictions of the stochastic TRDS version (</w:t>
      </w:r>
      <w:r w:rsidR="001F1335" w:rsidRPr="008A0C14">
        <w:rPr>
          <w:rFonts w:ascii="Times New Roman" w:hAnsi="Times New Roman" w:cs="Times New Roman"/>
          <w:sz w:val="24"/>
          <w:szCs w:val="24"/>
          <w:lang w:val="en-US"/>
        </w:rPr>
        <w:t>Napier et al., 2013</w:t>
      </w:r>
      <w:r w:rsidR="00707ECE" w:rsidRPr="008A0C14">
        <w:rPr>
          <w:rFonts w:ascii="Times New Roman" w:hAnsi="Times New Roman" w:cs="Times New Roman"/>
          <w:sz w:val="24"/>
          <w:szCs w:val="24"/>
          <w:lang w:val="en-US"/>
        </w:rPr>
        <w:t>) will allow validating the uncertainties of external dose calculations.</w:t>
      </w:r>
    </w:p>
    <w:p w14:paraId="5D01239B" w14:textId="77777777" w:rsidR="00310457" w:rsidRPr="008A0C14" w:rsidRDefault="00310457" w:rsidP="00F763B2">
      <w:pPr>
        <w:spacing w:after="240" w:line="360" w:lineRule="auto"/>
        <w:jc w:val="both"/>
        <w:rPr>
          <w:rFonts w:ascii="Times New Roman" w:hAnsi="Times New Roman" w:cs="Times New Roman"/>
          <w:b/>
          <w:sz w:val="24"/>
          <w:szCs w:val="24"/>
          <w:lang w:val="en-US"/>
        </w:rPr>
      </w:pPr>
      <w:r w:rsidRPr="008A0C14">
        <w:rPr>
          <w:rFonts w:ascii="Times New Roman" w:hAnsi="Times New Roman" w:cs="Times New Roman"/>
          <w:b/>
          <w:sz w:val="24"/>
          <w:szCs w:val="24"/>
          <w:lang w:val="en-US"/>
        </w:rPr>
        <w:t>Conclusions</w:t>
      </w:r>
    </w:p>
    <w:p w14:paraId="0FBFE5C0" w14:textId="77777777" w:rsidR="001D1182" w:rsidRPr="008A0C14" w:rsidRDefault="001D1182" w:rsidP="00F763B2">
      <w:pPr>
        <w:spacing w:after="240" w:line="360" w:lineRule="auto"/>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Based on the results of the present study, the following conclusions can be drawn:</w:t>
      </w:r>
    </w:p>
    <w:p w14:paraId="4FDDB491" w14:textId="77777777" w:rsidR="00310457" w:rsidRPr="008A0C14" w:rsidRDefault="00310457" w:rsidP="00486BED">
      <w:pPr>
        <w:pStyle w:val="Listenabsatz"/>
        <w:numPr>
          <w:ilvl w:val="0"/>
          <w:numId w:val="30"/>
        </w:numPr>
        <w:spacing w:after="240" w:line="360" w:lineRule="auto"/>
        <w:ind w:hanging="720"/>
        <w:jc w:val="both"/>
        <w:rPr>
          <w:rFonts w:ascii="Times New Roman" w:hAnsi="Times New Roman" w:cs="Times New Roman"/>
          <w:sz w:val="24"/>
          <w:szCs w:val="24"/>
          <w:lang w:val="en-US"/>
        </w:rPr>
      </w:pPr>
      <w:r w:rsidRPr="008A0C14">
        <w:rPr>
          <w:rFonts w:ascii="Times New Roman" w:hAnsi="Times New Roman" w:cs="Times New Roman"/>
          <w:sz w:val="24"/>
          <w:szCs w:val="24"/>
          <w:lang w:val="en-US"/>
        </w:rPr>
        <w:t xml:space="preserve">The maximum </w:t>
      </w:r>
      <w:r w:rsidR="000B4A05" w:rsidRPr="008A0C14">
        <w:rPr>
          <w:rFonts w:ascii="Times New Roman" w:hAnsi="Times New Roman" w:cs="Times New Roman"/>
          <w:sz w:val="24"/>
          <w:szCs w:val="24"/>
          <w:lang w:val="en-US"/>
        </w:rPr>
        <w:t xml:space="preserve">anthropogenic doses among the Techa riverside residents </w:t>
      </w:r>
      <w:r w:rsidRPr="008A0C14">
        <w:rPr>
          <w:rFonts w:ascii="Times New Roman" w:hAnsi="Times New Roman" w:cs="Times New Roman"/>
          <w:sz w:val="24"/>
          <w:szCs w:val="24"/>
          <w:lang w:val="en-US"/>
        </w:rPr>
        <w:t>reached 2 Gy</w:t>
      </w:r>
      <w:r w:rsidR="000B4A05" w:rsidRPr="008A0C14">
        <w:rPr>
          <w:rFonts w:ascii="Times New Roman" w:hAnsi="Times New Roman" w:cs="Times New Roman"/>
          <w:sz w:val="24"/>
          <w:szCs w:val="24"/>
          <w:lang w:val="en-US"/>
        </w:rPr>
        <w:t>. Such doses were observed for individuals who lived</w:t>
      </w:r>
      <w:r w:rsidRPr="008A0C14" w:rsidDel="00C43DAA">
        <w:rPr>
          <w:rFonts w:ascii="Times New Roman" w:hAnsi="Times New Roman" w:cs="Times New Roman"/>
          <w:sz w:val="24"/>
          <w:szCs w:val="24"/>
          <w:lang w:val="en-US"/>
        </w:rPr>
        <w:t xml:space="preserve"> </w:t>
      </w:r>
      <w:r w:rsidRPr="008A0C14">
        <w:rPr>
          <w:rFonts w:ascii="Times New Roman" w:hAnsi="Times New Roman" w:cs="Times New Roman"/>
          <w:sz w:val="24"/>
          <w:szCs w:val="24"/>
          <w:lang w:val="en-US"/>
        </w:rPr>
        <w:t>at distance</w:t>
      </w:r>
      <w:r w:rsidR="001D1182" w:rsidRPr="008A0C14">
        <w:rPr>
          <w:rFonts w:ascii="Times New Roman" w:hAnsi="Times New Roman" w:cs="Times New Roman"/>
          <w:sz w:val="24"/>
          <w:szCs w:val="24"/>
          <w:lang w:val="en-US"/>
        </w:rPr>
        <w:t>s</w:t>
      </w:r>
      <w:r w:rsidRPr="008A0C14">
        <w:rPr>
          <w:rFonts w:ascii="Times New Roman" w:hAnsi="Times New Roman" w:cs="Times New Roman"/>
          <w:sz w:val="24"/>
          <w:szCs w:val="24"/>
          <w:lang w:val="en-US"/>
        </w:rPr>
        <w:t xml:space="preserve"> of 7 and 48-50 km (Metlino and Nadyrovo) from the site of releases. The median anthropogenic doses in those areas were about 300 mGy. In other settlements, the median doses did not exceed 80 mGy.</w:t>
      </w:r>
    </w:p>
    <w:p w14:paraId="0764F2E6" w14:textId="77777777" w:rsidR="00310457" w:rsidRPr="008A0C14" w:rsidRDefault="00310457" w:rsidP="00486BED">
      <w:pPr>
        <w:pStyle w:val="Listenabsatz"/>
        <w:numPr>
          <w:ilvl w:val="0"/>
          <w:numId w:val="30"/>
        </w:numPr>
        <w:spacing w:after="240" w:line="360" w:lineRule="auto"/>
        <w:ind w:hanging="720"/>
        <w:jc w:val="both"/>
        <w:rPr>
          <w:rFonts w:ascii="Times New Roman" w:eastAsia="Times New Roman" w:hAnsi="Times New Roman" w:cs="Times New Roman"/>
          <w:color w:val="000000"/>
          <w:sz w:val="24"/>
          <w:szCs w:val="24"/>
          <w:lang w:val="en-US" w:eastAsia="ru-RU"/>
        </w:rPr>
      </w:pPr>
      <w:r w:rsidRPr="008A0C14">
        <w:rPr>
          <w:rFonts w:ascii="Times New Roman" w:hAnsi="Times New Roman" w:cs="Times New Roman"/>
          <w:sz w:val="24"/>
          <w:szCs w:val="24"/>
          <w:lang w:val="en-US"/>
        </w:rPr>
        <w:t>F</w:t>
      </w:r>
      <w:r w:rsidRPr="008A0C14">
        <w:rPr>
          <w:rFonts w:ascii="Times New Roman" w:hAnsi="Times New Roman" w:cs="Times New Roman"/>
          <w:sz w:val="24"/>
          <w:szCs w:val="24"/>
          <w:lang w:val="en"/>
        </w:rPr>
        <w:t>or rural residents of the Urals (aged 64</w:t>
      </w:r>
      <w:r w:rsidR="001D1182" w:rsidRPr="008A0C14">
        <w:rPr>
          <w:rFonts w:ascii="Times New Roman" w:hAnsi="Times New Roman" w:cs="Times New Roman"/>
          <w:sz w:val="24"/>
          <w:szCs w:val="24"/>
          <w:lang w:val="en"/>
        </w:rPr>
        <w:t xml:space="preserve"> </w:t>
      </w:r>
      <w:r w:rsidRPr="008A0C14">
        <w:rPr>
          <w:rFonts w:ascii="Times New Roman" w:hAnsi="Times New Roman" w:cs="Times New Roman"/>
          <w:sz w:val="24"/>
          <w:szCs w:val="24"/>
          <w:lang w:val="en-US"/>
        </w:rPr>
        <w:t>±</w:t>
      </w:r>
      <w:r w:rsidR="001D1182" w:rsidRPr="008A0C14">
        <w:rPr>
          <w:rFonts w:ascii="Times New Roman" w:hAnsi="Times New Roman" w:cs="Times New Roman"/>
          <w:sz w:val="24"/>
          <w:szCs w:val="24"/>
          <w:lang w:val="en-US"/>
        </w:rPr>
        <w:t xml:space="preserve"> </w:t>
      </w:r>
      <w:r w:rsidRPr="008A0C14">
        <w:rPr>
          <w:rFonts w:ascii="Times New Roman" w:hAnsi="Times New Roman" w:cs="Times New Roman"/>
          <w:sz w:val="24"/>
          <w:szCs w:val="24"/>
          <w:lang w:val="en"/>
        </w:rPr>
        <w:t>11),</w:t>
      </w:r>
      <w:r w:rsidRPr="008A0C14">
        <w:rPr>
          <w:rFonts w:ascii="Times New Roman" w:hAnsi="Times New Roman" w:cs="Times New Roman"/>
          <w:sz w:val="24"/>
          <w:szCs w:val="24"/>
          <w:lang w:val="en-US"/>
        </w:rPr>
        <w:t xml:space="preserve"> the mean background dose is equal to 63</w:t>
      </w:r>
      <w:r w:rsidR="001D1182" w:rsidRPr="008A0C14">
        <w:rPr>
          <w:rFonts w:ascii="Times New Roman" w:hAnsi="Times New Roman" w:cs="Times New Roman"/>
          <w:sz w:val="24"/>
          <w:szCs w:val="24"/>
          <w:lang w:val="en-US"/>
        </w:rPr>
        <w:t xml:space="preserve"> </w:t>
      </w:r>
      <w:r w:rsidRPr="008A0C14">
        <w:rPr>
          <w:rFonts w:ascii="Times New Roman" w:hAnsi="Times New Roman" w:cs="Times New Roman"/>
          <w:sz w:val="24"/>
          <w:szCs w:val="24"/>
          <w:lang w:val="en-US"/>
        </w:rPr>
        <w:t>±</w:t>
      </w:r>
      <w:r w:rsidR="001D1182" w:rsidRPr="008A0C14">
        <w:rPr>
          <w:rFonts w:ascii="Times New Roman" w:hAnsi="Times New Roman" w:cs="Times New Roman"/>
          <w:sz w:val="24"/>
          <w:szCs w:val="24"/>
          <w:lang w:val="en-US"/>
        </w:rPr>
        <w:t xml:space="preserve"> </w:t>
      </w:r>
      <w:r w:rsidRPr="008A0C14">
        <w:rPr>
          <w:rFonts w:ascii="Times New Roman" w:hAnsi="Times New Roman" w:cs="Times New Roman"/>
          <w:sz w:val="24"/>
          <w:szCs w:val="24"/>
          <w:lang w:val="en-US"/>
        </w:rPr>
        <w:t xml:space="preserve">47 mGy </w:t>
      </w:r>
      <w:r w:rsidR="00FD3BFB" w:rsidRPr="008A0C14">
        <w:rPr>
          <w:rFonts w:ascii="Times New Roman" w:hAnsi="Times New Roman" w:cs="Times New Roman"/>
          <w:sz w:val="24"/>
          <w:szCs w:val="24"/>
          <w:lang w:val="en-US"/>
        </w:rPr>
        <w:t xml:space="preserve">which </w:t>
      </w:r>
      <w:r w:rsidRPr="008A0C14">
        <w:rPr>
          <w:rFonts w:ascii="Times New Roman" w:hAnsi="Times New Roman" w:cs="Times New Roman"/>
          <w:sz w:val="24"/>
          <w:szCs w:val="24"/>
          <w:lang w:val="en-US"/>
        </w:rPr>
        <w:t>corresponds to 0.98</w:t>
      </w:r>
      <w:r w:rsidR="001D1182" w:rsidRPr="008A0C14">
        <w:rPr>
          <w:rFonts w:ascii="Times New Roman" w:hAnsi="Times New Roman" w:cs="Times New Roman"/>
          <w:sz w:val="24"/>
          <w:szCs w:val="24"/>
          <w:lang w:val="en-US"/>
        </w:rPr>
        <w:t xml:space="preserve"> </w:t>
      </w:r>
      <w:r w:rsidRPr="008A0C14">
        <w:rPr>
          <w:rFonts w:ascii="Times New Roman" w:hAnsi="Times New Roman" w:cs="Times New Roman"/>
          <w:sz w:val="24"/>
          <w:szCs w:val="24"/>
          <w:lang w:val="en-US"/>
        </w:rPr>
        <w:t>±</w:t>
      </w:r>
      <w:r w:rsidR="001D1182" w:rsidRPr="008A0C14">
        <w:rPr>
          <w:rFonts w:ascii="Times New Roman" w:hAnsi="Times New Roman" w:cs="Times New Roman"/>
          <w:sz w:val="24"/>
          <w:szCs w:val="24"/>
          <w:lang w:val="en-US"/>
        </w:rPr>
        <w:t xml:space="preserve"> </w:t>
      </w:r>
      <w:r w:rsidRPr="008A0C14">
        <w:rPr>
          <w:rFonts w:ascii="Times New Roman" w:hAnsi="Times New Roman" w:cs="Times New Roman"/>
          <w:sz w:val="24"/>
          <w:szCs w:val="24"/>
          <w:lang w:val="en-US"/>
        </w:rPr>
        <w:t>0.75 mGy year</w:t>
      </w:r>
      <w:r w:rsidRPr="008A0C14">
        <w:rPr>
          <w:rFonts w:ascii="Times New Roman" w:hAnsi="Times New Roman" w:cs="Times New Roman"/>
          <w:sz w:val="24"/>
          <w:szCs w:val="24"/>
          <w:vertAlign w:val="superscript"/>
          <w:lang w:val="en-US"/>
        </w:rPr>
        <w:t>-1</w:t>
      </w:r>
      <w:r w:rsidRPr="008A0C14">
        <w:rPr>
          <w:rFonts w:ascii="Times New Roman" w:hAnsi="Times New Roman" w:cs="Times New Roman"/>
          <w:sz w:val="24"/>
          <w:szCs w:val="24"/>
          <w:lang w:val="en-US"/>
        </w:rPr>
        <w:t>.</w:t>
      </w:r>
    </w:p>
    <w:p w14:paraId="46C71B53" w14:textId="77777777" w:rsidR="00310457" w:rsidRPr="008A0C14" w:rsidRDefault="00310457" w:rsidP="00486BED">
      <w:pPr>
        <w:pStyle w:val="Listenabsatz"/>
        <w:numPr>
          <w:ilvl w:val="0"/>
          <w:numId w:val="30"/>
        </w:numPr>
        <w:spacing w:after="240" w:line="360" w:lineRule="auto"/>
        <w:ind w:hanging="720"/>
        <w:jc w:val="both"/>
        <w:rPr>
          <w:rFonts w:ascii="Times New Roman" w:eastAsia="Times New Roman" w:hAnsi="Times New Roman" w:cs="Times New Roman"/>
          <w:color w:val="000000"/>
          <w:sz w:val="24"/>
          <w:szCs w:val="24"/>
          <w:lang w:val="en-US" w:eastAsia="ru-RU"/>
        </w:rPr>
      </w:pPr>
      <w:r w:rsidRPr="008A0C14">
        <w:rPr>
          <w:rFonts w:ascii="Times New Roman" w:hAnsi="Times New Roman" w:cs="Times New Roman"/>
          <w:sz w:val="24"/>
          <w:szCs w:val="24"/>
          <w:lang w:val="en-US"/>
        </w:rPr>
        <w:t>The internal dose fractions were evaluated as fol</w:t>
      </w:r>
      <w:r w:rsidR="00FD3BFB" w:rsidRPr="008A0C14">
        <w:rPr>
          <w:rFonts w:ascii="Times New Roman" w:hAnsi="Times New Roman" w:cs="Times New Roman"/>
          <w:sz w:val="24"/>
          <w:szCs w:val="24"/>
          <w:lang w:val="en-US"/>
        </w:rPr>
        <w:t>l</w:t>
      </w:r>
      <w:r w:rsidR="00315BAF" w:rsidRPr="008A0C14">
        <w:rPr>
          <w:rFonts w:ascii="Times New Roman" w:hAnsi="Times New Roman" w:cs="Times New Roman"/>
          <w:sz w:val="24"/>
          <w:szCs w:val="24"/>
          <w:lang w:val="en-US"/>
        </w:rPr>
        <w:t>ow</w:t>
      </w:r>
      <w:r w:rsidRPr="008A0C14">
        <w:rPr>
          <w:rFonts w:ascii="Times New Roman" w:hAnsi="Times New Roman" w:cs="Times New Roman"/>
          <w:sz w:val="24"/>
          <w:szCs w:val="24"/>
          <w:lang w:val="en-US"/>
        </w:rPr>
        <w:t xml:space="preserve">s: (1) </w:t>
      </w:r>
      <w:r w:rsidRPr="008A0C14">
        <w:rPr>
          <w:rFonts w:ascii="Times New Roman" w:eastAsia="Times New Roman" w:hAnsi="Times New Roman" w:cs="Times New Roman"/>
          <w:color w:val="000000"/>
          <w:sz w:val="24"/>
          <w:szCs w:val="24"/>
          <w:vertAlign w:val="superscript"/>
          <w:lang w:val="en-US" w:eastAsia="ru-RU"/>
        </w:rPr>
        <w:t>90</w:t>
      </w:r>
      <w:r w:rsidRPr="008A0C14">
        <w:rPr>
          <w:rFonts w:ascii="Times New Roman" w:eastAsia="Times New Roman" w:hAnsi="Times New Roman" w:cs="Times New Roman"/>
          <w:color w:val="000000"/>
          <w:sz w:val="24"/>
          <w:szCs w:val="24"/>
          <w:lang w:val="en-US" w:eastAsia="ru-RU"/>
        </w:rPr>
        <w:t>Sr/</w:t>
      </w:r>
      <w:r w:rsidRPr="008A0C14">
        <w:rPr>
          <w:rFonts w:ascii="Times New Roman" w:eastAsia="Times New Roman" w:hAnsi="Times New Roman" w:cs="Times New Roman"/>
          <w:color w:val="000000"/>
          <w:sz w:val="24"/>
          <w:szCs w:val="24"/>
          <w:vertAlign w:val="superscript"/>
          <w:lang w:val="en-US" w:eastAsia="ru-RU"/>
        </w:rPr>
        <w:t>90</w:t>
      </w:r>
      <w:r w:rsidRPr="008A0C14">
        <w:rPr>
          <w:rFonts w:ascii="Times New Roman" w:eastAsia="Times New Roman" w:hAnsi="Times New Roman" w:cs="Times New Roman"/>
          <w:color w:val="000000"/>
          <w:sz w:val="24"/>
          <w:szCs w:val="24"/>
          <w:lang w:val="en-US" w:eastAsia="ru-RU"/>
        </w:rPr>
        <w:t xml:space="preserve">Y contribution </w:t>
      </w:r>
      <w:r w:rsidR="00382095" w:rsidRPr="008A0C14">
        <w:rPr>
          <w:rFonts w:ascii="Times New Roman" w:eastAsia="Times New Roman" w:hAnsi="Times New Roman" w:cs="Times New Roman"/>
          <w:color w:val="000000"/>
          <w:sz w:val="24"/>
          <w:szCs w:val="24"/>
          <w:lang w:val="en-US" w:eastAsia="ru-RU"/>
        </w:rPr>
        <w:t xml:space="preserve">did </w:t>
      </w:r>
      <w:r w:rsidRPr="008A0C14">
        <w:rPr>
          <w:rFonts w:ascii="Times New Roman" w:eastAsia="Times New Roman" w:hAnsi="Times New Roman" w:cs="Times New Roman"/>
          <w:color w:val="000000"/>
          <w:sz w:val="24"/>
          <w:szCs w:val="24"/>
          <w:lang w:val="en-US" w:eastAsia="ru-RU"/>
        </w:rPr>
        <w:t>not depend on the distance</w:t>
      </w:r>
      <w:r w:rsidR="00382095" w:rsidRPr="008A0C14">
        <w:rPr>
          <w:rFonts w:ascii="Times New Roman" w:eastAsia="Times New Roman" w:hAnsi="Times New Roman" w:cs="Times New Roman"/>
          <w:color w:val="000000"/>
          <w:sz w:val="24"/>
          <w:szCs w:val="24"/>
          <w:lang w:val="en-US" w:eastAsia="ru-RU"/>
        </w:rPr>
        <w:t xml:space="preserve"> from the site of releases</w:t>
      </w:r>
      <w:r w:rsidRPr="008A0C14">
        <w:rPr>
          <w:rFonts w:ascii="Times New Roman" w:eastAsia="Times New Roman" w:hAnsi="Times New Roman" w:cs="Times New Roman"/>
          <w:color w:val="000000"/>
          <w:sz w:val="24"/>
          <w:szCs w:val="24"/>
          <w:lang w:val="en-US" w:eastAsia="ru-RU"/>
        </w:rPr>
        <w:t xml:space="preserve">, and most of the induced doses were </w:t>
      </w:r>
      <w:r w:rsidR="00FD3BFB" w:rsidRPr="008A0C14">
        <w:rPr>
          <w:rFonts w:ascii="Times New Roman" w:eastAsia="Times New Roman" w:hAnsi="Times New Roman" w:cs="Times New Roman"/>
          <w:color w:val="000000"/>
          <w:sz w:val="24"/>
          <w:szCs w:val="24"/>
          <w:lang w:val="en-US" w:eastAsia="ru-RU"/>
        </w:rPr>
        <w:t>with</w:t>
      </w:r>
      <w:r w:rsidRPr="008A0C14">
        <w:rPr>
          <w:rFonts w:ascii="Times New Roman" w:eastAsia="Times New Roman" w:hAnsi="Times New Roman" w:cs="Times New Roman"/>
          <w:color w:val="000000"/>
          <w:sz w:val="24"/>
          <w:szCs w:val="24"/>
          <w:lang w:val="en-US" w:eastAsia="ru-RU"/>
        </w:rPr>
        <w:t xml:space="preserve">in the range from 10 to 110 mGy. The maximum dose (350 mGy) was observed in Nadyrovo (48-50 km). (2) The contribution of </w:t>
      </w:r>
      <w:r w:rsidRPr="008A0C14">
        <w:rPr>
          <w:rFonts w:ascii="Times New Roman" w:eastAsia="Times New Roman" w:hAnsi="Times New Roman" w:cs="Times New Roman"/>
          <w:color w:val="000000"/>
          <w:sz w:val="24"/>
          <w:szCs w:val="24"/>
          <w:vertAlign w:val="superscript"/>
          <w:lang w:val="en-US" w:eastAsia="ru-RU"/>
        </w:rPr>
        <w:t>89</w:t>
      </w:r>
      <w:r w:rsidRPr="008A0C14">
        <w:rPr>
          <w:rFonts w:ascii="Times New Roman" w:eastAsia="Times New Roman" w:hAnsi="Times New Roman" w:cs="Times New Roman"/>
          <w:color w:val="000000"/>
          <w:sz w:val="24"/>
          <w:szCs w:val="24"/>
          <w:lang w:val="en-US" w:eastAsia="ru-RU"/>
        </w:rPr>
        <w:t>Sr to anthropogenic enamel dose was insignificant</w:t>
      </w:r>
      <w:r w:rsidR="00FD3BFB" w:rsidRPr="008A0C14">
        <w:rPr>
          <w:rFonts w:ascii="Times New Roman" w:eastAsia="Times New Roman" w:hAnsi="Times New Roman" w:cs="Times New Roman"/>
          <w:color w:val="000000"/>
          <w:sz w:val="24"/>
          <w:szCs w:val="24"/>
          <w:lang w:val="en-US" w:eastAsia="ru-RU"/>
        </w:rPr>
        <w:t>,</w:t>
      </w:r>
      <w:r w:rsidRPr="008A0C14">
        <w:rPr>
          <w:rFonts w:ascii="Times New Roman" w:eastAsia="Times New Roman" w:hAnsi="Times New Roman" w:cs="Times New Roman"/>
          <w:color w:val="000000"/>
          <w:sz w:val="24"/>
          <w:szCs w:val="24"/>
          <w:lang w:val="en-US" w:eastAsia="ru-RU"/>
        </w:rPr>
        <w:t xml:space="preserve"> and </w:t>
      </w:r>
      <w:r w:rsidR="00FD3BFB" w:rsidRPr="008A0C14">
        <w:rPr>
          <w:rFonts w:ascii="Times New Roman" w:eastAsia="Times New Roman" w:hAnsi="Times New Roman" w:cs="Times New Roman"/>
          <w:color w:val="000000"/>
          <w:sz w:val="24"/>
          <w:szCs w:val="24"/>
          <w:lang w:val="en-US" w:eastAsia="ru-RU"/>
        </w:rPr>
        <w:t xml:space="preserve">it </w:t>
      </w:r>
      <w:r w:rsidRPr="008A0C14">
        <w:rPr>
          <w:rFonts w:ascii="Times New Roman" w:eastAsia="Times New Roman" w:hAnsi="Times New Roman" w:cs="Times New Roman"/>
          <w:color w:val="000000"/>
          <w:sz w:val="24"/>
          <w:szCs w:val="24"/>
          <w:lang w:val="en-US" w:eastAsia="ru-RU"/>
        </w:rPr>
        <w:t xml:space="preserve">did not exceed 5 mGy. (3) The contribution of </w:t>
      </w:r>
      <w:r w:rsidRPr="008A0C14">
        <w:rPr>
          <w:rFonts w:ascii="Times New Roman" w:eastAsia="Times New Roman" w:hAnsi="Times New Roman" w:cs="Times New Roman"/>
          <w:color w:val="000000"/>
          <w:sz w:val="24"/>
          <w:szCs w:val="24"/>
          <w:vertAlign w:val="superscript"/>
          <w:lang w:val="en-US" w:eastAsia="ru-RU"/>
        </w:rPr>
        <w:t xml:space="preserve"> 137</w:t>
      </w:r>
      <w:r w:rsidRPr="008A0C14">
        <w:rPr>
          <w:rFonts w:ascii="Times New Roman" w:eastAsia="Times New Roman" w:hAnsi="Times New Roman" w:cs="Times New Roman"/>
          <w:color w:val="000000"/>
          <w:sz w:val="24"/>
          <w:szCs w:val="24"/>
          <w:lang w:eastAsia="ru-RU"/>
        </w:rPr>
        <w:t>С</w:t>
      </w:r>
      <w:r w:rsidRPr="008A0C14">
        <w:rPr>
          <w:rFonts w:ascii="Times New Roman" w:eastAsia="Times New Roman" w:hAnsi="Times New Roman" w:cs="Times New Roman"/>
          <w:color w:val="000000"/>
          <w:sz w:val="24"/>
          <w:szCs w:val="24"/>
          <w:lang w:val="en-US" w:eastAsia="ru-RU"/>
        </w:rPr>
        <w:t>s/</w:t>
      </w:r>
      <w:r w:rsidRPr="008A0C14">
        <w:rPr>
          <w:rFonts w:ascii="Times New Roman" w:eastAsia="Times New Roman" w:hAnsi="Times New Roman" w:cs="Times New Roman"/>
          <w:color w:val="000000"/>
          <w:sz w:val="24"/>
          <w:szCs w:val="24"/>
          <w:vertAlign w:val="superscript"/>
          <w:lang w:val="en-US" w:eastAsia="ru-RU"/>
        </w:rPr>
        <w:t>137m</w:t>
      </w:r>
      <w:r w:rsidRPr="008A0C14">
        <w:rPr>
          <w:rFonts w:ascii="Times New Roman" w:eastAsia="Times New Roman" w:hAnsi="Times New Roman" w:cs="Times New Roman"/>
          <w:color w:val="000000"/>
          <w:sz w:val="24"/>
          <w:szCs w:val="24"/>
          <w:lang w:val="en-US" w:eastAsia="ru-RU"/>
        </w:rPr>
        <w:t xml:space="preserve">Ba incorporated in soft tissues was rather </w:t>
      </w:r>
      <w:r w:rsidR="009101F8" w:rsidRPr="008A0C14">
        <w:rPr>
          <w:rFonts w:ascii="Times New Roman" w:eastAsia="Times New Roman" w:hAnsi="Times New Roman" w:cs="Times New Roman"/>
          <w:color w:val="000000"/>
          <w:sz w:val="24"/>
          <w:szCs w:val="24"/>
          <w:lang w:val="en-US" w:eastAsia="ru-RU"/>
        </w:rPr>
        <w:t>l</w:t>
      </w:r>
      <w:r w:rsidR="00315BAF" w:rsidRPr="008A0C14">
        <w:rPr>
          <w:rFonts w:ascii="Times New Roman" w:eastAsia="Times New Roman" w:hAnsi="Times New Roman" w:cs="Times New Roman"/>
          <w:color w:val="000000"/>
          <w:sz w:val="24"/>
          <w:szCs w:val="24"/>
          <w:lang w:val="en-US" w:eastAsia="ru-RU"/>
        </w:rPr>
        <w:t>ow</w:t>
      </w:r>
      <w:r w:rsidRPr="008A0C14">
        <w:rPr>
          <w:rFonts w:ascii="Times New Roman" w:eastAsia="Times New Roman" w:hAnsi="Times New Roman" w:cs="Times New Roman"/>
          <w:color w:val="000000"/>
          <w:sz w:val="24"/>
          <w:szCs w:val="24"/>
          <w:lang w:val="en-US" w:eastAsia="ru-RU"/>
        </w:rPr>
        <w:t xml:space="preserve"> </w:t>
      </w:r>
      <w:r w:rsidR="00382095" w:rsidRPr="008A0C14">
        <w:rPr>
          <w:rFonts w:ascii="Times New Roman" w:eastAsia="Times New Roman" w:hAnsi="Times New Roman" w:cs="Times New Roman"/>
          <w:color w:val="000000"/>
          <w:sz w:val="24"/>
          <w:szCs w:val="24"/>
          <w:lang w:val="en-US" w:eastAsia="ru-RU"/>
        </w:rPr>
        <w:t xml:space="preserve">at distances </w:t>
      </w:r>
      <w:r w:rsidRPr="008A0C14">
        <w:rPr>
          <w:rFonts w:ascii="Times New Roman" w:eastAsia="Times New Roman" w:hAnsi="Times New Roman" w:cs="Times New Roman"/>
          <w:color w:val="000000"/>
          <w:sz w:val="24"/>
          <w:szCs w:val="24"/>
          <w:lang w:val="en-US" w:eastAsia="ru-RU"/>
        </w:rPr>
        <w:t>from 7 to 33 km</w:t>
      </w:r>
      <w:r w:rsidR="00FD3BFB" w:rsidRPr="008A0C14">
        <w:rPr>
          <w:rFonts w:ascii="Times New Roman" w:eastAsia="Times New Roman" w:hAnsi="Times New Roman" w:cs="Times New Roman"/>
          <w:color w:val="000000"/>
          <w:sz w:val="24"/>
          <w:szCs w:val="24"/>
          <w:lang w:val="en-US" w:eastAsia="ru-RU"/>
        </w:rPr>
        <w:t>,</w:t>
      </w:r>
      <w:r w:rsidRPr="008A0C14">
        <w:rPr>
          <w:rFonts w:ascii="Times New Roman" w:eastAsia="Times New Roman" w:hAnsi="Times New Roman" w:cs="Times New Roman"/>
          <w:color w:val="000000"/>
          <w:sz w:val="24"/>
          <w:szCs w:val="24"/>
          <w:lang w:val="en-US" w:eastAsia="ru-RU"/>
        </w:rPr>
        <w:t xml:space="preserve"> and equal to 1-11 mGy, which was comparable to that in the </w:t>
      </w:r>
      <w:r w:rsidR="00315BAF" w:rsidRPr="008A0C14">
        <w:rPr>
          <w:rFonts w:ascii="Times New Roman" w:eastAsia="Times New Roman" w:hAnsi="Times New Roman" w:cs="Times New Roman"/>
          <w:color w:val="000000"/>
          <w:sz w:val="24"/>
          <w:szCs w:val="24"/>
          <w:lang w:val="en-US" w:eastAsia="ru-RU"/>
        </w:rPr>
        <w:t>Lower</w:t>
      </w:r>
      <w:r w:rsidR="00FD3BFB" w:rsidRPr="008A0C14">
        <w:rPr>
          <w:rFonts w:ascii="Times New Roman" w:eastAsia="Times New Roman" w:hAnsi="Times New Roman" w:cs="Times New Roman"/>
          <w:color w:val="000000"/>
          <w:sz w:val="24"/>
          <w:szCs w:val="24"/>
          <w:lang w:val="en-US" w:eastAsia="ru-RU"/>
        </w:rPr>
        <w:t xml:space="preserve"> Techa</w:t>
      </w:r>
      <w:r w:rsidRPr="008A0C14">
        <w:rPr>
          <w:rFonts w:ascii="Times New Roman" w:eastAsia="Times New Roman" w:hAnsi="Times New Roman" w:cs="Times New Roman"/>
          <w:color w:val="000000"/>
          <w:sz w:val="24"/>
          <w:szCs w:val="24"/>
          <w:lang w:val="en-US" w:eastAsia="ru-RU"/>
        </w:rPr>
        <w:t xml:space="preserve">. However, it </w:t>
      </w:r>
      <w:r w:rsidR="00382095" w:rsidRPr="008A0C14">
        <w:rPr>
          <w:rFonts w:ascii="Times New Roman" w:eastAsia="Times New Roman" w:hAnsi="Times New Roman" w:cs="Times New Roman"/>
          <w:color w:val="000000"/>
          <w:sz w:val="24"/>
          <w:szCs w:val="24"/>
          <w:lang w:val="en-US" w:eastAsia="ru-RU"/>
        </w:rPr>
        <w:t>ranged</w:t>
      </w:r>
      <w:r w:rsidRPr="008A0C14">
        <w:rPr>
          <w:rFonts w:ascii="Times New Roman" w:eastAsia="Times New Roman" w:hAnsi="Times New Roman" w:cs="Times New Roman"/>
          <w:color w:val="000000"/>
          <w:sz w:val="24"/>
          <w:szCs w:val="24"/>
          <w:lang w:val="en-US" w:eastAsia="ru-RU"/>
        </w:rPr>
        <w:t xml:space="preserve"> from 10 up to 90 mGy in the area of the Middle Techa.</w:t>
      </w:r>
    </w:p>
    <w:p w14:paraId="5F701AB7" w14:textId="77777777" w:rsidR="00310457" w:rsidRPr="00486BED" w:rsidRDefault="000B4A05" w:rsidP="00486BED">
      <w:pPr>
        <w:pStyle w:val="Listenabsatz"/>
        <w:numPr>
          <w:ilvl w:val="0"/>
          <w:numId w:val="30"/>
        </w:numPr>
        <w:spacing w:after="240" w:line="360" w:lineRule="auto"/>
        <w:jc w:val="both"/>
        <w:rPr>
          <w:rFonts w:ascii="Times New Roman" w:eastAsia="Times New Roman" w:hAnsi="Times New Roman" w:cs="Times New Roman"/>
          <w:color w:val="000000"/>
          <w:sz w:val="24"/>
          <w:szCs w:val="24"/>
          <w:lang w:val="en-US" w:eastAsia="ru-RU"/>
        </w:rPr>
      </w:pPr>
      <w:r w:rsidRPr="008A0C14">
        <w:rPr>
          <w:rFonts w:ascii="Times New Roman" w:eastAsia="Times New Roman" w:hAnsi="Times New Roman" w:cs="Times New Roman"/>
          <w:color w:val="000000"/>
          <w:sz w:val="24"/>
          <w:szCs w:val="24"/>
          <w:lang w:val="en-US" w:eastAsia="ru-RU"/>
        </w:rPr>
        <w:t xml:space="preserve">Mean external doses in Metlino and Nadyrovo were about </w:t>
      </w:r>
      <w:r w:rsidR="00310457" w:rsidRPr="008A0C14">
        <w:rPr>
          <w:rFonts w:ascii="Times New Roman" w:eastAsia="Times New Roman" w:hAnsi="Times New Roman" w:cs="Times New Roman"/>
          <w:color w:val="000000"/>
          <w:sz w:val="24"/>
          <w:szCs w:val="24"/>
          <w:lang w:val="en-US" w:eastAsia="ru-RU"/>
        </w:rPr>
        <w:t>500 mGy.</w:t>
      </w:r>
      <w:r w:rsidR="00310457" w:rsidRPr="00486BED">
        <w:rPr>
          <w:rFonts w:ascii="Times New Roman" w:eastAsia="Times New Roman" w:hAnsi="Times New Roman" w:cs="Times New Roman"/>
          <w:color w:val="000000"/>
          <w:sz w:val="24"/>
          <w:szCs w:val="24"/>
          <w:lang w:val="en-US" w:eastAsia="ru-RU"/>
        </w:rPr>
        <w:t xml:space="preserve"> </w:t>
      </w:r>
      <w:r w:rsidR="00382095">
        <w:rPr>
          <w:rFonts w:ascii="Times New Roman" w:eastAsia="Times New Roman" w:hAnsi="Times New Roman" w:cs="Times New Roman"/>
          <w:color w:val="000000"/>
          <w:sz w:val="24"/>
          <w:szCs w:val="24"/>
          <w:lang w:val="en-US" w:eastAsia="ru-RU"/>
        </w:rPr>
        <w:t>In contrast, t</w:t>
      </w:r>
      <w:r w:rsidR="00FD3BFB" w:rsidRPr="00486BED">
        <w:rPr>
          <w:rFonts w:ascii="Times New Roman" w:eastAsia="Times New Roman" w:hAnsi="Times New Roman" w:cs="Times New Roman"/>
          <w:color w:val="000000"/>
          <w:sz w:val="24"/>
          <w:szCs w:val="24"/>
          <w:lang w:val="en-US" w:eastAsia="ru-RU"/>
        </w:rPr>
        <w:t>he m</w:t>
      </w:r>
      <w:r w:rsidR="00310457" w:rsidRPr="00486BED">
        <w:rPr>
          <w:rFonts w:ascii="Times New Roman" w:hAnsi="Times New Roman" w:cs="Times New Roman"/>
          <w:sz w:val="24"/>
          <w:szCs w:val="24"/>
          <w:lang w:val="en-US"/>
        </w:rPr>
        <w:t>ean external doses in the enamel of residents living along the free-f</w:t>
      </w:r>
      <w:r w:rsidR="00FD3BFB"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310457" w:rsidRPr="00486BED">
        <w:rPr>
          <w:rFonts w:ascii="Times New Roman" w:hAnsi="Times New Roman" w:cs="Times New Roman"/>
          <w:sz w:val="24"/>
          <w:szCs w:val="24"/>
          <w:lang w:val="en-US"/>
        </w:rPr>
        <w:t xml:space="preserve">ing river stream did not exceed 160 mGy. At the distance of 70 km the mean external dose decreased to 70 mGy, and farther, in the Middle and the </w:t>
      </w:r>
      <w:r w:rsidR="00315BAF" w:rsidRPr="00486BED">
        <w:rPr>
          <w:rFonts w:ascii="Times New Roman" w:hAnsi="Times New Roman" w:cs="Times New Roman"/>
          <w:sz w:val="24"/>
          <w:szCs w:val="24"/>
          <w:lang w:val="en-US"/>
        </w:rPr>
        <w:t>Lower</w:t>
      </w:r>
      <w:r w:rsidR="00FD3BFB" w:rsidRPr="00486BED">
        <w:rPr>
          <w:rFonts w:ascii="Times New Roman" w:hAnsi="Times New Roman" w:cs="Times New Roman"/>
          <w:sz w:val="24"/>
          <w:szCs w:val="24"/>
          <w:lang w:val="en-US"/>
        </w:rPr>
        <w:t xml:space="preserve"> Techa</w:t>
      </w:r>
      <w:r w:rsidR="00310457" w:rsidRPr="00486BED">
        <w:rPr>
          <w:rFonts w:ascii="Times New Roman" w:hAnsi="Times New Roman" w:cs="Times New Roman"/>
          <w:sz w:val="24"/>
          <w:szCs w:val="24"/>
          <w:lang w:val="en-US"/>
        </w:rPr>
        <w:t xml:space="preserve"> it was about 60 mGy. The m</w:t>
      </w:r>
      <w:r w:rsidR="00310457" w:rsidRPr="00486BED">
        <w:rPr>
          <w:rFonts w:ascii="Times New Roman" w:hAnsi="Times New Roman" w:cs="Times New Roman"/>
          <w:sz w:val="24"/>
          <w:szCs w:val="24"/>
          <w:lang w:val="en-GB"/>
        </w:rPr>
        <w:t xml:space="preserve">aximum external doses reached 1.9 Gy in Metlino </w:t>
      </w:r>
      <w:r w:rsidR="00310457" w:rsidRPr="00486BED">
        <w:rPr>
          <w:rFonts w:ascii="Times New Roman" w:hAnsi="Times New Roman" w:cs="Times New Roman"/>
          <w:sz w:val="24"/>
          <w:szCs w:val="24"/>
          <w:lang w:val="en-US"/>
        </w:rPr>
        <w:t>(7 km)</w:t>
      </w:r>
      <w:r w:rsidR="00310457" w:rsidRPr="00486BED">
        <w:rPr>
          <w:rFonts w:ascii="Times New Roman" w:hAnsi="Times New Roman" w:cs="Times New Roman"/>
          <w:sz w:val="24"/>
          <w:szCs w:val="24"/>
          <w:lang w:val="en-GB"/>
        </w:rPr>
        <w:t xml:space="preserve"> and 2.2 Gy in Nadyrovo </w:t>
      </w:r>
      <w:r w:rsidR="00310457" w:rsidRPr="00486BED">
        <w:rPr>
          <w:rFonts w:ascii="Times New Roman" w:hAnsi="Times New Roman" w:cs="Times New Roman"/>
          <w:sz w:val="24"/>
          <w:szCs w:val="24"/>
          <w:lang w:val="en-US"/>
        </w:rPr>
        <w:t>(50 km).</w:t>
      </w:r>
    </w:p>
    <w:p w14:paraId="6ABDB6F8" w14:textId="77777777" w:rsidR="00310457" w:rsidRPr="00486BED" w:rsidRDefault="00310457" w:rsidP="00486BED">
      <w:pPr>
        <w:pStyle w:val="Listenabsatz"/>
        <w:numPr>
          <w:ilvl w:val="0"/>
          <w:numId w:val="30"/>
        </w:numPr>
        <w:spacing w:after="240" w:line="360" w:lineRule="auto"/>
        <w:ind w:hanging="720"/>
        <w:jc w:val="both"/>
        <w:rPr>
          <w:rFonts w:ascii="Times New Roman" w:eastAsia="Times New Roman" w:hAnsi="Times New Roman" w:cs="Times New Roman"/>
          <w:color w:val="000000"/>
          <w:sz w:val="24"/>
          <w:szCs w:val="24"/>
          <w:lang w:val="en-US" w:eastAsia="ru-RU"/>
        </w:rPr>
      </w:pPr>
      <w:r w:rsidRPr="00486BED">
        <w:rPr>
          <w:rFonts w:ascii="Times New Roman" w:hAnsi="Times New Roman" w:cs="Times New Roman"/>
          <w:sz w:val="24"/>
          <w:szCs w:val="24"/>
          <w:lang w:val="en-US"/>
        </w:rPr>
        <w:t xml:space="preserve">The comparison of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external doses in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tooth enamel calculated with the Techa River Dosimetry System code and derived from </w:t>
      </w:r>
      <w:r w:rsidR="00FD3BFB"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EPR measurements shows a good correlation.</w:t>
      </w:r>
    </w:p>
    <w:p w14:paraId="0B2135CB" w14:textId="77777777" w:rsidR="00382095" w:rsidRDefault="00382095" w:rsidP="00382095">
      <w:pPr>
        <w:spacing w:after="240" w:line="360" w:lineRule="auto"/>
        <w:ind w:left="709" w:hanging="709"/>
        <w:jc w:val="both"/>
        <w:rPr>
          <w:rFonts w:ascii="Times New Roman" w:hAnsi="Times New Roman" w:cs="Times New Roman"/>
          <w:sz w:val="24"/>
          <w:szCs w:val="24"/>
          <w:lang w:val="en-US"/>
        </w:rPr>
      </w:pPr>
      <w:commentRangeStart w:id="1"/>
      <w:r>
        <w:rPr>
          <w:rFonts w:ascii="Times New Roman" w:hAnsi="Times New Roman" w:cs="Times New Roman"/>
          <w:sz w:val="24"/>
          <w:szCs w:val="24"/>
          <w:lang w:val="en-US"/>
        </w:rPr>
        <w:t>xxx this sounds more like an abstract but not like a conclusion; may be you add an outlook here? What do the results mean? Are you done now with the validation of the TRDS? What are the next steps? More samples? Better techniques needed? Etc. Please consider xxx</w:t>
      </w:r>
      <w:commentRangeEnd w:id="1"/>
      <w:r w:rsidR="001F1335">
        <w:rPr>
          <w:rStyle w:val="Kommentarzeichen"/>
        </w:rPr>
        <w:commentReference w:id="1"/>
      </w:r>
    </w:p>
    <w:p w14:paraId="14195D3A" w14:textId="77777777" w:rsidR="00CA56FD" w:rsidRPr="001F1335" w:rsidRDefault="00CA56FD" w:rsidP="00382095">
      <w:pPr>
        <w:spacing w:after="240" w:line="360" w:lineRule="auto"/>
        <w:ind w:left="709" w:hanging="709"/>
        <w:jc w:val="both"/>
        <w:rPr>
          <w:rFonts w:ascii="Times New Roman" w:hAnsi="Times New Roman" w:cs="Times New Roman"/>
          <w:sz w:val="24"/>
          <w:szCs w:val="24"/>
          <w:lang w:val="en-US"/>
        </w:rPr>
      </w:pPr>
      <w:commentRangeStart w:id="2"/>
      <w:r>
        <w:rPr>
          <w:rFonts w:ascii="Times New Roman" w:hAnsi="Times New Roman" w:cs="Times New Roman"/>
          <w:sz w:val="24"/>
          <w:szCs w:val="24"/>
          <w:lang w:val="en-US"/>
        </w:rPr>
        <w:t>xxx please note that Tables B1-B3 were not mentioned or used in the manuscript, so they can be deleted xxx</w:t>
      </w:r>
      <w:commentRangeEnd w:id="2"/>
      <w:r w:rsidR="001F1335">
        <w:rPr>
          <w:rStyle w:val="Kommentarzeichen"/>
        </w:rPr>
        <w:commentReference w:id="2"/>
      </w:r>
    </w:p>
    <w:p w14:paraId="2C1A418E" w14:textId="77777777" w:rsidR="00310457" w:rsidRPr="00486BED" w:rsidRDefault="00310457" w:rsidP="00486BED">
      <w:pPr>
        <w:spacing w:after="240" w:line="360" w:lineRule="auto"/>
        <w:jc w:val="both"/>
        <w:rPr>
          <w:rFonts w:ascii="Times New Roman" w:hAnsi="Times New Roman" w:cs="Times New Roman"/>
          <w:b/>
          <w:sz w:val="24"/>
          <w:szCs w:val="24"/>
          <w:lang w:val="en-US"/>
        </w:rPr>
      </w:pPr>
      <w:r w:rsidRPr="00F763B2">
        <w:rPr>
          <w:rFonts w:ascii="Times New Roman" w:hAnsi="Times New Roman" w:cs="Times New Roman"/>
          <w:sz w:val="24"/>
          <w:szCs w:val="24"/>
          <w:lang w:val="en-US"/>
        </w:rPr>
        <w:t>Acknowledgements</w:t>
      </w:r>
      <w:r w:rsidR="00F763B2">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T</w:t>
      </w:r>
      <w:r w:rsidRPr="00486BED">
        <w:rPr>
          <w:rFonts w:ascii="Times New Roman" w:hAnsi="Times New Roman" w:cs="Times New Roman"/>
          <w:sz w:val="24"/>
          <w:szCs w:val="24"/>
          <w:lang w:val="en-GB"/>
        </w:rPr>
        <w:t>he</w:t>
      </w:r>
      <w:r w:rsidRPr="00486BED">
        <w:rPr>
          <w:rFonts w:ascii="Times New Roman" w:hAnsi="Times New Roman" w:cs="Times New Roman"/>
          <w:b/>
          <w:sz w:val="24"/>
          <w:szCs w:val="24"/>
          <w:lang w:val="en-GB"/>
        </w:rPr>
        <w:t xml:space="preserve"> </w:t>
      </w:r>
      <w:r w:rsidRPr="00486BED">
        <w:rPr>
          <w:rFonts w:ascii="Times New Roman" w:hAnsi="Times New Roman" w:cs="Times New Roman"/>
          <w:sz w:val="24"/>
          <w:szCs w:val="24"/>
          <w:lang w:val="en-GB"/>
        </w:rPr>
        <w:t>EPR</w:t>
      </w:r>
      <w:r w:rsidRPr="00486BED">
        <w:rPr>
          <w:rFonts w:ascii="Times New Roman" w:hAnsi="Times New Roman" w:cs="Times New Roman"/>
          <w:b/>
          <w:sz w:val="24"/>
          <w:szCs w:val="24"/>
          <w:lang w:val="en-GB"/>
        </w:rPr>
        <w:t xml:space="preserve"> </w:t>
      </w:r>
      <w:r w:rsidRPr="00486BED">
        <w:rPr>
          <w:rFonts w:ascii="Times New Roman" w:hAnsi="Times New Roman" w:cs="Times New Roman"/>
          <w:sz w:val="24"/>
          <w:szCs w:val="24"/>
          <w:lang w:val="en-US"/>
        </w:rPr>
        <w:t>study was supported by the E</w:t>
      </w:r>
      <w:r w:rsidR="003D4F10">
        <w:rPr>
          <w:rFonts w:ascii="Times New Roman" w:hAnsi="Times New Roman" w:cs="Times New Roman"/>
          <w:sz w:val="24"/>
          <w:szCs w:val="24"/>
          <w:lang w:val="en-US"/>
        </w:rPr>
        <w:t xml:space="preserve">uropean </w:t>
      </w:r>
      <w:r w:rsidRPr="00486BED">
        <w:rPr>
          <w:rFonts w:ascii="Times New Roman" w:hAnsi="Times New Roman" w:cs="Times New Roman"/>
          <w:sz w:val="24"/>
          <w:szCs w:val="24"/>
          <w:lang w:val="en-US"/>
        </w:rPr>
        <w:t>C</w:t>
      </w:r>
      <w:r w:rsidR="003D4F10">
        <w:rPr>
          <w:rFonts w:ascii="Times New Roman" w:hAnsi="Times New Roman" w:cs="Times New Roman"/>
          <w:sz w:val="24"/>
          <w:szCs w:val="24"/>
          <w:lang w:val="en-US"/>
        </w:rPr>
        <w:t>ommission</w:t>
      </w:r>
      <w:r w:rsidRPr="00486BED">
        <w:rPr>
          <w:rFonts w:ascii="Times New Roman" w:hAnsi="Times New Roman" w:cs="Times New Roman"/>
          <w:sz w:val="24"/>
          <w:szCs w:val="24"/>
          <w:lang w:val="en-US"/>
        </w:rPr>
        <w:t xml:space="preserve"> within the framework of the project SOLO (</w:t>
      </w:r>
      <w:r w:rsidRPr="00486BED">
        <w:rPr>
          <w:rFonts w:ascii="Times New Roman" w:eastAsia="Batang" w:hAnsi="Times New Roman" w:cs="Times New Roman"/>
          <w:sz w:val="24"/>
          <w:szCs w:val="24"/>
          <w:lang w:val="en-US" w:eastAsia="ko-KR"/>
        </w:rPr>
        <w:t xml:space="preserve">№ FP7-249675) and partially by the </w:t>
      </w:r>
      <w:r w:rsidRPr="00486BED">
        <w:rPr>
          <w:rFonts w:ascii="Times New Roman" w:hAnsi="Times New Roman" w:cs="Times New Roman"/>
          <w:sz w:val="24"/>
          <w:szCs w:val="24"/>
          <w:lang w:val="en-US"/>
        </w:rPr>
        <w:t>Russian State Program “Spin” (</w:t>
      </w:r>
      <w:r w:rsidRPr="00486BED">
        <w:rPr>
          <w:rFonts w:ascii="Times New Roman" w:eastAsia="Batang" w:hAnsi="Times New Roman" w:cs="Times New Roman"/>
          <w:sz w:val="24"/>
          <w:szCs w:val="24"/>
          <w:lang w:val="en-US" w:eastAsia="ko-KR"/>
        </w:rPr>
        <w:t>№</w:t>
      </w:r>
      <w:r w:rsidRPr="00486BED">
        <w:rPr>
          <w:rFonts w:ascii="Times New Roman" w:hAnsi="Times New Roman" w:cs="Times New Roman"/>
          <w:sz w:val="24"/>
          <w:szCs w:val="24"/>
          <w:lang w:val="en-US"/>
        </w:rPr>
        <w:t xml:space="preserve"> 01201463330)</w:t>
      </w:r>
      <w:r w:rsidRPr="00486BED">
        <w:rPr>
          <w:rFonts w:ascii="Times New Roman" w:eastAsia="Batang" w:hAnsi="Times New Roman" w:cs="Times New Roman"/>
          <w:sz w:val="24"/>
          <w:szCs w:val="24"/>
          <w:lang w:val="en-US" w:eastAsia="ko-KR"/>
        </w:rPr>
        <w:t xml:space="preserve">. </w:t>
      </w:r>
      <w:r w:rsidRPr="00486BED">
        <w:rPr>
          <w:rFonts w:ascii="Times New Roman" w:hAnsi="Times New Roman" w:cs="Times New Roman"/>
          <w:sz w:val="24"/>
          <w:szCs w:val="24"/>
          <w:lang w:val="en-US"/>
        </w:rPr>
        <w:t xml:space="preserve">The work on </w:t>
      </w:r>
      <w:r w:rsidR="00B60C6E" w:rsidRPr="00486BED">
        <w:rPr>
          <w:rFonts w:ascii="Times New Roman" w:hAnsi="Times New Roman" w:cs="Times New Roman"/>
          <w:sz w:val="24"/>
          <w:szCs w:val="24"/>
          <w:lang w:val="en-US"/>
        </w:rPr>
        <w:t xml:space="preserve">the </w:t>
      </w:r>
      <w:r w:rsidRPr="00486BED">
        <w:rPr>
          <w:rFonts w:ascii="Times New Roman" w:hAnsi="Times New Roman" w:cs="Times New Roman"/>
          <w:sz w:val="24"/>
          <w:szCs w:val="24"/>
          <w:lang w:val="en-US"/>
        </w:rPr>
        <w:t xml:space="preserve">development of the Techa River Dosimetry System (TRDS) </w:t>
      </w:r>
      <w:r w:rsidR="003D4F10">
        <w:rPr>
          <w:rFonts w:ascii="Times New Roman" w:hAnsi="Times New Roman" w:cs="Times New Roman"/>
          <w:sz w:val="24"/>
          <w:szCs w:val="24"/>
          <w:lang w:val="en-US"/>
        </w:rPr>
        <w:t>was</w:t>
      </w:r>
      <w:r w:rsidRPr="00486BED">
        <w:rPr>
          <w:rFonts w:ascii="Times New Roman" w:hAnsi="Times New Roman" w:cs="Times New Roman"/>
          <w:sz w:val="24"/>
          <w:szCs w:val="24"/>
          <w:lang w:val="en-US"/>
        </w:rPr>
        <w:t xml:space="preserve"> supported by the U.S. Department of Energy’s Office of International Health Programs and the Federal Medical-Biological Agency of the Russian Federation. The authors are also thankful to </w:t>
      </w:r>
      <w:r w:rsidR="00F544E5" w:rsidRPr="00486BED">
        <w:rPr>
          <w:rFonts w:ascii="Times New Roman" w:hAnsi="Times New Roman" w:cs="Times New Roman"/>
          <w:sz w:val="24"/>
          <w:szCs w:val="24"/>
          <w:lang w:val="en-US"/>
        </w:rPr>
        <w:t xml:space="preserve">Dr. </w:t>
      </w:r>
      <w:r w:rsidRPr="00486BED">
        <w:rPr>
          <w:rFonts w:ascii="Times New Roman" w:hAnsi="Times New Roman" w:cs="Times New Roman"/>
          <w:sz w:val="24"/>
          <w:szCs w:val="24"/>
          <w:lang w:val="en-US"/>
        </w:rPr>
        <w:t xml:space="preserve">Francois </w:t>
      </w:r>
      <w:r w:rsidRPr="00486BED">
        <w:rPr>
          <w:rFonts w:ascii="Times New Roman" w:hAnsi="Times New Roman" w:cs="Times New Roman"/>
          <w:sz w:val="24"/>
          <w:szCs w:val="24"/>
          <w:lang w:val="en-GB"/>
        </w:rPr>
        <w:t xml:space="preserve">Trompier (IRSN, France) for his help with </w:t>
      </w:r>
      <w:r w:rsidR="00F544E5" w:rsidRPr="00486BED">
        <w:rPr>
          <w:rFonts w:ascii="Times New Roman" w:hAnsi="Times New Roman" w:cs="Times New Roman"/>
          <w:sz w:val="24"/>
          <w:szCs w:val="24"/>
          <w:lang w:val="en-GB"/>
        </w:rPr>
        <w:t xml:space="preserve">the </w:t>
      </w:r>
      <w:r w:rsidRPr="00486BED">
        <w:rPr>
          <w:rFonts w:ascii="Times New Roman" w:hAnsi="Times New Roman" w:cs="Times New Roman"/>
          <w:sz w:val="24"/>
          <w:szCs w:val="24"/>
          <w:lang w:val="en-GB"/>
        </w:rPr>
        <w:t>sample irradiation.</w:t>
      </w:r>
    </w:p>
    <w:p w14:paraId="0651A301" w14:textId="77777777" w:rsidR="00310457" w:rsidRPr="00486BED" w:rsidRDefault="00310457" w:rsidP="00486BED">
      <w:pPr>
        <w:spacing w:after="240" w:line="360" w:lineRule="auto"/>
        <w:ind w:left="709" w:hanging="709"/>
        <w:jc w:val="both"/>
        <w:rPr>
          <w:rFonts w:ascii="Times New Roman" w:hAnsi="Times New Roman" w:cs="Times New Roman"/>
          <w:b/>
          <w:sz w:val="24"/>
          <w:szCs w:val="24"/>
          <w:lang w:val="en-GB"/>
        </w:rPr>
      </w:pPr>
    </w:p>
    <w:p w14:paraId="04E71C9B" w14:textId="77777777" w:rsidR="00F763B2" w:rsidRDefault="00F763B2">
      <w:pPr>
        <w:spacing w:after="160" w:line="259" w:lineRule="auto"/>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31412579" w14:textId="77777777" w:rsidR="00310457" w:rsidRPr="00486BED" w:rsidRDefault="00310457" w:rsidP="00486BED">
      <w:pPr>
        <w:spacing w:after="240" w:line="360" w:lineRule="auto"/>
        <w:ind w:left="709" w:hanging="709"/>
        <w:jc w:val="both"/>
        <w:rPr>
          <w:rFonts w:ascii="Times New Roman" w:hAnsi="Times New Roman" w:cs="Times New Roman"/>
          <w:b/>
          <w:sz w:val="24"/>
          <w:szCs w:val="24"/>
          <w:lang w:val="en-GB"/>
        </w:rPr>
      </w:pPr>
      <w:r w:rsidRPr="00486BED">
        <w:rPr>
          <w:rFonts w:ascii="Times New Roman" w:hAnsi="Times New Roman" w:cs="Times New Roman"/>
          <w:b/>
          <w:sz w:val="24"/>
          <w:szCs w:val="24"/>
          <w:lang w:val="en-GB"/>
        </w:rPr>
        <w:t>References</w:t>
      </w:r>
    </w:p>
    <w:p w14:paraId="2B477185"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Apostoaei AI, Nair SK, Thomas BA, Lewis CJ, Hoffman </w:t>
      </w:r>
      <w:r w:rsidR="00F763B2">
        <w:rPr>
          <w:rFonts w:ascii="Times New Roman" w:hAnsi="Times New Roman" w:cs="Times New Roman"/>
          <w:sz w:val="24"/>
          <w:szCs w:val="24"/>
          <w:lang w:val="en-US"/>
        </w:rPr>
        <w:t xml:space="preserve">FO, Thiessen KM (2000) External </w:t>
      </w:r>
      <w:r w:rsidRPr="00486BED">
        <w:rPr>
          <w:rFonts w:ascii="Times New Roman" w:hAnsi="Times New Roman" w:cs="Times New Roman"/>
          <w:sz w:val="24"/>
          <w:szCs w:val="24"/>
          <w:lang w:val="en-US"/>
        </w:rPr>
        <w:t xml:space="preserve">exposure to radionuclides accumulated in shoreline sediments with an application to the </w:t>
      </w:r>
      <w:r w:rsidR="009101F8"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w:t>
      </w:r>
      <w:r w:rsidR="009101F8" w:rsidRPr="00486BED">
        <w:rPr>
          <w:rFonts w:ascii="Times New Roman" w:hAnsi="Times New Roman" w:cs="Times New Roman"/>
          <w:sz w:val="24"/>
          <w:szCs w:val="24"/>
          <w:lang w:val="en-US"/>
        </w:rPr>
        <w:t>er</w:t>
      </w:r>
      <w:r w:rsidRPr="00486BED">
        <w:rPr>
          <w:rFonts w:ascii="Times New Roman" w:hAnsi="Times New Roman" w:cs="Times New Roman"/>
          <w:sz w:val="24"/>
          <w:szCs w:val="24"/>
          <w:lang w:val="en-US"/>
        </w:rPr>
        <w:t xml:space="preserve"> Clinch River. Health Phys 78:700–710</w:t>
      </w:r>
    </w:p>
    <w:p w14:paraId="6EDAB7A2"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Borysheva N , Ivannikov A , Tikunov D , Orlenko S ,  Skvortsov V, Stepanenko V , Hoshi M (2007) Taking into account absorbed doses in tooth enamel due to internal irradiation of human body by radioactive cesium isotopes at analysis EPR dosimetry data: Calculation by Monte-Carlo method. Radiat Meas 42:1190 – 1195</w:t>
      </w:r>
    </w:p>
    <w:p w14:paraId="57C3A428"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Chumak V, Bailiff I, Baran N, Bugai A, Dubovsky S, Fedosov I, Finin V, Haskell E, Hayes R, Ivannikov A, Kenner G, Kirillov V, Khamidova L, Kolesnik S, Liidja G, Likhtarev I, Lippmaa E, Maksimenko V, Meijer A, Minenko V, Pasalskaya L, Past J, Puskar J, Radchuk V, Wieser A (1996) The first international intercomparison of EPR-dosimetry with teeth: first results. Appl Radiat Isot 47: 1281-1286</w:t>
      </w:r>
    </w:p>
    <w:p w14:paraId="077D785D"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Currie LA (1999) Detection and quantification limits: origins and historical overview. Analyt Chim Acta 391: 127 – 134 </w:t>
      </w:r>
    </w:p>
    <w:p w14:paraId="737F357D"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Currie LA (2004) in International Atomic Energy Agency IAEA-TECDOC-1401, pp. 9-34</w:t>
      </w:r>
    </w:p>
    <w:p w14:paraId="7233F4F8"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Degteva MO, Kozheurov VP, Burmistrov DS, Vorobiova MI, Valchuk VV, Bougrov NG, Shishkina EA (1996) An Approach to Dose Reconstruction for the Urals Population.  Health Phys 71: 71-76</w:t>
      </w:r>
    </w:p>
    <w:p w14:paraId="4E49B1F9" w14:textId="77777777" w:rsidR="00310457" w:rsidRPr="00486BED" w:rsidRDefault="00310457" w:rsidP="00F763B2">
      <w:pPr>
        <w:tabs>
          <w:tab w:val="left" w:pos="720"/>
        </w:tabs>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Degteva MO, Kozheurov VP, Tolstykh EI, Vorobiova MI, Anspaugh LR, Napier BA, Kovtun AN. (2000b)  The Techa River Dosimetry System:  Methods for the reconstruction of internal dose.  Health Phys 79:24–35</w:t>
      </w:r>
    </w:p>
    <w:p w14:paraId="7C3D7C3D" w14:textId="77777777" w:rsidR="00310457" w:rsidRPr="00486BED" w:rsidRDefault="00310457" w:rsidP="00F763B2">
      <w:pPr>
        <w:tabs>
          <w:tab w:val="left" w:pos="720"/>
        </w:tabs>
        <w:spacing w:after="240" w:line="360" w:lineRule="auto"/>
        <w:jc w:val="both"/>
        <w:rPr>
          <w:rFonts w:ascii="Times New Roman" w:hAnsi="Times New Roman" w:cs="Times New Roman"/>
          <w:color w:val="000000"/>
          <w:sz w:val="24"/>
          <w:szCs w:val="24"/>
          <w:shd w:val="clear" w:color="auto" w:fill="FFFFFF"/>
          <w:lang w:val="en-US"/>
        </w:rPr>
      </w:pPr>
      <w:r w:rsidRPr="00486BED">
        <w:rPr>
          <w:rFonts w:ascii="Times New Roman" w:hAnsi="Times New Roman" w:cs="Times New Roman"/>
          <w:sz w:val="24"/>
          <w:szCs w:val="24"/>
          <w:lang w:val="en-US"/>
        </w:rPr>
        <w:t xml:space="preserve">Degteva MO, Shagina NB, Shishkina EA, Vozilova AV, Volchkova AYu, Vorobiova MI, Wiser A, Fattibene P, Della Monaka S., Ainsbury L, Moquet J, Anspaugh LR, Napier BA (2015) Analysis of EPR and FISH studies of radiation doses in persons who lived in the upper reaches of the Techa River. Radiat Environ Biophys </w:t>
      </w:r>
      <w:r w:rsidRPr="00486BED">
        <w:rPr>
          <w:rFonts w:ascii="Times New Roman" w:hAnsi="Times New Roman" w:cs="Times New Roman"/>
          <w:color w:val="000000"/>
          <w:sz w:val="24"/>
          <w:szCs w:val="24"/>
          <w:shd w:val="clear" w:color="auto" w:fill="FFFFFF"/>
          <w:lang w:val="en-US"/>
        </w:rPr>
        <w:t>54(4):433-44</w:t>
      </w:r>
    </w:p>
    <w:p w14:paraId="5DD427BF"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Degteva MO, Shagina NB, Vorobiova MI, Anspaugh LR, Napier BA (2012) Reevaluation of waterborne releases of radioactive materials from the mayak production association into the Techa River in 1949-1951. Health Phys 102: 25-38</w:t>
      </w:r>
    </w:p>
    <w:p w14:paraId="2F05A055" w14:textId="77777777" w:rsidR="003A23DC" w:rsidRDefault="003A23DC" w:rsidP="00F763B2">
      <w:pPr>
        <w:tabs>
          <w:tab w:val="left" w:pos="720"/>
        </w:tabs>
        <w:spacing w:after="240" w:line="360" w:lineRule="auto"/>
        <w:jc w:val="both"/>
        <w:rPr>
          <w:rFonts w:ascii="Times New Roman" w:hAnsi="Times New Roman" w:cs="Times New Roman"/>
          <w:sz w:val="24"/>
          <w:szCs w:val="24"/>
          <w:lang w:val="en-US"/>
        </w:rPr>
      </w:pPr>
    </w:p>
    <w:p w14:paraId="05E49D79" w14:textId="77777777" w:rsidR="00310457" w:rsidRPr="00486BED" w:rsidRDefault="00310457" w:rsidP="00F763B2">
      <w:pPr>
        <w:tabs>
          <w:tab w:val="left" w:pos="720"/>
        </w:tabs>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Degteva MO, Anspaugh LR, Akleyev AV, Jacob P, Ivanov DV, Weiser A, Vorobiova MI, Shishkina EA, Shved VA, Vozilova AV, Bayankin SN, Napier B (2005) Electron paramagnetic resonance and ﬂuorescence in situ hybridization-based investigations of individual doses for persons living at Metlino in the upper reaches of the Techa River. Health Phys 88:139–153</w:t>
      </w:r>
    </w:p>
    <w:p w14:paraId="2E79CE1A"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Degteva MO, Vorobiova MI, Kozheurov VP, Tolstykh EI, Anspaugh LR, Napier BA (2000a) Dose reconstruction system for the exposed population living along the Techa River. Health Phys 78:542–554</w:t>
      </w:r>
    </w:p>
    <w:p w14:paraId="11E47631" w14:textId="77777777" w:rsidR="00310457" w:rsidRPr="00486BED" w:rsidRDefault="00310457" w:rsidP="00F763B2">
      <w:pPr>
        <w:tabs>
          <w:tab w:val="left" w:pos="720"/>
        </w:tabs>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Eckerman KF, Ryman JC (1993) External exposure to radionuclides in air, water, and soil. U.S. Environmental Protection Agency; Federal guidance report No. 12, EPA 402-R-93-081, Washington</w:t>
      </w:r>
    </w:p>
    <w:p w14:paraId="0496F8DE"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Fattibene P, Angelone M, De Coste V, Pillon M (2004) Dosimetric response of tooth enamel to 14 Mev neutrons. Radiat Environ Biophys 43:85–90</w:t>
      </w:r>
    </w:p>
    <w:p w14:paraId="2ED5FF91"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Fattibene P, De Coste V, Güttler A, Ivanov D, Shishkina E, Wieser A (2007) EPR dose response of incisor teeth. In: 15. International Conference on Solid State Dosimetry (SSD 15). Book of Abstracts; July 8-13, 2007; Delft. 2007. p. 48</w:t>
      </w:r>
      <w:r w:rsidRPr="00486BED" w:rsidDel="0041584C">
        <w:rPr>
          <w:rFonts w:ascii="Times New Roman" w:hAnsi="Times New Roman" w:cs="Times New Roman"/>
          <w:sz w:val="24"/>
          <w:szCs w:val="24"/>
          <w:lang w:val="en-US"/>
        </w:rPr>
        <w:t>.</w:t>
      </w:r>
    </w:p>
    <w:p w14:paraId="62BA29E0"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Göksu HY, Semiochkina N, Shishkina EA, Wieser A, El-Faramawy NA, Degteva MO, Jacob P, Ivanov DV (2002) Thin layer </w:t>
      </w:r>
      <w:r w:rsidRPr="00486BED">
        <w:rPr>
          <w:rFonts w:ascii="Times New Roman" w:hAnsi="Times New Roman" w:cs="Times New Roman"/>
          <w:sz w:val="24"/>
          <w:szCs w:val="24"/>
        </w:rPr>
        <w:t>α</w:t>
      </w:r>
      <w:r w:rsidRPr="00486BED">
        <w:rPr>
          <w:rFonts w:ascii="Times New Roman" w:hAnsi="Times New Roman" w:cs="Times New Roman"/>
          <w:sz w:val="24"/>
          <w:szCs w:val="24"/>
          <w:lang w:val="en-US"/>
        </w:rPr>
        <w:t>-Al2O3: C beta dosemeters for the assessment of current dose rate in teeth due to 90Sr intake, and comparison with electron paramagnetic resonance dosimetry. Radiat Prot Dosim 101: 507-513</w:t>
      </w:r>
    </w:p>
    <w:p w14:paraId="1AE56C2A"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G</w:t>
      </w:r>
      <w:r w:rsidR="005B1E93">
        <w:rPr>
          <w:rFonts w:ascii="Times New Roman" w:hAnsi="Times New Roman" w:cs="Times New Roman"/>
          <w:sz w:val="24"/>
          <w:szCs w:val="24"/>
          <w:lang w:val="en-US"/>
        </w:rPr>
        <w:t>ü</w:t>
      </w:r>
      <w:r w:rsidRPr="00486BED">
        <w:rPr>
          <w:rFonts w:ascii="Times New Roman" w:hAnsi="Times New Roman" w:cs="Times New Roman"/>
          <w:sz w:val="24"/>
          <w:szCs w:val="24"/>
          <w:lang w:val="en-US"/>
        </w:rPr>
        <w:t>ttler A, Wieser A, Fattibene P, De Coste V, Shishkina EA (2006)</w:t>
      </w:r>
      <w:r w:rsidRPr="00486BED" w:rsidDel="0041584C">
        <w:rPr>
          <w:rFonts w:ascii="Times New Roman" w:hAnsi="Times New Roman" w:cs="Times New Roman"/>
          <w:sz w:val="24"/>
          <w:szCs w:val="24"/>
          <w:lang w:val="en-US"/>
        </w:rPr>
        <w:t>.</w:t>
      </w:r>
      <w:r w:rsidRPr="00486BED">
        <w:rPr>
          <w:rFonts w:ascii="Times New Roman" w:hAnsi="Times New Roman" w:cs="Times New Roman"/>
          <w:sz w:val="24"/>
          <w:szCs w:val="24"/>
          <w:lang w:val="en-US"/>
        </w:rPr>
        <w:t xml:space="preserve"> Dosimetric properties of the incisor teeth. Part 2: Comparison of EPR dose response of enamel from incisors and molars. In: The 2nd International Conference on Biodosimetry and 7th International Symposium on EPR Dosimetry and Applications. Scientific Program BiodosEPR-2006; Bethesda: Uniformed Services University of the Health Sciences (USUHS); Abstract No P-5</w:t>
      </w:r>
      <w:r w:rsidRPr="00486BED" w:rsidDel="0041584C">
        <w:rPr>
          <w:rFonts w:ascii="Times New Roman" w:hAnsi="Times New Roman" w:cs="Times New Roman"/>
          <w:sz w:val="24"/>
          <w:szCs w:val="24"/>
          <w:lang w:val="en-US"/>
        </w:rPr>
        <w:t>; 2006.</w:t>
      </w:r>
    </w:p>
    <w:p w14:paraId="6E734F69"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Hoshi M, Toyoda S, Ivannikov A, Zhumadilov K, Fukumura A, Apsalikov K, Zhumadilov ZhS, Bayankin S, Chumak V, Ciesielski B, De Coste V, Endo S, Fattibene P, Ivanov D, Mitchell CA, Onori S, Penkowski M, Pivovarov SP, Romanyukha A, Rukhin AB, Schultka K, Seredavina TA, Sholom S, Skvortsov V, Stepanenko V, Tanaka K, Trompier F, Wieser A, Wolakiewicz G (2007) Interlaboratory comparison of tooth enamel dosimetry on Semipalatinsk region: Part 1, general view. Radiat Meas 42: 1005-1014</w:t>
      </w:r>
    </w:p>
    <w:p w14:paraId="58BA6C46"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IAEA (2002) Use of electron paramagnetic resonance dosimetry with tooth enamel for retrospective dose assessment. International Atomic Energy Agency, Vienna, IAEA-TECDOC-1331</w:t>
      </w:r>
    </w:p>
    <w:p w14:paraId="02D8A076"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color w:val="000000"/>
          <w:sz w:val="24"/>
          <w:szCs w:val="24"/>
          <w:shd w:val="clear" w:color="auto" w:fill="FFFFFF"/>
          <w:lang w:val="en-US"/>
        </w:rPr>
        <w:t>ICRP (1993) Age-dependent Doses to Members of the Public from Intake of Radionuclides - Part 2 Ingestion Dose Coefficients. ICRP Publication 67. Ann. ICRP 23 (3-4)</w:t>
      </w:r>
    </w:p>
    <w:p w14:paraId="4B9078FA"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ICRU (2002) Retrospective Assessment of Exposures to Ionizing Radiation. Report 68. Bethesda, MD: ICRU</w:t>
      </w:r>
    </w:p>
    <w:p w14:paraId="007DEBD0"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Ignatiev EA, Romanyukha AA, Koshta AA, Wieser A (1996) Selective saturation method for EPR dosimetry with tooth enamel. Appl Radiat Isot 47: 333-337</w:t>
      </w:r>
    </w:p>
    <w:p w14:paraId="79CC3EA2"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ISO (1992) International Organization for Standardization (ISO), Guide 30:1992, Terms and definitions used in connection with reference materials. Geneva Switzerland </w:t>
      </w:r>
    </w:p>
    <w:p w14:paraId="2B8BD646"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ISO/IEC (2007) International Organization for Standardization (ISO), ISO/IEC Guide 99:2007, International vocabulary of metrology – Basic and general concepts and associated terms (VIM). Geneva Switzerland</w:t>
      </w:r>
    </w:p>
    <w:p w14:paraId="2EA7FF64"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Ivannikov A, Toyoda S, Hoshi M, Zhumadilov K, Fukumura A, Apsalikov K, Zhumadilov Zh, Bayankin S, Chumak V, Ciesielski B, De Coste V, Endo S, Fattibene P, Ivanov D, Mitchell C, Nalapko M, Onori S, Penkowski M, Pivovarov S, Romanyukha A, Rukhin AB, Schultka K, Seredavina T, Sholom S, Skvortsov V, Stepanenko V, Tanaka K, Trompier F, Wieser A, Wolakiewicz G (2007) Interlaboratory comparison on tooth enamel dosimetry on Semipalatinsk region: Part 2, effects of spectra processing. Radiat Meas 42: 1015-1020</w:t>
      </w:r>
    </w:p>
    <w:p w14:paraId="7DFD6F7F"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Ivanov D (2005) Radioecological study of exposure levels for the inhabitants of the Ural region using method of EPR dosimetry: Doctoral thesis. 03.00.16. Ekaterinburg (in Russian)</w:t>
      </w:r>
      <w:r w:rsidRPr="00486BED" w:rsidDel="0041584C">
        <w:rPr>
          <w:rFonts w:ascii="Times New Roman" w:hAnsi="Times New Roman" w:cs="Times New Roman"/>
          <w:sz w:val="24"/>
          <w:szCs w:val="24"/>
          <w:lang w:val="en-US"/>
        </w:rPr>
        <w:t>.</w:t>
      </w:r>
    </w:p>
    <w:p w14:paraId="7EAB68F9"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Ivanov DV, Wieser </w:t>
      </w:r>
      <w:r w:rsidR="005B1E93">
        <w:rPr>
          <w:rFonts w:ascii="Times New Roman" w:hAnsi="Times New Roman" w:cs="Times New Roman"/>
          <w:sz w:val="24"/>
          <w:szCs w:val="24"/>
          <w:lang w:val="en-US"/>
        </w:rPr>
        <w:t>A</w:t>
      </w:r>
      <w:r w:rsidRPr="00486BED">
        <w:rPr>
          <w:rFonts w:ascii="Times New Roman" w:hAnsi="Times New Roman" w:cs="Times New Roman"/>
          <w:sz w:val="24"/>
          <w:szCs w:val="24"/>
          <w:lang w:val="en-US"/>
        </w:rPr>
        <w:t>, Shishkina EA, Ustinov VV (2014) Effect of spectrum processing procedure on the linearity of EPR dose reconstruction in tooth enamel. Radiat Meas 68:7-13</w:t>
      </w:r>
    </w:p>
    <w:p w14:paraId="10E712D1"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Ivanov DV, Shishkina </w:t>
      </w:r>
      <w:r w:rsidRPr="00486BED">
        <w:rPr>
          <w:rFonts w:ascii="Times New Roman" w:hAnsi="Times New Roman" w:cs="Times New Roman"/>
          <w:sz w:val="24"/>
          <w:szCs w:val="24"/>
        </w:rPr>
        <w:t>Е</w:t>
      </w:r>
      <w:r w:rsidRPr="00486BED">
        <w:rPr>
          <w:rFonts w:ascii="Times New Roman" w:hAnsi="Times New Roman" w:cs="Times New Roman"/>
          <w:sz w:val="24"/>
          <w:szCs w:val="24"/>
          <w:lang w:val="en-US"/>
        </w:rPr>
        <w:t xml:space="preserve">A, Volchkova </w:t>
      </w:r>
      <w:r w:rsidRPr="00486BED">
        <w:rPr>
          <w:rFonts w:ascii="Times New Roman" w:hAnsi="Times New Roman" w:cs="Times New Roman"/>
          <w:sz w:val="24"/>
          <w:szCs w:val="24"/>
        </w:rPr>
        <w:t>А</w:t>
      </w:r>
      <w:r w:rsidRPr="00486BED">
        <w:rPr>
          <w:rFonts w:ascii="Times New Roman" w:hAnsi="Times New Roman" w:cs="Times New Roman"/>
          <w:sz w:val="24"/>
          <w:szCs w:val="24"/>
          <w:lang w:val="en-US"/>
        </w:rPr>
        <w:t>Yu, Timofeev YuS (2011) Changing of opportunities of EPR dosimetry on dental enamel during the process of long-term equipment operation in the Institute of Physics of Metals. ANRI 3: 65- 71</w:t>
      </w:r>
    </w:p>
    <w:p w14:paraId="0BC9A73B"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Kleschenko ED, Keirim-Marcus IB, Levochkin FK, Bochvar IA, Gozenbuk VL, Kushnereva KK, Noskova GV, Chernova ON (1994) Study on the Urals population exposure by the method EPR spectrum analysis of tooth enamel. Moscow: Institute of Biophysics; Technical Report #94-04 (in Russian)</w:t>
      </w:r>
    </w:p>
    <w:p w14:paraId="52214AF7"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Marrale M, Longo A, Brai M, Barbon A, Brustolon M, Fattibene P (2011) Pulsed EPR analysis of tooth enamel samples exposed to UV and g-radiations. Radiat Meas 46:789-792</w:t>
      </w:r>
    </w:p>
    <w:p w14:paraId="6245B8F9"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Napier BA, Degteva MO, Shagina NB, Anspaugh LR (2013) Uncertainty analysis for the Techa River dosimetry system. Med Radiol Radiat Saf 58:5–28 (in English and Russian)</w:t>
      </w:r>
    </w:p>
    <w:p w14:paraId="27D62118"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Romanyukha AA, Degteva MO, Kozheurov VP, Wieser A, Jacob P, Ignatiev EA (1996) Pilot study of the Urals population by tooth electron paramagnetic resonance dosimetry. Radiat Environ Biophys 35: 305−310</w:t>
      </w:r>
    </w:p>
    <w:p w14:paraId="5CC05A20" w14:textId="77777777" w:rsidR="00310457" w:rsidRPr="00486BED" w:rsidRDefault="00310457" w:rsidP="00F763B2">
      <w:pPr>
        <w:tabs>
          <w:tab w:val="left" w:pos="720"/>
        </w:tabs>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Schwarz BS, Bolch WE (2014) Re-evaluation of organ dose conversion factors for UF/ICRP reference computational phantoms resulting from external exposures at the Techa River due to ground contamination.  University of Florida; Report for Milestone 9, Part 1. September 2014</w:t>
      </w:r>
      <w:r w:rsidRPr="00486BED" w:rsidDel="0041584C">
        <w:rPr>
          <w:rFonts w:ascii="Times New Roman" w:hAnsi="Times New Roman" w:cs="Times New Roman"/>
          <w:sz w:val="24"/>
          <w:szCs w:val="24"/>
          <w:lang w:val="en-US"/>
        </w:rPr>
        <w:t>.</w:t>
      </w:r>
    </w:p>
    <w:p w14:paraId="5A4E779B"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Serezhenkov VA, Domracheva EV, Klevezal GA, Kulikov SM, Kuznetsov SA, Mordvincev PI, Sukhovskaya LI, Schklovsky-Kordi NE, Vanin AF, Voevodskaya NV, Vorobiev AI (1992) Radiation dosimetry for residents of the Chernobyl region: A comparison of cytogenetic and electron spin resonance methods. Radiat Prot Dosim 42:33-36</w:t>
      </w:r>
    </w:p>
    <w:p w14:paraId="0F4F6A6D" w14:textId="77777777" w:rsidR="00310457" w:rsidRPr="00486BED" w:rsidRDefault="00310457" w:rsidP="00F763B2">
      <w:pPr>
        <w:shd w:val="clear" w:color="auto" w:fill="FFFFFF"/>
        <w:spacing w:after="240" w:line="360" w:lineRule="auto"/>
        <w:jc w:val="both"/>
        <w:textAlignment w:val="baseline"/>
        <w:rPr>
          <w:rFonts w:ascii="Times New Roman" w:hAnsi="Times New Roman" w:cs="Times New Roman"/>
          <w:sz w:val="24"/>
          <w:szCs w:val="24"/>
          <w:lang w:val="en-US"/>
        </w:rPr>
      </w:pPr>
      <w:r w:rsidRPr="00486BED">
        <w:rPr>
          <w:rFonts w:ascii="Times New Roman" w:hAnsi="Times New Roman" w:cs="Times New Roman"/>
          <w:sz w:val="24"/>
          <w:szCs w:val="24"/>
          <w:lang w:val="en-US"/>
        </w:rPr>
        <w:t>Shagina NB, Degteva MO, Vorobiova MI, Peremyslova LM, Anspaugh LR, Napier BA (2012b) Evaluation of parameters for external dose calculation in the Techa River dosimetry system TRDS-2012. Urals Research Center for Radiation Medicine and University of Utah, Chelyabinsk and Salt Lake City</w:t>
      </w:r>
    </w:p>
    <w:p w14:paraId="74B28766" w14:textId="77777777" w:rsidR="00310457" w:rsidRPr="00486BED" w:rsidDel="0041584C" w:rsidRDefault="00310457" w:rsidP="00F763B2">
      <w:pPr>
        <w:shd w:val="clear" w:color="auto" w:fill="FFFFFF"/>
        <w:spacing w:after="240" w:line="360" w:lineRule="auto"/>
        <w:jc w:val="both"/>
        <w:textAlignment w:val="baseline"/>
        <w:rPr>
          <w:rFonts w:ascii="Times New Roman" w:eastAsia="Times New Roman" w:hAnsi="Times New Roman" w:cs="Times New Roman"/>
          <w:color w:val="000000"/>
          <w:sz w:val="24"/>
          <w:szCs w:val="24"/>
          <w:lang w:val="en-US" w:eastAsia="ru-RU"/>
        </w:rPr>
      </w:pPr>
      <w:r w:rsidRPr="00486BED" w:rsidDel="0041584C">
        <w:rPr>
          <w:rFonts w:ascii="Times New Roman" w:hAnsi="Times New Roman" w:cs="Times New Roman"/>
          <w:sz w:val="24"/>
          <w:szCs w:val="24"/>
          <w:lang w:val="en-US"/>
        </w:rPr>
        <w:t>Shagina NB, Tolstykh EI, Degteva MO, Kozyreva OV, Anspaugh LR, Napier BA (2012</w:t>
      </w:r>
      <w:r w:rsidRPr="00486BED">
        <w:rPr>
          <w:rFonts w:ascii="Times New Roman" w:hAnsi="Times New Roman" w:cs="Times New Roman"/>
          <w:sz w:val="24"/>
          <w:szCs w:val="24"/>
          <w:lang w:val="en-US"/>
        </w:rPr>
        <w:t>c</w:t>
      </w:r>
      <w:r w:rsidRPr="00486BED" w:rsidDel="0041584C">
        <w:rPr>
          <w:rFonts w:ascii="Times New Roman" w:hAnsi="Times New Roman" w:cs="Times New Roman"/>
          <w:sz w:val="24"/>
          <w:szCs w:val="24"/>
          <w:lang w:val="en-US"/>
        </w:rPr>
        <w:t>) Description of the Revisions to TRDS-2009 Code and Databases. Chelyabinsk and Salt Lake City: Urals Research Center for Radiation Medicine and University of Utah; Final Report for Milestone 5.</w:t>
      </w:r>
    </w:p>
    <w:p w14:paraId="00014FEA" w14:textId="77777777" w:rsidR="00310457" w:rsidRPr="00486BED" w:rsidRDefault="00310457" w:rsidP="00F763B2">
      <w:pPr>
        <w:shd w:val="clear" w:color="auto" w:fill="FFFFFF"/>
        <w:spacing w:after="240" w:line="360" w:lineRule="auto"/>
        <w:jc w:val="both"/>
        <w:textAlignment w:val="baseline"/>
        <w:rPr>
          <w:rFonts w:ascii="Times New Roman" w:hAnsi="Times New Roman" w:cs="Times New Roman"/>
          <w:sz w:val="24"/>
          <w:szCs w:val="24"/>
          <w:lang w:val="en-US"/>
        </w:rPr>
      </w:pPr>
      <w:r w:rsidRPr="00486BED">
        <w:rPr>
          <w:rFonts w:ascii="Times New Roman" w:hAnsi="Times New Roman" w:cs="Times New Roman"/>
          <w:sz w:val="24"/>
          <w:szCs w:val="24"/>
          <w:lang w:val="en-US"/>
        </w:rPr>
        <w:t>Shagina NB, Vorobiova MI, Degteva MO, Peremyslova LM, Shishkina EA, Anspaugh LR, Napier BA (2012a) Reconstruction of the contamination of the Techa River in 1949–1951 as a result of releases from the ‘‘MAYAK’’ Production Association. Radiat Environ Biophys 51:349–366</w:t>
      </w:r>
    </w:p>
    <w:p w14:paraId="4D638139" w14:textId="77777777" w:rsidR="00310457" w:rsidRPr="00486BED" w:rsidRDefault="00310457" w:rsidP="00F763B2">
      <w:pPr>
        <w:shd w:val="clear" w:color="auto" w:fill="FFFFFF"/>
        <w:spacing w:after="240" w:line="360" w:lineRule="auto"/>
        <w:jc w:val="both"/>
        <w:textAlignment w:val="baseline"/>
        <w:rPr>
          <w:rFonts w:ascii="Times New Roman" w:eastAsia="Times New Roman" w:hAnsi="Times New Roman" w:cs="Times New Roman"/>
          <w:sz w:val="24"/>
          <w:szCs w:val="24"/>
          <w:lang w:val="en-US" w:eastAsia="ru-RU"/>
        </w:rPr>
      </w:pPr>
      <w:r w:rsidRPr="00486BED">
        <w:rPr>
          <w:rFonts w:ascii="Times New Roman" w:eastAsia="Times New Roman" w:hAnsi="Times New Roman" w:cs="Times New Roman"/>
          <w:sz w:val="24"/>
          <w:szCs w:val="24"/>
          <w:lang w:val="en-US" w:eastAsia="ru-RU"/>
        </w:rPr>
        <w:t>Shishkina E, Tolstykh E, Degteva M, Ivanov D, Aladova E (2012b) Variability of the radiation sensitivity for tooth enamel of the Ural residents. ANRI (Instruments and Methods of Radiat. Meas.) 69: 41–50 (in Russian)</w:t>
      </w:r>
      <w:r w:rsidRPr="00486BED" w:rsidDel="0041584C">
        <w:rPr>
          <w:rFonts w:ascii="Times New Roman" w:eastAsia="Times New Roman" w:hAnsi="Times New Roman" w:cs="Times New Roman"/>
          <w:sz w:val="24"/>
          <w:szCs w:val="24"/>
          <w:lang w:val="en-US" w:eastAsia="ru-RU"/>
        </w:rPr>
        <w:t>.</w:t>
      </w:r>
    </w:p>
    <w:p w14:paraId="7D6150E8"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(2012a) Performance parameters and uncertainty of the method for assessment of 90Sr concentration in small powder samples using -Al2O3:C beta detectors. Radiat Meas 47: 19-26</w:t>
      </w:r>
    </w:p>
    <w:p w14:paraId="1969BCE2"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Degteva MO, Tolstykh EI, Shved VA, Tokareva EE, Ivanov DV, Bayankin SN, Wieser A, Göksu HY, Anspaugh L (2006) Dosimetrical studies of teeth of Techa riverside residents. Radiat Saf Probl (Mayak Production Association Scientific Journal) 1: 26-44 (in Russian)</w:t>
      </w:r>
    </w:p>
    <w:p w14:paraId="087FF376"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Degteva MO, Tolstykh EI, Volchkova A, Ivanov DV, Wieser A, Della Monaca S, Fattibene P (2011a) Extra high doses detected in the enamel of human teeth in the Techa riverside region. Radiat Meas 46: 760-764</w:t>
      </w:r>
    </w:p>
    <w:p w14:paraId="2FABA2AD" w14:textId="4C8CF4FE"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Ivanov DV, Wieser A, Fattibene P, Volchkova AYu, Semioshkina N, Veroneze I, El-Faramawy N, Degteva MO (2011b) Tooth dosimetry for residents of Techa riverside territories. In Proceedings of Third European IRPA congress 14-18 June 2010, Helsink</w:t>
      </w:r>
      <w:r w:rsidR="005B1E93">
        <w:rPr>
          <w:rFonts w:ascii="Times New Roman" w:hAnsi="Times New Roman" w:cs="Times New Roman"/>
          <w:sz w:val="24"/>
          <w:szCs w:val="24"/>
          <w:lang w:val="en-US"/>
        </w:rPr>
        <w:t>i</w:t>
      </w:r>
      <w:r w:rsidRPr="00486BED">
        <w:rPr>
          <w:rFonts w:ascii="Times New Roman" w:hAnsi="Times New Roman" w:cs="Times New Roman"/>
          <w:sz w:val="24"/>
          <w:szCs w:val="24"/>
          <w:lang w:val="en-US"/>
        </w:rPr>
        <w:t>, Finland. Publisher STUK – Radiation and Nuclear Safety Authority, Finland, p 947-955</w:t>
      </w:r>
    </w:p>
    <w:p w14:paraId="668C9226" w14:textId="18823851"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bCs/>
          <w:color w:val="000000"/>
          <w:sz w:val="24"/>
          <w:szCs w:val="24"/>
          <w:lang w:val="en-US"/>
        </w:rPr>
        <w:t>Shishkina EA</w:t>
      </w:r>
      <w:r w:rsidRPr="00486BED">
        <w:rPr>
          <w:rFonts w:ascii="Times New Roman" w:hAnsi="Times New Roman" w:cs="Times New Roman"/>
          <w:color w:val="000000"/>
          <w:sz w:val="24"/>
          <w:szCs w:val="24"/>
          <w:lang w:val="en-US"/>
        </w:rPr>
        <w:t>, Lyubashevskii NM, Tolstykh EI, Ignatiev EA, Betenekova TA, Nikiforov SV (</w:t>
      </w:r>
      <w:r w:rsidRPr="00486BED">
        <w:rPr>
          <w:rFonts w:ascii="Times New Roman" w:hAnsi="Times New Roman" w:cs="Times New Roman"/>
          <w:sz w:val="24"/>
          <w:szCs w:val="24"/>
          <w:lang w:val="en-GB"/>
        </w:rPr>
        <w:t>2001a)</w:t>
      </w:r>
      <w:r w:rsidRPr="00486BED">
        <w:rPr>
          <w:rFonts w:ascii="Times New Roman" w:hAnsi="Times New Roman" w:cs="Times New Roman"/>
          <w:color w:val="000000"/>
          <w:sz w:val="24"/>
          <w:szCs w:val="24"/>
          <w:lang w:val="en-US"/>
        </w:rPr>
        <w:t xml:space="preserve"> A mathematical model for calculation of </w:t>
      </w:r>
      <w:r w:rsidRPr="00486BED">
        <w:rPr>
          <w:rFonts w:ascii="Times New Roman" w:hAnsi="Times New Roman" w:cs="Times New Roman"/>
          <w:color w:val="000000"/>
          <w:sz w:val="24"/>
          <w:szCs w:val="24"/>
          <w:vertAlign w:val="superscript"/>
          <w:lang w:val="en-US"/>
        </w:rPr>
        <w:t>90</w:t>
      </w:r>
      <w:r w:rsidRPr="00486BED">
        <w:rPr>
          <w:rFonts w:ascii="Times New Roman" w:hAnsi="Times New Roman" w:cs="Times New Roman"/>
          <w:color w:val="000000"/>
          <w:sz w:val="24"/>
          <w:szCs w:val="24"/>
          <w:lang w:val="en-US"/>
        </w:rPr>
        <w:t xml:space="preserve">Sr absorbed dose in dental tissues elaboration and comparison to EPR measurements. </w:t>
      </w:r>
      <w:r w:rsidRPr="00486BED">
        <w:rPr>
          <w:rFonts w:ascii="Times New Roman" w:hAnsi="Times New Roman" w:cs="Times New Roman"/>
          <w:sz w:val="24"/>
          <w:szCs w:val="24"/>
          <w:lang w:val="en-GB"/>
        </w:rPr>
        <w:t>Appl Radiat Isot 55: 363-374</w:t>
      </w:r>
    </w:p>
    <w:p w14:paraId="39CFAAB3"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Shved VA, Degteva MO, Tolstykh EI, Ivanov DV, Bayankin SN, Wieser A, Göksu HY, El-Faramawy NA, Semiochkina N, Jacob P, Anspaugh LR, Napier BA (2003) Issues in the validation of external dose: Background and internal dose components of cumulative dose estimated using the EPR method. Chelyabinsk and Salt Lake City: Urals Research Center for Radiation Medicine and University of Utah; Final report for Milestone 7, Part 1. http://biophys.urcrm.chel.su/publications/ Milestone7_part1.pdf (disposable in November 2014)</w:t>
      </w:r>
    </w:p>
    <w:p w14:paraId="6ED46845"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Shved VA, Degteva MO, Tolstykh EI, Ivanov DV, Bayankin SN, Anspaugh LR, Napier BA, Wieser A, Jacob P (2001b) Description of the computer database “tooth” and discussion of requirements for EPR measurements to support a validation study of external doses calculated by use of the Techa River Dosimetry System–2000. Chelyabinsk and Salt Lake City: Urals Research Center for Radiation Medicine and University of Utah; Final report for Milestone 2. http://biophys.urcrm.chel.su/publications/Milestone2.pdf (disposable in November 2014)</w:t>
      </w:r>
    </w:p>
    <w:p w14:paraId="65B117B3" w14:textId="3F062969"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Timofeev Yu S, Ivanov DV (2014a) Software for evaluation of EPR-dosimetry performance. Radiat Prot Dosim 159: 188-193</w:t>
      </w:r>
    </w:p>
    <w:p w14:paraId="55E718F3"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Shishkina EA, Tolstykh EI, Verdi E, Volchkova AYu, Veronese I, El-Faramawy NA, Göksu HY, Degteva MO (2014b) Concentrations of 90Sr in the tooth tissues 60 years after intake: results of TL measurements and applications for Techa River dosimetry. Radiat Environ Biophys 53: 159-173</w:t>
      </w:r>
    </w:p>
    <w:p w14:paraId="1DB503D6"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Sholom S, Desrosiers M, Chumak V, Luckyanov N, Simon SL, Bouville A</w:t>
      </w:r>
      <w:r w:rsidR="005B1E93">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(2010) UV effects in tooth enamel and their possible application in EPR dosimetry with front teeth. Health Phys 98: 360–368</w:t>
      </w:r>
    </w:p>
    <w:p w14:paraId="4460EF40" w14:textId="0C0C408D"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Shved VA, Shishkina EA</w:t>
      </w:r>
      <w:r w:rsidR="005B1E93">
        <w:rPr>
          <w:rFonts w:ascii="Times New Roman" w:hAnsi="Times New Roman" w:cs="Times New Roman"/>
          <w:sz w:val="24"/>
          <w:szCs w:val="24"/>
          <w:lang w:val="en-US"/>
        </w:rPr>
        <w:t xml:space="preserve"> </w:t>
      </w:r>
      <w:r w:rsidRPr="00486BED">
        <w:rPr>
          <w:rFonts w:ascii="Times New Roman" w:hAnsi="Times New Roman" w:cs="Times New Roman"/>
          <w:sz w:val="24"/>
          <w:szCs w:val="24"/>
          <w:lang w:val="en-US"/>
        </w:rPr>
        <w:t>(2000) Assessment of tooth tissues dose rate coefficients from incorporated strontium-90 in EPR dose reconstruction for the Techa Riverside population. . In: Harmonization of radiation, human life and the ecosystem, Proceedings of 10th international congress on radiation protection. Hiroshima: International Radiation Protection Association; CD-ROM; Paper No. P-3a-212</w:t>
      </w:r>
    </w:p>
    <w:p w14:paraId="55C7412A" w14:textId="5E8CAFB0"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Skryabin AM, Pochinsky AG (1985) Doses of the residents of the Chelyabinsk Oblast due to the exposure to natural gamma background radiation at open areas and buildings. Hygiene and Sanitary 1: 78-80</w:t>
      </w:r>
    </w:p>
    <w:p w14:paraId="581BDD12"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Tikunov DD, Ivannikov AI, Shishkina EA, Petin DV, Borysheva NB, Orlenko S, Nalapko M, Shved VA, Skvortsov VG, Stepanenko VF (2006) Complex experimental research on internal tooth dosimetry for the Techa River region: A model for 90Sr accumulation in human teeth formed by time of intakes. Radiat Meas 41:565–576</w:t>
      </w:r>
    </w:p>
    <w:p w14:paraId="3FFCDC32"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Tolstykh EI, Degteva MO, Kozheurov VP, Shishkina EA, Romanyukha AA, Wieser A, Jacob P (2000) Strontium metabolism in teeth and enamel dose assessment: Analysis of the Techa River data. Radiat Environ Biophys 39:161−171</w:t>
      </w:r>
    </w:p>
    <w:p w14:paraId="62985024" w14:textId="0929D08A"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Tolstykh EI, Degteva MO, Peremyslova LM, Shagina NB, Shishkina EA, Krivoshchapov VA, Anspaugh LR, Napier BA (2011) Reconstruction of long-lived radionuclide intakes for Techa riverside residents: </w:t>
      </w:r>
      <w:r w:rsidR="002D0607">
        <w:rPr>
          <w:rFonts w:ascii="Times New Roman" w:hAnsi="Times New Roman" w:cs="Times New Roman"/>
          <w:sz w:val="24"/>
          <w:szCs w:val="24"/>
          <w:lang w:val="en-US"/>
        </w:rPr>
        <w:t>S</w:t>
      </w:r>
      <w:r w:rsidRPr="00486BED">
        <w:rPr>
          <w:rFonts w:ascii="Times New Roman" w:hAnsi="Times New Roman" w:cs="Times New Roman"/>
          <w:sz w:val="24"/>
          <w:szCs w:val="24"/>
          <w:lang w:val="en-US"/>
        </w:rPr>
        <w:t>trontium-90. Health Phys 101: 280</w:t>
      </w:r>
    </w:p>
    <w:p w14:paraId="08475717" w14:textId="063D7C9D"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bCs/>
          <w:sz w:val="24"/>
          <w:szCs w:val="24"/>
          <w:lang w:val="en-US"/>
        </w:rPr>
        <w:t>Tolstykh EI</w:t>
      </w:r>
      <w:r w:rsidRPr="00486BED">
        <w:rPr>
          <w:rFonts w:ascii="Times New Roman" w:hAnsi="Times New Roman" w:cs="Times New Roman"/>
          <w:sz w:val="24"/>
          <w:szCs w:val="24"/>
          <w:lang w:val="en-US"/>
        </w:rPr>
        <w:t>, Degteva MO, Peremyslova LM, Shagina NB, Vorobiova MI, Anspaugh LR, Napier BA (2013) Reconstruction of long-lived radionuclide intakes for Techa riverside residents: 137Cs. </w:t>
      </w:r>
      <w:r w:rsidRPr="00486BED">
        <w:rPr>
          <w:rStyle w:val="jrnl"/>
          <w:rFonts w:ascii="Times New Roman" w:hAnsi="Times New Roman" w:cs="Times New Roman"/>
          <w:sz w:val="24"/>
          <w:szCs w:val="24"/>
          <w:lang w:val="en-US"/>
        </w:rPr>
        <w:t>Health Phys</w:t>
      </w:r>
      <w:r w:rsidRPr="00486BED">
        <w:rPr>
          <w:rFonts w:ascii="Times New Roman" w:hAnsi="Times New Roman" w:cs="Times New Roman"/>
          <w:sz w:val="24"/>
          <w:szCs w:val="24"/>
          <w:lang w:val="en-US"/>
        </w:rPr>
        <w:t xml:space="preserve"> 104:481-98</w:t>
      </w:r>
    </w:p>
    <w:p w14:paraId="33E4B0F3" w14:textId="5A027EF3"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color w:val="252525"/>
          <w:sz w:val="24"/>
          <w:szCs w:val="24"/>
          <w:shd w:val="clear" w:color="auto" w:fill="FFFFFF"/>
          <w:lang w:val="en-US"/>
        </w:rPr>
        <w:t>Traub JF (1982) Iterative Methods for the Solution of Equations, Chelsea Publishing Company, New York, 310 pp</w:t>
      </w:r>
    </w:p>
    <w:p w14:paraId="67651877" w14:textId="22DF1879"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Volchkova A, Shishkina EA, Ivanov D, Timofeev Yu, Fattibene P, Della Monaca S, Wieser A, Degteva MO (2011) Harmonization of dosimetric information obtained by different EPR methods: Experience of the Techa river study. Radiat Meas 46:801-807</w:t>
      </w:r>
    </w:p>
    <w:p w14:paraId="2C68844B" w14:textId="6109DB2D"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 xml:space="preserve">Volchkova AYu (2014) Development of voxel phantoms and evaluation of internal doses in enamel of the Urals residents exposed to radiation. Ph.D. thesis, URCRM, Chelyabinsk, 24 pp. (in Russian). Available </w:t>
      </w:r>
      <w:r w:rsidR="004061FF">
        <w:rPr>
          <w:rFonts w:ascii="Times New Roman" w:hAnsi="Times New Roman" w:cs="Times New Roman"/>
          <w:sz w:val="24"/>
          <w:szCs w:val="24"/>
          <w:lang w:val="en-US"/>
        </w:rPr>
        <w:t>at</w:t>
      </w:r>
      <w:r w:rsidRPr="00486BED">
        <w:rPr>
          <w:rFonts w:ascii="Times New Roman" w:hAnsi="Times New Roman" w:cs="Times New Roman"/>
          <w:sz w:val="24"/>
          <w:szCs w:val="24"/>
          <w:lang w:val="en-US"/>
        </w:rPr>
        <w:t xml:space="preserve"> </w:t>
      </w:r>
      <w:hyperlink r:id="rId20" w:anchor="?page=1" w:history="1">
        <w:r w:rsidRPr="00486BED">
          <w:rPr>
            <w:rStyle w:val="Hyperlink"/>
            <w:rFonts w:ascii="Times New Roman" w:hAnsi="Times New Roman" w:cs="Times New Roman"/>
            <w:sz w:val="24"/>
            <w:szCs w:val="24"/>
            <w:lang w:val="en-US"/>
          </w:rPr>
          <w:t>http://dlib.rsl.ru/viewer/01005558947#?page=1</w:t>
        </w:r>
      </w:hyperlink>
    </w:p>
    <w:p w14:paraId="40A7FCC6" w14:textId="091FA4A1"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Volchkova AY</w:t>
      </w:r>
      <w:r w:rsidR="004061FF">
        <w:rPr>
          <w:rFonts w:ascii="Times New Roman" w:hAnsi="Times New Roman" w:cs="Times New Roman"/>
          <w:sz w:val="24"/>
          <w:szCs w:val="24"/>
          <w:lang w:val="en-US"/>
        </w:rPr>
        <w:t>u</w:t>
      </w:r>
      <w:r w:rsidRPr="00486BED">
        <w:rPr>
          <w:rFonts w:ascii="Times New Roman" w:hAnsi="Times New Roman" w:cs="Times New Roman"/>
          <w:sz w:val="24"/>
          <w:szCs w:val="24"/>
          <w:lang w:val="en-US"/>
        </w:rPr>
        <w:t xml:space="preserve">, Chuvakova DA, Shishkina EA (2009) Calculations of tooth enamel doses from internal exposure based on a set of voxel phantoms by example of 1st </w:t>
      </w:r>
      <w:r w:rsidR="00666E20" w:rsidRPr="00486BED">
        <w:rPr>
          <w:rFonts w:ascii="Times New Roman" w:hAnsi="Times New Roman" w:cs="Times New Roman"/>
          <w:sz w:val="24"/>
          <w:szCs w:val="24"/>
          <w:lang w:val="en-US"/>
        </w:rPr>
        <w:t>l</w:t>
      </w:r>
      <w:r w:rsidR="00315BAF" w:rsidRPr="00486BED">
        <w:rPr>
          <w:rFonts w:ascii="Times New Roman" w:hAnsi="Times New Roman" w:cs="Times New Roman"/>
          <w:sz w:val="24"/>
          <w:szCs w:val="24"/>
          <w:lang w:val="en-US"/>
        </w:rPr>
        <w:t>ower</w:t>
      </w:r>
      <w:r w:rsidRPr="00486BED">
        <w:rPr>
          <w:rFonts w:ascii="Times New Roman" w:hAnsi="Times New Roman" w:cs="Times New Roman"/>
          <w:sz w:val="24"/>
          <w:szCs w:val="24"/>
          <w:lang w:val="en-US"/>
        </w:rPr>
        <w:t xml:space="preserve"> incisor. Radiation Safety Problems </w:t>
      </w:r>
      <w:r w:rsidRPr="00486BED">
        <w:rPr>
          <w:rFonts w:ascii="Times New Roman" w:hAnsi="Times New Roman" w:cs="Times New Roman"/>
          <w:color w:val="000000" w:themeColor="text1"/>
          <w:sz w:val="24"/>
          <w:szCs w:val="24"/>
          <w:lang w:val="en-US"/>
        </w:rPr>
        <w:t>№4:66-75</w:t>
      </w:r>
      <w:r w:rsidRPr="00486BED">
        <w:rPr>
          <w:rFonts w:ascii="Times New Roman" w:hAnsi="Times New Roman" w:cs="Times New Roman"/>
          <w:sz w:val="24"/>
          <w:szCs w:val="24"/>
          <w:lang w:val="en-US"/>
        </w:rPr>
        <w:t xml:space="preserve"> (in Russian)</w:t>
      </w:r>
    </w:p>
    <w:p w14:paraId="0799155E"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Volchkova AYu, Shishkina EA (2012) Age dependence of dose rates in the enamel of teeth contaminated by 90Sr. In: Experience in minimizing consequences of the 1957 accident. Materials of the International Conference, October 2-3, 2012, Chelyabinsk, P.17 (in Russian)</w:t>
      </w:r>
    </w:p>
    <w:p w14:paraId="16D57E09"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Volchkova AYu, Shishkina EA (2013) Sizes of incisors of Urals rural residents. Bulletin of Chelyabinsk State University (ChelSU) N7:112-114 (in Russian).</w:t>
      </w:r>
    </w:p>
    <w:p w14:paraId="1750CC4E"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Vorobiova MI, Degteva MO (1999) Simple model for the reconstruction of radionuclide concentrations and radiation exposures along the Techa River. Health Phys 77:142–149</w:t>
      </w:r>
    </w:p>
    <w:p w14:paraId="11BA862F" w14:textId="4410A1A2"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Vorona IP, Baran NP, Ishchenko SS, Rudko VV (2007) Separation of the contributions from gamma- and UV-radiation to the EPR spectra of tooth enamel plates. Appl Radiat Isot 65:553-556</w:t>
      </w:r>
    </w:p>
    <w:p w14:paraId="3BBA753E"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Wieser A, Debuyst R, Fattibene P, Meghzifene A, Onori S, Bayankin SN, Blackwell B, Brik A, Bugay A, Chumak V, Ciesielski B, Hoshi M, Imata H, Ivannikov A, Ivanov D, Junczewska M, Miyazawa C, Pass B, Penkowski M, Pivovarov S, Romanyukha A, Romanyukha L, Schauer D, Scherbina O, Schultka K, Shames A, Sholom S, Skinner A, Skvortsov V, Stepanenko V, Tielewuhan E, Toyoda S, Trompier F (2005) The 3rd international intercomparison on EPR tooth dosimetry: Part 1, general analysis. Appl Radiat Isot 62: 163-171</w:t>
      </w:r>
    </w:p>
    <w:p w14:paraId="7B309FE4"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Wieser A, Debuyst R, Fattibene P, Meghzifene A, Onori S, Bayankin SN, Brik A, Bugay A, Chumak V, Ciesielski B, Hoshi M, Imata H, Ivannikov A, Ivanov D, Junczewska M, Miyazawa C, Penkowski M, Pivovarov S, Romanyukha A, Romanyukha L, Schauer D, Scherbina O, Schultka K, Sholom S, Skvortsov V, Stepanenko V, Thomas JA, Tielewuhan E, Toyoda S, Trompier F (2006) The 3rd International Intercomparison on EPR tooth dosimetry: Part 2, final analysis. Radiat Prot Dosim 120: 176-183</w:t>
      </w:r>
    </w:p>
    <w:p w14:paraId="1372DBE7"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Wieser A, El-Faramawy N, Meckbach R (2001) Dependencies of the radiation sensitivity of human tooth enamel in EPR dosimetry. Appl Radiat Isot, 54: 793-799</w:t>
      </w:r>
    </w:p>
    <w:p w14:paraId="386AD9F3" w14:textId="406FA113"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Wieser A, Mehta K, Amira S, Aragno D, Bercea S, Brik A, Bugai A, Callens F, Chumak V, Ciesielski B, Debuyst R, Dubovsky S, Duliu OG, Fattibene P, Haskell EH, Hayes RB, Ignatiev EA, Ivannikov A, Kirillov V, Kleschenko E, Nakamura N, Nather M, Nowak J, Onori S, Pass B, Pivovarov S, Romanyukha A, Scherbina O, Shames AI, Sholom S, Skvortzov V, Stepanenko V, Tikounov DD, Toyoda S (2000a) The second intercomparison on EPR tooth dosimetry. Radiat Meas 32, 549−557</w:t>
      </w:r>
    </w:p>
    <w:p w14:paraId="76381F7B" w14:textId="42470FB0"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Wieser A, Onori S, Aragno D, Fattibene P, Romanyukha A, Ignatiev E, Koshta A, Skvortzov V, Ivannikov A, Stepanenko V, Chumak V, Sholom S, Haskell E, Hayes R, Kenner G (2000b) Comparison of sample preparation and signal evaluation methods for EPR analysis of tooth enamel. Appl Radiat Isot 52:1059-1064</w:t>
      </w:r>
    </w:p>
    <w:p w14:paraId="621CBA93" w14:textId="44C129EC"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Wieser A, Romanyukha AA, Kozheurov VP, Degteva MO (1995) Retrospective EPR dosimetry with teeth of persons with strontium body burden. Presented at the 4th International Symposium on ESR Dosimetry and Applications. M</w:t>
      </w:r>
      <w:r w:rsidR="004061FF">
        <w:rPr>
          <w:rFonts w:ascii="Times New Roman" w:hAnsi="Times New Roman" w:cs="Times New Roman"/>
          <w:sz w:val="24"/>
          <w:szCs w:val="24"/>
          <w:lang w:val="en-US"/>
        </w:rPr>
        <w:t>ü</w:t>
      </w:r>
      <w:r w:rsidRPr="00486BED">
        <w:rPr>
          <w:rFonts w:ascii="Times New Roman" w:hAnsi="Times New Roman" w:cs="Times New Roman"/>
          <w:sz w:val="24"/>
          <w:szCs w:val="24"/>
          <w:lang w:val="en-US"/>
        </w:rPr>
        <w:t>nchen, May 15-19, 1995</w:t>
      </w:r>
    </w:p>
    <w:p w14:paraId="032E9437" w14:textId="044BF11F" w:rsidR="00310457" w:rsidRPr="00486BED" w:rsidDel="00C43DAA" w:rsidRDefault="00310457" w:rsidP="00F763B2">
      <w:pPr>
        <w:spacing w:after="240" w:line="360" w:lineRule="auto"/>
        <w:jc w:val="both"/>
        <w:rPr>
          <w:rFonts w:ascii="Times New Roman" w:hAnsi="Times New Roman" w:cs="Times New Roman"/>
          <w:sz w:val="24"/>
          <w:szCs w:val="24"/>
          <w:lang w:val="en-GB"/>
        </w:rPr>
      </w:pPr>
      <w:r w:rsidRPr="00486BED" w:rsidDel="00C43DAA">
        <w:rPr>
          <w:rFonts w:ascii="Times New Roman" w:hAnsi="Times New Roman" w:cs="Times New Roman"/>
          <w:sz w:val="24"/>
          <w:szCs w:val="24"/>
          <w:lang w:val="en-GB"/>
        </w:rPr>
        <w:t>Wieser A, Vasilenko E, Woda C., Greitner M., Ulanovsky A., Zankl M.,</w:t>
      </w:r>
      <w:r w:rsidRPr="00486BED" w:rsidDel="00C43DAA">
        <w:rPr>
          <w:rFonts w:ascii="Times New Roman" w:hAnsi="Times New Roman" w:cs="Times New Roman"/>
          <w:sz w:val="24"/>
          <w:szCs w:val="24"/>
          <w:vertAlign w:val="superscript"/>
          <w:lang w:val="en-GB"/>
        </w:rPr>
        <w:t xml:space="preserve"> </w:t>
      </w:r>
      <w:r w:rsidRPr="00486BED" w:rsidDel="00C43DAA">
        <w:rPr>
          <w:rFonts w:ascii="Times New Roman" w:hAnsi="Times New Roman" w:cs="Times New Roman"/>
          <w:sz w:val="24"/>
          <w:szCs w:val="24"/>
          <w:lang w:val="en-GB"/>
        </w:rPr>
        <w:t>Sabayev A., Knyazev V., Zahrov P (2011) Evaluation of dose to tooth enamel from medical diagnostic X-ray examinations at Mayak PA. Radiat Meas 46:808-812</w:t>
      </w:r>
    </w:p>
    <w:p w14:paraId="2CF8AA4B" w14:textId="05EE473D"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Zalyapin VI, Shishkina EA, Fattibene P, Wieser A, Ivanov DV, Degteva MO (2008) Statistical analysis of the EPR measurements. Bulletin of Southern Urals State University (SUSU) 27:36-44 (in Russian)</w:t>
      </w:r>
    </w:p>
    <w:p w14:paraId="5AA9CE72" w14:textId="678BEA62"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Zalyapin VI, Timofeev YuS, Shishkina EA (2014) Statistical reconstruction of background dose distribution based on the results of EPR measurements. Bulletin of Southern Urals State University (SUSU), Issiu «Mathematic. Mechanics. Physics» 6: 22-27</w:t>
      </w:r>
    </w:p>
    <w:p w14:paraId="3F61DC08" w14:textId="77777777" w:rsidR="00310457" w:rsidRPr="00486BED" w:rsidRDefault="00310457" w:rsidP="00F763B2">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t>Zdravkova M, Wieser A, El-Faramawy N, Ivanov D, Gallez B, Debuyst R (2003) An in vitro L-band EPR study with whole human teeth in a surface coil resonator. Radiat Meas 37:347-353</w:t>
      </w:r>
    </w:p>
    <w:p w14:paraId="2842F8F9" w14:textId="77777777" w:rsidR="00310457" w:rsidRPr="00486BED" w:rsidRDefault="00310457" w:rsidP="00486BED">
      <w:pPr>
        <w:spacing w:after="240" w:line="360" w:lineRule="auto"/>
        <w:jc w:val="both"/>
        <w:rPr>
          <w:rFonts w:ascii="Times New Roman" w:hAnsi="Times New Roman" w:cs="Times New Roman"/>
          <w:sz w:val="24"/>
          <w:szCs w:val="24"/>
          <w:lang w:val="en-US"/>
        </w:rPr>
      </w:pPr>
      <w:r w:rsidRPr="00486BED">
        <w:rPr>
          <w:rFonts w:ascii="Times New Roman" w:hAnsi="Times New Roman" w:cs="Times New Roman"/>
          <w:sz w:val="24"/>
          <w:szCs w:val="24"/>
          <w:lang w:val="en-US"/>
        </w:rPr>
        <w:br w:type="page"/>
      </w:r>
    </w:p>
    <w:p w14:paraId="2C5628AC" w14:textId="77777777" w:rsidR="00310457" w:rsidRPr="00486BED" w:rsidRDefault="00310457" w:rsidP="00486BED">
      <w:pPr>
        <w:pStyle w:val="berschrift4"/>
        <w:spacing w:before="0" w:after="240" w:line="360" w:lineRule="auto"/>
        <w:jc w:val="both"/>
        <w:rPr>
          <w:rFonts w:ascii="Times New Roman" w:hAnsi="Times New Roman" w:cs="Times New Roman"/>
          <w:i w:val="0"/>
          <w:color w:val="auto"/>
          <w:sz w:val="24"/>
          <w:szCs w:val="24"/>
          <w:lang w:val="en-US"/>
        </w:rPr>
      </w:pPr>
      <w:r w:rsidRPr="00486BED">
        <w:rPr>
          <w:rFonts w:ascii="Times New Roman" w:hAnsi="Times New Roman" w:cs="Times New Roman"/>
          <w:i w:val="0"/>
          <w:color w:val="auto"/>
          <w:sz w:val="24"/>
          <w:szCs w:val="24"/>
          <w:lang w:val="en-US"/>
        </w:rPr>
        <w:t>Figure captions</w:t>
      </w:r>
    </w:p>
    <w:p w14:paraId="00631B84" w14:textId="08CA2353" w:rsidR="005305FD" w:rsidRPr="00486BED" w:rsidRDefault="00310457" w:rsidP="00F763B2">
      <w:pPr>
        <w:spacing w:after="240" w:line="360" w:lineRule="auto"/>
        <w:jc w:val="both"/>
        <w:rPr>
          <w:rFonts w:ascii="Times New Roman" w:hAnsi="Times New Roman" w:cs="Times New Roman"/>
          <w:sz w:val="24"/>
          <w:szCs w:val="24"/>
          <w:lang w:val="en-US"/>
        </w:rPr>
      </w:pPr>
      <w:r w:rsidRPr="00F627D3">
        <w:rPr>
          <w:rFonts w:ascii="Times New Roman" w:hAnsi="Times New Roman" w:cs="Times New Roman"/>
          <w:b/>
          <w:sz w:val="24"/>
          <w:szCs w:val="24"/>
          <w:lang w:val="en-GB"/>
        </w:rPr>
        <w:t>Fig 1</w:t>
      </w:r>
      <w:r w:rsidRPr="00F627D3">
        <w:rPr>
          <w:rFonts w:ascii="Times New Roman" w:hAnsi="Times New Roman" w:cs="Times New Roman"/>
          <w:sz w:val="24"/>
          <w:szCs w:val="24"/>
          <w:lang w:val="en-GB"/>
        </w:rPr>
        <w:t xml:space="preserve"> The scheme of </w:t>
      </w:r>
      <w:r w:rsidR="0077502F" w:rsidRPr="00F627D3">
        <w:rPr>
          <w:rFonts w:ascii="Times New Roman" w:hAnsi="Times New Roman" w:cs="Times New Roman"/>
          <w:sz w:val="24"/>
          <w:szCs w:val="24"/>
          <w:lang w:val="en-GB"/>
        </w:rPr>
        <w:t xml:space="preserve">harmonising </w:t>
      </w:r>
      <w:r w:rsidRPr="00F627D3">
        <w:rPr>
          <w:rFonts w:ascii="Times New Roman" w:hAnsi="Times New Roman" w:cs="Times New Roman"/>
          <w:sz w:val="24"/>
          <w:szCs w:val="24"/>
          <w:lang w:val="en-GB"/>
        </w:rPr>
        <w:t>EPR dosimetry result</w:t>
      </w:r>
      <w:r w:rsidR="0077502F" w:rsidRPr="00F627D3">
        <w:rPr>
          <w:rFonts w:ascii="Times New Roman" w:hAnsi="Times New Roman" w:cs="Times New Roman"/>
          <w:sz w:val="24"/>
          <w:szCs w:val="24"/>
          <w:lang w:val="en-GB"/>
        </w:rPr>
        <w:t>s</w:t>
      </w:r>
      <w:r w:rsidRPr="00F627D3">
        <w:rPr>
          <w:rFonts w:ascii="Times New Roman" w:hAnsi="Times New Roman" w:cs="Times New Roman"/>
          <w:sz w:val="24"/>
          <w:szCs w:val="24"/>
          <w:lang w:val="en-GB"/>
        </w:rPr>
        <w:t xml:space="preserve"> and </w:t>
      </w:r>
      <w:r w:rsidR="00F544E5" w:rsidRPr="00F627D3">
        <w:rPr>
          <w:rFonts w:ascii="Times New Roman" w:hAnsi="Times New Roman" w:cs="Times New Roman"/>
          <w:sz w:val="24"/>
          <w:szCs w:val="24"/>
          <w:lang w:val="en-GB"/>
        </w:rPr>
        <w:t>estimating</w:t>
      </w:r>
      <w:r w:rsidRPr="00F627D3">
        <w:rPr>
          <w:rFonts w:ascii="Times New Roman" w:hAnsi="Times New Roman" w:cs="Times New Roman"/>
          <w:sz w:val="24"/>
          <w:szCs w:val="24"/>
          <w:lang w:val="en-GB"/>
        </w:rPr>
        <w:t xml:space="preserve"> individual anthropogenic doses. </w:t>
      </w:r>
      <w:r w:rsidR="00AA3FB9" w:rsidRPr="00F627D3">
        <w:rPr>
          <w:rFonts w:ascii="Times New Roman" w:hAnsi="Times New Roman" w:cs="Times New Roman"/>
          <w:i/>
          <w:sz w:val="24"/>
          <w:szCs w:val="24"/>
          <w:lang w:val="en-GB"/>
        </w:rPr>
        <w:t>D</w:t>
      </w:r>
      <w:r w:rsidR="00AA3FB9" w:rsidRPr="00F627D3">
        <w:rPr>
          <w:rFonts w:ascii="Times New Roman" w:hAnsi="Times New Roman" w:cs="Times New Roman"/>
          <w:sz w:val="24"/>
          <w:szCs w:val="24"/>
          <w:lang w:val="en-GB"/>
        </w:rPr>
        <w:t xml:space="preserve"> – dose; </w:t>
      </w:r>
      <w:r w:rsidR="00AA3FB9" w:rsidRPr="00F627D3">
        <w:rPr>
          <w:rFonts w:ascii="Times New Roman" w:hAnsi="Times New Roman" w:cs="Times New Roman"/>
          <w:i/>
          <w:sz w:val="24"/>
          <w:szCs w:val="24"/>
          <w:lang w:val="en-GB"/>
        </w:rPr>
        <w:t>DL</w:t>
      </w:r>
      <w:r w:rsidR="00AA3FB9" w:rsidRPr="00F627D3">
        <w:rPr>
          <w:rFonts w:ascii="Times New Roman" w:hAnsi="Times New Roman" w:cs="Times New Roman"/>
          <w:sz w:val="24"/>
          <w:szCs w:val="24"/>
          <w:lang w:val="en-GB"/>
        </w:rPr>
        <w:t xml:space="preserve"> – detection limit; </w:t>
      </w:r>
      <w:r w:rsidR="00335F33" w:rsidRPr="00F627D3">
        <w:rPr>
          <w:rFonts w:ascii="Times New Roman" w:hAnsi="Times New Roman" w:cs="Times New Roman"/>
          <w:i/>
          <w:sz w:val="24"/>
          <w:szCs w:val="24"/>
          <w:lang w:val="en-GB"/>
        </w:rPr>
        <w:t>LI</w:t>
      </w:r>
      <w:r w:rsidR="00AA3FB9" w:rsidRPr="00F627D3">
        <w:rPr>
          <w:rFonts w:ascii="Times New Roman" w:hAnsi="Times New Roman" w:cs="Times New Roman"/>
          <w:sz w:val="24"/>
          <w:szCs w:val="24"/>
          <w:lang w:val="en-GB"/>
        </w:rPr>
        <w:t xml:space="preserve"> – </w:t>
      </w:r>
      <w:r w:rsidR="00335F33" w:rsidRPr="00F627D3">
        <w:rPr>
          <w:rFonts w:ascii="Times New Roman" w:hAnsi="Times New Roman" w:cs="Times New Roman"/>
          <w:sz w:val="24"/>
          <w:szCs w:val="24"/>
          <w:lang w:val="en-GB"/>
        </w:rPr>
        <w:t>limit of individualisation</w:t>
      </w:r>
      <w:r w:rsidR="00AA3FB9" w:rsidRPr="00F627D3">
        <w:rPr>
          <w:rFonts w:ascii="Times New Roman" w:hAnsi="Times New Roman" w:cs="Times New Roman"/>
          <w:sz w:val="24"/>
          <w:szCs w:val="24"/>
          <w:lang w:val="en-GB"/>
        </w:rPr>
        <w:t xml:space="preserve">; BDL – </w:t>
      </w:r>
      <w:r w:rsidR="00D105C2" w:rsidRPr="00F627D3">
        <w:rPr>
          <w:rFonts w:ascii="Times New Roman" w:hAnsi="Times New Roman" w:cs="Times New Roman"/>
          <w:sz w:val="24"/>
          <w:szCs w:val="24"/>
          <w:lang w:val="en-GB"/>
        </w:rPr>
        <w:t>below the detection limit</w:t>
      </w:r>
      <w:r w:rsidR="00AA3FB9" w:rsidRPr="00F627D3">
        <w:rPr>
          <w:rFonts w:ascii="Times New Roman" w:hAnsi="Times New Roman" w:cs="Times New Roman"/>
          <w:sz w:val="24"/>
          <w:szCs w:val="24"/>
          <w:lang w:val="en-GB"/>
        </w:rPr>
        <w:t xml:space="preserve">; BLI – </w:t>
      </w:r>
      <w:r w:rsidR="00D105C2" w:rsidRPr="00F627D3">
        <w:rPr>
          <w:rFonts w:ascii="Times New Roman" w:hAnsi="Times New Roman" w:cs="Times New Roman"/>
          <w:sz w:val="24"/>
          <w:szCs w:val="24"/>
          <w:lang w:val="en-GB"/>
        </w:rPr>
        <w:t>below the limit of individualization</w:t>
      </w:r>
      <w:r w:rsidR="00677DAC" w:rsidRPr="00F627D3">
        <w:rPr>
          <w:rFonts w:ascii="Times New Roman" w:hAnsi="Times New Roman" w:cs="Times New Roman"/>
          <w:sz w:val="24"/>
          <w:szCs w:val="24"/>
          <w:lang w:val="en-GB"/>
        </w:rPr>
        <w:t>.</w:t>
      </w:r>
      <w:r w:rsidR="00AA3FB9" w:rsidRPr="00F627D3">
        <w:rPr>
          <w:rFonts w:ascii="Times New Roman" w:hAnsi="Times New Roman" w:cs="Times New Roman"/>
          <w:sz w:val="24"/>
          <w:szCs w:val="24"/>
          <w:lang w:val="en-GB"/>
        </w:rPr>
        <w:t xml:space="preserve"> </w:t>
      </w:r>
    </w:p>
    <w:p w14:paraId="75233FF0" w14:textId="2B2E59A9" w:rsidR="00310457" w:rsidRPr="00486BED"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b/>
          <w:sz w:val="24"/>
          <w:szCs w:val="24"/>
          <w:lang w:val="en-GB"/>
        </w:rPr>
        <w:t>Fig 2</w:t>
      </w:r>
      <w:r w:rsidRPr="00486BED">
        <w:rPr>
          <w:rFonts w:ascii="Times New Roman" w:hAnsi="Times New Roman" w:cs="Times New Roman"/>
          <w:sz w:val="24"/>
          <w:szCs w:val="24"/>
          <w:lang w:val="en-GB"/>
        </w:rPr>
        <w:t xml:space="preserve"> </w:t>
      </w:r>
      <w:r w:rsidR="00E92BB8">
        <w:rPr>
          <w:rFonts w:ascii="Times New Roman" w:hAnsi="Times New Roman" w:cs="Times New Roman"/>
          <w:sz w:val="24"/>
          <w:szCs w:val="24"/>
          <w:lang w:val="en-GB"/>
        </w:rPr>
        <w:t>C</w:t>
      </w:r>
      <w:r w:rsidRPr="00486BED">
        <w:rPr>
          <w:rFonts w:ascii="Times New Roman" w:hAnsi="Times New Roman" w:cs="Times New Roman"/>
          <w:sz w:val="24"/>
          <w:szCs w:val="24"/>
          <w:lang w:val="en-GB"/>
        </w:rPr>
        <w:t>omparison of background doses measured with different methods in the enamel of posterior teeth of rural residents of the Urals. Boxes limit 50% of the data (25-75‰), whiskers correspond to 80% confidence interval (10-90‰), and the points represent 90% confidence interval. Solid black lines are the medians. Long-dashed lines show the method-specific limits of detection (</w:t>
      </w:r>
      <w:r w:rsidRPr="00486BED">
        <w:rPr>
          <w:rFonts w:ascii="Times New Roman" w:hAnsi="Times New Roman" w:cs="Times New Roman"/>
          <w:i/>
          <w:sz w:val="24"/>
          <w:szCs w:val="24"/>
          <w:lang w:val="en-GB"/>
        </w:rPr>
        <w:t>LD</w:t>
      </w:r>
      <w:r w:rsidRPr="00486BED">
        <w:rPr>
          <w:rFonts w:ascii="Times New Roman" w:hAnsi="Times New Roman" w:cs="Times New Roman"/>
          <w:sz w:val="24"/>
          <w:szCs w:val="24"/>
          <w:lang w:val="en-GB"/>
        </w:rPr>
        <w:t>).</w:t>
      </w:r>
    </w:p>
    <w:p w14:paraId="6458C1BD" w14:textId="0AF6CAC9" w:rsidR="00310457" w:rsidRPr="00486BED"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b/>
          <w:sz w:val="24"/>
          <w:szCs w:val="24"/>
          <w:lang w:val="en-US"/>
        </w:rPr>
        <w:t>Fig 3</w:t>
      </w:r>
      <w:r w:rsidRPr="00486BED">
        <w:rPr>
          <w:rFonts w:ascii="Times New Roman" w:hAnsi="Times New Roman" w:cs="Times New Roman"/>
          <w:sz w:val="24"/>
          <w:szCs w:val="24"/>
          <w:lang w:val="en-US"/>
        </w:rPr>
        <w:t xml:space="preserve"> </w:t>
      </w:r>
      <w:r w:rsidR="00705C66">
        <w:rPr>
          <w:rFonts w:ascii="Times New Roman" w:hAnsi="Times New Roman" w:cs="Times New Roman"/>
          <w:sz w:val="24"/>
          <w:szCs w:val="24"/>
          <w:lang w:val="en-US"/>
        </w:rPr>
        <w:t>Primary data</w:t>
      </w:r>
      <w:r w:rsidRPr="00486BED">
        <w:rPr>
          <w:rFonts w:ascii="Times New Roman" w:hAnsi="Times New Roman" w:cs="Times New Roman"/>
          <w:sz w:val="24"/>
          <w:szCs w:val="24"/>
          <w:lang w:val="en-US"/>
        </w:rPr>
        <w:t xml:space="preserve"> </w:t>
      </w:r>
      <w:r w:rsidR="00705C66">
        <w:rPr>
          <w:rFonts w:ascii="Times New Roman" w:hAnsi="Times New Roman" w:cs="Times New Roman"/>
          <w:sz w:val="24"/>
          <w:szCs w:val="24"/>
          <w:lang w:val="en-US"/>
        </w:rPr>
        <w:t xml:space="preserve">before data harmonization </w:t>
      </w:r>
      <w:r w:rsidRPr="00486BED">
        <w:rPr>
          <w:rFonts w:ascii="Times New Roman" w:hAnsi="Times New Roman" w:cs="Times New Roman"/>
          <w:sz w:val="24"/>
          <w:szCs w:val="24"/>
          <w:lang w:val="en-US"/>
        </w:rPr>
        <w:t xml:space="preserve">(a, c) in comparison to the harmonized EPR data (b, d). Solid lines are the expected lines of coincidence for applied doses and experimental </w:t>
      </w:r>
      <w:r w:rsidR="006A0C6E">
        <w:rPr>
          <w:rFonts w:ascii="Times New Roman" w:hAnsi="Times New Roman" w:cs="Times New Roman"/>
          <w:sz w:val="24"/>
          <w:szCs w:val="24"/>
          <w:lang w:val="en-US"/>
        </w:rPr>
        <w:t xml:space="preserve">EPR </w:t>
      </w:r>
      <w:r w:rsidRPr="00486BED">
        <w:rPr>
          <w:rFonts w:ascii="Times New Roman" w:hAnsi="Times New Roman" w:cs="Times New Roman"/>
          <w:sz w:val="24"/>
          <w:szCs w:val="24"/>
          <w:lang w:val="en-US"/>
        </w:rPr>
        <w:t xml:space="preserve">results. The long-dashed lines limit the 90% confidence intervals for the scatter of the data points </w:t>
      </w:r>
      <w:r w:rsidRPr="00486BED">
        <w:rPr>
          <w:rFonts w:ascii="Times New Roman" w:hAnsi="Times New Roman" w:cs="Times New Roman"/>
          <w:sz w:val="24"/>
          <w:szCs w:val="24"/>
          <w:shd w:val="clear" w:color="auto" w:fill="FFFFFF"/>
          <w:lang w:val="en-US"/>
        </w:rPr>
        <w:t>about the</w:t>
      </w:r>
      <w:r w:rsidRPr="00486BED">
        <w:rPr>
          <w:rFonts w:ascii="Times New Roman" w:hAnsi="Times New Roman" w:cs="Times New Roman"/>
          <w:sz w:val="24"/>
          <w:szCs w:val="24"/>
          <w:lang w:val="en-US"/>
        </w:rPr>
        <w:t xml:space="preserve"> line of coincidence. </w:t>
      </w:r>
      <w:r w:rsidR="007F422E">
        <w:rPr>
          <w:rFonts w:ascii="Times New Roman" w:hAnsi="Times New Roman" w:cs="Times New Roman"/>
          <w:sz w:val="24"/>
          <w:szCs w:val="24"/>
          <w:lang w:val="en-GB"/>
        </w:rPr>
        <w:t>Method numbers are specified in more detail in Table A1</w:t>
      </w:r>
      <w:r w:rsidR="00677DAC">
        <w:rPr>
          <w:rFonts w:ascii="Times New Roman" w:hAnsi="Times New Roman" w:cs="Times New Roman"/>
          <w:sz w:val="24"/>
          <w:szCs w:val="24"/>
          <w:lang w:val="en-GB"/>
        </w:rPr>
        <w:t>.</w:t>
      </w:r>
      <w:r w:rsidR="007F422E">
        <w:rPr>
          <w:rFonts w:ascii="Times New Roman" w:hAnsi="Times New Roman" w:cs="Times New Roman"/>
          <w:sz w:val="24"/>
          <w:szCs w:val="24"/>
          <w:lang w:val="en-GB"/>
        </w:rPr>
        <w:t xml:space="preserve"> </w:t>
      </w:r>
    </w:p>
    <w:p w14:paraId="3C0D58EF" w14:textId="36974CF4" w:rsidR="00310457" w:rsidRPr="00486BED" w:rsidRDefault="00310457" w:rsidP="00F763B2">
      <w:pPr>
        <w:spacing w:after="240" w:line="360" w:lineRule="auto"/>
        <w:jc w:val="both"/>
        <w:rPr>
          <w:rFonts w:ascii="Times New Roman" w:hAnsi="Times New Roman" w:cs="Times New Roman"/>
          <w:sz w:val="24"/>
          <w:szCs w:val="24"/>
          <w:lang w:val="en-GB"/>
        </w:rPr>
      </w:pPr>
      <w:r w:rsidRPr="00F763B2">
        <w:rPr>
          <w:rFonts w:ascii="Times New Roman" w:hAnsi="Times New Roman" w:cs="Times New Roman"/>
          <w:b/>
          <w:sz w:val="24"/>
          <w:szCs w:val="24"/>
          <w:lang w:val="en-US"/>
        </w:rPr>
        <w:t xml:space="preserve">Fig </w:t>
      </w:r>
      <w:r w:rsidRPr="00F763B2">
        <w:rPr>
          <w:rFonts w:ascii="Times New Roman" w:hAnsi="Times New Roman" w:cs="Times New Roman"/>
          <w:b/>
          <w:sz w:val="24"/>
          <w:szCs w:val="24"/>
          <w:lang w:val="en-GB"/>
        </w:rPr>
        <w:t>4</w:t>
      </w:r>
      <w:r w:rsidRPr="00486BED">
        <w:rPr>
          <w:rFonts w:ascii="Times New Roman" w:hAnsi="Times New Roman" w:cs="Times New Roman"/>
          <w:sz w:val="24"/>
          <w:szCs w:val="24"/>
          <w:lang w:val="en-US"/>
        </w:rPr>
        <w:t xml:space="preserve"> </w:t>
      </w:r>
      <w:r w:rsidR="00870EAC">
        <w:rPr>
          <w:rFonts w:ascii="Times New Roman" w:hAnsi="Times New Roman" w:cs="Times New Roman"/>
          <w:sz w:val="24"/>
          <w:szCs w:val="24"/>
          <w:lang w:val="en-US"/>
        </w:rPr>
        <w:t>A</w:t>
      </w:r>
      <w:r w:rsidRPr="00486BED">
        <w:rPr>
          <w:rFonts w:ascii="Times New Roman" w:hAnsi="Times New Roman" w:cs="Times New Roman"/>
          <w:sz w:val="24"/>
          <w:szCs w:val="24"/>
          <w:lang w:val="en-US"/>
        </w:rPr>
        <w:t>verage</w:t>
      </w:r>
      <w:r w:rsidRPr="00486BED">
        <w:rPr>
          <w:rFonts w:ascii="Times New Roman" w:hAnsi="Times New Roman" w:cs="Times New Roman"/>
          <w:snapToGrid w:val="0"/>
          <w:sz w:val="24"/>
          <w:szCs w:val="24"/>
          <w:lang w:val="en-US"/>
        </w:rPr>
        <w:t xml:space="preserve"> external doses in tooth enamel for permanent residents of the </w:t>
      </w:r>
      <w:r w:rsidR="00870EAC">
        <w:rPr>
          <w:rFonts w:ascii="Times New Roman" w:hAnsi="Times New Roman" w:cs="Times New Roman"/>
          <w:snapToGrid w:val="0"/>
          <w:sz w:val="24"/>
          <w:szCs w:val="24"/>
          <w:lang w:val="en-US"/>
        </w:rPr>
        <w:t xml:space="preserve">investigated </w:t>
      </w:r>
      <w:r w:rsidRPr="00486BED">
        <w:rPr>
          <w:rFonts w:ascii="Times New Roman" w:hAnsi="Times New Roman" w:cs="Times New Roman"/>
          <w:snapToGrid w:val="0"/>
          <w:sz w:val="24"/>
          <w:szCs w:val="24"/>
          <w:lang w:val="en-US"/>
        </w:rPr>
        <w:t xml:space="preserve">Techa River settlements. </w:t>
      </w:r>
      <w:r w:rsidRPr="00486BED">
        <w:rPr>
          <w:rFonts w:ascii="Times New Roman" w:hAnsi="Times New Roman" w:cs="Times New Roman"/>
          <w:sz w:val="24"/>
          <w:szCs w:val="24"/>
          <w:lang w:val="en-US"/>
        </w:rPr>
        <w:t>The error bars</w:t>
      </w:r>
      <w:r w:rsidRPr="00486BED">
        <w:rPr>
          <w:rFonts w:ascii="Times New Roman" w:hAnsi="Times New Roman" w:cs="Times New Roman"/>
          <w:snapToGrid w:val="0"/>
          <w:sz w:val="24"/>
          <w:szCs w:val="24"/>
          <w:lang w:val="en-US"/>
        </w:rPr>
        <w:t xml:space="preserve"> indicate standard errors. </w:t>
      </w:r>
      <w:r w:rsidR="00870EAC">
        <w:rPr>
          <w:rFonts w:ascii="Times New Roman" w:hAnsi="Times New Roman" w:cs="Times New Roman"/>
          <w:snapToGrid w:val="0"/>
          <w:sz w:val="24"/>
          <w:szCs w:val="24"/>
          <w:lang w:val="en-US"/>
        </w:rPr>
        <w:t>The l</w:t>
      </w:r>
      <w:r w:rsidRPr="00486BED">
        <w:rPr>
          <w:rFonts w:ascii="Times New Roman" w:hAnsi="Times New Roman" w:cs="Times New Roman"/>
          <w:snapToGrid w:val="0"/>
          <w:sz w:val="24"/>
          <w:szCs w:val="24"/>
          <w:lang w:val="en-US"/>
        </w:rPr>
        <w:t>ast point (at 150 km distance) describe</w:t>
      </w:r>
      <w:r w:rsidR="00870EAC">
        <w:rPr>
          <w:rFonts w:ascii="Times New Roman" w:hAnsi="Times New Roman" w:cs="Times New Roman"/>
          <w:snapToGrid w:val="0"/>
          <w:sz w:val="24"/>
          <w:szCs w:val="24"/>
          <w:lang w:val="en-US"/>
        </w:rPr>
        <w:t>s</w:t>
      </w:r>
      <w:r w:rsidRPr="00486BED">
        <w:rPr>
          <w:rFonts w:ascii="Times New Roman" w:hAnsi="Times New Roman" w:cs="Times New Roman"/>
          <w:snapToGrid w:val="0"/>
          <w:sz w:val="24"/>
          <w:szCs w:val="24"/>
          <w:lang w:val="en-US"/>
        </w:rPr>
        <w:t xml:space="preserve"> the </w:t>
      </w:r>
      <w:r w:rsidR="008B054B">
        <w:rPr>
          <w:rFonts w:ascii="Times New Roman" w:hAnsi="Times New Roman" w:cs="Times New Roman"/>
          <w:snapToGrid w:val="0"/>
          <w:sz w:val="24"/>
          <w:szCs w:val="24"/>
          <w:lang w:val="en-US"/>
        </w:rPr>
        <w:t xml:space="preserve">mean dose averaged for </w:t>
      </w:r>
      <w:r w:rsidRPr="00486BED">
        <w:rPr>
          <w:rFonts w:ascii="Times New Roman" w:hAnsi="Times New Roman" w:cs="Times New Roman"/>
          <w:snapToGrid w:val="0"/>
          <w:sz w:val="24"/>
          <w:szCs w:val="24"/>
          <w:lang w:val="en-US"/>
        </w:rPr>
        <w:t xml:space="preserve">the whole </w:t>
      </w:r>
      <w:r w:rsidR="00315BAF" w:rsidRPr="00486BED">
        <w:rPr>
          <w:rFonts w:ascii="Times New Roman" w:hAnsi="Times New Roman" w:cs="Times New Roman"/>
          <w:snapToGrid w:val="0"/>
          <w:sz w:val="24"/>
          <w:szCs w:val="24"/>
          <w:lang w:val="en-US"/>
        </w:rPr>
        <w:t>Lower</w:t>
      </w:r>
      <w:r w:rsidRPr="00486BED">
        <w:rPr>
          <w:rFonts w:ascii="Times New Roman" w:hAnsi="Times New Roman" w:cs="Times New Roman"/>
          <w:snapToGrid w:val="0"/>
          <w:sz w:val="24"/>
          <w:szCs w:val="24"/>
          <w:lang w:val="en-US"/>
        </w:rPr>
        <w:t xml:space="preserve"> Techa region from 105 to 237 km from the source of the releases along the stream.</w:t>
      </w:r>
      <w:r w:rsidR="00E448E1">
        <w:rPr>
          <w:rFonts w:ascii="Times New Roman" w:hAnsi="Times New Roman" w:cs="Times New Roman"/>
          <w:snapToGrid w:val="0"/>
          <w:sz w:val="24"/>
          <w:szCs w:val="24"/>
          <w:lang w:val="en-US"/>
        </w:rPr>
        <w:t xml:space="preserve"> </w:t>
      </w:r>
      <w:r w:rsidR="00677DAC">
        <w:rPr>
          <w:rFonts w:ascii="Times New Roman" w:hAnsi="Times New Roman" w:cs="Times New Roman"/>
          <w:snapToGrid w:val="0"/>
          <w:sz w:val="24"/>
          <w:szCs w:val="24"/>
          <w:lang w:val="en-US"/>
        </w:rPr>
        <w:t>Solid line splines the points.</w:t>
      </w:r>
    </w:p>
    <w:p w14:paraId="6719AA87" w14:textId="09DB9945" w:rsidR="00310457" w:rsidRPr="00486BED" w:rsidRDefault="00310457" w:rsidP="00F763B2">
      <w:pPr>
        <w:spacing w:after="240" w:line="360" w:lineRule="auto"/>
        <w:jc w:val="both"/>
        <w:rPr>
          <w:rFonts w:ascii="Times New Roman" w:hAnsi="Times New Roman" w:cs="Times New Roman"/>
          <w:sz w:val="24"/>
          <w:szCs w:val="24"/>
          <w:lang w:val="en-US"/>
        </w:rPr>
      </w:pPr>
      <w:r w:rsidRPr="00F763B2">
        <w:rPr>
          <w:rFonts w:ascii="Times New Roman" w:hAnsi="Times New Roman" w:cs="Times New Roman"/>
          <w:b/>
          <w:sz w:val="24"/>
          <w:szCs w:val="24"/>
          <w:lang w:val="en-US"/>
        </w:rPr>
        <w:t>Fig 5</w:t>
      </w:r>
      <w:r w:rsidRPr="00486BED">
        <w:rPr>
          <w:rFonts w:ascii="Times New Roman" w:hAnsi="Times New Roman" w:cs="Times New Roman"/>
          <w:sz w:val="24"/>
          <w:szCs w:val="24"/>
          <w:lang w:val="en-US"/>
        </w:rPr>
        <w:t xml:space="preserve"> </w:t>
      </w:r>
      <w:r w:rsidR="00A87009">
        <w:rPr>
          <w:rFonts w:ascii="Times New Roman" w:hAnsi="Times New Roman" w:cs="Times New Roman"/>
          <w:sz w:val="24"/>
          <w:szCs w:val="24"/>
          <w:lang w:val="en-US"/>
        </w:rPr>
        <w:t>M</w:t>
      </w:r>
      <w:r w:rsidRPr="00486BED">
        <w:rPr>
          <w:rFonts w:ascii="Times New Roman" w:hAnsi="Times New Roman" w:cs="Times New Roman"/>
          <w:sz w:val="24"/>
          <w:szCs w:val="24"/>
          <w:lang w:val="en-US"/>
        </w:rPr>
        <w:t xml:space="preserve">ean contribution of external exposure to the total anthropogenic dose to enamel of Techa riverside residents. </w:t>
      </w:r>
      <w:r w:rsidR="00A87009">
        <w:rPr>
          <w:rFonts w:ascii="Times New Roman" w:hAnsi="Times New Roman" w:cs="Times New Roman"/>
          <w:sz w:val="24"/>
          <w:szCs w:val="24"/>
          <w:lang w:val="en-US"/>
        </w:rPr>
        <w:t>E</w:t>
      </w:r>
      <w:r w:rsidRPr="00486BED">
        <w:rPr>
          <w:rFonts w:ascii="Times New Roman" w:hAnsi="Times New Roman" w:cs="Times New Roman"/>
          <w:sz w:val="24"/>
          <w:szCs w:val="24"/>
          <w:lang w:val="en-US"/>
        </w:rPr>
        <w:t xml:space="preserve">rror bars </w:t>
      </w:r>
      <w:r w:rsidRPr="00486BED">
        <w:rPr>
          <w:rFonts w:ascii="Times New Roman" w:hAnsi="Times New Roman" w:cs="Times New Roman"/>
          <w:snapToGrid w:val="0"/>
          <w:sz w:val="24"/>
          <w:szCs w:val="24"/>
          <w:lang w:val="en-US"/>
        </w:rPr>
        <w:t>indicate standard errors.</w:t>
      </w:r>
    </w:p>
    <w:p w14:paraId="5EAFF7D9" w14:textId="024021AF" w:rsidR="00310457" w:rsidRPr="00486BED" w:rsidRDefault="00F763B2" w:rsidP="00F763B2">
      <w:pPr>
        <w:spacing w:after="24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Fig</w:t>
      </w:r>
      <w:r w:rsidR="00310457" w:rsidRPr="00F763B2">
        <w:rPr>
          <w:rFonts w:ascii="Times New Roman" w:hAnsi="Times New Roman" w:cs="Times New Roman"/>
          <w:b/>
          <w:sz w:val="24"/>
          <w:szCs w:val="24"/>
          <w:lang w:val="en-US"/>
        </w:rPr>
        <w:t xml:space="preserve"> 6</w:t>
      </w:r>
      <w:r w:rsidR="00310457" w:rsidRPr="00486BED">
        <w:rPr>
          <w:rFonts w:ascii="Times New Roman" w:hAnsi="Times New Roman" w:cs="Times New Roman"/>
          <w:sz w:val="24"/>
          <w:szCs w:val="24"/>
          <w:lang w:val="en-US"/>
        </w:rPr>
        <w:t xml:space="preserve"> </w:t>
      </w:r>
      <w:r w:rsidR="00A87009">
        <w:rPr>
          <w:rFonts w:ascii="Times New Roman" w:hAnsi="Times New Roman" w:cs="Times New Roman"/>
          <w:sz w:val="24"/>
          <w:szCs w:val="24"/>
          <w:lang w:val="en-US"/>
        </w:rPr>
        <w:t>C</w:t>
      </w:r>
      <w:r w:rsidR="00310457" w:rsidRPr="00486BED">
        <w:rPr>
          <w:rFonts w:ascii="Times New Roman" w:hAnsi="Times New Roman" w:cs="Times New Roman"/>
          <w:sz w:val="24"/>
          <w:szCs w:val="24"/>
          <w:lang w:val="en-US"/>
        </w:rPr>
        <w:t xml:space="preserve">omparison of EPR- and TRDS- derived external doses in tooth enamel of Techa riverside residents. Dashed lines border the 90% confidence interval on the solid regression line. </w:t>
      </w:r>
      <w:r w:rsidR="00397F0F">
        <w:rPr>
          <w:rFonts w:ascii="Times New Roman" w:hAnsi="Times New Roman" w:cs="Times New Roman"/>
          <w:sz w:val="24"/>
          <w:szCs w:val="24"/>
          <w:lang w:val="en-US"/>
        </w:rPr>
        <w:t>E</w:t>
      </w:r>
      <w:r w:rsidR="00310457" w:rsidRPr="00486BED">
        <w:rPr>
          <w:rFonts w:ascii="Times New Roman" w:hAnsi="Times New Roman" w:cs="Times New Roman"/>
          <w:sz w:val="24"/>
          <w:szCs w:val="24"/>
          <w:lang w:val="en-US"/>
        </w:rPr>
        <w:t xml:space="preserve">rror bars </w:t>
      </w:r>
      <w:r w:rsidR="00310457" w:rsidRPr="00486BED">
        <w:rPr>
          <w:rFonts w:ascii="Times New Roman" w:hAnsi="Times New Roman" w:cs="Times New Roman"/>
          <w:snapToGrid w:val="0"/>
          <w:sz w:val="24"/>
          <w:szCs w:val="24"/>
          <w:lang w:val="en-US"/>
        </w:rPr>
        <w:t>indicate standard errors.</w:t>
      </w:r>
    </w:p>
    <w:p w14:paraId="1FC434DF" w14:textId="15D83A69" w:rsidR="00E46E26" w:rsidRDefault="00E46E2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A55E68B" w14:textId="77777777" w:rsidR="00E46E26" w:rsidRPr="009B7CCD" w:rsidRDefault="00E46E26" w:rsidP="00E46E26">
      <w:pPr>
        <w:spacing w:after="120" w:line="360" w:lineRule="auto"/>
        <w:rPr>
          <w:rFonts w:ascii="Times New Roman" w:hAnsi="Times New Roman" w:cs="Times New Roman"/>
          <w:b/>
          <w:sz w:val="24"/>
          <w:szCs w:val="24"/>
          <w:lang w:val="en-US"/>
        </w:rPr>
      </w:pPr>
      <w:r w:rsidRPr="005234B2">
        <w:rPr>
          <w:rFonts w:ascii="Times New Roman" w:hAnsi="Times New Roman" w:cs="Times New Roman"/>
          <w:b/>
          <w:sz w:val="24"/>
          <w:szCs w:val="24"/>
          <w:lang w:val="en-US"/>
        </w:rPr>
        <w:t xml:space="preserve">Table 1 </w:t>
      </w:r>
      <w:r w:rsidRPr="009B7CCD">
        <w:rPr>
          <w:rFonts w:ascii="Times New Roman" w:hAnsi="Times New Roman" w:cs="Times New Roman"/>
          <w:b/>
          <w:sz w:val="24"/>
          <w:szCs w:val="24"/>
          <w:lang w:val="en-US"/>
        </w:rPr>
        <w:t xml:space="preserve"> </w:t>
      </w:r>
      <w:r w:rsidRPr="009B7CCD">
        <w:rPr>
          <w:rFonts w:ascii="Times New Roman" w:hAnsi="Times New Roman" w:cs="Times New Roman"/>
          <w:sz w:val="24"/>
          <w:szCs w:val="24"/>
          <w:lang w:val="en-US"/>
        </w:rPr>
        <w:t>D</w:t>
      </w:r>
      <w:r w:rsidRPr="009B7CCD">
        <w:rPr>
          <w:rFonts w:ascii="Times New Roman" w:hAnsi="Times New Roman" w:cs="Times New Roman"/>
          <w:color w:val="000000"/>
          <w:sz w:val="24"/>
          <w:szCs w:val="24"/>
          <w:lang w:val="en-US"/>
        </w:rPr>
        <w:t xml:space="preserve">istribution of tooth donors according to their place of residence and number of teeth with </w:t>
      </w:r>
      <w:r w:rsidRPr="009B7CCD">
        <w:rPr>
          <w:rFonts w:ascii="Times New Roman" w:hAnsi="Times New Roman" w:cs="Times New Roman"/>
          <w:sz w:val="24"/>
          <w:szCs w:val="24"/>
          <w:lang w:val="en-US"/>
        </w:rPr>
        <w:t xml:space="preserve">individual measurements of </w:t>
      </w:r>
      <w:r w:rsidRPr="009B7CCD">
        <w:rPr>
          <w:rFonts w:ascii="Times New Roman" w:hAnsi="Times New Roman" w:cs="Times New Roman"/>
          <w:sz w:val="24"/>
          <w:szCs w:val="24"/>
          <w:vertAlign w:val="superscript"/>
          <w:lang w:val="en-US"/>
        </w:rPr>
        <w:t>90</w:t>
      </w:r>
      <w:r w:rsidRPr="009B7CCD">
        <w:rPr>
          <w:rFonts w:ascii="Times New Roman" w:hAnsi="Times New Roman" w:cs="Times New Roman"/>
          <w:sz w:val="24"/>
          <w:szCs w:val="24"/>
          <w:lang w:val="en-US"/>
        </w:rPr>
        <w:t>Sr in tooth enamel</w:t>
      </w:r>
    </w:p>
    <w:tbl>
      <w:tblPr>
        <w:tblW w:w="9412" w:type="dxa"/>
        <w:tblLayout w:type="fixed"/>
        <w:tblLook w:val="04A0" w:firstRow="1" w:lastRow="0" w:firstColumn="1" w:lastColumn="0" w:noHBand="0" w:noVBand="1"/>
      </w:tblPr>
      <w:tblGrid>
        <w:gridCol w:w="959"/>
        <w:gridCol w:w="1021"/>
        <w:gridCol w:w="4536"/>
        <w:gridCol w:w="1276"/>
        <w:gridCol w:w="1620"/>
      </w:tblGrid>
      <w:tr w:rsidR="00E46E26" w:rsidRPr="00E46E26" w14:paraId="3A9C5654" w14:textId="77777777" w:rsidTr="006C1FAC">
        <w:tc>
          <w:tcPr>
            <w:tcW w:w="959" w:type="dxa"/>
            <w:tcBorders>
              <w:top w:val="single" w:sz="4" w:space="0" w:color="auto"/>
              <w:left w:val="single" w:sz="4" w:space="0" w:color="auto"/>
              <w:bottom w:val="single" w:sz="4" w:space="0" w:color="auto"/>
              <w:right w:val="single" w:sz="4" w:space="0" w:color="auto"/>
            </w:tcBorders>
            <w:vAlign w:val="center"/>
          </w:tcPr>
          <w:p w14:paraId="1C7A2AF4" w14:textId="77777777" w:rsidR="00E46E26" w:rsidRPr="009B7CCD" w:rsidRDefault="00E46E26" w:rsidP="006C1FAC">
            <w:pPr>
              <w:spacing w:after="0" w:line="240" w:lineRule="auto"/>
              <w:jc w:val="center"/>
              <w:rPr>
                <w:rFonts w:ascii="Times New Roman" w:hAnsi="Times New Roman" w:cs="Times New Roman"/>
                <w:lang w:val="en-US"/>
              </w:rPr>
            </w:pPr>
            <w:r w:rsidRPr="009B7CCD">
              <w:rPr>
                <w:rFonts w:ascii="Times New Roman" w:hAnsi="Times New Roman" w:cs="Times New Roman"/>
                <w:lang w:val="en-US"/>
              </w:rPr>
              <w:t>Groups</w:t>
            </w:r>
          </w:p>
        </w:tc>
        <w:tc>
          <w:tcPr>
            <w:tcW w:w="1021" w:type="dxa"/>
            <w:tcBorders>
              <w:top w:val="single" w:sz="4" w:space="0" w:color="auto"/>
              <w:left w:val="single" w:sz="4" w:space="0" w:color="auto"/>
              <w:bottom w:val="single" w:sz="4" w:space="0" w:color="auto"/>
              <w:right w:val="single" w:sz="4" w:space="0" w:color="auto"/>
            </w:tcBorders>
            <w:vAlign w:val="center"/>
          </w:tcPr>
          <w:p w14:paraId="15CE9EEC" w14:textId="77777777" w:rsidR="00E46E26" w:rsidRPr="009B7CCD" w:rsidRDefault="00E46E26" w:rsidP="006C1FAC">
            <w:pPr>
              <w:spacing w:after="0" w:line="240" w:lineRule="auto"/>
              <w:jc w:val="center"/>
              <w:rPr>
                <w:rFonts w:ascii="Times New Roman" w:hAnsi="Times New Roman" w:cs="Times New Roman"/>
                <w:lang w:val="en-US"/>
              </w:rPr>
            </w:pPr>
            <w:r w:rsidRPr="009B7CCD">
              <w:rPr>
                <w:rFonts w:ascii="Times New Roman" w:hAnsi="Times New Roman" w:cs="Times New Roman"/>
                <w:lang w:val="en-US"/>
              </w:rPr>
              <w:t xml:space="preserve">Distance along the </w:t>
            </w:r>
            <w:r>
              <w:rPr>
                <w:rFonts w:ascii="Times New Roman" w:hAnsi="Times New Roman" w:cs="Times New Roman"/>
                <w:lang w:val="en-US"/>
              </w:rPr>
              <w:t>Techa river</w:t>
            </w:r>
            <w:r w:rsidRPr="009B7CCD">
              <w:rPr>
                <w:rFonts w:ascii="Times New Roman" w:hAnsi="Times New Roman" w:cs="Times New Roman"/>
                <w:lang w:val="en-US"/>
              </w:rPr>
              <w:t>, km</w:t>
            </w:r>
          </w:p>
        </w:tc>
        <w:tc>
          <w:tcPr>
            <w:tcW w:w="4536" w:type="dxa"/>
            <w:tcBorders>
              <w:top w:val="single" w:sz="4" w:space="0" w:color="auto"/>
              <w:left w:val="single" w:sz="4" w:space="0" w:color="auto"/>
              <w:bottom w:val="single" w:sz="4" w:space="0" w:color="auto"/>
              <w:right w:val="single" w:sz="4" w:space="0" w:color="auto"/>
            </w:tcBorders>
            <w:vAlign w:val="center"/>
          </w:tcPr>
          <w:p w14:paraId="32B373C4" w14:textId="77777777" w:rsidR="00E46E26" w:rsidRPr="009B7CCD" w:rsidRDefault="00E46E26" w:rsidP="006C1FAC">
            <w:pPr>
              <w:spacing w:after="0" w:line="240" w:lineRule="auto"/>
              <w:jc w:val="center"/>
              <w:rPr>
                <w:rFonts w:ascii="Times New Roman" w:hAnsi="Times New Roman" w:cs="Times New Roman"/>
                <w:lang w:val="en-US"/>
              </w:rPr>
            </w:pPr>
            <w:r w:rsidRPr="009B7CCD">
              <w:rPr>
                <w:rFonts w:ascii="Times New Roman" w:hAnsi="Times New Roman" w:cs="Times New Roman"/>
                <w:lang w:val="en-US"/>
              </w:rPr>
              <w:t>Settlements</w:t>
            </w:r>
          </w:p>
        </w:tc>
        <w:tc>
          <w:tcPr>
            <w:tcW w:w="1276" w:type="dxa"/>
            <w:tcBorders>
              <w:top w:val="single" w:sz="4" w:space="0" w:color="auto"/>
              <w:left w:val="single" w:sz="4" w:space="0" w:color="auto"/>
              <w:bottom w:val="single" w:sz="4" w:space="0" w:color="auto"/>
              <w:right w:val="single" w:sz="4" w:space="0" w:color="auto"/>
            </w:tcBorders>
            <w:vAlign w:val="center"/>
          </w:tcPr>
          <w:p w14:paraId="296CEA3D" w14:textId="77777777" w:rsidR="00E46E26" w:rsidRPr="009B7CCD" w:rsidRDefault="00E46E26" w:rsidP="006C1FAC">
            <w:pPr>
              <w:spacing w:after="0" w:line="240" w:lineRule="auto"/>
              <w:jc w:val="center"/>
              <w:rPr>
                <w:rFonts w:ascii="Times New Roman" w:hAnsi="Times New Roman" w:cs="Times New Roman"/>
                <w:lang w:val="en-US"/>
              </w:rPr>
            </w:pPr>
            <w:r w:rsidRPr="009B7CCD">
              <w:rPr>
                <w:rFonts w:ascii="Times New Roman" w:hAnsi="Times New Roman" w:cs="Times New Roman"/>
                <w:lang w:val="en-US"/>
              </w:rPr>
              <w:t>Number of teeth/do-nors</w:t>
            </w:r>
          </w:p>
        </w:tc>
        <w:tc>
          <w:tcPr>
            <w:tcW w:w="1620" w:type="dxa"/>
            <w:tcBorders>
              <w:top w:val="single" w:sz="4" w:space="0" w:color="auto"/>
              <w:left w:val="single" w:sz="4" w:space="0" w:color="auto"/>
              <w:bottom w:val="single" w:sz="4" w:space="0" w:color="auto"/>
              <w:right w:val="single" w:sz="4" w:space="0" w:color="auto"/>
            </w:tcBorders>
            <w:vAlign w:val="center"/>
          </w:tcPr>
          <w:p w14:paraId="5262FD4D" w14:textId="77777777" w:rsidR="00E46E26" w:rsidRPr="009B7CCD" w:rsidRDefault="00E46E26" w:rsidP="006C1FAC">
            <w:pPr>
              <w:spacing w:after="0" w:line="240" w:lineRule="auto"/>
              <w:jc w:val="center"/>
              <w:rPr>
                <w:rFonts w:ascii="Times New Roman" w:hAnsi="Times New Roman" w:cs="Times New Roman"/>
                <w:lang w:val="en-US"/>
              </w:rPr>
            </w:pPr>
            <w:r w:rsidRPr="009B7CCD">
              <w:rPr>
                <w:rFonts w:ascii="Times New Roman" w:hAnsi="Times New Roman" w:cs="Times New Roman"/>
                <w:lang w:val="en-US"/>
              </w:rPr>
              <w:t xml:space="preserve">Number of teeth with individual measurements of </w:t>
            </w:r>
            <w:r w:rsidRPr="009B7CCD">
              <w:rPr>
                <w:rFonts w:ascii="Times New Roman" w:hAnsi="Times New Roman" w:cs="Times New Roman"/>
                <w:vertAlign w:val="superscript"/>
                <w:lang w:val="en-US"/>
              </w:rPr>
              <w:t>90</w:t>
            </w:r>
            <w:r w:rsidRPr="009B7CCD">
              <w:rPr>
                <w:rFonts w:ascii="Times New Roman" w:hAnsi="Times New Roman" w:cs="Times New Roman"/>
                <w:lang w:val="en-US"/>
              </w:rPr>
              <w:t>Sr in enamel</w:t>
            </w:r>
          </w:p>
        </w:tc>
      </w:tr>
    </w:tbl>
    <w:tbl>
      <w:tblPr>
        <w:tblStyle w:val="Tabellenraster"/>
        <w:tblW w:w="9412" w:type="dxa"/>
        <w:tblLayout w:type="fixed"/>
        <w:tblLook w:val="04A0" w:firstRow="1" w:lastRow="0" w:firstColumn="1" w:lastColumn="0" w:noHBand="0" w:noVBand="1"/>
      </w:tblPr>
      <w:tblGrid>
        <w:gridCol w:w="959"/>
        <w:gridCol w:w="1021"/>
        <w:gridCol w:w="4536"/>
        <w:gridCol w:w="1276"/>
        <w:gridCol w:w="1620"/>
      </w:tblGrid>
      <w:tr w:rsidR="00E46E26" w:rsidRPr="00470ADD" w14:paraId="5360F44D" w14:textId="77777777" w:rsidTr="006C1FAC">
        <w:tc>
          <w:tcPr>
            <w:tcW w:w="9412" w:type="dxa"/>
            <w:gridSpan w:val="5"/>
            <w:tcBorders>
              <w:top w:val="single" w:sz="4" w:space="0" w:color="auto"/>
              <w:left w:val="single" w:sz="4" w:space="0" w:color="auto"/>
              <w:bottom w:val="single" w:sz="4" w:space="0" w:color="auto"/>
              <w:right w:val="single" w:sz="4" w:space="0" w:color="auto"/>
            </w:tcBorders>
            <w:vAlign w:val="center"/>
          </w:tcPr>
          <w:p w14:paraId="1AA8A8D0" w14:textId="77777777" w:rsidR="00E46E26" w:rsidRPr="00303F27" w:rsidRDefault="00E46E26" w:rsidP="006C1FAC">
            <w:pPr>
              <w:spacing w:after="0" w:line="240" w:lineRule="auto"/>
              <w:jc w:val="center"/>
              <w:rPr>
                <w:b/>
                <w:lang w:val="en-US"/>
              </w:rPr>
            </w:pPr>
            <w:r w:rsidRPr="00303F27">
              <w:rPr>
                <w:b/>
                <w:lang w:val="en-US"/>
              </w:rPr>
              <w:t>The Upper Techa</w:t>
            </w:r>
          </w:p>
        </w:tc>
      </w:tr>
      <w:tr w:rsidR="00E46E26" w:rsidRPr="00470ADD" w14:paraId="258C9390" w14:textId="77777777" w:rsidTr="006C1FAC">
        <w:tc>
          <w:tcPr>
            <w:tcW w:w="959" w:type="dxa"/>
            <w:tcBorders>
              <w:top w:val="single" w:sz="4" w:space="0" w:color="auto"/>
              <w:left w:val="single" w:sz="4" w:space="0" w:color="auto"/>
              <w:bottom w:val="single" w:sz="4" w:space="0" w:color="auto"/>
              <w:right w:val="single" w:sz="4" w:space="0" w:color="auto"/>
            </w:tcBorders>
            <w:vAlign w:val="center"/>
          </w:tcPr>
          <w:p w14:paraId="4989056A" w14:textId="77777777" w:rsidR="00E46E26" w:rsidRPr="00C24BC0" w:rsidRDefault="00E46E26" w:rsidP="006C1FAC">
            <w:pPr>
              <w:spacing w:after="0" w:line="240" w:lineRule="auto"/>
              <w:jc w:val="center"/>
              <w:rPr>
                <w:lang w:val="en-US"/>
              </w:rPr>
            </w:pPr>
            <w:r>
              <w:rPr>
                <w:lang w:val="en-US"/>
              </w:rPr>
              <w:t>1</w:t>
            </w:r>
          </w:p>
        </w:tc>
        <w:tc>
          <w:tcPr>
            <w:tcW w:w="1021" w:type="dxa"/>
            <w:tcBorders>
              <w:top w:val="single" w:sz="4" w:space="0" w:color="auto"/>
              <w:left w:val="single" w:sz="4" w:space="0" w:color="auto"/>
              <w:bottom w:val="single" w:sz="4" w:space="0" w:color="auto"/>
              <w:right w:val="single" w:sz="4" w:space="0" w:color="auto"/>
            </w:tcBorders>
            <w:vAlign w:val="center"/>
          </w:tcPr>
          <w:p w14:paraId="28A18C60" w14:textId="77777777" w:rsidR="00E46E26" w:rsidRPr="00303F27" w:rsidRDefault="00E46E26" w:rsidP="006C1FAC">
            <w:pPr>
              <w:spacing w:after="0" w:line="240" w:lineRule="auto"/>
              <w:jc w:val="center"/>
              <w:rPr>
                <w:vertAlign w:val="superscript"/>
                <w:lang w:val="en-US"/>
              </w:rPr>
            </w:pPr>
            <w:r>
              <w:rPr>
                <w:lang w:val="en-US"/>
              </w:rPr>
              <w:t>7</w:t>
            </w:r>
            <w:r>
              <w:rPr>
                <w:vertAlign w:val="superscript"/>
                <w:lang w:val="en-US"/>
              </w:rPr>
              <w:t>*</w:t>
            </w:r>
          </w:p>
        </w:tc>
        <w:tc>
          <w:tcPr>
            <w:tcW w:w="4536" w:type="dxa"/>
            <w:tcBorders>
              <w:top w:val="single" w:sz="4" w:space="0" w:color="auto"/>
              <w:left w:val="single" w:sz="4" w:space="0" w:color="auto"/>
              <w:bottom w:val="single" w:sz="4" w:space="0" w:color="auto"/>
              <w:right w:val="single" w:sz="4" w:space="0" w:color="auto"/>
            </w:tcBorders>
            <w:vAlign w:val="center"/>
          </w:tcPr>
          <w:p w14:paraId="589302AF" w14:textId="77777777" w:rsidR="00E46E26" w:rsidRPr="00303F27" w:rsidRDefault="00E46E26" w:rsidP="006C1FAC">
            <w:pPr>
              <w:spacing w:after="0" w:line="240" w:lineRule="auto"/>
              <w:jc w:val="center"/>
              <w:rPr>
                <w:vertAlign w:val="superscript"/>
                <w:lang w:val="en-US"/>
              </w:rPr>
            </w:pPr>
            <w:r w:rsidRPr="00C24BC0">
              <w:rPr>
                <w:lang w:val="en-US"/>
              </w:rPr>
              <w:t>Metlino</w:t>
            </w:r>
            <w:r>
              <w:rPr>
                <w:vertAlign w:val="superscript"/>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1ADADC2D" w14:textId="77777777" w:rsidR="00E46E26" w:rsidRPr="00C24BC0" w:rsidRDefault="00E46E26" w:rsidP="006C1FAC">
            <w:pPr>
              <w:spacing w:after="0" w:line="240" w:lineRule="auto"/>
              <w:jc w:val="center"/>
              <w:rPr>
                <w:lang w:val="en-US"/>
              </w:rPr>
            </w:pPr>
            <w:r>
              <w:rPr>
                <w:lang w:val="en-US"/>
              </w:rPr>
              <w:t>25/11</w:t>
            </w:r>
          </w:p>
        </w:tc>
        <w:tc>
          <w:tcPr>
            <w:tcW w:w="1620" w:type="dxa"/>
            <w:tcBorders>
              <w:top w:val="single" w:sz="4" w:space="0" w:color="auto"/>
              <w:left w:val="single" w:sz="4" w:space="0" w:color="auto"/>
              <w:bottom w:val="single" w:sz="4" w:space="0" w:color="auto"/>
              <w:right w:val="single" w:sz="4" w:space="0" w:color="auto"/>
            </w:tcBorders>
            <w:vAlign w:val="center"/>
          </w:tcPr>
          <w:p w14:paraId="593D73B4" w14:textId="77777777" w:rsidR="00E46E26" w:rsidRPr="00C24BC0" w:rsidRDefault="00E46E26" w:rsidP="006C1FAC">
            <w:pPr>
              <w:spacing w:after="0" w:line="240" w:lineRule="auto"/>
              <w:jc w:val="center"/>
              <w:rPr>
                <w:lang w:val="en-US"/>
              </w:rPr>
            </w:pPr>
            <w:r>
              <w:rPr>
                <w:lang w:val="en-US"/>
              </w:rPr>
              <w:t>16</w:t>
            </w:r>
          </w:p>
        </w:tc>
      </w:tr>
      <w:tr w:rsidR="00E46E26" w:rsidRPr="00470ADD" w14:paraId="70077685" w14:textId="77777777" w:rsidTr="006C1FAC">
        <w:tc>
          <w:tcPr>
            <w:tcW w:w="959" w:type="dxa"/>
            <w:tcBorders>
              <w:top w:val="single" w:sz="4" w:space="0" w:color="auto"/>
              <w:left w:val="single" w:sz="4" w:space="0" w:color="auto"/>
              <w:bottom w:val="single" w:sz="4" w:space="0" w:color="auto"/>
              <w:right w:val="single" w:sz="4" w:space="0" w:color="auto"/>
            </w:tcBorders>
            <w:vAlign w:val="center"/>
          </w:tcPr>
          <w:p w14:paraId="1D05C69E" w14:textId="77777777" w:rsidR="00E46E26" w:rsidRDefault="00E46E26" w:rsidP="006C1FAC">
            <w:pPr>
              <w:spacing w:after="0" w:line="240" w:lineRule="auto"/>
              <w:jc w:val="center"/>
              <w:rPr>
                <w:lang w:val="en-US"/>
              </w:rPr>
            </w:pPr>
            <w:r w:rsidRPr="006C0019">
              <w:rPr>
                <w:lang w:val="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01A163EF" w14:textId="77777777" w:rsidR="00E46E26" w:rsidRDefault="00E46E26" w:rsidP="006C1FAC">
            <w:pPr>
              <w:spacing w:after="0" w:line="240" w:lineRule="auto"/>
              <w:jc w:val="center"/>
              <w:rPr>
                <w:lang w:val="en-US"/>
              </w:rPr>
            </w:pPr>
            <w:r w:rsidRPr="006C0019">
              <w:rPr>
                <w:lang w:val="en-US"/>
              </w:rPr>
              <w:t>18, 30, 33</w:t>
            </w:r>
          </w:p>
        </w:tc>
        <w:tc>
          <w:tcPr>
            <w:tcW w:w="4536" w:type="dxa"/>
            <w:tcBorders>
              <w:top w:val="single" w:sz="4" w:space="0" w:color="auto"/>
              <w:left w:val="single" w:sz="4" w:space="0" w:color="auto"/>
              <w:bottom w:val="single" w:sz="4" w:space="0" w:color="auto"/>
              <w:right w:val="single" w:sz="4" w:space="0" w:color="auto"/>
            </w:tcBorders>
            <w:vAlign w:val="center"/>
          </w:tcPr>
          <w:p w14:paraId="278374B5" w14:textId="77777777" w:rsidR="00E46E26" w:rsidRPr="00C24BC0" w:rsidRDefault="00E46E26" w:rsidP="006C1FAC">
            <w:pPr>
              <w:spacing w:after="0" w:line="240" w:lineRule="auto"/>
              <w:jc w:val="center"/>
              <w:rPr>
                <w:lang w:val="en-US"/>
              </w:rPr>
            </w:pPr>
            <w:r w:rsidRPr="006C0019">
              <w:rPr>
                <w:lang w:val="en-US"/>
              </w:rPr>
              <w:t>Techa-Brod, New Assanovo, Old Assanovo</w:t>
            </w:r>
          </w:p>
        </w:tc>
        <w:tc>
          <w:tcPr>
            <w:tcW w:w="1276" w:type="dxa"/>
            <w:tcBorders>
              <w:top w:val="single" w:sz="4" w:space="0" w:color="auto"/>
              <w:left w:val="single" w:sz="4" w:space="0" w:color="auto"/>
              <w:bottom w:val="single" w:sz="4" w:space="0" w:color="auto"/>
              <w:right w:val="single" w:sz="4" w:space="0" w:color="auto"/>
            </w:tcBorders>
            <w:vAlign w:val="center"/>
          </w:tcPr>
          <w:p w14:paraId="79211606" w14:textId="77777777" w:rsidR="00E46E26" w:rsidRDefault="00E46E26" w:rsidP="006C1FAC">
            <w:pPr>
              <w:spacing w:after="0" w:line="240" w:lineRule="auto"/>
              <w:jc w:val="center"/>
              <w:rPr>
                <w:lang w:val="en-US"/>
              </w:rPr>
            </w:pPr>
            <w:r w:rsidRPr="006C0019">
              <w:rPr>
                <w:lang w:val="en-US"/>
              </w:rPr>
              <w:t>26/</w:t>
            </w:r>
            <w:r w:rsidRPr="006C0019">
              <w:t>1</w:t>
            </w:r>
            <w:r w:rsidRPr="006C0019">
              <w:rPr>
                <w:lang w:val="en-US"/>
              </w:rPr>
              <w:t>0</w:t>
            </w:r>
          </w:p>
        </w:tc>
        <w:tc>
          <w:tcPr>
            <w:tcW w:w="1620" w:type="dxa"/>
            <w:tcBorders>
              <w:top w:val="single" w:sz="4" w:space="0" w:color="auto"/>
              <w:left w:val="single" w:sz="4" w:space="0" w:color="auto"/>
              <w:bottom w:val="single" w:sz="4" w:space="0" w:color="auto"/>
              <w:right w:val="single" w:sz="4" w:space="0" w:color="auto"/>
            </w:tcBorders>
            <w:vAlign w:val="center"/>
          </w:tcPr>
          <w:p w14:paraId="0556DA75" w14:textId="77777777" w:rsidR="00E46E26" w:rsidRDefault="00E46E26" w:rsidP="006C1FAC">
            <w:pPr>
              <w:spacing w:after="0" w:line="240" w:lineRule="auto"/>
              <w:jc w:val="center"/>
              <w:rPr>
                <w:lang w:val="en-US"/>
              </w:rPr>
            </w:pPr>
            <w:r w:rsidRPr="006C0019">
              <w:rPr>
                <w:lang w:val="en-US"/>
              </w:rPr>
              <w:t>1</w:t>
            </w:r>
            <w:r w:rsidRPr="006C0019">
              <w:t>4</w:t>
            </w:r>
          </w:p>
        </w:tc>
      </w:tr>
      <w:tr w:rsidR="00E46E26" w:rsidRPr="00470ADD" w14:paraId="1C8D475E" w14:textId="77777777" w:rsidTr="006C1FAC">
        <w:tc>
          <w:tcPr>
            <w:tcW w:w="959" w:type="dxa"/>
            <w:tcBorders>
              <w:top w:val="single" w:sz="4" w:space="0" w:color="auto"/>
              <w:left w:val="single" w:sz="4" w:space="0" w:color="auto"/>
              <w:bottom w:val="single" w:sz="4" w:space="0" w:color="auto"/>
              <w:right w:val="single" w:sz="4" w:space="0" w:color="auto"/>
            </w:tcBorders>
            <w:vAlign w:val="center"/>
          </w:tcPr>
          <w:p w14:paraId="695AB91C" w14:textId="77777777" w:rsidR="00E46E26" w:rsidRDefault="00E46E26" w:rsidP="006C1FAC">
            <w:pPr>
              <w:spacing w:after="0" w:line="240" w:lineRule="auto"/>
              <w:jc w:val="center"/>
              <w:rPr>
                <w:lang w:val="en-US"/>
              </w:rPr>
            </w:pPr>
            <w:r w:rsidRPr="006C0019">
              <w:rPr>
                <w:lang w:val="en-US"/>
              </w:rPr>
              <w:t>3</w:t>
            </w:r>
          </w:p>
        </w:tc>
        <w:tc>
          <w:tcPr>
            <w:tcW w:w="1021" w:type="dxa"/>
            <w:tcBorders>
              <w:top w:val="single" w:sz="4" w:space="0" w:color="auto"/>
              <w:left w:val="single" w:sz="4" w:space="0" w:color="auto"/>
              <w:bottom w:val="single" w:sz="4" w:space="0" w:color="auto"/>
              <w:right w:val="single" w:sz="4" w:space="0" w:color="auto"/>
            </w:tcBorders>
            <w:vAlign w:val="center"/>
          </w:tcPr>
          <w:p w14:paraId="587C5D7C" w14:textId="77777777" w:rsidR="00E46E26" w:rsidRDefault="00E46E26" w:rsidP="006C1FAC">
            <w:pPr>
              <w:spacing w:after="0" w:line="240" w:lineRule="auto"/>
              <w:jc w:val="center"/>
              <w:rPr>
                <w:lang w:val="en-US"/>
              </w:rPr>
            </w:pPr>
            <w:r w:rsidRPr="006C0019">
              <w:rPr>
                <w:lang w:val="en-US"/>
              </w:rPr>
              <w:t>41,</w:t>
            </w:r>
            <w:r>
              <w:rPr>
                <w:lang w:val="en-US"/>
              </w:rPr>
              <w:t xml:space="preserve"> </w:t>
            </w:r>
            <w:r w:rsidRPr="006C0019">
              <w:rPr>
                <w:lang w:val="en-US"/>
              </w:rPr>
              <w:t>43</w:t>
            </w:r>
          </w:p>
        </w:tc>
        <w:tc>
          <w:tcPr>
            <w:tcW w:w="4536" w:type="dxa"/>
            <w:tcBorders>
              <w:top w:val="single" w:sz="4" w:space="0" w:color="auto"/>
              <w:left w:val="single" w:sz="4" w:space="0" w:color="auto"/>
              <w:bottom w:val="single" w:sz="4" w:space="0" w:color="auto"/>
              <w:right w:val="single" w:sz="4" w:space="0" w:color="auto"/>
            </w:tcBorders>
            <w:vAlign w:val="center"/>
          </w:tcPr>
          <w:p w14:paraId="361B309E" w14:textId="77777777" w:rsidR="00E46E26" w:rsidRPr="00C24BC0" w:rsidRDefault="00E46E26" w:rsidP="006C1FAC">
            <w:pPr>
              <w:spacing w:after="0" w:line="240" w:lineRule="auto"/>
              <w:jc w:val="center"/>
              <w:rPr>
                <w:lang w:val="en-US"/>
              </w:rPr>
            </w:pPr>
            <w:r w:rsidRPr="006C0019">
              <w:rPr>
                <w:lang w:val="en-US"/>
              </w:rPr>
              <w:t>Maloe Taskino, Gerasimovka</w:t>
            </w:r>
          </w:p>
        </w:tc>
        <w:tc>
          <w:tcPr>
            <w:tcW w:w="1276" w:type="dxa"/>
            <w:tcBorders>
              <w:top w:val="single" w:sz="4" w:space="0" w:color="auto"/>
              <w:left w:val="single" w:sz="4" w:space="0" w:color="auto"/>
              <w:bottom w:val="single" w:sz="4" w:space="0" w:color="auto"/>
              <w:right w:val="single" w:sz="4" w:space="0" w:color="auto"/>
            </w:tcBorders>
            <w:vAlign w:val="center"/>
          </w:tcPr>
          <w:p w14:paraId="4C24FDAE" w14:textId="77777777" w:rsidR="00E46E26" w:rsidRDefault="00E46E26" w:rsidP="006C1FAC">
            <w:pPr>
              <w:spacing w:after="0" w:line="240" w:lineRule="auto"/>
              <w:jc w:val="center"/>
              <w:rPr>
                <w:lang w:val="en-US"/>
              </w:rPr>
            </w:pPr>
            <w:r w:rsidRPr="006C0019">
              <w:rPr>
                <w:lang w:val="en-US"/>
              </w:rPr>
              <w:t>20/14</w:t>
            </w:r>
          </w:p>
        </w:tc>
        <w:tc>
          <w:tcPr>
            <w:tcW w:w="1620" w:type="dxa"/>
            <w:tcBorders>
              <w:top w:val="single" w:sz="4" w:space="0" w:color="auto"/>
              <w:left w:val="single" w:sz="4" w:space="0" w:color="auto"/>
              <w:bottom w:val="single" w:sz="4" w:space="0" w:color="auto"/>
              <w:right w:val="single" w:sz="4" w:space="0" w:color="auto"/>
            </w:tcBorders>
            <w:vAlign w:val="center"/>
          </w:tcPr>
          <w:p w14:paraId="4224E5B6" w14:textId="77777777" w:rsidR="00E46E26" w:rsidRDefault="00E46E26" w:rsidP="006C1FAC">
            <w:pPr>
              <w:spacing w:after="0" w:line="240" w:lineRule="auto"/>
              <w:jc w:val="center"/>
              <w:rPr>
                <w:lang w:val="en-US"/>
              </w:rPr>
            </w:pPr>
            <w:r w:rsidRPr="006C0019">
              <w:rPr>
                <w:lang w:val="en-US"/>
              </w:rPr>
              <w:t>8</w:t>
            </w:r>
          </w:p>
        </w:tc>
      </w:tr>
      <w:tr w:rsidR="00E46E26" w:rsidRPr="00C24BC0" w14:paraId="0B9C3C9B" w14:textId="77777777" w:rsidTr="006C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single" w:sz="4" w:space="0" w:color="auto"/>
              <w:left w:val="single" w:sz="4" w:space="0" w:color="auto"/>
              <w:bottom w:val="single" w:sz="4" w:space="0" w:color="auto"/>
              <w:right w:val="single" w:sz="4" w:space="0" w:color="auto"/>
            </w:tcBorders>
            <w:vAlign w:val="center"/>
          </w:tcPr>
          <w:p w14:paraId="72F7A93A" w14:textId="77777777" w:rsidR="00E46E26" w:rsidRPr="006C0019" w:rsidRDefault="00E46E26" w:rsidP="006C1FAC">
            <w:pPr>
              <w:spacing w:after="0" w:line="240" w:lineRule="auto"/>
              <w:jc w:val="center"/>
              <w:rPr>
                <w:lang w:val="en-US"/>
              </w:rPr>
            </w:pPr>
            <w:r w:rsidRPr="006C0019">
              <w:rPr>
                <w:lang w:val="en-US"/>
              </w:rPr>
              <w:t>4</w:t>
            </w:r>
          </w:p>
        </w:tc>
        <w:tc>
          <w:tcPr>
            <w:tcW w:w="1021" w:type="dxa"/>
            <w:tcBorders>
              <w:top w:val="single" w:sz="4" w:space="0" w:color="auto"/>
              <w:left w:val="single" w:sz="4" w:space="0" w:color="auto"/>
              <w:bottom w:val="single" w:sz="4" w:space="0" w:color="auto"/>
              <w:right w:val="single" w:sz="4" w:space="0" w:color="auto"/>
            </w:tcBorders>
            <w:vAlign w:val="center"/>
          </w:tcPr>
          <w:p w14:paraId="22240C3C" w14:textId="77777777" w:rsidR="00E46E26" w:rsidRPr="006C0019" w:rsidRDefault="00E46E26" w:rsidP="006C1FAC">
            <w:pPr>
              <w:spacing w:after="0" w:line="240" w:lineRule="auto"/>
              <w:jc w:val="center"/>
              <w:rPr>
                <w:lang w:val="en-US"/>
              </w:rPr>
            </w:pPr>
            <w:r w:rsidRPr="006C0019">
              <w:rPr>
                <w:lang w:val="en-US"/>
              </w:rPr>
              <w:t>48,</w:t>
            </w:r>
            <w:r>
              <w:rPr>
                <w:lang w:val="en-US"/>
              </w:rPr>
              <w:t xml:space="preserve"> </w:t>
            </w:r>
            <w:r w:rsidRPr="006C0019">
              <w:rPr>
                <w:lang w:val="en-US"/>
              </w:rPr>
              <w:t>50</w:t>
            </w:r>
            <w:r>
              <w:rPr>
                <w:vertAlign w:val="superscript"/>
                <w:lang w:val="en-US"/>
              </w:rPr>
              <w: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BF61E81" w14:textId="77777777" w:rsidR="00E46E26" w:rsidRPr="006C0019" w:rsidRDefault="00E46E26" w:rsidP="006C1FAC">
            <w:pPr>
              <w:spacing w:after="0" w:line="240" w:lineRule="auto"/>
              <w:jc w:val="center"/>
              <w:rPr>
                <w:lang w:val="en-US" w:eastAsia="en-US"/>
              </w:rPr>
            </w:pPr>
            <w:r w:rsidRPr="006C0019">
              <w:rPr>
                <w:lang w:val="en-US"/>
              </w:rPr>
              <w:t>Nadyrov Most, Nadyrovo</w:t>
            </w:r>
            <w:r>
              <w:rPr>
                <w:vertAlign w:val="superscript"/>
                <w:lang w:val="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FD2A5C" w14:textId="77777777" w:rsidR="00E46E26" w:rsidRPr="006C0019" w:rsidRDefault="00E46E26" w:rsidP="006C1FAC">
            <w:pPr>
              <w:spacing w:after="0" w:line="240" w:lineRule="auto"/>
              <w:jc w:val="center"/>
              <w:rPr>
                <w:lang w:val="en-US" w:eastAsia="en-US"/>
              </w:rPr>
            </w:pPr>
            <w:r w:rsidRPr="006C0019">
              <w:rPr>
                <w:lang w:val="en-US"/>
              </w:rPr>
              <w:t>25/</w:t>
            </w:r>
            <w:r w:rsidRPr="006C0019">
              <w:t>1</w:t>
            </w:r>
            <w:r w:rsidRPr="006C0019">
              <w:rPr>
                <w:lang w:val="en-US"/>
              </w:rPr>
              <w:t>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A4EC9B1" w14:textId="77777777" w:rsidR="00E46E26" w:rsidRPr="006C0019" w:rsidRDefault="00E46E26" w:rsidP="006C1FAC">
            <w:pPr>
              <w:spacing w:after="0" w:line="240" w:lineRule="auto"/>
              <w:jc w:val="center"/>
              <w:rPr>
                <w:lang w:val="en-US" w:eastAsia="en-US"/>
              </w:rPr>
            </w:pPr>
            <w:r w:rsidRPr="006C0019">
              <w:rPr>
                <w:lang w:val="en-US"/>
              </w:rPr>
              <w:t>9</w:t>
            </w:r>
          </w:p>
        </w:tc>
      </w:tr>
      <w:tr w:rsidR="00E46E26" w:rsidRPr="00C24BC0" w14:paraId="01201534" w14:textId="77777777" w:rsidTr="006C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single" w:sz="4" w:space="0" w:color="auto"/>
              <w:left w:val="single" w:sz="4" w:space="0" w:color="auto"/>
              <w:bottom w:val="single" w:sz="4" w:space="0" w:color="auto"/>
              <w:right w:val="single" w:sz="4" w:space="0" w:color="auto"/>
            </w:tcBorders>
            <w:vAlign w:val="center"/>
          </w:tcPr>
          <w:p w14:paraId="03CDCDB8" w14:textId="77777777" w:rsidR="00E46E26" w:rsidRPr="006C0019" w:rsidRDefault="00E46E26" w:rsidP="006C1FAC">
            <w:pPr>
              <w:spacing w:after="0" w:line="240" w:lineRule="auto"/>
              <w:jc w:val="center"/>
              <w:rPr>
                <w:lang w:val="en-US"/>
              </w:rPr>
            </w:pPr>
            <w:r w:rsidRPr="006C0019">
              <w:rPr>
                <w:lang w:val="en-US"/>
              </w:rPr>
              <w:t>5</w:t>
            </w:r>
          </w:p>
        </w:tc>
        <w:tc>
          <w:tcPr>
            <w:tcW w:w="1021" w:type="dxa"/>
            <w:tcBorders>
              <w:top w:val="single" w:sz="4" w:space="0" w:color="auto"/>
              <w:left w:val="single" w:sz="4" w:space="0" w:color="auto"/>
              <w:bottom w:val="single" w:sz="4" w:space="0" w:color="auto"/>
              <w:right w:val="single" w:sz="4" w:space="0" w:color="auto"/>
            </w:tcBorders>
            <w:vAlign w:val="center"/>
          </w:tcPr>
          <w:p w14:paraId="0959C34B" w14:textId="77777777" w:rsidR="00E46E26" w:rsidRPr="006C0019" w:rsidRDefault="00E46E26" w:rsidP="006C1FAC">
            <w:pPr>
              <w:spacing w:after="0" w:line="240" w:lineRule="auto"/>
              <w:jc w:val="center"/>
              <w:rPr>
                <w:lang w:val="en-US"/>
              </w:rPr>
            </w:pPr>
            <w:r w:rsidRPr="006C0019">
              <w:rPr>
                <w:lang w:val="en-US"/>
              </w:rPr>
              <w:t>54,</w:t>
            </w:r>
            <w:r>
              <w:rPr>
                <w:lang w:val="en-US"/>
              </w:rPr>
              <w:t xml:space="preserve"> </w:t>
            </w:r>
            <w:r w:rsidRPr="006C0019">
              <w:rPr>
                <w:lang w:val="en-US"/>
              </w:rPr>
              <w:t>60</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A5D79B" w14:textId="77777777" w:rsidR="00E46E26" w:rsidRPr="006C0019" w:rsidRDefault="00E46E26" w:rsidP="006C1FAC">
            <w:pPr>
              <w:spacing w:after="0" w:line="240" w:lineRule="auto"/>
              <w:jc w:val="center"/>
              <w:rPr>
                <w:lang w:val="en-US" w:eastAsia="en-US"/>
              </w:rPr>
            </w:pPr>
            <w:r w:rsidRPr="006C0019">
              <w:rPr>
                <w:lang w:val="en-US"/>
              </w:rPr>
              <w:t>Ibragimovo, Isaevo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4D3A77" w14:textId="77777777" w:rsidR="00E46E26" w:rsidRPr="006C0019" w:rsidRDefault="00E46E26" w:rsidP="006C1FAC">
            <w:pPr>
              <w:spacing w:after="0" w:line="240" w:lineRule="auto"/>
              <w:jc w:val="center"/>
              <w:rPr>
                <w:lang w:val="en-US" w:eastAsia="en-US"/>
              </w:rPr>
            </w:pPr>
            <w:r w:rsidRPr="006C0019">
              <w:rPr>
                <w:lang w:val="en-US"/>
              </w:rPr>
              <w:t>7</w:t>
            </w:r>
            <w:r w:rsidRPr="006C0019">
              <w:t>1</w:t>
            </w:r>
            <w:r w:rsidRPr="006C0019">
              <w:rPr>
                <w:lang w:val="en-US"/>
              </w:rPr>
              <w:t>/25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9C8A2F2" w14:textId="77777777" w:rsidR="00E46E26" w:rsidRPr="006C0019" w:rsidRDefault="00E46E26" w:rsidP="006C1FAC">
            <w:pPr>
              <w:spacing w:after="0" w:line="240" w:lineRule="auto"/>
              <w:jc w:val="center"/>
              <w:rPr>
                <w:lang w:eastAsia="en-US"/>
              </w:rPr>
            </w:pPr>
            <w:r w:rsidRPr="006C0019">
              <w:t>23</w:t>
            </w:r>
          </w:p>
        </w:tc>
      </w:tr>
      <w:tr w:rsidR="00E46E26" w:rsidRPr="00C24BC0" w14:paraId="2FFAF5D2" w14:textId="77777777" w:rsidTr="006C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single" w:sz="4" w:space="0" w:color="auto"/>
              <w:left w:val="single" w:sz="4" w:space="0" w:color="auto"/>
              <w:bottom w:val="single" w:sz="4" w:space="0" w:color="auto"/>
              <w:right w:val="single" w:sz="4" w:space="0" w:color="auto"/>
            </w:tcBorders>
            <w:vAlign w:val="center"/>
          </w:tcPr>
          <w:p w14:paraId="46DA25F6" w14:textId="77777777" w:rsidR="00E46E26" w:rsidRPr="006C0019" w:rsidRDefault="00E46E26" w:rsidP="006C1FAC">
            <w:pPr>
              <w:spacing w:after="0" w:line="240" w:lineRule="auto"/>
              <w:jc w:val="center"/>
              <w:rPr>
                <w:lang w:val="en-US"/>
              </w:rPr>
            </w:pPr>
            <w:r w:rsidRPr="006C0019">
              <w:rPr>
                <w:lang w:val="en-US"/>
              </w:rPr>
              <w:t>6</w:t>
            </w:r>
          </w:p>
        </w:tc>
        <w:tc>
          <w:tcPr>
            <w:tcW w:w="1021" w:type="dxa"/>
            <w:tcBorders>
              <w:top w:val="single" w:sz="4" w:space="0" w:color="auto"/>
              <w:left w:val="single" w:sz="4" w:space="0" w:color="auto"/>
              <w:bottom w:val="single" w:sz="4" w:space="0" w:color="auto"/>
              <w:right w:val="single" w:sz="4" w:space="0" w:color="auto"/>
            </w:tcBorders>
            <w:vAlign w:val="center"/>
          </w:tcPr>
          <w:p w14:paraId="39EF1F71" w14:textId="77777777" w:rsidR="00E46E26" w:rsidRPr="006C0019" w:rsidRDefault="00E46E26" w:rsidP="006C1FAC">
            <w:pPr>
              <w:spacing w:after="0" w:line="240" w:lineRule="auto"/>
              <w:jc w:val="center"/>
              <w:rPr>
                <w:lang w:val="en-US"/>
              </w:rPr>
            </w:pPr>
            <w:r w:rsidRPr="006C0019">
              <w:t>70</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5960586" w14:textId="77777777" w:rsidR="00E46E26" w:rsidRPr="006C0019" w:rsidRDefault="00E46E26" w:rsidP="006C1FAC">
            <w:pPr>
              <w:spacing w:after="0" w:line="240" w:lineRule="auto"/>
              <w:jc w:val="center"/>
              <w:rPr>
                <w:lang w:val="en-US" w:eastAsia="en-US"/>
              </w:rPr>
            </w:pPr>
            <w:r w:rsidRPr="006C0019">
              <w:rPr>
                <w:lang w:val="en-US"/>
              </w:rPr>
              <w:t>Podsobnoe hoz.</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5EA67F" w14:textId="77777777" w:rsidR="00E46E26" w:rsidRPr="006C0019" w:rsidRDefault="00E46E26" w:rsidP="006C1FAC">
            <w:pPr>
              <w:spacing w:after="0" w:line="240" w:lineRule="auto"/>
              <w:jc w:val="center"/>
              <w:rPr>
                <w:lang w:eastAsia="en-US"/>
              </w:rPr>
            </w:pPr>
            <w:r w:rsidRPr="006C0019">
              <w:rPr>
                <w:lang w:val="en-US"/>
              </w:rPr>
              <w:t>14/</w:t>
            </w:r>
            <w:r w:rsidRPr="006C0019">
              <w:t>9</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5260E2F" w14:textId="77777777" w:rsidR="00E46E26" w:rsidRPr="006C0019" w:rsidRDefault="00E46E26" w:rsidP="006C1FAC">
            <w:pPr>
              <w:spacing w:after="0" w:line="240" w:lineRule="auto"/>
              <w:jc w:val="center"/>
              <w:rPr>
                <w:lang w:eastAsia="en-US"/>
              </w:rPr>
            </w:pPr>
            <w:r w:rsidRPr="006C0019">
              <w:t>11</w:t>
            </w:r>
          </w:p>
        </w:tc>
      </w:tr>
      <w:tr w:rsidR="00E46E26" w:rsidRPr="00C24BC0" w14:paraId="49043009" w14:textId="77777777" w:rsidTr="006C1FAC">
        <w:tc>
          <w:tcPr>
            <w:tcW w:w="9412" w:type="dxa"/>
            <w:gridSpan w:val="5"/>
            <w:tcBorders>
              <w:top w:val="single" w:sz="4" w:space="0" w:color="auto"/>
              <w:left w:val="single" w:sz="4" w:space="0" w:color="auto"/>
              <w:bottom w:val="single" w:sz="4" w:space="0" w:color="auto"/>
              <w:right w:val="single" w:sz="4" w:space="0" w:color="auto"/>
            </w:tcBorders>
            <w:vAlign w:val="center"/>
          </w:tcPr>
          <w:p w14:paraId="49B53D79" w14:textId="77777777" w:rsidR="00E46E26" w:rsidRPr="00303F27" w:rsidRDefault="00E46E26" w:rsidP="006C1FAC">
            <w:pPr>
              <w:spacing w:after="0" w:line="240" w:lineRule="auto"/>
              <w:jc w:val="center"/>
              <w:rPr>
                <w:b/>
                <w:lang w:val="en-US"/>
              </w:rPr>
            </w:pPr>
            <w:r w:rsidRPr="00303F27">
              <w:rPr>
                <w:b/>
                <w:lang w:val="en-US"/>
              </w:rPr>
              <w:t>The Middle Techa</w:t>
            </w:r>
          </w:p>
        </w:tc>
      </w:tr>
      <w:tr w:rsidR="00E46E26" w:rsidRPr="00C24BC0" w14:paraId="7744F755" w14:textId="77777777" w:rsidTr="006C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single" w:sz="4" w:space="0" w:color="auto"/>
              <w:left w:val="single" w:sz="4" w:space="0" w:color="auto"/>
              <w:bottom w:val="single" w:sz="4" w:space="0" w:color="auto"/>
              <w:right w:val="single" w:sz="4" w:space="0" w:color="auto"/>
            </w:tcBorders>
            <w:vAlign w:val="center"/>
          </w:tcPr>
          <w:p w14:paraId="40B3A462" w14:textId="77777777" w:rsidR="00E46E26" w:rsidRPr="006C0019" w:rsidRDefault="00E46E26" w:rsidP="006C1FAC">
            <w:pPr>
              <w:spacing w:after="0" w:line="240" w:lineRule="auto"/>
              <w:jc w:val="center"/>
              <w:rPr>
                <w:lang w:val="en-US"/>
              </w:rPr>
            </w:pPr>
            <w:r w:rsidRPr="006C0019">
              <w:rPr>
                <w:lang w:val="en-US"/>
              </w:rPr>
              <w:t>7</w:t>
            </w:r>
          </w:p>
        </w:tc>
        <w:tc>
          <w:tcPr>
            <w:tcW w:w="1021" w:type="dxa"/>
            <w:tcBorders>
              <w:top w:val="single" w:sz="4" w:space="0" w:color="auto"/>
              <w:left w:val="single" w:sz="4" w:space="0" w:color="auto"/>
              <w:bottom w:val="single" w:sz="4" w:space="0" w:color="auto"/>
              <w:right w:val="single" w:sz="4" w:space="0" w:color="auto"/>
            </w:tcBorders>
            <w:vAlign w:val="center"/>
          </w:tcPr>
          <w:p w14:paraId="46B618A5" w14:textId="77777777" w:rsidR="00E46E26" w:rsidRPr="006C0019" w:rsidRDefault="00E46E26" w:rsidP="006C1FAC">
            <w:pPr>
              <w:spacing w:after="0" w:line="240" w:lineRule="auto"/>
              <w:jc w:val="center"/>
              <w:rPr>
                <w:lang w:val="en-US"/>
              </w:rPr>
            </w:pPr>
            <w:r w:rsidRPr="006C0019">
              <w:rPr>
                <w:lang w:val="en-US"/>
              </w:rPr>
              <w:t>75, 78</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2DC5200" w14:textId="77777777" w:rsidR="00E46E26" w:rsidRPr="006C0019" w:rsidRDefault="00E46E26" w:rsidP="006C1FAC">
            <w:pPr>
              <w:spacing w:after="0" w:line="240" w:lineRule="auto"/>
              <w:jc w:val="center"/>
              <w:rPr>
                <w:lang w:val="en-US" w:eastAsia="en-US"/>
              </w:rPr>
            </w:pPr>
            <w:r w:rsidRPr="006C0019">
              <w:rPr>
                <w:lang w:val="en-US"/>
              </w:rPr>
              <w:t>Muslyumovo st., Muslyumovo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429E98" w14:textId="77777777" w:rsidR="00E46E26" w:rsidRPr="006C0019" w:rsidRDefault="00E46E26" w:rsidP="006C1FAC">
            <w:pPr>
              <w:spacing w:after="0" w:line="240" w:lineRule="auto"/>
              <w:jc w:val="center"/>
              <w:rPr>
                <w:lang w:val="en-US" w:eastAsia="en-US"/>
              </w:rPr>
            </w:pPr>
            <w:r w:rsidRPr="006C0019">
              <w:rPr>
                <w:lang w:val="en-US"/>
              </w:rPr>
              <w:t>53/35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BCB09D5" w14:textId="77777777" w:rsidR="00E46E26" w:rsidRPr="006C0019" w:rsidRDefault="00E46E26" w:rsidP="006C1FAC">
            <w:pPr>
              <w:spacing w:after="0" w:line="240" w:lineRule="auto"/>
              <w:jc w:val="center"/>
            </w:pPr>
            <w:r w:rsidRPr="006C0019">
              <w:t>17</w:t>
            </w:r>
          </w:p>
        </w:tc>
      </w:tr>
      <w:tr w:rsidR="00E46E26" w:rsidRPr="00C24BC0" w14:paraId="3DCB0F88" w14:textId="77777777" w:rsidTr="006C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single" w:sz="4" w:space="0" w:color="auto"/>
              <w:left w:val="single" w:sz="4" w:space="0" w:color="auto"/>
              <w:bottom w:val="single" w:sz="4" w:space="0" w:color="auto"/>
              <w:right w:val="single" w:sz="4" w:space="0" w:color="auto"/>
            </w:tcBorders>
            <w:vAlign w:val="center"/>
          </w:tcPr>
          <w:p w14:paraId="2BD1789B" w14:textId="77777777" w:rsidR="00E46E26" w:rsidRPr="006C0019" w:rsidRDefault="00E46E26" w:rsidP="006C1FAC">
            <w:pPr>
              <w:spacing w:after="0" w:line="240" w:lineRule="auto"/>
              <w:jc w:val="center"/>
              <w:rPr>
                <w:lang w:val="en-US"/>
              </w:rPr>
            </w:pPr>
            <w:r w:rsidRPr="006C0019">
              <w:rPr>
                <w:lang w:val="en-US"/>
              </w:rPr>
              <w:t>8</w:t>
            </w:r>
          </w:p>
        </w:tc>
        <w:tc>
          <w:tcPr>
            <w:tcW w:w="1021" w:type="dxa"/>
            <w:tcBorders>
              <w:top w:val="single" w:sz="4" w:space="0" w:color="auto"/>
              <w:left w:val="single" w:sz="4" w:space="0" w:color="auto"/>
              <w:bottom w:val="single" w:sz="4" w:space="0" w:color="auto"/>
              <w:right w:val="single" w:sz="4" w:space="0" w:color="auto"/>
            </w:tcBorders>
            <w:vAlign w:val="center"/>
          </w:tcPr>
          <w:p w14:paraId="1E0CAE8C" w14:textId="77777777" w:rsidR="00E46E26" w:rsidRPr="006C0019" w:rsidRDefault="00E46E26" w:rsidP="006C1FAC">
            <w:pPr>
              <w:spacing w:after="0" w:line="240" w:lineRule="auto"/>
              <w:jc w:val="center"/>
              <w:rPr>
                <w:lang w:val="en-US"/>
              </w:rPr>
            </w:pPr>
            <w:r w:rsidRPr="006C0019">
              <w:rPr>
                <w:lang w:val="en-US"/>
              </w:rPr>
              <w:t>88</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90FB56" w14:textId="77777777" w:rsidR="00E46E26" w:rsidRPr="006C0019" w:rsidRDefault="00E46E26" w:rsidP="006C1FAC">
            <w:pPr>
              <w:spacing w:after="0" w:line="240" w:lineRule="auto"/>
              <w:jc w:val="center"/>
              <w:rPr>
                <w:lang w:val="en-US" w:eastAsia="en-US"/>
              </w:rPr>
            </w:pPr>
            <w:r w:rsidRPr="006C0019">
              <w:rPr>
                <w:lang w:val="en-US"/>
              </w:rPr>
              <w:t>Kurmanovo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070136" w14:textId="77777777" w:rsidR="00E46E26" w:rsidRPr="006C0019" w:rsidRDefault="00E46E26" w:rsidP="006C1FAC">
            <w:pPr>
              <w:spacing w:after="0" w:line="240" w:lineRule="auto"/>
              <w:jc w:val="center"/>
              <w:rPr>
                <w:lang w:val="en-US" w:eastAsia="en-US"/>
              </w:rPr>
            </w:pPr>
            <w:r w:rsidRPr="006C0019">
              <w:rPr>
                <w:lang w:val="en-US"/>
              </w:rPr>
              <w:t>26/24</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7C64ED4" w14:textId="77777777" w:rsidR="00E46E26" w:rsidRPr="006C0019" w:rsidRDefault="00E46E26" w:rsidP="006C1FAC">
            <w:pPr>
              <w:spacing w:after="0" w:line="240" w:lineRule="auto"/>
              <w:jc w:val="center"/>
              <w:rPr>
                <w:lang w:eastAsia="en-US"/>
              </w:rPr>
            </w:pPr>
            <w:r w:rsidRPr="006C0019">
              <w:t>13</w:t>
            </w:r>
          </w:p>
        </w:tc>
      </w:tr>
      <w:tr w:rsidR="00E46E26" w:rsidRPr="00C24BC0" w14:paraId="0144BCE7" w14:textId="77777777" w:rsidTr="006C1FAC">
        <w:tc>
          <w:tcPr>
            <w:tcW w:w="9412" w:type="dxa"/>
            <w:gridSpan w:val="5"/>
            <w:tcBorders>
              <w:top w:val="single" w:sz="4" w:space="0" w:color="auto"/>
              <w:left w:val="single" w:sz="4" w:space="0" w:color="auto"/>
              <w:bottom w:val="single" w:sz="4" w:space="0" w:color="auto"/>
              <w:right w:val="single" w:sz="4" w:space="0" w:color="auto"/>
            </w:tcBorders>
            <w:vAlign w:val="center"/>
          </w:tcPr>
          <w:p w14:paraId="321F9931" w14:textId="77777777" w:rsidR="00E46E26" w:rsidRPr="00303F27" w:rsidRDefault="00E46E26" w:rsidP="006C1FAC">
            <w:pPr>
              <w:spacing w:after="0" w:line="240" w:lineRule="auto"/>
              <w:jc w:val="center"/>
              <w:rPr>
                <w:b/>
                <w:lang w:val="en-US"/>
              </w:rPr>
            </w:pPr>
            <w:r w:rsidRPr="00303F27">
              <w:rPr>
                <w:b/>
                <w:lang w:val="en-US"/>
              </w:rPr>
              <w:t xml:space="preserve">The </w:t>
            </w:r>
            <w:r>
              <w:rPr>
                <w:b/>
                <w:lang w:val="en-US"/>
              </w:rPr>
              <w:t>Lower</w:t>
            </w:r>
            <w:r w:rsidRPr="00303F27">
              <w:rPr>
                <w:b/>
                <w:lang w:val="en-US"/>
              </w:rPr>
              <w:t xml:space="preserve"> Techa</w:t>
            </w:r>
          </w:p>
        </w:tc>
      </w:tr>
      <w:tr w:rsidR="00E46E26" w:rsidRPr="00C24BC0" w14:paraId="08360949" w14:textId="77777777" w:rsidTr="006C1F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single" w:sz="4" w:space="0" w:color="auto"/>
              <w:left w:val="single" w:sz="4" w:space="0" w:color="auto"/>
              <w:bottom w:val="single" w:sz="4" w:space="0" w:color="auto"/>
              <w:right w:val="single" w:sz="4" w:space="0" w:color="auto"/>
            </w:tcBorders>
            <w:vAlign w:val="center"/>
          </w:tcPr>
          <w:p w14:paraId="450FA410" w14:textId="77777777" w:rsidR="00E46E26" w:rsidRPr="006C0019" w:rsidRDefault="00E46E26" w:rsidP="006C1FAC">
            <w:pPr>
              <w:spacing w:after="0" w:line="240" w:lineRule="auto"/>
              <w:jc w:val="center"/>
              <w:rPr>
                <w:lang w:val="en-US"/>
              </w:rPr>
            </w:pPr>
            <w:r w:rsidRPr="006C0019">
              <w:rPr>
                <w:lang w:val="en-US"/>
              </w:rPr>
              <w:t>9</w:t>
            </w:r>
          </w:p>
        </w:tc>
        <w:tc>
          <w:tcPr>
            <w:tcW w:w="1021" w:type="dxa"/>
            <w:tcBorders>
              <w:top w:val="single" w:sz="4" w:space="0" w:color="auto"/>
              <w:left w:val="single" w:sz="4" w:space="0" w:color="auto"/>
              <w:bottom w:val="single" w:sz="4" w:space="0" w:color="auto"/>
              <w:right w:val="single" w:sz="4" w:space="0" w:color="auto"/>
            </w:tcBorders>
          </w:tcPr>
          <w:p w14:paraId="0415D1DC" w14:textId="77777777" w:rsidR="00E46E26" w:rsidRPr="006C0019" w:rsidRDefault="00E46E26" w:rsidP="006C1FAC">
            <w:pPr>
              <w:spacing w:after="0" w:line="240" w:lineRule="auto"/>
              <w:jc w:val="center"/>
              <w:rPr>
                <w:lang w:val="en-US"/>
              </w:rPr>
            </w:pPr>
            <w:r w:rsidRPr="006C0019">
              <w:rPr>
                <w:lang w:val="en-US"/>
              </w:rPr>
              <w:t>105 - 237</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208DE8" w14:textId="77777777" w:rsidR="00E46E26" w:rsidRPr="006C0019" w:rsidRDefault="00E46E26" w:rsidP="006C1FAC">
            <w:pPr>
              <w:spacing w:after="0" w:line="240" w:lineRule="auto"/>
              <w:jc w:val="center"/>
              <w:rPr>
                <w:lang w:val="en-US" w:eastAsia="en-US"/>
              </w:rPr>
            </w:pPr>
            <w:r w:rsidRPr="006C0019">
              <w:rPr>
                <w:lang w:val="en-US"/>
              </w:rPr>
              <w:t>Zamanikha, Brodokalmak, Osolodka, Cherepanovo, Russkaya Techa, Baklanovo, Nizhnepetropavlovskoye, Beloyarka-2, Lobanovo, Verkhnyaya Techa, Bugaevo, Dubasovo, Pershinskoye, Klyuchevskoye, Zatechenskoye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F0E4D4" w14:textId="77777777" w:rsidR="00E46E26" w:rsidRPr="006C0019" w:rsidRDefault="00E46E26" w:rsidP="006C1FAC">
            <w:pPr>
              <w:spacing w:after="0" w:line="240" w:lineRule="auto"/>
              <w:jc w:val="center"/>
              <w:rPr>
                <w:lang w:val="en-US" w:eastAsia="en-US"/>
              </w:rPr>
            </w:pPr>
            <w:r w:rsidRPr="006C0019">
              <w:rPr>
                <w:lang w:val="en-US" w:eastAsia="en-US"/>
              </w:rPr>
              <w:t>4</w:t>
            </w:r>
            <w:r w:rsidRPr="006C0019">
              <w:rPr>
                <w:lang w:eastAsia="en-US"/>
              </w:rPr>
              <w:t>2</w:t>
            </w:r>
            <w:r w:rsidRPr="006C0019">
              <w:rPr>
                <w:lang w:val="en-US" w:eastAsia="en-US"/>
              </w:rPr>
              <w:t>/35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7879A44" w14:textId="77777777" w:rsidR="00E46E26" w:rsidRPr="006C0019" w:rsidRDefault="00E46E26" w:rsidP="006C1FAC">
            <w:pPr>
              <w:spacing w:after="0" w:line="240" w:lineRule="auto"/>
              <w:jc w:val="center"/>
              <w:rPr>
                <w:lang w:eastAsia="en-US"/>
              </w:rPr>
            </w:pPr>
            <w:r w:rsidRPr="006C0019">
              <w:t>7</w:t>
            </w:r>
          </w:p>
        </w:tc>
      </w:tr>
      <w:tr w:rsidR="00E46E26" w:rsidRPr="00C24BC0" w14:paraId="52B26DE8" w14:textId="77777777" w:rsidTr="006C1FAC">
        <w:tc>
          <w:tcPr>
            <w:tcW w:w="6516" w:type="dxa"/>
            <w:gridSpan w:val="3"/>
            <w:tcBorders>
              <w:top w:val="single" w:sz="4" w:space="0" w:color="auto"/>
              <w:left w:val="single" w:sz="4" w:space="0" w:color="auto"/>
              <w:bottom w:val="single" w:sz="4" w:space="0" w:color="auto"/>
              <w:right w:val="single" w:sz="4" w:space="0" w:color="auto"/>
            </w:tcBorders>
            <w:vAlign w:val="center"/>
          </w:tcPr>
          <w:p w14:paraId="1C0EDC2F" w14:textId="77777777" w:rsidR="00E46E26" w:rsidRPr="006C0019" w:rsidRDefault="00E46E26" w:rsidP="006C1FAC">
            <w:pPr>
              <w:spacing w:after="0" w:line="240" w:lineRule="auto"/>
              <w:jc w:val="center"/>
              <w:rPr>
                <w:lang w:val="en-US"/>
              </w:rPr>
            </w:pPr>
            <w:r>
              <w:rPr>
                <w:lang w:val="en-US"/>
              </w:rPr>
              <w:t>Total</w:t>
            </w:r>
          </w:p>
        </w:tc>
        <w:tc>
          <w:tcPr>
            <w:tcW w:w="1276" w:type="dxa"/>
            <w:tcBorders>
              <w:top w:val="single" w:sz="4" w:space="0" w:color="auto"/>
              <w:left w:val="single" w:sz="4" w:space="0" w:color="auto"/>
              <w:bottom w:val="single" w:sz="4" w:space="0" w:color="auto"/>
              <w:right w:val="single" w:sz="4" w:space="0" w:color="auto"/>
            </w:tcBorders>
            <w:vAlign w:val="center"/>
          </w:tcPr>
          <w:p w14:paraId="0121C66D" w14:textId="77777777" w:rsidR="00E46E26" w:rsidRPr="006C0019" w:rsidRDefault="00E46E26" w:rsidP="006C1FAC">
            <w:pPr>
              <w:spacing w:after="0" w:line="240" w:lineRule="auto"/>
              <w:jc w:val="center"/>
              <w:rPr>
                <w:lang w:val="en-US"/>
              </w:rPr>
            </w:pPr>
            <w:r w:rsidRPr="006C0019">
              <w:rPr>
                <w:lang w:val="en-US"/>
              </w:rPr>
              <w:t>30</w:t>
            </w:r>
            <w:r w:rsidRPr="006C0019">
              <w:t>2</w:t>
            </w:r>
            <w:r w:rsidRPr="006C0019">
              <w:rPr>
                <w:lang w:val="en-US"/>
              </w:rPr>
              <w:t>/173</w:t>
            </w:r>
          </w:p>
        </w:tc>
        <w:tc>
          <w:tcPr>
            <w:tcW w:w="1620" w:type="dxa"/>
            <w:tcBorders>
              <w:top w:val="single" w:sz="4" w:space="0" w:color="auto"/>
              <w:left w:val="single" w:sz="4" w:space="0" w:color="auto"/>
              <w:bottom w:val="single" w:sz="4" w:space="0" w:color="auto"/>
              <w:right w:val="single" w:sz="4" w:space="0" w:color="auto"/>
            </w:tcBorders>
            <w:vAlign w:val="center"/>
          </w:tcPr>
          <w:p w14:paraId="07C604CA" w14:textId="77777777" w:rsidR="00E46E26" w:rsidRPr="006C0019" w:rsidRDefault="00E46E26" w:rsidP="006C1FAC">
            <w:pPr>
              <w:spacing w:after="0" w:line="240" w:lineRule="auto"/>
              <w:jc w:val="center"/>
            </w:pPr>
            <w:r w:rsidRPr="006C0019">
              <w:t>118</w:t>
            </w:r>
          </w:p>
        </w:tc>
      </w:tr>
    </w:tbl>
    <w:p w14:paraId="222F4F49" w14:textId="77777777" w:rsidR="00E46E26" w:rsidRPr="00303F27" w:rsidRDefault="00E46E26" w:rsidP="00E46E26">
      <w:pPr>
        <w:spacing w:after="0" w:line="240" w:lineRule="auto"/>
        <w:rPr>
          <w:rFonts w:ascii="Times New Roman" w:hAnsi="Times New Roman" w:cs="Times New Roman"/>
          <w:sz w:val="20"/>
          <w:szCs w:val="20"/>
          <w:vertAlign w:val="superscript"/>
          <w:lang w:val="en-US"/>
        </w:rPr>
      </w:pPr>
      <w:r>
        <w:rPr>
          <w:rFonts w:ascii="Times New Roman" w:hAnsi="Times New Roman" w:cs="Times New Roman"/>
          <w:sz w:val="20"/>
          <w:szCs w:val="20"/>
          <w:lang w:val="en-US"/>
        </w:rPr>
        <w:t>*</w:t>
      </w:r>
      <w:r>
        <w:rPr>
          <w:rFonts w:ascii="Times New Roman" w:hAnsi="Times New Roman" w:cs="Times New Roman"/>
          <w:sz w:val="20"/>
          <w:szCs w:val="20"/>
          <w:vertAlign w:val="superscript"/>
          <w:lang w:val="en-US"/>
        </w:rPr>
        <w:t xml:space="preserve">  </w:t>
      </w:r>
      <w:r w:rsidRPr="00303F27">
        <w:rPr>
          <w:rFonts w:ascii="Times New Roman" w:hAnsi="Times New Roman" w:cs="Times New Roman"/>
          <w:sz w:val="20"/>
          <w:szCs w:val="20"/>
          <w:lang w:val="en-US"/>
        </w:rPr>
        <w:t>- located at stagnant reservoir</w:t>
      </w:r>
      <w:r w:rsidRPr="00303F27">
        <w:rPr>
          <w:rFonts w:ascii="Times New Roman" w:hAnsi="Times New Roman" w:cs="Times New Roman"/>
          <w:sz w:val="20"/>
          <w:szCs w:val="20"/>
          <w:vertAlign w:val="superscript"/>
          <w:lang w:val="en-US"/>
        </w:rPr>
        <w:t xml:space="preserve"> </w:t>
      </w:r>
    </w:p>
    <w:p w14:paraId="0C017831" w14:textId="77777777" w:rsidR="00E46E26" w:rsidRPr="008A3C33" w:rsidRDefault="00E46E26" w:rsidP="00E46E26">
      <w:pPr>
        <w:spacing w:after="160" w:line="259" w:lineRule="auto"/>
        <w:rPr>
          <w:lang w:val="en-US"/>
        </w:rPr>
      </w:pPr>
      <w:r w:rsidRPr="008A3C33">
        <w:rPr>
          <w:lang w:val="en-US"/>
        </w:rPr>
        <w:br w:type="page"/>
      </w:r>
    </w:p>
    <w:p w14:paraId="2F6CAD05" w14:textId="77777777" w:rsidR="00E46E26" w:rsidRPr="00DD14DE" w:rsidRDefault="00E46E26" w:rsidP="00E46E26">
      <w:pPr>
        <w:spacing w:after="120" w:line="240" w:lineRule="auto"/>
        <w:rPr>
          <w:rFonts w:ascii="Times New Roman" w:hAnsi="Times New Roman" w:cs="Times New Roman"/>
          <w:sz w:val="24"/>
          <w:szCs w:val="24"/>
          <w:lang w:val="en-US"/>
        </w:rPr>
      </w:pPr>
      <w:r w:rsidRPr="005234B2">
        <w:rPr>
          <w:rFonts w:ascii="Times New Roman" w:hAnsi="Times New Roman" w:cs="Times New Roman"/>
          <w:b/>
          <w:sz w:val="24"/>
          <w:szCs w:val="24"/>
          <w:lang w:val="en-US"/>
        </w:rPr>
        <w:t>Table 2</w:t>
      </w:r>
      <w:r>
        <w:rPr>
          <w:rFonts w:ascii="Times New Roman" w:hAnsi="Times New Roman" w:cs="Times New Roman"/>
          <w:sz w:val="24"/>
          <w:szCs w:val="24"/>
          <w:lang w:val="en-US"/>
        </w:rPr>
        <w:t xml:space="preserve"> </w:t>
      </w:r>
      <w:r w:rsidRPr="00DD14DE">
        <w:rPr>
          <w:rFonts w:ascii="Times New Roman" w:hAnsi="Times New Roman" w:cs="Times New Roman"/>
          <w:sz w:val="24"/>
          <w:szCs w:val="24"/>
          <w:lang w:val="en-US"/>
        </w:rPr>
        <w:t xml:space="preserve"> Summary of methods for sample preparation, EPR measurements, signal evaluation and calibration used </w:t>
      </w:r>
      <w:r>
        <w:rPr>
          <w:rFonts w:ascii="Times New Roman" w:hAnsi="Times New Roman" w:cs="Times New Roman"/>
          <w:sz w:val="24"/>
          <w:szCs w:val="24"/>
          <w:lang w:val="en-US"/>
        </w:rPr>
        <w:t>by the</w:t>
      </w:r>
      <w:r w:rsidRPr="00DD14DE">
        <w:rPr>
          <w:rFonts w:ascii="Times New Roman" w:hAnsi="Times New Roman" w:cs="Times New Roman"/>
          <w:sz w:val="24"/>
          <w:szCs w:val="24"/>
          <w:lang w:val="en-US"/>
        </w:rPr>
        <w:t xml:space="preserve"> different research groups</w:t>
      </w:r>
      <w:r>
        <w:rPr>
          <w:rFonts w:ascii="Times New Roman" w:hAnsi="Times New Roman" w:cs="Times New Roman"/>
          <w:sz w:val="24"/>
          <w:szCs w:val="24"/>
          <w:lang w:val="en-US"/>
        </w:rPr>
        <w:t xml:space="preserve"> involved in the present study</w:t>
      </w:r>
    </w:p>
    <w:tbl>
      <w:tblPr>
        <w:tblStyle w:val="Tabellenraster"/>
        <w:tblW w:w="5000" w:type="pct"/>
        <w:tblLook w:val="01E0" w:firstRow="1" w:lastRow="1" w:firstColumn="1" w:lastColumn="1" w:noHBand="0" w:noVBand="0"/>
      </w:tblPr>
      <w:tblGrid>
        <w:gridCol w:w="1982"/>
        <w:gridCol w:w="1205"/>
        <w:gridCol w:w="1993"/>
        <w:gridCol w:w="1899"/>
        <w:gridCol w:w="2492"/>
      </w:tblGrid>
      <w:tr w:rsidR="00E46E26" w:rsidRPr="00DD14DE" w14:paraId="6C17F85A" w14:textId="77777777" w:rsidTr="006C1FAC">
        <w:tc>
          <w:tcPr>
            <w:tcW w:w="1035" w:type="pct"/>
          </w:tcPr>
          <w:p w14:paraId="77365BA6" w14:textId="77777777" w:rsidR="00E46E26" w:rsidRPr="00DD14DE" w:rsidRDefault="00E46E26" w:rsidP="006C1FAC">
            <w:pPr>
              <w:spacing w:after="0" w:line="240" w:lineRule="auto"/>
              <w:rPr>
                <w:lang w:val="en-US"/>
              </w:rPr>
            </w:pPr>
            <w:r w:rsidRPr="00DD14DE">
              <w:rPr>
                <w:lang w:val="en-US"/>
              </w:rPr>
              <w:t>Laboratory/references</w:t>
            </w:r>
          </w:p>
        </w:tc>
        <w:tc>
          <w:tcPr>
            <w:tcW w:w="630" w:type="pct"/>
          </w:tcPr>
          <w:p w14:paraId="7B66F067" w14:textId="77777777" w:rsidR="00E46E26" w:rsidRPr="00DD14DE" w:rsidRDefault="00E46E26" w:rsidP="006C1FAC">
            <w:pPr>
              <w:spacing w:after="0" w:line="240" w:lineRule="auto"/>
              <w:rPr>
                <w:lang w:val="en-US"/>
              </w:rPr>
            </w:pPr>
            <w:r w:rsidRPr="00DD14DE">
              <w:rPr>
                <w:lang w:val="en-US"/>
              </w:rPr>
              <w:t>Sample preparation</w:t>
            </w:r>
          </w:p>
        </w:tc>
        <w:tc>
          <w:tcPr>
            <w:tcW w:w="1041" w:type="pct"/>
          </w:tcPr>
          <w:p w14:paraId="37219E6C" w14:textId="77777777" w:rsidR="00E46E26" w:rsidRPr="00DD14DE" w:rsidRDefault="00E46E26" w:rsidP="006C1FAC">
            <w:pPr>
              <w:spacing w:after="0" w:line="240" w:lineRule="auto"/>
              <w:rPr>
                <w:lang w:val="en-US"/>
              </w:rPr>
            </w:pPr>
            <w:r w:rsidRPr="00DD14DE">
              <w:rPr>
                <w:lang w:val="en-US"/>
              </w:rPr>
              <w:t>Spectrum record</w:t>
            </w:r>
          </w:p>
        </w:tc>
        <w:tc>
          <w:tcPr>
            <w:tcW w:w="992" w:type="pct"/>
          </w:tcPr>
          <w:p w14:paraId="1FC76A94" w14:textId="77777777" w:rsidR="00E46E26" w:rsidRPr="00DD14DE" w:rsidRDefault="00E46E26" w:rsidP="006C1FAC">
            <w:pPr>
              <w:spacing w:after="0" w:line="240" w:lineRule="auto"/>
              <w:rPr>
                <w:lang w:val="en-US"/>
              </w:rPr>
            </w:pPr>
            <w:r w:rsidRPr="00DD14DE">
              <w:rPr>
                <w:lang w:val="en-US"/>
              </w:rPr>
              <w:t>Processing of radiation signal (RS)</w:t>
            </w:r>
          </w:p>
        </w:tc>
        <w:tc>
          <w:tcPr>
            <w:tcW w:w="1302" w:type="pct"/>
          </w:tcPr>
          <w:p w14:paraId="40508556" w14:textId="77777777" w:rsidR="00E46E26" w:rsidRPr="00DD14DE" w:rsidRDefault="00E46E26" w:rsidP="006C1FAC">
            <w:pPr>
              <w:spacing w:after="0" w:line="240" w:lineRule="auto"/>
              <w:rPr>
                <w:lang w:val="en-US"/>
              </w:rPr>
            </w:pPr>
            <w:r w:rsidRPr="00DD14DE">
              <w:rPr>
                <w:lang w:val="en-US"/>
              </w:rPr>
              <w:t>Calibration</w:t>
            </w:r>
          </w:p>
        </w:tc>
      </w:tr>
      <w:tr w:rsidR="00E46E26" w:rsidRPr="00E46E26" w14:paraId="3D9B5773" w14:textId="77777777" w:rsidTr="006C1FAC">
        <w:tc>
          <w:tcPr>
            <w:tcW w:w="1035" w:type="pct"/>
          </w:tcPr>
          <w:p w14:paraId="6E9F72CD" w14:textId="77777777" w:rsidR="00E46E26" w:rsidRPr="00DD14DE" w:rsidRDefault="00E46E26" w:rsidP="006C1FAC">
            <w:pPr>
              <w:spacing w:after="0" w:line="240" w:lineRule="auto"/>
              <w:rPr>
                <w:lang w:val="en-US"/>
              </w:rPr>
            </w:pPr>
            <w:r w:rsidRPr="00DD14DE">
              <w:rPr>
                <w:lang w:val="en-US"/>
              </w:rPr>
              <w:t>IMP</w:t>
            </w:r>
          </w:p>
          <w:p w14:paraId="76042811" w14:textId="77777777" w:rsidR="00E46E26" w:rsidRPr="00DD14DE" w:rsidRDefault="00E46E26" w:rsidP="006C1FAC">
            <w:pPr>
              <w:spacing w:after="0" w:line="240" w:lineRule="auto"/>
              <w:rPr>
                <w:lang w:val="en-US"/>
              </w:rPr>
            </w:pPr>
            <w:r w:rsidRPr="00DD14DE">
              <w:rPr>
                <w:lang w:val="en-US"/>
              </w:rPr>
              <w:t>Romanyukha et al. (1996)</w:t>
            </w:r>
          </w:p>
          <w:p w14:paraId="18820F49" w14:textId="77777777" w:rsidR="00E46E26" w:rsidRPr="00DD14DE" w:rsidRDefault="00E46E26" w:rsidP="006C1FAC">
            <w:pPr>
              <w:spacing w:after="0" w:line="240" w:lineRule="auto"/>
              <w:rPr>
                <w:lang w:val="en-US"/>
              </w:rPr>
            </w:pPr>
            <w:r w:rsidRPr="00DD14DE">
              <w:rPr>
                <w:lang w:val="en-US"/>
              </w:rPr>
              <w:t>Zdravkova et al. (2003)</w:t>
            </w:r>
          </w:p>
          <w:p w14:paraId="509127C7" w14:textId="77777777" w:rsidR="00E46E26" w:rsidRPr="00DD14DE" w:rsidRDefault="00E46E26" w:rsidP="006C1FAC">
            <w:pPr>
              <w:spacing w:after="0" w:line="240" w:lineRule="auto"/>
              <w:rPr>
                <w:lang w:val="en-US"/>
              </w:rPr>
            </w:pPr>
            <w:r w:rsidRPr="00DD14DE">
              <w:rPr>
                <w:lang w:val="en-US"/>
              </w:rPr>
              <w:t>Ivanov (2005)</w:t>
            </w:r>
          </w:p>
          <w:p w14:paraId="6BAFE956" w14:textId="77777777" w:rsidR="00E46E26" w:rsidRPr="00DD14DE" w:rsidRDefault="00E46E26" w:rsidP="006C1FAC">
            <w:pPr>
              <w:spacing w:after="0" w:line="240" w:lineRule="auto"/>
              <w:rPr>
                <w:lang w:val="en-US"/>
              </w:rPr>
            </w:pPr>
            <w:r w:rsidRPr="00DD14DE">
              <w:rPr>
                <w:lang w:val="en-US"/>
              </w:rPr>
              <w:t>Shishkina et al. (2003)*</w:t>
            </w:r>
          </w:p>
        </w:tc>
        <w:tc>
          <w:tcPr>
            <w:tcW w:w="630" w:type="pct"/>
          </w:tcPr>
          <w:p w14:paraId="56978599" w14:textId="77777777" w:rsidR="00E46E26" w:rsidRPr="00DD14DE" w:rsidRDefault="00E46E26" w:rsidP="006C1FAC">
            <w:pPr>
              <w:spacing w:after="0" w:line="240" w:lineRule="auto"/>
              <w:rPr>
                <w:lang w:val="en-US"/>
              </w:rPr>
            </w:pPr>
            <w:r w:rsidRPr="00DD14DE">
              <w:rPr>
                <w:lang w:val="en-US"/>
              </w:rPr>
              <w:t>Chemical, etching,</w:t>
            </w:r>
          </w:p>
          <w:p w14:paraId="0DED1414" w14:textId="77777777" w:rsidR="00E46E26" w:rsidRPr="00DD14DE" w:rsidRDefault="00E46E26" w:rsidP="006C1FAC">
            <w:pPr>
              <w:spacing w:after="0" w:line="240" w:lineRule="auto"/>
              <w:rPr>
                <w:lang w:val="en-US"/>
              </w:rPr>
            </w:pPr>
            <w:r w:rsidRPr="00DD14DE">
              <w:rPr>
                <w:lang w:val="en-US"/>
              </w:rPr>
              <w:t>grains 0.1-0.6 mm</w:t>
            </w:r>
            <w:r>
              <w:rPr>
                <w:lang w:val="en-US"/>
              </w:rPr>
              <w:t>.</w:t>
            </w:r>
          </w:p>
          <w:p w14:paraId="5B280068" w14:textId="77777777" w:rsidR="00E46E26" w:rsidRPr="00DD14DE" w:rsidRDefault="00E46E26" w:rsidP="006C1FAC">
            <w:pPr>
              <w:spacing w:after="0" w:line="240" w:lineRule="auto"/>
              <w:rPr>
                <w:lang w:val="en-US"/>
              </w:rPr>
            </w:pPr>
            <w:r w:rsidRPr="00DD14DE">
              <w:rPr>
                <w:lang w:val="en-US"/>
              </w:rPr>
              <w:t>In 1992-1998 and</w:t>
            </w:r>
          </w:p>
          <w:p w14:paraId="28A47804" w14:textId="77777777" w:rsidR="00E46E26" w:rsidRPr="00DD14DE" w:rsidRDefault="00E46E26" w:rsidP="006C1FAC">
            <w:pPr>
              <w:spacing w:after="0" w:line="240" w:lineRule="auto"/>
              <w:rPr>
                <w:lang w:val="en-US"/>
              </w:rPr>
            </w:pPr>
            <w:r w:rsidRPr="00DD14DE">
              <w:rPr>
                <w:lang w:val="en-US"/>
              </w:rPr>
              <w:t>2002-2008: 20% NaOH</w:t>
            </w:r>
            <w:r>
              <w:rPr>
                <w:lang w:val="en-US"/>
              </w:rPr>
              <w:t>.</w:t>
            </w:r>
          </w:p>
          <w:p w14:paraId="489CE9F3" w14:textId="77777777" w:rsidR="00E46E26" w:rsidRPr="00DD14DE" w:rsidRDefault="00E46E26" w:rsidP="006C1FAC">
            <w:pPr>
              <w:spacing w:after="0" w:line="240" w:lineRule="auto"/>
              <w:rPr>
                <w:lang w:val="en-US"/>
              </w:rPr>
            </w:pPr>
            <w:r w:rsidRPr="00DD14DE">
              <w:rPr>
                <w:lang w:val="en-US"/>
              </w:rPr>
              <w:t>In 1999-2001: 28% KOH</w:t>
            </w:r>
            <w:r>
              <w:rPr>
                <w:lang w:val="en-US"/>
              </w:rPr>
              <w:t>.</w:t>
            </w:r>
          </w:p>
        </w:tc>
        <w:tc>
          <w:tcPr>
            <w:tcW w:w="1041" w:type="pct"/>
          </w:tcPr>
          <w:p w14:paraId="46C7E778" w14:textId="77777777" w:rsidR="00E46E26" w:rsidRPr="00DD14DE" w:rsidRDefault="00E46E26" w:rsidP="006C1FAC">
            <w:pPr>
              <w:spacing w:after="0" w:line="240" w:lineRule="auto"/>
              <w:rPr>
                <w:lang w:val="en-US"/>
              </w:rPr>
            </w:pPr>
            <w:r w:rsidRPr="00DD14DE">
              <w:rPr>
                <w:lang w:val="en-US"/>
              </w:rPr>
              <w:t>ERS231, microwave cavity ZSX18,</w:t>
            </w:r>
          </w:p>
          <w:p w14:paraId="7E07B869" w14:textId="77777777" w:rsidR="00E46E26" w:rsidRDefault="00E46E26" w:rsidP="006C1FAC">
            <w:pPr>
              <w:spacing w:after="0" w:line="240" w:lineRule="auto"/>
              <w:rPr>
                <w:lang w:val="en-US"/>
              </w:rPr>
            </w:pPr>
            <w:r w:rsidRPr="00DD14DE">
              <w:rPr>
                <w:lang w:val="en-US"/>
              </w:rPr>
              <w:t xml:space="preserve">microwave power: 13 mW, </w:t>
            </w:r>
          </w:p>
          <w:p w14:paraId="093AA1D6" w14:textId="77777777" w:rsidR="00E46E26" w:rsidRPr="00DD14DE" w:rsidRDefault="00E46E26" w:rsidP="006C1FAC">
            <w:pPr>
              <w:spacing w:after="0" w:line="240" w:lineRule="auto"/>
              <w:rPr>
                <w:lang w:val="en-US"/>
              </w:rPr>
            </w:pPr>
            <w:r w:rsidRPr="00DD14DE">
              <w:rPr>
                <w:lang w:val="en-US"/>
              </w:rPr>
              <w:t>magnetic</w:t>
            </w:r>
            <w:r>
              <w:rPr>
                <w:lang w:val="en-US"/>
              </w:rPr>
              <w:t xml:space="preserve"> </w:t>
            </w:r>
            <w:r w:rsidRPr="00DD14DE">
              <w:rPr>
                <w:lang w:val="en-US"/>
              </w:rPr>
              <w:t>field modulation amplitude: 0.45 mT;</w:t>
            </w:r>
          </w:p>
          <w:p w14:paraId="295F54CD" w14:textId="77777777" w:rsidR="00E46E26" w:rsidRPr="00DD14DE" w:rsidRDefault="00E46E26" w:rsidP="006C1FAC">
            <w:pPr>
              <w:spacing w:after="0" w:line="240" w:lineRule="auto"/>
              <w:rPr>
                <w:lang w:val="en-US"/>
              </w:rPr>
            </w:pPr>
            <w:r w:rsidRPr="00DD14DE">
              <w:rPr>
                <w:lang w:val="en-US"/>
              </w:rPr>
              <w:t>no reference signal</w:t>
            </w:r>
          </w:p>
        </w:tc>
        <w:tc>
          <w:tcPr>
            <w:tcW w:w="992" w:type="pct"/>
          </w:tcPr>
          <w:p w14:paraId="49450FF1" w14:textId="77777777" w:rsidR="00E46E26" w:rsidRPr="00DD14DE" w:rsidRDefault="00E46E26" w:rsidP="006C1FAC">
            <w:pPr>
              <w:spacing w:after="0" w:line="240" w:lineRule="auto"/>
              <w:rPr>
                <w:lang w:val="en-GB"/>
              </w:rPr>
            </w:pPr>
            <w:r w:rsidRPr="00DD14DE">
              <w:rPr>
                <w:lang w:val="en-GB"/>
              </w:rPr>
              <w:t xml:space="preserve">Powder spectrum simulation of RS </w:t>
            </w:r>
          </w:p>
          <w:p w14:paraId="798177B9" w14:textId="77777777" w:rsidR="00E46E26" w:rsidRPr="00DD14DE" w:rsidRDefault="00E46E26" w:rsidP="006C1FAC">
            <w:pPr>
              <w:spacing w:after="0" w:line="240" w:lineRule="auto"/>
              <w:rPr>
                <w:lang w:val="en-GB"/>
              </w:rPr>
            </w:pPr>
          </w:p>
        </w:tc>
        <w:tc>
          <w:tcPr>
            <w:tcW w:w="1302" w:type="pct"/>
          </w:tcPr>
          <w:p w14:paraId="76DAF8FA" w14:textId="77777777" w:rsidR="00E46E26" w:rsidRPr="00DD14DE" w:rsidRDefault="00E46E26" w:rsidP="006C1FAC">
            <w:pPr>
              <w:spacing w:after="0" w:line="240" w:lineRule="auto"/>
              <w:rPr>
                <w:lang w:val="en-US"/>
              </w:rPr>
            </w:pPr>
            <w:r w:rsidRPr="00DD14DE">
              <w:rPr>
                <w:lang w:val="en-US"/>
              </w:rPr>
              <w:t>In 1992-2002: Calibration</w:t>
            </w:r>
          </w:p>
          <w:p w14:paraId="498E89ED" w14:textId="77777777" w:rsidR="00E46E26" w:rsidRPr="00DD14DE" w:rsidRDefault="00E46E26" w:rsidP="006C1FAC">
            <w:pPr>
              <w:spacing w:after="0" w:line="240" w:lineRule="auto"/>
              <w:rPr>
                <w:lang w:val="en-US"/>
              </w:rPr>
            </w:pPr>
            <w:r w:rsidRPr="00DD14DE">
              <w:rPr>
                <w:lang w:val="en-US"/>
              </w:rPr>
              <w:t>curve, additional exposure</w:t>
            </w:r>
          </w:p>
          <w:p w14:paraId="7C4E33B8" w14:textId="77777777" w:rsidR="00E46E26" w:rsidRPr="00DD14DE" w:rsidRDefault="00E46E26" w:rsidP="006C1FAC">
            <w:pPr>
              <w:spacing w:after="0" w:line="240" w:lineRule="auto"/>
              <w:rPr>
                <w:lang w:val="en-US"/>
              </w:rPr>
            </w:pPr>
            <w:r w:rsidRPr="00DD14DE">
              <w:rPr>
                <w:lang w:val="en-US"/>
              </w:rPr>
              <w:t>of 5 permanent teeth from</w:t>
            </w:r>
          </w:p>
          <w:p w14:paraId="5F2305E4" w14:textId="77777777" w:rsidR="00E46E26" w:rsidRPr="00DD14DE" w:rsidRDefault="00E46E26" w:rsidP="006C1FAC">
            <w:pPr>
              <w:spacing w:after="0" w:line="240" w:lineRule="auto"/>
              <w:rPr>
                <w:lang w:val="en-US"/>
              </w:rPr>
            </w:pPr>
            <w:r w:rsidRPr="00DD14DE">
              <w:rPr>
                <w:lang w:val="en-US"/>
              </w:rPr>
              <w:t>Urals rural donors</w:t>
            </w:r>
          </w:p>
          <w:p w14:paraId="5DA5D2F8" w14:textId="77777777" w:rsidR="00E46E26" w:rsidRPr="00DD14DE" w:rsidRDefault="00E46E26" w:rsidP="006C1FAC">
            <w:pPr>
              <w:spacing w:after="0" w:line="240" w:lineRule="auto"/>
              <w:rPr>
                <w:lang w:val="en-US"/>
              </w:rPr>
            </w:pPr>
            <w:r w:rsidRPr="00DD14DE">
              <w:rPr>
                <w:lang w:val="en-US"/>
              </w:rPr>
              <w:t>In. 2003-2008: Calibration curve, pooled enamel of 30 teeth from Urals rural residents (Russia)</w:t>
            </w:r>
          </w:p>
        </w:tc>
      </w:tr>
      <w:tr w:rsidR="00E46E26" w:rsidRPr="00E46E26" w14:paraId="773E3AF0" w14:textId="77777777" w:rsidTr="006C1FAC">
        <w:tc>
          <w:tcPr>
            <w:tcW w:w="1035" w:type="pct"/>
          </w:tcPr>
          <w:p w14:paraId="0B76AB13" w14:textId="77777777" w:rsidR="00E46E26" w:rsidRPr="00DD14DE" w:rsidRDefault="00E46E26" w:rsidP="006C1FAC">
            <w:pPr>
              <w:spacing w:after="0" w:line="240" w:lineRule="auto"/>
              <w:rPr>
                <w:lang w:val="de-DE"/>
              </w:rPr>
            </w:pPr>
            <w:r w:rsidRPr="00DD14DE">
              <w:rPr>
                <w:lang w:val="de-DE"/>
              </w:rPr>
              <w:t>HMGU</w:t>
            </w:r>
          </w:p>
          <w:p w14:paraId="628DB8A3" w14:textId="77777777" w:rsidR="00E46E26" w:rsidRPr="00DD14DE" w:rsidRDefault="00E46E26" w:rsidP="006C1FAC">
            <w:pPr>
              <w:spacing w:after="0" w:line="240" w:lineRule="auto"/>
              <w:rPr>
                <w:lang w:val="de-DE"/>
              </w:rPr>
            </w:pPr>
            <w:r w:rsidRPr="00DD14DE">
              <w:rPr>
                <w:lang w:val="de-DE"/>
              </w:rPr>
              <w:t>Wieser et al. (1995)</w:t>
            </w:r>
          </w:p>
          <w:p w14:paraId="71F14304" w14:textId="77777777" w:rsidR="00E46E26" w:rsidRPr="00DD14DE" w:rsidRDefault="00E46E26" w:rsidP="006C1FAC">
            <w:pPr>
              <w:spacing w:after="0" w:line="240" w:lineRule="auto"/>
              <w:rPr>
                <w:lang w:val="de-DE"/>
              </w:rPr>
            </w:pPr>
            <w:r w:rsidRPr="00DD14DE">
              <w:rPr>
                <w:lang w:val="de-DE"/>
              </w:rPr>
              <w:t>Ignatiev et al. (1996)</w:t>
            </w:r>
          </w:p>
          <w:p w14:paraId="4FA4EFAE" w14:textId="77777777" w:rsidR="00E46E26" w:rsidRPr="00DD14DE" w:rsidRDefault="00E46E26" w:rsidP="006C1FAC">
            <w:pPr>
              <w:spacing w:after="0" w:line="240" w:lineRule="auto"/>
              <w:rPr>
                <w:lang w:val="de-DE"/>
              </w:rPr>
            </w:pPr>
            <w:r w:rsidRPr="00DD14DE">
              <w:rPr>
                <w:lang w:val="de-DE"/>
              </w:rPr>
              <w:t>Wieser et al. (2000b)</w:t>
            </w:r>
          </w:p>
          <w:p w14:paraId="058BD08A" w14:textId="77777777" w:rsidR="00E46E26" w:rsidRPr="00DD14DE" w:rsidRDefault="00E46E26" w:rsidP="006C1FAC">
            <w:pPr>
              <w:spacing w:after="0" w:line="240" w:lineRule="auto"/>
              <w:rPr>
                <w:lang w:val="de-DE"/>
              </w:rPr>
            </w:pPr>
            <w:r w:rsidRPr="00DD14DE">
              <w:rPr>
                <w:lang w:val="de-DE"/>
              </w:rPr>
              <w:t>Wieser et al. (2001)</w:t>
            </w:r>
          </w:p>
          <w:p w14:paraId="5FCBE7F1" w14:textId="77777777" w:rsidR="00E46E26" w:rsidRPr="00DC0B0E" w:rsidRDefault="00E46E26" w:rsidP="006C1FAC">
            <w:pPr>
              <w:spacing w:after="0" w:line="240" w:lineRule="auto"/>
              <w:rPr>
                <w:lang w:val="en-US"/>
              </w:rPr>
            </w:pPr>
            <w:r w:rsidRPr="00DC0B0E">
              <w:rPr>
                <w:lang w:val="en-US"/>
              </w:rPr>
              <w:t>Zdravkova et al. (2003)</w:t>
            </w:r>
          </w:p>
          <w:p w14:paraId="2C8DF007" w14:textId="77777777" w:rsidR="00E46E26" w:rsidRPr="00DC0B0E" w:rsidRDefault="00E46E26" w:rsidP="006C1FAC">
            <w:pPr>
              <w:spacing w:after="0" w:line="240" w:lineRule="auto"/>
              <w:rPr>
                <w:lang w:val="en-US"/>
              </w:rPr>
            </w:pPr>
            <w:r w:rsidRPr="00DC0B0E">
              <w:rPr>
                <w:lang w:val="en-US"/>
              </w:rPr>
              <w:t>Shishkina et al. (2003)*</w:t>
            </w:r>
          </w:p>
        </w:tc>
        <w:tc>
          <w:tcPr>
            <w:tcW w:w="630" w:type="pct"/>
          </w:tcPr>
          <w:p w14:paraId="5C3E1076" w14:textId="77777777" w:rsidR="00E46E26" w:rsidRPr="00DD14DE" w:rsidRDefault="00E46E26" w:rsidP="006C1FAC">
            <w:pPr>
              <w:spacing w:after="0" w:line="240" w:lineRule="auto"/>
              <w:rPr>
                <w:lang w:val="en-US"/>
              </w:rPr>
            </w:pPr>
            <w:r w:rsidRPr="00DD14DE">
              <w:rPr>
                <w:lang w:val="en-US"/>
              </w:rPr>
              <w:t xml:space="preserve">Chemical </w:t>
            </w:r>
            <w:r>
              <w:rPr>
                <w:lang w:val="en-US"/>
              </w:rPr>
              <w:t xml:space="preserve">etching with </w:t>
            </w:r>
            <w:r w:rsidRPr="00DD14DE">
              <w:rPr>
                <w:lang w:val="en-US"/>
              </w:rPr>
              <w:t>20% NaOH,</w:t>
            </w:r>
          </w:p>
          <w:p w14:paraId="540A697D" w14:textId="77777777" w:rsidR="00E46E26" w:rsidRPr="00DD14DE" w:rsidRDefault="00E46E26" w:rsidP="006C1FAC">
            <w:pPr>
              <w:spacing w:after="0" w:line="240" w:lineRule="auto"/>
              <w:rPr>
                <w:lang w:val="en-US"/>
              </w:rPr>
            </w:pPr>
            <w:r w:rsidRPr="00DD14DE">
              <w:rPr>
                <w:lang w:val="en-US"/>
              </w:rPr>
              <w:t>etching, grains 0.1-0.6 mm</w:t>
            </w:r>
          </w:p>
        </w:tc>
        <w:tc>
          <w:tcPr>
            <w:tcW w:w="1041" w:type="pct"/>
          </w:tcPr>
          <w:p w14:paraId="2E7DCC75" w14:textId="77777777" w:rsidR="00E46E26" w:rsidRPr="00DD14DE" w:rsidRDefault="00E46E26" w:rsidP="006C1FAC">
            <w:pPr>
              <w:spacing w:after="0" w:line="240" w:lineRule="auto"/>
              <w:rPr>
                <w:lang w:val="en-US"/>
              </w:rPr>
            </w:pPr>
            <w:r w:rsidRPr="00DD14DE">
              <w:rPr>
                <w:lang w:val="en-US"/>
              </w:rPr>
              <w:t>In 1993-1995: Bruker ESP 300;</w:t>
            </w:r>
          </w:p>
          <w:p w14:paraId="2B197B7F" w14:textId="77777777" w:rsidR="00E46E26" w:rsidRPr="00DD14DE" w:rsidRDefault="00E46E26" w:rsidP="006C1FAC">
            <w:pPr>
              <w:spacing w:after="0" w:line="240" w:lineRule="auto"/>
              <w:rPr>
                <w:lang w:val="en-US"/>
              </w:rPr>
            </w:pPr>
            <w:r w:rsidRPr="00DD14DE">
              <w:rPr>
                <w:lang w:val="en-US"/>
              </w:rPr>
              <w:t>microwave power: 2 mW and 12 mW;</w:t>
            </w:r>
          </w:p>
          <w:p w14:paraId="0BA38C8F" w14:textId="77777777" w:rsidR="00E46E26" w:rsidRPr="00DD14DE" w:rsidRDefault="00E46E26" w:rsidP="006C1FAC">
            <w:pPr>
              <w:spacing w:after="0" w:line="240" w:lineRule="auto"/>
              <w:rPr>
                <w:lang w:val="en-US"/>
              </w:rPr>
            </w:pPr>
            <w:r w:rsidRPr="00DD14DE">
              <w:rPr>
                <w:lang w:val="en-US"/>
              </w:rPr>
              <w:t>magnetic field modulation amplitude:</w:t>
            </w:r>
          </w:p>
          <w:p w14:paraId="1C540020" w14:textId="77777777" w:rsidR="00E46E26" w:rsidRDefault="00E46E26" w:rsidP="006C1FAC">
            <w:pPr>
              <w:spacing w:after="0" w:line="240" w:lineRule="auto"/>
              <w:rPr>
                <w:lang w:val="en-US"/>
              </w:rPr>
            </w:pPr>
            <w:r w:rsidRPr="00DD14DE">
              <w:rPr>
                <w:lang w:val="en-US"/>
              </w:rPr>
              <w:t xml:space="preserve">0.15 mT; </w:t>
            </w:r>
          </w:p>
          <w:p w14:paraId="5D958B9D" w14:textId="77777777" w:rsidR="00E46E26" w:rsidRPr="00DD14DE" w:rsidRDefault="00E46E26" w:rsidP="006C1FAC">
            <w:pPr>
              <w:spacing w:after="0" w:line="240" w:lineRule="auto"/>
              <w:rPr>
                <w:lang w:val="en-US"/>
              </w:rPr>
            </w:pPr>
            <w:r w:rsidRPr="00DD14DE">
              <w:rPr>
                <w:lang w:val="en-US"/>
              </w:rPr>
              <w:t>no reference signal</w:t>
            </w:r>
          </w:p>
          <w:p w14:paraId="4D19E485" w14:textId="77777777" w:rsidR="00E46E26" w:rsidRPr="00DD14DE" w:rsidRDefault="00E46E26" w:rsidP="006C1FAC">
            <w:pPr>
              <w:spacing w:after="0" w:line="240" w:lineRule="auto"/>
              <w:rPr>
                <w:lang w:val="en-US"/>
              </w:rPr>
            </w:pPr>
            <w:r w:rsidRPr="00DD14DE">
              <w:rPr>
                <w:lang w:val="en-US"/>
              </w:rPr>
              <w:t>Since 1996: Bruker ECS 106, microwave</w:t>
            </w:r>
          </w:p>
          <w:p w14:paraId="75609E07" w14:textId="77777777" w:rsidR="00E46E26" w:rsidRPr="00DD14DE" w:rsidRDefault="00E46E26" w:rsidP="006C1FAC">
            <w:pPr>
              <w:spacing w:after="0" w:line="240" w:lineRule="auto"/>
              <w:rPr>
                <w:lang w:val="en-US"/>
              </w:rPr>
            </w:pPr>
            <w:r w:rsidRPr="00DD14DE">
              <w:rPr>
                <w:lang w:val="en-US"/>
              </w:rPr>
              <w:t>cavity 4108TMH; microwave power:</w:t>
            </w:r>
          </w:p>
          <w:p w14:paraId="169B58F9" w14:textId="77777777" w:rsidR="00E46E26" w:rsidRDefault="00E46E26" w:rsidP="006C1FAC">
            <w:pPr>
              <w:spacing w:after="0" w:line="240" w:lineRule="auto"/>
              <w:rPr>
                <w:lang w:val="en-US"/>
              </w:rPr>
            </w:pPr>
            <w:r w:rsidRPr="00DD14DE">
              <w:rPr>
                <w:lang w:val="en-US"/>
              </w:rPr>
              <w:t xml:space="preserve">25 mW, </w:t>
            </w:r>
          </w:p>
          <w:p w14:paraId="60B1079F" w14:textId="77777777" w:rsidR="00E46E26" w:rsidRPr="00DD14DE" w:rsidRDefault="00E46E26" w:rsidP="006C1FAC">
            <w:pPr>
              <w:spacing w:after="0" w:line="240" w:lineRule="auto"/>
              <w:rPr>
                <w:lang w:val="en-US"/>
              </w:rPr>
            </w:pPr>
            <w:r w:rsidRPr="00DD14DE">
              <w:rPr>
                <w:lang w:val="en-US"/>
              </w:rPr>
              <w:t>magnetic field modulation</w:t>
            </w:r>
          </w:p>
          <w:p w14:paraId="027E3D53" w14:textId="77777777" w:rsidR="00E46E26" w:rsidRPr="00DD14DE" w:rsidRDefault="00E46E26" w:rsidP="006C1FAC">
            <w:pPr>
              <w:spacing w:after="0" w:line="240" w:lineRule="auto"/>
              <w:rPr>
                <w:lang w:val="en-US"/>
              </w:rPr>
            </w:pPr>
            <w:r w:rsidRPr="00DD14DE">
              <w:rPr>
                <w:lang w:val="en-US"/>
              </w:rPr>
              <w:t>amplitude: 0.15 mT; no reference signal</w:t>
            </w:r>
          </w:p>
        </w:tc>
        <w:tc>
          <w:tcPr>
            <w:tcW w:w="992" w:type="pct"/>
          </w:tcPr>
          <w:p w14:paraId="40035578" w14:textId="77777777" w:rsidR="00E46E26" w:rsidRPr="00DD14DE" w:rsidRDefault="00E46E26" w:rsidP="006C1FAC">
            <w:pPr>
              <w:spacing w:after="0" w:line="240" w:lineRule="auto"/>
              <w:rPr>
                <w:lang w:val="en-US"/>
              </w:rPr>
            </w:pPr>
            <w:r w:rsidRPr="00DD14DE">
              <w:rPr>
                <w:lang w:val="en-US"/>
              </w:rPr>
              <w:t>In 1993-1995: Selective</w:t>
            </w:r>
          </w:p>
          <w:p w14:paraId="5AF2BEE7" w14:textId="77777777" w:rsidR="00E46E26" w:rsidRPr="00DD14DE" w:rsidRDefault="00E46E26" w:rsidP="006C1FAC">
            <w:pPr>
              <w:spacing w:after="0" w:line="240" w:lineRule="auto"/>
              <w:rPr>
                <w:lang w:val="en-US"/>
              </w:rPr>
            </w:pPr>
            <w:r w:rsidRPr="00DD14DE">
              <w:rPr>
                <w:lang w:val="en-US"/>
              </w:rPr>
              <w:t>saturation method</w:t>
            </w:r>
          </w:p>
          <w:p w14:paraId="2D927A63" w14:textId="77777777" w:rsidR="00E46E26" w:rsidRPr="00DD14DE" w:rsidRDefault="00E46E26" w:rsidP="006C1FAC">
            <w:pPr>
              <w:spacing w:after="0" w:line="240" w:lineRule="auto"/>
              <w:rPr>
                <w:lang w:val="en-US"/>
              </w:rPr>
            </w:pPr>
            <w:r w:rsidRPr="00DD14DE">
              <w:rPr>
                <w:lang w:val="en-US"/>
              </w:rPr>
              <w:t>In 1996-2002: Deconvolution,</w:t>
            </w:r>
          </w:p>
          <w:p w14:paraId="676DF2F7" w14:textId="77777777" w:rsidR="00E46E26" w:rsidRPr="00DD14DE" w:rsidRDefault="00E46E26" w:rsidP="006C1FAC">
            <w:pPr>
              <w:spacing w:after="0" w:line="240" w:lineRule="auto"/>
              <w:rPr>
                <w:lang w:val="en-US"/>
              </w:rPr>
            </w:pPr>
            <w:r w:rsidRPr="00DD14DE">
              <w:rPr>
                <w:lang w:val="en-US"/>
              </w:rPr>
              <w:t>semi empirical model of RS</w:t>
            </w:r>
          </w:p>
          <w:p w14:paraId="000EE71E" w14:textId="77777777" w:rsidR="00E46E26" w:rsidRPr="00DD14DE" w:rsidRDefault="00E46E26" w:rsidP="006C1FAC">
            <w:pPr>
              <w:spacing w:after="0" w:line="240" w:lineRule="auto"/>
              <w:rPr>
                <w:lang w:val="en-US"/>
              </w:rPr>
            </w:pPr>
            <w:r w:rsidRPr="00DD14DE">
              <w:rPr>
                <w:lang w:val="en-US"/>
              </w:rPr>
              <w:t>Since 2003: Powder spectrum</w:t>
            </w:r>
          </w:p>
          <w:p w14:paraId="56C52743" w14:textId="77777777" w:rsidR="00E46E26" w:rsidRPr="00DD14DE" w:rsidRDefault="00E46E26" w:rsidP="006C1FAC">
            <w:pPr>
              <w:spacing w:after="0" w:line="240" w:lineRule="auto"/>
              <w:rPr>
                <w:lang w:val="en-US"/>
              </w:rPr>
            </w:pPr>
            <w:r w:rsidRPr="00DD14DE">
              <w:rPr>
                <w:lang w:val="en-US"/>
              </w:rPr>
              <w:t>simulation of RS</w:t>
            </w:r>
          </w:p>
        </w:tc>
        <w:tc>
          <w:tcPr>
            <w:tcW w:w="1302" w:type="pct"/>
          </w:tcPr>
          <w:p w14:paraId="64802C7A" w14:textId="77777777" w:rsidR="00E46E26" w:rsidRPr="00DD14DE" w:rsidRDefault="00E46E26" w:rsidP="006C1FAC">
            <w:pPr>
              <w:spacing w:after="0" w:line="240" w:lineRule="auto"/>
              <w:rPr>
                <w:lang w:val="en-US"/>
              </w:rPr>
            </w:pPr>
            <w:r w:rsidRPr="00DD14DE">
              <w:rPr>
                <w:lang w:val="en-US"/>
              </w:rPr>
              <w:t>In 1993-1995: individual</w:t>
            </w:r>
          </w:p>
          <w:p w14:paraId="24372475" w14:textId="77777777" w:rsidR="00E46E26" w:rsidRPr="00DD14DE" w:rsidRDefault="00E46E26" w:rsidP="006C1FAC">
            <w:pPr>
              <w:spacing w:after="0" w:line="240" w:lineRule="auto"/>
              <w:rPr>
                <w:lang w:val="en-US"/>
              </w:rPr>
            </w:pPr>
            <w:r w:rsidRPr="00DD14DE">
              <w:rPr>
                <w:lang w:val="en-US"/>
              </w:rPr>
              <w:t>In 1996-2002: calibration curve, additive exposure of 3 wisdom teeth from German residents</w:t>
            </w:r>
          </w:p>
          <w:p w14:paraId="727E51B3" w14:textId="77777777" w:rsidR="00E46E26" w:rsidRPr="00DD14DE" w:rsidRDefault="00E46E26" w:rsidP="006C1FAC">
            <w:pPr>
              <w:spacing w:after="0" w:line="240" w:lineRule="auto"/>
              <w:rPr>
                <w:lang w:val="en-US"/>
              </w:rPr>
            </w:pPr>
            <w:r w:rsidRPr="00DD14DE">
              <w:rPr>
                <w:lang w:val="en-US"/>
              </w:rPr>
              <w:t>In 2003-2004: calibration curve, additive exposure of 76 teeth from Egyptian and Indian residents</w:t>
            </w:r>
          </w:p>
          <w:p w14:paraId="73113EE1" w14:textId="77777777" w:rsidR="00E46E26" w:rsidRPr="00DD14DE" w:rsidRDefault="00E46E26" w:rsidP="006C1FAC">
            <w:pPr>
              <w:spacing w:after="0" w:line="240" w:lineRule="auto"/>
              <w:rPr>
                <w:lang w:val="en-US"/>
              </w:rPr>
            </w:pPr>
            <w:r w:rsidRPr="00DD14DE">
              <w:rPr>
                <w:lang w:val="en-US"/>
              </w:rPr>
              <w:t xml:space="preserve">Since 2005: </w:t>
            </w:r>
          </w:p>
          <w:p w14:paraId="77A62B81" w14:textId="77777777" w:rsidR="00E46E26" w:rsidRPr="00DD14DE" w:rsidRDefault="00E46E26" w:rsidP="006C1FAC">
            <w:pPr>
              <w:spacing w:after="0" w:line="240" w:lineRule="auto"/>
              <w:rPr>
                <w:lang w:val="en-US"/>
              </w:rPr>
            </w:pPr>
            <w:r w:rsidRPr="00DD14DE">
              <w:rPr>
                <w:lang w:val="en-US"/>
              </w:rPr>
              <w:t xml:space="preserve"> -for molars - calibration curve, pooled enamel of 30 molars from Egyptian residents;</w:t>
            </w:r>
          </w:p>
          <w:p w14:paraId="3CDFF81D" w14:textId="77777777" w:rsidR="00E46E26" w:rsidRPr="00DD14DE" w:rsidRDefault="00E46E26" w:rsidP="006C1FAC">
            <w:pPr>
              <w:spacing w:after="0" w:line="240" w:lineRule="auto"/>
              <w:rPr>
                <w:lang w:val="en-US"/>
              </w:rPr>
            </w:pPr>
            <w:r w:rsidRPr="00DD14DE">
              <w:rPr>
                <w:lang w:val="en-US"/>
              </w:rPr>
              <w:t xml:space="preserve"> - </w:t>
            </w:r>
            <w:r w:rsidRPr="00DD14DE">
              <w:rPr>
                <w:color w:val="000000"/>
                <w:lang w:val="en-GB"/>
              </w:rPr>
              <w:t>for anterior teeth – 20 buccal and lingual fractions  (separately) of enamel of German residents</w:t>
            </w:r>
          </w:p>
        </w:tc>
      </w:tr>
      <w:tr w:rsidR="00E46E26" w:rsidRPr="00E46E26" w14:paraId="0A7157CF" w14:textId="77777777" w:rsidTr="006C1FAC">
        <w:tc>
          <w:tcPr>
            <w:tcW w:w="1035" w:type="pct"/>
          </w:tcPr>
          <w:p w14:paraId="2967F131" w14:textId="77777777" w:rsidR="00E46E26" w:rsidRPr="00DD14DE" w:rsidRDefault="00E46E26" w:rsidP="006C1FAC">
            <w:pPr>
              <w:spacing w:after="0" w:line="240" w:lineRule="auto"/>
              <w:rPr>
                <w:lang w:val="en-US"/>
              </w:rPr>
            </w:pPr>
            <w:r w:rsidRPr="00DD14DE">
              <w:rPr>
                <w:lang w:val="en-US"/>
              </w:rPr>
              <w:t>ISS</w:t>
            </w:r>
          </w:p>
          <w:p w14:paraId="139C9CC6" w14:textId="77777777" w:rsidR="00E46E26" w:rsidRPr="00DD14DE" w:rsidRDefault="00E46E26" w:rsidP="006C1FAC">
            <w:pPr>
              <w:spacing w:after="0" w:line="240" w:lineRule="auto"/>
              <w:rPr>
                <w:lang w:val="de-DE"/>
              </w:rPr>
            </w:pPr>
            <w:r w:rsidRPr="00DD14DE">
              <w:rPr>
                <w:lang w:val="de-DE"/>
              </w:rPr>
              <w:t>(Fattibene et al., 2004)</w:t>
            </w:r>
          </w:p>
        </w:tc>
        <w:tc>
          <w:tcPr>
            <w:tcW w:w="630" w:type="pct"/>
          </w:tcPr>
          <w:p w14:paraId="7A3725B4" w14:textId="77777777" w:rsidR="00E46E26" w:rsidRPr="00DD14DE" w:rsidRDefault="00E46E26" w:rsidP="006C1FAC">
            <w:pPr>
              <w:spacing w:after="0" w:line="240" w:lineRule="auto"/>
              <w:rPr>
                <w:lang w:val="en-US"/>
              </w:rPr>
            </w:pPr>
            <w:r w:rsidRPr="00DD14DE">
              <w:rPr>
                <w:lang w:val="en-US"/>
              </w:rPr>
              <w:t>Mechanical/ chemical</w:t>
            </w:r>
            <w:r>
              <w:rPr>
                <w:lang w:val="en-US"/>
              </w:rPr>
              <w:t xml:space="preserve"> etching</w:t>
            </w:r>
            <w:r w:rsidRPr="00DD14DE">
              <w:rPr>
                <w:lang w:val="en-US"/>
              </w:rPr>
              <w:t xml:space="preserve">, grains 0.5-1 mm </w:t>
            </w:r>
          </w:p>
        </w:tc>
        <w:tc>
          <w:tcPr>
            <w:tcW w:w="1041" w:type="pct"/>
          </w:tcPr>
          <w:p w14:paraId="30AE5910" w14:textId="77777777" w:rsidR="00E46E26" w:rsidRPr="00DD14DE" w:rsidRDefault="00E46E26" w:rsidP="006C1FAC">
            <w:pPr>
              <w:spacing w:after="0" w:line="240" w:lineRule="auto"/>
              <w:rPr>
                <w:lang w:val="en-US"/>
              </w:rPr>
            </w:pPr>
            <w:r w:rsidRPr="00DD14DE">
              <w:rPr>
                <w:lang w:val="en-US"/>
              </w:rPr>
              <w:t>Brucker EleXsys, Super-High-Q cavity;</w:t>
            </w:r>
          </w:p>
          <w:p w14:paraId="2B9B793B" w14:textId="77777777" w:rsidR="00E46E26" w:rsidRDefault="00E46E26" w:rsidP="006C1FAC">
            <w:pPr>
              <w:spacing w:after="0" w:line="240" w:lineRule="auto"/>
              <w:rPr>
                <w:lang w:val="en-US"/>
              </w:rPr>
            </w:pPr>
            <w:r w:rsidRPr="00DD14DE">
              <w:rPr>
                <w:lang w:val="en-US"/>
              </w:rPr>
              <w:t xml:space="preserve">microwave power: 2 mW; </w:t>
            </w:r>
          </w:p>
          <w:p w14:paraId="06868BAD" w14:textId="77777777" w:rsidR="00E46E26" w:rsidRPr="00DD14DE" w:rsidRDefault="00E46E26" w:rsidP="006C1FAC">
            <w:pPr>
              <w:spacing w:after="0" w:line="240" w:lineRule="auto"/>
              <w:rPr>
                <w:lang w:val="en-US"/>
              </w:rPr>
            </w:pPr>
            <w:r w:rsidRPr="00DD14DE">
              <w:rPr>
                <w:lang w:val="en-US"/>
              </w:rPr>
              <w:t>magnetic field</w:t>
            </w:r>
          </w:p>
          <w:p w14:paraId="72A92B02" w14:textId="77777777" w:rsidR="00E46E26" w:rsidRDefault="00E46E26" w:rsidP="006C1FAC">
            <w:pPr>
              <w:spacing w:after="0" w:line="240" w:lineRule="auto"/>
              <w:rPr>
                <w:lang w:val="en-US"/>
              </w:rPr>
            </w:pPr>
            <w:r w:rsidRPr="00DD14DE">
              <w:rPr>
                <w:lang w:val="en-US"/>
              </w:rPr>
              <w:t xml:space="preserve">modulation amplitude: 0.2 mT; </w:t>
            </w:r>
          </w:p>
          <w:p w14:paraId="5EE3F0A6" w14:textId="77777777" w:rsidR="00E46E26" w:rsidRPr="00DD14DE" w:rsidRDefault="00E46E26" w:rsidP="006C1FAC">
            <w:pPr>
              <w:spacing w:after="0" w:line="240" w:lineRule="auto"/>
              <w:rPr>
                <w:lang w:val="en-US"/>
              </w:rPr>
            </w:pPr>
            <w:r w:rsidRPr="00DD14DE">
              <w:rPr>
                <w:lang w:val="en-US"/>
              </w:rPr>
              <w:t>Mn</w:t>
            </w:r>
            <w:r w:rsidRPr="00DD14DE">
              <w:rPr>
                <w:vertAlign w:val="superscript"/>
                <w:lang w:val="en-US"/>
              </w:rPr>
              <w:t xml:space="preserve">2+ </w:t>
            </w:r>
            <w:r w:rsidRPr="00DD14DE">
              <w:rPr>
                <w:lang w:val="en-US"/>
              </w:rPr>
              <w:t>reference</w:t>
            </w:r>
          </w:p>
        </w:tc>
        <w:tc>
          <w:tcPr>
            <w:tcW w:w="992" w:type="pct"/>
          </w:tcPr>
          <w:p w14:paraId="6993F322" w14:textId="77777777" w:rsidR="00E46E26" w:rsidRPr="00DD14DE" w:rsidRDefault="00E46E26" w:rsidP="006C1FAC">
            <w:pPr>
              <w:spacing w:after="0" w:line="240" w:lineRule="auto"/>
              <w:rPr>
                <w:lang w:val="en-US"/>
              </w:rPr>
            </w:pPr>
            <w:r w:rsidRPr="00DD14DE">
              <w:rPr>
                <w:lang w:val="en-US"/>
              </w:rPr>
              <w:t>Deconvolution, powder spectrum simulation</w:t>
            </w:r>
          </w:p>
        </w:tc>
        <w:tc>
          <w:tcPr>
            <w:tcW w:w="1302" w:type="pct"/>
          </w:tcPr>
          <w:p w14:paraId="6BE34F97" w14:textId="77777777" w:rsidR="00E46E26" w:rsidRPr="00DD14DE" w:rsidRDefault="00E46E26" w:rsidP="006C1FAC">
            <w:pPr>
              <w:spacing w:after="0" w:line="240" w:lineRule="auto"/>
              <w:rPr>
                <w:lang w:val="en-US"/>
              </w:rPr>
            </w:pPr>
            <w:r w:rsidRPr="00DD14DE">
              <w:rPr>
                <w:lang w:val="en-US"/>
              </w:rPr>
              <w:t>Calibration curve, pooled enamel of 30 teeth from Urals rural residents (Russia)</w:t>
            </w:r>
          </w:p>
        </w:tc>
      </w:tr>
      <w:tr w:rsidR="00E46E26" w:rsidRPr="00E46E26" w14:paraId="40D419D1" w14:textId="77777777" w:rsidTr="006C1FAC">
        <w:tc>
          <w:tcPr>
            <w:tcW w:w="1035" w:type="pct"/>
          </w:tcPr>
          <w:p w14:paraId="39424EBB" w14:textId="77777777" w:rsidR="00E46E26" w:rsidRPr="00DD14DE" w:rsidRDefault="00E46E26" w:rsidP="006C1FAC">
            <w:pPr>
              <w:spacing w:after="0" w:line="240" w:lineRule="auto"/>
              <w:rPr>
                <w:lang w:val="en-US"/>
              </w:rPr>
            </w:pPr>
            <w:r w:rsidRPr="00DD14DE">
              <w:rPr>
                <w:lang w:val="en-US"/>
              </w:rPr>
              <w:t>MRRC</w:t>
            </w:r>
          </w:p>
          <w:p w14:paraId="3FD32E0E" w14:textId="77777777" w:rsidR="00E46E26" w:rsidRPr="00DD14DE" w:rsidRDefault="00E46E26" w:rsidP="006C1FAC">
            <w:pPr>
              <w:spacing w:after="0" w:line="240" w:lineRule="auto"/>
              <w:rPr>
                <w:lang w:val="en-US"/>
              </w:rPr>
            </w:pPr>
            <w:r w:rsidRPr="00DD14DE">
              <w:rPr>
                <w:lang w:val="en-US"/>
              </w:rPr>
              <w:t>(Tikunov et al, 2006)</w:t>
            </w:r>
          </w:p>
        </w:tc>
        <w:tc>
          <w:tcPr>
            <w:tcW w:w="630" w:type="pct"/>
          </w:tcPr>
          <w:p w14:paraId="239AABED" w14:textId="77777777" w:rsidR="00E46E26" w:rsidRPr="00DD14DE" w:rsidRDefault="00E46E26" w:rsidP="006C1FAC">
            <w:pPr>
              <w:spacing w:after="0" w:line="240" w:lineRule="auto"/>
              <w:rPr>
                <w:lang w:val="en-US"/>
              </w:rPr>
            </w:pPr>
            <w:r w:rsidRPr="00DD14DE">
              <w:rPr>
                <w:lang w:val="en-US"/>
              </w:rPr>
              <w:t>Mechanical</w:t>
            </w:r>
            <w:r>
              <w:rPr>
                <w:lang w:val="en-US"/>
              </w:rPr>
              <w:t xml:space="preserve"> etching</w:t>
            </w:r>
            <w:r w:rsidRPr="00DD14DE">
              <w:rPr>
                <w:lang w:val="en-US"/>
              </w:rPr>
              <w:t>, grains 0.5-2mm</w:t>
            </w:r>
          </w:p>
        </w:tc>
        <w:tc>
          <w:tcPr>
            <w:tcW w:w="1041" w:type="pct"/>
          </w:tcPr>
          <w:p w14:paraId="7FC25898" w14:textId="77777777" w:rsidR="00E46E26" w:rsidRPr="00DD14DE" w:rsidRDefault="00E46E26" w:rsidP="006C1FAC">
            <w:pPr>
              <w:spacing w:after="0" w:line="240" w:lineRule="auto"/>
              <w:rPr>
                <w:lang w:val="en-US"/>
              </w:rPr>
            </w:pPr>
            <w:r w:rsidRPr="00DD14DE">
              <w:rPr>
                <w:lang w:val="en-US"/>
              </w:rPr>
              <w:t>Brucker ESP300E; microwave power: 10mW, 0.3 mT;  magnetic field modulation amplitude: Mn</w:t>
            </w:r>
            <w:r w:rsidRPr="00DD14DE">
              <w:rPr>
                <w:vertAlign w:val="superscript"/>
                <w:lang w:val="en-US"/>
              </w:rPr>
              <w:t>2+</w:t>
            </w:r>
            <w:r w:rsidRPr="00DD14DE">
              <w:rPr>
                <w:lang w:val="en-US"/>
              </w:rPr>
              <w:t xml:space="preserve"> reference</w:t>
            </w:r>
          </w:p>
        </w:tc>
        <w:tc>
          <w:tcPr>
            <w:tcW w:w="992" w:type="pct"/>
          </w:tcPr>
          <w:p w14:paraId="5DCDB395" w14:textId="77777777" w:rsidR="00E46E26" w:rsidRPr="00DD14DE" w:rsidRDefault="00E46E26" w:rsidP="006C1FAC">
            <w:pPr>
              <w:spacing w:after="0" w:line="240" w:lineRule="auto"/>
              <w:rPr>
                <w:lang w:val="en-US"/>
              </w:rPr>
            </w:pPr>
            <w:r w:rsidRPr="00DD14DE">
              <w:rPr>
                <w:lang w:val="en-US"/>
              </w:rPr>
              <w:t>Subtraction, standard</w:t>
            </w:r>
          </w:p>
        </w:tc>
        <w:tc>
          <w:tcPr>
            <w:tcW w:w="1302" w:type="pct"/>
          </w:tcPr>
          <w:p w14:paraId="376F386A" w14:textId="77777777" w:rsidR="00E46E26" w:rsidRPr="00DD14DE" w:rsidRDefault="00E46E26" w:rsidP="006C1FAC">
            <w:pPr>
              <w:spacing w:after="0" w:line="240" w:lineRule="auto"/>
              <w:rPr>
                <w:lang w:val="en-US"/>
              </w:rPr>
            </w:pPr>
            <w:r w:rsidRPr="00DD14DE">
              <w:rPr>
                <w:lang w:val="en-US"/>
              </w:rPr>
              <w:t>Calibration coefficient, additive irradiation of 8 teeth from residents of Kaluga region (Russia)</w:t>
            </w:r>
          </w:p>
        </w:tc>
      </w:tr>
      <w:tr w:rsidR="00E46E26" w:rsidRPr="00DD14DE" w14:paraId="71052FA3" w14:textId="77777777" w:rsidTr="006C1FAC">
        <w:tc>
          <w:tcPr>
            <w:tcW w:w="1035" w:type="pct"/>
          </w:tcPr>
          <w:p w14:paraId="23EF4291" w14:textId="77777777" w:rsidR="00E46E26" w:rsidRPr="00DD14DE" w:rsidRDefault="00E46E26" w:rsidP="006C1FAC">
            <w:pPr>
              <w:spacing w:after="0" w:line="240" w:lineRule="auto"/>
              <w:rPr>
                <w:lang w:val="en-US"/>
              </w:rPr>
            </w:pPr>
            <w:r w:rsidRPr="00DD14DE">
              <w:rPr>
                <w:lang w:val="en-US"/>
              </w:rPr>
              <w:t>IBP</w:t>
            </w:r>
          </w:p>
          <w:p w14:paraId="2CD96DC6" w14:textId="77777777" w:rsidR="00E46E26" w:rsidRPr="00DD14DE" w:rsidRDefault="00E46E26" w:rsidP="006C1FAC">
            <w:pPr>
              <w:spacing w:after="0" w:line="240" w:lineRule="auto"/>
              <w:rPr>
                <w:lang w:val="en-US"/>
              </w:rPr>
            </w:pPr>
            <w:r w:rsidRPr="00DD14DE">
              <w:rPr>
                <w:lang w:val="en-US"/>
              </w:rPr>
              <w:t>(</w:t>
            </w:r>
            <w:r w:rsidRPr="00DD14DE">
              <w:t>Shishkina, E.A.</w:t>
            </w:r>
            <w:r w:rsidRPr="00DD14DE">
              <w:rPr>
                <w:lang w:val="en-US"/>
              </w:rPr>
              <w:t>, 2001)</w:t>
            </w:r>
          </w:p>
        </w:tc>
        <w:tc>
          <w:tcPr>
            <w:tcW w:w="630" w:type="pct"/>
          </w:tcPr>
          <w:p w14:paraId="2C550824" w14:textId="77777777" w:rsidR="00E46E26" w:rsidRPr="00DD14DE" w:rsidRDefault="00E46E26" w:rsidP="006C1FAC">
            <w:pPr>
              <w:spacing w:after="0" w:line="240" w:lineRule="auto"/>
              <w:rPr>
                <w:lang w:val="en-US"/>
              </w:rPr>
            </w:pPr>
            <w:r w:rsidRPr="00DD14DE">
              <w:rPr>
                <w:lang w:val="en-US"/>
              </w:rPr>
              <w:t>Mechanical</w:t>
            </w:r>
            <w:r>
              <w:rPr>
                <w:lang w:val="en-US"/>
              </w:rPr>
              <w:t xml:space="preserve"> etching</w:t>
            </w:r>
            <w:r w:rsidRPr="00DD14DE">
              <w:rPr>
                <w:lang w:val="en-US"/>
              </w:rPr>
              <w:t>, grains 0.5-1mm</w:t>
            </w:r>
          </w:p>
        </w:tc>
        <w:tc>
          <w:tcPr>
            <w:tcW w:w="1041" w:type="pct"/>
          </w:tcPr>
          <w:p w14:paraId="5526244B" w14:textId="77777777" w:rsidR="00E46E26" w:rsidRPr="00DD14DE" w:rsidRDefault="00E46E26" w:rsidP="006C1FAC">
            <w:pPr>
              <w:spacing w:after="0" w:line="240" w:lineRule="auto"/>
              <w:rPr>
                <w:lang w:val="en-US"/>
              </w:rPr>
            </w:pPr>
            <w:r w:rsidRPr="00DD14DE">
              <w:rPr>
                <w:lang w:val="en-US"/>
              </w:rPr>
              <w:t>Bruker ER 30D;</w:t>
            </w:r>
          </w:p>
          <w:p w14:paraId="334B3B92" w14:textId="77777777" w:rsidR="00E46E26" w:rsidRPr="00DD14DE" w:rsidRDefault="00E46E26" w:rsidP="006C1FAC">
            <w:pPr>
              <w:spacing w:after="0" w:line="240" w:lineRule="auto"/>
              <w:rPr>
                <w:lang w:val="en-US"/>
              </w:rPr>
            </w:pPr>
            <w:r w:rsidRPr="00DD14DE">
              <w:rPr>
                <w:lang w:val="en-US"/>
              </w:rPr>
              <w:t>unknown parameters for spectrum record; Mn</w:t>
            </w:r>
            <w:r w:rsidRPr="00DD14DE">
              <w:rPr>
                <w:vertAlign w:val="superscript"/>
                <w:lang w:val="en-US"/>
              </w:rPr>
              <w:t>2+</w:t>
            </w:r>
            <w:r w:rsidRPr="00DD14DE">
              <w:rPr>
                <w:lang w:val="en-US"/>
              </w:rPr>
              <w:t xml:space="preserve"> reference</w:t>
            </w:r>
          </w:p>
        </w:tc>
        <w:tc>
          <w:tcPr>
            <w:tcW w:w="992" w:type="pct"/>
          </w:tcPr>
          <w:p w14:paraId="68392036" w14:textId="77777777" w:rsidR="00E46E26" w:rsidRPr="00DD14DE" w:rsidRDefault="00E46E26" w:rsidP="006C1FAC">
            <w:pPr>
              <w:spacing w:after="0" w:line="240" w:lineRule="auto"/>
              <w:rPr>
                <w:lang w:val="en-US"/>
              </w:rPr>
            </w:pPr>
            <w:r w:rsidRPr="00DD14DE">
              <w:rPr>
                <w:lang w:val="en-US"/>
              </w:rPr>
              <w:t xml:space="preserve">Subtraction, model of RS based on combination of Lorenz lines </w:t>
            </w:r>
          </w:p>
        </w:tc>
        <w:tc>
          <w:tcPr>
            <w:tcW w:w="1302" w:type="pct"/>
          </w:tcPr>
          <w:p w14:paraId="72959F17" w14:textId="77777777" w:rsidR="00E46E26" w:rsidRPr="00DD14DE" w:rsidRDefault="00E46E26" w:rsidP="006C1FAC">
            <w:pPr>
              <w:spacing w:after="0" w:line="240" w:lineRule="auto"/>
              <w:rPr>
                <w:lang w:val="en-US"/>
              </w:rPr>
            </w:pPr>
            <w:r w:rsidRPr="00DD14DE">
              <w:rPr>
                <w:lang w:val="en-US"/>
              </w:rPr>
              <w:t>Individual</w:t>
            </w:r>
          </w:p>
        </w:tc>
      </w:tr>
      <w:tr w:rsidR="00E46E26" w:rsidRPr="00E46E26" w14:paraId="1CA1D4CC" w14:textId="77777777" w:rsidTr="006C1FAC">
        <w:tc>
          <w:tcPr>
            <w:tcW w:w="1035" w:type="pct"/>
          </w:tcPr>
          <w:p w14:paraId="6F016AD6" w14:textId="77777777" w:rsidR="00E46E26" w:rsidRPr="00DD14DE" w:rsidRDefault="00E46E26" w:rsidP="006C1FAC">
            <w:pPr>
              <w:spacing w:after="0" w:line="240" w:lineRule="auto"/>
              <w:rPr>
                <w:lang w:val="en-US"/>
              </w:rPr>
            </w:pPr>
            <w:r w:rsidRPr="00DD14DE">
              <w:rPr>
                <w:lang w:val="en-US"/>
              </w:rPr>
              <w:t>ICP</w:t>
            </w:r>
          </w:p>
          <w:p w14:paraId="246C7FDE" w14:textId="77777777" w:rsidR="00E46E26" w:rsidRPr="00DD14DE" w:rsidRDefault="00E46E26" w:rsidP="006C1FAC">
            <w:pPr>
              <w:spacing w:after="0" w:line="240" w:lineRule="auto"/>
              <w:rPr>
                <w:lang w:val="en-US"/>
              </w:rPr>
            </w:pPr>
            <w:r w:rsidRPr="00DD14DE">
              <w:rPr>
                <w:lang w:val="en-US"/>
              </w:rPr>
              <w:t xml:space="preserve">(Serezhenkov et al, </w:t>
            </w:r>
            <w:r w:rsidRPr="00DD14DE">
              <w:t>1992</w:t>
            </w:r>
            <w:r w:rsidRPr="00DD14DE">
              <w:rPr>
                <w:lang w:val="en-US"/>
              </w:rPr>
              <w:t>)</w:t>
            </w:r>
          </w:p>
        </w:tc>
        <w:tc>
          <w:tcPr>
            <w:tcW w:w="630" w:type="pct"/>
          </w:tcPr>
          <w:p w14:paraId="71721F51" w14:textId="77777777" w:rsidR="00E46E26" w:rsidRPr="00DD14DE" w:rsidRDefault="00E46E26" w:rsidP="006C1FAC">
            <w:pPr>
              <w:spacing w:after="0" w:line="240" w:lineRule="auto"/>
              <w:rPr>
                <w:lang w:val="en-US"/>
              </w:rPr>
            </w:pPr>
            <w:r w:rsidRPr="00DD14DE">
              <w:rPr>
                <w:lang w:val="en-US"/>
              </w:rPr>
              <w:t>Mechanical</w:t>
            </w:r>
            <w:r>
              <w:rPr>
                <w:lang w:val="en-US"/>
              </w:rPr>
              <w:t xml:space="preserve"> etching</w:t>
            </w:r>
            <w:r w:rsidRPr="00DD14DE">
              <w:rPr>
                <w:lang w:val="en-US"/>
              </w:rPr>
              <w:t>, grains 0.5-2mm</w:t>
            </w:r>
          </w:p>
        </w:tc>
        <w:tc>
          <w:tcPr>
            <w:tcW w:w="1041" w:type="pct"/>
          </w:tcPr>
          <w:p w14:paraId="4228650E" w14:textId="77777777" w:rsidR="00E46E26" w:rsidRPr="00DD14DE" w:rsidRDefault="00E46E26" w:rsidP="006C1FAC">
            <w:pPr>
              <w:spacing w:after="0" w:line="240" w:lineRule="auto"/>
              <w:rPr>
                <w:lang w:val="en-US"/>
              </w:rPr>
            </w:pPr>
            <w:r w:rsidRPr="00DD14DE">
              <w:rPr>
                <w:lang w:val="en-US"/>
              </w:rPr>
              <w:t>Radiopan, Poland;</w:t>
            </w:r>
          </w:p>
          <w:p w14:paraId="22B9A307" w14:textId="77777777" w:rsidR="00E46E26" w:rsidRPr="00DD14DE" w:rsidRDefault="00E46E26" w:rsidP="006C1FAC">
            <w:pPr>
              <w:spacing w:after="0" w:line="240" w:lineRule="auto"/>
              <w:rPr>
                <w:lang w:val="en-US"/>
              </w:rPr>
            </w:pPr>
            <w:r w:rsidRPr="00DD14DE">
              <w:rPr>
                <w:lang w:val="en-US"/>
              </w:rPr>
              <w:t>unknown parameters for spectrum record; Mn</w:t>
            </w:r>
            <w:r w:rsidRPr="00DD14DE">
              <w:rPr>
                <w:vertAlign w:val="superscript"/>
                <w:lang w:val="en-US"/>
              </w:rPr>
              <w:t>2+</w:t>
            </w:r>
            <w:r w:rsidRPr="00DD14DE">
              <w:rPr>
                <w:lang w:val="en-US"/>
              </w:rPr>
              <w:t xml:space="preserve"> reference</w:t>
            </w:r>
          </w:p>
        </w:tc>
        <w:tc>
          <w:tcPr>
            <w:tcW w:w="992" w:type="pct"/>
          </w:tcPr>
          <w:p w14:paraId="46B00E52" w14:textId="77777777" w:rsidR="00E46E26" w:rsidRPr="00DD14DE" w:rsidRDefault="00E46E26" w:rsidP="006C1FAC">
            <w:pPr>
              <w:spacing w:after="0" w:line="240" w:lineRule="auto"/>
              <w:rPr>
                <w:lang w:val="en-US"/>
              </w:rPr>
            </w:pPr>
            <w:r w:rsidRPr="00DD14DE">
              <w:rPr>
                <w:lang w:val="en-US"/>
              </w:rPr>
              <w:t>Subtraction, standard</w:t>
            </w:r>
          </w:p>
        </w:tc>
        <w:tc>
          <w:tcPr>
            <w:tcW w:w="1302" w:type="pct"/>
          </w:tcPr>
          <w:p w14:paraId="6B224444" w14:textId="77777777" w:rsidR="00E46E26" w:rsidRPr="00DD14DE" w:rsidRDefault="00E46E26" w:rsidP="006C1FAC">
            <w:pPr>
              <w:spacing w:after="0" w:line="240" w:lineRule="auto"/>
              <w:rPr>
                <w:lang w:val="en-US"/>
              </w:rPr>
            </w:pPr>
            <w:r w:rsidRPr="00DD14DE">
              <w:rPr>
                <w:lang w:val="en-US"/>
              </w:rPr>
              <w:t>Calibration coefficient, 38 teeth from Moscow residents (Russia)</w:t>
            </w:r>
          </w:p>
        </w:tc>
      </w:tr>
    </w:tbl>
    <w:p w14:paraId="076D65C3" w14:textId="77777777" w:rsidR="00E46E26" w:rsidRPr="00DD14DE" w:rsidRDefault="00E46E26" w:rsidP="00E46E26">
      <w:pPr>
        <w:spacing w:after="0" w:line="240" w:lineRule="auto"/>
        <w:rPr>
          <w:rFonts w:ascii="Times New Roman" w:hAnsi="Times New Roman" w:cs="Times New Roman"/>
          <w:sz w:val="20"/>
          <w:szCs w:val="20"/>
          <w:lang w:val="en-US"/>
        </w:rPr>
      </w:pPr>
      <w:r w:rsidRPr="00DD14DE">
        <w:rPr>
          <w:rFonts w:ascii="Times New Roman" w:hAnsi="Times New Roman" w:cs="Times New Roman"/>
          <w:sz w:val="20"/>
          <w:szCs w:val="20"/>
          <w:lang w:val="en-US"/>
        </w:rPr>
        <w:t>*Analytical reports with detailed description of each step of the EPR method, improvements and modifications.</w:t>
      </w:r>
    </w:p>
    <w:p w14:paraId="0AE5A08B" w14:textId="77777777" w:rsidR="00E46E26" w:rsidRPr="00151216" w:rsidRDefault="00E46E26" w:rsidP="00E46E26">
      <w:pPr>
        <w:rPr>
          <w:lang w:val="en-US"/>
        </w:rPr>
      </w:pPr>
    </w:p>
    <w:p w14:paraId="264C988A" w14:textId="77777777" w:rsidR="00E46E26" w:rsidRDefault="00E46E26" w:rsidP="00E46E26">
      <w:pPr>
        <w:spacing w:after="120" w:line="240" w:lineRule="auto"/>
        <w:rPr>
          <w:rFonts w:ascii="Times New Roman" w:hAnsi="Times New Roman" w:cs="Times New Roman"/>
          <w:sz w:val="24"/>
          <w:szCs w:val="24"/>
          <w:lang w:val="en-GB"/>
        </w:rPr>
      </w:pPr>
      <w:r w:rsidRPr="005234B2">
        <w:rPr>
          <w:rFonts w:ascii="Times New Roman" w:hAnsi="Times New Roman" w:cs="Times New Roman"/>
          <w:b/>
          <w:sz w:val="24"/>
          <w:szCs w:val="24"/>
          <w:lang w:val="en-GB"/>
        </w:rPr>
        <w:t>Table 3</w:t>
      </w:r>
      <w:r w:rsidRPr="00A928C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A928CB">
        <w:rPr>
          <w:rFonts w:ascii="Times New Roman" w:hAnsi="Times New Roman" w:cs="Times New Roman"/>
          <w:sz w:val="24"/>
          <w:szCs w:val="24"/>
          <w:lang w:val="en-GB"/>
        </w:rPr>
        <w:t>Description of background doses of rural residents measured with different EPR dosimetry methods.</w:t>
      </w:r>
      <w:r>
        <w:rPr>
          <w:rFonts w:ascii="Times New Roman" w:hAnsi="Times New Roman" w:cs="Times New Roman"/>
          <w:sz w:val="24"/>
          <w:szCs w:val="24"/>
          <w:lang w:val="en-GB"/>
        </w:rPr>
        <w:t xml:space="preserve"> SD – standard deviation; method numbers are specified in more detail in Table A1 </w:t>
      </w:r>
    </w:p>
    <w:p w14:paraId="6384A7C5" w14:textId="77777777" w:rsidR="00E46E26" w:rsidRPr="00A928CB" w:rsidRDefault="00E46E26" w:rsidP="00E46E26">
      <w:pPr>
        <w:spacing w:after="120" w:line="240" w:lineRule="auto"/>
        <w:rPr>
          <w:rFonts w:ascii="Times New Roman" w:hAnsi="Times New Roman" w:cs="Times New Roman"/>
          <w:sz w:val="24"/>
          <w:szCs w:val="24"/>
          <w:lang w:val="en-GB"/>
        </w:rPr>
      </w:pPr>
    </w:p>
    <w:tbl>
      <w:tblPr>
        <w:tblW w:w="7528" w:type="dxa"/>
        <w:jc w:val="center"/>
        <w:tblLook w:val="04A0" w:firstRow="1" w:lastRow="0" w:firstColumn="1" w:lastColumn="0" w:noHBand="0" w:noVBand="1"/>
      </w:tblPr>
      <w:tblGrid>
        <w:gridCol w:w="1541"/>
        <w:gridCol w:w="872"/>
        <w:gridCol w:w="1800"/>
        <w:gridCol w:w="1798"/>
        <w:gridCol w:w="1517"/>
      </w:tblGrid>
      <w:tr w:rsidR="00E46E26" w:rsidRPr="00C24BC0" w14:paraId="454A0481" w14:textId="77777777" w:rsidTr="006C1FAC">
        <w:trPr>
          <w:trHeight w:val="780"/>
          <w:jc w:val="center"/>
        </w:trPr>
        <w:tc>
          <w:tcPr>
            <w:tcW w:w="15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250EE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GB" w:eastAsia="ru-RU"/>
              </w:rPr>
              <w:t>Method number</w:t>
            </w:r>
          </w:p>
        </w:tc>
        <w:tc>
          <w:tcPr>
            <w:tcW w:w="708" w:type="dxa"/>
            <w:tcBorders>
              <w:top w:val="single" w:sz="8" w:space="0" w:color="auto"/>
              <w:left w:val="nil"/>
              <w:bottom w:val="single" w:sz="8" w:space="0" w:color="auto"/>
              <w:right w:val="single" w:sz="8" w:space="0" w:color="auto"/>
            </w:tcBorders>
            <w:shd w:val="clear" w:color="auto" w:fill="auto"/>
            <w:vAlign w:val="center"/>
            <w:hideMark/>
          </w:tcPr>
          <w:p w14:paraId="6FB981B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N</w:t>
            </w:r>
            <w:r>
              <w:rPr>
                <w:rFonts w:ascii="Times New Roman" w:eastAsia="Times New Roman" w:hAnsi="Times New Roman" w:cs="Times New Roman"/>
                <w:color w:val="000000"/>
                <w:sz w:val="20"/>
                <w:szCs w:val="20"/>
                <w:lang w:val="en-GB" w:eastAsia="ru-RU"/>
              </w:rPr>
              <w:t>umber of samples</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3AB1521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GB" w:eastAsia="ru-RU"/>
              </w:rPr>
              <w:t>M</w:t>
            </w:r>
            <w:r w:rsidRPr="00C24BC0">
              <w:rPr>
                <w:rFonts w:ascii="Times New Roman" w:eastAsia="Times New Roman" w:hAnsi="Times New Roman" w:cs="Times New Roman"/>
                <w:color w:val="000000"/>
                <w:sz w:val="20"/>
                <w:szCs w:val="20"/>
                <w:lang w:val="en-GB" w:eastAsia="ru-RU"/>
              </w:rPr>
              <w:t>ean</w:t>
            </w:r>
            <w:r>
              <w:rPr>
                <w:rFonts w:ascii="Times New Roman" w:eastAsia="Times New Roman" w:hAnsi="Times New Roman" w:cs="Times New Roman"/>
                <w:color w:val="000000"/>
                <w:sz w:val="20"/>
                <w:szCs w:val="20"/>
                <w:lang w:val="en-GB" w:eastAsia="ru-RU"/>
              </w:rPr>
              <w:t xml:space="preserve"> </w:t>
            </w:r>
            <w:r w:rsidRPr="00C24BC0">
              <w:rPr>
                <w:rFonts w:ascii="Times New Roman" w:eastAsia="Times New Roman" w:hAnsi="Times New Roman" w:cs="Times New Roman"/>
                <w:color w:val="000000"/>
                <w:sz w:val="20"/>
                <w:szCs w:val="20"/>
                <w:lang w:val="en-GB" w:eastAsia="ru-RU"/>
              </w:rPr>
              <w:t>±</w:t>
            </w:r>
            <w:r>
              <w:rPr>
                <w:rFonts w:ascii="Times New Roman" w:eastAsia="Times New Roman" w:hAnsi="Times New Roman" w:cs="Times New Roman"/>
                <w:color w:val="000000"/>
                <w:sz w:val="20"/>
                <w:szCs w:val="20"/>
                <w:lang w:val="en-GB" w:eastAsia="ru-RU"/>
              </w:rPr>
              <w:t xml:space="preserve"> SD</w:t>
            </w:r>
            <w:r w:rsidRPr="00C24BC0">
              <w:rPr>
                <w:rFonts w:ascii="Times New Roman" w:eastAsia="Times New Roman" w:hAnsi="Times New Roman" w:cs="Times New Roman"/>
                <w:color w:val="000000"/>
                <w:sz w:val="20"/>
                <w:szCs w:val="20"/>
                <w:lang w:val="en-GB" w:eastAsia="ru-RU"/>
              </w:rPr>
              <w:t>, mGy.</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3FA83B9D" w14:textId="77777777" w:rsidR="00E46E26" w:rsidRDefault="00E46E26" w:rsidP="006C1FAC">
            <w:pPr>
              <w:spacing w:after="0" w:line="240" w:lineRule="auto"/>
              <w:jc w:val="center"/>
              <w:rPr>
                <w:rFonts w:ascii="Times New Roman" w:eastAsia="Times New Roman" w:hAnsi="Times New Roman" w:cs="Times New Roman"/>
                <w:color w:val="000000"/>
                <w:sz w:val="20"/>
                <w:szCs w:val="20"/>
                <w:lang w:val="en-GB" w:eastAsia="ru-RU"/>
              </w:rPr>
            </w:pPr>
            <w:r>
              <w:rPr>
                <w:rFonts w:ascii="Times New Roman" w:eastAsia="Times New Roman" w:hAnsi="Times New Roman" w:cs="Times New Roman"/>
                <w:color w:val="000000"/>
                <w:sz w:val="20"/>
                <w:szCs w:val="20"/>
                <w:lang w:val="en-GB" w:eastAsia="ru-RU"/>
              </w:rPr>
              <w:t>M</w:t>
            </w:r>
            <w:r w:rsidRPr="00C24BC0">
              <w:rPr>
                <w:rFonts w:ascii="Times New Roman" w:eastAsia="Times New Roman" w:hAnsi="Times New Roman" w:cs="Times New Roman"/>
                <w:color w:val="000000"/>
                <w:sz w:val="20"/>
                <w:szCs w:val="20"/>
                <w:lang w:val="en-GB" w:eastAsia="ru-RU"/>
              </w:rPr>
              <w:t>edian,</w:t>
            </w:r>
          </w:p>
          <w:p w14:paraId="3403D36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mGy.</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11D1AFF9" w14:textId="77777777" w:rsidR="00E46E26" w:rsidRDefault="00E46E26" w:rsidP="006C1FAC">
            <w:pPr>
              <w:spacing w:after="0" w:line="240" w:lineRule="auto"/>
              <w:jc w:val="center"/>
              <w:rPr>
                <w:rFonts w:ascii="Times New Roman" w:eastAsia="Times New Roman" w:hAnsi="Times New Roman" w:cs="Times New Roman"/>
                <w:color w:val="000000"/>
                <w:sz w:val="20"/>
                <w:szCs w:val="20"/>
                <w:lang w:val="en-GB" w:eastAsia="ru-RU"/>
              </w:rPr>
            </w:pPr>
            <w:r w:rsidRPr="00C24BC0">
              <w:rPr>
                <w:rFonts w:ascii="Times New Roman" w:eastAsia="Times New Roman" w:hAnsi="Times New Roman" w:cs="Times New Roman"/>
                <w:color w:val="000000"/>
                <w:sz w:val="20"/>
                <w:szCs w:val="20"/>
                <w:lang w:val="en-GB" w:eastAsia="ru-RU"/>
              </w:rPr>
              <w:t>25-75%,</w:t>
            </w:r>
          </w:p>
          <w:p w14:paraId="3458949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mGy.</w:t>
            </w:r>
          </w:p>
        </w:tc>
      </w:tr>
      <w:tr w:rsidR="00E46E26" w:rsidRPr="00C24BC0" w14:paraId="46922FFB" w14:textId="77777777" w:rsidTr="006C1FAC">
        <w:trPr>
          <w:trHeight w:val="315"/>
          <w:jc w:val="center"/>
        </w:trPr>
        <w:tc>
          <w:tcPr>
            <w:tcW w:w="7528" w:type="dxa"/>
            <w:gridSpan w:val="5"/>
            <w:tcBorders>
              <w:top w:val="single" w:sz="8" w:space="0" w:color="auto"/>
              <w:left w:val="single" w:sz="8" w:space="0" w:color="auto"/>
              <w:bottom w:val="single" w:sz="8" w:space="0" w:color="auto"/>
              <w:right w:val="nil"/>
            </w:tcBorders>
            <w:shd w:val="clear" w:color="auto" w:fill="auto"/>
            <w:vAlign w:val="center"/>
            <w:hideMark/>
          </w:tcPr>
          <w:p w14:paraId="439BAEE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Posterior teeth, whole enamel</w:t>
            </w:r>
          </w:p>
        </w:tc>
      </w:tr>
      <w:tr w:rsidR="00E46E26" w:rsidRPr="00C24BC0" w14:paraId="69317CD6"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1479C61"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2</w:t>
            </w:r>
          </w:p>
        </w:tc>
        <w:tc>
          <w:tcPr>
            <w:tcW w:w="708" w:type="dxa"/>
            <w:tcBorders>
              <w:top w:val="nil"/>
              <w:left w:val="nil"/>
              <w:bottom w:val="single" w:sz="8" w:space="0" w:color="auto"/>
              <w:right w:val="single" w:sz="8" w:space="0" w:color="auto"/>
            </w:tcBorders>
            <w:shd w:val="clear" w:color="auto" w:fill="auto"/>
            <w:vAlign w:val="center"/>
            <w:hideMark/>
          </w:tcPr>
          <w:p w14:paraId="63471A2A"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55</w:t>
            </w:r>
          </w:p>
        </w:tc>
        <w:tc>
          <w:tcPr>
            <w:tcW w:w="1843" w:type="dxa"/>
            <w:tcBorders>
              <w:top w:val="nil"/>
              <w:left w:val="nil"/>
              <w:bottom w:val="single" w:sz="8" w:space="0" w:color="auto"/>
              <w:right w:val="single" w:sz="8" w:space="0" w:color="auto"/>
            </w:tcBorders>
            <w:shd w:val="clear" w:color="auto" w:fill="auto"/>
            <w:vAlign w:val="center"/>
            <w:hideMark/>
          </w:tcPr>
          <w:p w14:paraId="39C3B0DF"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200±170</w:t>
            </w:r>
          </w:p>
        </w:tc>
        <w:tc>
          <w:tcPr>
            <w:tcW w:w="1843" w:type="dxa"/>
            <w:tcBorders>
              <w:top w:val="nil"/>
              <w:left w:val="nil"/>
              <w:bottom w:val="single" w:sz="8" w:space="0" w:color="auto"/>
              <w:right w:val="single" w:sz="8" w:space="0" w:color="auto"/>
            </w:tcBorders>
            <w:shd w:val="clear" w:color="auto" w:fill="auto"/>
            <w:vAlign w:val="center"/>
            <w:hideMark/>
          </w:tcPr>
          <w:p w14:paraId="23653F45"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140</w:t>
            </w:r>
          </w:p>
        </w:tc>
        <w:tc>
          <w:tcPr>
            <w:tcW w:w="1559" w:type="dxa"/>
            <w:tcBorders>
              <w:top w:val="nil"/>
              <w:left w:val="nil"/>
              <w:bottom w:val="single" w:sz="8" w:space="0" w:color="auto"/>
              <w:right w:val="single" w:sz="8" w:space="0" w:color="auto"/>
            </w:tcBorders>
            <w:shd w:val="clear" w:color="auto" w:fill="auto"/>
            <w:vAlign w:val="center"/>
            <w:hideMark/>
          </w:tcPr>
          <w:p w14:paraId="7E38EEE3"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90 – 230</w:t>
            </w:r>
          </w:p>
        </w:tc>
      </w:tr>
      <w:tr w:rsidR="00E46E26" w:rsidRPr="00C24BC0" w14:paraId="1583B76D"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2A8F200B"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3</w:t>
            </w:r>
          </w:p>
        </w:tc>
        <w:tc>
          <w:tcPr>
            <w:tcW w:w="708" w:type="dxa"/>
            <w:tcBorders>
              <w:top w:val="nil"/>
              <w:left w:val="nil"/>
              <w:bottom w:val="single" w:sz="8" w:space="0" w:color="auto"/>
              <w:right w:val="single" w:sz="8" w:space="0" w:color="auto"/>
            </w:tcBorders>
            <w:shd w:val="clear" w:color="auto" w:fill="auto"/>
            <w:vAlign w:val="center"/>
            <w:hideMark/>
          </w:tcPr>
          <w:p w14:paraId="4FCD1AF7"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13</w:t>
            </w:r>
          </w:p>
        </w:tc>
        <w:tc>
          <w:tcPr>
            <w:tcW w:w="1843" w:type="dxa"/>
            <w:tcBorders>
              <w:top w:val="nil"/>
              <w:left w:val="nil"/>
              <w:bottom w:val="single" w:sz="8" w:space="0" w:color="auto"/>
              <w:right w:val="single" w:sz="8" w:space="0" w:color="auto"/>
            </w:tcBorders>
            <w:shd w:val="clear" w:color="auto" w:fill="auto"/>
            <w:vAlign w:val="center"/>
            <w:hideMark/>
          </w:tcPr>
          <w:p w14:paraId="0A904ED3"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130±80</w:t>
            </w:r>
          </w:p>
        </w:tc>
        <w:tc>
          <w:tcPr>
            <w:tcW w:w="1843" w:type="dxa"/>
            <w:tcBorders>
              <w:top w:val="nil"/>
              <w:left w:val="nil"/>
              <w:bottom w:val="single" w:sz="8" w:space="0" w:color="auto"/>
              <w:right w:val="single" w:sz="8" w:space="0" w:color="auto"/>
            </w:tcBorders>
            <w:shd w:val="clear" w:color="auto" w:fill="auto"/>
            <w:vAlign w:val="center"/>
            <w:hideMark/>
          </w:tcPr>
          <w:p w14:paraId="5D2CA701"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130</w:t>
            </w:r>
          </w:p>
        </w:tc>
        <w:tc>
          <w:tcPr>
            <w:tcW w:w="1559" w:type="dxa"/>
            <w:tcBorders>
              <w:top w:val="nil"/>
              <w:left w:val="nil"/>
              <w:bottom w:val="single" w:sz="8" w:space="0" w:color="auto"/>
              <w:right w:val="single" w:sz="8" w:space="0" w:color="auto"/>
            </w:tcBorders>
            <w:shd w:val="clear" w:color="auto" w:fill="auto"/>
            <w:vAlign w:val="center"/>
            <w:hideMark/>
          </w:tcPr>
          <w:p w14:paraId="150FAD9A"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60 – 190</w:t>
            </w:r>
          </w:p>
        </w:tc>
      </w:tr>
      <w:tr w:rsidR="00E46E26" w:rsidRPr="00C24BC0" w14:paraId="284A4C41"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9209933"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4</w:t>
            </w:r>
          </w:p>
        </w:tc>
        <w:tc>
          <w:tcPr>
            <w:tcW w:w="708" w:type="dxa"/>
            <w:tcBorders>
              <w:top w:val="nil"/>
              <w:left w:val="nil"/>
              <w:bottom w:val="single" w:sz="8" w:space="0" w:color="auto"/>
              <w:right w:val="single" w:sz="8" w:space="0" w:color="auto"/>
            </w:tcBorders>
            <w:shd w:val="clear" w:color="auto" w:fill="auto"/>
            <w:vAlign w:val="center"/>
            <w:hideMark/>
          </w:tcPr>
          <w:p w14:paraId="72A23A1A"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29</w:t>
            </w:r>
          </w:p>
        </w:tc>
        <w:tc>
          <w:tcPr>
            <w:tcW w:w="1843" w:type="dxa"/>
            <w:tcBorders>
              <w:top w:val="nil"/>
              <w:left w:val="nil"/>
              <w:bottom w:val="single" w:sz="8" w:space="0" w:color="auto"/>
              <w:right w:val="single" w:sz="8" w:space="0" w:color="auto"/>
            </w:tcBorders>
            <w:shd w:val="clear" w:color="auto" w:fill="auto"/>
            <w:vAlign w:val="center"/>
            <w:hideMark/>
          </w:tcPr>
          <w:p w14:paraId="549BEBF5"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60±110</w:t>
            </w:r>
          </w:p>
        </w:tc>
        <w:tc>
          <w:tcPr>
            <w:tcW w:w="1843" w:type="dxa"/>
            <w:tcBorders>
              <w:top w:val="nil"/>
              <w:left w:val="nil"/>
              <w:bottom w:val="single" w:sz="8" w:space="0" w:color="auto"/>
              <w:right w:val="single" w:sz="8" w:space="0" w:color="auto"/>
            </w:tcBorders>
            <w:shd w:val="clear" w:color="auto" w:fill="auto"/>
            <w:vAlign w:val="center"/>
            <w:hideMark/>
          </w:tcPr>
          <w:p w14:paraId="7CB80139"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70</w:t>
            </w:r>
          </w:p>
        </w:tc>
        <w:tc>
          <w:tcPr>
            <w:tcW w:w="1559" w:type="dxa"/>
            <w:tcBorders>
              <w:top w:val="nil"/>
              <w:left w:val="nil"/>
              <w:bottom w:val="single" w:sz="8" w:space="0" w:color="auto"/>
              <w:right w:val="single" w:sz="8" w:space="0" w:color="auto"/>
            </w:tcBorders>
            <w:shd w:val="clear" w:color="auto" w:fill="auto"/>
            <w:vAlign w:val="center"/>
            <w:hideMark/>
          </w:tcPr>
          <w:p w14:paraId="3A13E523"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-40 – 130</w:t>
            </w:r>
          </w:p>
        </w:tc>
      </w:tr>
      <w:tr w:rsidR="00E46E26" w:rsidRPr="00C24BC0" w14:paraId="24889CAD"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455C199A"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6</w:t>
            </w:r>
          </w:p>
        </w:tc>
        <w:tc>
          <w:tcPr>
            <w:tcW w:w="708" w:type="dxa"/>
            <w:tcBorders>
              <w:top w:val="nil"/>
              <w:left w:val="nil"/>
              <w:bottom w:val="single" w:sz="8" w:space="0" w:color="auto"/>
              <w:right w:val="single" w:sz="8" w:space="0" w:color="auto"/>
            </w:tcBorders>
            <w:shd w:val="clear" w:color="auto" w:fill="auto"/>
            <w:vAlign w:val="center"/>
            <w:hideMark/>
          </w:tcPr>
          <w:p w14:paraId="794F076D"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32</w:t>
            </w:r>
          </w:p>
        </w:tc>
        <w:tc>
          <w:tcPr>
            <w:tcW w:w="1843" w:type="dxa"/>
            <w:tcBorders>
              <w:top w:val="nil"/>
              <w:left w:val="nil"/>
              <w:bottom w:val="single" w:sz="8" w:space="0" w:color="auto"/>
              <w:right w:val="single" w:sz="8" w:space="0" w:color="auto"/>
            </w:tcBorders>
            <w:shd w:val="clear" w:color="auto" w:fill="auto"/>
            <w:vAlign w:val="center"/>
            <w:hideMark/>
          </w:tcPr>
          <w:p w14:paraId="67DCE2AC"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70±80</w:t>
            </w:r>
          </w:p>
        </w:tc>
        <w:tc>
          <w:tcPr>
            <w:tcW w:w="1843" w:type="dxa"/>
            <w:tcBorders>
              <w:top w:val="nil"/>
              <w:left w:val="nil"/>
              <w:bottom w:val="single" w:sz="8" w:space="0" w:color="auto"/>
              <w:right w:val="single" w:sz="8" w:space="0" w:color="auto"/>
            </w:tcBorders>
            <w:shd w:val="clear" w:color="auto" w:fill="auto"/>
            <w:vAlign w:val="center"/>
            <w:hideMark/>
          </w:tcPr>
          <w:p w14:paraId="1FF0C6EA"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60</w:t>
            </w:r>
          </w:p>
        </w:tc>
        <w:tc>
          <w:tcPr>
            <w:tcW w:w="1559" w:type="dxa"/>
            <w:tcBorders>
              <w:top w:val="nil"/>
              <w:left w:val="nil"/>
              <w:bottom w:val="single" w:sz="8" w:space="0" w:color="auto"/>
              <w:right w:val="single" w:sz="8" w:space="0" w:color="auto"/>
            </w:tcBorders>
            <w:shd w:val="clear" w:color="auto" w:fill="auto"/>
            <w:vAlign w:val="center"/>
            <w:hideMark/>
          </w:tcPr>
          <w:p w14:paraId="730BBE18"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10 – 100</w:t>
            </w:r>
          </w:p>
        </w:tc>
      </w:tr>
      <w:tr w:rsidR="00E46E26" w:rsidRPr="00C24BC0" w14:paraId="3ADE0B91"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27EF595D"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7</w:t>
            </w:r>
          </w:p>
        </w:tc>
        <w:tc>
          <w:tcPr>
            <w:tcW w:w="708" w:type="dxa"/>
            <w:tcBorders>
              <w:top w:val="nil"/>
              <w:left w:val="nil"/>
              <w:bottom w:val="single" w:sz="8" w:space="0" w:color="auto"/>
              <w:right w:val="single" w:sz="8" w:space="0" w:color="auto"/>
            </w:tcBorders>
            <w:shd w:val="clear" w:color="auto" w:fill="auto"/>
            <w:vAlign w:val="center"/>
            <w:hideMark/>
          </w:tcPr>
          <w:p w14:paraId="24440753"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12</w:t>
            </w:r>
          </w:p>
        </w:tc>
        <w:tc>
          <w:tcPr>
            <w:tcW w:w="1843" w:type="dxa"/>
            <w:tcBorders>
              <w:top w:val="nil"/>
              <w:left w:val="nil"/>
              <w:bottom w:val="single" w:sz="8" w:space="0" w:color="auto"/>
              <w:right w:val="single" w:sz="8" w:space="0" w:color="auto"/>
            </w:tcBorders>
            <w:shd w:val="clear" w:color="auto" w:fill="auto"/>
            <w:vAlign w:val="center"/>
            <w:hideMark/>
          </w:tcPr>
          <w:p w14:paraId="60D9BA04"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40±80</w:t>
            </w:r>
          </w:p>
        </w:tc>
        <w:tc>
          <w:tcPr>
            <w:tcW w:w="1843" w:type="dxa"/>
            <w:tcBorders>
              <w:top w:val="nil"/>
              <w:left w:val="nil"/>
              <w:bottom w:val="single" w:sz="8" w:space="0" w:color="auto"/>
              <w:right w:val="single" w:sz="8" w:space="0" w:color="auto"/>
            </w:tcBorders>
            <w:shd w:val="clear" w:color="auto" w:fill="auto"/>
            <w:vAlign w:val="center"/>
            <w:hideMark/>
          </w:tcPr>
          <w:p w14:paraId="1BC21481"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20</w:t>
            </w:r>
          </w:p>
        </w:tc>
        <w:tc>
          <w:tcPr>
            <w:tcW w:w="1559" w:type="dxa"/>
            <w:tcBorders>
              <w:top w:val="nil"/>
              <w:left w:val="nil"/>
              <w:bottom w:val="single" w:sz="8" w:space="0" w:color="auto"/>
              <w:right w:val="single" w:sz="8" w:space="0" w:color="auto"/>
            </w:tcBorders>
            <w:shd w:val="clear" w:color="auto" w:fill="auto"/>
            <w:vAlign w:val="center"/>
            <w:hideMark/>
          </w:tcPr>
          <w:p w14:paraId="7F9965A9"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-15 – 90</w:t>
            </w:r>
          </w:p>
        </w:tc>
      </w:tr>
      <w:tr w:rsidR="00E46E26" w:rsidRPr="00C24BC0" w14:paraId="4A23A3D9"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36E8739"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8</w:t>
            </w:r>
          </w:p>
        </w:tc>
        <w:tc>
          <w:tcPr>
            <w:tcW w:w="708" w:type="dxa"/>
            <w:tcBorders>
              <w:top w:val="nil"/>
              <w:left w:val="nil"/>
              <w:bottom w:val="single" w:sz="8" w:space="0" w:color="auto"/>
              <w:right w:val="single" w:sz="8" w:space="0" w:color="auto"/>
            </w:tcBorders>
            <w:shd w:val="clear" w:color="auto" w:fill="auto"/>
            <w:vAlign w:val="center"/>
            <w:hideMark/>
          </w:tcPr>
          <w:p w14:paraId="724695D5"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10</w:t>
            </w:r>
          </w:p>
        </w:tc>
        <w:tc>
          <w:tcPr>
            <w:tcW w:w="1843" w:type="dxa"/>
            <w:tcBorders>
              <w:top w:val="nil"/>
              <w:left w:val="nil"/>
              <w:bottom w:val="single" w:sz="8" w:space="0" w:color="auto"/>
              <w:right w:val="single" w:sz="8" w:space="0" w:color="auto"/>
            </w:tcBorders>
            <w:shd w:val="clear" w:color="auto" w:fill="auto"/>
            <w:vAlign w:val="center"/>
            <w:hideMark/>
          </w:tcPr>
          <w:p w14:paraId="18EEFD99"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20±100</w:t>
            </w:r>
          </w:p>
        </w:tc>
        <w:tc>
          <w:tcPr>
            <w:tcW w:w="1843" w:type="dxa"/>
            <w:tcBorders>
              <w:top w:val="nil"/>
              <w:left w:val="nil"/>
              <w:bottom w:val="single" w:sz="8" w:space="0" w:color="auto"/>
              <w:right w:val="single" w:sz="8" w:space="0" w:color="auto"/>
            </w:tcBorders>
            <w:shd w:val="clear" w:color="auto" w:fill="auto"/>
            <w:vAlign w:val="center"/>
            <w:hideMark/>
          </w:tcPr>
          <w:p w14:paraId="23839BBE"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-20</w:t>
            </w:r>
          </w:p>
        </w:tc>
        <w:tc>
          <w:tcPr>
            <w:tcW w:w="1559" w:type="dxa"/>
            <w:tcBorders>
              <w:top w:val="nil"/>
              <w:left w:val="nil"/>
              <w:bottom w:val="single" w:sz="8" w:space="0" w:color="auto"/>
              <w:right w:val="single" w:sz="8" w:space="0" w:color="auto"/>
            </w:tcBorders>
            <w:shd w:val="clear" w:color="auto" w:fill="auto"/>
            <w:vAlign w:val="center"/>
            <w:hideMark/>
          </w:tcPr>
          <w:p w14:paraId="0AFA949B"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-60 – 140</w:t>
            </w:r>
          </w:p>
        </w:tc>
      </w:tr>
      <w:tr w:rsidR="00E46E26" w:rsidRPr="00C24BC0" w14:paraId="061C1826"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545195BF"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10</w:t>
            </w:r>
          </w:p>
        </w:tc>
        <w:tc>
          <w:tcPr>
            <w:tcW w:w="708" w:type="dxa"/>
            <w:tcBorders>
              <w:top w:val="nil"/>
              <w:left w:val="nil"/>
              <w:bottom w:val="single" w:sz="8" w:space="0" w:color="auto"/>
              <w:right w:val="single" w:sz="8" w:space="0" w:color="auto"/>
            </w:tcBorders>
            <w:shd w:val="clear" w:color="auto" w:fill="auto"/>
            <w:vAlign w:val="center"/>
            <w:hideMark/>
          </w:tcPr>
          <w:p w14:paraId="58EA9907"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18</w:t>
            </w:r>
          </w:p>
        </w:tc>
        <w:tc>
          <w:tcPr>
            <w:tcW w:w="1843" w:type="dxa"/>
            <w:tcBorders>
              <w:top w:val="nil"/>
              <w:left w:val="nil"/>
              <w:bottom w:val="single" w:sz="8" w:space="0" w:color="auto"/>
              <w:right w:val="single" w:sz="8" w:space="0" w:color="auto"/>
            </w:tcBorders>
            <w:shd w:val="clear" w:color="auto" w:fill="auto"/>
            <w:vAlign w:val="center"/>
            <w:hideMark/>
          </w:tcPr>
          <w:p w14:paraId="3AFD76D0"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50±40</w:t>
            </w:r>
          </w:p>
        </w:tc>
        <w:tc>
          <w:tcPr>
            <w:tcW w:w="1843" w:type="dxa"/>
            <w:tcBorders>
              <w:top w:val="nil"/>
              <w:left w:val="nil"/>
              <w:bottom w:val="single" w:sz="8" w:space="0" w:color="auto"/>
              <w:right w:val="single" w:sz="8" w:space="0" w:color="auto"/>
            </w:tcBorders>
            <w:shd w:val="clear" w:color="auto" w:fill="auto"/>
            <w:vAlign w:val="center"/>
            <w:hideMark/>
          </w:tcPr>
          <w:p w14:paraId="28C3D82A"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40</w:t>
            </w:r>
          </w:p>
        </w:tc>
        <w:tc>
          <w:tcPr>
            <w:tcW w:w="1559" w:type="dxa"/>
            <w:tcBorders>
              <w:top w:val="nil"/>
              <w:left w:val="nil"/>
              <w:bottom w:val="single" w:sz="8" w:space="0" w:color="auto"/>
              <w:right w:val="single" w:sz="8" w:space="0" w:color="auto"/>
            </w:tcBorders>
            <w:shd w:val="clear" w:color="auto" w:fill="auto"/>
            <w:vAlign w:val="center"/>
            <w:hideMark/>
          </w:tcPr>
          <w:p w14:paraId="7C488B7C"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20 – 70</w:t>
            </w:r>
          </w:p>
        </w:tc>
      </w:tr>
      <w:tr w:rsidR="00E46E26" w:rsidRPr="00C24BC0" w14:paraId="697AEDE9"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ED72645"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11</w:t>
            </w:r>
          </w:p>
        </w:tc>
        <w:tc>
          <w:tcPr>
            <w:tcW w:w="708" w:type="dxa"/>
            <w:tcBorders>
              <w:top w:val="nil"/>
              <w:left w:val="nil"/>
              <w:bottom w:val="single" w:sz="8" w:space="0" w:color="auto"/>
              <w:right w:val="single" w:sz="8" w:space="0" w:color="auto"/>
            </w:tcBorders>
            <w:shd w:val="clear" w:color="auto" w:fill="auto"/>
            <w:vAlign w:val="center"/>
            <w:hideMark/>
          </w:tcPr>
          <w:p w14:paraId="1EE41550"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65</w:t>
            </w:r>
          </w:p>
        </w:tc>
        <w:tc>
          <w:tcPr>
            <w:tcW w:w="1843" w:type="dxa"/>
            <w:tcBorders>
              <w:top w:val="nil"/>
              <w:left w:val="nil"/>
              <w:bottom w:val="single" w:sz="8" w:space="0" w:color="auto"/>
              <w:right w:val="single" w:sz="8" w:space="0" w:color="auto"/>
            </w:tcBorders>
            <w:shd w:val="clear" w:color="auto" w:fill="auto"/>
            <w:vAlign w:val="center"/>
            <w:hideMark/>
          </w:tcPr>
          <w:p w14:paraId="2F125570"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110±70</w:t>
            </w:r>
          </w:p>
        </w:tc>
        <w:tc>
          <w:tcPr>
            <w:tcW w:w="1843" w:type="dxa"/>
            <w:tcBorders>
              <w:top w:val="nil"/>
              <w:left w:val="nil"/>
              <w:bottom w:val="single" w:sz="8" w:space="0" w:color="auto"/>
              <w:right w:val="single" w:sz="8" w:space="0" w:color="auto"/>
            </w:tcBorders>
            <w:shd w:val="clear" w:color="auto" w:fill="auto"/>
            <w:vAlign w:val="center"/>
            <w:hideMark/>
          </w:tcPr>
          <w:p w14:paraId="6D646614"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100</w:t>
            </w:r>
          </w:p>
        </w:tc>
        <w:tc>
          <w:tcPr>
            <w:tcW w:w="1559" w:type="dxa"/>
            <w:tcBorders>
              <w:top w:val="nil"/>
              <w:left w:val="nil"/>
              <w:bottom w:val="single" w:sz="8" w:space="0" w:color="auto"/>
              <w:right w:val="single" w:sz="8" w:space="0" w:color="auto"/>
            </w:tcBorders>
            <w:shd w:val="clear" w:color="auto" w:fill="auto"/>
            <w:vAlign w:val="center"/>
            <w:hideMark/>
          </w:tcPr>
          <w:p w14:paraId="3FACF68A"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60 – 150</w:t>
            </w:r>
          </w:p>
        </w:tc>
      </w:tr>
      <w:tr w:rsidR="00E46E26" w:rsidRPr="00C24BC0" w14:paraId="0D321198"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2C06056C"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14</w:t>
            </w:r>
          </w:p>
        </w:tc>
        <w:tc>
          <w:tcPr>
            <w:tcW w:w="708" w:type="dxa"/>
            <w:tcBorders>
              <w:top w:val="nil"/>
              <w:left w:val="nil"/>
              <w:bottom w:val="single" w:sz="8" w:space="0" w:color="auto"/>
              <w:right w:val="single" w:sz="8" w:space="0" w:color="auto"/>
            </w:tcBorders>
            <w:shd w:val="clear" w:color="auto" w:fill="auto"/>
            <w:vAlign w:val="center"/>
            <w:hideMark/>
          </w:tcPr>
          <w:p w14:paraId="7E0ACAC9"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26</w:t>
            </w:r>
          </w:p>
        </w:tc>
        <w:tc>
          <w:tcPr>
            <w:tcW w:w="1843" w:type="dxa"/>
            <w:tcBorders>
              <w:top w:val="nil"/>
              <w:left w:val="nil"/>
              <w:bottom w:val="single" w:sz="8" w:space="0" w:color="auto"/>
              <w:right w:val="single" w:sz="8" w:space="0" w:color="auto"/>
            </w:tcBorders>
            <w:shd w:val="clear" w:color="auto" w:fill="auto"/>
            <w:vAlign w:val="center"/>
            <w:hideMark/>
          </w:tcPr>
          <w:p w14:paraId="7F1276F4"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0±70</w:t>
            </w:r>
          </w:p>
        </w:tc>
        <w:tc>
          <w:tcPr>
            <w:tcW w:w="1843" w:type="dxa"/>
            <w:tcBorders>
              <w:top w:val="nil"/>
              <w:left w:val="nil"/>
              <w:bottom w:val="single" w:sz="8" w:space="0" w:color="auto"/>
              <w:right w:val="single" w:sz="8" w:space="0" w:color="auto"/>
            </w:tcBorders>
            <w:shd w:val="clear" w:color="auto" w:fill="auto"/>
            <w:vAlign w:val="center"/>
            <w:hideMark/>
          </w:tcPr>
          <w:p w14:paraId="026A6B40"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0</w:t>
            </w:r>
          </w:p>
        </w:tc>
        <w:tc>
          <w:tcPr>
            <w:tcW w:w="1559" w:type="dxa"/>
            <w:tcBorders>
              <w:top w:val="nil"/>
              <w:left w:val="nil"/>
              <w:bottom w:val="single" w:sz="8" w:space="0" w:color="auto"/>
              <w:right w:val="single" w:sz="8" w:space="0" w:color="auto"/>
            </w:tcBorders>
            <w:shd w:val="clear" w:color="auto" w:fill="auto"/>
            <w:vAlign w:val="center"/>
            <w:hideMark/>
          </w:tcPr>
          <w:p w14:paraId="47A12C6C"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-40 – 40</w:t>
            </w:r>
          </w:p>
        </w:tc>
      </w:tr>
      <w:tr w:rsidR="00E46E26" w:rsidRPr="00C24BC0" w14:paraId="3B681BD5" w14:textId="77777777" w:rsidTr="006C1FAC">
        <w:trPr>
          <w:trHeight w:val="315"/>
          <w:jc w:val="center"/>
        </w:trPr>
        <w:tc>
          <w:tcPr>
            <w:tcW w:w="7528" w:type="dxa"/>
            <w:gridSpan w:val="5"/>
            <w:tcBorders>
              <w:top w:val="single" w:sz="8" w:space="0" w:color="auto"/>
              <w:left w:val="single" w:sz="8" w:space="0" w:color="auto"/>
              <w:bottom w:val="single" w:sz="8" w:space="0" w:color="auto"/>
              <w:right w:val="nil"/>
            </w:tcBorders>
            <w:shd w:val="clear" w:color="auto" w:fill="auto"/>
            <w:vAlign w:val="center"/>
            <w:hideMark/>
          </w:tcPr>
          <w:p w14:paraId="54D99CF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Anterior teeth, whole enamel</w:t>
            </w:r>
          </w:p>
        </w:tc>
      </w:tr>
      <w:tr w:rsidR="00E46E26" w:rsidRPr="00C24BC0" w14:paraId="67C94527"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24007B45"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19</w:t>
            </w:r>
          </w:p>
        </w:tc>
        <w:tc>
          <w:tcPr>
            <w:tcW w:w="708" w:type="dxa"/>
            <w:tcBorders>
              <w:top w:val="nil"/>
              <w:left w:val="nil"/>
              <w:bottom w:val="single" w:sz="8" w:space="0" w:color="auto"/>
              <w:right w:val="single" w:sz="8" w:space="0" w:color="auto"/>
            </w:tcBorders>
            <w:shd w:val="clear" w:color="auto" w:fill="auto"/>
            <w:vAlign w:val="center"/>
            <w:hideMark/>
          </w:tcPr>
          <w:p w14:paraId="4185C515"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11</w:t>
            </w:r>
          </w:p>
        </w:tc>
        <w:tc>
          <w:tcPr>
            <w:tcW w:w="1843" w:type="dxa"/>
            <w:tcBorders>
              <w:top w:val="nil"/>
              <w:left w:val="nil"/>
              <w:bottom w:val="single" w:sz="8" w:space="0" w:color="auto"/>
              <w:right w:val="single" w:sz="8" w:space="0" w:color="auto"/>
            </w:tcBorders>
            <w:shd w:val="clear" w:color="auto" w:fill="auto"/>
            <w:vAlign w:val="center"/>
            <w:hideMark/>
          </w:tcPr>
          <w:p w14:paraId="43E68740"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320±130</w:t>
            </w:r>
          </w:p>
        </w:tc>
        <w:tc>
          <w:tcPr>
            <w:tcW w:w="1843" w:type="dxa"/>
            <w:tcBorders>
              <w:top w:val="nil"/>
              <w:left w:val="nil"/>
              <w:bottom w:val="single" w:sz="8" w:space="0" w:color="auto"/>
              <w:right w:val="single" w:sz="8" w:space="0" w:color="auto"/>
            </w:tcBorders>
            <w:shd w:val="clear" w:color="auto" w:fill="auto"/>
            <w:vAlign w:val="center"/>
            <w:hideMark/>
          </w:tcPr>
          <w:p w14:paraId="7DDF8D2B"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320</w:t>
            </w:r>
          </w:p>
        </w:tc>
        <w:tc>
          <w:tcPr>
            <w:tcW w:w="1559" w:type="dxa"/>
            <w:tcBorders>
              <w:top w:val="nil"/>
              <w:left w:val="nil"/>
              <w:bottom w:val="single" w:sz="8" w:space="0" w:color="auto"/>
              <w:right w:val="single" w:sz="8" w:space="0" w:color="auto"/>
            </w:tcBorders>
            <w:shd w:val="clear" w:color="auto" w:fill="auto"/>
            <w:vAlign w:val="center"/>
            <w:hideMark/>
          </w:tcPr>
          <w:p w14:paraId="0437B28C"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200 – 400</w:t>
            </w:r>
          </w:p>
        </w:tc>
      </w:tr>
      <w:tr w:rsidR="00E46E26" w:rsidRPr="00E46E26" w14:paraId="48E28263" w14:textId="77777777" w:rsidTr="006C1FAC">
        <w:trPr>
          <w:trHeight w:val="315"/>
          <w:jc w:val="center"/>
        </w:trPr>
        <w:tc>
          <w:tcPr>
            <w:tcW w:w="7528" w:type="dxa"/>
            <w:gridSpan w:val="5"/>
            <w:tcBorders>
              <w:top w:val="single" w:sz="8" w:space="0" w:color="auto"/>
              <w:left w:val="single" w:sz="8" w:space="0" w:color="auto"/>
              <w:bottom w:val="single" w:sz="8" w:space="0" w:color="auto"/>
              <w:right w:val="nil"/>
            </w:tcBorders>
            <w:shd w:val="clear" w:color="auto" w:fill="auto"/>
            <w:vAlign w:val="center"/>
            <w:hideMark/>
          </w:tcPr>
          <w:p w14:paraId="2F6ECE0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GB" w:eastAsia="ru-RU"/>
              </w:rPr>
              <w:t>Anterior teeth, labial enamel fraction</w:t>
            </w:r>
          </w:p>
        </w:tc>
      </w:tr>
      <w:tr w:rsidR="00E46E26" w:rsidRPr="00C24BC0" w14:paraId="5CA68E90"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34B0F15F"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19</w:t>
            </w:r>
          </w:p>
        </w:tc>
        <w:tc>
          <w:tcPr>
            <w:tcW w:w="708" w:type="dxa"/>
            <w:tcBorders>
              <w:top w:val="nil"/>
              <w:left w:val="nil"/>
              <w:bottom w:val="single" w:sz="8" w:space="0" w:color="auto"/>
              <w:right w:val="single" w:sz="8" w:space="0" w:color="auto"/>
            </w:tcBorders>
            <w:shd w:val="clear" w:color="auto" w:fill="auto"/>
            <w:vAlign w:val="center"/>
            <w:hideMark/>
          </w:tcPr>
          <w:p w14:paraId="0328A873"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19</w:t>
            </w:r>
          </w:p>
        </w:tc>
        <w:tc>
          <w:tcPr>
            <w:tcW w:w="1843" w:type="dxa"/>
            <w:tcBorders>
              <w:top w:val="nil"/>
              <w:left w:val="nil"/>
              <w:bottom w:val="single" w:sz="8" w:space="0" w:color="auto"/>
              <w:right w:val="single" w:sz="8" w:space="0" w:color="auto"/>
            </w:tcBorders>
            <w:shd w:val="clear" w:color="auto" w:fill="auto"/>
            <w:vAlign w:val="center"/>
            <w:hideMark/>
          </w:tcPr>
          <w:p w14:paraId="49D2FC93"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420±370</w:t>
            </w:r>
          </w:p>
        </w:tc>
        <w:tc>
          <w:tcPr>
            <w:tcW w:w="1843" w:type="dxa"/>
            <w:tcBorders>
              <w:top w:val="nil"/>
              <w:left w:val="nil"/>
              <w:bottom w:val="single" w:sz="8" w:space="0" w:color="auto"/>
              <w:right w:val="single" w:sz="8" w:space="0" w:color="auto"/>
            </w:tcBorders>
            <w:shd w:val="clear" w:color="auto" w:fill="auto"/>
            <w:vAlign w:val="center"/>
            <w:hideMark/>
          </w:tcPr>
          <w:p w14:paraId="3E30611B"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320</w:t>
            </w:r>
          </w:p>
        </w:tc>
        <w:tc>
          <w:tcPr>
            <w:tcW w:w="1559" w:type="dxa"/>
            <w:tcBorders>
              <w:top w:val="nil"/>
              <w:left w:val="nil"/>
              <w:bottom w:val="single" w:sz="8" w:space="0" w:color="auto"/>
              <w:right w:val="single" w:sz="8" w:space="0" w:color="auto"/>
            </w:tcBorders>
            <w:shd w:val="clear" w:color="auto" w:fill="auto"/>
            <w:vAlign w:val="center"/>
            <w:hideMark/>
          </w:tcPr>
          <w:p w14:paraId="610A2126"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170 – 660</w:t>
            </w:r>
          </w:p>
        </w:tc>
      </w:tr>
      <w:tr w:rsidR="00E46E26" w:rsidRPr="00C24BC0" w14:paraId="7C3CBC8F"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CB80965"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27</w:t>
            </w:r>
          </w:p>
        </w:tc>
        <w:tc>
          <w:tcPr>
            <w:tcW w:w="708" w:type="dxa"/>
            <w:tcBorders>
              <w:top w:val="nil"/>
              <w:left w:val="nil"/>
              <w:bottom w:val="single" w:sz="8" w:space="0" w:color="auto"/>
              <w:right w:val="single" w:sz="8" w:space="0" w:color="auto"/>
            </w:tcBorders>
            <w:shd w:val="clear" w:color="auto" w:fill="auto"/>
            <w:vAlign w:val="center"/>
            <w:hideMark/>
          </w:tcPr>
          <w:p w14:paraId="3B4D54CA"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40</w:t>
            </w:r>
          </w:p>
        </w:tc>
        <w:tc>
          <w:tcPr>
            <w:tcW w:w="1843" w:type="dxa"/>
            <w:tcBorders>
              <w:top w:val="nil"/>
              <w:left w:val="nil"/>
              <w:bottom w:val="single" w:sz="8" w:space="0" w:color="auto"/>
              <w:right w:val="single" w:sz="8" w:space="0" w:color="auto"/>
            </w:tcBorders>
            <w:shd w:val="clear" w:color="auto" w:fill="auto"/>
            <w:vAlign w:val="center"/>
            <w:hideMark/>
          </w:tcPr>
          <w:p w14:paraId="20BA8ED8"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400±310</w:t>
            </w:r>
          </w:p>
        </w:tc>
        <w:tc>
          <w:tcPr>
            <w:tcW w:w="1843" w:type="dxa"/>
            <w:tcBorders>
              <w:top w:val="nil"/>
              <w:left w:val="nil"/>
              <w:bottom w:val="single" w:sz="8" w:space="0" w:color="auto"/>
              <w:right w:val="single" w:sz="8" w:space="0" w:color="auto"/>
            </w:tcBorders>
            <w:shd w:val="clear" w:color="auto" w:fill="auto"/>
            <w:vAlign w:val="center"/>
            <w:hideMark/>
          </w:tcPr>
          <w:p w14:paraId="3006B68F"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360</w:t>
            </w:r>
          </w:p>
        </w:tc>
        <w:tc>
          <w:tcPr>
            <w:tcW w:w="1559" w:type="dxa"/>
            <w:tcBorders>
              <w:top w:val="nil"/>
              <w:left w:val="nil"/>
              <w:bottom w:val="single" w:sz="8" w:space="0" w:color="auto"/>
              <w:right w:val="single" w:sz="8" w:space="0" w:color="auto"/>
            </w:tcBorders>
            <w:shd w:val="clear" w:color="auto" w:fill="auto"/>
            <w:vAlign w:val="center"/>
            <w:hideMark/>
          </w:tcPr>
          <w:p w14:paraId="0C96475F"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160 – 540</w:t>
            </w:r>
          </w:p>
        </w:tc>
      </w:tr>
      <w:tr w:rsidR="00E46E26" w:rsidRPr="00E46E26" w14:paraId="3719D64C" w14:textId="77777777" w:rsidTr="006C1FAC">
        <w:trPr>
          <w:trHeight w:val="315"/>
          <w:jc w:val="center"/>
        </w:trPr>
        <w:tc>
          <w:tcPr>
            <w:tcW w:w="7528" w:type="dxa"/>
            <w:gridSpan w:val="5"/>
            <w:tcBorders>
              <w:top w:val="single" w:sz="8" w:space="0" w:color="auto"/>
              <w:left w:val="single" w:sz="8" w:space="0" w:color="auto"/>
              <w:bottom w:val="single" w:sz="8" w:space="0" w:color="auto"/>
              <w:right w:val="nil"/>
            </w:tcBorders>
            <w:shd w:val="clear" w:color="auto" w:fill="auto"/>
            <w:vAlign w:val="center"/>
            <w:hideMark/>
          </w:tcPr>
          <w:p w14:paraId="411AAAD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GB" w:eastAsia="ru-RU"/>
              </w:rPr>
              <w:t>Anterior teeth, lingual enamel fraction</w:t>
            </w:r>
          </w:p>
        </w:tc>
      </w:tr>
      <w:tr w:rsidR="00E46E26" w:rsidRPr="00C24BC0" w14:paraId="70F6BFA6"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53EFEAB"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w:t>
            </w:r>
            <w:r>
              <w:rPr>
                <w:rFonts w:ascii="Times New Roman" w:eastAsia="Times New Roman" w:hAnsi="Times New Roman" w:cs="Times New Roman"/>
                <w:color w:val="000000"/>
                <w:sz w:val="20"/>
                <w:szCs w:val="20"/>
                <w:lang w:val="en-US" w:eastAsia="ru-RU"/>
              </w:rPr>
              <w:t>0</w:t>
            </w:r>
          </w:p>
        </w:tc>
        <w:tc>
          <w:tcPr>
            <w:tcW w:w="708" w:type="dxa"/>
            <w:tcBorders>
              <w:top w:val="nil"/>
              <w:left w:val="nil"/>
              <w:bottom w:val="single" w:sz="8" w:space="0" w:color="auto"/>
              <w:right w:val="single" w:sz="8" w:space="0" w:color="auto"/>
            </w:tcBorders>
            <w:shd w:val="clear" w:color="auto" w:fill="auto"/>
            <w:vAlign w:val="center"/>
            <w:hideMark/>
          </w:tcPr>
          <w:p w14:paraId="0CBCD6E4"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17</w:t>
            </w:r>
          </w:p>
        </w:tc>
        <w:tc>
          <w:tcPr>
            <w:tcW w:w="1843" w:type="dxa"/>
            <w:tcBorders>
              <w:top w:val="nil"/>
              <w:left w:val="nil"/>
              <w:bottom w:val="single" w:sz="8" w:space="0" w:color="auto"/>
              <w:right w:val="single" w:sz="8" w:space="0" w:color="auto"/>
            </w:tcBorders>
            <w:shd w:val="clear" w:color="auto" w:fill="auto"/>
            <w:vAlign w:val="center"/>
            <w:hideMark/>
          </w:tcPr>
          <w:p w14:paraId="438CAA8A"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390±200</w:t>
            </w:r>
          </w:p>
        </w:tc>
        <w:tc>
          <w:tcPr>
            <w:tcW w:w="1843" w:type="dxa"/>
            <w:tcBorders>
              <w:top w:val="nil"/>
              <w:left w:val="nil"/>
              <w:bottom w:val="single" w:sz="8" w:space="0" w:color="auto"/>
              <w:right w:val="single" w:sz="8" w:space="0" w:color="auto"/>
            </w:tcBorders>
            <w:shd w:val="clear" w:color="auto" w:fill="auto"/>
            <w:vAlign w:val="center"/>
            <w:hideMark/>
          </w:tcPr>
          <w:p w14:paraId="06775571"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420</w:t>
            </w:r>
          </w:p>
        </w:tc>
        <w:tc>
          <w:tcPr>
            <w:tcW w:w="1559" w:type="dxa"/>
            <w:tcBorders>
              <w:top w:val="nil"/>
              <w:left w:val="nil"/>
              <w:bottom w:val="single" w:sz="8" w:space="0" w:color="auto"/>
              <w:right w:val="single" w:sz="8" w:space="0" w:color="auto"/>
            </w:tcBorders>
            <w:shd w:val="clear" w:color="auto" w:fill="auto"/>
            <w:vAlign w:val="center"/>
            <w:hideMark/>
          </w:tcPr>
          <w:p w14:paraId="2B157358"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190 – 510</w:t>
            </w:r>
          </w:p>
        </w:tc>
      </w:tr>
      <w:tr w:rsidR="00E46E26" w:rsidRPr="00C24BC0" w14:paraId="1A319076"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4523247D"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w:t>
            </w:r>
            <w:r>
              <w:rPr>
                <w:rFonts w:ascii="Times New Roman" w:eastAsia="Times New Roman" w:hAnsi="Times New Roman" w:cs="Times New Roman"/>
                <w:color w:val="000000"/>
                <w:sz w:val="20"/>
                <w:szCs w:val="20"/>
                <w:lang w:val="en-US" w:eastAsia="ru-RU"/>
              </w:rPr>
              <w:t>5</w:t>
            </w:r>
          </w:p>
        </w:tc>
        <w:tc>
          <w:tcPr>
            <w:tcW w:w="708" w:type="dxa"/>
            <w:tcBorders>
              <w:top w:val="nil"/>
              <w:left w:val="nil"/>
              <w:bottom w:val="single" w:sz="8" w:space="0" w:color="auto"/>
              <w:right w:val="single" w:sz="8" w:space="0" w:color="auto"/>
            </w:tcBorders>
            <w:shd w:val="clear" w:color="auto" w:fill="auto"/>
            <w:vAlign w:val="center"/>
            <w:hideMark/>
          </w:tcPr>
          <w:p w14:paraId="703B9983"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18</w:t>
            </w:r>
          </w:p>
        </w:tc>
        <w:tc>
          <w:tcPr>
            <w:tcW w:w="1843" w:type="dxa"/>
            <w:tcBorders>
              <w:top w:val="nil"/>
              <w:left w:val="nil"/>
              <w:bottom w:val="single" w:sz="8" w:space="0" w:color="auto"/>
              <w:right w:val="single" w:sz="8" w:space="0" w:color="auto"/>
            </w:tcBorders>
            <w:shd w:val="clear" w:color="auto" w:fill="auto"/>
            <w:vAlign w:val="center"/>
            <w:hideMark/>
          </w:tcPr>
          <w:p w14:paraId="397D2915"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250±170</w:t>
            </w:r>
          </w:p>
        </w:tc>
        <w:tc>
          <w:tcPr>
            <w:tcW w:w="1843" w:type="dxa"/>
            <w:tcBorders>
              <w:top w:val="nil"/>
              <w:left w:val="nil"/>
              <w:bottom w:val="single" w:sz="8" w:space="0" w:color="auto"/>
              <w:right w:val="single" w:sz="8" w:space="0" w:color="auto"/>
            </w:tcBorders>
            <w:shd w:val="clear" w:color="auto" w:fill="auto"/>
            <w:vAlign w:val="center"/>
            <w:hideMark/>
          </w:tcPr>
          <w:p w14:paraId="119DD316"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220</w:t>
            </w:r>
          </w:p>
        </w:tc>
        <w:tc>
          <w:tcPr>
            <w:tcW w:w="1559" w:type="dxa"/>
            <w:tcBorders>
              <w:top w:val="nil"/>
              <w:left w:val="nil"/>
              <w:bottom w:val="single" w:sz="8" w:space="0" w:color="auto"/>
              <w:right w:val="single" w:sz="8" w:space="0" w:color="auto"/>
            </w:tcBorders>
            <w:shd w:val="clear" w:color="auto" w:fill="auto"/>
            <w:vAlign w:val="center"/>
            <w:hideMark/>
          </w:tcPr>
          <w:p w14:paraId="6EB7BF44"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140 – 380</w:t>
            </w:r>
          </w:p>
        </w:tc>
      </w:tr>
      <w:tr w:rsidR="00E46E26" w:rsidRPr="00C24BC0" w14:paraId="650AB5C7" w14:textId="77777777" w:rsidTr="006C1FAC">
        <w:trPr>
          <w:trHeight w:val="315"/>
          <w:jc w:val="center"/>
        </w:trPr>
        <w:tc>
          <w:tcPr>
            <w:tcW w:w="1575" w:type="dxa"/>
            <w:tcBorders>
              <w:top w:val="nil"/>
              <w:left w:val="single" w:sz="8" w:space="0" w:color="auto"/>
              <w:bottom w:val="single" w:sz="8" w:space="0" w:color="auto"/>
              <w:right w:val="single" w:sz="8" w:space="0" w:color="auto"/>
            </w:tcBorders>
            <w:shd w:val="clear" w:color="auto" w:fill="auto"/>
            <w:vAlign w:val="center"/>
            <w:hideMark/>
          </w:tcPr>
          <w:p w14:paraId="7A7FC2F9"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w:t>
            </w:r>
            <w:r>
              <w:rPr>
                <w:rFonts w:ascii="Times New Roman" w:eastAsia="Times New Roman" w:hAnsi="Times New Roman" w:cs="Times New Roman"/>
                <w:color w:val="000000"/>
                <w:sz w:val="20"/>
                <w:szCs w:val="20"/>
                <w:lang w:val="en-US" w:eastAsia="ru-RU"/>
              </w:rPr>
              <w:t>8</w:t>
            </w:r>
          </w:p>
        </w:tc>
        <w:tc>
          <w:tcPr>
            <w:tcW w:w="708" w:type="dxa"/>
            <w:tcBorders>
              <w:top w:val="nil"/>
              <w:left w:val="nil"/>
              <w:bottom w:val="single" w:sz="8" w:space="0" w:color="auto"/>
              <w:right w:val="single" w:sz="8" w:space="0" w:color="auto"/>
            </w:tcBorders>
            <w:shd w:val="clear" w:color="auto" w:fill="auto"/>
            <w:vAlign w:val="center"/>
            <w:hideMark/>
          </w:tcPr>
          <w:p w14:paraId="1267CEEF"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30</w:t>
            </w:r>
          </w:p>
        </w:tc>
        <w:tc>
          <w:tcPr>
            <w:tcW w:w="1843" w:type="dxa"/>
            <w:tcBorders>
              <w:top w:val="nil"/>
              <w:left w:val="nil"/>
              <w:bottom w:val="single" w:sz="8" w:space="0" w:color="auto"/>
              <w:right w:val="single" w:sz="8" w:space="0" w:color="auto"/>
            </w:tcBorders>
            <w:shd w:val="clear" w:color="auto" w:fill="auto"/>
            <w:vAlign w:val="center"/>
            <w:hideMark/>
          </w:tcPr>
          <w:p w14:paraId="337A5FB2"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250±280</w:t>
            </w:r>
          </w:p>
        </w:tc>
        <w:tc>
          <w:tcPr>
            <w:tcW w:w="1843" w:type="dxa"/>
            <w:tcBorders>
              <w:top w:val="nil"/>
              <w:left w:val="nil"/>
              <w:bottom w:val="single" w:sz="8" w:space="0" w:color="auto"/>
              <w:right w:val="single" w:sz="8" w:space="0" w:color="auto"/>
            </w:tcBorders>
            <w:shd w:val="clear" w:color="auto" w:fill="auto"/>
            <w:vAlign w:val="center"/>
            <w:hideMark/>
          </w:tcPr>
          <w:p w14:paraId="78B60454" w14:textId="77777777" w:rsidR="00E46E26" w:rsidRPr="00C24BC0" w:rsidRDefault="00E46E26" w:rsidP="006C1FAC">
            <w:pPr>
              <w:spacing w:after="0" w:line="240" w:lineRule="auto"/>
              <w:jc w:val="right"/>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220</w:t>
            </w:r>
          </w:p>
        </w:tc>
        <w:tc>
          <w:tcPr>
            <w:tcW w:w="1559" w:type="dxa"/>
            <w:tcBorders>
              <w:top w:val="nil"/>
              <w:left w:val="nil"/>
              <w:bottom w:val="single" w:sz="8" w:space="0" w:color="auto"/>
              <w:right w:val="single" w:sz="8" w:space="0" w:color="auto"/>
            </w:tcBorders>
            <w:shd w:val="clear" w:color="auto" w:fill="auto"/>
            <w:vAlign w:val="center"/>
            <w:hideMark/>
          </w:tcPr>
          <w:p w14:paraId="79D11475"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GB" w:eastAsia="ru-RU"/>
              </w:rPr>
              <w:t>100 – 320</w:t>
            </w:r>
          </w:p>
        </w:tc>
      </w:tr>
    </w:tbl>
    <w:p w14:paraId="66EC7513" w14:textId="77777777" w:rsidR="00E46E26" w:rsidRDefault="00E46E26" w:rsidP="00E46E26"/>
    <w:p w14:paraId="18543551" w14:textId="77777777" w:rsidR="00E46E26" w:rsidRDefault="00E46E26" w:rsidP="00E46E26">
      <w:pPr>
        <w:spacing w:after="160" w:line="259" w:lineRule="auto"/>
      </w:pPr>
      <w:r>
        <w:br w:type="page"/>
      </w:r>
    </w:p>
    <w:p w14:paraId="718E2EFA" w14:textId="77777777" w:rsidR="00E46E26" w:rsidRPr="006A1940" w:rsidRDefault="00E46E26" w:rsidP="00E46E26">
      <w:pPr>
        <w:spacing w:after="120" w:line="360" w:lineRule="auto"/>
        <w:rPr>
          <w:rFonts w:ascii="Times New Roman" w:hAnsi="Times New Roman" w:cs="Times New Roman"/>
          <w:sz w:val="24"/>
          <w:szCs w:val="24"/>
          <w:lang w:val="en-US"/>
        </w:rPr>
      </w:pPr>
      <w:r w:rsidRPr="005234B2">
        <w:rPr>
          <w:rFonts w:ascii="Times New Roman" w:hAnsi="Times New Roman" w:cs="Times New Roman"/>
          <w:b/>
          <w:sz w:val="24"/>
          <w:szCs w:val="24"/>
          <w:lang w:val="en-US"/>
        </w:rPr>
        <w:t>Table 4</w:t>
      </w:r>
      <w:r>
        <w:rPr>
          <w:rFonts w:ascii="Times New Roman" w:hAnsi="Times New Roman" w:cs="Times New Roman"/>
          <w:sz w:val="24"/>
          <w:szCs w:val="24"/>
          <w:lang w:val="en-US"/>
        </w:rPr>
        <w:t xml:space="preserve"> </w:t>
      </w:r>
      <w:r w:rsidRPr="006A1940">
        <w:rPr>
          <w:rFonts w:ascii="Times New Roman" w:hAnsi="Times New Roman" w:cs="Times New Roman"/>
          <w:sz w:val="24"/>
          <w:szCs w:val="24"/>
          <w:lang w:val="en-US"/>
        </w:rPr>
        <w:t xml:space="preserve"> Description of </w:t>
      </w:r>
      <w:r w:rsidRPr="006A1940">
        <w:rPr>
          <w:rFonts w:ascii="Times New Roman" w:hAnsi="Times New Roman" w:cs="Times New Roman"/>
          <w:i/>
          <w:sz w:val="24"/>
          <w:szCs w:val="24"/>
          <w:lang w:val="en-US"/>
        </w:rPr>
        <w:t>BDL</w:t>
      </w:r>
      <w:r w:rsidRPr="006A194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(below detection limit) </w:t>
      </w:r>
      <w:r w:rsidRPr="006A1940">
        <w:rPr>
          <w:rFonts w:ascii="Times New Roman" w:hAnsi="Times New Roman" w:cs="Times New Roman"/>
          <w:sz w:val="24"/>
          <w:szCs w:val="24"/>
          <w:lang w:val="en-US"/>
        </w:rPr>
        <w:t xml:space="preserve">data pools grouped according to similarity of method performances. </w:t>
      </w:r>
      <w:r w:rsidRPr="005234B2">
        <w:rPr>
          <w:rFonts w:ascii="Times New Roman" w:hAnsi="Times New Roman" w:cs="Times New Roman"/>
          <w:i/>
          <w:sz w:val="24"/>
          <w:szCs w:val="24"/>
          <w:lang w:val="en-US"/>
        </w:rPr>
        <w:t>LD</w:t>
      </w:r>
      <w:r>
        <w:rPr>
          <w:rFonts w:ascii="Times New Roman" w:hAnsi="Times New Roman" w:cs="Times New Roman"/>
          <w:sz w:val="24"/>
          <w:szCs w:val="24"/>
          <w:lang w:val="en-US"/>
        </w:rPr>
        <w:t xml:space="preserve"> – limit of detection; </w:t>
      </w:r>
      <w:r w:rsidRPr="005234B2">
        <w:rPr>
          <w:rFonts w:ascii="Times New Roman" w:hAnsi="Times New Roman" w:cs="Times New Roman"/>
          <w:i/>
          <w:sz w:val="24"/>
          <w:szCs w:val="24"/>
          <w:lang w:val="en-US"/>
        </w:rPr>
        <w:t>Dc</w:t>
      </w:r>
      <w:r>
        <w:rPr>
          <w:rFonts w:ascii="Times New Roman" w:hAnsi="Times New Roman" w:cs="Times New Roman"/>
          <w:sz w:val="24"/>
          <w:szCs w:val="24"/>
          <w:lang w:val="en-US"/>
        </w:rPr>
        <w:t xml:space="preserve"> – critical dose; </w:t>
      </w:r>
      <w:r w:rsidRPr="005234B2">
        <w:rPr>
          <w:rFonts w:ascii="Times New Roman" w:hAnsi="Times New Roman" w:cs="Times New Roman"/>
          <w:i/>
          <w:sz w:val="24"/>
          <w:szCs w:val="24"/>
          <w:lang w:val="en-US"/>
        </w:rPr>
        <w:t>BLI</w:t>
      </w:r>
      <w:r>
        <w:rPr>
          <w:rFonts w:ascii="Times New Roman" w:hAnsi="Times New Roman" w:cs="Times New Roman"/>
          <w:sz w:val="24"/>
          <w:szCs w:val="24"/>
          <w:lang w:val="en-US"/>
        </w:rPr>
        <w:t xml:space="preserve"> – below limit of individualization; </w:t>
      </w:r>
      <w:r w:rsidRPr="005234B2">
        <w:rPr>
          <w:rFonts w:ascii="Times New Roman" w:hAnsi="Times New Roman" w:cs="Times New Roman"/>
          <w:i/>
          <w:sz w:val="24"/>
          <w:szCs w:val="24"/>
          <w:lang w:val="en-US"/>
        </w:rPr>
        <w:t>LI</w:t>
      </w:r>
      <w:r>
        <w:rPr>
          <w:rFonts w:ascii="Times New Roman" w:hAnsi="Times New Roman" w:cs="Times New Roman"/>
          <w:sz w:val="24"/>
          <w:szCs w:val="24"/>
          <w:lang w:val="en-US"/>
        </w:rPr>
        <w:t xml:space="preserve"> – limit of individualization; </w:t>
      </w:r>
      <w:r>
        <w:rPr>
          <w:rFonts w:ascii="Times New Roman" w:hAnsi="Times New Roman" w:cs="Times New Roman"/>
          <w:sz w:val="24"/>
          <w:szCs w:val="24"/>
          <w:lang w:val="en-GB"/>
        </w:rPr>
        <w:t xml:space="preserve">method numbers are specified in more detail in Table A1 </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1"/>
        <w:gridCol w:w="2228"/>
        <w:gridCol w:w="1134"/>
        <w:gridCol w:w="737"/>
        <w:gridCol w:w="992"/>
        <w:gridCol w:w="965"/>
        <w:gridCol w:w="917"/>
        <w:gridCol w:w="1316"/>
      </w:tblGrid>
      <w:tr w:rsidR="00E46E26" w:rsidRPr="00E46E26" w14:paraId="66832835" w14:textId="77777777" w:rsidTr="006C1FAC">
        <w:trPr>
          <w:jc w:val="center"/>
        </w:trPr>
        <w:tc>
          <w:tcPr>
            <w:tcW w:w="1141" w:type="dxa"/>
          </w:tcPr>
          <w:p w14:paraId="76AD22C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Method groups</w:t>
            </w:r>
          </w:p>
        </w:tc>
        <w:tc>
          <w:tcPr>
            <w:tcW w:w="2228" w:type="dxa"/>
          </w:tcPr>
          <w:p w14:paraId="6B1B42B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Methods</w:t>
            </w:r>
          </w:p>
        </w:tc>
        <w:tc>
          <w:tcPr>
            <w:tcW w:w="1134" w:type="dxa"/>
          </w:tcPr>
          <w:p w14:paraId="0FDB6962"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Mean </w:t>
            </w:r>
            <w:r w:rsidRPr="006A1940">
              <w:rPr>
                <w:rFonts w:ascii="Times New Roman" w:hAnsi="Times New Roman" w:cs="Times New Roman"/>
                <w:i/>
                <w:sz w:val="20"/>
                <w:szCs w:val="20"/>
                <w:lang w:val="en-US"/>
              </w:rPr>
              <w:t>LD</w:t>
            </w:r>
            <w:r w:rsidRPr="006A1940">
              <w:rPr>
                <w:rFonts w:ascii="Times New Roman" w:hAnsi="Times New Roman" w:cs="Times New Roman"/>
                <w:sz w:val="20"/>
                <w:szCs w:val="20"/>
                <w:lang w:val="en-US"/>
              </w:rPr>
              <w:t>, mGy</w:t>
            </w:r>
          </w:p>
        </w:tc>
        <w:tc>
          <w:tcPr>
            <w:tcW w:w="737" w:type="dxa"/>
          </w:tcPr>
          <w:p w14:paraId="6F6694AA"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Mean </w:t>
            </w:r>
            <w:r w:rsidRPr="006A1940">
              <w:rPr>
                <w:rFonts w:ascii="Times New Roman" w:hAnsi="Times New Roman" w:cs="Times New Roman"/>
                <w:i/>
                <w:sz w:val="20"/>
                <w:szCs w:val="20"/>
                <w:lang w:val="en-US"/>
              </w:rPr>
              <w:t>LD</w:t>
            </w:r>
            <w:r w:rsidRPr="006A1940">
              <w:rPr>
                <w:rFonts w:ascii="Times New Roman" w:hAnsi="Times New Roman" w:cs="Times New Roman"/>
                <w:sz w:val="20"/>
                <w:szCs w:val="20"/>
                <w:lang w:val="en-US"/>
              </w:rPr>
              <w:t>-</w:t>
            </w:r>
            <w:r w:rsidRPr="006A1940">
              <w:rPr>
                <w:rFonts w:ascii="Times New Roman" w:hAnsi="Times New Roman" w:cs="Times New Roman"/>
                <w:i/>
                <w:sz w:val="20"/>
                <w:szCs w:val="20"/>
                <w:lang w:val="en-US"/>
              </w:rPr>
              <w:t>Dc</w:t>
            </w:r>
            <w:r w:rsidRPr="006A1940">
              <w:rPr>
                <w:rFonts w:ascii="Times New Roman" w:hAnsi="Times New Roman" w:cs="Times New Roman"/>
                <w:sz w:val="20"/>
                <w:szCs w:val="20"/>
                <w:lang w:val="en-US"/>
              </w:rPr>
              <w:t>, mGy</w:t>
            </w:r>
          </w:p>
        </w:tc>
        <w:tc>
          <w:tcPr>
            <w:tcW w:w="992" w:type="dxa"/>
          </w:tcPr>
          <w:p w14:paraId="4D62233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Number of </w:t>
            </w:r>
            <w:r w:rsidRPr="006A1940">
              <w:rPr>
                <w:rFonts w:ascii="Times New Roman" w:hAnsi="Times New Roman" w:cs="Times New Roman"/>
                <w:i/>
                <w:sz w:val="20"/>
                <w:szCs w:val="20"/>
                <w:lang w:val="en-US"/>
              </w:rPr>
              <w:t>BDL</w:t>
            </w:r>
            <w:r w:rsidRPr="006A1940">
              <w:rPr>
                <w:rFonts w:ascii="Times New Roman" w:hAnsi="Times New Roman" w:cs="Times New Roman"/>
                <w:sz w:val="20"/>
                <w:szCs w:val="20"/>
                <w:lang w:val="en-US"/>
              </w:rPr>
              <w:t xml:space="preserve"> measurements</w:t>
            </w:r>
          </w:p>
        </w:tc>
        <w:tc>
          <w:tcPr>
            <w:tcW w:w="965" w:type="dxa"/>
          </w:tcPr>
          <w:p w14:paraId="48EDA65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Number of </w:t>
            </w:r>
            <w:r w:rsidRPr="006A1940">
              <w:rPr>
                <w:rFonts w:ascii="Times New Roman" w:hAnsi="Times New Roman" w:cs="Times New Roman"/>
                <w:i/>
                <w:sz w:val="20"/>
                <w:szCs w:val="20"/>
                <w:lang w:val="en-US"/>
              </w:rPr>
              <w:t>BLI</w:t>
            </w:r>
          </w:p>
        </w:tc>
        <w:tc>
          <w:tcPr>
            <w:tcW w:w="917" w:type="dxa"/>
          </w:tcPr>
          <w:p w14:paraId="6013E5C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Mean </w:t>
            </w:r>
            <w:r w:rsidRPr="006A1940">
              <w:rPr>
                <w:rFonts w:ascii="Times New Roman" w:hAnsi="Times New Roman" w:cs="Times New Roman"/>
                <w:i/>
                <w:sz w:val="20"/>
                <w:szCs w:val="20"/>
                <w:lang w:val="en-US"/>
              </w:rPr>
              <w:t>LI</w:t>
            </w:r>
            <w:r w:rsidRPr="006A1940">
              <w:rPr>
                <w:rFonts w:ascii="Times New Roman" w:hAnsi="Times New Roman" w:cs="Times New Roman"/>
                <w:sz w:val="20"/>
                <w:szCs w:val="20"/>
                <w:lang w:val="en-US"/>
              </w:rPr>
              <w:t>, mGy</w:t>
            </w:r>
          </w:p>
        </w:tc>
        <w:tc>
          <w:tcPr>
            <w:tcW w:w="1316" w:type="dxa"/>
          </w:tcPr>
          <w:p w14:paraId="76639CC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Mathematical expectations for </w:t>
            </w:r>
            <w:r w:rsidRPr="006A1940">
              <w:rPr>
                <w:rFonts w:ascii="Times New Roman" w:hAnsi="Times New Roman" w:cs="Times New Roman"/>
                <w:i/>
                <w:sz w:val="20"/>
                <w:szCs w:val="20"/>
                <w:lang w:val="en-US"/>
              </w:rPr>
              <w:t xml:space="preserve">BDL </w:t>
            </w:r>
            <w:r w:rsidRPr="006A1940">
              <w:rPr>
                <w:rFonts w:ascii="Times New Roman" w:hAnsi="Times New Roman" w:cs="Times New Roman"/>
                <w:sz w:val="20"/>
                <w:szCs w:val="20"/>
                <w:lang w:val="en-US"/>
              </w:rPr>
              <w:t>(uncertainty), mGy</w:t>
            </w:r>
          </w:p>
        </w:tc>
      </w:tr>
      <w:tr w:rsidR="00E46E26" w:rsidRPr="006A1940" w14:paraId="13A6F1B3" w14:textId="77777777" w:rsidTr="006C1FAC">
        <w:trPr>
          <w:jc w:val="center"/>
        </w:trPr>
        <w:tc>
          <w:tcPr>
            <w:tcW w:w="1141" w:type="dxa"/>
          </w:tcPr>
          <w:p w14:paraId="50AA5AE3"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w:t>
            </w:r>
          </w:p>
        </w:tc>
        <w:tc>
          <w:tcPr>
            <w:tcW w:w="2228" w:type="dxa"/>
          </w:tcPr>
          <w:p w14:paraId="326D83F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9, 10, 11, 17</w:t>
            </w:r>
          </w:p>
        </w:tc>
        <w:tc>
          <w:tcPr>
            <w:tcW w:w="1134" w:type="dxa"/>
          </w:tcPr>
          <w:p w14:paraId="2E6B8759"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110</w:t>
            </w:r>
          </w:p>
        </w:tc>
        <w:tc>
          <w:tcPr>
            <w:tcW w:w="737" w:type="dxa"/>
          </w:tcPr>
          <w:p w14:paraId="6E34302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50</w:t>
            </w:r>
          </w:p>
        </w:tc>
        <w:tc>
          <w:tcPr>
            <w:tcW w:w="992" w:type="dxa"/>
          </w:tcPr>
          <w:p w14:paraId="63284BAA" w14:textId="77777777" w:rsidR="00E46E26" w:rsidRPr="006A1940" w:rsidRDefault="00E46E26" w:rsidP="006C1FAC">
            <w:pPr>
              <w:spacing w:after="0" w:line="240" w:lineRule="auto"/>
              <w:rPr>
                <w:rFonts w:ascii="Times New Roman" w:hAnsi="Times New Roman" w:cs="Times New Roman"/>
                <w:sz w:val="20"/>
                <w:szCs w:val="20"/>
              </w:rPr>
            </w:pPr>
            <w:r w:rsidRPr="006A1940">
              <w:rPr>
                <w:rFonts w:ascii="Times New Roman" w:hAnsi="Times New Roman" w:cs="Times New Roman"/>
                <w:sz w:val="20"/>
                <w:szCs w:val="20"/>
                <w:lang w:val="en-US"/>
              </w:rPr>
              <w:t>1</w:t>
            </w:r>
            <w:r w:rsidRPr="006A1940">
              <w:rPr>
                <w:rFonts w:ascii="Times New Roman" w:hAnsi="Times New Roman" w:cs="Times New Roman"/>
                <w:sz w:val="20"/>
                <w:szCs w:val="20"/>
              </w:rPr>
              <w:t>6</w:t>
            </w:r>
          </w:p>
        </w:tc>
        <w:tc>
          <w:tcPr>
            <w:tcW w:w="965" w:type="dxa"/>
          </w:tcPr>
          <w:p w14:paraId="1BEBB092" w14:textId="77777777" w:rsidR="00E46E26" w:rsidRPr="006A1940" w:rsidRDefault="00E46E26" w:rsidP="006C1FAC">
            <w:pPr>
              <w:spacing w:after="0" w:line="240" w:lineRule="auto"/>
              <w:rPr>
                <w:rFonts w:ascii="Times New Roman" w:hAnsi="Times New Roman" w:cs="Times New Roman"/>
                <w:sz w:val="20"/>
                <w:szCs w:val="20"/>
              </w:rPr>
            </w:pPr>
            <w:r w:rsidRPr="006A1940">
              <w:rPr>
                <w:rFonts w:ascii="Times New Roman" w:hAnsi="Times New Roman" w:cs="Times New Roman"/>
                <w:sz w:val="20"/>
                <w:szCs w:val="20"/>
                <w:lang w:val="en-US"/>
              </w:rPr>
              <w:t>4</w:t>
            </w:r>
            <w:r w:rsidRPr="006A1940">
              <w:rPr>
                <w:rFonts w:ascii="Times New Roman" w:hAnsi="Times New Roman" w:cs="Times New Roman"/>
                <w:sz w:val="20"/>
                <w:szCs w:val="20"/>
              </w:rPr>
              <w:t>1</w:t>
            </w:r>
          </w:p>
        </w:tc>
        <w:tc>
          <w:tcPr>
            <w:tcW w:w="917" w:type="dxa"/>
          </w:tcPr>
          <w:p w14:paraId="3BE1958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217</w:t>
            </w:r>
          </w:p>
        </w:tc>
        <w:tc>
          <w:tcPr>
            <w:tcW w:w="1316" w:type="dxa"/>
          </w:tcPr>
          <w:p w14:paraId="58321044"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60 (110)</w:t>
            </w:r>
          </w:p>
        </w:tc>
      </w:tr>
      <w:tr w:rsidR="00E46E26" w:rsidRPr="006A1940" w14:paraId="632CB1A6" w14:textId="77777777" w:rsidTr="006C1FAC">
        <w:trPr>
          <w:jc w:val="center"/>
        </w:trPr>
        <w:tc>
          <w:tcPr>
            <w:tcW w:w="1141" w:type="dxa"/>
          </w:tcPr>
          <w:p w14:paraId="0693103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w:t>
            </w:r>
          </w:p>
        </w:tc>
        <w:tc>
          <w:tcPr>
            <w:tcW w:w="2228" w:type="dxa"/>
          </w:tcPr>
          <w:p w14:paraId="52E1933A"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12, 34, 38</w:t>
            </w:r>
          </w:p>
        </w:tc>
        <w:tc>
          <w:tcPr>
            <w:tcW w:w="1134" w:type="dxa"/>
          </w:tcPr>
          <w:p w14:paraId="32D9E6F9"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170</w:t>
            </w:r>
          </w:p>
        </w:tc>
        <w:tc>
          <w:tcPr>
            <w:tcW w:w="737" w:type="dxa"/>
          </w:tcPr>
          <w:p w14:paraId="6C7E9C32"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80</w:t>
            </w:r>
          </w:p>
        </w:tc>
        <w:tc>
          <w:tcPr>
            <w:tcW w:w="992" w:type="dxa"/>
          </w:tcPr>
          <w:p w14:paraId="503B1DC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17</w:t>
            </w:r>
          </w:p>
        </w:tc>
        <w:tc>
          <w:tcPr>
            <w:tcW w:w="965" w:type="dxa"/>
          </w:tcPr>
          <w:p w14:paraId="06F23FA0"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24</w:t>
            </w:r>
          </w:p>
        </w:tc>
        <w:tc>
          <w:tcPr>
            <w:tcW w:w="917" w:type="dxa"/>
          </w:tcPr>
          <w:p w14:paraId="167F98E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260</w:t>
            </w:r>
          </w:p>
        </w:tc>
        <w:tc>
          <w:tcPr>
            <w:tcW w:w="1316" w:type="dxa"/>
          </w:tcPr>
          <w:p w14:paraId="381A4743"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50 (120)</w:t>
            </w:r>
          </w:p>
        </w:tc>
      </w:tr>
      <w:tr w:rsidR="00E46E26" w:rsidRPr="006A1940" w14:paraId="24D9D512" w14:textId="77777777" w:rsidTr="006C1FAC">
        <w:trPr>
          <w:jc w:val="center"/>
        </w:trPr>
        <w:tc>
          <w:tcPr>
            <w:tcW w:w="1141" w:type="dxa"/>
          </w:tcPr>
          <w:p w14:paraId="44A8251D"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w:t>
            </w:r>
          </w:p>
        </w:tc>
        <w:tc>
          <w:tcPr>
            <w:tcW w:w="2228" w:type="dxa"/>
          </w:tcPr>
          <w:p w14:paraId="01A4B463"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8, 25, 26, 36</w:t>
            </w:r>
          </w:p>
        </w:tc>
        <w:tc>
          <w:tcPr>
            <w:tcW w:w="1134" w:type="dxa"/>
          </w:tcPr>
          <w:p w14:paraId="26A8EE3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210</w:t>
            </w:r>
          </w:p>
        </w:tc>
        <w:tc>
          <w:tcPr>
            <w:tcW w:w="737" w:type="dxa"/>
          </w:tcPr>
          <w:p w14:paraId="39C6986E"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100</w:t>
            </w:r>
          </w:p>
        </w:tc>
        <w:tc>
          <w:tcPr>
            <w:tcW w:w="992" w:type="dxa"/>
          </w:tcPr>
          <w:p w14:paraId="12D29602" w14:textId="77777777" w:rsidR="00E46E26" w:rsidRPr="006A1940" w:rsidRDefault="00E46E26" w:rsidP="006C1FAC">
            <w:pPr>
              <w:spacing w:after="0" w:line="240" w:lineRule="auto"/>
              <w:rPr>
                <w:rFonts w:ascii="Times New Roman" w:hAnsi="Times New Roman" w:cs="Times New Roman"/>
                <w:sz w:val="20"/>
                <w:szCs w:val="20"/>
              </w:rPr>
            </w:pPr>
            <w:r w:rsidRPr="006A1940">
              <w:rPr>
                <w:rFonts w:ascii="Times New Roman" w:hAnsi="Times New Roman" w:cs="Times New Roman"/>
                <w:sz w:val="20"/>
                <w:szCs w:val="20"/>
              </w:rPr>
              <w:t>6</w:t>
            </w:r>
          </w:p>
        </w:tc>
        <w:tc>
          <w:tcPr>
            <w:tcW w:w="965" w:type="dxa"/>
          </w:tcPr>
          <w:p w14:paraId="33D18506" w14:textId="77777777" w:rsidR="00E46E26" w:rsidRPr="006A1940" w:rsidRDefault="00E46E26" w:rsidP="006C1FAC">
            <w:pPr>
              <w:spacing w:after="0" w:line="240" w:lineRule="auto"/>
              <w:rPr>
                <w:rFonts w:ascii="Times New Roman" w:hAnsi="Times New Roman" w:cs="Times New Roman"/>
                <w:sz w:val="20"/>
                <w:szCs w:val="20"/>
              </w:rPr>
            </w:pPr>
            <w:r w:rsidRPr="006A1940">
              <w:rPr>
                <w:rFonts w:ascii="Times New Roman" w:hAnsi="Times New Roman" w:cs="Times New Roman"/>
                <w:sz w:val="20"/>
                <w:szCs w:val="20"/>
              </w:rPr>
              <w:t>8</w:t>
            </w:r>
          </w:p>
        </w:tc>
        <w:tc>
          <w:tcPr>
            <w:tcW w:w="917" w:type="dxa"/>
          </w:tcPr>
          <w:p w14:paraId="07E8F6C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270</w:t>
            </w:r>
          </w:p>
        </w:tc>
        <w:tc>
          <w:tcPr>
            <w:tcW w:w="1316" w:type="dxa"/>
          </w:tcPr>
          <w:p w14:paraId="0F50ABC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90 (170)</w:t>
            </w:r>
          </w:p>
        </w:tc>
      </w:tr>
      <w:tr w:rsidR="00E46E26" w:rsidRPr="006A1940" w14:paraId="3BEAAB08" w14:textId="77777777" w:rsidTr="006C1FAC">
        <w:trPr>
          <w:jc w:val="center"/>
        </w:trPr>
        <w:tc>
          <w:tcPr>
            <w:tcW w:w="1141" w:type="dxa"/>
          </w:tcPr>
          <w:p w14:paraId="53CFD1B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4</w:t>
            </w:r>
          </w:p>
        </w:tc>
        <w:tc>
          <w:tcPr>
            <w:tcW w:w="2228" w:type="dxa"/>
          </w:tcPr>
          <w:p w14:paraId="66ADC3A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1, 2, 3, 15, 16</w:t>
            </w:r>
          </w:p>
        </w:tc>
        <w:tc>
          <w:tcPr>
            <w:tcW w:w="1134" w:type="dxa"/>
          </w:tcPr>
          <w:p w14:paraId="3336E96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220</w:t>
            </w:r>
          </w:p>
        </w:tc>
        <w:tc>
          <w:tcPr>
            <w:tcW w:w="737" w:type="dxa"/>
          </w:tcPr>
          <w:p w14:paraId="5CA40BA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110</w:t>
            </w:r>
          </w:p>
        </w:tc>
        <w:tc>
          <w:tcPr>
            <w:tcW w:w="992" w:type="dxa"/>
          </w:tcPr>
          <w:p w14:paraId="1C60B2B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45</w:t>
            </w:r>
          </w:p>
        </w:tc>
        <w:tc>
          <w:tcPr>
            <w:tcW w:w="965" w:type="dxa"/>
          </w:tcPr>
          <w:p w14:paraId="44B58354"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54</w:t>
            </w:r>
          </w:p>
        </w:tc>
        <w:tc>
          <w:tcPr>
            <w:tcW w:w="917" w:type="dxa"/>
          </w:tcPr>
          <w:p w14:paraId="027C0DBA"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340</w:t>
            </w:r>
          </w:p>
        </w:tc>
        <w:tc>
          <w:tcPr>
            <w:tcW w:w="1316" w:type="dxa"/>
          </w:tcPr>
          <w:p w14:paraId="6C2754BC"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40 (120)</w:t>
            </w:r>
          </w:p>
        </w:tc>
      </w:tr>
      <w:tr w:rsidR="00E46E26" w:rsidRPr="006A1940" w14:paraId="5419AE34" w14:textId="77777777" w:rsidTr="006C1FAC">
        <w:trPr>
          <w:jc w:val="center"/>
        </w:trPr>
        <w:tc>
          <w:tcPr>
            <w:tcW w:w="1141" w:type="dxa"/>
          </w:tcPr>
          <w:p w14:paraId="34B030B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5</w:t>
            </w:r>
          </w:p>
        </w:tc>
        <w:tc>
          <w:tcPr>
            <w:tcW w:w="2228" w:type="dxa"/>
          </w:tcPr>
          <w:p w14:paraId="6648C785"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13, 28, 3</w:t>
            </w:r>
            <w:r w:rsidRPr="006A1940">
              <w:rPr>
                <w:rFonts w:ascii="Times New Roman" w:hAnsi="Times New Roman" w:cs="Times New Roman"/>
                <w:sz w:val="20"/>
                <w:szCs w:val="20"/>
              </w:rPr>
              <w:t>0</w:t>
            </w:r>
            <w:r w:rsidRPr="006A1940">
              <w:rPr>
                <w:rFonts w:ascii="Times New Roman" w:hAnsi="Times New Roman" w:cs="Times New Roman"/>
                <w:sz w:val="20"/>
                <w:szCs w:val="20"/>
                <w:lang w:val="en-US"/>
              </w:rPr>
              <w:t>, 3</w:t>
            </w:r>
            <w:r w:rsidRPr="006A1940">
              <w:rPr>
                <w:rFonts w:ascii="Times New Roman" w:hAnsi="Times New Roman" w:cs="Times New Roman"/>
                <w:sz w:val="20"/>
                <w:szCs w:val="20"/>
              </w:rPr>
              <w:t>1</w:t>
            </w:r>
          </w:p>
        </w:tc>
        <w:tc>
          <w:tcPr>
            <w:tcW w:w="1134" w:type="dxa"/>
          </w:tcPr>
          <w:p w14:paraId="111B35A0"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270</w:t>
            </w:r>
          </w:p>
        </w:tc>
        <w:tc>
          <w:tcPr>
            <w:tcW w:w="737" w:type="dxa"/>
          </w:tcPr>
          <w:p w14:paraId="5BE4FBB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120</w:t>
            </w:r>
          </w:p>
        </w:tc>
        <w:tc>
          <w:tcPr>
            <w:tcW w:w="992" w:type="dxa"/>
          </w:tcPr>
          <w:p w14:paraId="7A9964F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12</w:t>
            </w:r>
          </w:p>
        </w:tc>
        <w:tc>
          <w:tcPr>
            <w:tcW w:w="965" w:type="dxa"/>
          </w:tcPr>
          <w:p w14:paraId="69C3F8A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12</w:t>
            </w:r>
          </w:p>
        </w:tc>
        <w:tc>
          <w:tcPr>
            <w:tcW w:w="917" w:type="dxa"/>
          </w:tcPr>
          <w:p w14:paraId="1E270818"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350</w:t>
            </w:r>
          </w:p>
        </w:tc>
        <w:tc>
          <w:tcPr>
            <w:tcW w:w="1316" w:type="dxa"/>
          </w:tcPr>
          <w:p w14:paraId="5A6E49FF"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20 (180)</w:t>
            </w:r>
          </w:p>
        </w:tc>
      </w:tr>
      <w:tr w:rsidR="00E46E26" w:rsidRPr="006A1940" w14:paraId="58D1667D" w14:textId="77777777" w:rsidTr="006C1FAC">
        <w:trPr>
          <w:jc w:val="center"/>
        </w:trPr>
        <w:tc>
          <w:tcPr>
            <w:tcW w:w="1141" w:type="dxa"/>
          </w:tcPr>
          <w:p w14:paraId="783CD050"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w:t>
            </w:r>
          </w:p>
        </w:tc>
        <w:tc>
          <w:tcPr>
            <w:tcW w:w="2228" w:type="dxa"/>
          </w:tcPr>
          <w:p w14:paraId="50107B95"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 xml:space="preserve">18, 19, 20, 24, </w:t>
            </w:r>
            <w:r w:rsidRPr="006A1940">
              <w:rPr>
                <w:rFonts w:ascii="Times New Roman" w:hAnsi="Times New Roman" w:cs="Times New Roman"/>
                <w:sz w:val="20"/>
                <w:szCs w:val="20"/>
              </w:rPr>
              <w:t>29</w:t>
            </w:r>
            <w:r w:rsidRPr="006A1940">
              <w:rPr>
                <w:rFonts w:ascii="Times New Roman" w:hAnsi="Times New Roman" w:cs="Times New Roman"/>
                <w:sz w:val="20"/>
                <w:szCs w:val="20"/>
                <w:lang w:val="en-US"/>
              </w:rPr>
              <w:t>, 3</w:t>
            </w:r>
            <w:r w:rsidRPr="006A1940">
              <w:rPr>
                <w:rFonts w:ascii="Times New Roman" w:hAnsi="Times New Roman" w:cs="Times New Roman"/>
                <w:sz w:val="20"/>
                <w:szCs w:val="20"/>
              </w:rPr>
              <w:t>7</w:t>
            </w:r>
          </w:p>
        </w:tc>
        <w:tc>
          <w:tcPr>
            <w:tcW w:w="1134" w:type="dxa"/>
          </w:tcPr>
          <w:p w14:paraId="2361D9F9"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360</w:t>
            </w:r>
          </w:p>
        </w:tc>
        <w:tc>
          <w:tcPr>
            <w:tcW w:w="737" w:type="dxa"/>
          </w:tcPr>
          <w:p w14:paraId="7BF3ECEF"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160</w:t>
            </w:r>
          </w:p>
        </w:tc>
        <w:tc>
          <w:tcPr>
            <w:tcW w:w="992" w:type="dxa"/>
          </w:tcPr>
          <w:p w14:paraId="57D597F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16</w:t>
            </w:r>
          </w:p>
        </w:tc>
        <w:tc>
          <w:tcPr>
            <w:tcW w:w="965" w:type="dxa"/>
          </w:tcPr>
          <w:p w14:paraId="3833C469"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17</w:t>
            </w:r>
          </w:p>
        </w:tc>
        <w:tc>
          <w:tcPr>
            <w:tcW w:w="917" w:type="dxa"/>
          </w:tcPr>
          <w:p w14:paraId="3502B64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430</w:t>
            </w:r>
          </w:p>
        </w:tc>
        <w:tc>
          <w:tcPr>
            <w:tcW w:w="1316" w:type="dxa"/>
          </w:tcPr>
          <w:p w14:paraId="44179C3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60 (170)</w:t>
            </w:r>
          </w:p>
        </w:tc>
      </w:tr>
      <w:tr w:rsidR="00E46E26" w:rsidRPr="006A1940" w14:paraId="2623FE89" w14:textId="77777777" w:rsidTr="006C1FAC">
        <w:trPr>
          <w:jc w:val="center"/>
        </w:trPr>
        <w:tc>
          <w:tcPr>
            <w:tcW w:w="1141" w:type="dxa"/>
          </w:tcPr>
          <w:p w14:paraId="7455A831"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7</w:t>
            </w:r>
          </w:p>
        </w:tc>
        <w:tc>
          <w:tcPr>
            <w:tcW w:w="2228" w:type="dxa"/>
          </w:tcPr>
          <w:p w14:paraId="15225764" w14:textId="77777777" w:rsidR="00E46E26" w:rsidRPr="006A1940" w:rsidRDefault="00E46E26" w:rsidP="006C1FAC">
            <w:pPr>
              <w:spacing w:after="0" w:line="240" w:lineRule="auto"/>
              <w:rPr>
                <w:rFonts w:ascii="Times New Roman" w:hAnsi="Times New Roman" w:cs="Times New Roman"/>
                <w:sz w:val="20"/>
                <w:szCs w:val="20"/>
              </w:rPr>
            </w:pPr>
            <w:r w:rsidRPr="006A1940">
              <w:rPr>
                <w:rFonts w:ascii="Times New Roman" w:hAnsi="Times New Roman" w:cs="Times New Roman"/>
                <w:sz w:val="20"/>
                <w:szCs w:val="20"/>
                <w:lang w:val="en-US"/>
              </w:rPr>
              <w:t>4, 5</w:t>
            </w:r>
          </w:p>
        </w:tc>
        <w:tc>
          <w:tcPr>
            <w:tcW w:w="1134" w:type="dxa"/>
          </w:tcPr>
          <w:p w14:paraId="617F46E8"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420</w:t>
            </w:r>
          </w:p>
        </w:tc>
        <w:tc>
          <w:tcPr>
            <w:tcW w:w="737" w:type="dxa"/>
          </w:tcPr>
          <w:p w14:paraId="6AD0193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180</w:t>
            </w:r>
          </w:p>
        </w:tc>
        <w:tc>
          <w:tcPr>
            <w:tcW w:w="992" w:type="dxa"/>
          </w:tcPr>
          <w:p w14:paraId="4C64DC4D"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57</w:t>
            </w:r>
          </w:p>
        </w:tc>
        <w:tc>
          <w:tcPr>
            <w:tcW w:w="965" w:type="dxa"/>
          </w:tcPr>
          <w:p w14:paraId="5464572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57</w:t>
            </w:r>
          </w:p>
        </w:tc>
        <w:tc>
          <w:tcPr>
            <w:tcW w:w="917" w:type="dxa"/>
          </w:tcPr>
          <w:p w14:paraId="28706390"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490</w:t>
            </w:r>
          </w:p>
        </w:tc>
        <w:tc>
          <w:tcPr>
            <w:tcW w:w="1316" w:type="dxa"/>
          </w:tcPr>
          <w:p w14:paraId="7AA85078"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100 (150)</w:t>
            </w:r>
          </w:p>
        </w:tc>
      </w:tr>
      <w:tr w:rsidR="00E46E26" w:rsidRPr="006A1940" w14:paraId="17EB4F88" w14:textId="77777777" w:rsidTr="006C1FAC">
        <w:trPr>
          <w:jc w:val="center"/>
        </w:trPr>
        <w:tc>
          <w:tcPr>
            <w:tcW w:w="1141" w:type="dxa"/>
          </w:tcPr>
          <w:p w14:paraId="4DE899D2"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8</w:t>
            </w:r>
          </w:p>
        </w:tc>
        <w:tc>
          <w:tcPr>
            <w:tcW w:w="2228" w:type="dxa"/>
          </w:tcPr>
          <w:p w14:paraId="6F61F523"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6, 7, 3</w:t>
            </w:r>
            <w:r w:rsidRPr="006A1940">
              <w:rPr>
                <w:rFonts w:ascii="Times New Roman" w:hAnsi="Times New Roman" w:cs="Times New Roman"/>
                <w:sz w:val="20"/>
                <w:szCs w:val="20"/>
              </w:rPr>
              <w:t>2</w:t>
            </w:r>
          </w:p>
        </w:tc>
        <w:tc>
          <w:tcPr>
            <w:tcW w:w="1134" w:type="dxa"/>
          </w:tcPr>
          <w:p w14:paraId="1C06367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640</w:t>
            </w:r>
          </w:p>
        </w:tc>
        <w:tc>
          <w:tcPr>
            <w:tcW w:w="737" w:type="dxa"/>
          </w:tcPr>
          <w:p w14:paraId="3564BC6A"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240</w:t>
            </w:r>
          </w:p>
        </w:tc>
        <w:tc>
          <w:tcPr>
            <w:tcW w:w="992" w:type="dxa"/>
          </w:tcPr>
          <w:p w14:paraId="749CFD08"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16</w:t>
            </w:r>
          </w:p>
        </w:tc>
        <w:tc>
          <w:tcPr>
            <w:tcW w:w="965" w:type="dxa"/>
          </w:tcPr>
          <w:p w14:paraId="45A40388"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16</w:t>
            </w:r>
          </w:p>
        </w:tc>
        <w:tc>
          <w:tcPr>
            <w:tcW w:w="917" w:type="dxa"/>
          </w:tcPr>
          <w:p w14:paraId="40285A5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720</w:t>
            </w:r>
          </w:p>
        </w:tc>
        <w:tc>
          <w:tcPr>
            <w:tcW w:w="1316" w:type="dxa"/>
          </w:tcPr>
          <w:p w14:paraId="671E7E97"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300 (160)</w:t>
            </w:r>
          </w:p>
        </w:tc>
      </w:tr>
      <w:tr w:rsidR="00E46E26" w:rsidRPr="006A1940" w14:paraId="23D32B9D" w14:textId="77777777" w:rsidTr="006C1FAC">
        <w:trPr>
          <w:jc w:val="center"/>
        </w:trPr>
        <w:tc>
          <w:tcPr>
            <w:tcW w:w="1141" w:type="dxa"/>
          </w:tcPr>
          <w:p w14:paraId="3956E4B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9</w:t>
            </w:r>
          </w:p>
        </w:tc>
        <w:tc>
          <w:tcPr>
            <w:tcW w:w="2228" w:type="dxa"/>
          </w:tcPr>
          <w:p w14:paraId="5591A8F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21, 22, 23, 3</w:t>
            </w:r>
            <w:r w:rsidRPr="006A1940">
              <w:rPr>
                <w:rFonts w:ascii="Times New Roman" w:hAnsi="Times New Roman" w:cs="Times New Roman"/>
                <w:sz w:val="20"/>
                <w:szCs w:val="20"/>
              </w:rPr>
              <w:t>3</w:t>
            </w:r>
          </w:p>
        </w:tc>
        <w:tc>
          <w:tcPr>
            <w:tcW w:w="1134" w:type="dxa"/>
          </w:tcPr>
          <w:p w14:paraId="500C9739"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870</w:t>
            </w:r>
          </w:p>
        </w:tc>
        <w:tc>
          <w:tcPr>
            <w:tcW w:w="737" w:type="dxa"/>
          </w:tcPr>
          <w:p w14:paraId="0E125115"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390</w:t>
            </w:r>
          </w:p>
        </w:tc>
        <w:tc>
          <w:tcPr>
            <w:tcW w:w="992" w:type="dxa"/>
          </w:tcPr>
          <w:p w14:paraId="6FBD5144"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w:t>
            </w:r>
          </w:p>
        </w:tc>
        <w:tc>
          <w:tcPr>
            <w:tcW w:w="965" w:type="dxa"/>
          </w:tcPr>
          <w:p w14:paraId="4CE3983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6</w:t>
            </w:r>
          </w:p>
        </w:tc>
        <w:tc>
          <w:tcPr>
            <w:tcW w:w="917" w:type="dxa"/>
          </w:tcPr>
          <w:p w14:paraId="525328DB"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940</w:t>
            </w:r>
          </w:p>
        </w:tc>
        <w:tc>
          <w:tcPr>
            <w:tcW w:w="1316" w:type="dxa"/>
          </w:tcPr>
          <w:p w14:paraId="5B534036" w14:textId="77777777" w:rsidR="00E46E26" w:rsidRPr="006A1940" w:rsidRDefault="00E46E26" w:rsidP="006C1FAC">
            <w:pPr>
              <w:spacing w:after="0" w:line="240" w:lineRule="auto"/>
              <w:rPr>
                <w:rFonts w:ascii="Times New Roman" w:hAnsi="Times New Roman" w:cs="Times New Roman"/>
                <w:sz w:val="20"/>
                <w:szCs w:val="20"/>
                <w:lang w:val="en-US"/>
              </w:rPr>
            </w:pPr>
            <w:r w:rsidRPr="006A1940">
              <w:rPr>
                <w:rFonts w:ascii="Times New Roman" w:hAnsi="Times New Roman" w:cs="Times New Roman"/>
                <w:sz w:val="20"/>
                <w:szCs w:val="20"/>
                <w:lang w:val="en-US"/>
              </w:rPr>
              <w:t>320 (270)</w:t>
            </w:r>
          </w:p>
        </w:tc>
      </w:tr>
    </w:tbl>
    <w:p w14:paraId="773CF143" w14:textId="77777777" w:rsidR="00E46E26" w:rsidRDefault="00E46E26" w:rsidP="00E46E26"/>
    <w:p w14:paraId="78007F43" w14:textId="77777777" w:rsidR="00E46E26" w:rsidRDefault="00E46E26" w:rsidP="00E46E26"/>
    <w:p w14:paraId="461F2B25" w14:textId="77777777" w:rsidR="00E46E26" w:rsidRDefault="00E46E26" w:rsidP="00E46E26">
      <w:pPr>
        <w:spacing w:after="160" w:line="259" w:lineRule="auto"/>
      </w:pPr>
      <w:r>
        <w:br w:type="page"/>
      </w:r>
    </w:p>
    <w:p w14:paraId="34C70362" w14:textId="77777777" w:rsidR="00E46E26" w:rsidRPr="00407497" w:rsidRDefault="00E46E26" w:rsidP="00E46E26">
      <w:pPr>
        <w:spacing w:after="120" w:line="240" w:lineRule="auto"/>
        <w:ind w:left="284" w:hanging="284"/>
        <w:rPr>
          <w:rFonts w:ascii="Times New Roman" w:hAnsi="Times New Roman" w:cs="Times New Roman"/>
          <w:sz w:val="24"/>
          <w:szCs w:val="24"/>
          <w:lang w:val="en-US"/>
        </w:rPr>
      </w:pPr>
      <w:r w:rsidRPr="005234B2">
        <w:rPr>
          <w:rFonts w:ascii="Times New Roman" w:hAnsi="Times New Roman" w:cs="Times New Roman"/>
          <w:b/>
          <w:sz w:val="24"/>
          <w:szCs w:val="24"/>
          <w:lang w:val="en-US"/>
        </w:rPr>
        <w:t>Table 5</w:t>
      </w:r>
      <w:r w:rsidRPr="0040749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07497">
        <w:rPr>
          <w:rFonts w:ascii="Times New Roman" w:hAnsi="Times New Roman" w:cs="Times New Roman"/>
          <w:sz w:val="24"/>
          <w:szCs w:val="24"/>
          <w:lang w:val="en-US"/>
        </w:rPr>
        <w:t>Distance dependence of th</w:t>
      </w:r>
      <w:r>
        <w:rPr>
          <w:rFonts w:ascii="Times New Roman" w:hAnsi="Times New Roman" w:cs="Times New Roman"/>
          <w:sz w:val="24"/>
          <w:szCs w:val="24"/>
          <w:lang w:val="en-US"/>
        </w:rPr>
        <w:t>os</w:t>
      </w:r>
      <w:r w:rsidRPr="00407497">
        <w:rPr>
          <w:rFonts w:ascii="Times New Roman" w:hAnsi="Times New Roman" w:cs="Times New Roman"/>
          <w:sz w:val="24"/>
          <w:szCs w:val="24"/>
          <w:lang w:val="en-US"/>
        </w:rPr>
        <w:t xml:space="preserve">e EPR doses </w:t>
      </w:r>
      <w:r>
        <w:rPr>
          <w:rFonts w:ascii="Times New Roman" w:hAnsi="Times New Roman" w:cs="Times New Roman"/>
          <w:sz w:val="24"/>
          <w:szCs w:val="24"/>
          <w:lang w:val="en-US"/>
        </w:rPr>
        <w:t xml:space="preserve">which were </w:t>
      </w:r>
      <w:r w:rsidRPr="00407497">
        <w:rPr>
          <w:rFonts w:ascii="Times New Roman" w:hAnsi="Times New Roman" w:cs="Times New Roman"/>
          <w:sz w:val="24"/>
          <w:szCs w:val="24"/>
          <w:lang w:val="en-US"/>
        </w:rPr>
        <w:t>be</w:t>
      </w:r>
      <w:r>
        <w:rPr>
          <w:rFonts w:ascii="Times New Roman" w:hAnsi="Times New Roman" w:cs="Times New Roman"/>
          <w:sz w:val="24"/>
          <w:szCs w:val="24"/>
          <w:lang w:val="en-US"/>
        </w:rPr>
        <w:t>low</w:t>
      </w:r>
      <w:r w:rsidRPr="00407497">
        <w:rPr>
          <w:rFonts w:ascii="Times New Roman" w:hAnsi="Times New Roman" w:cs="Times New Roman"/>
          <w:sz w:val="24"/>
          <w:szCs w:val="24"/>
          <w:lang w:val="en-US"/>
        </w:rPr>
        <w:t xml:space="preserve"> the limit of individualization</w:t>
      </w:r>
      <w:r>
        <w:rPr>
          <w:rFonts w:ascii="Times New Roman" w:hAnsi="Times New Roman" w:cs="Times New Roman"/>
          <w:sz w:val="24"/>
          <w:szCs w:val="24"/>
          <w:lang w:val="en-US"/>
        </w:rPr>
        <w:t xml:space="preserve"> (</w:t>
      </w:r>
      <w:r w:rsidRPr="005234B2">
        <w:rPr>
          <w:rFonts w:ascii="Times New Roman" w:hAnsi="Times New Roman" w:cs="Times New Roman"/>
          <w:i/>
          <w:sz w:val="24"/>
          <w:szCs w:val="24"/>
          <w:lang w:val="en-US"/>
        </w:rPr>
        <w:t>BLI</w:t>
      </w:r>
      <w:r>
        <w:rPr>
          <w:rFonts w:ascii="Times New Roman" w:hAnsi="Times New Roman" w:cs="Times New Roman"/>
          <w:sz w:val="24"/>
          <w:szCs w:val="24"/>
          <w:lang w:val="en-US"/>
        </w:rPr>
        <w:t>)</w:t>
      </w:r>
      <w:r w:rsidRPr="00407497">
        <w:rPr>
          <w:rFonts w:ascii="Times New Roman" w:hAnsi="Times New Roman" w:cs="Times New Roman"/>
          <w:sz w:val="24"/>
          <w:szCs w:val="24"/>
          <w:lang w:val="en-US"/>
        </w:rPr>
        <w:t xml:space="preserve">. </w:t>
      </w:r>
    </w:p>
    <w:tbl>
      <w:tblPr>
        <w:tblW w:w="62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1701"/>
        <w:gridCol w:w="2551"/>
      </w:tblGrid>
      <w:tr w:rsidR="00E46E26" w:rsidRPr="00407497" w14:paraId="2CE4A8C9" w14:textId="77777777" w:rsidTr="006C1FAC">
        <w:trPr>
          <w:trHeight w:val="300"/>
        </w:trPr>
        <w:tc>
          <w:tcPr>
            <w:tcW w:w="2029" w:type="dxa"/>
            <w:shd w:val="clear" w:color="auto" w:fill="auto"/>
            <w:vAlign w:val="center"/>
          </w:tcPr>
          <w:p w14:paraId="51D99161"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Distance, km</w:t>
            </w:r>
          </w:p>
        </w:tc>
        <w:tc>
          <w:tcPr>
            <w:tcW w:w="1701" w:type="dxa"/>
            <w:shd w:val="clear" w:color="auto" w:fill="auto"/>
            <w:vAlign w:val="center"/>
          </w:tcPr>
          <w:p w14:paraId="22AB1AB8"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 xml:space="preserve">Number of </w:t>
            </w:r>
            <w:r w:rsidRPr="00407497">
              <w:rPr>
                <w:rFonts w:ascii="Times New Roman" w:eastAsia="Times New Roman" w:hAnsi="Times New Roman" w:cs="Times New Roman"/>
                <w:i/>
                <w:color w:val="000000"/>
                <w:sz w:val="20"/>
                <w:szCs w:val="20"/>
                <w:lang w:val="en-US" w:eastAsia="ru-RU"/>
              </w:rPr>
              <w:t>BLI</w:t>
            </w:r>
            <w:r w:rsidRPr="00407497">
              <w:rPr>
                <w:rFonts w:ascii="Times New Roman" w:eastAsia="Times New Roman" w:hAnsi="Times New Roman" w:cs="Times New Roman"/>
                <w:color w:val="000000"/>
                <w:sz w:val="20"/>
                <w:szCs w:val="20"/>
                <w:lang w:val="en-US" w:eastAsia="ru-RU"/>
              </w:rPr>
              <w:t xml:space="preserve"> EPR measurements</w:t>
            </w:r>
          </w:p>
        </w:tc>
        <w:tc>
          <w:tcPr>
            <w:tcW w:w="2551" w:type="dxa"/>
            <w:vAlign w:val="center"/>
          </w:tcPr>
          <w:p w14:paraId="192CCE93"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i/>
                <w:color w:val="000000"/>
                <w:sz w:val="20"/>
                <w:szCs w:val="20"/>
                <w:lang w:val="en-US" w:eastAsia="ru-RU"/>
              </w:rPr>
              <w:t xml:space="preserve">BLI </w:t>
            </w:r>
            <w:r w:rsidRPr="00407497">
              <w:rPr>
                <w:rFonts w:ascii="Times New Roman" w:eastAsia="Times New Roman" w:hAnsi="Times New Roman" w:cs="Times New Roman"/>
                <w:color w:val="000000"/>
                <w:sz w:val="20"/>
                <w:szCs w:val="20"/>
                <w:lang w:val="en-US" w:eastAsia="ru-RU"/>
              </w:rPr>
              <w:t>dose ± error of mean,</w:t>
            </w:r>
          </w:p>
          <w:p w14:paraId="66FDAD0D"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mGy</w:t>
            </w:r>
          </w:p>
        </w:tc>
      </w:tr>
      <w:tr w:rsidR="00E46E26" w:rsidRPr="00407497" w14:paraId="5CA09620" w14:textId="77777777" w:rsidTr="006C1FAC">
        <w:trPr>
          <w:trHeight w:val="300"/>
        </w:trPr>
        <w:tc>
          <w:tcPr>
            <w:tcW w:w="2029" w:type="dxa"/>
            <w:shd w:val="clear" w:color="auto" w:fill="auto"/>
            <w:vAlign w:val="center"/>
          </w:tcPr>
          <w:p w14:paraId="5B2BF16C"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7</w:t>
            </w:r>
            <w:r w:rsidRPr="00407497">
              <w:rPr>
                <w:rFonts w:ascii="Times New Roman" w:hAnsi="Times New Roman" w:cs="Times New Roman"/>
                <w:sz w:val="20"/>
                <w:szCs w:val="20"/>
                <w:vertAlign w:val="superscript"/>
                <w:lang w:val="en-US"/>
              </w:rPr>
              <w:t>*</w:t>
            </w:r>
          </w:p>
        </w:tc>
        <w:tc>
          <w:tcPr>
            <w:tcW w:w="1701" w:type="dxa"/>
            <w:shd w:val="clear" w:color="auto" w:fill="auto"/>
            <w:vAlign w:val="center"/>
          </w:tcPr>
          <w:p w14:paraId="3FD9A43C"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21</w:t>
            </w:r>
          </w:p>
        </w:tc>
        <w:tc>
          <w:tcPr>
            <w:tcW w:w="2551" w:type="dxa"/>
            <w:vAlign w:val="center"/>
          </w:tcPr>
          <w:p w14:paraId="1B7E7022"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170</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25</w:t>
            </w:r>
          </w:p>
        </w:tc>
      </w:tr>
      <w:tr w:rsidR="00E46E26" w:rsidRPr="00407497" w14:paraId="2C32FD4C" w14:textId="77777777" w:rsidTr="006C1FAC">
        <w:trPr>
          <w:trHeight w:val="300"/>
        </w:trPr>
        <w:tc>
          <w:tcPr>
            <w:tcW w:w="2029" w:type="dxa"/>
            <w:shd w:val="clear" w:color="auto" w:fill="auto"/>
            <w:vAlign w:val="center"/>
          </w:tcPr>
          <w:p w14:paraId="17AC384C"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18-33</w:t>
            </w:r>
          </w:p>
        </w:tc>
        <w:tc>
          <w:tcPr>
            <w:tcW w:w="1701" w:type="dxa"/>
            <w:shd w:val="clear" w:color="auto" w:fill="auto"/>
            <w:vAlign w:val="center"/>
          </w:tcPr>
          <w:p w14:paraId="44F879F3"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22</w:t>
            </w:r>
          </w:p>
        </w:tc>
        <w:tc>
          <w:tcPr>
            <w:tcW w:w="2551" w:type="dxa"/>
            <w:vAlign w:val="center"/>
          </w:tcPr>
          <w:p w14:paraId="0B6B3DEA"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120</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20</w:t>
            </w:r>
          </w:p>
        </w:tc>
      </w:tr>
      <w:tr w:rsidR="00E46E26" w:rsidRPr="00407497" w14:paraId="378697CB" w14:textId="77777777" w:rsidTr="006C1FAC">
        <w:trPr>
          <w:trHeight w:val="300"/>
        </w:trPr>
        <w:tc>
          <w:tcPr>
            <w:tcW w:w="2029" w:type="dxa"/>
            <w:shd w:val="clear" w:color="auto" w:fill="auto"/>
            <w:vAlign w:val="center"/>
            <w:hideMark/>
          </w:tcPr>
          <w:p w14:paraId="3B2C046E"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41-43</w:t>
            </w:r>
          </w:p>
        </w:tc>
        <w:tc>
          <w:tcPr>
            <w:tcW w:w="1701" w:type="dxa"/>
            <w:shd w:val="clear" w:color="auto" w:fill="auto"/>
            <w:vAlign w:val="center"/>
            <w:hideMark/>
          </w:tcPr>
          <w:p w14:paraId="22B2D62A"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23</w:t>
            </w:r>
          </w:p>
        </w:tc>
        <w:tc>
          <w:tcPr>
            <w:tcW w:w="2551" w:type="dxa"/>
            <w:vAlign w:val="center"/>
          </w:tcPr>
          <w:p w14:paraId="41CED9CE"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100</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20</w:t>
            </w:r>
          </w:p>
        </w:tc>
      </w:tr>
      <w:tr w:rsidR="00E46E26" w:rsidRPr="00407497" w14:paraId="5B2026C0" w14:textId="77777777" w:rsidTr="006C1FAC">
        <w:trPr>
          <w:trHeight w:val="300"/>
        </w:trPr>
        <w:tc>
          <w:tcPr>
            <w:tcW w:w="2029" w:type="dxa"/>
            <w:shd w:val="clear" w:color="auto" w:fill="auto"/>
            <w:vAlign w:val="center"/>
            <w:hideMark/>
          </w:tcPr>
          <w:p w14:paraId="417A0610"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48-50</w:t>
            </w:r>
            <w:r w:rsidRPr="00407497">
              <w:rPr>
                <w:rFonts w:ascii="Times New Roman" w:hAnsi="Times New Roman" w:cs="Times New Roman"/>
                <w:sz w:val="20"/>
                <w:szCs w:val="20"/>
                <w:vertAlign w:val="superscript"/>
                <w:lang w:val="en-US"/>
              </w:rPr>
              <w:t>*</w:t>
            </w:r>
          </w:p>
        </w:tc>
        <w:tc>
          <w:tcPr>
            <w:tcW w:w="1701" w:type="dxa"/>
            <w:shd w:val="clear" w:color="auto" w:fill="auto"/>
            <w:vAlign w:val="center"/>
            <w:hideMark/>
          </w:tcPr>
          <w:p w14:paraId="014759F3"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15</w:t>
            </w:r>
          </w:p>
        </w:tc>
        <w:tc>
          <w:tcPr>
            <w:tcW w:w="2551" w:type="dxa"/>
            <w:vAlign w:val="center"/>
          </w:tcPr>
          <w:p w14:paraId="2952735B"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130</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25</w:t>
            </w:r>
          </w:p>
        </w:tc>
      </w:tr>
      <w:tr w:rsidR="00E46E26" w:rsidRPr="00407497" w14:paraId="5FBB5100" w14:textId="77777777" w:rsidTr="006C1FAC">
        <w:trPr>
          <w:trHeight w:val="300"/>
        </w:trPr>
        <w:tc>
          <w:tcPr>
            <w:tcW w:w="2029" w:type="dxa"/>
            <w:shd w:val="clear" w:color="auto" w:fill="auto"/>
            <w:vAlign w:val="center"/>
            <w:hideMark/>
          </w:tcPr>
          <w:p w14:paraId="7B7B7E08" w14:textId="77777777" w:rsidR="00E46E26" w:rsidRPr="00407497" w:rsidRDefault="00E46E26" w:rsidP="006C1FAC">
            <w:pPr>
              <w:pStyle w:val="Listenabsatz"/>
              <w:spacing w:after="0" w:line="240" w:lineRule="auto"/>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&gt;50</w:t>
            </w:r>
          </w:p>
        </w:tc>
        <w:tc>
          <w:tcPr>
            <w:tcW w:w="1701" w:type="dxa"/>
            <w:shd w:val="clear" w:color="auto" w:fill="auto"/>
            <w:vAlign w:val="center"/>
            <w:hideMark/>
          </w:tcPr>
          <w:p w14:paraId="4B9EFF2D"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407497">
              <w:rPr>
                <w:rFonts w:ascii="Times New Roman" w:eastAsia="Times New Roman" w:hAnsi="Times New Roman" w:cs="Times New Roman"/>
                <w:color w:val="000000"/>
                <w:sz w:val="20"/>
                <w:szCs w:val="20"/>
                <w:lang w:val="en-US" w:eastAsia="ru-RU"/>
              </w:rPr>
              <w:t>160</w:t>
            </w:r>
          </w:p>
        </w:tc>
        <w:tc>
          <w:tcPr>
            <w:tcW w:w="2551" w:type="dxa"/>
            <w:vAlign w:val="center"/>
          </w:tcPr>
          <w:p w14:paraId="2DB04E5F" w14:textId="77777777" w:rsidR="00E46E26" w:rsidRPr="00407497"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407497">
              <w:rPr>
                <w:rFonts w:ascii="Times New Roman" w:eastAsia="Times New Roman" w:hAnsi="Times New Roman" w:cs="Times New Roman"/>
                <w:color w:val="000000"/>
                <w:sz w:val="20"/>
                <w:szCs w:val="20"/>
                <w:lang w:val="en-US" w:eastAsia="ru-RU"/>
              </w:rPr>
              <w:t>100</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w:t>
            </w:r>
            <w:r>
              <w:rPr>
                <w:rFonts w:ascii="Times New Roman" w:eastAsia="Times New Roman" w:hAnsi="Times New Roman" w:cs="Times New Roman"/>
                <w:color w:val="000000"/>
                <w:sz w:val="20"/>
                <w:szCs w:val="20"/>
                <w:lang w:val="en-US" w:eastAsia="ru-RU"/>
              </w:rPr>
              <w:t xml:space="preserve"> </w:t>
            </w:r>
            <w:r w:rsidRPr="00407497">
              <w:rPr>
                <w:rFonts w:ascii="Times New Roman" w:eastAsia="Times New Roman" w:hAnsi="Times New Roman" w:cs="Times New Roman"/>
                <w:color w:val="000000"/>
                <w:sz w:val="20"/>
                <w:szCs w:val="20"/>
                <w:lang w:val="en-US" w:eastAsia="ru-RU"/>
              </w:rPr>
              <w:t>6</w:t>
            </w:r>
          </w:p>
        </w:tc>
      </w:tr>
    </w:tbl>
    <w:p w14:paraId="301F5993" w14:textId="77777777" w:rsidR="00E46E26" w:rsidRPr="004D1CE8" w:rsidRDefault="00E46E26" w:rsidP="00E46E26">
      <w:pPr>
        <w:rPr>
          <w:lang w:val="en-US"/>
        </w:rPr>
      </w:pPr>
      <w:r>
        <w:rPr>
          <w:rFonts w:ascii="Times New Roman" w:hAnsi="Times New Roman" w:cs="Times New Roman"/>
          <w:sz w:val="20"/>
          <w:szCs w:val="20"/>
          <w:lang w:val="en-US"/>
        </w:rPr>
        <w:t>*</w:t>
      </w:r>
      <w:r>
        <w:rPr>
          <w:rFonts w:ascii="Times New Roman" w:hAnsi="Times New Roman" w:cs="Times New Roman"/>
          <w:sz w:val="20"/>
          <w:szCs w:val="20"/>
          <w:vertAlign w:val="superscript"/>
          <w:lang w:val="en-US"/>
        </w:rPr>
        <w:t xml:space="preserve">  </w:t>
      </w:r>
      <w:r w:rsidRPr="00303F27">
        <w:rPr>
          <w:rFonts w:ascii="Times New Roman" w:hAnsi="Times New Roman" w:cs="Times New Roman"/>
          <w:sz w:val="20"/>
          <w:szCs w:val="20"/>
          <w:lang w:val="en-US"/>
        </w:rPr>
        <w:t>- located at stagnant reservoir</w:t>
      </w:r>
    </w:p>
    <w:p w14:paraId="3DBC1772" w14:textId="77777777" w:rsidR="00E46E26" w:rsidRPr="008A3C33" w:rsidRDefault="00E46E26" w:rsidP="00E46E26">
      <w:pPr>
        <w:spacing w:after="160" w:line="259" w:lineRule="auto"/>
        <w:rPr>
          <w:lang w:val="en-US"/>
        </w:rPr>
      </w:pPr>
      <w:r w:rsidRPr="008A3C33">
        <w:rPr>
          <w:lang w:val="en-US"/>
        </w:rPr>
        <w:br w:type="page"/>
      </w:r>
    </w:p>
    <w:p w14:paraId="73DC4F58" w14:textId="77777777" w:rsidR="00E46E26" w:rsidRPr="0076127B" w:rsidRDefault="00E46E26" w:rsidP="00E46E26">
      <w:pPr>
        <w:spacing w:after="120" w:line="360" w:lineRule="auto"/>
        <w:rPr>
          <w:rFonts w:ascii="Times New Roman" w:hAnsi="Times New Roman" w:cs="Times New Roman"/>
          <w:sz w:val="24"/>
          <w:szCs w:val="24"/>
          <w:lang w:val="en-US"/>
        </w:rPr>
      </w:pPr>
      <w:r w:rsidRPr="005234B2">
        <w:rPr>
          <w:rFonts w:ascii="Times New Roman" w:hAnsi="Times New Roman" w:cs="Times New Roman"/>
          <w:b/>
          <w:sz w:val="24"/>
          <w:szCs w:val="24"/>
          <w:lang w:val="en-US"/>
        </w:rPr>
        <w:t>Table 6</w:t>
      </w:r>
      <w:r w:rsidRPr="0076127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6127B">
        <w:rPr>
          <w:rFonts w:ascii="Times New Roman" w:hAnsi="Times New Roman" w:cs="Times New Roman"/>
          <w:sz w:val="24"/>
          <w:szCs w:val="24"/>
          <w:lang w:val="en-US"/>
        </w:rPr>
        <w:t xml:space="preserve">Total anthropogenic doses and their internal fractions in the enamel of teeth of permanent Techa riverside residents, who lived at different distance from the </w:t>
      </w:r>
      <w:r>
        <w:rPr>
          <w:rFonts w:ascii="Times New Roman" w:hAnsi="Times New Roman" w:cs="Times New Roman"/>
          <w:sz w:val="24"/>
          <w:szCs w:val="24"/>
          <w:lang w:val="en-US"/>
        </w:rPr>
        <w:t>site</w:t>
      </w:r>
      <w:r w:rsidRPr="0076127B">
        <w:rPr>
          <w:rFonts w:ascii="Times New Roman" w:hAnsi="Times New Roman" w:cs="Times New Roman"/>
          <w:sz w:val="24"/>
          <w:szCs w:val="24"/>
          <w:lang w:val="en-US"/>
        </w:rPr>
        <w:t xml:space="preserve"> of releases</w:t>
      </w:r>
      <w:r>
        <w:rPr>
          <w:rFonts w:ascii="Times New Roman" w:hAnsi="Times New Roman" w:cs="Times New Roman"/>
          <w:sz w:val="24"/>
          <w:szCs w:val="24"/>
          <w:lang w:val="en-US"/>
        </w:rPr>
        <w:t xml:space="preserve">; </w:t>
      </w:r>
      <w:r w:rsidRPr="00137BF8">
        <w:rPr>
          <w:rFonts w:ascii="Times New Roman" w:hAnsi="Times New Roman" w:cs="Times New Roman"/>
          <w:i/>
          <w:sz w:val="24"/>
          <w:szCs w:val="24"/>
          <w:lang w:val="en-US"/>
        </w:rPr>
        <w:t xml:space="preserve">LI </w:t>
      </w:r>
      <w:r>
        <w:rPr>
          <w:rFonts w:ascii="Times New Roman" w:hAnsi="Times New Roman" w:cs="Times New Roman"/>
          <w:sz w:val="24"/>
          <w:szCs w:val="24"/>
          <w:lang w:val="en-US"/>
        </w:rPr>
        <w:t>– limit of individualization</w:t>
      </w:r>
    </w:p>
    <w:tbl>
      <w:tblPr>
        <w:tblW w:w="7245" w:type="dxa"/>
        <w:tblInd w:w="93" w:type="dxa"/>
        <w:tblLayout w:type="fixed"/>
        <w:tblLook w:val="04A0" w:firstRow="1" w:lastRow="0" w:firstColumn="1" w:lastColumn="0" w:noHBand="0" w:noVBand="1"/>
      </w:tblPr>
      <w:tblGrid>
        <w:gridCol w:w="753"/>
        <w:gridCol w:w="850"/>
        <w:gridCol w:w="993"/>
        <w:gridCol w:w="1388"/>
        <w:gridCol w:w="1560"/>
        <w:gridCol w:w="1701"/>
      </w:tblGrid>
      <w:tr w:rsidR="00E46E26" w:rsidRPr="00C24BC0" w14:paraId="1734D1D6" w14:textId="77777777" w:rsidTr="006C1FAC">
        <w:trPr>
          <w:trHeight w:val="510"/>
        </w:trPr>
        <w:tc>
          <w:tcPr>
            <w:tcW w:w="7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CE87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G</w:t>
            </w:r>
            <w:r w:rsidRPr="00C24BC0">
              <w:rPr>
                <w:rFonts w:ascii="Times New Roman" w:eastAsia="Times New Roman" w:hAnsi="Times New Roman" w:cs="Times New Roman"/>
                <w:color w:val="000000"/>
                <w:sz w:val="20"/>
                <w:szCs w:val="20"/>
                <w:lang w:val="en-US" w:eastAsia="ru-RU"/>
              </w:rPr>
              <w:t>roup</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CFF79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Dis-tance, km</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5B846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N</w:t>
            </w:r>
            <w:r>
              <w:rPr>
                <w:rFonts w:ascii="Times New Roman" w:eastAsia="Times New Roman" w:hAnsi="Times New Roman" w:cs="Times New Roman"/>
                <w:color w:val="000000"/>
                <w:sz w:val="20"/>
                <w:szCs w:val="20"/>
                <w:lang w:val="en-US" w:eastAsia="ru-RU"/>
              </w:rPr>
              <w:t>umber</w:t>
            </w:r>
            <w:r w:rsidRPr="00C24BC0">
              <w:rPr>
                <w:rFonts w:ascii="Times New Roman" w:eastAsia="Times New Roman" w:hAnsi="Times New Roman" w:cs="Times New Roman"/>
                <w:color w:val="000000"/>
                <w:sz w:val="20"/>
                <w:szCs w:val="20"/>
                <w:lang w:val="en-US" w:eastAsia="ru-RU"/>
              </w:rPr>
              <w:t xml:space="preserve"> of teeth</w:t>
            </w:r>
          </w:p>
        </w:tc>
        <w:tc>
          <w:tcPr>
            <w:tcW w:w="2948" w:type="dxa"/>
            <w:gridSpan w:val="2"/>
            <w:tcBorders>
              <w:top w:val="single" w:sz="4" w:space="0" w:color="auto"/>
              <w:left w:val="nil"/>
              <w:bottom w:val="single" w:sz="4" w:space="0" w:color="auto"/>
              <w:right w:val="single" w:sz="4" w:space="0" w:color="auto"/>
            </w:tcBorders>
            <w:shd w:val="clear" w:color="auto" w:fill="auto"/>
            <w:vAlign w:val="center"/>
            <w:hideMark/>
          </w:tcPr>
          <w:p w14:paraId="78F31DA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Anthropogenic dose, mGy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C4D53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Anthropogenic doses &gt;</w:t>
            </w:r>
            <w:r>
              <w:rPr>
                <w:rFonts w:ascii="Times New Roman" w:eastAsia="Times New Roman" w:hAnsi="Times New Roman" w:cs="Times New Roman"/>
                <w:color w:val="000000"/>
                <w:sz w:val="20"/>
                <w:szCs w:val="20"/>
                <w:lang w:val="en-US" w:eastAsia="ru-RU"/>
              </w:rPr>
              <w:t xml:space="preserve"> </w:t>
            </w:r>
            <w:r w:rsidRPr="00137BF8">
              <w:rPr>
                <w:rFonts w:ascii="Times New Roman" w:eastAsia="Times New Roman" w:hAnsi="Times New Roman" w:cs="Times New Roman"/>
                <w:i/>
                <w:color w:val="000000"/>
                <w:sz w:val="20"/>
                <w:szCs w:val="20"/>
                <w:lang w:val="en-US" w:eastAsia="ru-RU"/>
              </w:rPr>
              <w:t>LI</w:t>
            </w:r>
            <w:r w:rsidRPr="00C24BC0">
              <w:rPr>
                <w:rFonts w:ascii="Times New Roman" w:eastAsia="Times New Roman" w:hAnsi="Times New Roman" w:cs="Times New Roman"/>
                <w:color w:val="000000"/>
                <w:sz w:val="20"/>
                <w:szCs w:val="20"/>
                <w:lang w:val="en-US" w:eastAsia="ru-RU"/>
              </w:rPr>
              <w:t>, %</w:t>
            </w:r>
          </w:p>
        </w:tc>
      </w:tr>
      <w:tr w:rsidR="00E46E26" w:rsidRPr="00C24BC0" w14:paraId="52455D47" w14:textId="77777777" w:rsidTr="006C1FAC">
        <w:trPr>
          <w:trHeight w:val="510"/>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6062C852"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ABD9DD"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3D1D898"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c>
          <w:tcPr>
            <w:tcW w:w="1388" w:type="dxa"/>
            <w:tcBorders>
              <w:top w:val="nil"/>
              <w:left w:val="nil"/>
              <w:bottom w:val="single" w:sz="4" w:space="0" w:color="auto"/>
              <w:right w:val="single" w:sz="4" w:space="0" w:color="auto"/>
            </w:tcBorders>
            <w:shd w:val="clear" w:color="auto" w:fill="auto"/>
            <w:vAlign w:val="center"/>
            <w:hideMark/>
          </w:tcPr>
          <w:p w14:paraId="246EE283"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Median (25%-75%)</w:t>
            </w:r>
          </w:p>
        </w:tc>
        <w:tc>
          <w:tcPr>
            <w:tcW w:w="1560" w:type="dxa"/>
            <w:tcBorders>
              <w:top w:val="nil"/>
              <w:left w:val="nil"/>
              <w:bottom w:val="single" w:sz="4" w:space="0" w:color="auto"/>
              <w:right w:val="single" w:sz="4" w:space="0" w:color="auto"/>
            </w:tcBorders>
            <w:shd w:val="clear" w:color="auto" w:fill="auto"/>
            <w:vAlign w:val="center"/>
            <w:hideMark/>
          </w:tcPr>
          <w:p w14:paraId="4CF4844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Maximum</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832C3F"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r>
      <w:tr w:rsidR="00E46E26" w:rsidRPr="00C24BC0" w14:paraId="62E0B284"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4A18585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w:t>
            </w:r>
          </w:p>
        </w:tc>
        <w:tc>
          <w:tcPr>
            <w:tcW w:w="850" w:type="dxa"/>
            <w:tcBorders>
              <w:top w:val="nil"/>
              <w:left w:val="nil"/>
              <w:bottom w:val="single" w:sz="4" w:space="0" w:color="auto"/>
              <w:right w:val="single" w:sz="4" w:space="0" w:color="auto"/>
            </w:tcBorders>
            <w:shd w:val="clear" w:color="auto" w:fill="auto"/>
            <w:vAlign w:val="center"/>
            <w:hideMark/>
          </w:tcPr>
          <w:p w14:paraId="2300E80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w:t>
            </w:r>
            <w:r>
              <w:rPr>
                <w:vertAlign w:val="superscript"/>
                <w:lang w:val="en-US"/>
              </w:rPr>
              <w:t>*</w:t>
            </w:r>
          </w:p>
        </w:tc>
        <w:tc>
          <w:tcPr>
            <w:tcW w:w="993" w:type="dxa"/>
            <w:tcBorders>
              <w:top w:val="nil"/>
              <w:left w:val="nil"/>
              <w:bottom w:val="single" w:sz="4" w:space="0" w:color="auto"/>
              <w:right w:val="single" w:sz="4" w:space="0" w:color="auto"/>
            </w:tcBorders>
            <w:shd w:val="clear" w:color="auto" w:fill="auto"/>
            <w:vAlign w:val="center"/>
            <w:hideMark/>
          </w:tcPr>
          <w:p w14:paraId="74D13A43"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w:t>
            </w:r>
          </w:p>
        </w:tc>
        <w:tc>
          <w:tcPr>
            <w:tcW w:w="1388" w:type="dxa"/>
            <w:tcBorders>
              <w:top w:val="nil"/>
              <w:left w:val="nil"/>
              <w:bottom w:val="single" w:sz="4" w:space="0" w:color="auto"/>
              <w:right w:val="single" w:sz="4" w:space="0" w:color="auto"/>
            </w:tcBorders>
            <w:shd w:val="clear" w:color="auto" w:fill="auto"/>
            <w:vAlign w:val="center"/>
            <w:hideMark/>
          </w:tcPr>
          <w:p w14:paraId="19B51C9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350 (210-770)</w:t>
            </w:r>
          </w:p>
        </w:tc>
        <w:tc>
          <w:tcPr>
            <w:tcW w:w="1560" w:type="dxa"/>
            <w:tcBorders>
              <w:top w:val="nil"/>
              <w:left w:val="nil"/>
              <w:bottom w:val="single" w:sz="4" w:space="0" w:color="auto"/>
              <w:right w:val="single" w:sz="4" w:space="0" w:color="auto"/>
            </w:tcBorders>
            <w:shd w:val="clear" w:color="auto" w:fill="auto"/>
            <w:vAlign w:val="center"/>
            <w:hideMark/>
          </w:tcPr>
          <w:p w14:paraId="5417B20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w:t>
            </w:r>
            <w:r>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val="en-US" w:eastAsia="ru-RU"/>
              </w:rPr>
              <w:t>080</w:t>
            </w:r>
          </w:p>
        </w:tc>
        <w:tc>
          <w:tcPr>
            <w:tcW w:w="1701" w:type="dxa"/>
            <w:tcBorders>
              <w:top w:val="nil"/>
              <w:left w:val="nil"/>
              <w:bottom w:val="single" w:sz="4" w:space="0" w:color="auto"/>
              <w:right w:val="single" w:sz="4" w:space="0" w:color="auto"/>
            </w:tcBorders>
            <w:shd w:val="clear" w:color="auto" w:fill="auto"/>
            <w:vAlign w:val="center"/>
            <w:hideMark/>
          </w:tcPr>
          <w:p w14:paraId="2C15FEE7"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60</w:t>
            </w:r>
          </w:p>
        </w:tc>
      </w:tr>
      <w:tr w:rsidR="00E46E26" w:rsidRPr="00C24BC0" w14:paraId="48BF49DB"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612D608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w:t>
            </w:r>
          </w:p>
        </w:tc>
        <w:tc>
          <w:tcPr>
            <w:tcW w:w="850" w:type="dxa"/>
            <w:tcBorders>
              <w:top w:val="nil"/>
              <w:left w:val="nil"/>
              <w:bottom w:val="single" w:sz="4" w:space="0" w:color="auto"/>
              <w:right w:val="single" w:sz="4" w:space="0" w:color="auto"/>
            </w:tcBorders>
            <w:shd w:val="clear" w:color="auto" w:fill="auto"/>
            <w:vAlign w:val="center"/>
            <w:hideMark/>
          </w:tcPr>
          <w:p w14:paraId="24DDB89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18-33</w:t>
            </w:r>
          </w:p>
        </w:tc>
        <w:tc>
          <w:tcPr>
            <w:tcW w:w="993" w:type="dxa"/>
            <w:tcBorders>
              <w:top w:val="nil"/>
              <w:left w:val="nil"/>
              <w:bottom w:val="single" w:sz="4" w:space="0" w:color="auto"/>
              <w:right w:val="single" w:sz="4" w:space="0" w:color="auto"/>
            </w:tcBorders>
            <w:shd w:val="clear" w:color="auto" w:fill="auto"/>
            <w:vAlign w:val="center"/>
            <w:hideMark/>
          </w:tcPr>
          <w:p w14:paraId="68FF81F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26</w:t>
            </w:r>
          </w:p>
        </w:tc>
        <w:tc>
          <w:tcPr>
            <w:tcW w:w="1388" w:type="dxa"/>
            <w:tcBorders>
              <w:top w:val="nil"/>
              <w:left w:val="nil"/>
              <w:bottom w:val="single" w:sz="4" w:space="0" w:color="auto"/>
              <w:right w:val="single" w:sz="4" w:space="0" w:color="auto"/>
            </w:tcBorders>
            <w:shd w:val="clear" w:color="auto" w:fill="auto"/>
            <w:vAlign w:val="center"/>
            <w:hideMark/>
          </w:tcPr>
          <w:p w14:paraId="2D2A16B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80 (40-150)</w:t>
            </w:r>
          </w:p>
        </w:tc>
        <w:tc>
          <w:tcPr>
            <w:tcW w:w="1560" w:type="dxa"/>
            <w:tcBorders>
              <w:top w:val="nil"/>
              <w:left w:val="nil"/>
              <w:bottom w:val="single" w:sz="4" w:space="0" w:color="auto"/>
              <w:right w:val="single" w:sz="4" w:space="0" w:color="auto"/>
            </w:tcBorders>
            <w:shd w:val="clear" w:color="auto" w:fill="auto"/>
            <w:vAlign w:val="center"/>
            <w:hideMark/>
          </w:tcPr>
          <w:p w14:paraId="42B6E5A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w:t>
            </w:r>
            <w:r>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val="en-US" w:eastAsia="ru-RU"/>
              </w:rPr>
              <w:t>140</w:t>
            </w:r>
          </w:p>
        </w:tc>
        <w:tc>
          <w:tcPr>
            <w:tcW w:w="1701" w:type="dxa"/>
            <w:tcBorders>
              <w:top w:val="nil"/>
              <w:left w:val="nil"/>
              <w:bottom w:val="single" w:sz="4" w:space="0" w:color="auto"/>
              <w:right w:val="single" w:sz="4" w:space="0" w:color="auto"/>
            </w:tcBorders>
            <w:shd w:val="clear" w:color="auto" w:fill="auto"/>
            <w:vAlign w:val="center"/>
            <w:hideMark/>
          </w:tcPr>
          <w:p w14:paraId="7D94990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35</w:t>
            </w:r>
          </w:p>
        </w:tc>
      </w:tr>
      <w:tr w:rsidR="00E46E26" w:rsidRPr="00C24BC0" w14:paraId="5C370F1A"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6D8125E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w:t>
            </w:r>
          </w:p>
        </w:tc>
        <w:tc>
          <w:tcPr>
            <w:tcW w:w="850" w:type="dxa"/>
            <w:tcBorders>
              <w:top w:val="nil"/>
              <w:left w:val="nil"/>
              <w:bottom w:val="single" w:sz="4" w:space="0" w:color="auto"/>
              <w:right w:val="single" w:sz="4" w:space="0" w:color="auto"/>
            </w:tcBorders>
            <w:shd w:val="clear" w:color="auto" w:fill="auto"/>
            <w:vAlign w:val="center"/>
            <w:hideMark/>
          </w:tcPr>
          <w:p w14:paraId="0E981CD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41-43</w:t>
            </w:r>
          </w:p>
        </w:tc>
        <w:tc>
          <w:tcPr>
            <w:tcW w:w="993" w:type="dxa"/>
            <w:tcBorders>
              <w:top w:val="nil"/>
              <w:left w:val="nil"/>
              <w:bottom w:val="single" w:sz="4" w:space="0" w:color="auto"/>
              <w:right w:val="single" w:sz="4" w:space="0" w:color="auto"/>
            </w:tcBorders>
            <w:shd w:val="clear" w:color="auto" w:fill="auto"/>
            <w:vAlign w:val="center"/>
            <w:hideMark/>
          </w:tcPr>
          <w:p w14:paraId="7C96F26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20</w:t>
            </w:r>
          </w:p>
        </w:tc>
        <w:tc>
          <w:tcPr>
            <w:tcW w:w="1388" w:type="dxa"/>
            <w:tcBorders>
              <w:top w:val="nil"/>
              <w:left w:val="nil"/>
              <w:bottom w:val="single" w:sz="4" w:space="0" w:color="auto"/>
              <w:right w:val="single" w:sz="4" w:space="0" w:color="auto"/>
            </w:tcBorders>
            <w:shd w:val="clear" w:color="auto" w:fill="auto"/>
            <w:vAlign w:val="center"/>
            <w:hideMark/>
          </w:tcPr>
          <w:p w14:paraId="45DEC0F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20 (10-400)</w:t>
            </w:r>
          </w:p>
        </w:tc>
        <w:tc>
          <w:tcPr>
            <w:tcW w:w="1560" w:type="dxa"/>
            <w:tcBorders>
              <w:top w:val="nil"/>
              <w:left w:val="nil"/>
              <w:bottom w:val="single" w:sz="4" w:space="0" w:color="auto"/>
              <w:right w:val="single" w:sz="4" w:space="0" w:color="auto"/>
            </w:tcBorders>
            <w:shd w:val="clear" w:color="auto" w:fill="auto"/>
            <w:vAlign w:val="center"/>
            <w:hideMark/>
          </w:tcPr>
          <w:p w14:paraId="0D9CE83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w:t>
            </w:r>
            <w:r>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val="en-US" w:eastAsia="ru-RU"/>
              </w:rPr>
              <w:t>230</w:t>
            </w:r>
          </w:p>
        </w:tc>
        <w:tc>
          <w:tcPr>
            <w:tcW w:w="1701" w:type="dxa"/>
            <w:tcBorders>
              <w:top w:val="nil"/>
              <w:left w:val="nil"/>
              <w:bottom w:val="single" w:sz="4" w:space="0" w:color="auto"/>
              <w:right w:val="single" w:sz="4" w:space="0" w:color="auto"/>
            </w:tcBorders>
            <w:shd w:val="clear" w:color="auto" w:fill="auto"/>
            <w:vAlign w:val="center"/>
            <w:hideMark/>
          </w:tcPr>
          <w:p w14:paraId="578674A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35</w:t>
            </w:r>
          </w:p>
        </w:tc>
      </w:tr>
      <w:tr w:rsidR="00E46E26" w:rsidRPr="00C24BC0" w14:paraId="52E6705D"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474B34C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w:t>
            </w:r>
          </w:p>
        </w:tc>
        <w:tc>
          <w:tcPr>
            <w:tcW w:w="850" w:type="dxa"/>
            <w:tcBorders>
              <w:top w:val="nil"/>
              <w:left w:val="nil"/>
              <w:bottom w:val="single" w:sz="4" w:space="0" w:color="auto"/>
              <w:right w:val="single" w:sz="4" w:space="0" w:color="auto"/>
            </w:tcBorders>
            <w:shd w:val="clear" w:color="auto" w:fill="auto"/>
            <w:vAlign w:val="center"/>
            <w:hideMark/>
          </w:tcPr>
          <w:p w14:paraId="2B33C7E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48-50</w:t>
            </w:r>
            <w:r>
              <w:rPr>
                <w:vertAlign w:val="superscript"/>
                <w:lang w:val="en-US"/>
              </w:rPr>
              <w:t>*</w:t>
            </w:r>
          </w:p>
        </w:tc>
        <w:tc>
          <w:tcPr>
            <w:tcW w:w="993" w:type="dxa"/>
            <w:tcBorders>
              <w:top w:val="nil"/>
              <w:left w:val="nil"/>
              <w:bottom w:val="single" w:sz="4" w:space="0" w:color="auto"/>
              <w:right w:val="single" w:sz="4" w:space="0" w:color="auto"/>
            </w:tcBorders>
            <w:shd w:val="clear" w:color="auto" w:fill="auto"/>
            <w:vAlign w:val="center"/>
            <w:hideMark/>
          </w:tcPr>
          <w:p w14:paraId="7C89939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w:t>
            </w:r>
          </w:p>
        </w:tc>
        <w:tc>
          <w:tcPr>
            <w:tcW w:w="1388" w:type="dxa"/>
            <w:tcBorders>
              <w:top w:val="nil"/>
              <w:left w:val="nil"/>
              <w:bottom w:val="single" w:sz="4" w:space="0" w:color="auto"/>
              <w:right w:val="single" w:sz="4" w:space="0" w:color="auto"/>
            </w:tcBorders>
            <w:shd w:val="clear" w:color="auto" w:fill="auto"/>
            <w:vAlign w:val="center"/>
            <w:hideMark/>
          </w:tcPr>
          <w:p w14:paraId="44EF95B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310 (200-530)</w:t>
            </w:r>
          </w:p>
        </w:tc>
        <w:tc>
          <w:tcPr>
            <w:tcW w:w="1560" w:type="dxa"/>
            <w:tcBorders>
              <w:top w:val="nil"/>
              <w:left w:val="nil"/>
              <w:bottom w:val="single" w:sz="4" w:space="0" w:color="auto"/>
              <w:right w:val="single" w:sz="4" w:space="0" w:color="auto"/>
            </w:tcBorders>
            <w:shd w:val="clear" w:color="auto" w:fill="auto"/>
            <w:vAlign w:val="center"/>
            <w:hideMark/>
          </w:tcPr>
          <w:p w14:paraId="364F7E8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w:t>
            </w:r>
            <w:r>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val="en-US" w:eastAsia="ru-RU"/>
              </w:rPr>
              <w:t>410</w:t>
            </w:r>
          </w:p>
        </w:tc>
        <w:tc>
          <w:tcPr>
            <w:tcW w:w="1701" w:type="dxa"/>
            <w:tcBorders>
              <w:top w:val="nil"/>
              <w:left w:val="nil"/>
              <w:bottom w:val="single" w:sz="4" w:space="0" w:color="auto"/>
              <w:right w:val="single" w:sz="4" w:space="0" w:color="auto"/>
            </w:tcBorders>
            <w:shd w:val="clear" w:color="auto" w:fill="auto"/>
            <w:vAlign w:val="center"/>
            <w:hideMark/>
          </w:tcPr>
          <w:p w14:paraId="22B69E5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60</w:t>
            </w:r>
          </w:p>
        </w:tc>
      </w:tr>
      <w:tr w:rsidR="00E46E26" w:rsidRPr="00C24BC0" w14:paraId="7B0CEA9C"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6D716F0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w:t>
            </w:r>
          </w:p>
        </w:tc>
        <w:tc>
          <w:tcPr>
            <w:tcW w:w="850" w:type="dxa"/>
            <w:tcBorders>
              <w:top w:val="nil"/>
              <w:left w:val="nil"/>
              <w:bottom w:val="single" w:sz="4" w:space="0" w:color="auto"/>
              <w:right w:val="single" w:sz="4" w:space="0" w:color="auto"/>
            </w:tcBorders>
            <w:shd w:val="clear" w:color="auto" w:fill="auto"/>
            <w:vAlign w:val="center"/>
            <w:hideMark/>
          </w:tcPr>
          <w:p w14:paraId="33BE730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54-60</w:t>
            </w:r>
          </w:p>
        </w:tc>
        <w:tc>
          <w:tcPr>
            <w:tcW w:w="993" w:type="dxa"/>
            <w:tcBorders>
              <w:top w:val="nil"/>
              <w:left w:val="nil"/>
              <w:bottom w:val="single" w:sz="4" w:space="0" w:color="auto"/>
              <w:right w:val="single" w:sz="4" w:space="0" w:color="auto"/>
            </w:tcBorders>
            <w:shd w:val="clear" w:color="auto" w:fill="auto"/>
            <w:vAlign w:val="center"/>
            <w:hideMark/>
          </w:tcPr>
          <w:p w14:paraId="2C4FD8F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w:t>
            </w:r>
            <w:r>
              <w:rPr>
                <w:rFonts w:ascii="Times New Roman" w:eastAsia="Times New Roman" w:hAnsi="Times New Roman" w:cs="Times New Roman"/>
                <w:color w:val="000000"/>
                <w:sz w:val="20"/>
                <w:szCs w:val="20"/>
                <w:lang w:val="en-US" w:eastAsia="ru-RU"/>
              </w:rPr>
              <w:t>1</w:t>
            </w:r>
          </w:p>
        </w:tc>
        <w:tc>
          <w:tcPr>
            <w:tcW w:w="1388" w:type="dxa"/>
            <w:tcBorders>
              <w:top w:val="nil"/>
              <w:left w:val="nil"/>
              <w:bottom w:val="single" w:sz="4" w:space="0" w:color="auto"/>
              <w:right w:val="single" w:sz="4" w:space="0" w:color="auto"/>
            </w:tcBorders>
            <w:shd w:val="clear" w:color="auto" w:fill="auto"/>
            <w:vAlign w:val="center"/>
            <w:hideMark/>
          </w:tcPr>
          <w:p w14:paraId="0E444F0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60 (40-310)</w:t>
            </w:r>
          </w:p>
        </w:tc>
        <w:tc>
          <w:tcPr>
            <w:tcW w:w="1560" w:type="dxa"/>
            <w:tcBorders>
              <w:top w:val="nil"/>
              <w:left w:val="nil"/>
              <w:bottom w:val="single" w:sz="4" w:space="0" w:color="auto"/>
              <w:right w:val="single" w:sz="4" w:space="0" w:color="auto"/>
            </w:tcBorders>
            <w:shd w:val="clear" w:color="auto" w:fill="auto"/>
            <w:vAlign w:val="center"/>
            <w:hideMark/>
          </w:tcPr>
          <w:p w14:paraId="6D97C52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w:t>
            </w:r>
            <w:r>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val="en-US" w:eastAsia="ru-RU"/>
              </w:rPr>
              <w:t>830</w:t>
            </w:r>
          </w:p>
        </w:tc>
        <w:tc>
          <w:tcPr>
            <w:tcW w:w="1701" w:type="dxa"/>
            <w:tcBorders>
              <w:top w:val="nil"/>
              <w:left w:val="nil"/>
              <w:bottom w:val="single" w:sz="4" w:space="0" w:color="auto"/>
              <w:right w:val="single" w:sz="4" w:space="0" w:color="auto"/>
            </w:tcBorders>
            <w:shd w:val="clear" w:color="auto" w:fill="auto"/>
            <w:vAlign w:val="center"/>
            <w:hideMark/>
          </w:tcPr>
          <w:p w14:paraId="7274848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31</w:t>
            </w:r>
          </w:p>
        </w:tc>
      </w:tr>
      <w:tr w:rsidR="00E46E26" w:rsidRPr="00C24BC0" w14:paraId="697DC412"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39914C1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6</w:t>
            </w:r>
          </w:p>
        </w:tc>
        <w:tc>
          <w:tcPr>
            <w:tcW w:w="850" w:type="dxa"/>
            <w:tcBorders>
              <w:top w:val="nil"/>
              <w:left w:val="nil"/>
              <w:bottom w:val="single" w:sz="4" w:space="0" w:color="auto"/>
              <w:right w:val="single" w:sz="4" w:space="0" w:color="auto"/>
            </w:tcBorders>
            <w:shd w:val="clear" w:color="auto" w:fill="auto"/>
            <w:vAlign w:val="center"/>
            <w:hideMark/>
          </w:tcPr>
          <w:p w14:paraId="1621247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c>
          <w:tcPr>
            <w:tcW w:w="993" w:type="dxa"/>
            <w:tcBorders>
              <w:top w:val="nil"/>
              <w:left w:val="nil"/>
              <w:bottom w:val="single" w:sz="4" w:space="0" w:color="auto"/>
              <w:right w:val="single" w:sz="4" w:space="0" w:color="auto"/>
            </w:tcBorders>
            <w:shd w:val="clear" w:color="auto" w:fill="auto"/>
            <w:vAlign w:val="center"/>
            <w:hideMark/>
          </w:tcPr>
          <w:p w14:paraId="107FAFD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14</w:t>
            </w:r>
          </w:p>
        </w:tc>
        <w:tc>
          <w:tcPr>
            <w:tcW w:w="1388" w:type="dxa"/>
            <w:tcBorders>
              <w:top w:val="nil"/>
              <w:left w:val="nil"/>
              <w:bottom w:val="single" w:sz="4" w:space="0" w:color="auto"/>
              <w:right w:val="single" w:sz="4" w:space="0" w:color="auto"/>
            </w:tcBorders>
            <w:shd w:val="clear" w:color="auto" w:fill="auto"/>
            <w:vAlign w:val="center"/>
            <w:hideMark/>
          </w:tcPr>
          <w:p w14:paraId="0D8A563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40 (20</w:t>
            </w:r>
            <w:r w:rsidRPr="00C24BC0">
              <w:rPr>
                <w:rFonts w:ascii="Times New Roman" w:eastAsia="Times New Roman" w:hAnsi="Times New Roman" w:cs="Times New Roman"/>
                <w:color w:val="000000"/>
                <w:sz w:val="20"/>
                <w:szCs w:val="20"/>
                <w:lang w:eastAsia="ru-RU"/>
              </w:rPr>
              <w:t>-4</w:t>
            </w:r>
            <w:r w:rsidRPr="00C24BC0">
              <w:rPr>
                <w:rFonts w:ascii="Times New Roman" w:eastAsia="Times New Roman" w:hAnsi="Times New Roman" w:cs="Times New Roman"/>
                <w:color w:val="000000"/>
                <w:sz w:val="20"/>
                <w:szCs w:val="20"/>
                <w:lang w:val="en-US" w:eastAsia="ru-RU"/>
              </w:rPr>
              <w:t>9</w:t>
            </w:r>
            <w:r w:rsidRPr="00C24BC0">
              <w:rPr>
                <w:rFonts w:ascii="Times New Roman" w:eastAsia="Times New Roman" w:hAnsi="Times New Roman" w:cs="Times New Roman"/>
                <w:color w:val="000000"/>
                <w:sz w:val="20"/>
                <w:szCs w:val="20"/>
                <w:lang w:eastAsia="ru-RU"/>
              </w:rPr>
              <w:t>0</w:t>
            </w:r>
            <w:r w:rsidRPr="00C24BC0">
              <w:rPr>
                <w:rFonts w:ascii="Times New Roman" w:eastAsia="Times New Roman" w:hAnsi="Times New Roman" w:cs="Times New Roman"/>
                <w:color w:val="000000"/>
                <w:sz w:val="20"/>
                <w:szCs w:val="20"/>
                <w:lang w:val="en-US" w:eastAsia="ru-RU"/>
              </w:rPr>
              <w:t>)</w:t>
            </w:r>
          </w:p>
        </w:tc>
        <w:tc>
          <w:tcPr>
            <w:tcW w:w="1560" w:type="dxa"/>
            <w:tcBorders>
              <w:top w:val="nil"/>
              <w:left w:val="nil"/>
              <w:bottom w:val="single" w:sz="4" w:space="0" w:color="auto"/>
              <w:right w:val="single" w:sz="4" w:space="0" w:color="auto"/>
            </w:tcBorders>
            <w:shd w:val="clear" w:color="auto" w:fill="auto"/>
            <w:vAlign w:val="center"/>
            <w:hideMark/>
          </w:tcPr>
          <w:p w14:paraId="0F1AB79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640</w:t>
            </w:r>
          </w:p>
        </w:tc>
        <w:tc>
          <w:tcPr>
            <w:tcW w:w="1701" w:type="dxa"/>
            <w:tcBorders>
              <w:top w:val="nil"/>
              <w:left w:val="nil"/>
              <w:bottom w:val="single" w:sz="4" w:space="0" w:color="auto"/>
              <w:right w:val="single" w:sz="4" w:space="0" w:color="auto"/>
            </w:tcBorders>
            <w:shd w:val="clear" w:color="auto" w:fill="auto"/>
            <w:vAlign w:val="center"/>
            <w:hideMark/>
          </w:tcPr>
          <w:p w14:paraId="0F02623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36</w:t>
            </w:r>
          </w:p>
        </w:tc>
      </w:tr>
      <w:tr w:rsidR="00E46E26" w:rsidRPr="00C24BC0" w14:paraId="4BEA44A0"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18D7D15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w:t>
            </w:r>
          </w:p>
        </w:tc>
        <w:tc>
          <w:tcPr>
            <w:tcW w:w="850" w:type="dxa"/>
            <w:tcBorders>
              <w:top w:val="nil"/>
              <w:left w:val="nil"/>
              <w:bottom w:val="single" w:sz="4" w:space="0" w:color="auto"/>
              <w:right w:val="single" w:sz="4" w:space="0" w:color="auto"/>
            </w:tcBorders>
            <w:shd w:val="clear" w:color="auto" w:fill="auto"/>
            <w:vAlign w:val="center"/>
            <w:hideMark/>
          </w:tcPr>
          <w:p w14:paraId="2A85BDA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75-78</w:t>
            </w:r>
          </w:p>
        </w:tc>
        <w:tc>
          <w:tcPr>
            <w:tcW w:w="993" w:type="dxa"/>
            <w:tcBorders>
              <w:top w:val="nil"/>
              <w:left w:val="nil"/>
              <w:bottom w:val="single" w:sz="4" w:space="0" w:color="auto"/>
              <w:right w:val="single" w:sz="4" w:space="0" w:color="auto"/>
            </w:tcBorders>
            <w:shd w:val="clear" w:color="auto" w:fill="auto"/>
            <w:vAlign w:val="center"/>
            <w:hideMark/>
          </w:tcPr>
          <w:p w14:paraId="67CAB15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53</w:t>
            </w:r>
          </w:p>
        </w:tc>
        <w:tc>
          <w:tcPr>
            <w:tcW w:w="1388" w:type="dxa"/>
            <w:tcBorders>
              <w:top w:val="nil"/>
              <w:left w:val="nil"/>
              <w:bottom w:val="single" w:sz="4" w:space="0" w:color="auto"/>
              <w:right w:val="single" w:sz="4" w:space="0" w:color="auto"/>
            </w:tcBorders>
            <w:shd w:val="clear" w:color="auto" w:fill="auto"/>
            <w:vAlign w:val="center"/>
            <w:hideMark/>
          </w:tcPr>
          <w:p w14:paraId="6601935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50 (40-170)</w:t>
            </w:r>
          </w:p>
        </w:tc>
        <w:tc>
          <w:tcPr>
            <w:tcW w:w="1560" w:type="dxa"/>
            <w:tcBorders>
              <w:top w:val="nil"/>
              <w:left w:val="nil"/>
              <w:bottom w:val="single" w:sz="4" w:space="0" w:color="auto"/>
              <w:right w:val="single" w:sz="4" w:space="0" w:color="auto"/>
            </w:tcBorders>
            <w:shd w:val="clear" w:color="auto" w:fill="auto"/>
            <w:vAlign w:val="center"/>
            <w:hideMark/>
          </w:tcPr>
          <w:p w14:paraId="657D864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w:t>
            </w:r>
            <w:r>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val="en-US" w:eastAsia="ru-RU"/>
              </w:rPr>
              <w:t>600</w:t>
            </w:r>
          </w:p>
        </w:tc>
        <w:tc>
          <w:tcPr>
            <w:tcW w:w="1701" w:type="dxa"/>
            <w:tcBorders>
              <w:top w:val="nil"/>
              <w:left w:val="nil"/>
              <w:bottom w:val="single" w:sz="4" w:space="0" w:color="auto"/>
              <w:right w:val="single" w:sz="4" w:space="0" w:color="auto"/>
            </w:tcBorders>
            <w:shd w:val="clear" w:color="auto" w:fill="auto"/>
            <w:vAlign w:val="center"/>
            <w:hideMark/>
          </w:tcPr>
          <w:p w14:paraId="1B955BA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21</w:t>
            </w:r>
          </w:p>
        </w:tc>
      </w:tr>
      <w:tr w:rsidR="00E46E26" w:rsidRPr="00C24BC0" w14:paraId="743A213B"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75578CF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8</w:t>
            </w:r>
          </w:p>
        </w:tc>
        <w:tc>
          <w:tcPr>
            <w:tcW w:w="850" w:type="dxa"/>
            <w:tcBorders>
              <w:top w:val="nil"/>
              <w:left w:val="nil"/>
              <w:bottom w:val="single" w:sz="4" w:space="0" w:color="auto"/>
              <w:right w:val="single" w:sz="4" w:space="0" w:color="auto"/>
            </w:tcBorders>
            <w:shd w:val="clear" w:color="auto" w:fill="auto"/>
            <w:vAlign w:val="center"/>
            <w:hideMark/>
          </w:tcPr>
          <w:p w14:paraId="3AC877B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88</w:t>
            </w:r>
          </w:p>
        </w:tc>
        <w:tc>
          <w:tcPr>
            <w:tcW w:w="993" w:type="dxa"/>
            <w:tcBorders>
              <w:top w:val="nil"/>
              <w:left w:val="nil"/>
              <w:bottom w:val="single" w:sz="4" w:space="0" w:color="auto"/>
              <w:right w:val="single" w:sz="4" w:space="0" w:color="auto"/>
            </w:tcBorders>
            <w:shd w:val="clear" w:color="auto" w:fill="auto"/>
            <w:vAlign w:val="center"/>
            <w:hideMark/>
          </w:tcPr>
          <w:p w14:paraId="37A65F8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26</w:t>
            </w:r>
          </w:p>
        </w:tc>
        <w:tc>
          <w:tcPr>
            <w:tcW w:w="1388" w:type="dxa"/>
            <w:tcBorders>
              <w:top w:val="nil"/>
              <w:left w:val="nil"/>
              <w:bottom w:val="single" w:sz="4" w:space="0" w:color="auto"/>
              <w:right w:val="single" w:sz="4" w:space="0" w:color="auto"/>
            </w:tcBorders>
            <w:shd w:val="clear" w:color="auto" w:fill="auto"/>
            <w:vAlign w:val="center"/>
            <w:hideMark/>
          </w:tcPr>
          <w:p w14:paraId="04ACB8E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40 (30-70)</w:t>
            </w:r>
          </w:p>
        </w:tc>
        <w:tc>
          <w:tcPr>
            <w:tcW w:w="1560" w:type="dxa"/>
            <w:tcBorders>
              <w:top w:val="nil"/>
              <w:left w:val="nil"/>
              <w:bottom w:val="single" w:sz="4" w:space="0" w:color="auto"/>
              <w:right w:val="single" w:sz="4" w:space="0" w:color="auto"/>
            </w:tcBorders>
            <w:shd w:val="clear" w:color="auto" w:fill="auto"/>
            <w:vAlign w:val="center"/>
            <w:hideMark/>
          </w:tcPr>
          <w:p w14:paraId="713D77F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990</w:t>
            </w:r>
          </w:p>
        </w:tc>
        <w:tc>
          <w:tcPr>
            <w:tcW w:w="1701" w:type="dxa"/>
            <w:tcBorders>
              <w:top w:val="nil"/>
              <w:left w:val="nil"/>
              <w:bottom w:val="single" w:sz="4" w:space="0" w:color="auto"/>
              <w:right w:val="single" w:sz="4" w:space="0" w:color="auto"/>
            </w:tcBorders>
            <w:shd w:val="clear" w:color="auto" w:fill="auto"/>
            <w:vAlign w:val="center"/>
            <w:hideMark/>
          </w:tcPr>
          <w:p w14:paraId="5E300B9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20</w:t>
            </w:r>
          </w:p>
        </w:tc>
      </w:tr>
      <w:tr w:rsidR="00E46E26" w:rsidRPr="00C24BC0" w14:paraId="201F8E58"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7519D22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9</w:t>
            </w:r>
          </w:p>
        </w:tc>
        <w:tc>
          <w:tcPr>
            <w:tcW w:w="850" w:type="dxa"/>
            <w:tcBorders>
              <w:top w:val="nil"/>
              <w:left w:val="nil"/>
              <w:bottom w:val="single" w:sz="4" w:space="0" w:color="auto"/>
              <w:right w:val="single" w:sz="4" w:space="0" w:color="auto"/>
            </w:tcBorders>
            <w:shd w:val="clear" w:color="auto" w:fill="auto"/>
            <w:vAlign w:val="center"/>
            <w:hideMark/>
          </w:tcPr>
          <w:p w14:paraId="7AA0674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&gt;90</w:t>
            </w:r>
          </w:p>
        </w:tc>
        <w:tc>
          <w:tcPr>
            <w:tcW w:w="993" w:type="dxa"/>
            <w:tcBorders>
              <w:top w:val="nil"/>
              <w:left w:val="nil"/>
              <w:bottom w:val="single" w:sz="4" w:space="0" w:color="auto"/>
              <w:right w:val="single" w:sz="4" w:space="0" w:color="auto"/>
            </w:tcBorders>
            <w:shd w:val="clear" w:color="auto" w:fill="auto"/>
            <w:vAlign w:val="center"/>
            <w:hideMark/>
          </w:tcPr>
          <w:p w14:paraId="76A7F147"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w:t>
            </w:r>
            <w:r>
              <w:rPr>
                <w:rFonts w:ascii="Times New Roman" w:eastAsia="Times New Roman" w:hAnsi="Times New Roman" w:cs="Times New Roman"/>
                <w:color w:val="000000"/>
                <w:sz w:val="20"/>
                <w:szCs w:val="20"/>
                <w:lang w:val="en-US" w:eastAsia="ru-RU"/>
              </w:rPr>
              <w:t>2</w:t>
            </w:r>
          </w:p>
        </w:tc>
        <w:tc>
          <w:tcPr>
            <w:tcW w:w="1388" w:type="dxa"/>
            <w:tcBorders>
              <w:top w:val="nil"/>
              <w:left w:val="nil"/>
              <w:bottom w:val="single" w:sz="4" w:space="0" w:color="auto"/>
              <w:right w:val="single" w:sz="4" w:space="0" w:color="auto"/>
            </w:tcBorders>
            <w:shd w:val="clear" w:color="auto" w:fill="auto"/>
            <w:vAlign w:val="center"/>
            <w:hideMark/>
          </w:tcPr>
          <w:p w14:paraId="23E017D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40 (30-40)</w:t>
            </w:r>
          </w:p>
        </w:tc>
        <w:tc>
          <w:tcPr>
            <w:tcW w:w="1560" w:type="dxa"/>
            <w:tcBorders>
              <w:top w:val="nil"/>
              <w:left w:val="nil"/>
              <w:bottom w:val="single" w:sz="4" w:space="0" w:color="auto"/>
              <w:right w:val="single" w:sz="4" w:space="0" w:color="auto"/>
            </w:tcBorders>
            <w:shd w:val="clear" w:color="auto" w:fill="auto"/>
            <w:vAlign w:val="center"/>
            <w:hideMark/>
          </w:tcPr>
          <w:p w14:paraId="66FEA3D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500</w:t>
            </w:r>
          </w:p>
        </w:tc>
        <w:tc>
          <w:tcPr>
            <w:tcW w:w="1701" w:type="dxa"/>
            <w:tcBorders>
              <w:top w:val="nil"/>
              <w:left w:val="nil"/>
              <w:bottom w:val="single" w:sz="4" w:space="0" w:color="auto"/>
              <w:right w:val="single" w:sz="4" w:space="0" w:color="auto"/>
            </w:tcBorders>
            <w:shd w:val="clear" w:color="auto" w:fill="auto"/>
            <w:vAlign w:val="center"/>
            <w:hideMark/>
          </w:tcPr>
          <w:p w14:paraId="51E02CB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14</w:t>
            </w:r>
          </w:p>
        </w:tc>
      </w:tr>
    </w:tbl>
    <w:p w14:paraId="75A48C19" w14:textId="77777777" w:rsidR="00E46E26" w:rsidRPr="008A3C33" w:rsidRDefault="00E46E26" w:rsidP="00E46E26">
      <w:pPr>
        <w:rPr>
          <w:lang w:val="en-US"/>
        </w:rPr>
      </w:pPr>
      <w:r>
        <w:rPr>
          <w:rFonts w:ascii="Times New Roman" w:hAnsi="Times New Roman" w:cs="Times New Roman"/>
          <w:sz w:val="20"/>
          <w:szCs w:val="20"/>
          <w:lang w:val="en-US"/>
        </w:rPr>
        <w:t>*</w:t>
      </w:r>
      <w:r>
        <w:rPr>
          <w:rFonts w:ascii="Times New Roman" w:hAnsi="Times New Roman" w:cs="Times New Roman"/>
          <w:sz w:val="20"/>
          <w:szCs w:val="20"/>
          <w:vertAlign w:val="superscript"/>
          <w:lang w:val="en-US"/>
        </w:rPr>
        <w:t xml:space="preserve">  </w:t>
      </w:r>
      <w:r w:rsidRPr="00303F27">
        <w:rPr>
          <w:rFonts w:ascii="Times New Roman" w:hAnsi="Times New Roman" w:cs="Times New Roman"/>
          <w:sz w:val="20"/>
          <w:szCs w:val="20"/>
          <w:lang w:val="en-US"/>
        </w:rPr>
        <w:t>- located at stagnant reservoir</w:t>
      </w:r>
    </w:p>
    <w:p w14:paraId="449F9BE2" w14:textId="77777777" w:rsidR="00E46E26" w:rsidRPr="008A3C33" w:rsidRDefault="00E46E26" w:rsidP="00E46E26">
      <w:pPr>
        <w:rPr>
          <w:lang w:val="en-US"/>
        </w:rPr>
      </w:pPr>
    </w:p>
    <w:p w14:paraId="3A2C103B" w14:textId="77777777" w:rsidR="00E46E26" w:rsidRPr="008A3C33" w:rsidRDefault="00E46E26" w:rsidP="00E46E26">
      <w:pPr>
        <w:spacing w:after="160" w:line="259" w:lineRule="auto"/>
        <w:rPr>
          <w:lang w:val="en-US"/>
        </w:rPr>
      </w:pPr>
      <w:r w:rsidRPr="008A3C33">
        <w:rPr>
          <w:lang w:val="en-US"/>
        </w:rPr>
        <w:br w:type="page"/>
      </w:r>
    </w:p>
    <w:p w14:paraId="47778D30" w14:textId="77777777" w:rsidR="00E46E26" w:rsidRPr="00846601" w:rsidRDefault="00E46E26" w:rsidP="00E46E26">
      <w:pPr>
        <w:spacing w:after="120" w:line="360" w:lineRule="auto"/>
        <w:rPr>
          <w:rFonts w:ascii="Times New Roman" w:hAnsi="Times New Roman" w:cs="Times New Roman"/>
          <w:b/>
          <w:sz w:val="24"/>
          <w:szCs w:val="24"/>
          <w:lang w:val="en-US"/>
        </w:rPr>
      </w:pPr>
      <w:r w:rsidRPr="00137BF8">
        <w:rPr>
          <w:rFonts w:ascii="Times New Roman" w:hAnsi="Times New Roman" w:cs="Times New Roman"/>
          <w:b/>
          <w:sz w:val="24"/>
          <w:szCs w:val="24"/>
          <w:lang w:val="en-US"/>
        </w:rPr>
        <w:t xml:space="preserve">Table 7 </w:t>
      </w:r>
      <w:r>
        <w:rPr>
          <w:rFonts w:ascii="Times New Roman" w:hAnsi="Times New Roman" w:cs="Times New Roman"/>
          <w:sz w:val="24"/>
          <w:szCs w:val="24"/>
          <w:lang w:val="en-US"/>
        </w:rPr>
        <w:t xml:space="preserve"> </w:t>
      </w:r>
      <w:r w:rsidRPr="00846601">
        <w:rPr>
          <w:rFonts w:ascii="Times New Roman" w:hAnsi="Times New Roman" w:cs="Times New Roman"/>
          <w:sz w:val="24"/>
          <w:szCs w:val="24"/>
          <w:lang w:val="en-US"/>
        </w:rPr>
        <w:t xml:space="preserve">Internal doses in tooth enamel </w:t>
      </w:r>
      <w:r>
        <w:rPr>
          <w:rFonts w:ascii="Times New Roman" w:hAnsi="Times New Roman" w:cs="Times New Roman"/>
          <w:sz w:val="24"/>
          <w:szCs w:val="24"/>
          <w:lang w:val="en-US"/>
        </w:rPr>
        <w:t xml:space="preserve">from completed teeth </w:t>
      </w:r>
      <w:r w:rsidRPr="00846601">
        <w:rPr>
          <w:rFonts w:ascii="Times New Roman" w:hAnsi="Times New Roman" w:cs="Times New Roman"/>
          <w:sz w:val="24"/>
          <w:szCs w:val="24"/>
          <w:lang w:val="en-US"/>
        </w:rPr>
        <w:t>due to decay of</w:t>
      </w:r>
      <w:r w:rsidRPr="00846601">
        <w:rPr>
          <w:rFonts w:ascii="Times New Roman" w:hAnsi="Times New Roman" w:cs="Times New Roman"/>
          <w:b/>
          <w:sz w:val="24"/>
          <w:szCs w:val="24"/>
          <w:lang w:val="en-US"/>
        </w:rPr>
        <w:t xml:space="preserve"> </w:t>
      </w:r>
      <w:r w:rsidRPr="00846601">
        <w:rPr>
          <w:rFonts w:ascii="Times New Roman" w:eastAsia="Times New Roman" w:hAnsi="Times New Roman" w:cs="Times New Roman"/>
          <w:color w:val="000000"/>
          <w:sz w:val="24"/>
          <w:szCs w:val="24"/>
          <w:vertAlign w:val="superscript"/>
          <w:lang w:val="en-US" w:eastAsia="ru-RU"/>
        </w:rPr>
        <w:t>90</w:t>
      </w:r>
      <w:r w:rsidRPr="00846601">
        <w:rPr>
          <w:rFonts w:ascii="Times New Roman" w:eastAsia="Times New Roman" w:hAnsi="Times New Roman" w:cs="Times New Roman"/>
          <w:color w:val="000000"/>
          <w:sz w:val="24"/>
          <w:szCs w:val="24"/>
          <w:lang w:val="en-US" w:eastAsia="ru-RU"/>
        </w:rPr>
        <w:t>Sr/</w:t>
      </w:r>
      <w:r w:rsidRPr="00846601">
        <w:rPr>
          <w:rFonts w:ascii="Times New Roman" w:eastAsia="Times New Roman" w:hAnsi="Times New Roman" w:cs="Times New Roman"/>
          <w:color w:val="000000"/>
          <w:sz w:val="24"/>
          <w:szCs w:val="24"/>
          <w:vertAlign w:val="superscript"/>
          <w:lang w:val="en-US" w:eastAsia="ru-RU"/>
        </w:rPr>
        <w:t>90</w:t>
      </w:r>
      <w:r w:rsidRPr="00846601">
        <w:rPr>
          <w:rFonts w:ascii="Times New Roman" w:eastAsia="Times New Roman" w:hAnsi="Times New Roman" w:cs="Times New Roman"/>
          <w:color w:val="000000"/>
          <w:sz w:val="24"/>
          <w:szCs w:val="24"/>
          <w:lang w:val="en-US" w:eastAsia="ru-RU"/>
        </w:rPr>
        <w:t xml:space="preserve">Y and </w:t>
      </w:r>
      <w:r w:rsidRPr="00846601">
        <w:rPr>
          <w:rFonts w:ascii="Times New Roman" w:eastAsia="Times New Roman" w:hAnsi="Times New Roman" w:cs="Times New Roman"/>
          <w:color w:val="000000"/>
          <w:sz w:val="24"/>
          <w:szCs w:val="24"/>
          <w:vertAlign w:val="superscript"/>
          <w:lang w:val="en-US" w:eastAsia="ru-RU"/>
        </w:rPr>
        <w:t>89</w:t>
      </w:r>
      <w:r w:rsidRPr="00846601">
        <w:rPr>
          <w:rFonts w:ascii="Times New Roman" w:eastAsia="Times New Roman" w:hAnsi="Times New Roman" w:cs="Times New Roman"/>
          <w:color w:val="000000"/>
          <w:sz w:val="24"/>
          <w:szCs w:val="24"/>
          <w:lang w:val="en-US" w:eastAsia="ru-RU"/>
        </w:rPr>
        <w:t xml:space="preserve">Sr incorporated in tooth tissues as well as </w:t>
      </w:r>
      <w:r w:rsidRPr="00846601">
        <w:rPr>
          <w:rFonts w:ascii="Times New Roman" w:eastAsia="Times New Roman" w:hAnsi="Times New Roman" w:cs="Times New Roman"/>
          <w:color w:val="000000"/>
          <w:sz w:val="24"/>
          <w:szCs w:val="24"/>
          <w:vertAlign w:val="superscript"/>
          <w:lang w:val="en-US" w:eastAsia="ru-RU"/>
        </w:rPr>
        <w:t>137</w:t>
      </w:r>
      <w:r w:rsidRPr="00846601">
        <w:rPr>
          <w:rFonts w:ascii="Times New Roman" w:eastAsia="Times New Roman" w:hAnsi="Times New Roman" w:cs="Times New Roman"/>
          <w:color w:val="000000"/>
          <w:sz w:val="24"/>
          <w:szCs w:val="24"/>
          <w:lang w:eastAsia="ru-RU"/>
        </w:rPr>
        <w:t>С</w:t>
      </w:r>
      <w:r w:rsidRPr="00846601">
        <w:rPr>
          <w:rFonts w:ascii="Times New Roman" w:eastAsia="Times New Roman" w:hAnsi="Times New Roman" w:cs="Times New Roman"/>
          <w:color w:val="000000"/>
          <w:sz w:val="24"/>
          <w:szCs w:val="24"/>
          <w:lang w:val="en-US" w:eastAsia="ru-RU"/>
        </w:rPr>
        <w:t>s/</w:t>
      </w:r>
      <w:r w:rsidRPr="00846601">
        <w:rPr>
          <w:rFonts w:ascii="Times New Roman" w:eastAsia="Times New Roman" w:hAnsi="Times New Roman" w:cs="Times New Roman"/>
          <w:color w:val="000000"/>
          <w:sz w:val="24"/>
          <w:szCs w:val="24"/>
          <w:vertAlign w:val="superscript"/>
          <w:lang w:val="en-US" w:eastAsia="ru-RU"/>
        </w:rPr>
        <w:t>137m</w:t>
      </w:r>
      <w:r w:rsidRPr="00846601">
        <w:rPr>
          <w:rFonts w:ascii="Times New Roman" w:eastAsia="Times New Roman" w:hAnsi="Times New Roman" w:cs="Times New Roman"/>
          <w:color w:val="000000"/>
          <w:sz w:val="24"/>
          <w:szCs w:val="24"/>
          <w:lang w:val="en-US" w:eastAsia="ru-RU"/>
        </w:rPr>
        <w:t>Ba deposited in human soft tissues.</w:t>
      </w:r>
    </w:p>
    <w:tbl>
      <w:tblPr>
        <w:tblW w:w="9370" w:type="dxa"/>
        <w:tblInd w:w="93" w:type="dxa"/>
        <w:tblLayout w:type="fixed"/>
        <w:tblLook w:val="04A0" w:firstRow="1" w:lastRow="0" w:firstColumn="1" w:lastColumn="0" w:noHBand="0" w:noVBand="1"/>
      </w:tblPr>
      <w:tblGrid>
        <w:gridCol w:w="753"/>
        <w:gridCol w:w="850"/>
        <w:gridCol w:w="993"/>
        <w:gridCol w:w="821"/>
        <w:gridCol w:w="993"/>
        <w:gridCol w:w="1275"/>
        <w:gridCol w:w="851"/>
        <w:gridCol w:w="1417"/>
        <w:gridCol w:w="1417"/>
      </w:tblGrid>
      <w:tr w:rsidR="00E46E26" w:rsidRPr="00C24BC0" w14:paraId="4C3C02E0" w14:textId="77777777" w:rsidTr="006C1FAC">
        <w:trPr>
          <w:trHeight w:val="510"/>
        </w:trPr>
        <w:tc>
          <w:tcPr>
            <w:tcW w:w="7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70378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G</w:t>
            </w:r>
            <w:r w:rsidRPr="00C24BC0">
              <w:rPr>
                <w:rFonts w:ascii="Times New Roman" w:eastAsia="Times New Roman" w:hAnsi="Times New Roman" w:cs="Times New Roman"/>
                <w:color w:val="000000"/>
                <w:sz w:val="20"/>
                <w:szCs w:val="20"/>
                <w:lang w:val="en-US" w:eastAsia="ru-RU"/>
              </w:rPr>
              <w:t>roup</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0F7F7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Dis-tance, km</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9423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N</w:t>
            </w:r>
            <w:r>
              <w:rPr>
                <w:rFonts w:ascii="Times New Roman" w:eastAsia="Times New Roman" w:hAnsi="Times New Roman" w:cs="Times New Roman"/>
                <w:color w:val="000000"/>
                <w:sz w:val="20"/>
                <w:szCs w:val="20"/>
                <w:lang w:val="en-US" w:eastAsia="ru-RU"/>
              </w:rPr>
              <w:t>umber</w:t>
            </w:r>
            <w:r w:rsidRPr="00C24BC0">
              <w:rPr>
                <w:rFonts w:ascii="Times New Roman" w:eastAsia="Times New Roman" w:hAnsi="Times New Roman" w:cs="Times New Roman"/>
                <w:color w:val="000000"/>
                <w:sz w:val="20"/>
                <w:szCs w:val="20"/>
                <w:lang w:val="en-US" w:eastAsia="ru-RU"/>
              </w:rPr>
              <w:t xml:space="preserve"> of teeth</w:t>
            </w:r>
          </w:p>
        </w:tc>
        <w:tc>
          <w:tcPr>
            <w:tcW w:w="1814" w:type="dxa"/>
            <w:gridSpan w:val="2"/>
            <w:tcBorders>
              <w:top w:val="single" w:sz="4" w:space="0" w:color="auto"/>
              <w:left w:val="single" w:sz="4" w:space="0" w:color="auto"/>
              <w:bottom w:val="single" w:sz="4" w:space="0" w:color="auto"/>
              <w:right w:val="single" w:sz="4" w:space="0" w:color="auto"/>
            </w:tcBorders>
            <w:vAlign w:val="center"/>
          </w:tcPr>
          <w:p w14:paraId="078DC69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vertAlign w:val="superscript"/>
                <w:lang w:val="en-US" w:eastAsia="ru-RU"/>
              </w:rPr>
              <w:t>90</w:t>
            </w:r>
            <w:r w:rsidRPr="00C24BC0">
              <w:rPr>
                <w:rFonts w:ascii="Times New Roman" w:eastAsia="Times New Roman" w:hAnsi="Times New Roman" w:cs="Times New Roman"/>
                <w:color w:val="000000"/>
                <w:sz w:val="20"/>
                <w:szCs w:val="20"/>
                <w:lang w:val="en-US" w:eastAsia="ru-RU"/>
              </w:rPr>
              <w:t>Sr/</w:t>
            </w:r>
            <w:r w:rsidRPr="00C24BC0">
              <w:rPr>
                <w:rFonts w:ascii="Times New Roman" w:eastAsia="Times New Roman" w:hAnsi="Times New Roman" w:cs="Times New Roman"/>
                <w:color w:val="000000"/>
                <w:sz w:val="20"/>
                <w:szCs w:val="20"/>
                <w:vertAlign w:val="superscript"/>
                <w:lang w:val="en-US" w:eastAsia="ru-RU"/>
              </w:rPr>
              <w:t>90</w:t>
            </w:r>
            <w:r w:rsidRPr="00C24BC0">
              <w:rPr>
                <w:rFonts w:ascii="Times New Roman" w:eastAsia="Times New Roman" w:hAnsi="Times New Roman" w:cs="Times New Roman"/>
                <w:color w:val="000000"/>
                <w:sz w:val="20"/>
                <w:szCs w:val="20"/>
                <w:lang w:val="en-US" w:eastAsia="ru-RU"/>
              </w:rPr>
              <w:t>Y</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50878E1" w14:textId="77777777" w:rsidR="00E46E26" w:rsidRPr="00C24BC0" w:rsidRDefault="00E46E26" w:rsidP="006C1FAC">
            <w:pPr>
              <w:tabs>
                <w:tab w:val="left" w:pos="915"/>
                <w:tab w:val="center" w:pos="1168"/>
              </w:tabs>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vertAlign w:val="superscript"/>
                <w:lang w:val="en-US" w:eastAsia="ru-RU"/>
              </w:rPr>
              <w:t>89</w:t>
            </w:r>
            <w:r w:rsidRPr="00C24BC0">
              <w:rPr>
                <w:rFonts w:ascii="Times New Roman" w:eastAsia="Times New Roman" w:hAnsi="Times New Roman" w:cs="Times New Roman"/>
                <w:color w:val="000000"/>
                <w:sz w:val="20"/>
                <w:szCs w:val="20"/>
                <w:lang w:val="en-US" w:eastAsia="ru-RU"/>
              </w:rPr>
              <w:t>Sr</w:t>
            </w:r>
          </w:p>
        </w:tc>
        <w:tc>
          <w:tcPr>
            <w:tcW w:w="1417" w:type="dxa"/>
            <w:tcBorders>
              <w:top w:val="single" w:sz="4" w:space="0" w:color="auto"/>
              <w:left w:val="single" w:sz="4" w:space="0" w:color="auto"/>
              <w:bottom w:val="single" w:sz="4" w:space="0" w:color="auto"/>
              <w:right w:val="single" w:sz="4" w:space="0" w:color="auto"/>
            </w:tcBorders>
            <w:vAlign w:val="center"/>
          </w:tcPr>
          <w:p w14:paraId="11122A6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vertAlign w:val="superscript"/>
                <w:lang w:eastAsia="ru-RU"/>
              </w:rPr>
              <w:t>137</w:t>
            </w:r>
            <w:r w:rsidRPr="00C24BC0">
              <w:rPr>
                <w:rFonts w:ascii="Times New Roman" w:eastAsia="Times New Roman" w:hAnsi="Times New Roman" w:cs="Times New Roman"/>
                <w:color w:val="000000"/>
                <w:sz w:val="20"/>
                <w:szCs w:val="20"/>
                <w:lang w:eastAsia="ru-RU"/>
              </w:rPr>
              <w:t>С</w:t>
            </w:r>
            <w:r w:rsidRPr="00C24BC0">
              <w:rPr>
                <w:rFonts w:ascii="Times New Roman" w:eastAsia="Times New Roman" w:hAnsi="Times New Roman" w:cs="Times New Roman"/>
                <w:color w:val="000000"/>
                <w:sz w:val="20"/>
                <w:szCs w:val="20"/>
                <w:lang w:val="en-US" w:eastAsia="ru-RU"/>
              </w:rPr>
              <w:t>s/</w:t>
            </w:r>
            <w:r w:rsidRPr="00C24BC0">
              <w:rPr>
                <w:rFonts w:ascii="Times New Roman" w:eastAsia="Times New Roman" w:hAnsi="Times New Roman" w:cs="Times New Roman"/>
                <w:color w:val="000000"/>
                <w:sz w:val="20"/>
                <w:szCs w:val="20"/>
                <w:vertAlign w:val="superscript"/>
                <w:lang w:val="en-US" w:eastAsia="ru-RU"/>
              </w:rPr>
              <w:t>137m</w:t>
            </w:r>
            <w:r w:rsidRPr="00C24BC0">
              <w:rPr>
                <w:rFonts w:ascii="Times New Roman" w:eastAsia="Times New Roman" w:hAnsi="Times New Roman" w:cs="Times New Roman"/>
                <w:color w:val="000000"/>
                <w:sz w:val="20"/>
                <w:szCs w:val="20"/>
                <w:lang w:val="en-US" w:eastAsia="ru-RU"/>
              </w:rPr>
              <w:t>Ba</w:t>
            </w:r>
          </w:p>
        </w:tc>
        <w:tc>
          <w:tcPr>
            <w:tcW w:w="1417" w:type="dxa"/>
            <w:tcBorders>
              <w:top w:val="single" w:sz="4" w:space="0" w:color="auto"/>
              <w:left w:val="single" w:sz="4" w:space="0" w:color="auto"/>
              <w:bottom w:val="single" w:sz="4" w:space="0" w:color="auto"/>
              <w:right w:val="single" w:sz="4" w:space="0" w:color="auto"/>
            </w:tcBorders>
            <w:vAlign w:val="center"/>
          </w:tcPr>
          <w:p w14:paraId="00F1830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Total</w:t>
            </w:r>
          </w:p>
        </w:tc>
      </w:tr>
      <w:tr w:rsidR="00E46E26" w:rsidRPr="00C24BC0" w14:paraId="07A6A2B6" w14:textId="77777777" w:rsidTr="006C1FAC">
        <w:trPr>
          <w:trHeight w:val="510"/>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35471DB9"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4C190E"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69CF34" w14:textId="77777777" w:rsidR="00E46E26" w:rsidRPr="00C24BC0" w:rsidRDefault="00E46E26" w:rsidP="006C1FAC">
            <w:pPr>
              <w:spacing w:after="0" w:line="240" w:lineRule="auto"/>
              <w:rPr>
                <w:rFonts w:ascii="Times New Roman" w:eastAsia="Times New Roman" w:hAnsi="Times New Roman" w:cs="Times New Roman"/>
                <w:color w:val="000000"/>
                <w:sz w:val="20"/>
                <w:szCs w:val="20"/>
                <w:lang w:eastAsia="ru-RU"/>
              </w:rPr>
            </w:pPr>
          </w:p>
        </w:tc>
        <w:tc>
          <w:tcPr>
            <w:tcW w:w="821" w:type="dxa"/>
            <w:tcBorders>
              <w:top w:val="single" w:sz="4" w:space="0" w:color="auto"/>
              <w:left w:val="single" w:sz="4" w:space="0" w:color="auto"/>
              <w:bottom w:val="single" w:sz="4" w:space="0" w:color="auto"/>
              <w:right w:val="single" w:sz="4" w:space="0" w:color="auto"/>
            </w:tcBorders>
            <w:vAlign w:val="center"/>
          </w:tcPr>
          <w:p w14:paraId="543EE2A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25%-75%, mGy</w:t>
            </w:r>
          </w:p>
        </w:tc>
        <w:tc>
          <w:tcPr>
            <w:tcW w:w="993" w:type="dxa"/>
            <w:tcBorders>
              <w:top w:val="single" w:sz="4" w:space="0" w:color="auto"/>
              <w:left w:val="single" w:sz="4" w:space="0" w:color="auto"/>
              <w:bottom w:val="single" w:sz="4" w:space="0" w:color="auto"/>
              <w:right w:val="single" w:sz="4" w:space="0" w:color="auto"/>
            </w:tcBorders>
            <w:vAlign w:val="center"/>
          </w:tcPr>
          <w:p w14:paraId="0B8A9FC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Maxi</w:t>
            </w:r>
            <w:r w:rsidRPr="00C24BC0">
              <w:rPr>
                <w:rFonts w:ascii="Times New Roman" w:eastAsia="Times New Roman" w:hAnsi="Times New Roman" w:cs="Times New Roman"/>
                <w:color w:val="000000"/>
                <w:sz w:val="20"/>
                <w:szCs w:val="20"/>
                <w:lang w:eastAsia="ru-RU"/>
              </w:rPr>
              <w:t>-</w:t>
            </w:r>
            <w:r w:rsidRPr="00C24BC0">
              <w:rPr>
                <w:rFonts w:ascii="Times New Roman" w:eastAsia="Times New Roman" w:hAnsi="Times New Roman" w:cs="Times New Roman"/>
                <w:color w:val="000000"/>
                <w:sz w:val="20"/>
                <w:szCs w:val="20"/>
                <w:lang w:val="en-US" w:eastAsia="ru-RU"/>
              </w:rPr>
              <w:t>mum, mGy</w:t>
            </w:r>
          </w:p>
        </w:tc>
        <w:tc>
          <w:tcPr>
            <w:tcW w:w="1275" w:type="dxa"/>
            <w:tcBorders>
              <w:top w:val="single" w:sz="4" w:space="0" w:color="auto"/>
              <w:left w:val="single" w:sz="4" w:space="0" w:color="auto"/>
              <w:bottom w:val="single" w:sz="4" w:space="0" w:color="auto"/>
              <w:right w:val="single" w:sz="4" w:space="0" w:color="auto"/>
            </w:tcBorders>
            <w:vAlign w:val="center"/>
          </w:tcPr>
          <w:p w14:paraId="6021419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25%-75%, mGy</w:t>
            </w:r>
          </w:p>
        </w:tc>
        <w:tc>
          <w:tcPr>
            <w:tcW w:w="851" w:type="dxa"/>
            <w:tcBorders>
              <w:top w:val="single" w:sz="4" w:space="0" w:color="auto"/>
              <w:left w:val="single" w:sz="4" w:space="0" w:color="auto"/>
              <w:bottom w:val="single" w:sz="4" w:space="0" w:color="auto"/>
              <w:right w:val="single" w:sz="4" w:space="0" w:color="auto"/>
            </w:tcBorders>
            <w:vAlign w:val="center"/>
          </w:tcPr>
          <w:p w14:paraId="76DEB1B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Maxi</w:t>
            </w:r>
            <w:r w:rsidRPr="00C24BC0">
              <w:rPr>
                <w:rFonts w:ascii="Times New Roman" w:eastAsia="Times New Roman" w:hAnsi="Times New Roman" w:cs="Times New Roman"/>
                <w:color w:val="000000"/>
                <w:sz w:val="20"/>
                <w:szCs w:val="20"/>
                <w:lang w:eastAsia="ru-RU"/>
              </w:rPr>
              <w:t>-</w:t>
            </w:r>
            <w:r w:rsidRPr="00C24BC0">
              <w:rPr>
                <w:rFonts w:ascii="Times New Roman" w:eastAsia="Times New Roman" w:hAnsi="Times New Roman" w:cs="Times New Roman"/>
                <w:color w:val="000000"/>
                <w:sz w:val="20"/>
                <w:szCs w:val="20"/>
                <w:lang w:val="en-US" w:eastAsia="ru-RU"/>
              </w:rPr>
              <w:t>mum, mGy</w:t>
            </w:r>
          </w:p>
        </w:tc>
        <w:tc>
          <w:tcPr>
            <w:tcW w:w="1417" w:type="dxa"/>
            <w:tcBorders>
              <w:top w:val="single" w:sz="4" w:space="0" w:color="auto"/>
              <w:left w:val="single" w:sz="4" w:space="0" w:color="auto"/>
              <w:bottom w:val="single" w:sz="4" w:space="0" w:color="auto"/>
              <w:right w:val="single" w:sz="4" w:space="0" w:color="auto"/>
            </w:tcBorders>
            <w:vAlign w:val="center"/>
          </w:tcPr>
          <w:p w14:paraId="5855CF7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M</w:t>
            </w:r>
            <w:r w:rsidRPr="00C24BC0">
              <w:rPr>
                <w:rFonts w:ascii="Times New Roman" w:eastAsia="Times New Roman" w:hAnsi="Times New Roman" w:cs="Times New Roman"/>
                <w:color w:val="000000"/>
                <w:sz w:val="20"/>
                <w:szCs w:val="20"/>
                <w:lang w:val="en-US" w:eastAsia="ru-RU"/>
              </w:rPr>
              <w:t>in-max, mGy</w:t>
            </w:r>
          </w:p>
        </w:tc>
        <w:tc>
          <w:tcPr>
            <w:tcW w:w="1417" w:type="dxa"/>
            <w:tcBorders>
              <w:top w:val="single" w:sz="4" w:space="0" w:color="auto"/>
              <w:left w:val="single" w:sz="4" w:space="0" w:color="auto"/>
              <w:bottom w:val="single" w:sz="4" w:space="0" w:color="auto"/>
              <w:right w:val="single" w:sz="4" w:space="0" w:color="auto"/>
            </w:tcBorders>
            <w:vAlign w:val="center"/>
          </w:tcPr>
          <w:p w14:paraId="6F0400F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25%-75%, mGy</w:t>
            </w:r>
          </w:p>
        </w:tc>
      </w:tr>
      <w:tr w:rsidR="00E46E26" w:rsidRPr="00C24BC0" w14:paraId="0CBCF134"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1EBCC79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w:t>
            </w:r>
          </w:p>
        </w:tc>
        <w:tc>
          <w:tcPr>
            <w:tcW w:w="850" w:type="dxa"/>
            <w:tcBorders>
              <w:top w:val="nil"/>
              <w:left w:val="nil"/>
              <w:bottom w:val="single" w:sz="4" w:space="0" w:color="auto"/>
              <w:right w:val="single" w:sz="4" w:space="0" w:color="auto"/>
            </w:tcBorders>
            <w:shd w:val="clear" w:color="auto" w:fill="auto"/>
            <w:vAlign w:val="center"/>
            <w:hideMark/>
          </w:tcPr>
          <w:p w14:paraId="4B42549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w:t>
            </w:r>
            <w:r>
              <w:rPr>
                <w:vertAlign w:val="superscript"/>
                <w:lang w:val="en-US"/>
              </w:rPr>
              <w:t>*</w:t>
            </w:r>
          </w:p>
        </w:tc>
        <w:tc>
          <w:tcPr>
            <w:tcW w:w="993" w:type="dxa"/>
            <w:tcBorders>
              <w:top w:val="nil"/>
              <w:left w:val="nil"/>
              <w:bottom w:val="single" w:sz="4" w:space="0" w:color="auto"/>
              <w:right w:val="single" w:sz="4" w:space="0" w:color="auto"/>
            </w:tcBorders>
            <w:shd w:val="clear" w:color="auto" w:fill="auto"/>
            <w:vAlign w:val="center"/>
            <w:hideMark/>
          </w:tcPr>
          <w:p w14:paraId="4AB3B8B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w:t>
            </w:r>
          </w:p>
        </w:tc>
        <w:tc>
          <w:tcPr>
            <w:tcW w:w="821" w:type="dxa"/>
            <w:tcBorders>
              <w:top w:val="nil"/>
              <w:left w:val="nil"/>
              <w:bottom w:val="single" w:sz="4" w:space="0" w:color="auto"/>
              <w:right w:val="single" w:sz="4" w:space="0" w:color="auto"/>
            </w:tcBorders>
            <w:vAlign w:val="center"/>
          </w:tcPr>
          <w:p w14:paraId="6BC1FD2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32–72</w:t>
            </w:r>
          </w:p>
        </w:tc>
        <w:tc>
          <w:tcPr>
            <w:tcW w:w="993" w:type="dxa"/>
            <w:tcBorders>
              <w:top w:val="nil"/>
              <w:left w:val="nil"/>
              <w:bottom w:val="single" w:sz="4" w:space="0" w:color="auto"/>
              <w:right w:val="single" w:sz="4" w:space="0" w:color="auto"/>
            </w:tcBorders>
            <w:vAlign w:val="center"/>
          </w:tcPr>
          <w:p w14:paraId="0C189AC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134</w:t>
            </w:r>
          </w:p>
        </w:tc>
        <w:tc>
          <w:tcPr>
            <w:tcW w:w="1275" w:type="dxa"/>
            <w:tcBorders>
              <w:top w:val="nil"/>
              <w:left w:val="nil"/>
              <w:bottom w:val="single" w:sz="4" w:space="0" w:color="auto"/>
              <w:right w:val="single" w:sz="4" w:space="0" w:color="auto"/>
            </w:tcBorders>
          </w:tcPr>
          <w:p w14:paraId="26F5A7C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0.3–1.0</w:t>
            </w:r>
          </w:p>
        </w:tc>
        <w:tc>
          <w:tcPr>
            <w:tcW w:w="851" w:type="dxa"/>
            <w:tcBorders>
              <w:top w:val="nil"/>
              <w:left w:val="nil"/>
              <w:bottom w:val="single" w:sz="4" w:space="0" w:color="auto"/>
              <w:right w:val="single" w:sz="4" w:space="0" w:color="auto"/>
            </w:tcBorders>
          </w:tcPr>
          <w:p w14:paraId="3931F93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2</w:t>
            </w:r>
          </w:p>
        </w:tc>
        <w:tc>
          <w:tcPr>
            <w:tcW w:w="1417" w:type="dxa"/>
            <w:tcBorders>
              <w:top w:val="nil"/>
              <w:left w:val="nil"/>
              <w:bottom w:val="single" w:sz="4" w:space="0" w:color="auto"/>
              <w:right w:val="single" w:sz="4" w:space="0" w:color="auto"/>
            </w:tcBorders>
          </w:tcPr>
          <w:p w14:paraId="4D33C71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8–11</w:t>
            </w:r>
          </w:p>
        </w:tc>
        <w:tc>
          <w:tcPr>
            <w:tcW w:w="1417" w:type="dxa"/>
            <w:tcBorders>
              <w:top w:val="nil"/>
              <w:left w:val="nil"/>
              <w:bottom w:val="single" w:sz="4" w:space="0" w:color="auto"/>
              <w:right w:val="single" w:sz="4" w:space="0" w:color="auto"/>
            </w:tcBorders>
          </w:tcPr>
          <w:p w14:paraId="5668C79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40-80</w:t>
            </w:r>
          </w:p>
        </w:tc>
      </w:tr>
      <w:tr w:rsidR="00E46E26" w:rsidRPr="00C24BC0" w14:paraId="13FB5194"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477DFE1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w:t>
            </w:r>
          </w:p>
        </w:tc>
        <w:tc>
          <w:tcPr>
            <w:tcW w:w="850" w:type="dxa"/>
            <w:tcBorders>
              <w:top w:val="nil"/>
              <w:left w:val="nil"/>
              <w:bottom w:val="single" w:sz="4" w:space="0" w:color="auto"/>
              <w:right w:val="single" w:sz="4" w:space="0" w:color="auto"/>
            </w:tcBorders>
            <w:shd w:val="clear" w:color="auto" w:fill="auto"/>
            <w:vAlign w:val="center"/>
            <w:hideMark/>
          </w:tcPr>
          <w:p w14:paraId="478A1DB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18-33</w:t>
            </w:r>
          </w:p>
        </w:tc>
        <w:tc>
          <w:tcPr>
            <w:tcW w:w="993" w:type="dxa"/>
            <w:tcBorders>
              <w:top w:val="nil"/>
              <w:left w:val="nil"/>
              <w:bottom w:val="single" w:sz="4" w:space="0" w:color="auto"/>
              <w:right w:val="single" w:sz="4" w:space="0" w:color="auto"/>
            </w:tcBorders>
            <w:shd w:val="clear" w:color="auto" w:fill="auto"/>
            <w:vAlign w:val="center"/>
            <w:hideMark/>
          </w:tcPr>
          <w:p w14:paraId="18A2A90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26</w:t>
            </w:r>
          </w:p>
        </w:tc>
        <w:tc>
          <w:tcPr>
            <w:tcW w:w="821" w:type="dxa"/>
            <w:tcBorders>
              <w:top w:val="nil"/>
              <w:left w:val="nil"/>
              <w:bottom w:val="single" w:sz="4" w:space="0" w:color="auto"/>
              <w:right w:val="single" w:sz="4" w:space="0" w:color="auto"/>
            </w:tcBorders>
            <w:vAlign w:val="center"/>
          </w:tcPr>
          <w:p w14:paraId="333B708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19–42</w:t>
            </w:r>
          </w:p>
        </w:tc>
        <w:tc>
          <w:tcPr>
            <w:tcW w:w="993" w:type="dxa"/>
            <w:tcBorders>
              <w:top w:val="nil"/>
              <w:left w:val="nil"/>
              <w:bottom w:val="single" w:sz="4" w:space="0" w:color="auto"/>
              <w:right w:val="single" w:sz="4" w:space="0" w:color="auto"/>
            </w:tcBorders>
            <w:vAlign w:val="center"/>
          </w:tcPr>
          <w:p w14:paraId="0A59802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61</w:t>
            </w:r>
          </w:p>
        </w:tc>
        <w:tc>
          <w:tcPr>
            <w:tcW w:w="1275" w:type="dxa"/>
            <w:tcBorders>
              <w:top w:val="nil"/>
              <w:left w:val="nil"/>
              <w:bottom w:val="single" w:sz="4" w:space="0" w:color="auto"/>
              <w:right w:val="single" w:sz="4" w:space="0" w:color="auto"/>
            </w:tcBorders>
          </w:tcPr>
          <w:p w14:paraId="26954097"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0.3–0.5</w:t>
            </w:r>
          </w:p>
        </w:tc>
        <w:tc>
          <w:tcPr>
            <w:tcW w:w="851" w:type="dxa"/>
            <w:tcBorders>
              <w:top w:val="nil"/>
              <w:left w:val="nil"/>
              <w:bottom w:val="single" w:sz="4" w:space="0" w:color="auto"/>
              <w:right w:val="single" w:sz="4" w:space="0" w:color="auto"/>
            </w:tcBorders>
          </w:tcPr>
          <w:p w14:paraId="46DBA91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0.6</w:t>
            </w:r>
          </w:p>
        </w:tc>
        <w:tc>
          <w:tcPr>
            <w:tcW w:w="1417" w:type="dxa"/>
            <w:tcBorders>
              <w:top w:val="nil"/>
              <w:left w:val="nil"/>
              <w:bottom w:val="single" w:sz="4" w:space="0" w:color="auto"/>
              <w:right w:val="single" w:sz="4" w:space="0" w:color="auto"/>
            </w:tcBorders>
          </w:tcPr>
          <w:p w14:paraId="73F28EB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1.6 – 5.9</w:t>
            </w:r>
          </w:p>
        </w:tc>
        <w:tc>
          <w:tcPr>
            <w:tcW w:w="1417" w:type="dxa"/>
            <w:tcBorders>
              <w:top w:val="nil"/>
              <w:left w:val="nil"/>
              <w:bottom w:val="single" w:sz="4" w:space="0" w:color="auto"/>
              <w:right w:val="single" w:sz="4" w:space="0" w:color="auto"/>
            </w:tcBorders>
          </w:tcPr>
          <w:p w14:paraId="3B5A585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20 – 40</w:t>
            </w:r>
          </w:p>
        </w:tc>
      </w:tr>
      <w:tr w:rsidR="00E46E26" w:rsidRPr="00C24BC0" w14:paraId="5471B580"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2B75640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w:t>
            </w:r>
          </w:p>
        </w:tc>
        <w:tc>
          <w:tcPr>
            <w:tcW w:w="850" w:type="dxa"/>
            <w:tcBorders>
              <w:top w:val="nil"/>
              <w:left w:val="nil"/>
              <w:bottom w:val="single" w:sz="4" w:space="0" w:color="auto"/>
              <w:right w:val="single" w:sz="4" w:space="0" w:color="auto"/>
            </w:tcBorders>
            <w:shd w:val="clear" w:color="auto" w:fill="auto"/>
            <w:vAlign w:val="center"/>
            <w:hideMark/>
          </w:tcPr>
          <w:p w14:paraId="518BEC9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41-43</w:t>
            </w:r>
          </w:p>
        </w:tc>
        <w:tc>
          <w:tcPr>
            <w:tcW w:w="993" w:type="dxa"/>
            <w:tcBorders>
              <w:top w:val="nil"/>
              <w:left w:val="nil"/>
              <w:bottom w:val="single" w:sz="4" w:space="0" w:color="auto"/>
              <w:right w:val="single" w:sz="4" w:space="0" w:color="auto"/>
            </w:tcBorders>
            <w:shd w:val="clear" w:color="auto" w:fill="auto"/>
            <w:vAlign w:val="center"/>
            <w:hideMark/>
          </w:tcPr>
          <w:p w14:paraId="7FFF1FBC"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20</w:t>
            </w:r>
          </w:p>
        </w:tc>
        <w:tc>
          <w:tcPr>
            <w:tcW w:w="821" w:type="dxa"/>
            <w:tcBorders>
              <w:top w:val="nil"/>
              <w:left w:val="nil"/>
              <w:bottom w:val="single" w:sz="4" w:space="0" w:color="auto"/>
              <w:right w:val="single" w:sz="4" w:space="0" w:color="auto"/>
            </w:tcBorders>
            <w:vAlign w:val="center"/>
          </w:tcPr>
          <w:p w14:paraId="79715DD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44–87</w:t>
            </w:r>
          </w:p>
        </w:tc>
        <w:tc>
          <w:tcPr>
            <w:tcW w:w="993" w:type="dxa"/>
            <w:tcBorders>
              <w:top w:val="nil"/>
              <w:left w:val="nil"/>
              <w:bottom w:val="single" w:sz="4" w:space="0" w:color="auto"/>
              <w:right w:val="single" w:sz="4" w:space="0" w:color="auto"/>
            </w:tcBorders>
            <w:vAlign w:val="center"/>
          </w:tcPr>
          <w:p w14:paraId="0D28F1C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123</w:t>
            </w:r>
          </w:p>
        </w:tc>
        <w:tc>
          <w:tcPr>
            <w:tcW w:w="1275" w:type="dxa"/>
            <w:tcBorders>
              <w:top w:val="nil"/>
              <w:left w:val="nil"/>
              <w:bottom w:val="single" w:sz="4" w:space="0" w:color="auto"/>
              <w:right w:val="single" w:sz="4" w:space="0" w:color="auto"/>
            </w:tcBorders>
          </w:tcPr>
          <w:p w14:paraId="76CFDA1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0.5–1.1</w:t>
            </w:r>
          </w:p>
        </w:tc>
        <w:tc>
          <w:tcPr>
            <w:tcW w:w="851" w:type="dxa"/>
            <w:tcBorders>
              <w:top w:val="nil"/>
              <w:left w:val="nil"/>
              <w:bottom w:val="single" w:sz="4" w:space="0" w:color="auto"/>
              <w:right w:val="single" w:sz="4" w:space="0" w:color="auto"/>
            </w:tcBorders>
          </w:tcPr>
          <w:p w14:paraId="1EEFC303"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3.5</w:t>
            </w:r>
          </w:p>
        </w:tc>
        <w:tc>
          <w:tcPr>
            <w:tcW w:w="1417" w:type="dxa"/>
            <w:tcBorders>
              <w:top w:val="nil"/>
              <w:left w:val="nil"/>
              <w:bottom w:val="single" w:sz="4" w:space="0" w:color="auto"/>
              <w:right w:val="single" w:sz="4" w:space="0" w:color="auto"/>
            </w:tcBorders>
          </w:tcPr>
          <w:p w14:paraId="6F19055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33 – 51</w:t>
            </w:r>
          </w:p>
        </w:tc>
        <w:tc>
          <w:tcPr>
            <w:tcW w:w="1417" w:type="dxa"/>
            <w:tcBorders>
              <w:top w:val="nil"/>
              <w:left w:val="nil"/>
              <w:bottom w:val="single" w:sz="4" w:space="0" w:color="auto"/>
              <w:right w:val="single" w:sz="4" w:space="0" w:color="auto"/>
            </w:tcBorders>
          </w:tcPr>
          <w:p w14:paraId="2DEF67E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90 – 130</w:t>
            </w:r>
          </w:p>
        </w:tc>
      </w:tr>
      <w:tr w:rsidR="00E46E26" w:rsidRPr="00C24BC0" w14:paraId="2E8A1904"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294CCC43"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w:t>
            </w:r>
          </w:p>
        </w:tc>
        <w:tc>
          <w:tcPr>
            <w:tcW w:w="850" w:type="dxa"/>
            <w:tcBorders>
              <w:top w:val="nil"/>
              <w:left w:val="nil"/>
              <w:bottom w:val="single" w:sz="4" w:space="0" w:color="auto"/>
              <w:right w:val="single" w:sz="4" w:space="0" w:color="auto"/>
            </w:tcBorders>
            <w:shd w:val="clear" w:color="auto" w:fill="auto"/>
            <w:vAlign w:val="center"/>
            <w:hideMark/>
          </w:tcPr>
          <w:p w14:paraId="0244FB3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48-50</w:t>
            </w:r>
            <w:r>
              <w:rPr>
                <w:vertAlign w:val="superscript"/>
                <w:lang w:val="en-US"/>
              </w:rPr>
              <w:t>*</w:t>
            </w:r>
          </w:p>
        </w:tc>
        <w:tc>
          <w:tcPr>
            <w:tcW w:w="993" w:type="dxa"/>
            <w:tcBorders>
              <w:top w:val="nil"/>
              <w:left w:val="nil"/>
              <w:bottom w:val="single" w:sz="4" w:space="0" w:color="auto"/>
              <w:right w:val="single" w:sz="4" w:space="0" w:color="auto"/>
            </w:tcBorders>
            <w:shd w:val="clear" w:color="auto" w:fill="auto"/>
            <w:vAlign w:val="center"/>
            <w:hideMark/>
          </w:tcPr>
          <w:p w14:paraId="2B66FEE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25</w:t>
            </w:r>
          </w:p>
        </w:tc>
        <w:tc>
          <w:tcPr>
            <w:tcW w:w="821" w:type="dxa"/>
            <w:tcBorders>
              <w:top w:val="nil"/>
              <w:left w:val="nil"/>
              <w:bottom w:val="single" w:sz="4" w:space="0" w:color="auto"/>
              <w:right w:val="single" w:sz="4" w:space="0" w:color="auto"/>
            </w:tcBorders>
            <w:vAlign w:val="center"/>
          </w:tcPr>
          <w:p w14:paraId="294E5A3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50–107</w:t>
            </w:r>
          </w:p>
        </w:tc>
        <w:tc>
          <w:tcPr>
            <w:tcW w:w="993" w:type="dxa"/>
            <w:tcBorders>
              <w:top w:val="nil"/>
              <w:left w:val="nil"/>
              <w:bottom w:val="single" w:sz="4" w:space="0" w:color="auto"/>
              <w:right w:val="single" w:sz="4" w:space="0" w:color="auto"/>
            </w:tcBorders>
            <w:vAlign w:val="center"/>
          </w:tcPr>
          <w:p w14:paraId="3DE7961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349</w:t>
            </w:r>
          </w:p>
        </w:tc>
        <w:tc>
          <w:tcPr>
            <w:tcW w:w="1275" w:type="dxa"/>
            <w:tcBorders>
              <w:top w:val="nil"/>
              <w:left w:val="nil"/>
              <w:bottom w:val="single" w:sz="4" w:space="0" w:color="auto"/>
              <w:right w:val="single" w:sz="4" w:space="0" w:color="auto"/>
            </w:tcBorders>
          </w:tcPr>
          <w:p w14:paraId="7876E83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0.5–1.7</w:t>
            </w:r>
          </w:p>
        </w:tc>
        <w:tc>
          <w:tcPr>
            <w:tcW w:w="851" w:type="dxa"/>
            <w:tcBorders>
              <w:top w:val="nil"/>
              <w:left w:val="nil"/>
              <w:bottom w:val="single" w:sz="4" w:space="0" w:color="auto"/>
              <w:right w:val="single" w:sz="4" w:space="0" w:color="auto"/>
            </w:tcBorders>
          </w:tcPr>
          <w:p w14:paraId="04B6A43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3.3</w:t>
            </w:r>
          </w:p>
        </w:tc>
        <w:tc>
          <w:tcPr>
            <w:tcW w:w="1417" w:type="dxa"/>
            <w:tcBorders>
              <w:top w:val="nil"/>
              <w:left w:val="nil"/>
              <w:bottom w:val="single" w:sz="4" w:space="0" w:color="auto"/>
              <w:right w:val="single" w:sz="4" w:space="0" w:color="auto"/>
            </w:tcBorders>
          </w:tcPr>
          <w:p w14:paraId="6DC610D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61 – 86</w:t>
            </w:r>
          </w:p>
        </w:tc>
        <w:tc>
          <w:tcPr>
            <w:tcW w:w="1417" w:type="dxa"/>
            <w:tcBorders>
              <w:top w:val="nil"/>
              <w:left w:val="nil"/>
              <w:bottom w:val="single" w:sz="4" w:space="0" w:color="auto"/>
              <w:right w:val="single" w:sz="4" w:space="0" w:color="auto"/>
            </w:tcBorders>
          </w:tcPr>
          <w:p w14:paraId="6281F46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130-190</w:t>
            </w:r>
          </w:p>
        </w:tc>
      </w:tr>
      <w:tr w:rsidR="00E46E26" w:rsidRPr="00C24BC0" w14:paraId="73A0BBE9"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02EE832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w:t>
            </w:r>
          </w:p>
        </w:tc>
        <w:tc>
          <w:tcPr>
            <w:tcW w:w="850" w:type="dxa"/>
            <w:tcBorders>
              <w:top w:val="nil"/>
              <w:left w:val="nil"/>
              <w:bottom w:val="single" w:sz="4" w:space="0" w:color="auto"/>
              <w:right w:val="single" w:sz="4" w:space="0" w:color="auto"/>
            </w:tcBorders>
            <w:shd w:val="clear" w:color="auto" w:fill="auto"/>
            <w:vAlign w:val="center"/>
            <w:hideMark/>
          </w:tcPr>
          <w:p w14:paraId="13291FD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54-60</w:t>
            </w:r>
          </w:p>
        </w:tc>
        <w:tc>
          <w:tcPr>
            <w:tcW w:w="993" w:type="dxa"/>
            <w:tcBorders>
              <w:top w:val="nil"/>
              <w:left w:val="nil"/>
              <w:bottom w:val="single" w:sz="4" w:space="0" w:color="auto"/>
              <w:right w:val="single" w:sz="4" w:space="0" w:color="auto"/>
            </w:tcBorders>
            <w:shd w:val="clear" w:color="auto" w:fill="auto"/>
            <w:vAlign w:val="center"/>
            <w:hideMark/>
          </w:tcPr>
          <w:p w14:paraId="2BB7644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w:t>
            </w:r>
            <w:r>
              <w:rPr>
                <w:rFonts w:ascii="Times New Roman" w:eastAsia="Times New Roman" w:hAnsi="Times New Roman" w:cs="Times New Roman"/>
                <w:color w:val="000000"/>
                <w:sz w:val="20"/>
                <w:szCs w:val="20"/>
                <w:lang w:val="en-US" w:eastAsia="ru-RU"/>
              </w:rPr>
              <w:t>1</w:t>
            </w:r>
          </w:p>
        </w:tc>
        <w:tc>
          <w:tcPr>
            <w:tcW w:w="821" w:type="dxa"/>
            <w:tcBorders>
              <w:top w:val="nil"/>
              <w:left w:val="nil"/>
              <w:bottom w:val="single" w:sz="4" w:space="0" w:color="auto"/>
              <w:right w:val="single" w:sz="4" w:space="0" w:color="auto"/>
            </w:tcBorders>
            <w:vAlign w:val="center"/>
          </w:tcPr>
          <w:p w14:paraId="358FF61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15–65</w:t>
            </w:r>
          </w:p>
        </w:tc>
        <w:tc>
          <w:tcPr>
            <w:tcW w:w="993" w:type="dxa"/>
            <w:tcBorders>
              <w:top w:val="nil"/>
              <w:left w:val="nil"/>
              <w:bottom w:val="single" w:sz="4" w:space="0" w:color="auto"/>
              <w:right w:val="single" w:sz="4" w:space="0" w:color="auto"/>
            </w:tcBorders>
            <w:vAlign w:val="center"/>
          </w:tcPr>
          <w:p w14:paraId="6EE02CC3"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320</w:t>
            </w:r>
          </w:p>
        </w:tc>
        <w:tc>
          <w:tcPr>
            <w:tcW w:w="1275" w:type="dxa"/>
            <w:tcBorders>
              <w:top w:val="nil"/>
              <w:left w:val="nil"/>
              <w:bottom w:val="single" w:sz="4" w:space="0" w:color="auto"/>
              <w:right w:val="single" w:sz="4" w:space="0" w:color="auto"/>
            </w:tcBorders>
          </w:tcPr>
          <w:p w14:paraId="29222A5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0.1–1.1</w:t>
            </w:r>
          </w:p>
        </w:tc>
        <w:tc>
          <w:tcPr>
            <w:tcW w:w="851" w:type="dxa"/>
            <w:tcBorders>
              <w:top w:val="nil"/>
              <w:left w:val="nil"/>
              <w:bottom w:val="single" w:sz="4" w:space="0" w:color="auto"/>
              <w:right w:val="single" w:sz="4" w:space="0" w:color="auto"/>
            </w:tcBorders>
          </w:tcPr>
          <w:p w14:paraId="1EBEAB2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3.9</w:t>
            </w:r>
          </w:p>
        </w:tc>
        <w:tc>
          <w:tcPr>
            <w:tcW w:w="1417" w:type="dxa"/>
            <w:tcBorders>
              <w:top w:val="nil"/>
              <w:left w:val="nil"/>
              <w:bottom w:val="single" w:sz="4" w:space="0" w:color="auto"/>
              <w:right w:val="single" w:sz="4" w:space="0" w:color="auto"/>
            </w:tcBorders>
          </w:tcPr>
          <w:p w14:paraId="13B92B2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15 – 34</w:t>
            </w:r>
          </w:p>
        </w:tc>
        <w:tc>
          <w:tcPr>
            <w:tcW w:w="1417" w:type="dxa"/>
            <w:tcBorders>
              <w:top w:val="nil"/>
              <w:left w:val="nil"/>
              <w:bottom w:val="single" w:sz="4" w:space="0" w:color="auto"/>
              <w:right w:val="single" w:sz="4" w:space="0" w:color="auto"/>
            </w:tcBorders>
          </w:tcPr>
          <w:p w14:paraId="41B90FD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40 – 100</w:t>
            </w:r>
          </w:p>
        </w:tc>
      </w:tr>
      <w:tr w:rsidR="00E46E26" w:rsidRPr="00C24BC0" w14:paraId="150B4757"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7855C49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6</w:t>
            </w:r>
          </w:p>
        </w:tc>
        <w:tc>
          <w:tcPr>
            <w:tcW w:w="850" w:type="dxa"/>
            <w:tcBorders>
              <w:top w:val="nil"/>
              <w:left w:val="nil"/>
              <w:bottom w:val="single" w:sz="4" w:space="0" w:color="auto"/>
              <w:right w:val="single" w:sz="4" w:space="0" w:color="auto"/>
            </w:tcBorders>
            <w:shd w:val="clear" w:color="auto" w:fill="auto"/>
            <w:vAlign w:val="center"/>
            <w:hideMark/>
          </w:tcPr>
          <w:p w14:paraId="0D62D05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w:t>
            </w:r>
          </w:p>
        </w:tc>
        <w:tc>
          <w:tcPr>
            <w:tcW w:w="993" w:type="dxa"/>
            <w:tcBorders>
              <w:top w:val="nil"/>
              <w:left w:val="nil"/>
              <w:bottom w:val="single" w:sz="4" w:space="0" w:color="auto"/>
              <w:right w:val="single" w:sz="4" w:space="0" w:color="auto"/>
            </w:tcBorders>
            <w:shd w:val="clear" w:color="auto" w:fill="auto"/>
            <w:vAlign w:val="center"/>
            <w:hideMark/>
          </w:tcPr>
          <w:p w14:paraId="22DE344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14</w:t>
            </w:r>
          </w:p>
        </w:tc>
        <w:tc>
          <w:tcPr>
            <w:tcW w:w="821" w:type="dxa"/>
            <w:tcBorders>
              <w:top w:val="nil"/>
              <w:left w:val="nil"/>
              <w:bottom w:val="single" w:sz="4" w:space="0" w:color="auto"/>
              <w:right w:val="single" w:sz="4" w:space="0" w:color="auto"/>
            </w:tcBorders>
            <w:vAlign w:val="center"/>
          </w:tcPr>
          <w:p w14:paraId="4187550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eastAsia="ru-RU"/>
              </w:rPr>
              <w:t>26</w:t>
            </w:r>
            <w:r w:rsidRPr="00C24BC0">
              <w:rPr>
                <w:rFonts w:ascii="Times New Roman" w:eastAsia="Times New Roman" w:hAnsi="Times New Roman" w:cs="Times New Roman"/>
                <w:color w:val="000000"/>
                <w:sz w:val="20"/>
                <w:szCs w:val="20"/>
                <w:lang w:val="en-US" w:eastAsia="ru-RU"/>
              </w:rPr>
              <w:t>–</w:t>
            </w:r>
            <w:r w:rsidRPr="00C24BC0">
              <w:rPr>
                <w:rFonts w:ascii="Times New Roman" w:eastAsia="Times New Roman" w:hAnsi="Times New Roman" w:cs="Times New Roman"/>
                <w:color w:val="000000"/>
                <w:sz w:val="20"/>
                <w:szCs w:val="20"/>
                <w:lang w:eastAsia="ru-RU"/>
              </w:rPr>
              <w:t>97</w:t>
            </w:r>
          </w:p>
        </w:tc>
        <w:tc>
          <w:tcPr>
            <w:tcW w:w="993" w:type="dxa"/>
            <w:tcBorders>
              <w:top w:val="nil"/>
              <w:left w:val="nil"/>
              <w:bottom w:val="single" w:sz="4" w:space="0" w:color="auto"/>
              <w:right w:val="single" w:sz="4" w:space="0" w:color="auto"/>
            </w:tcBorders>
            <w:vAlign w:val="center"/>
          </w:tcPr>
          <w:p w14:paraId="7FD54527"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eastAsia="ru-RU"/>
              </w:rPr>
              <w:t>2</w:t>
            </w:r>
            <w:r w:rsidRPr="00C24BC0">
              <w:rPr>
                <w:rFonts w:ascii="Times New Roman" w:eastAsia="Times New Roman" w:hAnsi="Times New Roman" w:cs="Times New Roman"/>
                <w:color w:val="000000"/>
                <w:sz w:val="20"/>
                <w:szCs w:val="20"/>
                <w:lang w:val="en-US" w:eastAsia="ru-RU"/>
              </w:rPr>
              <w:t>76</w:t>
            </w:r>
          </w:p>
        </w:tc>
        <w:tc>
          <w:tcPr>
            <w:tcW w:w="1275" w:type="dxa"/>
            <w:tcBorders>
              <w:top w:val="nil"/>
              <w:left w:val="nil"/>
              <w:bottom w:val="single" w:sz="4" w:space="0" w:color="auto"/>
              <w:right w:val="single" w:sz="4" w:space="0" w:color="auto"/>
            </w:tcBorders>
          </w:tcPr>
          <w:p w14:paraId="33CAED0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0.3–1.8</w:t>
            </w:r>
          </w:p>
        </w:tc>
        <w:tc>
          <w:tcPr>
            <w:tcW w:w="851" w:type="dxa"/>
            <w:tcBorders>
              <w:top w:val="nil"/>
              <w:left w:val="nil"/>
              <w:bottom w:val="single" w:sz="4" w:space="0" w:color="auto"/>
              <w:right w:val="single" w:sz="4" w:space="0" w:color="auto"/>
            </w:tcBorders>
          </w:tcPr>
          <w:p w14:paraId="0AF48CDA"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2.6</w:t>
            </w:r>
          </w:p>
        </w:tc>
        <w:tc>
          <w:tcPr>
            <w:tcW w:w="1417" w:type="dxa"/>
            <w:tcBorders>
              <w:top w:val="nil"/>
              <w:left w:val="nil"/>
              <w:bottom w:val="single" w:sz="4" w:space="0" w:color="auto"/>
              <w:right w:val="single" w:sz="4" w:space="0" w:color="auto"/>
            </w:tcBorders>
          </w:tcPr>
          <w:p w14:paraId="62CC301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17 – 25</w:t>
            </w:r>
          </w:p>
        </w:tc>
        <w:tc>
          <w:tcPr>
            <w:tcW w:w="1417" w:type="dxa"/>
            <w:tcBorders>
              <w:top w:val="nil"/>
              <w:left w:val="nil"/>
              <w:bottom w:val="single" w:sz="4" w:space="0" w:color="auto"/>
              <w:right w:val="single" w:sz="4" w:space="0" w:color="auto"/>
            </w:tcBorders>
          </w:tcPr>
          <w:p w14:paraId="4E5E5C6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50 – 120</w:t>
            </w:r>
          </w:p>
        </w:tc>
      </w:tr>
      <w:tr w:rsidR="00E46E26" w:rsidRPr="00C24BC0" w14:paraId="60DF4ACE"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6CBC945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w:t>
            </w:r>
          </w:p>
        </w:tc>
        <w:tc>
          <w:tcPr>
            <w:tcW w:w="850" w:type="dxa"/>
            <w:tcBorders>
              <w:top w:val="nil"/>
              <w:left w:val="nil"/>
              <w:bottom w:val="single" w:sz="4" w:space="0" w:color="auto"/>
              <w:right w:val="single" w:sz="4" w:space="0" w:color="auto"/>
            </w:tcBorders>
            <w:shd w:val="clear" w:color="auto" w:fill="auto"/>
            <w:vAlign w:val="center"/>
            <w:hideMark/>
          </w:tcPr>
          <w:p w14:paraId="1994CA1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75-78</w:t>
            </w:r>
          </w:p>
        </w:tc>
        <w:tc>
          <w:tcPr>
            <w:tcW w:w="993" w:type="dxa"/>
            <w:tcBorders>
              <w:top w:val="nil"/>
              <w:left w:val="nil"/>
              <w:bottom w:val="single" w:sz="4" w:space="0" w:color="auto"/>
              <w:right w:val="single" w:sz="4" w:space="0" w:color="auto"/>
            </w:tcBorders>
            <w:shd w:val="clear" w:color="auto" w:fill="auto"/>
            <w:vAlign w:val="center"/>
            <w:hideMark/>
          </w:tcPr>
          <w:p w14:paraId="7C19BC9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53</w:t>
            </w:r>
          </w:p>
        </w:tc>
        <w:tc>
          <w:tcPr>
            <w:tcW w:w="821" w:type="dxa"/>
            <w:tcBorders>
              <w:top w:val="nil"/>
              <w:left w:val="nil"/>
              <w:bottom w:val="single" w:sz="4" w:space="0" w:color="auto"/>
              <w:right w:val="single" w:sz="4" w:space="0" w:color="auto"/>
            </w:tcBorders>
            <w:vAlign w:val="center"/>
          </w:tcPr>
          <w:p w14:paraId="02646D0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45–103</w:t>
            </w:r>
          </w:p>
        </w:tc>
        <w:tc>
          <w:tcPr>
            <w:tcW w:w="993" w:type="dxa"/>
            <w:tcBorders>
              <w:top w:val="nil"/>
              <w:left w:val="nil"/>
              <w:bottom w:val="single" w:sz="4" w:space="0" w:color="auto"/>
              <w:right w:val="single" w:sz="4" w:space="0" w:color="auto"/>
            </w:tcBorders>
            <w:vAlign w:val="center"/>
          </w:tcPr>
          <w:p w14:paraId="61B6A74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240</w:t>
            </w:r>
          </w:p>
        </w:tc>
        <w:tc>
          <w:tcPr>
            <w:tcW w:w="1275" w:type="dxa"/>
            <w:tcBorders>
              <w:top w:val="nil"/>
              <w:left w:val="nil"/>
              <w:bottom w:val="single" w:sz="4" w:space="0" w:color="auto"/>
              <w:right w:val="single" w:sz="4" w:space="0" w:color="auto"/>
            </w:tcBorders>
          </w:tcPr>
          <w:p w14:paraId="373C994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0.6–1.9</w:t>
            </w:r>
          </w:p>
        </w:tc>
        <w:tc>
          <w:tcPr>
            <w:tcW w:w="851" w:type="dxa"/>
            <w:tcBorders>
              <w:top w:val="nil"/>
              <w:left w:val="nil"/>
              <w:bottom w:val="single" w:sz="4" w:space="0" w:color="auto"/>
              <w:right w:val="single" w:sz="4" w:space="0" w:color="auto"/>
            </w:tcBorders>
          </w:tcPr>
          <w:p w14:paraId="2AD01527"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4.9</w:t>
            </w:r>
          </w:p>
        </w:tc>
        <w:tc>
          <w:tcPr>
            <w:tcW w:w="1417" w:type="dxa"/>
            <w:tcBorders>
              <w:top w:val="nil"/>
              <w:left w:val="nil"/>
              <w:bottom w:val="single" w:sz="4" w:space="0" w:color="auto"/>
              <w:right w:val="single" w:sz="4" w:space="0" w:color="auto"/>
            </w:tcBorders>
          </w:tcPr>
          <w:p w14:paraId="0BC83809"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12 – 18</w:t>
            </w:r>
          </w:p>
        </w:tc>
        <w:tc>
          <w:tcPr>
            <w:tcW w:w="1417" w:type="dxa"/>
            <w:tcBorders>
              <w:top w:val="nil"/>
              <w:left w:val="nil"/>
              <w:bottom w:val="single" w:sz="4" w:space="0" w:color="auto"/>
              <w:right w:val="single" w:sz="4" w:space="0" w:color="auto"/>
            </w:tcBorders>
          </w:tcPr>
          <w:p w14:paraId="1B1A73F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60-120</w:t>
            </w:r>
          </w:p>
        </w:tc>
      </w:tr>
      <w:tr w:rsidR="00E46E26" w:rsidRPr="00C24BC0" w14:paraId="47AB0F35"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7145A1A4"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8</w:t>
            </w:r>
          </w:p>
        </w:tc>
        <w:tc>
          <w:tcPr>
            <w:tcW w:w="850" w:type="dxa"/>
            <w:tcBorders>
              <w:top w:val="nil"/>
              <w:left w:val="nil"/>
              <w:bottom w:val="single" w:sz="4" w:space="0" w:color="auto"/>
              <w:right w:val="single" w:sz="4" w:space="0" w:color="auto"/>
            </w:tcBorders>
            <w:shd w:val="clear" w:color="auto" w:fill="auto"/>
            <w:vAlign w:val="center"/>
            <w:hideMark/>
          </w:tcPr>
          <w:p w14:paraId="1757047F"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88</w:t>
            </w:r>
          </w:p>
        </w:tc>
        <w:tc>
          <w:tcPr>
            <w:tcW w:w="993" w:type="dxa"/>
            <w:tcBorders>
              <w:top w:val="nil"/>
              <w:left w:val="nil"/>
              <w:bottom w:val="single" w:sz="4" w:space="0" w:color="auto"/>
              <w:right w:val="single" w:sz="4" w:space="0" w:color="auto"/>
            </w:tcBorders>
            <w:shd w:val="clear" w:color="auto" w:fill="auto"/>
            <w:vAlign w:val="center"/>
            <w:hideMark/>
          </w:tcPr>
          <w:p w14:paraId="00542F9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26</w:t>
            </w:r>
          </w:p>
        </w:tc>
        <w:tc>
          <w:tcPr>
            <w:tcW w:w="821" w:type="dxa"/>
            <w:tcBorders>
              <w:top w:val="nil"/>
              <w:left w:val="nil"/>
              <w:bottom w:val="single" w:sz="4" w:space="0" w:color="auto"/>
              <w:right w:val="single" w:sz="4" w:space="0" w:color="auto"/>
            </w:tcBorders>
            <w:vAlign w:val="center"/>
          </w:tcPr>
          <w:p w14:paraId="38B36BB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27 – 64</w:t>
            </w:r>
          </w:p>
        </w:tc>
        <w:tc>
          <w:tcPr>
            <w:tcW w:w="993" w:type="dxa"/>
            <w:tcBorders>
              <w:top w:val="nil"/>
              <w:left w:val="nil"/>
              <w:bottom w:val="single" w:sz="4" w:space="0" w:color="auto"/>
              <w:right w:val="single" w:sz="4" w:space="0" w:color="auto"/>
            </w:tcBorders>
            <w:vAlign w:val="center"/>
          </w:tcPr>
          <w:p w14:paraId="5637D825"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220</w:t>
            </w:r>
          </w:p>
        </w:tc>
        <w:tc>
          <w:tcPr>
            <w:tcW w:w="1275" w:type="dxa"/>
            <w:tcBorders>
              <w:top w:val="nil"/>
              <w:left w:val="nil"/>
              <w:bottom w:val="single" w:sz="4" w:space="0" w:color="auto"/>
              <w:right w:val="single" w:sz="4" w:space="0" w:color="auto"/>
            </w:tcBorders>
          </w:tcPr>
          <w:p w14:paraId="376BE00E"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0.3–1.4</w:t>
            </w:r>
          </w:p>
        </w:tc>
        <w:tc>
          <w:tcPr>
            <w:tcW w:w="851" w:type="dxa"/>
            <w:tcBorders>
              <w:top w:val="nil"/>
              <w:left w:val="nil"/>
              <w:bottom w:val="single" w:sz="4" w:space="0" w:color="auto"/>
              <w:right w:val="single" w:sz="4" w:space="0" w:color="auto"/>
            </w:tcBorders>
          </w:tcPr>
          <w:p w14:paraId="407F400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4.3</w:t>
            </w:r>
          </w:p>
        </w:tc>
        <w:tc>
          <w:tcPr>
            <w:tcW w:w="1417" w:type="dxa"/>
            <w:tcBorders>
              <w:top w:val="nil"/>
              <w:left w:val="nil"/>
              <w:bottom w:val="single" w:sz="4" w:space="0" w:color="auto"/>
              <w:right w:val="single" w:sz="4" w:space="0" w:color="auto"/>
            </w:tcBorders>
          </w:tcPr>
          <w:p w14:paraId="6CC8C05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9 – 12</w:t>
            </w:r>
          </w:p>
        </w:tc>
        <w:tc>
          <w:tcPr>
            <w:tcW w:w="1417" w:type="dxa"/>
            <w:tcBorders>
              <w:top w:val="nil"/>
              <w:left w:val="nil"/>
              <w:bottom w:val="single" w:sz="4" w:space="0" w:color="auto"/>
              <w:right w:val="single" w:sz="4" w:space="0" w:color="auto"/>
            </w:tcBorders>
          </w:tcPr>
          <w:p w14:paraId="6C886582"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40-80</w:t>
            </w:r>
          </w:p>
        </w:tc>
      </w:tr>
      <w:tr w:rsidR="00E46E26" w:rsidRPr="00C24BC0" w14:paraId="2493110F" w14:textId="77777777" w:rsidTr="006C1FAC">
        <w:trPr>
          <w:trHeight w:val="30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08733C2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9</w:t>
            </w:r>
          </w:p>
        </w:tc>
        <w:tc>
          <w:tcPr>
            <w:tcW w:w="850" w:type="dxa"/>
            <w:tcBorders>
              <w:top w:val="nil"/>
              <w:left w:val="nil"/>
              <w:bottom w:val="single" w:sz="4" w:space="0" w:color="auto"/>
              <w:right w:val="single" w:sz="4" w:space="0" w:color="auto"/>
            </w:tcBorders>
            <w:shd w:val="clear" w:color="auto" w:fill="auto"/>
            <w:vAlign w:val="center"/>
            <w:hideMark/>
          </w:tcPr>
          <w:p w14:paraId="47D733C1"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&gt;90</w:t>
            </w:r>
          </w:p>
        </w:tc>
        <w:tc>
          <w:tcPr>
            <w:tcW w:w="993" w:type="dxa"/>
            <w:tcBorders>
              <w:top w:val="nil"/>
              <w:left w:val="nil"/>
              <w:bottom w:val="single" w:sz="4" w:space="0" w:color="auto"/>
              <w:right w:val="single" w:sz="4" w:space="0" w:color="auto"/>
            </w:tcBorders>
            <w:shd w:val="clear" w:color="auto" w:fill="auto"/>
            <w:vAlign w:val="center"/>
            <w:hideMark/>
          </w:tcPr>
          <w:p w14:paraId="25E94490"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4</w:t>
            </w:r>
            <w:r>
              <w:rPr>
                <w:rFonts w:ascii="Times New Roman" w:eastAsia="Times New Roman" w:hAnsi="Times New Roman" w:cs="Times New Roman"/>
                <w:color w:val="000000"/>
                <w:sz w:val="20"/>
                <w:szCs w:val="20"/>
                <w:lang w:val="en-US" w:eastAsia="ru-RU"/>
              </w:rPr>
              <w:t>2</w:t>
            </w:r>
          </w:p>
        </w:tc>
        <w:tc>
          <w:tcPr>
            <w:tcW w:w="821" w:type="dxa"/>
            <w:tcBorders>
              <w:top w:val="nil"/>
              <w:left w:val="nil"/>
              <w:bottom w:val="single" w:sz="4" w:space="0" w:color="auto"/>
              <w:right w:val="single" w:sz="4" w:space="0" w:color="auto"/>
            </w:tcBorders>
            <w:vAlign w:val="center"/>
          </w:tcPr>
          <w:p w14:paraId="00F80CCD"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21–38</w:t>
            </w:r>
          </w:p>
        </w:tc>
        <w:tc>
          <w:tcPr>
            <w:tcW w:w="993" w:type="dxa"/>
            <w:tcBorders>
              <w:top w:val="nil"/>
              <w:left w:val="nil"/>
              <w:bottom w:val="single" w:sz="4" w:space="0" w:color="auto"/>
              <w:right w:val="single" w:sz="4" w:space="0" w:color="auto"/>
            </w:tcBorders>
            <w:vAlign w:val="center"/>
          </w:tcPr>
          <w:p w14:paraId="470FC8B3"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eastAsia="ru-RU"/>
              </w:rPr>
            </w:pPr>
            <w:r w:rsidRPr="00C24BC0">
              <w:rPr>
                <w:rFonts w:ascii="Times New Roman" w:eastAsia="Times New Roman" w:hAnsi="Times New Roman" w:cs="Times New Roman"/>
                <w:color w:val="000000"/>
                <w:sz w:val="20"/>
                <w:szCs w:val="20"/>
                <w:lang w:val="en-US" w:eastAsia="ru-RU"/>
              </w:rPr>
              <w:t>117</w:t>
            </w:r>
          </w:p>
        </w:tc>
        <w:tc>
          <w:tcPr>
            <w:tcW w:w="1275" w:type="dxa"/>
            <w:tcBorders>
              <w:top w:val="nil"/>
              <w:left w:val="nil"/>
              <w:bottom w:val="single" w:sz="4" w:space="0" w:color="auto"/>
              <w:right w:val="single" w:sz="4" w:space="0" w:color="auto"/>
            </w:tcBorders>
          </w:tcPr>
          <w:p w14:paraId="439345A8"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0.3-0.5</w:t>
            </w:r>
          </w:p>
        </w:tc>
        <w:tc>
          <w:tcPr>
            <w:tcW w:w="851" w:type="dxa"/>
            <w:tcBorders>
              <w:top w:val="nil"/>
              <w:left w:val="nil"/>
              <w:bottom w:val="single" w:sz="4" w:space="0" w:color="auto"/>
              <w:right w:val="single" w:sz="4" w:space="0" w:color="auto"/>
            </w:tcBorders>
          </w:tcPr>
          <w:p w14:paraId="03E4200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1.6</w:t>
            </w:r>
          </w:p>
        </w:tc>
        <w:tc>
          <w:tcPr>
            <w:tcW w:w="1417" w:type="dxa"/>
            <w:tcBorders>
              <w:top w:val="nil"/>
              <w:left w:val="nil"/>
              <w:bottom w:val="single" w:sz="4" w:space="0" w:color="auto"/>
              <w:right w:val="single" w:sz="4" w:space="0" w:color="auto"/>
            </w:tcBorders>
          </w:tcPr>
          <w:p w14:paraId="61ADE996"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1 – 8</w:t>
            </w:r>
          </w:p>
        </w:tc>
        <w:tc>
          <w:tcPr>
            <w:tcW w:w="1417" w:type="dxa"/>
            <w:tcBorders>
              <w:top w:val="nil"/>
              <w:left w:val="nil"/>
              <w:bottom w:val="single" w:sz="4" w:space="0" w:color="auto"/>
              <w:right w:val="single" w:sz="4" w:space="0" w:color="auto"/>
            </w:tcBorders>
          </w:tcPr>
          <w:p w14:paraId="67E7040B" w14:textId="77777777" w:rsidR="00E46E26" w:rsidRPr="00C24BC0" w:rsidRDefault="00E46E26" w:rsidP="006C1FAC">
            <w:pPr>
              <w:spacing w:after="0" w:line="240" w:lineRule="auto"/>
              <w:jc w:val="center"/>
              <w:rPr>
                <w:rFonts w:ascii="Times New Roman" w:eastAsia="Times New Roman" w:hAnsi="Times New Roman" w:cs="Times New Roman"/>
                <w:color w:val="000000"/>
                <w:sz w:val="20"/>
                <w:szCs w:val="20"/>
                <w:lang w:val="en-US" w:eastAsia="ru-RU"/>
              </w:rPr>
            </w:pPr>
            <w:r w:rsidRPr="00C24BC0">
              <w:rPr>
                <w:rFonts w:ascii="Times New Roman" w:eastAsia="Times New Roman" w:hAnsi="Times New Roman" w:cs="Times New Roman"/>
                <w:color w:val="000000"/>
                <w:sz w:val="20"/>
                <w:szCs w:val="20"/>
                <w:lang w:val="en-US" w:eastAsia="ru-RU"/>
              </w:rPr>
              <w:t>20-40</w:t>
            </w:r>
          </w:p>
        </w:tc>
      </w:tr>
    </w:tbl>
    <w:p w14:paraId="390237FA" w14:textId="77777777" w:rsidR="00E46E26" w:rsidRPr="008A3C33" w:rsidRDefault="00E46E26" w:rsidP="00E46E26">
      <w:pPr>
        <w:rPr>
          <w:lang w:val="en-US"/>
        </w:rPr>
      </w:pPr>
      <w:r>
        <w:rPr>
          <w:rFonts w:ascii="Times New Roman" w:hAnsi="Times New Roman" w:cs="Times New Roman"/>
          <w:sz w:val="20"/>
          <w:szCs w:val="20"/>
          <w:lang w:val="en-US"/>
        </w:rPr>
        <w:t>*</w:t>
      </w:r>
      <w:r>
        <w:rPr>
          <w:rFonts w:ascii="Times New Roman" w:hAnsi="Times New Roman" w:cs="Times New Roman"/>
          <w:sz w:val="20"/>
          <w:szCs w:val="20"/>
          <w:vertAlign w:val="superscript"/>
          <w:lang w:val="en-US"/>
        </w:rPr>
        <w:t xml:space="preserve">  </w:t>
      </w:r>
      <w:r w:rsidRPr="00303F27">
        <w:rPr>
          <w:rFonts w:ascii="Times New Roman" w:hAnsi="Times New Roman" w:cs="Times New Roman"/>
          <w:sz w:val="20"/>
          <w:szCs w:val="20"/>
          <w:lang w:val="en-US"/>
        </w:rPr>
        <w:t>- located at stagnant reservoir</w:t>
      </w:r>
    </w:p>
    <w:p w14:paraId="4498FBBB" w14:textId="252A4F42" w:rsidR="00E46E26" w:rsidRDefault="00E46E2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345787B" w14:textId="1B2C3F0E" w:rsidR="00310457"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0B7BC2F9" wp14:editId="32AB77D5">
            <wp:extent cx="5940425" cy="837374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_new.TIF"/>
                    <pic:cNvPicPr/>
                  </pic:nvPicPr>
                  <pic:blipFill>
                    <a:blip r:embed="rId21">
                      <a:extLst>
                        <a:ext uri="{28A0092B-C50C-407E-A947-70E740481C1C}">
                          <a14:useLocalDpi xmlns:a14="http://schemas.microsoft.com/office/drawing/2010/main" val="0"/>
                        </a:ext>
                      </a:extLst>
                    </a:blip>
                    <a:stretch>
                      <a:fillRect/>
                    </a:stretch>
                  </pic:blipFill>
                  <pic:spPr>
                    <a:xfrm>
                      <a:off x="0" y="0"/>
                      <a:ext cx="5940425" cy="8373745"/>
                    </a:xfrm>
                    <a:prstGeom prst="rect">
                      <a:avLst/>
                    </a:prstGeom>
                  </pic:spPr>
                </pic:pic>
              </a:graphicData>
            </a:graphic>
          </wp:inline>
        </w:drawing>
      </w:r>
    </w:p>
    <w:p w14:paraId="7720EE3B" w14:textId="1BABCB3C"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 1</w:t>
      </w:r>
    </w:p>
    <w:p w14:paraId="4560550E" w14:textId="321EEFA4"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67DC2FB5" wp14:editId="14D0E245">
            <wp:extent cx="5510784" cy="426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TIF"/>
                    <pic:cNvPicPr/>
                  </pic:nvPicPr>
                  <pic:blipFill>
                    <a:blip r:embed="rId22">
                      <a:extLst>
                        <a:ext uri="{28A0092B-C50C-407E-A947-70E740481C1C}">
                          <a14:useLocalDpi xmlns:a14="http://schemas.microsoft.com/office/drawing/2010/main" val="0"/>
                        </a:ext>
                      </a:extLst>
                    </a:blip>
                    <a:stretch>
                      <a:fillRect/>
                    </a:stretch>
                  </pic:blipFill>
                  <pic:spPr>
                    <a:xfrm>
                      <a:off x="0" y="0"/>
                      <a:ext cx="5510784" cy="4267200"/>
                    </a:xfrm>
                    <a:prstGeom prst="rect">
                      <a:avLst/>
                    </a:prstGeom>
                  </pic:spPr>
                </pic:pic>
              </a:graphicData>
            </a:graphic>
          </wp:inline>
        </w:drawing>
      </w:r>
    </w:p>
    <w:p w14:paraId="2C853879" w14:textId="373062CD"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 2</w:t>
      </w:r>
    </w:p>
    <w:p w14:paraId="4B429C71" w14:textId="5578805B" w:rsidR="00E46E26" w:rsidRDefault="00E46E2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87420F3" w14:textId="705639DD"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1E75CE11" wp14:editId="4A24AE03">
            <wp:extent cx="2900932" cy="21221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3a.TIF"/>
                    <pic:cNvPicPr/>
                  </pic:nvPicPr>
                  <pic:blipFill rotWithShape="1">
                    <a:blip r:embed="rId23">
                      <a:extLst>
                        <a:ext uri="{28A0092B-C50C-407E-A947-70E740481C1C}">
                          <a14:useLocalDpi xmlns:a14="http://schemas.microsoft.com/office/drawing/2010/main" val="0"/>
                        </a:ext>
                      </a:extLst>
                    </a:blip>
                    <a:srcRect t="9165" r="10208"/>
                    <a:stretch/>
                  </pic:blipFill>
                  <pic:spPr bwMode="auto">
                    <a:xfrm>
                      <a:off x="0" y="0"/>
                      <a:ext cx="2920721" cy="213664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de-DE" w:eastAsia="de-DE"/>
        </w:rPr>
        <w:drawing>
          <wp:inline distT="0" distB="0" distL="0" distR="0" wp14:anchorId="47E011DC" wp14:editId="3738CC76">
            <wp:extent cx="2914650" cy="21345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3b.TIF"/>
                    <pic:cNvPicPr/>
                  </pic:nvPicPr>
                  <pic:blipFill rotWithShape="1">
                    <a:blip r:embed="rId24">
                      <a:extLst>
                        <a:ext uri="{28A0092B-C50C-407E-A947-70E740481C1C}">
                          <a14:useLocalDpi xmlns:a14="http://schemas.microsoft.com/office/drawing/2010/main" val="0"/>
                        </a:ext>
                      </a:extLst>
                    </a:blip>
                    <a:srcRect t="9616" r="3454"/>
                    <a:stretch/>
                  </pic:blipFill>
                  <pic:spPr bwMode="auto">
                    <a:xfrm>
                      <a:off x="0" y="0"/>
                      <a:ext cx="2918239" cy="2137170"/>
                    </a:xfrm>
                    <a:prstGeom prst="rect">
                      <a:avLst/>
                    </a:prstGeom>
                    <a:ln>
                      <a:noFill/>
                    </a:ln>
                    <a:extLst>
                      <a:ext uri="{53640926-AAD7-44D8-BBD7-CCE9431645EC}">
                        <a14:shadowObscured xmlns:a14="http://schemas.microsoft.com/office/drawing/2010/main"/>
                      </a:ext>
                    </a:extLst>
                  </pic:spPr>
                </pic:pic>
              </a:graphicData>
            </a:graphic>
          </wp:inline>
        </w:drawing>
      </w:r>
    </w:p>
    <w:p w14:paraId="7C3481A7" w14:textId="3F76DFF6"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1209BB52" wp14:editId="2F338929">
            <wp:extent cx="2946400" cy="2169687"/>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3c.TIF"/>
                    <pic:cNvPicPr/>
                  </pic:nvPicPr>
                  <pic:blipFill rotWithShape="1">
                    <a:blip r:embed="rId25">
                      <a:extLst>
                        <a:ext uri="{28A0092B-C50C-407E-A947-70E740481C1C}">
                          <a14:useLocalDpi xmlns:a14="http://schemas.microsoft.com/office/drawing/2010/main" val="0"/>
                        </a:ext>
                      </a:extLst>
                    </a:blip>
                    <a:srcRect t="9594" r="12453"/>
                    <a:stretch/>
                  </pic:blipFill>
                  <pic:spPr bwMode="auto">
                    <a:xfrm>
                      <a:off x="0" y="0"/>
                      <a:ext cx="2957663" cy="217798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de-DE" w:eastAsia="de-DE"/>
        </w:rPr>
        <w:drawing>
          <wp:inline distT="0" distB="0" distL="0" distR="0" wp14:anchorId="4E7ABCD4" wp14:editId="56C95AB7">
            <wp:extent cx="2901924" cy="21392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3d.TIF"/>
                    <pic:cNvPicPr/>
                  </pic:nvPicPr>
                  <pic:blipFill rotWithShape="1">
                    <a:blip r:embed="rId26">
                      <a:extLst>
                        <a:ext uri="{28A0092B-C50C-407E-A947-70E740481C1C}">
                          <a14:useLocalDpi xmlns:a14="http://schemas.microsoft.com/office/drawing/2010/main" val="0"/>
                        </a:ext>
                      </a:extLst>
                    </a:blip>
                    <a:srcRect t="9247" r="3521"/>
                    <a:stretch/>
                  </pic:blipFill>
                  <pic:spPr bwMode="auto">
                    <a:xfrm>
                      <a:off x="0" y="0"/>
                      <a:ext cx="2922861" cy="2154695"/>
                    </a:xfrm>
                    <a:prstGeom prst="rect">
                      <a:avLst/>
                    </a:prstGeom>
                    <a:ln>
                      <a:noFill/>
                    </a:ln>
                    <a:extLst>
                      <a:ext uri="{53640926-AAD7-44D8-BBD7-CCE9431645EC}">
                        <a14:shadowObscured xmlns:a14="http://schemas.microsoft.com/office/drawing/2010/main"/>
                      </a:ext>
                    </a:extLst>
                  </pic:spPr>
                </pic:pic>
              </a:graphicData>
            </a:graphic>
          </wp:inline>
        </w:drawing>
      </w:r>
    </w:p>
    <w:p w14:paraId="05AA0151" w14:textId="77BE6DB0"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 3</w:t>
      </w:r>
    </w:p>
    <w:p w14:paraId="21A5FBED" w14:textId="5F82FAC9" w:rsidR="00E46E26" w:rsidRDefault="00E46E2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EDBE8FB" w14:textId="45E187A8"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781E0368" wp14:editId="65ED6323">
            <wp:extent cx="5486400" cy="4328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4.TIF"/>
                    <pic:cNvPicPr/>
                  </pic:nvPicPr>
                  <pic:blipFill>
                    <a:blip r:embed="rId27">
                      <a:extLst>
                        <a:ext uri="{28A0092B-C50C-407E-A947-70E740481C1C}">
                          <a14:useLocalDpi xmlns:a14="http://schemas.microsoft.com/office/drawing/2010/main" val="0"/>
                        </a:ext>
                      </a:extLst>
                    </a:blip>
                    <a:stretch>
                      <a:fillRect/>
                    </a:stretch>
                  </pic:blipFill>
                  <pic:spPr>
                    <a:xfrm>
                      <a:off x="0" y="0"/>
                      <a:ext cx="5486400" cy="4328160"/>
                    </a:xfrm>
                    <a:prstGeom prst="rect">
                      <a:avLst/>
                    </a:prstGeom>
                  </pic:spPr>
                </pic:pic>
              </a:graphicData>
            </a:graphic>
          </wp:inline>
        </w:drawing>
      </w:r>
    </w:p>
    <w:p w14:paraId="5F0135B1" w14:textId="2C9AAAD8"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 4</w:t>
      </w:r>
    </w:p>
    <w:p w14:paraId="54005A72" w14:textId="655B4ECB" w:rsidR="00E46E26" w:rsidRDefault="00E46E2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AEAC1CC" w14:textId="401767E3"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5CF93CF0" wp14:editId="34E0B761">
            <wp:extent cx="5632450" cy="399014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5.TIF"/>
                    <pic:cNvPicPr/>
                  </pic:nvPicPr>
                  <pic:blipFill rotWithShape="1">
                    <a:blip r:embed="rId28">
                      <a:extLst>
                        <a:ext uri="{28A0092B-C50C-407E-A947-70E740481C1C}">
                          <a14:useLocalDpi xmlns:a14="http://schemas.microsoft.com/office/drawing/2010/main" val="0"/>
                        </a:ext>
                      </a:extLst>
                    </a:blip>
                    <a:srcRect t="8450"/>
                    <a:stretch/>
                  </pic:blipFill>
                  <pic:spPr bwMode="auto">
                    <a:xfrm>
                      <a:off x="0" y="0"/>
                      <a:ext cx="5632704" cy="3990323"/>
                    </a:xfrm>
                    <a:prstGeom prst="rect">
                      <a:avLst/>
                    </a:prstGeom>
                    <a:ln>
                      <a:noFill/>
                    </a:ln>
                    <a:extLst>
                      <a:ext uri="{53640926-AAD7-44D8-BBD7-CCE9431645EC}">
                        <a14:shadowObscured xmlns:a14="http://schemas.microsoft.com/office/drawing/2010/main"/>
                      </a:ext>
                    </a:extLst>
                  </pic:spPr>
                </pic:pic>
              </a:graphicData>
            </a:graphic>
          </wp:inline>
        </w:drawing>
      </w:r>
    </w:p>
    <w:p w14:paraId="2BE7CE7E" w14:textId="1B02922B"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 5</w:t>
      </w:r>
    </w:p>
    <w:p w14:paraId="6AE62ABD" w14:textId="77777777" w:rsidR="00E46E26" w:rsidRDefault="00E46E26" w:rsidP="00486BED">
      <w:pPr>
        <w:spacing w:after="240" w:line="360" w:lineRule="auto"/>
        <w:jc w:val="both"/>
        <w:rPr>
          <w:rFonts w:ascii="Times New Roman" w:hAnsi="Times New Roman" w:cs="Times New Roman"/>
          <w:sz w:val="24"/>
          <w:szCs w:val="24"/>
          <w:lang w:val="en-US"/>
        </w:rPr>
      </w:pPr>
    </w:p>
    <w:p w14:paraId="4CAE38B0" w14:textId="52C19333" w:rsidR="00E46E26" w:rsidRDefault="00E46E26">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738EE81" w14:textId="67878056" w:rsidR="00E46E26"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de-DE" w:eastAsia="de-DE"/>
        </w:rPr>
        <w:drawing>
          <wp:inline distT="0" distB="0" distL="0" distR="0" wp14:anchorId="54535F2C" wp14:editId="58B0DAAA">
            <wp:extent cx="5016500" cy="3276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6.TIF"/>
                    <pic:cNvPicPr/>
                  </pic:nvPicPr>
                  <pic:blipFill rotWithShape="1">
                    <a:blip r:embed="rId29">
                      <a:extLst>
                        <a:ext uri="{28A0092B-C50C-407E-A947-70E740481C1C}">
                          <a14:useLocalDpi xmlns:a14="http://schemas.microsoft.com/office/drawing/2010/main" val="0"/>
                        </a:ext>
                      </a:extLst>
                    </a:blip>
                    <a:srcRect t="31202" r="15553" b="29623"/>
                    <a:stretch/>
                  </pic:blipFill>
                  <pic:spPr bwMode="auto">
                    <a:xfrm>
                      <a:off x="0" y="0"/>
                      <a:ext cx="5016500" cy="3276600"/>
                    </a:xfrm>
                    <a:prstGeom prst="rect">
                      <a:avLst/>
                    </a:prstGeom>
                    <a:ln>
                      <a:noFill/>
                    </a:ln>
                    <a:extLst>
                      <a:ext uri="{53640926-AAD7-44D8-BBD7-CCE9431645EC}">
                        <a14:shadowObscured xmlns:a14="http://schemas.microsoft.com/office/drawing/2010/main"/>
                      </a:ext>
                    </a:extLst>
                  </pic:spPr>
                </pic:pic>
              </a:graphicData>
            </a:graphic>
          </wp:inline>
        </w:drawing>
      </w:r>
    </w:p>
    <w:p w14:paraId="13C19915" w14:textId="747AF352" w:rsidR="00E46E26" w:rsidRPr="00486BED" w:rsidRDefault="00E46E26" w:rsidP="00486BED">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 6</w:t>
      </w:r>
    </w:p>
    <w:sectPr w:rsidR="00E46E26" w:rsidRPr="00486BED" w:rsidSect="00587F13">
      <w:headerReference w:type="default" r:id="rId30"/>
      <w:footerReference w:type="default" r:id="rId31"/>
      <w:footnotePr>
        <w:numFmt w:val="chicago"/>
      </w:footnotePr>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or" w:date="2016-08-02T13:50:00Z" w:initials="A">
    <w:p w14:paraId="43FB3C7A" w14:textId="77777777" w:rsidR="00F627D3" w:rsidRPr="001F1335" w:rsidRDefault="00F627D3">
      <w:pPr>
        <w:pStyle w:val="Kommentartext"/>
        <w:rPr>
          <w:lang w:val="en-US"/>
        </w:rPr>
      </w:pPr>
      <w:r>
        <w:rPr>
          <w:rStyle w:val="Kommentarzeichen"/>
        </w:rPr>
        <w:annotationRef/>
      </w:r>
      <w:r>
        <w:rPr>
          <w:lang w:val="en-US"/>
        </w:rPr>
        <w:t>The future direction is included in the end of discussion</w:t>
      </w:r>
    </w:p>
  </w:comment>
  <w:comment w:id="2" w:author="Autor" w:date="2016-08-02T13:51:00Z" w:initials="A">
    <w:p w14:paraId="184BDB5B" w14:textId="77777777" w:rsidR="00F627D3" w:rsidRPr="001F1335" w:rsidRDefault="00F627D3">
      <w:pPr>
        <w:pStyle w:val="Kommentartext"/>
        <w:rPr>
          <w:lang w:val="en-US"/>
        </w:rPr>
      </w:pPr>
      <w:r>
        <w:rPr>
          <w:rStyle w:val="Kommentarzeichen"/>
        </w:rPr>
        <w:annotationRef/>
      </w:r>
      <w:r>
        <w:rPr>
          <w:lang w:val="en-US"/>
        </w:rPr>
        <w:t>Tables B1-B3 are mentioned in the body of Appendix B</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FB3C7A" w15:done="0"/>
  <w15:commentEx w15:paraId="184BDB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91B1C" w14:textId="77777777" w:rsidR="001D510D" w:rsidRDefault="001D510D" w:rsidP="00310457">
      <w:pPr>
        <w:spacing w:after="0" w:line="240" w:lineRule="auto"/>
      </w:pPr>
      <w:r>
        <w:separator/>
      </w:r>
    </w:p>
  </w:endnote>
  <w:endnote w:type="continuationSeparator" w:id="0">
    <w:p w14:paraId="09D3BAEF" w14:textId="77777777" w:rsidR="001D510D" w:rsidRDefault="001D510D" w:rsidP="00310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208474"/>
      <w:docPartObj>
        <w:docPartGallery w:val="Page Numbers (Bottom of Page)"/>
        <w:docPartUnique/>
      </w:docPartObj>
    </w:sdtPr>
    <w:sdtEndPr/>
    <w:sdtContent>
      <w:p w14:paraId="23CCAD2F" w14:textId="77777777" w:rsidR="00F627D3" w:rsidRDefault="00F627D3">
        <w:pPr>
          <w:pStyle w:val="Fuzeile"/>
          <w:jc w:val="center"/>
        </w:pPr>
        <w:r>
          <w:fldChar w:fldCharType="begin"/>
        </w:r>
        <w:r>
          <w:instrText>PAGE   \* MERGEFORMAT</w:instrText>
        </w:r>
        <w:r>
          <w:fldChar w:fldCharType="separate"/>
        </w:r>
        <w:r w:rsidR="00F04885">
          <w:rPr>
            <w:noProof/>
          </w:rPr>
          <w:t>1</w:t>
        </w:r>
        <w:r>
          <w:fldChar w:fldCharType="end"/>
        </w:r>
      </w:p>
    </w:sdtContent>
  </w:sdt>
  <w:p w14:paraId="7E1C990C" w14:textId="77777777" w:rsidR="00F627D3" w:rsidRDefault="00F627D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24A62" w14:textId="77777777" w:rsidR="001D510D" w:rsidRDefault="001D510D" w:rsidP="00310457">
      <w:pPr>
        <w:spacing w:after="0" w:line="240" w:lineRule="auto"/>
      </w:pPr>
      <w:r>
        <w:separator/>
      </w:r>
    </w:p>
  </w:footnote>
  <w:footnote w:type="continuationSeparator" w:id="0">
    <w:p w14:paraId="408F49A0" w14:textId="77777777" w:rsidR="001D510D" w:rsidRDefault="001D510D" w:rsidP="003104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414505"/>
      <w:docPartObj>
        <w:docPartGallery w:val="Page Numbers (Top of Page)"/>
        <w:docPartUnique/>
      </w:docPartObj>
    </w:sdtPr>
    <w:sdtEndPr/>
    <w:sdtContent>
      <w:p w14:paraId="13B1FB78" w14:textId="77777777" w:rsidR="00F627D3" w:rsidRDefault="00F627D3">
        <w:pPr>
          <w:pStyle w:val="Kopfzeile"/>
          <w:jc w:val="center"/>
        </w:pPr>
        <w:r>
          <w:fldChar w:fldCharType="begin"/>
        </w:r>
        <w:r>
          <w:instrText>PAGE   \* MERGEFORMAT</w:instrText>
        </w:r>
        <w:r>
          <w:fldChar w:fldCharType="separate"/>
        </w:r>
        <w:r w:rsidR="00F04885">
          <w:rPr>
            <w:noProof/>
          </w:rPr>
          <w:t>1</w:t>
        </w:r>
        <w:r>
          <w:fldChar w:fldCharType="end"/>
        </w:r>
      </w:p>
    </w:sdtContent>
  </w:sdt>
  <w:p w14:paraId="2E08E0B2" w14:textId="77777777" w:rsidR="00F627D3" w:rsidRDefault="00F627D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408E"/>
    <w:multiLevelType w:val="hybridMultilevel"/>
    <w:tmpl w:val="DF14857E"/>
    <w:lvl w:ilvl="0" w:tplc="35DEED9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3048D"/>
    <w:multiLevelType w:val="hybridMultilevel"/>
    <w:tmpl w:val="E3FCF44C"/>
    <w:lvl w:ilvl="0" w:tplc="48181A0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F0C61"/>
    <w:multiLevelType w:val="multilevel"/>
    <w:tmpl w:val="4E14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117A2"/>
    <w:multiLevelType w:val="hybridMultilevel"/>
    <w:tmpl w:val="60E0D37C"/>
    <w:lvl w:ilvl="0" w:tplc="55923DF6">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FD17661"/>
    <w:multiLevelType w:val="hybridMultilevel"/>
    <w:tmpl w:val="949236D6"/>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1E10C2D"/>
    <w:multiLevelType w:val="multilevel"/>
    <w:tmpl w:val="79B8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D6008"/>
    <w:multiLevelType w:val="hybridMultilevel"/>
    <w:tmpl w:val="4E962AE6"/>
    <w:lvl w:ilvl="0" w:tplc="432080C4">
      <w:start w:val="6"/>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AE87FB7"/>
    <w:multiLevelType w:val="hybridMultilevel"/>
    <w:tmpl w:val="CC64C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440261"/>
    <w:multiLevelType w:val="hybridMultilevel"/>
    <w:tmpl w:val="B0B0D30E"/>
    <w:lvl w:ilvl="0" w:tplc="2F5C4364">
      <w:start w:val="5"/>
      <w:numFmt w:val="bullet"/>
      <w:lvlText w:val="-"/>
      <w:lvlJc w:val="left"/>
      <w:pPr>
        <w:tabs>
          <w:tab w:val="num" w:pos="1068"/>
        </w:tabs>
        <w:ind w:left="1068" w:hanging="360"/>
      </w:pPr>
      <w:rPr>
        <w:rFonts w:ascii="Times New Roman" w:eastAsia="Times New Roman" w:hAnsi="Times New Roman" w:cs="Times New Roman" w:hint="default"/>
      </w:rPr>
    </w:lvl>
    <w:lvl w:ilvl="1" w:tplc="04100003" w:tentative="1">
      <w:start w:val="1"/>
      <w:numFmt w:val="bullet"/>
      <w:lvlText w:val="o"/>
      <w:lvlJc w:val="left"/>
      <w:pPr>
        <w:tabs>
          <w:tab w:val="num" w:pos="1788"/>
        </w:tabs>
        <w:ind w:left="1788" w:hanging="360"/>
      </w:pPr>
      <w:rPr>
        <w:rFonts w:ascii="Courier New" w:hAnsi="Courier New" w:cs="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cs="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cs="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9">
    <w:nsid w:val="1D933FBA"/>
    <w:multiLevelType w:val="hybridMultilevel"/>
    <w:tmpl w:val="3030321E"/>
    <w:lvl w:ilvl="0" w:tplc="2F401536">
      <w:start w:val="105"/>
      <w:numFmt w:val="bullet"/>
      <w:lvlText w:val="-"/>
      <w:lvlJc w:val="left"/>
      <w:pPr>
        <w:ind w:left="490" w:hanging="360"/>
      </w:pPr>
      <w:rPr>
        <w:rFonts w:ascii="Times New Roman" w:eastAsiaTheme="minorHAnsi"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10">
    <w:nsid w:val="1F8F5A5C"/>
    <w:multiLevelType w:val="hybridMultilevel"/>
    <w:tmpl w:val="C9541AEE"/>
    <w:lvl w:ilvl="0" w:tplc="E350F8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D145C"/>
    <w:multiLevelType w:val="hybridMultilevel"/>
    <w:tmpl w:val="2FEE1B64"/>
    <w:lvl w:ilvl="0" w:tplc="3F64445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4922D86"/>
    <w:multiLevelType w:val="multilevel"/>
    <w:tmpl w:val="45505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5069CA"/>
    <w:multiLevelType w:val="hybridMultilevel"/>
    <w:tmpl w:val="431861DE"/>
    <w:lvl w:ilvl="0" w:tplc="42E25EF4">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2DDC0DF6"/>
    <w:multiLevelType w:val="hybridMultilevel"/>
    <w:tmpl w:val="B95A6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645878"/>
    <w:multiLevelType w:val="hybridMultilevel"/>
    <w:tmpl w:val="D6E827AE"/>
    <w:lvl w:ilvl="0" w:tplc="2CA2A4C6">
      <w:start w:val="5"/>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64A5956"/>
    <w:multiLevelType w:val="hybridMultilevel"/>
    <w:tmpl w:val="87C865F0"/>
    <w:lvl w:ilvl="0" w:tplc="DC24FAA0">
      <w:start w:val="10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B85204"/>
    <w:multiLevelType w:val="hybridMultilevel"/>
    <w:tmpl w:val="11F65C1E"/>
    <w:lvl w:ilvl="0" w:tplc="0409000B">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F84245"/>
    <w:multiLevelType w:val="hybridMultilevel"/>
    <w:tmpl w:val="3378DA94"/>
    <w:lvl w:ilvl="0" w:tplc="087CCAC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1C2067"/>
    <w:multiLevelType w:val="multilevel"/>
    <w:tmpl w:val="3C364B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lang w:val="en-U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nsid w:val="544516F6"/>
    <w:multiLevelType w:val="multilevel"/>
    <w:tmpl w:val="3C364B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lang w:val="en-U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nsid w:val="56FE121E"/>
    <w:multiLevelType w:val="hybridMultilevel"/>
    <w:tmpl w:val="D1B48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F57AC2"/>
    <w:multiLevelType w:val="hybridMultilevel"/>
    <w:tmpl w:val="0D3C2598"/>
    <w:lvl w:ilvl="0" w:tplc="FBB4C8BA">
      <w:start w:val="50"/>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5DD90CEA"/>
    <w:multiLevelType w:val="multilevel"/>
    <w:tmpl w:val="2C5E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5067D0"/>
    <w:multiLevelType w:val="hybridMultilevel"/>
    <w:tmpl w:val="72A248BE"/>
    <w:lvl w:ilvl="0" w:tplc="EBC68A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69F2446D"/>
    <w:multiLevelType w:val="hybridMultilevel"/>
    <w:tmpl w:val="1B6E8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D054B2"/>
    <w:multiLevelType w:val="hybridMultilevel"/>
    <w:tmpl w:val="FD8EFF4E"/>
    <w:lvl w:ilvl="0" w:tplc="1514038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C0720E0"/>
    <w:multiLevelType w:val="hybridMultilevel"/>
    <w:tmpl w:val="A9C0B6C6"/>
    <w:lvl w:ilvl="0" w:tplc="B630D01E">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8">
    <w:nsid w:val="6ED820BC"/>
    <w:multiLevelType w:val="multilevel"/>
    <w:tmpl w:val="3C364B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lang w:val="en-U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nsid w:val="6FBF4C9A"/>
    <w:multiLevelType w:val="hybridMultilevel"/>
    <w:tmpl w:val="2E9EDBCA"/>
    <w:lvl w:ilvl="0" w:tplc="231AF816">
      <w:start w:val="3"/>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70E3680"/>
    <w:multiLevelType w:val="hybridMultilevel"/>
    <w:tmpl w:val="7F9013AA"/>
    <w:lvl w:ilvl="0" w:tplc="A21A6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7A84AC8"/>
    <w:multiLevelType w:val="hybridMultilevel"/>
    <w:tmpl w:val="782228F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83F4B51"/>
    <w:multiLevelType w:val="hybridMultilevel"/>
    <w:tmpl w:val="CC0C5D34"/>
    <w:lvl w:ilvl="0" w:tplc="E326A53E">
      <w:start w:val="2"/>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8594C43"/>
    <w:multiLevelType w:val="hybridMultilevel"/>
    <w:tmpl w:val="EC949F16"/>
    <w:lvl w:ilvl="0" w:tplc="EB1EA1CE">
      <w:start w:val="20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C812F34"/>
    <w:multiLevelType w:val="multilevel"/>
    <w:tmpl w:val="E34EBF4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nsid w:val="7ED4702C"/>
    <w:multiLevelType w:val="hybridMultilevel"/>
    <w:tmpl w:val="C060C1FE"/>
    <w:lvl w:ilvl="0" w:tplc="BF84A23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1"/>
  </w:num>
  <w:num w:numId="2">
    <w:abstractNumId w:val="33"/>
  </w:num>
  <w:num w:numId="3">
    <w:abstractNumId w:val="20"/>
  </w:num>
  <w:num w:numId="4">
    <w:abstractNumId w:val="22"/>
  </w:num>
  <w:num w:numId="5">
    <w:abstractNumId w:val="8"/>
  </w:num>
  <w:num w:numId="6">
    <w:abstractNumId w:val="26"/>
  </w:num>
  <w:num w:numId="7">
    <w:abstractNumId w:val="27"/>
  </w:num>
  <w:num w:numId="8">
    <w:abstractNumId w:val="21"/>
  </w:num>
  <w:num w:numId="9">
    <w:abstractNumId w:val="10"/>
  </w:num>
  <w:num w:numId="10">
    <w:abstractNumId w:val="2"/>
  </w:num>
  <w:num w:numId="11">
    <w:abstractNumId w:val="23"/>
  </w:num>
  <w:num w:numId="12">
    <w:abstractNumId w:val="30"/>
  </w:num>
  <w:num w:numId="13">
    <w:abstractNumId w:val="5"/>
  </w:num>
  <w:num w:numId="14">
    <w:abstractNumId w:val="19"/>
  </w:num>
  <w:num w:numId="15">
    <w:abstractNumId w:val="14"/>
  </w:num>
  <w:num w:numId="16">
    <w:abstractNumId w:val="12"/>
  </w:num>
  <w:num w:numId="17">
    <w:abstractNumId w:val="3"/>
  </w:num>
  <w:num w:numId="18">
    <w:abstractNumId w:val="32"/>
  </w:num>
  <w:num w:numId="19">
    <w:abstractNumId w:val="29"/>
  </w:num>
  <w:num w:numId="20">
    <w:abstractNumId w:val="13"/>
  </w:num>
  <w:num w:numId="21">
    <w:abstractNumId w:val="15"/>
  </w:num>
  <w:num w:numId="22">
    <w:abstractNumId w:val="6"/>
  </w:num>
  <w:num w:numId="23">
    <w:abstractNumId w:val="7"/>
  </w:num>
  <w:num w:numId="24">
    <w:abstractNumId w:val="24"/>
  </w:num>
  <w:num w:numId="25">
    <w:abstractNumId w:val="11"/>
  </w:num>
  <w:num w:numId="26">
    <w:abstractNumId w:val="1"/>
  </w:num>
  <w:num w:numId="27">
    <w:abstractNumId w:val="0"/>
  </w:num>
  <w:num w:numId="28">
    <w:abstractNumId w:val="35"/>
  </w:num>
  <w:num w:numId="29">
    <w:abstractNumId w:val="28"/>
  </w:num>
  <w:num w:numId="30">
    <w:abstractNumId w:val="34"/>
  </w:num>
  <w:num w:numId="31">
    <w:abstractNumId w:val="16"/>
  </w:num>
  <w:num w:numId="32">
    <w:abstractNumId w:val="9"/>
  </w:num>
  <w:num w:numId="33">
    <w:abstractNumId w:val="17"/>
  </w:num>
  <w:num w:numId="34">
    <w:abstractNumId w:val="25"/>
  </w:num>
  <w:num w:numId="35">
    <w:abstractNumId w:val="18"/>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57"/>
    <w:rsid w:val="000003CE"/>
    <w:rsid w:val="0001654E"/>
    <w:rsid w:val="00034D11"/>
    <w:rsid w:val="000450BD"/>
    <w:rsid w:val="00047812"/>
    <w:rsid w:val="00070B31"/>
    <w:rsid w:val="000B0F7B"/>
    <w:rsid w:val="000B4A05"/>
    <w:rsid w:val="000D773D"/>
    <w:rsid w:val="000E76B5"/>
    <w:rsid w:val="000F141D"/>
    <w:rsid w:val="000F17E1"/>
    <w:rsid w:val="0011203A"/>
    <w:rsid w:val="001152C5"/>
    <w:rsid w:val="00135FE2"/>
    <w:rsid w:val="00145C32"/>
    <w:rsid w:val="00157AC1"/>
    <w:rsid w:val="001A06CF"/>
    <w:rsid w:val="001A2EEB"/>
    <w:rsid w:val="001A63A5"/>
    <w:rsid w:val="001B468C"/>
    <w:rsid w:val="001D1182"/>
    <w:rsid w:val="001D4D27"/>
    <w:rsid w:val="001D510D"/>
    <w:rsid w:val="001E6B15"/>
    <w:rsid w:val="001E772E"/>
    <w:rsid w:val="001F1335"/>
    <w:rsid w:val="001F7BEF"/>
    <w:rsid w:val="00216F8C"/>
    <w:rsid w:val="00226FDA"/>
    <w:rsid w:val="00234A3B"/>
    <w:rsid w:val="00242E54"/>
    <w:rsid w:val="00267A9D"/>
    <w:rsid w:val="0028607E"/>
    <w:rsid w:val="002B20A9"/>
    <w:rsid w:val="002C537B"/>
    <w:rsid w:val="002D0214"/>
    <w:rsid w:val="002D0395"/>
    <w:rsid w:val="002D0607"/>
    <w:rsid w:val="002D5245"/>
    <w:rsid w:val="002D6E07"/>
    <w:rsid w:val="003023D2"/>
    <w:rsid w:val="003058E7"/>
    <w:rsid w:val="00310457"/>
    <w:rsid w:val="003114A2"/>
    <w:rsid w:val="00315BAF"/>
    <w:rsid w:val="003310EB"/>
    <w:rsid w:val="00335F33"/>
    <w:rsid w:val="00344159"/>
    <w:rsid w:val="00352B87"/>
    <w:rsid w:val="00352C7C"/>
    <w:rsid w:val="00352DA6"/>
    <w:rsid w:val="00363D29"/>
    <w:rsid w:val="00376616"/>
    <w:rsid w:val="00382095"/>
    <w:rsid w:val="00386EC8"/>
    <w:rsid w:val="00392103"/>
    <w:rsid w:val="00397F0F"/>
    <w:rsid w:val="003A0DDD"/>
    <w:rsid w:val="003A23DC"/>
    <w:rsid w:val="003A4404"/>
    <w:rsid w:val="003B1A67"/>
    <w:rsid w:val="003C7D58"/>
    <w:rsid w:val="003D2061"/>
    <w:rsid w:val="003D4F10"/>
    <w:rsid w:val="003E331E"/>
    <w:rsid w:val="003F1BCE"/>
    <w:rsid w:val="003F454C"/>
    <w:rsid w:val="004061FF"/>
    <w:rsid w:val="004101A2"/>
    <w:rsid w:val="004125B8"/>
    <w:rsid w:val="0041726B"/>
    <w:rsid w:val="004478DD"/>
    <w:rsid w:val="00465DB3"/>
    <w:rsid w:val="004803F2"/>
    <w:rsid w:val="00486BED"/>
    <w:rsid w:val="00494736"/>
    <w:rsid w:val="00497B05"/>
    <w:rsid w:val="004A0499"/>
    <w:rsid w:val="004C6C65"/>
    <w:rsid w:val="004E080A"/>
    <w:rsid w:val="004E182B"/>
    <w:rsid w:val="004E2142"/>
    <w:rsid w:val="004F572C"/>
    <w:rsid w:val="00502A74"/>
    <w:rsid w:val="0050572E"/>
    <w:rsid w:val="00516C8F"/>
    <w:rsid w:val="00523861"/>
    <w:rsid w:val="005305FD"/>
    <w:rsid w:val="0053262E"/>
    <w:rsid w:val="00536A73"/>
    <w:rsid w:val="0054312F"/>
    <w:rsid w:val="005501A9"/>
    <w:rsid w:val="00552584"/>
    <w:rsid w:val="00556080"/>
    <w:rsid w:val="00564621"/>
    <w:rsid w:val="00573EB6"/>
    <w:rsid w:val="00587F13"/>
    <w:rsid w:val="005A0111"/>
    <w:rsid w:val="005B1E93"/>
    <w:rsid w:val="005B76EE"/>
    <w:rsid w:val="005C02D2"/>
    <w:rsid w:val="0061139B"/>
    <w:rsid w:val="00621EB6"/>
    <w:rsid w:val="00625E02"/>
    <w:rsid w:val="00627D6F"/>
    <w:rsid w:val="00633B04"/>
    <w:rsid w:val="00646D4A"/>
    <w:rsid w:val="00650D40"/>
    <w:rsid w:val="006607B7"/>
    <w:rsid w:val="00666E20"/>
    <w:rsid w:val="00677DAC"/>
    <w:rsid w:val="0069387A"/>
    <w:rsid w:val="006944BA"/>
    <w:rsid w:val="006A0C6E"/>
    <w:rsid w:val="006A3D5C"/>
    <w:rsid w:val="006B3F24"/>
    <w:rsid w:val="006B40E8"/>
    <w:rsid w:val="006B4531"/>
    <w:rsid w:val="006B70EC"/>
    <w:rsid w:val="006D7BFD"/>
    <w:rsid w:val="00705C66"/>
    <w:rsid w:val="00707ECE"/>
    <w:rsid w:val="00710F3D"/>
    <w:rsid w:val="00716D73"/>
    <w:rsid w:val="0072667B"/>
    <w:rsid w:val="00746F12"/>
    <w:rsid w:val="007554AC"/>
    <w:rsid w:val="00763C9E"/>
    <w:rsid w:val="007700DF"/>
    <w:rsid w:val="00772270"/>
    <w:rsid w:val="0077502F"/>
    <w:rsid w:val="00777938"/>
    <w:rsid w:val="00781826"/>
    <w:rsid w:val="00781EB7"/>
    <w:rsid w:val="00785FEF"/>
    <w:rsid w:val="0079002A"/>
    <w:rsid w:val="00793B39"/>
    <w:rsid w:val="007B17FC"/>
    <w:rsid w:val="007E5E08"/>
    <w:rsid w:val="007E73FA"/>
    <w:rsid w:val="007F078D"/>
    <w:rsid w:val="007F07E9"/>
    <w:rsid w:val="007F422E"/>
    <w:rsid w:val="008000FB"/>
    <w:rsid w:val="008177E5"/>
    <w:rsid w:val="00855DB7"/>
    <w:rsid w:val="00870EAC"/>
    <w:rsid w:val="00874C0F"/>
    <w:rsid w:val="00874DCF"/>
    <w:rsid w:val="00891D7C"/>
    <w:rsid w:val="008A0C14"/>
    <w:rsid w:val="008A26B4"/>
    <w:rsid w:val="008B054B"/>
    <w:rsid w:val="008B3FC3"/>
    <w:rsid w:val="008E4327"/>
    <w:rsid w:val="008E7702"/>
    <w:rsid w:val="008F61D3"/>
    <w:rsid w:val="009101F8"/>
    <w:rsid w:val="00930839"/>
    <w:rsid w:val="00932923"/>
    <w:rsid w:val="00935F67"/>
    <w:rsid w:val="009604FA"/>
    <w:rsid w:val="00965C14"/>
    <w:rsid w:val="0097091A"/>
    <w:rsid w:val="00977266"/>
    <w:rsid w:val="009B27D4"/>
    <w:rsid w:val="009C2D9E"/>
    <w:rsid w:val="009C6ECA"/>
    <w:rsid w:val="009D54DC"/>
    <w:rsid w:val="009E4551"/>
    <w:rsid w:val="009E7C6F"/>
    <w:rsid w:val="00A0017A"/>
    <w:rsid w:val="00A00F71"/>
    <w:rsid w:val="00A11E02"/>
    <w:rsid w:val="00A1208F"/>
    <w:rsid w:val="00A15F70"/>
    <w:rsid w:val="00A24BC5"/>
    <w:rsid w:val="00A30074"/>
    <w:rsid w:val="00A55046"/>
    <w:rsid w:val="00A57124"/>
    <w:rsid w:val="00A66701"/>
    <w:rsid w:val="00A74040"/>
    <w:rsid w:val="00A761E0"/>
    <w:rsid w:val="00A87009"/>
    <w:rsid w:val="00A958B8"/>
    <w:rsid w:val="00A96AE0"/>
    <w:rsid w:val="00AA3FB9"/>
    <w:rsid w:val="00AA73DA"/>
    <w:rsid w:val="00AB0766"/>
    <w:rsid w:val="00AB2B70"/>
    <w:rsid w:val="00AB68B5"/>
    <w:rsid w:val="00AD468A"/>
    <w:rsid w:val="00AE08F0"/>
    <w:rsid w:val="00AE3DF8"/>
    <w:rsid w:val="00AF752C"/>
    <w:rsid w:val="00B02A8B"/>
    <w:rsid w:val="00B15314"/>
    <w:rsid w:val="00B24218"/>
    <w:rsid w:val="00B46B7C"/>
    <w:rsid w:val="00B510A2"/>
    <w:rsid w:val="00B60C6E"/>
    <w:rsid w:val="00B62EF3"/>
    <w:rsid w:val="00B82F19"/>
    <w:rsid w:val="00B879FB"/>
    <w:rsid w:val="00BD597C"/>
    <w:rsid w:val="00BD667B"/>
    <w:rsid w:val="00C17C3E"/>
    <w:rsid w:val="00C52305"/>
    <w:rsid w:val="00C6429D"/>
    <w:rsid w:val="00C802E2"/>
    <w:rsid w:val="00C845FE"/>
    <w:rsid w:val="00C9363F"/>
    <w:rsid w:val="00CA1F82"/>
    <w:rsid w:val="00CA56FD"/>
    <w:rsid w:val="00CB7232"/>
    <w:rsid w:val="00CC08B4"/>
    <w:rsid w:val="00CC2AF9"/>
    <w:rsid w:val="00CD07E6"/>
    <w:rsid w:val="00CD659E"/>
    <w:rsid w:val="00CE3525"/>
    <w:rsid w:val="00CE66B5"/>
    <w:rsid w:val="00CE709C"/>
    <w:rsid w:val="00D04D50"/>
    <w:rsid w:val="00D074E4"/>
    <w:rsid w:val="00D105C2"/>
    <w:rsid w:val="00D27B44"/>
    <w:rsid w:val="00D410A4"/>
    <w:rsid w:val="00D41F63"/>
    <w:rsid w:val="00D6039A"/>
    <w:rsid w:val="00D71B8C"/>
    <w:rsid w:val="00D82DE5"/>
    <w:rsid w:val="00D82E4F"/>
    <w:rsid w:val="00D853A0"/>
    <w:rsid w:val="00D87E2A"/>
    <w:rsid w:val="00D95593"/>
    <w:rsid w:val="00DA502F"/>
    <w:rsid w:val="00DB1FD9"/>
    <w:rsid w:val="00DB4E2A"/>
    <w:rsid w:val="00DE286B"/>
    <w:rsid w:val="00DE3B48"/>
    <w:rsid w:val="00E11D11"/>
    <w:rsid w:val="00E12C64"/>
    <w:rsid w:val="00E32FFB"/>
    <w:rsid w:val="00E40A79"/>
    <w:rsid w:val="00E414F2"/>
    <w:rsid w:val="00E4177B"/>
    <w:rsid w:val="00E448E1"/>
    <w:rsid w:val="00E46E26"/>
    <w:rsid w:val="00E61763"/>
    <w:rsid w:val="00E84BA8"/>
    <w:rsid w:val="00E92BB8"/>
    <w:rsid w:val="00EA493E"/>
    <w:rsid w:val="00EA4CE1"/>
    <w:rsid w:val="00EA775E"/>
    <w:rsid w:val="00EB34C2"/>
    <w:rsid w:val="00EF5EA7"/>
    <w:rsid w:val="00F03527"/>
    <w:rsid w:val="00F04885"/>
    <w:rsid w:val="00F07053"/>
    <w:rsid w:val="00F17AF0"/>
    <w:rsid w:val="00F27E72"/>
    <w:rsid w:val="00F4212C"/>
    <w:rsid w:val="00F447F7"/>
    <w:rsid w:val="00F46F43"/>
    <w:rsid w:val="00F544E5"/>
    <w:rsid w:val="00F627D3"/>
    <w:rsid w:val="00F76121"/>
    <w:rsid w:val="00F763B2"/>
    <w:rsid w:val="00F82770"/>
    <w:rsid w:val="00F85D44"/>
    <w:rsid w:val="00F95F4C"/>
    <w:rsid w:val="00FB65E7"/>
    <w:rsid w:val="00FC389F"/>
    <w:rsid w:val="00FD00DF"/>
    <w:rsid w:val="00FD1A41"/>
    <w:rsid w:val="00FD3BFB"/>
    <w:rsid w:val="00FE5795"/>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67E3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0457"/>
    <w:pPr>
      <w:spacing w:after="200" w:line="276" w:lineRule="auto"/>
    </w:pPr>
    <w:rPr>
      <w:lang w:val="ru-RU"/>
    </w:rPr>
  </w:style>
  <w:style w:type="paragraph" w:styleId="berschrift1">
    <w:name w:val="heading 1"/>
    <w:basedOn w:val="Standard"/>
    <w:next w:val="Standard"/>
    <w:link w:val="berschrift1Zchn"/>
    <w:qFormat/>
    <w:rsid w:val="00310457"/>
    <w:pPr>
      <w:keepNext/>
      <w:spacing w:before="240" w:after="60" w:line="240" w:lineRule="auto"/>
      <w:outlineLvl w:val="0"/>
    </w:pPr>
    <w:rPr>
      <w:rFonts w:ascii="Times New Roman" w:eastAsia="Times New Roman" w:hAnsi="Times New Roman" w:cs="Arial"/>
      <w:bCs/>
      <w:kern w:val="32"/>
      <w:sz w:val="36"/>
      <w:szCs w:val="32"/>
      <w:lang w:val="en-US"/>
    </w:rPr>
  </w:style>
  <w:style w:type="paragraph" w:styleId="berschrift4">
    <w:name w:val="heading 4"/>
    <w:basedOn w:val="Standard"/>
    <w:next w:val="Standard"/>
    <w:link w:val="berschrift4Zchn"/>
    <w:uiPriority w:val="9"/>
    <w:semiHidden/>
    <w:unhideWhenUsed/>
    <w:qFormat/>
    <w:rsid w:val="00310457"/>
    <w:pPr>
      <w:keepNext/>
      <w:keepLines/>
      <w:spacing w:before="200" w:after="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iPriority w:val="9"/>
    <w:semiHidden/>
    <w:unhideWhenUsed/>
    <w:qFormat/>
    <w:rsid w:val="0031045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10457"/>
    <w:rPr>
      <w:rFonts w:ascii="Times New Roman" w:eastAsia="Times New Roman" w:hAnsi="Times New Roman" w:cs="Arial"/>
      <w:bCs/>
      <w:kern w:val="32"/>
      <w:sz w:val="36"/>
      <w:szCs w:val="32"/>
    </w:rPr>
  </w:style>
  <w:style w:type="character" w:customStyle="1" w:styleId="berschrift4Zchn">
    <w:name w:val="Überschrift 4 Zchn"/>
    <w:basedOn w:val="Absatz-Standardschriftart"/>
    <w:link w:val="berschrift4"/>
    <w:uiPriority w:val="9"/>
    <w:semiHidden/>
    <w:rsid w:val="00310457"/>
    <w:rPr>
      <w:rFonts w:asciiTheme="majorHAnsi" w:eastAsiaTheme="majorEastAsia" w:hAnsiTheme="majorHAnsi" w:cstheme="majorBidi"/>
      <w:b/>
      <w:bCs/>
      <w:i/>
      <w:iCs/>
      <w:color w:val="5B9BD5" w:themeColor="accent1"/>
      <w:lang w:val="ru-RU"/>
    </w:rPr>
  </w:style>
  <w:style w:type="character" w:customStyle="1" w:styleId="berschrift5Zchn">
    <w:name w:val="Überschrift 5 Zchn"/>
    <w:basedOn w:val="Absatz-Standardschriftart"/>
    <w:link w:val="berschrift5"/>
    <w:uiPriority w:val="9"/>
    <w:semiHidden/>
    <w:rsid w:val="00310457"/>
    <w:rPr>
      <w:rFonts w:asciiTheme="majorHAnsi" w:eastAsiaTheme="majorEastAsia" w:hAnsiTheme="majorHAnsi" w:cstheme="majorBidi"/>
      <w:color w:val="1F4D78" w:themeColor="accent1" w:themeShade="7F"/>
      <w:lang w:val="ru-RU"/>
    </w:rPr>
  </w:style>
  <w:style w:type="paragraph" w:customStyle="1" w:styleId="IRPABody1">
    <w:name w:val="IRPA Body 1"/>
    <w:next w:val="IRPABody2"/>
    <w:rsid w:val="00310457"/>
    <w:pPr>
      <w:spacing w:after="0" w:line="290" w:lineRule="atLeast"/>
      <w:jc w:val="both"/>
    </w:pPr>
    <w:rPr>
      <w:rFonts w:ascii="Times New Roman" w:eastAsia="Times New Roman" w:hAnsi="Times New Roman" w:cs="Times New Roman"/>
      <w:color w:val="000000"/>
      <w:sz w:val="24"/>
      <w:szCs w:val="24"/>
      <w:lang w:val="en-GB" w:eastAsia="fi-FI"/>
    </w:rPr>
  </w:style>
  <w:style w:type="paragraph" w:customStyle="1" w:styleId="IRPABody2">
    <w:name w:val="IRPA Body 2"/>
    <w:rsid w:val="00310457"/>
    <w:pPr>
      <w:spacing w:after="0" w:line="290" w:lineRule="atLeast"/>
      <w:ind w:firstLine="567"/>
      <w:jc w:val="both"/>
    </w:pPr>
    <w:rPr>
      <w:rFonts w:ascii="Times New Roman" w:eastAsia="Times New Roman" w:hAnsi="Times New Roman" w:cs="Times New Roman"/>
      <w:sz w:val="24"/>
      <w:szCs w:val="24"/>
      <w:lang w:val="en-GB" w:eastAsia="fi-FI"/>
    </w:rPr>
  </w:style>
  <w:style w:type="paragraph" w:customStyle="1" w:styleId="IRPAHeading">
    <w:name w:val="IRPA Heading"/>
    <w:next w:val="IRPABody1"/>
    <w:rsid w:val="00310457"/>
    <w:pPr>
      <w:spacing w:before="290" w:after="0" w:line="290" w:lineRule="atLeast"/>
      <w:outlineLvl w:val="1"/>
    </w:pPr>
    <w:rPr>
      <w:rFonts w:ascii="Arial" w:eastAsia="Times New Roman" w:hAnsi="Arial" w:cs="Arial"/>
      <w:b/>
      <w:bCs/>
      <w:color w:val="003399"/>
      <w:sz w:val="25"/>
      <w:szCs w:val="25"/>
      <w:lang w:val="fr-FR" w:eastAsia="fi-FI"/>
    </w:rPr>
  </w:style>
  <w:style w:type="paragraph" w:customStyle="1" w:styleId="IRPAFigurelegend">
    <w:name w:val="IRPA Figure legend"/>
    <w:next w:val="IRPABody2"/>
    <w:rsid w:val="00310457"/>
    <w:pPr>
      <w:spacing w:after="290" w:line="220" w:lineRule="atLeast"/>
      <w:jc w:val="both"/>
    </w:pPr>
    <w:rPr>
      <w:rFonts w:ascii="Arial" w:eastAsia="Times New Roman" w:hAnsi="Arial" w:cs="Arial"/>
      <w:b/>
      <w:bCs/>
      <w:sz w:val="18"/>
      <w:szCs w:val="18"/>
      <w:lang w:val="de-DE" w:eastAsia="fi-FI"/>
    </w:rPr>
  </w:style>
  <w:style w:type="paragraph" w:styleId="Sprechblasentext">
    <w:name w:val="Balloon Text"/>
    <w:basedOn w:val="Standard"/>
    <w:link w:val="SprechblasentextZchn"/>
    <w:uiPriority w:val="99"/>
    <w:semiHidden/>
    <w:unhideWhenUsed/>
    <w:rsid w:val="003104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457"/>
    <w:rPr>
      <w:rFonts w:ascii="Tahoma" w:hAnsi="Tahoma" w:cs="Tahoma"/>
      <w:sz w:val="16"/>
      <w:szCs w:val="16"/>
      <w:lang w:val="ru-RU"/>
    </w:rPr>
  </w:style>
  <w:style w:type="character" w:customStyle="1" w:styleId="hps">
    <w:name w:val="hps"/>
    <w:basedOn w:val="Absatz-Standardschriftart"/>
    <w:rsid w:val="00310457"/>
  </w:style>
  <w:style w:type="character" w:styleId="Hyperlink">
    <w:name w:val="Hyperlink"/>
    <w:rsid w:val="00310457"/>
    <w:rPr>
      <w:color w:val="0000FF"/>
      <w:u w:val="single"/>
    </w:rPr>
  </w:style>
  <w:style w:type="character" w:customStyle="1" w:styleId="nlmsource">
    <w:name w:val="nlm_source"/>
    <w:rsid w:val="00310457"/>
  </w:style>
  <w:style w:type="table" w:styleId="Tabellenraster">
    <w:name w:val="Table Grid"/>
    <w:basedOn w:val="NormaleTabelle"/>
    <w:uiPriority w:val="59"/>
    <w:rsid w:val="0031045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rsid w:val="00310457"/>
    <w:pPr>
      <w:ind w:left="720"/>
      <w:contextualSpacing/>
    </w:pPr>
  </w:style>
  <w:style w:type="character" w:customStyle="1" w:styleId="apple-converted-space">
    <w:name w:val="apple-converted-space"/>
    <w:rsid w:val="00310457"/>
  </w:style>
  <w:style w:type="character" w:customStyle="1" w:styleId="cit-sep">
    <w:name w:val="cit-sep"/>
    <w:rsid w:val="00310457"/>
  </w:style>
  <w:style w:type="character" w:customStyle="1" w:styleId="cit-auth">
    <w:name w:val="cit-auth"/>
    <w:rsid w:val="00310457"/>
  </w:style>
  <w:style w:type="character" w:customStyle="1" w:styleId="cit-print-date">
    <w:name w:val="cit-print-date"/>
    <w:rsid w:val="00310457"/>
  </w:style>
  <w:style w:type="character" w:customStyle="1" w:styleId="cit-vol">
    <w:name w:val="cit-vol"/>
    <w:rsid w:val="00310457"/>
  </w:style>
  <w:style w:type="character" w:customStyle="1" w:styleId="cit-issue">
    <w:name w:val="cit-issue"/>
    <w:rsid w:val="00310457"/>
  </w:style>
  <w:style w:type="character" w:customStyle="1" w:styleId="cit-first-page">
    <w:name w:val="cit-first-page"/>
    <w:rsid w:val="00310457"/>
  </w:style>
  <w:style w:type="character" w:customStyle="1" w:styleId="cit-last-page">
    <w:name w:val="cit-last-page"/>
    <w:rsid w:val="00310457"/>
  </w:style>
  <w:style w:type="paragraph" w:styleId="StandardWeb">
    <w:name w:val="Normal (Web)"/>
    <w:basedOn w:val="Standard"/>
    <w:rsid w:val="0031045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s9">
    <w:name w:val="s9"/>
    <w:rsid w:val="00310457"/>
  </w:style>
  <w:style w:type="character" w:customStyle="1" w:styleId="cit">
    <w:name w:val="cit"/>
    <w:basedOn w:val="Absatz-Standardschriftart"/>
    <w:rsid w:val="00310457"/>
  </w:style>
  <w:style w:type="character" w:styleId="Platzhaltertext">
    <w:name w:val="Placeholder Text"/>
    <w:basedOn w:val="Absatz-Standardschriftart"/>
    <w:uiPriority w:val="99"/>
    <w:semiHidden/>
    <w:rsid w:val="00310457"/>
    <w:rPr>
      <w:color w:val="808080"/>
    </w:rPr>
  </w:style>
  <w:style w:type="paragraph" w:customStyle="1" w:styleId="equation">
    <w:name w:val="equation"/>
    <w:basedOn w:val="Standard"/>
    <w:next w:val="Standard"/>
    <w:rsid w:val="00310457"/>
    <w:pPr>
      <w:overflowPunct w:val="0"/>
      <w:autoSpaceDE w:val="0"/>
      <w:autoSpaceDN w:val="0"/>
      <w:adjustRightInd w:val="0"/>
      <w:spacing w:before="120" w:after="120" w:line="360" w:lineRule="auto"/>
      <w:jc w:val="center"/>
      <w:textAlignment w:val="baseline"/>
    </w:pPr>
    <w:rPr>
      <w:rFonts w:ascii="Times New Roman" w:eastAsia="Times New Roman" w:hAnsi="Times New Roman" w:cs="Times New Roman"/>
      <w:sz w:val="24"/>
      <w:szCs w:val="20"/>
      <w:lang w:val="en-US" w:eastAsia="de-DE"/>
    </w:rPr>
  </w:style>
  <w:style w:type="character" w:customStyle="1" w:styleId="hpsalt-edited">
    <w:name w:val="hps alt-edited"/>
    <w:basedOn w:val="Absatz-Standardschriftart"/>
    <w:rsid w:val="00310457"/>
  </w:style>
  <w:style w:type="character" w:customStyle="1" w:styleId="hpsatn">
    <w:name w:val="hps atn"/>
    <w:basedOn w:val="Absatz-Standardschriftart"/>
    <w:rsid w:val="00310457"/>
  </w:style>
  <w:style w:type="paragraph" w:styleId="Endnotentext">
    <w:name w:val="endnote text"/>
    <w:basedOn w:val="Standard"/>
    <w:link w:val="EndnotentextZchn"/>
    <w:uiPriority w:val="99"/>
    <w:semiHidden/>
    <w:unhideWhenUsed/>
    <w:rsid w:val="0031045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10457"/>
    <w:rPr>
      <w:sz w:val="20"/>
      <w:szCs w:val="20"/>
      <w:lang w:val="ru-RU"/>
    </w:rPr>
  </w:style>
  <w:style w:type="character" w:styleId="Endnotenzeichen">
    <w:name w:val="endnote reference"/>
    <w:basedOn w:val="Absatz-Standardschriftart"/>
    <w:uiPriority w:val="99"/>
    <w:semiHidden/>
    <w:unhideWhenUsed/>
    <w:rsid w:val="00310457"/>
    <w:rPr>
      <w:vertAlign w:val="superscript"/>
    </w:rPr>
  </w:style>
  <w:style w:type="paragraph" w:styleId="Funotentext">
    <w:name w:val="footnote text"/>
    <w:basedOn w:val="Standard"/>
    <w:link w:val="FunotentextZchn"/>
    <w:uiPriority w:val="99"/>
    <w:semiHidden/>
    <w:unhideWhenUsed/>
    <w:rsid w:val="0031045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0457"/>
    <w:rPr>
      <w:sz w:val="20"/>
      <w:szCs w:val="20"/>
      <w:lang w:val="ru-RU"/>
    </w:rPr>
  </w:style>
  <w:style w:type="character" w:styleId="Funotenzeichen">
    <w:name w:val="footnote reference"/>
    <w:basedOn w:val="Absatz-Standardschriftart"/>
    <w:uiPriority w:val="99"/>
    <w:semiHidden/>
    <w:unhideWhenUsed/>
    <w:rsid w:val="00310457"/>
    <w:rPr>
      <w:vertAlign w:val="superscript"/>
    </w:rPr>
  </w:style>
  <w:style w:type="paragraph" w:styleId="Kopfzeile">
    <w:name w:val="header"/>
    <w:basedOn w:val="Standard"/>
    <w:link w:val="KopfzeileZchn"/>
    <w:uiPriority w:val="99"/>
    <w:unhideWhenUsed/>
    <w:rsid w:val="00310457"/>
    <w:pPr>
      <w:tabs>
        <w:tab w:val="center" w:pos="4677"/>
        <w:tab w:val="right" w:pos="9355"/>
      </w:tabs>
      <w:spacing w:after="0" w:line="240" w:lineRule="auto"/>
    </w:pPr>
  </w:style>
  <w:style w:type="character" w:customStyle="1" w:styleId="KopfzeileZchn">
    <w:name w:val="Kopfzeile Zchn"/>
    <w:basedOn w:val="Absatz-Standardschriftart"/>
    <w:link w:val="Kopfzeile"/>
    <w:uiPriority w:val="99"/>
    <w:rsid w:val="00310457"/>
    <w:rPr>
      <w:lang w:val="ru-RU"/>
    </w:rPr>
  </w:style>
  <w:style w:type="paragraph" w:styleId="Fuzeile">
    <w:name w:val="footer"/>
    <w:basedOn w:val="Standard"/>
    <w:link w:val="FuzeileZchn"/>
    <w:uiPriority w:val="99"/>
    <w:unhideWhenUsed/>
    <w:rsid w:val="00310457"/>
    <w:pPr>
      <w:tabs>
        <w:tab w:val="center" w:pos="4677"/>
        <w:tab w:val="right" w:pos="9355"/>
      </w:tabs>
      <w:spacing w:after="0" w:line="240" w:lineRule="auto"/>
    </w:pPr>
  </w:style>
  <w:style w:type="character" w:customStyle="1" w:styleId="FuzeileZchn">
    <w:name w:val="Fußzeile Zchn"/>
    <w:basedOn w:val="Absatz-Standardschriftart"/>
    <w:link w:val="Fuzeile"/>
    <w:uiPriority w:val="99"/>
    <w:rsid w:val="00310457"/>
    <w:rPr>
      <w:lang w:val="ru-RU"/>
    </w:rPr>
  </w:style>
  <w:style w:type="character" w:customStyle="1" w:styleId="shorttext">
    <w:name w:val="short_text"/>
    <w:basedOn w:val="Absatz-Standardschriftart"/>
    <w:rsid w:val="00310457"/>
  </w:style>
  <w:style w:type="paragraph" w:styleId="HTMLVorformatiert">
    <w:name w:val="HTML Preformatted"/>
    <w:basedOn w:val="Standard"/>
    <w:link w:val="HTMLVorformatiertZchn"/>
    <w:uiPriority w:val="99"/>
    <w:unhideWhenUsed/>
    <w:rsid w:val="0031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VorformatiertZchn">
    <w:name w:val="HTML Vorformatiert Zchn"/>
    <w:basedOn w:val="Absatz-Standardschriftart"/>
    <w:link w:val="HTMLVorformatiert"/>
    <w:uiPriority w:val="99"/>
    <w:rsid w:val="00310457"/>
    <w:rPr>
      <w:rFonts w:ascii="Courier New" w:eastAsia="Times New Roman" w:hAnsi="Courier New" w:cs="Courier New"/>
      <w:sz w:val="20"/>
      <w:szCs w:val="20"/>
    </w:rPr>
  </w:style>
  <w:style w:type="character" w:customStyle="1" w:styleId="displayctbr">
    <w:name w:val="displayctbr"/>
    <w:basedOn w:val="Absatz-Standardschriftart"/>
    <w:rsid w:val="00310457"/>
  </w:style>
  <w:style w:type="character" w:customStyle="1" w:styleId="selected">
    <w:name w:val="selected"/>
    <w:basedOn w:val="Absatz-Standardschriftart"/>
    <w:rsid w:val="00310457"/>
  </w:style>
  <w:style w:type="character" w:customStyle="1" w:styleId="1">
    <w:name w:val="Подзаголовок1"/>
    <w:basedOn w:val="Absatz-Standardschriftart"/>
    <w:rsid w:val="00310457"/>
  </w:style>
  <w:style w:type="character" w:customStyle="1" w:styleId="booktitle">
    <w:name w:val="booktitle"/>
    <w:basedOn w:val="Absatz-Standardschriftart"/>
    <w:rsid w:val="00310457"/>
  </w:style>
  <w:style w:type="character" w:customStyle="1" w:styleId="journalvolume">
    <w:name w:val="journalvolume"/>
    <w:basedOn w:val="Absatz-Standardschriftart"/>
    <w:rsid w:val="00310457"/>
  </w:style>
  <w:style w:type="character" w:customStyle="1" w:styleId="jrnl">
    <w:name w:val="jrnl"/>
    <w:basedOn w:val="Absatz-Standardschriftart"/>
    <w:rsid w:val="00310457"/>
  </w:style>
  <w:style w:type="character" w:styleId="Hervorhebung">
    <w:name w:val="Emphasis"/>
    <w:basedOn w:val="Absatz-Standardschriftart"/>
    <w:uiPriority w:val="20"/>
    <w:qFormat/>
    <w:rsid w:val="00310457"/>
    <w:rPr>
      <w:i/>
      <w:iCs/>
    </w:rPr>
  </w:style>
  <w:style w:type="character" w:customStyle="1" w:styleId="publication-title">
    <w:name w:val="publication-title"/>
    <w:basedOn w:val="Absatz-Standardschriftart"/>
    <w:rsid w:val="00310457"/>
  </w:style>
  <w:style w:type="character" w:styleId="Kommentarzeichen">
    <w:name w:val="annotation reference"/>
    <w:basedOn w:val="Absatz-Standardschriftart"/>
    <w:uiPriority w:val="99"/>
    <w:semiHidden/>
    <w:unhideWhenUsed/>
    <w:rsid w:val="00310457"/>
    <w:rPr>
      <w:sz w:val="16"/>
      <w:szCs w:val="16"/>
    </w:rPr>
  </w:style>
  <w:style w:type="paragraph" w:styleId="Kommentartext">
    <w:name w:val="annotation text"/>
    <w:basedOn w:val="Standard"/>
    <w:link w:val="KommentartextZchn"/>
    <w:uiPriority w:val="99"/>
    <w:semiHidden/>
    <w:unhideWhenUsed/>
    <w:rsid w:val="003104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0457"/>
    <w:rPr>
      <w:sz w:val="20"/>
      <w:szCs w:val="20"/>
      <w:lang w:val="ru-RU"/>
    </w:rPr>
  </w:style>
  <w:style w:type="paragraph" w:styleId="Kommentarthema">
    <w:name w:val="annotation subject"/>
    <w:basedOn w:val="Kommentartext"/>
    <w:next w:val="Kommentartext"/>
    <w:link w:val="KommentarthemaZchn"/>
    <w:uiPriority w:val="99"/>
    <w:semiHidden/>
    <w:unhideWhenUsed/>
    <w:rsid w:val="00310457"/>
    <w:rPr>
      <w:b/>
      <w:bCs/>
    </w:rPr>
  </w:style>
  <w:style w:type="character" w:customStyle="1" w:styleId="KommentarthemaZchn">
    <w:name w:val="Kommentarthema Zchn"/>
    <w:basedOn w:val="KommentartextZchn"/>
    <w:link w:val="Kommentarthema"/>
    <w:uiPriority w:val="99"/>
    <w:semiHidden/>
    <w:rsid w:val="00310457"/>
    <w:rPr>
      <w:b/>
      <w:bCs/>
      <w:sz w:val="20"/>
      <w:szCs w:val="20"/>
      <w:lang w:val="ru-RU"/>
    </w:rPr>
  </w:style>
  <w:style w:type="paragraph" w:styleId="berarbeitung">
    <w:name w:val="Revision"/>
    <w:hidden/>
    <w:uiPriority w:val="99"/>
    <w:semiHidden/>
    <w:rsid w:val="004A0499"/>
    <w:pPr>
      <w:spacing w:after="0" w:line="240" w:lineRule="auto"/>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0457"/>
    <w:pPr>
      <w:spacing w:after="200" w:line="276" w:lineRule="auto"/>
    </w:pPr>
    <w:rPr>
      <w:lang w:val="ru-RU"/>
    </w:rPr>
  </w:style>
  <w:style w:type="paragraph" w:styleId="berschrift1">
    <w:name w:val="heading 1"/>
    <w:basedOn w:val="Standard"/>
    <w:next w:val="Standard"/>
    <w:link w:val="berschrift1Zchn"/>
    <w:qFormat/>
    <w:rsid w:val="00310457"/>
    <w:pPr>
      <w:keepNext/>
      <w:spacing w:before="240" w:after="60" w:line="240" w:lineRule="auto"/>
      <w:outlineLvl w:val="0"/>
    </w:pPr>
    <w:rPr>
      <w:rFonts w:ascii="Times New Roman" w:eastAsia="Times New Roman" w:hAnsi="Times New Roman" w:cs="Arial"/>
      <w:bCs/>
      <w:kern w:val="32"/>
      <w:sz w:val="36"/>
      <w:szCs w:val="32"/>
      <w:lang w:val="en-US"/>
    </w:rPr>
  </w:style>
  <w:style w:type="paragraph" w:styleId="berschrift4">
    <w:name w:val="heading 4"/>
    <w:basedOn w:val="Standard"/>
    <w:next w:val="Standard"/>
    <w:link w:val="berschrift4Zchn"/>
    <w:uiPriority w:val="9"/>
    <w:semiHidden/>
    <w:unhideWhenUsed/>
    <w:qFormat/>
    <w:rsid w:val="00310457"/>
    <w:pPr>
      <w:keepNext/>
      <w:keepLines/>
      <w:spacing w:before="200" w:after="0"/>
      <w:outlineLvl w:val="3"/>
    </w:pPr>
    <w:rPr>
      <w:rFonts w:asciiTheme="majorHAnsi" w:eastAsiaTheme="majorEastAsia" w:hAnsiTheme="majorHAnsi" w:cstheme="majorBidi"/>
      <w:b/>
      <w:bCs/>
      <w:i/>
      <w:iCs/>
      <w:color w:val="5B9BD5" w:themeColor="accent1"/>
    </w:rPr>
  </w:style>
  <w:style w:type="paragraph" w:styleId="berschrift5">
    <w:name w:val="heading 5"/>
    <w:basedOn w:val="Standard"/>
    <w:next w:val="Standard"/>
    <w:link w:val="berschrift5Zchn"/>
    <w:uiPriority w:val="9"/>
    <w:semiHidden/>
    <w:unhideWhenUsed/>
    <w:qFormat/>
    <w:rsid w:val="0031045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10457"/>
    <w:rPr>
      <w:rFonts w:ascii="Times New Roman" w:eastAsia="Times New Roman" w:hAnsi="Times New Roman" w:cs="Arial"/>
      <w:bCs/>
      <w:kern w:val="32"/>
      <w:sz w:val="36"/>
      <w:szCs w:val="32"/>
    </w:rPr>
  </w:style>
  <w:style w:type="character" w:customStyle="1" w:styleId="berschrift4Zchn">
    <w:name w:val="Überschrift 4 Zchn"/>
    <w:basedOn w:val="Absatz-Standardschriftart"/>
    <w:link w:val="berschrift4"/>
    <w:uiPriority w:val="9"/>
    <w:semiHidden/>
    <w:rsid w:val="00310457"/>
    <w:rPr>
      <w:rFonts w:asciiTheme="majorHAnsi" w:eastAsiaTheme="majorEastAsia" w:hAnsiTheme="majorHAnsi" w:cstheme="majorBidi"/>
      <w:b/>
      <w:bCs/>
      <w:i/>
      <w:iCs/>
      <w:color w:val="5B9BD5" w:themeColor="accent1"/>
      <w:lang w:val="ru-RU"/>
    </w:rPr>
  </w:style>
  <w:style w:type="character" w:customStyle="1" w:styleId="berschrift5Zchn">
    <w:name w:val="Überschrift 5 Zchn"/>
    <w:basedOn w:val="Absatz-Standardschriftart"/>
    <w:link w:val="berschrift5"/>
    <w:uiPriority w:val="9"/>
    <w:semiHidden/>
    <w:rsid w:val="00310457"/>
    <w:rPr>
      <w:rFonts w:asciiTheme="majorHAnsi" w:eastAsiaTheme="majorEastAsia" w:hAnsiTheme="majorHAnsi" w:cstheme="majorBidi"/>
      <w:color w:val="1F4D78" w:themeColor="accent1" w:themeShade="7F"/>
      <w:lang w:val="ru-RU"/>
    </w:rPr>
  </w:style>
  <w:style w:type="paragraph" w:customStyle="1" w:styleId="IRPABody1">
    <w:name w:val="IRPA Body 1"/>
    <w:next w:val="IRPABody2"/>
    <w:rsid w:val="00310457"/>
    <w:pPr>
      <w:spacing w:after="0" w:line="290" w:lineRule="atLeast"/>
      <w:jc w:val="both"/>
    </w:pPr>
    <w:rPr>
      <w:rFonts w:ascii="Times New Roman" w:eastAsia="Times New Roman" w:hAnsi="Times New Roman" w:cs="Times New Roman"/>
      <w:color w:val="000000"/>
      <w:sz w:val="24"/>
      <w:szCs w:val="24"/>
      <w:lang w:val="en-GB" w:eastAsia="fi-FI"/>
    </w:rPr>
  </w:style>
  <w:style w:type="paragraph" w:customStyle="1" w:styleId="IRPABody2">
    <w:name w:val="IRPA Body 2"/>
    <w:rsid w:val="00310457"/>
    <w:pPr>
      <w:spacing w:after="0" w:line="290" w:lineRule="atLeast"/>
      <w:ind w:firstLine="567"/>
      <w:jc w:val="both"/>
    </w:pPr>
    <w:rPr>
      <w:rFonts w:ascii="Times New Roman" w:eastAsia="Times New Roman" w:hAnsi="Times New Roman" w:cs="Times New Roman"/>
      <w:sz w:val="24"/>
      <w:szCs w:val="24"/>
      <w:lang w:val="en-GB" w:eastAsia="fi-FI"/>
    </w:rPr>
  </w:style>
  <w:style w:type="paragraph" w:customStyle="1" w:styleId="IRPAHeading">
    <w:name w:val="IRPA Heading"/>
    <w:next w:val="IRPABody1"/>
    <w:rsid w:val="00310457"/>
    <w:pPr>
      <w:spacing w:before="290" w:after="0" w:line="290" w:lineRule="atLeast"/>
      <w:outlineLvl w:val="1"/>
    </w:pPr>
    <w:rPr>
      <w:rFonts w:ascii="Arial" w:eastAsia="Times New Roman" w:hAnsi="Arial" w:cs="Arial"/>
      <w:b/>
      <w:bCs/>
      <w:color w:val="003399"/>
      <w:sz w:val="25"/>
      <w:szCs w:val="25"/>
      <w:lang w:val="fr-FR" w:eastAsia="fi-FI"/>
    </w:rPr>
  </w:style>
  <w:style w:type="paragraph" w:customStyle="1" w:styleId="IRPAFigurelegend">
    <w:name w:val="IRPA Figure legend"/>
    <w:next w:val="IRPABody2"/>
    <w:rsid w:val="00310457"/>
    <w:pPr>
      <w:spacing w:after="290" w:line="220" w:lineRule="atLeast"/>
      <w:jc w:val="both"/>
    </w:pPr>
    <w:rPr>
      <w:rFonts w:ascii="Arial" w:eastAsia="Times New Roman" w:hAnsi="Arial" w:cs="Arial"/>
      <w:b/>
      <w:bCs/>
      <w:sz w:val="18"/>
      <w:szCs w:val="18"/>
      <w:lang w:val="de-DE" w:eastAsia="fi-FI"/>
    </w:rPr>
  </w:style>
  <w:style w:type="paragraph" w:styleId="Sprechblasentext">
    <w:name w:val="Balloon Text"/>
    <w:basedOn w:val="Standard"/>
    <w:link w:val="SprechblasentextZchn"/>
    <w:uiPriority w:val="99"/>
    <w:semiHidden/>
    <w:unhideWhenUsed/>
    <w:rsid w:val="003104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457"/>
    <w:rPr>
      <w:rFonts w:ascii="Tahoma" w:hAnsi="Tahoma" w:cs="Tahoma"/>
      <w:sz w:val="16"/>
      <w:szCs w:val="16"/>
      <w:lang w:val="ru-RU"/>
    </w:rPr>
  </w:style>
  <w:style w:type="character" w:customStyle="1" w:styleId="hps">
    <w:name w:val="hps"/>
    <w:basedOn w:val="Absatz-Standardschriftart"/>
    <w:rsid w:val="00310457"/>
  </w:style>
  <w:style w:type="character" w:styleId="Hyperlink">
    <w:name w:val="Hyperlink"/>
    <w:rsid w:val="00310457"/>
    <w:rPr>
      <w:color w:val="0000FF"/>
      <w:u w:val="single"/>
    </w:rPr>
  </w:style>
  <w:style w:type="character" w:customStyle="1" w:styleId="nlmsource">
    <w:name w:val="nlm_source"/>
    <w:rsid w:val="00310457"/>
  </w:style>
  <w:style w:type="table" w:styleId="Tabellenraster">
    <w:name w:val="Table Grid"/>
    <w:basedOn w:val="NormaleTabelle"/>
    <w:uiPriority w:val="59"/>
    <w:rsid w:val="0031045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qFormat/>
    <w:rsid w:val="00310457"/>
    <w:pPr>
      <w:ind w:left="720"/>
      <w:contextualSpacing/>
    </w:pPr>
  </w:style>
  <w:style w:type="character" w:customStyle="1" w:styleId="apple-converted-space">
    <w:name w:val="apple-converted-space"/>
    <w:rsid w:val="00310457"/>
  </w:style>
  <w:style w:type="character" w:customStyle="1" w:styleId="cit-sep">
    <w:name w:val="cit-sep"/>
    <w:rsid w:val="00310457"/>
  </w:style>
  <w:style w:type="character" w:customStyle="1" w:styleId="cit-auth">
    <w:name w:val="cit-auth"/>
    <w:rsid w:val="00310457"/>
  </w:style>
  <w:style w:type="character" w:customStyle="1" w:styleId="cit-print-date">
    <w:name w:val="cit-print-date"/>
    <w:rsid w:val="00310457"/>
  </w:style>
  <w:style w:type="character" w:customStyle="1" w:styleId="cit-vol">
    <w:name w:val="cit-vol"/>
    <w:rsid w:val="00310457"/>
  </w:style>
  <w:style w:type="character" w:customStyle="1" w:styleId="cit-issue">
    <w:name w:val="cit-issue"/>
    <w:rsid w:val="00310457"/>
  </w:style>
  <w:style w:type="character" w:customStyle="1" w:styleId="cit-first-page">
    <w:name w:val="cit-first-page"/>
    <w:rsid w:val="00310457"/>
  </w:style>
  <w:style w:type="character" w:customStyle="1" w:styleId="cit-last-page">
    <w:name w:val="cit-last-page"/>
    <w:rsid w:val="00310457"/>
  </w:style>
  <w:style w:type="paragraph" w:styleId="StandardWeb">
    <w:name w:val="Normal (Web)"/>
    <w:basedOn w:val="Standard"/>
    <w:rsid w:val="0031045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s9">
    <w:name w:val="s9"/>
    <w:rsid w:val="00310457"/>
  </w:style>
  <w:style w:type="character" w:customStyle="1" w:styleId="cit">
    <w:name w:val="cit"/>
    <w:basedOn w:val="Absatz-Standardschriftart"/>
    <w:rsid w:val="00310457"/>
  </w:style>
  <w:style w:type="character" w:styleId="Platzhaltertext">
    <w:name w:val="Placeholder Text"/>
    <w:basedOn w:val="Absatz-Standardschriftart"/>
    <w:uiPriority w:val="99"/>
    <w:semiHidden/>
    <w:rsid w:val="00310457"/>
    <w:rPr>
      <w:color w:val="808080"/>
    </w:rPr>
  </w:style>
  <w:style w:type="paragraph" w:customStyle="1" w:styleId="equation">
    <w:name w:val="equation"/>
    <w:basedOn w:val="Standard"/>
    <w:next w:val="Standard"/>
    <w:rsid w:val="00310457"/>
    <w:pPr>
      <w:overflowPunct w:val="0"/>
      <w:autoSpaceDE w:val="0"/>
      <w:autoSpaceDN w:val="0"/>
      <w:adjustRightInd w:val="0"/>
      <w:spacing w:before="120" w:after="120" w:line="360" w:lineRule="auto"/>
      <w:jc w:val="center"/>
      <w:textAlignment w:val="baseline"/>
    </w:pPr>
    <w:rPr>
      <w:rFonts w:ascii="Times New Roman" w:eastAsia="Times New Roman" w:hAnsi="Times New Roman" w:cs="Times New Roman"/>
      <w:sz w:val="24"/>
      <w:szCs w:val="20"/>
      <w:lang w:val="en-US" w:eastAsia="de-DE"/>
    </w:rPr>
  </w:style>
  <w:style w:type="character" w:customStyle="1" w:styleId="hpsalt-edited">
    <w:name w:val="hps alt-edited"/>
    <w:basedOn w:val="Absatz-Standardschriftart"/>
    <w:rsid w:val="00310457"/>
  </w:style>
  <w:style w:type="character" w:customStyle="1" w:styleId="hpsatn">
    <w:name w:val="hps atn"/>
    <w:basedOn w:val="Absatz-Standardschriftart"/>
    <w:rsid w:val="00310457"/>
  </w:style>
  <w:style w:type="paragraph" w:styleId="Endnotentext">
    <w:name w:val="endnote text"/>
    <w:basedOn w:val="Standard"/>
    <w:link w:val="EndnotentextZchn"/>
    <w:uiPriority w:val="99"/>
    <w:semiHidden/>
    <w:unhideWhenUsed/>
    <w:rsid w:val="0031045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310457"/>
    <w:rPr>
      <w:sz w:val="20"/>
      <w:szCs w:val="20"/>
      <w:lang w:val="ru-RU"/>
    </w:rPr>
  </w:style>
  <w:style w:type="character" w:styleId="Endnotenzeichen">
    <w:name w:val="endnote reference"/>
    <w:basedOn w:val="Absatz-Standardschriftart"/>
    <w:uiPriority w:val="99"/>
    <w:semiHidden/>
    <w:unhideWhenUsed/>
    <w:rsid w:val="00310457"/>
    <w:rPr>
      <w:vertAlign w:val="superscript"/>
    </w:rPr>
  </w:style>
  <w:style w:type="paragraph" w:styleId="Funotentext">
    <w:name w:val="footnote text"/>
    <w:basedOn w:val="Standard"/>
    <w:link w:val="FunotentextZchn"/>
    <w:uiPriority w:val="99"/>
    <w:semiHidden/>
    <w:unhideWhenUsed/>
    <w:rsid w:val="0031045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0457"/>
    <w:rPr>
      <w:sz w:val="20"/>
      <w:szCs w:val="20"/>
      <w:lang w:val="ru-RU"/>
    </w:rPr>
  </w:style>
  <w:style w:type="character" w:styleId="Funotenzeichen">
    <w:name w:val="footnote reference"/>
    <w:basedOn w:val="Absatz-Standardschriftart"/>
    <w:uiPriority w:val="99"/>
    <w:semiHidden/>
    <w:unhideWhenUsed/>
    <w:rsid w:val="00310457"/>
    <w:rPr>
      <w:vertAlign w:val="superscript"/>
    </w:rPr>
  </w:style>
  <w:style w:type="paragraph" w:styleId="Kopfzeile">
    <w:name w:val="header"/>
    <w:basedOn w:val="Standard"/>
    <w:link w:val="KopfzeileZchn"/>
    <w:uiPriority w:val="99"/>
    <w:unhideWhenUsed/>
    <w:rsid w:val="00310457"/>
    <w:pPr>
      <w:tabs>
        <w:tab w:val="center" w:pos="4677"/>
        <w:tab w:val="right" w:pos="9355"/>
      </w:tabs>
      <w:spacing w:after="0" w:line="240" w:lineRule="auto"/>
    </w:pPr>
  </w:style>
  <w:style w:type="character" w:customStyle="1" w:styleId="KopfzeileZchn">
    <w:name w:val="Kopfzeile Zchn"/>
    <w:basedOn w:val="Absatz-Standardschriftart"/>
    <w:link w:val="Kopfzeile"/>
    <w:uiPriority w:val="99"/>
    <w:rsid w:val="00310457"/>
    <w:rPr>
      <w:lang w:val="ru-RU"/>
    </w:rPr>
  </w:style>
  <w:style w:type="paragraph" w:styleId="Fuzeile">
    <w:name w:val="footer"/>
    <w:basedOn w:val="Standard"/>
    <w:link w:val="FuzeileZchn"/>
    <w:uiPriority w:val="99"/>
    <w:unhideWhenUsed/>
    <w:rsid w:val="00310457"/>
    <w:pPr>
      <w:tabs>
        <w:tab w:val="center" w:pos="4677"/>
        <w:tab w:val="right" w:pos="9355"/>
      </w:tabs>
      <w:spacing w:after="0" w:line="240" w:lineRule="auto"/>
    </w:pPr>
  </w:style>
  <w:style w:type="character" w:customStyle="1" w:styleId="FuzeileZchn">
    <w:name w:val="Fußzeile Zchn"/>
    <w:basedOn w:val="Absatz-Standardschriftart"/>
    <w:link w:val="Fuzeile"/>
    <w:uiPriority w:val="99"/>
    <w:rsid w:val="00310457"/>
    <w:rPr>
      <w:lang w:val="ru-RU"/>
    </w:rPr>
  </w:style>
  <w:style w:type="character" w:customStyle="1" w:styleId="shorttext">
    <w:name w:val="short_text"/>
    <w:basedOn w:val="Absatz-Standardschriftart"/>
    <w:rsid w:val="00310457"/>
  </w:style>
  <w:style w:type="paragraph" w:styleId="HTMLVorformatiert">
    <w:name w:val="HTML Preformatted"/>
    <w:basedOn w:val="Standard"/>
    <w:link w:val="HTMLVorformatiertZchn"/>
    <w:uiPriority w:val="99"/>
    <w:unhideWhenUsed/>
    <w:rsid w:val="00310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VorformatiertZchn">
    <w:name w:val="HTML Vorformatiert Zchn"/>
    <w:basedOn w:val="Absatz-Standardschriftart"/>
    <w:link w:val="HTMLVorformatiert"/>
    <w:uiPriority w:val="99"/>
    <w:rsid w:val="00310457"/>
    <w:rPr>
      <w:rFonts w:ascii="Courier New" w:eastAsia="Times New Roman" w:hAnsi="Courier New" w:cs="Courier New"/>
      <w:sz w:val="20"/>
      <w:szCs w:val="20"/>
    </w:rPr>
  </w:style>
  <w:style w:type="character" w:customStyle="1" w:styleId="displayctbr">
    <w:name w:val="displayctbr"/>
    <w:basedOn w:val="Absatz-Standardschriftart"/>
    <w:rsid w:val="00310457"/>
  </w:style>
  <w:style w:type="character" w:customStyle="1" w:styleId="selected">
    <w:name w:val="selected"/>
    <w:basedOn w:val="Absatz-Standardschriftart"/>
    <w:rsid w:val="00310457"/>
  </w:style>
  <w:style w:type="character" w:customStyle="1" w:styleId="1">
    <w:name w:val="Подзаголовок1"/>
    <w:basedOn w:val="Absatz-Standardschriftart"/>
    <w:rsid w:val="00310457"/>
  </w:style>
  <w:style w:type="character" w:customStyle="1" w:styleId="booktitle">
    <w:name w:val="booktitle"/>
    <w:basedOn w:val="Absatz-Standardschriftart"/>
    <w:rsid w:val="00310457"/>
  </w:style>
  <w:style w:type="character" w:customStyle="1" w:styleId="journalvolume">
    <w:name w:val="journalvolume"/>
    <w:basedOn w:val="Absatz-Standardschriftart"/>
    <w:rsid w:val="00310457"/>
  </w:style>
  <w:style w:type="character" w:customStyle="1" w:styleId="jrnl">
    <w:name w:val="jrnl"/>
    <w:basedOn w:val="Absatz-Standardschriftart"/>
    <w:rsid w:val="00310457"/>
  </w:style>
  <w:style w:type="character" w:styleId="Hervorhebung">
    <w:name w:val="Emphasis"/>
    <w:basedOn w:val="Absatz-Standardschriftart"/>
    <w:uiPriority w:val="20"/>
    <w:qFormat/>
    <w:rsid w:val="00310457"/>
    <w:rPr>
      <w:i/>
      <w:iCs/>
    </w:rPr>
  </w:style>
  <w:style w:type="character" w:customStyle="1" w:styleId="publication-title">
    <w:name w:val="publication-title"/>
    <w:basedOn w:val="Absatz-Standardschriftart"/>
    <w:rsid w:val="00310457"/>
  </w:style>
  <w:style w:type="character" w:styleId="Kommentarzeichen">
    <w:name w:val="annotation reference"/>
    <w:basedOn w:val="Absatz-Standardschriftart"/>
    <w:uiPriority w:val="99"/>
    <w:semiHidden/>
    <w:unhideWhenUsed/>
    <w:rsid w:val="00310457"/>
    <w:rPr>
      <w:sz w:val="16"/>
      <w:szCs w:val="16"/>
    </w:rPr>
  </w:style>
  <w:style w:type="paragraph" w:styleId="Kommentartext">
    <w:name w:val="annotation text"/>
    <w:basedOn w:val="Standard"/>
    <w:link w:val="KommentartextZchn"/>
    <w:uiPriority w:val="99"/>
    <w:semiHidden/>
    <w:unhideWhenUsed/>
    <w:rsid w:val="003104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0457"/>
    <w:rPr>
      <w:sz w:val="20"/>
      <w:szCs w:val="20"/>
      <w:lang w:val="ru-RU"/>
    </w:rPr>
  </w:style>
  <w:style w:type="paragraph" w:styleId="Kommentarthema">
    <w:name w:val="annotation subject"/>
    <w:basedOn w:val="Kommentartext"/>
    <w:next w:val="Kommentartext"/>
    <w:link w:val="KommentarthemaZchn"/>
    <w:uiPriority w:val="99"/>
    <w:semiHidden/>
    <w:unhideWhenUsed/>
    <w:rsid w:val="00310457"/>
    <w:rPr>
      <w:b/>
      <w:bCs/>
    </w:rPr>
  </w:style>
  <w:style w:type="character" w:customStyle="1" w:styleId="KommentarthemaZchn">
    <w:name w:val="Kommentarthema Zchn"/>
    <w:basedOn w:val="KommentartextZchn"/>
    <w:link w:val="Kommentarthema"/>
    <w:uiPriority w:val="99"/>
    <w:semiHidden/>
    <w:rsid w:val="00310457"/>
    <w:rPr>
      <w:b/>
      <w:bCs/>
      <w:sz w:val="20"/>
      <w:szCs w:val="20"/>
      <w:lang w:val="ru-RU"/>
    </w:rPr>
  </w:style>
  <w:style w:type="paragraph" w:styleId="berarbeitung">
    <w:name w:val="Revision"/>
    <w:hidden/>
    <w:uiPriority w:val="99"/>
    <w:semiHidden/>
    <w:rsid w:val="004A0499"/>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913248">
      <w:bodyDiv w:val="1"/>
      <w:marLeft w:val="0"/>
      <w:marRight w:val="0"/>
      <w:marTop w:val="0"/>
      <w:marBottom w:val="0"/>
      <w:divBdr>
        <w:top w:val="none" w:sz="0" w:space="0" w:color="auto"/>
        <w:left w:val="none" w:sz="0" w:space="0" w:color="auto"/>
        <w:bottom w:val="none" w:sz="0" w:space="0" w:color="auto"/>
        <w:right w:val="none" w:sz="0" w:space="0" w:color="auto"/>
      </w:divBdr>
      <w:divsChild>
        <w:div w:id="104349757">
          <w:marLeft w:val="0"/>
          <w:marRight w:val="0"/>
          <w:marTop w:val="0"/>
          <w:marBottom w:val="0"/>
          <w:divBdr>
            <w:top w:val="none" w:sz="0" w:space="0" w:color="auto"/>
            <w:left w:val="none" w:sz="0" w:space="0" w:color="auto"/>
            <w:bottom w:val="none" w:sz="0" w:space="0" w:color="auto"/>
            <w:right w:val="none" w:sz="0" w:space="0" w:color="auto"/>
          </w:divBdr>
          <w:divsChild>
            <w:div w:id="1902322500">
              <w:marLeft w:val="0"/>
              <w:marRight w:val="60"/>
              <w:marTop w:val="0"/>
              <w:marBottom w:val="0"/>
              <w:divBdr>
                <w:top w:val="none" w:sz="0" w:space="0" w:color="auto"/>
                <w:left w:val="none" w:sz="0" w:space="0" w:color="auto"/>
                <w:bottom w:val="none" w:sz="0" w:space="0" w:color="auto"/>
                <w:right w:val="none" w:sz="0" w:space="0" w:color="auto"/>
              </w:divBdr>
              <w:divsChild>
                <w:div w:id="2005275999">
                  <w:marLeft w:val="0"/>
                  <w:marRight w:val="0"/>
                  <w:marTop w:val="0"/>
                  <w:marBottom w:val="120"/>
                  <w:divBdr>
                    <w:top w:val="single" w:sz="6" w:space="0" w:color="C0C0C0"/>
                    <w:left w:val="single" w:sz="6" w:space="0" w:color="D9D9D9"/>
                    <w:bottom w:val="single" w:sz="6" w:space="0" w:color="D9D9D9"/>
                    <w:right w:val="single" w:sz="6" w:space="0" w:color="D9D9D9"/>
                  </w:divBdr>
                  <w:divsChild>
                    <w:div w:id="15702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3444">
          <w:marLeft w:val="0"/>
          <w:marRight w:val="0"/>
          <w:marTop w:val="0"/>
          <w:marBottom w:val="0"/>
          <w:divBdr>
            <w:top w:val="none" w:sz="0" w:space="0" w:color="auto"/>
            <w:left w:val="none" w:sz="0" w:space="0" w:color="auto"/>
            <w:bottom w:val="none" w:sz="0" w:space="0" w:color="auto"/>
            <w:right w:val="none" w:sz="0" w:space="0" w:color="auto"/>
          </w:divBdr>
          <w:divsChild>
            <w:div w:id="2119328316">
              <w:marLeft w:val="60"/>
              <w:marRight w:val="0"/>
              <w:marTop w:val="0"/>
              <w:marBottom w:val="0"/>
              <w:divBdr>
                <w:top w:val="none" w:sz="0" w:space="0" w:color="auto"/>
                <w:left w:val="none" w:sz="0" w:space="0" w:color="auto"/>
                <w:bottom w:val="none" w:sz="0" w:space="0" w:color="auto"/>
                <w:right w:val="none" w:sz="0" w:space="0" w:color="auto"/>
              </w:divBdr>
              <w:divsChild>
                <w:div w:id="625938243">
                  <w:marLeft w:val="0"/>
                  <w:marRight w:val="0"/>
                  <w:marTop w:val="0"/>
                  <w:marBottom w:val="0"/>
                  <w:divBdr>
                    <w:top w:val="none" w:sz="0" w:space="0" w:color="auto"/>
                    <w:left w:val="none" w:sz="0" w:space="0" w:color="auto"/>
                    <w:bottom w:val="none" w:sz="0" w:space="0" w:color="auto"/>
                    <w:right w:val="none" w:sz="0" w:space="0" w:color="auto"/>
                  </w:divBdr>
                  <w:divsChild>
                    <w:div w:id="956640660">
                      <w:marLeft w:val="0"/>
                      <w:marRight w:val="0"/>
                      <w:marTop w:val="0"/>
                      <w:marBottom w:val="120"/>
                      <w:divBdr>
                        <w:top w:val="single" w:sz="6" w:space="0" w:color="F5F5F5"/>
                        <w:left w:val="single" w:sz="6" w:space="0" w:color="F5F5F5"/>
                        <w:bottom w:val="single" w:sz="6" w:space="0" w:color="F5F5F5"/>
                        <w:right w:val="single" w:sz="6" w:space="0" w:color="F5F5F5"/>
                      </w:divBdr>
                      <w:divsChild>
                        <w:div w:id="2031756115">
                          <w:marLeft w:val="0"/>
                          <w:marRight w:val="0"/>
                          <w:marTop w:val="0"/>
                          <w:marBottom w:val="0"/>
                          <w:divBdr>
                            <w:top w:val="none" w:sz="0" w:space="0" w:color="auto"/>
                            <w:left w:val="none" w:sz="0" w:space="0" w:color="auto"/>
                            <w:bottom w:val="none" w:sz="0" w:space="0" w:color="auto"/>
                            <w:right w:val="none" w:sz="0" w:space="0" w:color="auto"/>
                          </w:divBdr>
                          <w:divsChild>
                            <w:div w:id="20101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www.multitran.ru/c/m.exe?t=1554555_1_2&amp;s1=noncontradictory%20hypothesis" TargetMode="External"/><Relationship Id="rId26" Type="http://schemas.openxmlformats.org/officeDocument/2006/relationships/image" Target="media/image10.TIF"/><Relationship Id="rId3" Type="http://schemas.openxmlformats.org/officeDocument/2006/relationships/styles" Target="styles.xml"/><Relationship Id="rId21" Type="http://schemas.openxmlformats.org/officeDocument/2006/relationships/image" Target="media/image5.TIF"/><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T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dlib.rsl.ru/viewer/01005558947" TargetMode="External"/><Relationship Id="rId29" Type="http://schemas.openxmlformats.org/officeDocument/2006/relationships/image" Target="media/image13.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TI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TIF"/><Relationship Id="rId28" Type="http://schemas.openxmlformats.org/officeDocument/2006/relationships/image" Target="media/image12.TIF"/><Relationship Id="rId10" Type="http://schemas.openxmlformats.org/officeDocument/2006/relationships/image" Target="media/image1.wmf"/><Relationship Id="rId19" Type="http://schemas.openxmlformats.org/officeDocument/2006/relationships/comments" Target="comments.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ena@urcrm.ru" TargetMode="External"/><Relationship Id="rId14" Type="http://schemas.openxmlformats.org/officeDocument/2006/relationships/image" Target="media/image3.wmf"/><Relationship Id="rId22" Type="http://schemas.openxmlformats.org/officeDocument/2006/relationships/image" Target="media/image6.TIF"/><Relationship Id="rId27" Type="http://schemas.openxmlformats.org/officeDocument/2006/relationships/image" Target="media/image11.TIF"/><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7E5A2-88EA-4773-82D3-30F498FE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11684</Words>
  <Characters>73610</Characters>
  <Application>Microsoft Office Word</Application>
  <DocSecurity>4</DocSecurity>
  <Lines>613</Lines>
  <Paragraphs>170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85124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2018-05-02T11:25:00Z</dcterms:created>
  <dcterms:modified xsi:type="dcterms:W3CDTF">2018-05-02T11:25:00Z</dcterms:modified>
</cp:coreProperties>
</file>