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B7" w:rsidRPr="00D67671" w:rsidRDefault="00443CB7" w:rsidP="00443CB7">
      <w:pPr>
        <w:spacing w:line="480" w:lineRule="auto"/>
        <w:rPr>
          <w:rFonts w:ascii="Times New Roman" w:eastAsia="SimSun" w:hAnsi="Times New Roman" w:cs="Times New Roman"/>
          <w:bCs/>
          <w:i/>
          <w:sz w:val="24"/>
          <w:szCs w:val="24"/>
          <w:lang w:val="en-GB" w:eastAsia="zh-CN"/>
        </w:rPr>
      </w:pPr>
      <w:r w:rsidRPr="00D67671">
        <w:rPr>
          <w:rFonts w:ascii="Times New Roman" w:eastAsia="SimSun" w:hAnsi="Times New Roman" w:cs="Times New Roman"/>
          <w:bCs/>
          <w:i/>
          <w:sz w:val="24"/>
          <w:szCs w:val="24"/>
          <w:lang w:val="en-GB" w:eastAsia="zh-CN"/>
        </w:rPr>
        <w:t>Supplementary information</w:t>
      </w:r>
    </w:p>
    <w:p w:rsidR="00443CB7" w:rsidRDefault="00443CB7" w:rsidP="00443CB7">
      <w:pPr>
        <w:spacing w:line="48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/>
        </w:rPr>
      </w:pPr>
    </w:p>
    <w:p w:rsidR="00443CB7" w:rsidRPr="00443CB7" w:rsidRDefault="00443CB7" w:rsidP="00443CB7">
      <w:pPr>
        <w:spacing w:line="48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/>
        </w:rPr>
      </w:pPr>
      <w:r w:rsidRPr="00443CB7"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/>
        </w:rPr>
        <w:t>Neuronal differentiation induces SNORD115 expression and is accompanied by post-transcriptional changes of serotonin receptor 2c mRNA</w:t>
      </w:r>
    </w:p>
    <w:p w:rsidR="00443CB7" w:rsidRPr="00443CB7" w:rsidRDefault="00443CB7" w:rsidP="00443CB7">
      <w:pPr>
        <w:spacing w:line="48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/>
        </w:rPr>
      </w:pPr>
    </w:p>
    <w:p w:rsidR="00443CB7" w:rsidRPr="00443CB7" w:rsidRDefault="00443CB7" w:rsidP="00443CB7">
      <w:pPr>
        <w:spacing w:line="480" w:lineRule="auto"/>
        <w:rPr>
          <w:rFonts w:ascii="Times New Roman" w:eastAsia="SimSun" w:hAnsi="Times New Roman" w:cs="Times New Roman"/>
          <w:vertAlign w:val="superscript"/>
          <w:lang w:val="en-GB" w:eastAsia="zh-CN"/>
        </w:rPr>
      </w:pPr>
      <w:r w:rsidRPr="00443CB7">
        <w:rPr>
          <w:rFonts w:ascii="Times New Roman" w:eastAsia="SimSun" w:hAnsi="Times New Roman" w:cs="Times New Roman"/>
          <w:lang w:val="en-GB" w:eastAsia="zh-CN"/>
        </w:rPr>
        <w:t>Tomaž Bratkovič</w:t>
      </w: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1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,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Miha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Modic</w:t>
      </w: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2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,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Germán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Camargo Ortega</w:t>
      </w: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2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,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Micha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Drukker</w:t>
      </w: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2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 &amp; Boris Rogelj</w:t>
      </w: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3</w:t>
      </w:r>
      <w:proofErr w:type="gramStart"/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,4,5</w:t>
      </w:r>
      <w:proofErr w:type="gramEnd"/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,*</w:t>
      </w:r>
    </w:p>
    <w:p w:rsidR="00443CB7" w:rsidRPr="00443CB7" w:rsidRDefault="00443CB7" w:rsidP="00443CB7">
      <w:pPr>
        <w:spacing w:line="480" w:lineRule="auto"/>
        <w:rPr>
          <w:rFonts w:ascii="Times New Roman" w:eastAsia="SimSun" w:hAnsi="Times New Roman" w:cs="Times New Roman"/>
          <w:lang w:val="en-GB" w:eastAsia="zh-CN"/>
        </w:rPr>
      </w:pPr>
    </w:p>
    <w:p w:rsidR="00443CB7" w:rsidRPr="00443CB7" w:rsidRDefault="00443CB7" w:rsidP="00443CB7">
      <w:pPr>
        <w:spacing w:after="0" w:line="480" w:lineRule="auto"/>
        <w:rPr>
          <w:rFonts w:ascii="Times New Roman" w:eastAsia="SimSun" w:hAnsi="Times New Roman" w:cs="Times New Roman"/>
          <w:lang w:val="en-GB" w:eastAsia="zh-CN"/>
        </w:rPr>
      </w:pP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1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 University of Ljubljana, Faculty of Pharmacy, Department of Pharmaceutical Biology,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Aškerčeva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7, 1000 Ljubljana, Slovenia</w:t>
      </w:r>
    </w:p>
    <w:p w:rsidR="00443CB7" w:rsidRPr="00443CB7" w:rsidRDefault="00443CB7" w:rsidP="00443CB7">
      <w:pPr>
        <w:spacing w:after="0" w:line="480" w:lineRule="auto"/>
        <w:rPr>
          <w:rFonts w:ascii="Times New Roman" w:eastAsia="SimSun" w:hAnsi="Times New Roman" w:cs="Times New Roman"/>
          <w:lang w:val="en-GB" w:eastAsia="zh-CN"/>
        </w:rPr>
      </w:pP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2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 Institute of Stem Cell Research, German Research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Center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for E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nvironmental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Health, Helmholtz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Center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Munich, 85764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Neuherberg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>, Germany</w:t>
      </w:r>
    </w:p>
    <w:p w:rsidR="00443CB7" w:rsidRPr="00443CB7" w:rsidRDefault="00443CB7" w:rsidP="00443CB7">
      <w:pPr>
        <w:spacing w:after="0" w:line="480" w:lineRule="auto"/>
        <w:rPr>
          <w:rFonts w:ascii="Times New Roman" w:eastAsia="SimSun" w:hAnsi="Times New Roman" w:cs="Times New Roman"/>
          <w:lang w:val="en-GB" w:eastAsia="zh-CN"/>
        </w:rPr>
      </w:pP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3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Jozef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Stefan Institute, Department of Biotechnology,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Jamova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39, 1000 Ljubljana, Slovenia</w:t>
      </w:r>
    </w:p>
    <w:p w:rsidR="00443CB7" w:rsidRPr="00443CB7" w:rsidRDefault="00443CB7" w:rsidP="00443CB7">
      <w:pPr>
        <w:spacing w:after="0" w:line="480" w:lineRule="auto"/>
        <w:rPr>
          <w:rFonts w:ascii="Times New Roman" w:eastAsia="SimSun" w:hAnsi="Times New Roman" w:cs="Times New Roman"/>
          <w:lang w:val="en-GB" w:eastAsia="zh-CN"/>
        </w:rPr>
      </w:pP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4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 Biomedical Research Institute BRIS,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Puhova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10, 1000 Ljubljana, Slovenia</w:t>
      </w:r>
    </w:p>
    <w:p w:rsidR="00443CB7" w:rsidRPr="00443CB7" w:rsidRDefault="00443CB7" w:rsidP="00443CB7">
      <w:pPr>
        <w:spacing w:after="0" w:line="480" w:lineRule="auto"/>
        <w:rPr>
          <w:rFonts w:ascii="Times New Roman" w:eastAsia="SimSun" w:hAnsi="Times New Roman" w:cs="Times New Roman"/>
          <w:lang w:val="en-GB" w:eastAsia="zh-CN"/>
        </w:rPr>
      </w:pPr>
      <w:r w:rsidRPr="00443CB7">
        <w:rPr>
          <w:rFonts w:ascii="Times New Roman" w:eastAsia="SimSun" w:hAnsi="Times New Roman" w:cs="Times New Roman"/>
          <w:vertAlign w:val="superscript"/>
          <w:lang w:val="en-GB" w:eastAsia="zh-CN"/>
        </w:rPr>
        <w:t>5</w:t>
      </w:r>
      <w:r w:rsidRPr="00443CB7">
        <w:rPr>
          <w:rFonts w:ascii="Times New Roman" w:eastAsia="SimSun" w:hAnsi="Times New Roman" w:cs="Times New Roman"/>
          <w:lang w:val="en-GB" w:eastAsia="zh-CN"/>
        </w:rPr>
        <w:t xml:space="preserve"> University of Ljubljana, Faculty of Chemistry and Chemical Technology, </w:t>
      </w:r>
      <w:proofErr w:type="spellStart"/>
      <w:r w:rsidRPr="00443CB7">
        <w:rPr>
          <w:rFonts w:ascii="Times New Roman" w:eastAsia="SimSun" w:hAnsi="Times New Roman" w:cs="Times New Roman"/>
          <w:lang w:val="en-GB" w:eastAsia="zh-CN"/>
        </w:rPr>
        <w:t>Večna</w:t>
      </w:r>
      <w:proofErr w:type="spellEnd"/>
      <w:r w:rsidRPr="00443CB7">
        <w:rPr>
          <w:rFonts w:ascii="Times New Roman" w:eastAsia="SimSun" w:hAnsi="Times New Roman" w:cs="Times New Roman"/>
          <w:lang w:val="en-GB" w:eastAsia="zh-CN"/>
        </w:rPr>
        <w:t xml:space="preserve"> pot 113, 1000 Ljubljana, Slovenia</w:t>
      </w:r>
    </w:p>
    <w:p w:rsidR="00443CB7" w:rsidRPr="00443CB7" w:rsidRDefault="00443CB7" w:rsidP="00443CB7">
      <w:pPr>
        <w:spacing w:after="0" w:line="480" w:lineRule="auto"/>
        <w:rPr>
          <w:rFonts w:ascii="Times New Roman" w:eastAsia="SimSun" w:hAnsi="Times New Roman" w:cs="Times New Roman"/>
          <w:lang w:val="en-GB" w:eastAsia="zh-CN"/>
        </w:rPr>
      </w:pPr>
    </w:p>
    <w:p w:rsidR="00443CB7" w:rsidRPr="00443CB7" w:rsidRDefault="00443CB7" w:rsidP="00443CB7">
      <w:pPr>
        <w:spacing w:after="0" w:line="480" w:lineRule="auto"/>
        <w:rPr>
          <w:rFonts w:ascii="Times New Roman" w:eastAsia="SimSun" w:hAnsi="Times New Roman" w:cs="Times New Roman"/>
          <w:lang w:val="en-GB" w:eastAsia="zh-CN"/>
        </w:rPr>
      </w:pPr>
      <w:r w:rsidRPr="00443CB7">
        <w:rPr>
          <w:rFonts w:ascii="Times New Roman" w:eastAsia="SimSun" w:hAnsi="Times New Roman" w:cs="Times New Roman"/>
          <w:lang w:val="en-GB" w:eastAsia="zh-CN"/>
        </w:rPr>
        <w:t>* Correspondence: Boris Rogelj (</w:t>
      </w:r>
      <w:hyperlink r:id="rId7" w:history="1">
        <w:r w:rsidRPr="00443CB7">
          <w:rPr>
            <w:rFonts w:ascii="Times New Roman" w:eastAsia="SimSun" w:hAnsi="Times New Roman" w:cs="Times New Roman"/>
            <w:color w:val="0000FF"/>
            <w:u w:val="single"/>
            <w:lang w:val="en-GB" w:eastAsia="zh-CN"/>
          </w:rPr>
          <w:t>boris.rogelj@ijs.si</w:t>
        </w:r>
      </w:hyperlink>
      <w:r w:rsidRPr="00443CB7">
        <w:rPr>
          <w:rFonts w:ascii="Times New Roman" w:eastAsia="SimSun" w:hAnsi="Times New Roman" w:cs="Times New Roman"/>
          <w:lang w:val="en-GB" w:eastAsia="zh-CN"/>
        </w:rPr>
        <w:t>)</w:t>
      </w:r>
    </w:p>
    <w:p w:rsidR="00443CB7" w:rsidRDefault="00443CB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89340F" w:rsidRPr="00633E8B" w:rsidRDefault="00AC2140" w:rsidP="00AC214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633E8B">
        <w:rPr>
          <w:rFonts w:ascii="Times New Roman" w:hAnsi="Times New Roman" w:cs="Times New Roman"/>
          <w:b/>
          <w:i/>
          <w:sz w:val="24"/>
          <w:szCs w:val="24"/>
          <w:lang w:val="en-GB"/>
        </w:rPr>
        <w:lastRenderedPageBreak/>
        <w:t>Supplementary figures</w:t>
      </w:r>
    </w:p>
    <w:p w:rsidR="00AC2140" w:rsidRPr="00C85883" w:rsidRDefault="00AC2140" w:rsidP="00AC2140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:rsidR="00E02060" w:rsidRPr="00C85883" w:rsidRDefault="00C85883" w:rsidP="00E05761">
      <w:pPr>
        <w:spacing w:after="0" w:line="360" w:lineRule="auto"/>
        <w:jc w:val="both"/>
        <w:rPr>
          <w:rFonts w:ascii="Times New Roman" w:eastAsia="SimSun" w:hAnsi="Times New Roman" w:cs="Times New Roman"/>
          <w:lang w:val="en-GB" w:eastAsia="zh-CN"/>
        </w:rPr>
      </w:pPr>
      <w:proofErr w:type="gramStart"/>
      <w:r w:rsidRPr="00C85883">
        <w:rPr>
          <w:rFonts w:ascii="Times New Roman" w:eastAsia="SimSun" w:hAnsi="Times New Roman" w:cs="Times New Roman"/>
          <w:b/>
          <w:lang w:val="en-GB" w:eastAsia="zh-CN"/>
        </w:rPr>
        <w:t xml:space="preserve">Supplementary </w:t>
      </w:r>
      <w:r w:rsidR="0086578C">
        <w:rPr>
          <w:rFonts w:ascii="Times New Roman" w:eastAsia="SimSun" w:hAnsi="Times New Roman" w:cs="Times New Roman"/>
          <w:b/>
          <w:lang w:val="en-GB" w:eastAsia="zh-CN"/>
        </w:rPr>
        <w:t>F</w:t>
      </w:r>
      <w:r w:rsidRPr="00C85883">
        <w:rPr>
          <w:rFonts w:ascii="Times New Roman" w:eastAsia="SimSun" w:hAnsi="Times New Roman" w:cs="Times New Roman"/>
          <w:b/>
          <w:lang w:val="en-GB" w:eastAsia="zh-CN"/>
        </w:rPr>
        <w:t>igure S1</w:t>
      </w:r>
      <w:r w:rsidR="00857298" w:rsidRPr="00C85883">
        <w:rPr>
          <w:rFonts w:ascii="Times New Roman" w:eastAsia="SimSun" w:hAnsi="Times New Roman" w:cs="Times New Roman"/>
          <w:b/>
          <w:lang w:val="en-GB" w:eastAsia="zh-CN"/>
        </w:rPr>
        <w:t>.</w:t>
      </w:r>
      <w:proofErr w:type="gramEnd"/>
      <w:r w:rsidR="00857298" w:rsidRPr="00C85883">
        <w:rPr>
          <w:rFonts w:ascii="Times New Roman" w:eastAsia="SimSun" w:hAnsi="Times New Roman" w:cs="Times New Roman"/>
          <w:lang w:val="en-GB" w:eastAsia="zh-CN"/>
        </w:rPr>
        <w:t xml:space="preserve"> Representative </w:t>
      </w:r>
      <w:proofErr w:type="spellStart"/>
      <w:proofErr w:type="gramStart"/>
      <w:r w:rsidR="00857298" w:rsidRPr="00C85883">
        <w:rPr>
          <w:rFonts w:ascii="Times New Roman" w:eastAsia="SimSun" w:hAnsi="Times New Roman" w:cs="Times New Roman"/>
          <w:lang w:val="en-GB" w:eastAsia="zh-CN"/>
        </w:rPr>
        <w:t>electropherograms</w:t>
      </w:r>
      <w:proofErr w:type="spellEnd"/>
      <w:proofErr w:type="gramEnd"/>
      <w:r w:rsidR="00857298" w:rsidRPr="00C85883">
        <w:rPr>
          <w:rFonts w:ascii="Times New Roman" w:eastAsia="SimSun" w:hAnsi="Times New Roman" w:cs="Times New Roman"/>
          <w:lang w:val="en-GB" w:eastAsia="zh-CN"/>
        </w:rPr>
        <w:t xml:space="preserve"> of </w:t>
      </w:r>
      <w:r w:rsidR="00857298" w:rsidRPr="00C85883">
        <w:rPr>
          <w:rFonts w:ascii="Times New Roman" w:eastAsia="SimSun" w:hAnsi="Times New Roman" w:cs="Times New Roman"/>
          <w:i/>
          <w:lang w:val="en-GB" w:eastAsia="zh-CN"/>
        </w:rPr>
        <w:t>5ht2c</w:t>
      </w:r>
      <w:r w:rsidR="00857298" w:rsidRPr="00C85883">
        <w:rPr>
          <w:rFonts w:ascii="Times New Roman" w:eastAsia="SimSun" w:hAnsi="Times New Roman" w:cs="Times New Roman"/>
          <w:lang w:val="en-GB" w:eastAsia="zh-CN"/>
        </w:rPr>
        <w:t xml:space="preserve"> Sanger sequencing for each time point d</w:t>
      </w:r>
      <w:r w:rsidR="00E02060" w:rsidRPr="00C85883">
        <w:rPr>
          <w:rFonts w:ascii="Times New Roman" w:eastAsia="SimSun" w:hAnsi="Times New Roman" w:cs="Times New Roman"/>
          <w:lang w:val="en-GB" w:eastAsia="zh-CN"/>
        </w:rPr>
        <w:t>uring neuronal differentiation.</w:t>
      </w:r>
    </w:p>
    <w:p w:rsidR="00E02060" w:rsidRPr="00C85883" w:rsidRDefault="00E02060" w:rsidP="00E05761">
      <w:pPr>
        <w:spacing w:after="0" w:line="360" w:lineRule="auto"/>
        <w:jc w:val="both"/>
        <w:rPr>
          <w:rFonts w:ascii="Times New Roman" w:eastAsia="SimSun" w:hAnsi="Times New Roman" w:cs="Times New Roman"/>
          <w:lang w:val="en-GB" w:eastAsia="zh-CN"/>
        </w:rPr>
      </w:pPr>
    </w:p>
    <w:p w:rsidR="00731F2F" w:rsidRPr="00C85883" w:rsidRDefault="00C85883" w:rsidP="00731F2F">
      <w:pPr>
        <w:spacing w:after="0" w:line="360" w:lineRule="auto"/>
        <w:jc w:val="both"/>
        <w:rPr>
          <w:rFonts w:ascii="Times New Roman" w:eastAsia="SimSun" w:hAnsi="Times New Roman" w:cs="Times New Roman"/>
          <w:lang w:val="en-GB" w:eastAsia="zh-CN"/>
        </w:rPr>
      </w:pPr>
      <w:proofErr w:type="gramStart"/>
      <w:r w:rsidRPr="00C85883">
        <w:rPr>
          <w:rFonts w:ascii="Times New Roman" w:eastAsia="SimSun" w:hAnsi="Times New Roman" w:cs="Times New Roman"/>
          <w:b/>
          <w:lang w:val="en-GB" w:eastAsia="zh-CN"/>
        </w:rPr>
        <w:t xml:space="preserve">Supplementary </w:t>
      </w:r>
      <w:r w:rsidR="0086578C">
        <w:rPr>
          <w:rFonts w:ascii="Times New Roman" w:eastAsia="SimSun" w:hAnsi="Times New Roman" w:cs="Times New Roman"/>
          <w:b/>
          <w:lang w:val="en-GB" w:eastAsia="zh-CN"/>
        </w:rPr>
        <w:t>F</w:t>
      </w:r>
      <w:r w:rsidRPr="00C85883">
        <w:rPr>
          <w:rFonts w:ascii="Times New Roman" w:eastAsia="SimSun" w:hAnsi="Times New Roman" w:cs="Times New Roman"/>
          <w:b/>
          <w:lang w:val="en-GB" w:eastAsia="zh-CN"/>
        </w:rPr>
        <w:t>igure S2</w:t>
      </w:r>
      <w:r w:rsidR="00E02060" w:rsidRPr="00C85883">
        <w:rPr>
          <w:rFonts w:ascii="Times New Roman" w:eastAsia="SimSun" w:hAnsi="Times New Roman" w:cs="Times New Roman"/>
          <w:b/>
          <w:lang w:val="en-GB" w:eastAsia="zh-CN"/>
        </w:rPr>
        <w:t>.</w:t>
      </w:r>
      <w:proofErr w:type="gramEnd"/>
      <w:r w:rsidR="00857298" w:rsidRPr="00C85883">
        <w:rPr>
          <w:rFonts w:ascii="Times New Roman" w:eastAsia="SimSun" w:hAnsi="Times New Roman" w:cs="Times New Roman"/>
          <w:lang w:val="en-GB" w:eastAsia="zh-CN"/>
        </w:rPr>
        <w:t xml:space="preserve"> </w:t>
      </w:r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Increase in </w:t>
      </w:r>
      <w:r w:rsidR="00C30478" w:rsidRPr="00C85883">
        <w:rPr>
          <w:rFonts w:ascii="Times New Roman" w:eastAsia="SimSun" w:hAnsi="Times New Roman" w:cs="Times New Roman"/>
          <w:i/>
          <w:lang w:val="en-GB" w:eastAsia="zh-CN"/>
        </w:rPr>
        <w:t>ADAR1</w:t>
      </w:r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and </w:t>
      </w:r>
      <w:r w:rsidR="00C30478" w:rsidRPr="00C85883">
        <w:rPr>
          <w:rFonts w:ascii="Times New Roman" w:eastAsia="SimSun" w:hAnsi="Times New Roman" w:cs="Times New Roman"/>
          <w:i/>
          <w:lang w:val="en-GB" w:eastAsia="zh-CN"/>
        </w:rPr>
        <w:t>ADAR2</w:t>
      </w:r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gene expression during neuronal differentiation as deduced by </w:t>
      </w:r>
      <w:proofErr w:type="spellStart"/>
      <w:r w:rsidR="00C30478" w:rsidRPr="00C85883">
        <w:rPr>
          <w:rFonts w:ascii="Times New Roman" w:eastAsia="SimSun" w:hAnsi="Times New Roman" w:cs="Times New Roman"/>
          <w:lang w:val="en-GB" w:eastAsia="zh-CN"/>
        </w:rPr>
        <w:t>qPCR</w:t>
      </w:r>
      <w:proofErr w:type="spellEnd"/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. Averaged data ± standard </w:t>
      </w:r>
      <w:proofErr w:type="gramStart"/>
      <w:r w:rsidR="00C30478" w:rsidRPr="00C85883">
        <w:rPr>
          <w:rFonts w:ascii="Times New Roman" w:eastAsia="SimSun" w:hAnsi="Times New Roman" w:cs="Times New Roman"/>
          <w:lang w:val="en-GB" w:eastAsia="zh-CN"/>
        </w:rPr>
        <w:t>deviation are</w:t>
      </w:r>
      <w:proofErr w:type="gramEnd"/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shown.</w:t>
      </w:r>
    </w:p>
    <w:p w:rsidR="00731F2F" w:rsidRPr="00C85883" w:rsidRDefault="00731F2F" w:rsidP="00E05761">
      <w:pPr>
        <w:spacing w:after="0" w:line="360" w:lineRule="auto"/>
        <w:jc w:val="both"/>
        <w:rPr>
          <w:rFonts w:ascii="Times New Roman" w:eastAsia="SimSun" w:hAnsi="Times New Roman" w:cs="Times New Roman"/>
          <w:lang w:val="en-GB" w:eastAsia="zh-CN"/>
        </w:rPr>
      </w:pPr>
    </w:p>
    <w:p w:rsidR="00857298" w:rsidRDefault="00C85883" w:rsidP="00E05761">
      <w:pPr>
        <w:spacing w:after="0" w:line="360" w:lineRule="auto"/>
        <w:jc w:val="both"/>
        <w:rPr>
          <w:rFonts w:ascii="Times New Roman" w:hAnsi="Times New Roman" w:cs="Times New Roman"/>
          <w:bCs/>
          <w:lang w:val="en-GB"/>
        </w:rPr>
      </w:pPr>
      <w:proofErr w:type="gramStart"/>
      <w:r w:rsidRPr="00C85883">
        <w:rPr>
          <w:rFonts w:ascii="Times New Roman" w:eastAsia="SimSun" w:hAnsi="Times New Roman" w:cs="Times New Roman"/>
          <w:b/>
          <w:lang w:val="en-GB" w:eastAsia="zh-CN"/>
        </w:rPr>
        <w:t xml:space="preserve">Supplementary </w:t>
      </w:r>
      <w:r w:rsidR="0086578C">
        <w:rPr>
          <w:rFonts w:ascii="Times New Roman" w:eastAsia="SimSun" w:hAnsi="Times New Roman" w:cs="Times New Roman"/>
          <w:b/>
          <w:lang w:val="en-GB" w:eastAsia="zh-CN"/>
        </w:rPr>
        <w:t>F</w:t>
      </w:r>
      <w:r w:rsidRPr="00C85883">
        <w:rPr>
          <w:rFonts w:ascii="Times New Roman" w:eastAsia="SimSun" w:hAnsi="Times New Roman" w:cs="Times New Roman"/>
          <w:b/>
          <w:lang w:val="en-GB" w:eastAsia="zh-CN"/>
        </w:rPr>
        <w:t>igure</w:t>
      </w:r>
      <w:r w:rsidR="00E02060" w:rsidRPr="00C85883">
        <w:rPr>
          <w:rFonts w:ascii="Times New Roman" w:eastAsia="SimSun" w:hAnsi="Times New Roman" w:cs="Times New Roman"/>
          <w:b/>
          <w:lang w:val="en-GB" w:eastAsia="zh-CN"/>
        </w:rPr>
        <w:t xml:space="preserve"> S</w:t>
      </w:r>
      <w:r w:rsidRPr="00C85883">
        <w:rPr>
          <w:rFonts w:ascii="Times New Roman" w:eastAsia="SimSun" w:hAnsi="Times New Roman" w:cs="Times New Roman"/>
          <w:b/>
          <w:lang w:val="en-GB" w:eastAsia="zh-CN"/>
        </w:rPr>
        <w:t>3</w:t>
      </w:r>
      <w:r w:rsidR="00E02060" w:rsidRPr="00C85883">
        <w:rPr>
          <w:rFonts w:ascii="Times New Roman" w:eastAsia="SimSun" w:hAnsi="Times New Roman" w:cs="Times New Roman"/>
          <w:b/>
          <w:lang w:val="en-GB" w:eastAsia="zh-CN"/>
        </w:rPr>
        <w:t>.</w:t>
      </w:r>
      <w:proofErr w:type="gramEnd"/>
      <w:r w:rsidR="00857298" w:rsidRPr="00C85883">
        <w:rPr>
          <w:rFonts w:ascii="Times New Roman" w:eastAsia="SimSun" w:hAnsi="Times New Roman" w:cs="Times New Roman"/>
          <w:lang w:val="en-GB" w:eastAsia="zh-CN"/>
        </w:rPr>
        <w:t xml:space="preserve"> </w:t>
      </w:r>
      <w:proofErr w:type="gramStart"/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Accuracy of extent of A-to-I editing determination by direct Sanger </w:t>
      </w:r>
      <w:proofErr w:type="spellStart"/>
      <w:r w:rsidR="00C30478" w:rsidRPr="00C85883">
        <w:rPr>
          <w:rFonts w:ascii="Times New Roman" w:eastAsia="SimSun" w:hAnsi="Times New Roman" w:cs="Times New Roman"/>
          <w:lang w:val="en-GB" w:eastAsia="zh-CN"/>
        </w:rPr>
        <w:t>amplicon</w:t>
      </w:r>
      <w:proofErr w:type="spellEnd"/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sequencing.</w:t>
      </w:r>
      <w:proofErr w:type="gramEnd"/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Plasmids </w:t>
      </w:r>
      <w:proofErr w:type="spellStart"/>
      <w:r w:rsidR="00C30478" w:rsidRPr="00C85883">
        <w:rPr>
          <w:rFonts w:ascii="Times New Roman" w:eastAsia="SimSun" w:hAnsi="Times New Roman" w:cs="Times New Roman"/>
          <w:lang w:val="en-GB" w:eastAsia="zh-CN"/>
        </w:rPr>
        <w:t>harboring</w:t>
      </w:r>
      <w:proofErr w:type="spellEnd"/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two </w:t>
      </w:r>
      <w:r w:rsidR="00C30478" w:rsidRPr="00C85883">
        <w:rPr>
          <w:rFonts w:ascii="Times New Roman" w:eastAsia="SimSun" w:hAnsi="Times New Roman" w:cs="Times New Roman"/>
          <w:i/>
          <w:lang w:val="en-GB" w:eastAsia="zh-CN"/>
        </w:rPr>
        <w:t>5ht2c</w:t>
      </w:r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clones differing in A to G transition at 3 sites were mixed at different ratios and sequenced to compare the actual and deduced levels of A to G transition.</w:t>
      </w:r>
      <w:r w:rsidR="00C30478" w:rsidRPr="00C85883">
        <w:rPr>
          <w:lang w:val="en-GB"/>
        </w:rPr>
        <w:t xml:space="preserve"> </w:t>
      </w:r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Averaged data ± standard </w:t>
      </w:r>
      <w:proofErr w:type="gramStart"/>
      <w:r w:rsidR="00C30478" w:rsidRPr="00C85883">
        <w:rPr>
          <w:rFonts w:ascii="Times New Roman" w:eastAsia="SimSun" w:hAnsi="Times New Roman" w:cs="Times New Roman"/>
          <w:lang w:val="en-GB" w:eastAsia="zh-CN"/>
        </w:rPr>
        <w:t>deviation are</w:t>
      </w:r>
      <w:proofErr w:type="gramEnd"/>
      <w:r w:rsidR="00C30478" w:rsidRPr="00C85883">
        <w:rPr>
          <w:rFonts w:ascii="Times New Roman" w:eastAsia="SimSun" w:hAnsi="Times New Roman" w:cs="Times New Roman"/>
          <w:lang w:val="en-GB" w:eastAsia="zh-CN"/>
        </w:rPr>
        <w:t xml:space="preserve"> shown.</w:t>
      </w:r>
      <w:r w:rsidR="00C30478" w:rsidRPr="00C85883">
        <w:rPr>
          <w:rFonts w:ascii="Times New Roman" w:hAnsi="Times New Roman" w:cs="Times New Roman"/>
          <w:bCs/>
          <w:lang w:val="en-GB"/>
        </w:rPr>
        <w:t xml:space="preserve"> For G to A ratios in the range of 20:80 to 80:20, the curve is linear. At lower and higher ratios, respectively, the shape of the calibration curve turns sigmoidal, allowing somewhat less accurate determination of editing extent; consistent w</w:t>
      </w:r>
      <w:r w:rsidRPr="00C85883">
        <w:rPr>
          <w:rFonts w:ascii="Times New Roman" w:hAnsi="Times New Roman" w:cs="Times New Roman"/>
          <w:bCs/>
          <w:lang w:val="en-GB"/>
        </w:rPr>
        <w:t xml:space="preserve">ith findings of </w:t>
      </w:r>
      <w:proofErr w:type="spellStart"/>
      <w:r w:rsidRPr="00C85883">
        <w:rPr>
          <w:rFonts w:ascii="Times New Roman" w:hAnsi="Times New Roman" w:cs="Times New Roman"/>
          <w:bCs/>
          <w:lang w:val="en-GB"/>
        </w:rPr>
        <w:t>Wahlstedt</w:t>
      </w:r>
      <w:proofErr w:type="spellEnd"/>
      <w:r w:rsidRPr="00C85883">
        <w:rPr>
          <w:rFonts w:ascii="Times New Roman" w:hAnsi="Times New Roman" w:cs="Times New Roman"/>
          <w:bCs/>
          <w:lang w:val="en-GB"/>
        </w:rPr>
        <w:t xml:space="preserve"> et al</w:t>
      </w:r>
      <w:r w:rsidR="00C30478" w:rsidRPr="00C85883">
        <w:rPr>
          <w:rFonts w:ascii="Times New Roman" w:hAnsi="Times New Roman" w:cs="Times New Roman"/>
          <w:bCs/>
          <w:lang w:val="en-GB"/>
        </w:rPr>
        <w:t>.</w:t>
      </w:r>
      <w:r w:rsidRPr="00C85883">
        <w:rPr>
          <w:rFonts w:ascii="Times New Roman" w:hAnsi="Times New Roman" w:cs="Times New Roman"/>
          <w:bCs/>
          <w:lang w:val="en-GB"/>
        </w:rPr>
        <w:t xml:space="preserve"> </w:t>
      </w:r>
      <w:hyperlink w:anchor="_ENREF_1" w:tooltip="Wahlstedt, 2009 #96" w:history="1">
        <w:r w:rsidRPr="00C85883">
          <w:rPr>
            <w:rFonts w:ascii="Times New Roman" w:hAnsi="Times New Roman" w:cs="Times New Roman"/>
            <w:bCs/>
            <w:lang w:val="en-GB"/>
          </w:rPr>
          <w:fldChar w:fldCharType="begin">
            <w:fldData xml:space="preserve">PEVuZE5vdGU+PENpdGU+PEF1dGhvcj5XYWhsc3RlZHQ8L0F1dGhvcj48WWVhcj4yMDA5PC9ZZWFy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=
</w:fldData>
          </w:fldChar>
        </w:r>
        <w:r w:rsidRPr="00C85883">
          <w:rPr>
            <w:rFonts w:ascii="Times New Roman" w:hAnsi="Times New Roman" w:cs="Times New Roman"/>
            <w:bCs/>
            <w:lang w:val="en-GB"/>
          </w:rPr>
          <w:instrText xml:space="preserve"> ADDIN EN.CITE </w:instrText>
        </w:r>
        <w:r w:rsidRPr="00C85883">
          <w:rPr>
            <w:rFonts w:ascii="Times New Roman" w:hAnsi="Times New Roman" w:cs="Times New Roman"/>
            <w:bCs/>
            <w:lang w:val="en-GB"/>
          </w:rPr>
          <w:fldChar w:fldCharType="begin">
            <w:fldData xml:space="preserve">PEVuZE5vdGU+PENpdGU+PEF1dGhvcj5XYWhsc3RlZHQ8L0F1dGhvcj48WWVhcj4yMDA5PC9ZZWFy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=
</w:fldData>
          </w:fldChar>
        </w:r>
        <w:r w:rsidRPr="00C85883">
          <w:rPr>
            <w:rFonts w:ascii="Times New Roman" w:hAnsi="Times New Roman" w:cs="Times New Roman"/>
            <w:bCs/>
            <w:lang w:val="en-GB"/>
          </w:rPr>
          <w:instrText xml:space="preserve"> ADDIN EN.CITE.DATA </w:instrText>
        </w:r>
        <w:r w:rsidRPr="00C85883">
          <w:rPr>
            <w:rFonts w:ascii="Times New Roman" w:hAnsi="Times New Roman" w:cs="Times New Roman"/>
            <w:bCs/>
            <w:lang w:val="en-GB"/>
          </w:rPr>
        </w:r>
        <w:r w:rsidRPr="00C85883">
          <w:rPr>
            <w:rFonts w:ascii="Times New Roman" w:hAnsi="Times New Roman" w:cs="Times New Roman"/>
            <w:bCs/>
            <w:lang w:val="en-GB"/>
          </w:rPr>
          <w:fldChar w:fldCharType="end"/>
        </w:r>
        <w:r w:rsidRPr="00C85883">
          <w:rPr>
            <w:rFonts w:ascii="Times New Roman" w:hAnsi="Times New Roman" w:cs="Times New Roman"/>
            <w:bCs/>
            <w:lang w:val="en-GB"/>
          </w:rPr>
        </w:r>
        <w:r w:rsidRPr="00C85883">
          <w:rPr>
            <w:rFonts w:ascii="Times New Roman" w:hAnsi="Times New Roman" w:cs="Times New Roman"/>
            <w:bCs/>
            <w:lang w:val="en-GB"/>
          </w:rPr>
          <w:fldChar w:fldCharType="separate"/>
        </w:r>
        <w:r w:rsidRPr="00C85883">
          <w:rPr>
            <w:rFonts w:ascii="Times New Roman" w:hAnsi="Times New Roman" w:cs="Times New Roman"/>
            <w:bCs/>
            <w:noProof/>
            <w:vertAlign w:val="superscript"/>
            <w:lang w:val="en-GB"/>
          </w:rPr>
          <w:t>1</w:t>
        </w:r>
        <w:r w:rsidRPr="00C85883">
          <w:rPr>
            <w:rFonts w:ascii="Times New Roman" w:hAnsi="Times New Roman" w:cs="Times New Roman"/>
            <w:bCs/>
            <w:lang w:val="en-GB"/>
          </w:rPr>
          <w:fldChar w:fldCharType="end"/>
        </w:r>
      </w:hyperlink>
      <w:r w:rsidRPr="00C85883">
        <w:rPr>
          <w:rFonts w:ascii="Times New Roman" w:hAnsi="Times New Roman" w:cs="Times New Roman"/>
          <w:bCs/>
          <w:lang w:val="en-GB"/>
        </w:rPr>
        <w:t>.</w:t>
      </w:r>
    </w:p>
    <w:p w:rsidR="000A5780" w:rsidRPr="00C85883" w:rsidRDefault="000A5780" w:rsidP="00E05761">
      <w:pPr>
        <w:spacing w:after="0" w:line="360" w:lineRule="auto"/>
        <w:jc w:val="both"/>
        <w:rPr>
          <w:rFonts w:ascii="Times New Roman" w:eastAsia="SimSun" w:hAnsi="Times New Roman" w:cs="Times New Roman"/>
          <w:lang w:val="en-GB" w:eastAsia="zh-CN"/>
        </w:rPr>
      </w:pPr>
    </w:p>
    <w:p w:rsidR="00B17F24" w:rsidRPr="000A5780" w:rsidRDefault="000A5780" w:rsidP="00E54452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proofErr w:type="gramStart"/>
      <w:r w:rsidRPr="009A4D5D">
        <w:rPr>
          <w:rFonts w:ascii="Times New Roman" w:eastAsia="SimSun" w:hAnsi="Times New Roman" w:cs="Times New Roman"/>
          <w:b/>
          <w:lang w:val="en-GB" w:eastAsia="zh-CN"/>
        </w:rPr>
        <w:t>Supplementary Figure S4</w:t>
      </w:r>
      <w:r w:rsidRPr="009A4D5D">
        <w:rPr>
          <w:rFonts w:ascii="Times New Roman" w:eastAsia="SimSun" w:hAnsi="Times New Roman" w:cs="Times New Roman"/>
          <w:lang w:val="en-GB" w:eastAsia="zh-CN"/>
        </w:rPr>
        <w:t>.</w:t>
      </w:r>
      <w:proofErr w:type="gramEnd"/>
      <w:r w:rsidRPr="009A4D5D">
        <w:rPr>
          <w:rFonts w:ascii="Times New Roman" w:hAnsi="Times New Roman" w:cs="Times New Roman"/>
          <w:lang w:val="en-GB"/>
        </w:rPr>
        <w:t xml:space="preserve"> </w:t>
      </w:r>
      <w:r w:rsidR="00E54452" w:rsidRPr="009A4D5D">
        <w:rPr>
          <w:rFonts w:ascii="Times New Roman" w:hAnsi="Times New Roman" w:cs="Times New Roman"/>
          <w:lang w:val="en-GB"/>
        </w:rPr>
        <w:t xml:space="preserve">Example of </w:t>
      </w:r>
      <w:proofErr w:type="spellStart"/>
      <w:r w:rsidR="00E54452" w:rsidRPr="009A4D5D">
        <w:rPr>
          <w:rFonts w:ascii="Times New Roman" w:hAnsi="Times New Roman" w:cs="Times New Roman"/>
          <w:lang w:val="en-GB"/>
        </w:rPr>
        <w:t>qPCR</w:t>
      </w:r>
      <w:proofErr w:type="spellEnd"/>
      <w:r w:rsidR="00E54452" w:rsidRPr="009A4D5D">
        <w:rPr>
          <w:rFonts w:ascii="Times New Roman" w:hAnsi="Times New Roman" w:cs="Times New Roman"/>
          <w:lang w:val="en-GB"/>
        </w:rPr>
        <w:t xml:space="preserve"> amplification curves (for SNORD116). Amplification curves for 4 individual samples (smaller panels above) and the entire set of 12 samples (larger panel below) are shown. Each sample was analysed in 3 technical repeats. No reverse transcription controls gave rise to curves shifted to the right relative to cDNA containing samples of equal dilutions. Differences in </w:t>
      </w:r>
      <w:proofErr w:type="spellStart"/>
      <w:r w:rsidR="00E54452" w:rsidRPr="009A4D5D">
        <w:rPr>
          <w:rFonts w:ascii="Times New Roman" w:hAnsi="Times New Roman" w:cs="Times New Roman"/>
          <w:lang w:val="en-GB"/>
        </w:rPr>
        <w:t>Cp</w:t>
      </w:r>
      <w:proofErr w:type="spellEnd"/>
      <w:r w:rsidR="00E54452" w:rsidRPr="009A4D5D">
        <w:rPr>
          <w:rFonts w:ascii="Times New Roman" w:hAnsi="Times New Roman" w:cs="Times New Roman"/>
          <w:lang w:val="en-GB"/>
        </w:rPr>
        <w:t xml:space="preserve"> values between no reverse transcription controls and cognate reverse-transcribed samples were in the range of ~7 to ~16, suggesting genomic DNA contamination relative to RNA levels well below 1%. Green curve</w:t>
      </w:r>
      <w:r w:rsidR="009A4D5D" w:rsidRPr="009A4D5D">
        <w:rPr>
          <w:rFonts w:ascii="Times New Roman" w:hAnsi="Times New Roman" w:cs="Times New Roman"/>
          <w:lang w:val="en-GB"/>
        </w:rPr>
        <w:t>s</w:t>
      </w:r>
      <w:r w:rsidR="00E54452" w:rsidRPr="009A4D5D">
        <w:rPr>
          <w:rFonts w:ascii="Times New Roman" w:hAnsi="Times New Roman" w:cs="Times New Roman"/>
          <w:lang w:val="en-GB"/>
        </w:rPr>
        <w:t xml:space="preserve"> depict no template control.</w:t>
      </w:r>
      <w:r w:rsidR="00B17F24" w:rsidRPr="000A5780">
        <w:rPr>
          <w:rFonts w:ascii="Times New Roman" w:hAnsi="Times New Roman" w:cs="Times New Roman"/>
          <w:b/>
          <w:lang w:val="en-GB"/>
        </w:rPr>
        <w:br w:type="page"/>
      </w:r>
    </w:p>
    <w:p w:rsidR="00B17F24" w:rsidRPr="000A5780" w:rsidRDefault="00B17F24" w:rsidP="00AC2140">
      <w:pPr>
        <w:spacing w:line="480" w:lineRule="auto"/>
        <w:rPr>
          <w:rFonts w:ascii="Times New Roman" w:hAnsi="Times New Roman" w:cs="Times New Roman"/>
          <w:b/>
          <w:lang w:val="en-GB"/>
        </w:rPr>
        <w:sectPr w:rsidR="00B17F24" w:rsidRPr="000A578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18A7" w:rsidRDefault="00C85883">
      <w:pPr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lang w:val="en-GB"/>
        </w:rPr>
        <w:lastRenderedPageBreak/>
        <w:t xml:space="preserve">Supplementary </w:t>
      </w:r>
      <w:r w:rsidR="0086578C">
        <w:rPr>
          <w:rFonts w:ascii="Times New Roman" w:hAnsi="Times New Roman" w:cs="Times New Roman"/>
          <w:b/>
          <w:lang w:val="en-GB"/>
        </w:rPr>
        <w:t>F</w:t>
      </w:r>
      <w:r w:rsidRPr="00C85883">
        <w:rPr>
          <w:rFonts w:ascii="Times New Roman" w:hAnsi="Times New Roman" w:cs="Times New Roman"/>
          <w:b/>
          <w:lang w:val="en-GB"/>
        </w:rPr>
        <w:t>igure</w:t>
      </w:r>
      <w:r w:rsidR="008A18A7" w:rsidRPr="00C85883">
        <w:rPr>
          <w:rFonts w:ascii="Times New Roman" w:hAnsi="Times New Roman" w:cs="Times New Roman"/>
          <w:b/>
          <w:lang w:val="en-GB"/>
        </w:rPr>
        <w:t xml:space="preserve"> S</w:t>
      </w:r>
      <w:r w:rsidRPr="00C85883">
        <w:rPr>
          <w:rFonts w:ascii="Times New Roman" w:hAnsi="Times New Roman" w:cs="Times New Roman"/>
          <w:b/>
          <w:lang w:val="en-GB"/>
        </w:rPr>
        <w:t>1</w:t>
      </w:r>
    </w:p>
    <w:p w:rsidR="00C85883" w:rsidRPr="00C85883" w:rsidRDefault="00C85883">
      <w:pPr>
        <w:rPr>
          <w:rFonts w:ascii="Times New Roman" w:hAnsi="Times New Roman" w:cs="Times New Roman"/>
          <w:b/>
          <w:lang w:val="en-GB"/>
        </w:rPr>
      </w:pPr>
    </w:p>
    <w:p w:rsidR="008A18A7" w:rsidRPr="00C85883" w:rsidRDefault="009B24D8" w:rsidP="009B24D8">
      <w:pPr>
        <w:jc w:val="center"/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noProof/>
          <w:lang w:eastAsia="sl-SI"/>
        </w:rPr>
        <w:drawing>
          <wp:inline distT="0" distB="0" distL="0" distR="0" wp14:anchorId="71D34345" wp14:editId="50C895FE">
            <wp:extent cx="8973820" cy="46818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820" cy="468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8A7" w:rsidRPr="00C85883" w:rsidRDefault="008A18A7">
      <w:pPr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lang w:val="en-GB"/>
        </w:rPr>
        <w:br w:type="page"/>
      </w:r>
    </w:p>
    <w:p w:rsidR="008A18A7" w:rsidRDefault="00C85883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 xml:space="preserve">Supplementary </w:t>
      </w:r>
      <w:r w:rsidR="0086578C">
        <w:rPr>
          <w:rFonts w:ascii="Times New Roman" w:hAnsi="Times New Roman" w:cs="Times New Roman"/>
          <w:b/>
          <w:lang w:val="en-GB"/>
        </w:rPr>
        <w:t>F</w:t>
      </w:r>
      <w:r>
        <w:rPr>
          <w:rFonts w:ascii="Times New Roman" w:hAnsi="Times New Roman" w:cs="Times New Roman"/>
          <w:b/>
          <w:lang w:val="en-GB"/>
        </w:rPr>
        <w:t>igure S2</w:t>
      </w:r>
    </w:p>
    <w:p w:rsidR="00C85883" w:rsidRPr="00C85883" w:rsidRDefault="00C85883">
      <w:pPr>
        <w:rPr>
          <w:rFonts w:ascii="Times New Roman" w:hAnsi="Times New Roman" w:cs="Times New Roman"/>
          <w:b/>
          <w:lang w:val="en-GB"/>
        </w:rPr>
      </w:pPr>
    </w:p>
    <w:p w:rsidR="00C30478" w:rsidRPr="00C85883" w:rsidRDefault="00C30478" w:rsidP="00C30478">
      <w:pPr>
        <w:jc w:val="center"/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noProof/>
          <w:lang w:eastAsia="sl-SI"/>
        </w:rPr>
        <w:drawing>
          <wp:inline distT="0" distB="0" distL="0" distR="0" wp14:anchorId="3A2F08B7" wp14:editId="396E2D59">
            <wp:extent cx="4053600" cy="2433600"/>
            <wp:effectExtent l="0" t="0" r="444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24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5883">
        <w:rPr>
          <w:rFonts w:ascii="Times New Roman" w:hAnsi="Times New Roman" w:cs="Times New Roman"/>
          <w:b/>
          <w:lang w:val="en-GB"/>
        </w:rPr>
        <w:t xml:space="preserve">   </w:t>
      </w:r>
      <w:r w:rsidRPr="00C85883">
        <w:rPr>
          <w:rFonts w:ascii="Times New Roman" w:hAnsi="Times New Roman" w:cs="Times New Roman"/>
          <w:b/>
          <w:noProof/>
          <w:lang w:eastAsia="sl-SI"/>
        </w:rPr>
        <w:drawing>
          <wp:inline distT="0" distB="0" distL="0" distR="0" wp14:anchorId="52CE7324" wp14:editId="552414AD">
            <wp:extent cx="4053600" cy="2433600"/>
            <wp:effectExtent l="0" t="0" r="444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24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8A7" w:rsidRPr="00C85883" w:rsidRDefault="008A18A7" w:rsidP="008A18A7">
      <w:pPr>
        <w:jc w:val="center"/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lang w:val="en-GB"/>
        </w:rPr>
        <w:br w:type="page"/>
      </w:r>
    </w:p>
    <w:p w:rsidR="00C85883" w:rsidRPr="00C85883" w:rsidRDefault="00C85883" w:rsidP="000B2450">
      <w:pPr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lang w:val="en-GB"/>
        </w:rPr>
        <w:lastRenderedPageBreak/>
        <w:t xml:space="preserve">Supplementary </w:t>
      </w:r>
      <w:r w:rsidR="0086578C">
        <w:rPr>
          <w:rFonts w:ascii="Times New Roman" w:hAnsi="Times New Roman" w:cs="Times New Roman"/>
          <w:b/>
          <w:lang w:val="en-GB"/>
        </w:rPr>
        <w:t>F</w:t>
      </w:r>
      <w:r w:rsidRPr="00C85883">
        <w:rPr>
          <w:rFonts w:ascii="Times New Roman" w:hAnsi="Times New Roman" w:cs="Times New Roman"/>
          <w:b/>
          <w:lang w:val="en-GB"/>
        </w:rPr>
        <w:t>igure S</w:t>
      </w:r>
      <w:r>
        <w:rPr>
          <w:rFonts w:ascii="Times New Roman" w:hAnsi="Times New Roman" w:cs="Times New Roman"/>
          <w:b/>
          <w:lang w:val="en-GB"/>
        </w:rPr>
        <w:t>3</w:t>
      </w:r>
    </w:p>
    <w:p w:rsidR="00B772B3" w:rsidRDefault="00C30478" w:rsidP="00C30478">
      <w:pPr>
        <w:spacing w:after="0"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noProof/>
          <w:lang w:eastAsia="sl-SI"/>
        </w:rPr>
        <w:drawing>
          <wp:inline distT="0" distB="0" distL="0" distR="0" wp14:anchorId="643A2090" wp14:editId="25002DD9">
            <wp:extent cx="3733800" cy="251447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93" cy="2520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2B3" w:rsidRDefault="00B772B3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:rsidR="00B772B3" w:rsidRPr="00EE5B2E" w:rsidRDefault="00B772B3" w:rsidP="00B772B3">
      <w:pPr>
        <w:rPr>
          <w:rFonts w:ascii="Times New Roman" w:hAnsi="Times New Roman" w:cs="Times New Roman"/>
          <w:b/>
          <w:lang w:val="en-GB"/>
        </w:rPr>
      </w:pPr>
      <w:bookmarkStart w:id="0" w:name="_GoBack"/>
      <w:r w:rsidRPr="00EE5B2E">
        <w:rPr>
          <w:rFonts w:ascii="Times New Roman" w:hAnsi="Times New Roman" w:cs="Times New Roman"/>
          <w:b/>
          <w:lang w:val="en-GB"/>
        </w:rPr>
        <w:lastRenderedPageBreak/>
        <w:t>Supplementary Figure S4</w:t>
      </w:r>
    </w:p>
    <w:bookmarkEnd w:id="0"/>
    <w:p w:rsidR="00B772B3" w:rsidRDefault="00E54452" w:rsidP="00E54452">
      <w:pPr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eastAsia="sl-SI"/>
        </w:rPr>
        <w:drawing>
          <wp:inline distT="0" distB="0" distL="0" distR="0" wp14:anchorId="12B2DC18">
            <wp:extent cx="3688715" cy="467614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467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478" w:rsidRPr="00C85883" w:rsidRDefault="00C30478" w:rsidP="00C30478">
      <w:pPr>
        <w:spacing w:after="0" w:line="360" w:lineRule="auto"/>
        <w:jc w:val="center"/>
        <w:rPr>
          <w:rFonts w:ascii="Times New Roman" w:hAnsi="Times New Roman" w:cs="Times New Roman"/>
          <w:b/>
          <w:lang w:val="en-GB"/>
        </w:rPr>
        <w:sectPr w:rsidR="00C30478" w:rsidRPr="00C85883" w:rsidSect="009B24D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C0A14" w:rsidRPr="00C85883" w:rsidRDefault="00084632" w:rsidP="00A004E4">
      <w:pPr>
        <w:spacing w:line="360" w:lineRule="auto"/>
        <w:rPr>
          <w:rFonts w:ascii="Times New Roman" w:eastAsia="SimSun" w:hAnsi="Times New Roman" w:cs="Times New Roman"/>
          <w:b/>
          <w:lang w:val="en-GB" w:eastAsia="zh-CN"/>
        </w:rPr>
      </w:pPr>
      <w:r w:rsidRPr="00C85883">
        <w:rPr>
          <w:rFonts w:ascii="Times New Roman" w:eastAsia="SimSun" w:hAnsi="Times New Roman" w:cs="Times New Roman"/>
          <w:b/>
          <w:lang w:val="en-GB" w:eastAsia="zh-CN"/>
        </w:rPr>
        <w:lastRenderedPageBreak/>
        <w:t>Reference</w:t>
      </w:r>
    </w:p>
    <w:p w:rsidR="00C85883" w:rsidRPr="00C85883" w:rsidRDefault="00C85883" w:rsidP="00A004E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lang w:val="en-GB"/>
        </w:rPr>
      </w:pPr>
      <w:r w:rsidRPr="00C85883">
        <w:rPr>
          <w:rFonts w:ascii="Times New Roman" w:hAnsi="Times New Roman" w:cs="Times New Roman"/>
          <w:b/>
          <w:lang w:val="en-GB"/>
        </w:rPr>
        <w:fldChar w:fldCharType="begin"/>
      </w:r>
      <w:r w:rsidRPr="00C85883">
        <w:rPr>
          <w:rFonts w:ascii="Times New Roman" w:hAnsi="Times New Roman" w:cs="Times New Roman"/>
          <w:b/>
          <w:lang w:val="en-GB"/>
        </w:rPr>
        <w:instrText xml:space="preserve"> ADDIN EN.REFLIST </w:instrText>
      </w:r>
      <w:r w:rsidRPr="00C85883">
        <w:rPr>
          <w:rFonts w:ascii="Times New Roman" w:hAnsi="Times New Roman" w:cs="Times New Roman"/>
          <w:b/>
          <w:lang w:val="en-GB"/>
        </w:rPr>
        <w:fldChar w:fldCharType="separate"/>
      </w:r>
      <w:bookmarkStart w:id="1" w:name="_ENREF_1"/>
      <w:r w:rsidRPr="00C85883">
        <w:rPr>
          <w:rFonts w:ascii="Times New Roman" w:hAnsi="Times New Roman" w:cs="Times New Roman"/>
          <w:noProof/>
          <w:lang w:val="en-GB"/>
        </w:rPr>
        <w:t>1</w:t>
      </w:r>
      <w:r w:rsidR="0086578C">
        <w:rPr>
          <w:rFonts w:ascii="Times New Roman" w:hAnsi="Times New Roman" w:cs="Times New Roman"/>
          <w:noProof/>
          <w:lang w:val="en-GB"/>
        </w:rPr>
        <w:t>.</w:t>
      </w:r>
      <w:r w:rsidRPr="00C85883">
        <w:rPr>
          <w:rFonts w:ascii="Times New Roman" w:hAnsi="Times New Roman" w:cs="Times New Roman"/>
          <w:noProof/>
          <w:lang w:val="en-GB"/>
        </w:rPr>
        <w:tab/>
        <w:t xml:space="preserve">Wahlstedt, H., Daniel, C., Enstero, M. &amp; Ohman, M. Large-scale mRNA sequencing determines global regulation of RNA editing during brain development. </w:t>
      </w:r>
      <w:r w:rsidRPr="00C85883">
        <w:rPr>
          <w:rFonts w:ascii="Times New Roman" w:hAnsi="Times New Roman" w:cs="Times New Roman"/>
          <w:i/>
          <w:noProof/>
          <w:lang w:val="en-GB"/>
        </w:rPr>
        <w:t>Genome Res</w:t>
      </w:r>
      <w:r w:rsidRPr="00C85883">
        <w:rPr>
          <w:rFonts w:ascii="Times New Roman" w:hAnsi="Times New Roman" w:cs="Times New Roman"/>
          <w:noProof/>
          <w:lang w:val="en-GB"/>
        </w:rPr>
        <w:t xml:space="preserve"> 19, 978-986 (2009).</w:t>
      </w:r>
      <w:bookmarkEnd w:id="1"/>
    </w:p>
    <w:p w:rsidR="00C85883" w:rsidRPr="00C85883" w:rsidRDefault="00C85883" w:rsidP="00A004E4">
      <w:pPr>
        <w:spacing w:after="0" w:line="360" w:lineRule="auto"/>
        <w:rPr>
          <w:rFonts w:ascii="Times New Roman" w:hAnsi="Times New Roman" w:cs="Times New Roman"/>
          <w:b/>
          <w:noProof/>
          <w:lang w:val="en-GB"/>
        </w:rPr>
      </w:pPr>
    </w:p>
    <w:p w:rsidR="002B3603" w:rsidRPr="00C85883" w:rsidRDefault="00C85883" w:rsidP="00A004E4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C85883">
        <w:rPr>
          <w:rFonts w:ascii="Times New Roman" w:hAnsi="Times New Roman" w:cs="Times New Roman"/>
          <w:b/>
          <w:lang w:val="en-GB"/>
        </w:rPr>
        <w:fldChar w:fldCharType="end"/>
      </w:r>
    </w:p>
    <w:sectPr w:rsidR="002B3603" w:rsidRPr="00C85883" w:rsidSect="002B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75" w:rsidRDefault="00401F75" w:rsidP="003E796B">
      <w:pPr>
        <w:spacing w:after="0" w:line="240" w:lineRule="auto"/>
      </w:pPr>
      <w:r>
        <w:separator/>
      </w:r>
    </w:p>
  </w:endnote>
  <w:endnote w:type="continuationSeparator" w:id="0">
    <w:p w:rsidR="00401F75" w:rsidRDefault="00401F75" w:rsidP="003E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543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E796B" w:rsidRPr="003E796B" w:rsidRDefault="003E796B">
        <w:pPr>
          <w:pStyle w:val="Footer"/>
          <w:jc w:val="center"/>
          <w:rPr>
            <w:rFonts w:ascii="Times New Roman" w:hAnsi="Times New Roman" w:cs="Times New Roman"/>
          </w:rPr>
        </w:pPr>
        <w:r w:rsidRPr="003E796B">
          <w:rPr>
            <w:rFonts w:ascii="Times New Roman" w:hAnsi="Times New Roman" w:cs="Times New Roman"/>
          </w:rPr>
          <w:fldChar w:fldCharType="begin"/>
        </w:r>
        <w:r w:rsidRPr="003E796B">
          <w:rPr>
            <w:rFonts w:ascii="Times New Roman" w:hAnsi="Times New Roman" w:cs="Times New Roman"/>
          </w:rPr>
          <w:instrText>PAGE   \* MERGEFORMAT</w:instrText>
        </w:r>
        <w:r w:rsidRPr="003E796B">
          <w:rPr>
            <w:rFonts w:ascii="Times New Roman" w:hAnsi="Times New Roman" w:cs="Times New Roman"/>
          </w:rPr>
          <w:fldChar w:fldCharType="separate"/>
        </w:r>
        <w:r w:rsidR="00EE5B2E">
          <w:rPr>
            <w:rFonts w:ascii="Times New Roman" w:hAnsi="Times New Roman" w:cs="Times New Roman"/>
            <w:noProof/>
          </w:rPr>
          <w:t>1</w:t>
        </w:r>
        <w:r w:rsidRPr="003E796B">
          <w:rPr>
            <w:rFonts w:ascii="Times New Roman" w:hAnsi="Times New Roman" w:cs="Times New Roman"/>
          </w:rPr>
          <w:fldChar w:fldCharType="end"/>
        </w:r>
      </w:p>
    </w:sdtContent>
  </w:sdt>
  <w:p w:rsidR="003E796B" w:rsidRDefault="003E7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75" w:rsidRDefault="00401F75" w:rsidP="003E796B">
      <w:pPr>
        <w:spacing w:after="0" w:line="240" w:lineRule="auto"/>
      </w:pPr>
      <w:r>
        <w:separator/>
      </w:r>
    </w:p>
  </w:footnote>
  <w:footnote w:type="continuationSeparator" w:id="0">
    <w:p w:rsidR="00401F75" w:rsidRDefault="00401F75" w:rsidP="003E7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 Scientific Report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522rfp27radavetwx45rtrpsprseerspfz2&quot;&gt;5ht2c-Saved-Saved-Saved&lt;record-ids&gt;&lt;item&gt;96&lt;/item&gt;&lt;/record-ids&gt;&lt;/item&gt;&lt;/Libraries&gt;"/>
  </w:docVars>
  <w:rsids>
    <w:rsidRoot w:val="00A733EE"/>
    <w:rsid w:val="00011085"/>
    <w:rsid w:val="00084632"/>
    <w:rsid w:val="000A5780"/>
    <w:rsid w:val="000B2450"/>
    <w:rsid w:val="00256A0B"/>
    <w:rsid w:val="002B3603"/>
    <w:rsid w:val="002D6802"/>
    <w:rsid w:val="002F78DA"/>
    <w:rsid w:val="00346D0F"/>
    <w:rsid w:val="0038022E"/>
    <w:rsid w:val="003E796B"/>
    <w:rsid w:val="00401F75"/>
    <w:rsid w:val="00415F44"/>
    <w:rsid w:val="00443CB7"/>
    <w:rsid w:val="0049019E"/>
    <w:rsid w:val="00491F41"/>
    <w:rsid w:val="00573E3A"/>
    <w:rsid w:val="00633E8B"/>
    <w:rsid w:val="00705AB7"/>
    <w:rsid w:val="00731F2F"/>
    <w:rsid w:val="0075040E"/>
    <w:rsid w:val="0081542A"/>
    <w:rsid w:val="00857298"/>
    <w:rsid w:val="0086578C"/>
    <w:rsid w:val="0089340F"/>
    <w:rsid w:val="008A18A7"/>
    <w:rsid w:val="008B27FB"/>
    <w:rsid w:val="00954B1F"/>
    <w:rsid w:val="009805C1"/>
    <w:rsid w:val="009A4D5D"/>
    <w:rsid w:val="009B24D8"/>
    <w:rsid w:val="009F2326"/>
    <w:rsid w:val="00A004E4"/>
    <w:rsid w:val="00A733EE"/>
    <w:rsid w:val="00AC2140"/>
    <w:rsid w:val="00B17F24"/>
    <w:rsid w:val="00B772B3"/>
    <w:rsid w:val="00B834F6"/>
    <w:rsid w:val="00BB2D22"/>
    <w:rsid w:val="00C30478"/>
    <w:rsid w:val="00C5705C"/>
    <w:rsid w:val="00C85883"/>
    <w:rsid w:val="00CC57EE"/>
    <w:rsid w:val="00D67671"/>
    <w:rsid w:val="00E02060"/>
    <w:rsid w:val="00E05761"/>
    <w:rsid w:val="00E54452"/>
    <w:rsid w:val="00EC0A14"/>
    <w:rsid w:val="00E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F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96B"/>
  </w:style>
  <w:style w:type="paragraph" w:styleId="Footer">
    <w:name w:val="footer"/>
    <w:basedOn w:val="Normal"/>
    <w:link w:val="FooterChar"/>
    <w:uiPriority w:val="99"/>
    <w:unhideWhenUsed/>
    <w:rsid w:val="003E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96B"/>
  </w:style>
  <w:style w:type="character" w:styleId="Hyperlink">
    <w:name w:val="Hyperlink"/>
    <w:basedOn w:val="DefaultParagraphFont"/>
    <w:uiPriority w:val="99"/>
    <w:unhideWhenUsed/>
    <w:rsid w:val="00C85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F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96B"/>
  </w:style>
  <w:style w:type="paragraph" w:styleId="Footer">
    <w:name w:val="footer"/>
    <w:basedOn w:val="Normal"/>
    <w:link w:val="FooterChar"/>
    <w:uiPriority w:val="99"/>
    <w:unhideWhenUsed/>
    <w:rsid w:val="003E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96B"/>
  </w:style>
  <w:style w:type="character" w:styleId="Hyperlink">
    <w:name w:val="Hyperlink"/>
    <w:basedOn w:val="DefaultParagraphFont"/>
    <w:uiPriority w:val="99"/>
    <w:unhideWhenUsed/>
    <w:rsid w:val="00C85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boris.rogelj@ijs.si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Bratkovič, Tomaž</dc:creator>
  <cp:lastModifiedBy>Bratkovič, Tomaž</cp:lastModifiedBy>
  <cp:revision>5</cp:revision>
  <cp:lastPrinted>2017-08-17T14:02:00Z</cp:lastPrinted>
  <dcterms:created xsi:type="dcterms:W3CDTF">2018-01-24T15:21:00Z</dcterms:created>
  <dcterms:modified xsi:type="dcterms:W3CDTF">2018-01-24T18:11:00Z</dcterms:modified>
</cp:coreProperties>
</file>