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1A" w:rsidRPr="007F7FF5" w:rsidRDefault="00FB21A4">
      <w:pPr>
        <w:pStyle w:val="Articletitle"/>
        <w:rPr>
          <w:color w:val="000000" w:themeColor="text1"/>
        </w:rPr>
      </w:pPr>
      <w:bookmarkStart w:id="0" w:name="_GoBack"/>
      <w:r w:rsidRPr="007F7FF5">
        <w:rPr>
          <w:rFonts w:ascii="Times New Roman" w:hAnsi="Times New Roman"/>
          <w:color w:val="000000" w:themeColor="text1"/>
          <w:szCs w:val="26"/>
          <w:lang w:val="en-GB"/>
        </w:rPr>
        <w:t xml:space="preserve">Field CalibRation of a </w:t>
      </w:r>
      <w:r w:rsidR="00FF4343" w:rsidRPr="007F7FF5">
        <w:rPr>
          <w:rFonts w:ascii="Times New Roman" w:hAnsi="Times New Roman"/>
          <w:color w:val="000000" w:themeColor="text1"/>
          <w:szCs w:val="26"/>
          <w:lang w:val="en-GB"/>
        </w:rPr>
        <w:t>TLD albed</w:t>
      </w:r>
      <w:bookmarkEnd w:id="0"/>
      <w:r w:rsidR="00FF4343" w:rsidRPr="007F7FF5">
        <w:rPr>
          <w:rFonts w:ascii="Times New Roman" w:hAnsi="Times New Roman"/>
          <w:color w:val="000000" w:themeColor="text1"/>
          <w:szCs w:val="26"/>
          <w:lang w:val="en-GB"/>
        </w:rPr>
        <w:t xml:space="preserve">o </w:t>
      </w:r>
      <w:r w:rsidR="00EB5933" w:rsidRPr="007F7FF5">
        <w:rPr>
          <w:rFonts w:ascii="Times New Roman" w:hAnsi="Times New Roman"/>
          <w:color w:val="000000" w:themeColor="text1"/>
          <w:szCs w:val="26"/>
          <w:lang w:val="en-GB"/>
        </w:rPr>
        <w:t>DosE</w:t>
      </w:r>
      <w:r w:rsidRPr="007F7FF5">
        <w:rPr>
          <w:rFonts w:ascii="Times New Roman" w:hAnsi="Times New Roman"/>
          <w:color w:val="000000" w:themeColor="text1"/>
          <w:szCs w:val="26"/>
          <w:lang w:val="en-GB"/>
        </w:rPr>
        <w:t xml:space="preserve">meter </w:t>
      </w:r>
      <w:r w:rsidR="00014D28" w:rsidRPr="007F7FF5">
        <w:rPr>
          <w:rFonts w:ascii="Times New Roman" w:hAnsi="Times New Roman"/>
          <w:color w:val="000000" w:themeColor="text1"/>
          <w:szCs w:val="26"/>
          <w:lang w:val="en-GB"/>
        </w:rPr>
        <w:t xml:space="preserve">in the </w:t>
      </w:r>
      <w:r w:rsidR="007E165A" w:rsidRPr="007F7FF5">
        <w:rPr>
          <w:rFonts w:ascii="Times New Roman" w:hAnsi="Times New Roman"/>
          <w:color w:val="000000" w:themeColor="text1"/>
          <w:szCs w:val="26"/>
          <w:lang w:val="en-GB"/>
        </w:rPr>
        <w:t>high-energy neutron</w:t>
      </w:r>
      <w:r w:rsidR="00014D28" w:rsidRPr="007F7FF5">
        <w:rPr>
          <w:rFonts w:ascii="Times New Roman" w:hAnsi="Times New Roman"/>
          <w:color w:val="000000" w:themeColor="text1"/>
          <w:szCs w:val="26"/>
          <w:lang w:val="en-GB"/>
        </w:rPr>
        <w:t xml:space="preserve"> Field</w:t>
      </w:r>
      <w:r w:rsidR="007E165A" w:rsidRPr="007F7FF5">
        <w:rPr>
          <w:rFonts w:ascii="Times New Roman" w:hAnsi="Times New Roman"/>
          <w:color w:val="000000" w:themeColor="text1"/>
          <w:szCs w:val="26"/>
          <w:lang w:val="en-GB"/>
        </w:rPr>
        <w:t xml:space="preserve"> </w:t>
      </w:r>
      <w:r w:rsidR="00014D28" w:rsidRPr="007F7FF5">
        <w:rPr>
          <w:rFonts w:ascii="Times New Roman" w:hAnsi="Times New Roman"/>
          <w:color w:val="000000" w:themeColor="text1"/>
          <w:szCs w:val="26"/>
          <w:lang w:val="en-GB"/>
        </w:rPr>
        <w:t>of</w:t>
      </w:r>
      <w:r w:rsidR="007E165A" w:rsidRPr="007F7FF5">
        <w:rPr>
          <w:rFonts w:ascii="Times New Roman" w:hAnsi="Times New Roman"/>
          <w:color w:val="000000" w:themeColor="text1"/>
          <w:szCs w:val="26"/>
          <w:lang w:val="en-GB"/>
        </w:rPr>
        <w:t xml:space="preserve"> CERF</w:t>
      </w:r>
    </w:p>
    <w:p w:rsidR="00D859B4" w:rsidRPr="007F7FF5" w:rsidRDefault="006F3E96">
      <w:pPr>
        <w:pStyle w:val="Authorname"/>
        <w:rPr>
          <w:color w:val="000000" w:themeColor="text1"/>
          <w:vertAlign w:val="superscript"/>
          <w:lang w:val="de-DE"/>
        </w:rPr>
      </w:pPr>
      <w:r w:rsidRPr="007F7FF5">
        <w:rPr>
          <w:rFonts w:ascii="Times New Roman" w:hAnsi="Times New Roman"/>
          <w:color w:val="000000" w:themeColor="text1"/>
          <w:szCs w:val="18"/>
          <w:lang w:val="de-DE"/>
        </w:rPr>
        <w:t>T. Haninger</w:t>
      </w:r>
      <w:r w:rsidRPr="007F7FF5">
        <w:rPr>
          <w:color w:val="000000" w:themeColor="text1"/>
          <w:vertAlign w:val="superscript"/>
          <w:lang w:val="de-DE"/>
        </w:rPr>
        <w:t xml:space="preserve"> </w:t>
      </w:r>
      <w:r w:rsidR="00C4401A" w:rsidRPr="007F7FF5">
        <w:rPr>
          <w:color w:val="000000" w:themeColor="text1"/>
          <w:vertAlign w:val="superscript"/>
          <w:lang w:val="de-DE"/>
        </w:rPr>
        <w:t>1,*</w:t>
      </w:r>
      <w:r w:rsidRPr="007F7FF5">
        <w:rPr>
          <w:rFonts w:ascii="Times New Roman" w:hAnsi="Times New Roman"/>
          <w:color w:val="000000" w:themeColor="text1"/>
          <w:szCs w:val="18"/>
          <w:lang w:val="de-DE"/>
        </w:rPr>
        <w:t xml:space="preserve">, </w:t>
      </w:r>
      <w:r w:rsidR="00FB21A4" w:rsidRPr="007F7FF5">
        <w:rPr>
          <w:rFonts w:ascii="Times New Roman" w:hAnsi="Times New Roman"/>
          <w:color w:val="000000" w:themeColor="text1"/>
          <w:szCs w:val="18"/>
          <w:lang w:val="de-DE"/>
        </w:rPr>
        <w:t>P. Kleinau</w:t>
      </w:r>
      <w:r w:rsidR="00FB21A4" w:rsidRPr="007F7FF5">
        <w:rPr>
          <w:rFonts w:ascii="Times New Roman" w:hAnsi="Times New Roman"/>
          <w:color w:val="000000" w:themeColor="text1"/>
          <w:szCs w:val="18"/>
          <w:vertAlign w:val="superscript"/>
          <w:lang w:val="de-DE"/>
        </w:rPr>
        <w:t>1</w:t>
      </w:r>
      <w:r w:rsidR="00FB21A4" w:rsidRPr="007F7FF5">
        <w:rPr>
          <w:rFonts w:ascii="Times New Roman" w:hAnsi="Times New Roman"/>
          <w:color w:val="000000" w:themeColor="text1"/>
          <w:szCs w:val="18"/>
          <w:lang w:val="de-DE"/>
        </w:rPr>
        <w:t xml:space="preserve"> </w:t>
      </w:r>
      <w:proofErr w:type="spellStart"/>
      <w:r w:rsidR="00FB21A4" w:rsidRPr="007F7FF5">
        <w:rPr>
          <w:rFonts w:ascii="Times New Roman" w:hAnsi="Times New Roman"/>
          <w:color w:val="000000" w:themeColor="text1"/>
          <w:szCs w:val="18"/>
          <w:lang w:val="de-DE"/>
        </w:rPr>
        <w:t>and</w:t>
      </w:r>
      <w:proofErr w:type="spellEnd"/>
      <w:r w:rsidR="00FB21A4" w:rsidRPr="007F7FF5">
        <w:rPr>
          <w:rFonts w:ascii="Times New Roman" w:hAnsi="Times New Roman"/>
          <w:color w:val="000000" w:themeColor="text1"/>
          <w:szCs w:val="18"/>
          <w:lang w:val="de-DE"/>
        </w:rPr>
        <w:t xml:space="preserve"> S. Haninger</w:t>
      </w:r>
      <w:r w:rsidR="00FB21A4" w:rsidRPr="007F7FF5">
        <w:rPr>
          <w:rFonts w:ascii="Times New Roman" w:hAnsi="Times New Roman"/>
          <w:color w:val="000000" w:themeColor="text1"/>
          <w:szCs w:val="18"/>
          <w:vertAlign w:val="superscript"/>
          <w:lang w:val="de-DE"/>
        </w:rPr>
        <w:t>1</w:t>
      </w:r>
    </w:p>
    <w:p w:rsidR="00C4401A" w:rsidRPr="007F7FF5" w:rsidRDefault="006F3E96" w:rsidP="00400E84">
      <w:pPr>
        <w:pStyle w:val="Affiliation"/>
        <w:rPr>
          <w:color w:val="000000" w:themeColor="text1"/>
          <w:szCs w:val="18"/>
        </w:rPr>
      </w:pPr>
      <w:r w:rsidRPr="007F7FF5">
        <w:rPr>
          <w:rFonts w:ascii="Times New Roman" w:hAnsi="Times New Roman"/>
          <w:color w:val="000000" w:themeColor="text1"/>
          <w:szCs w:val="18"/>
          <w:vertAlign w:val="superscript"/>
          <w:lang w:val="en-GB"/>
        </w:rPr>
        <w:t>1</w:t>
      </w:r>
      <w:r w:rsidRPr="007F7FF5">
        <w:rPr>
          <w:rFonts w:ascii="Times New Roman" w:hAnsi="Times New Roman"/>
          <w:color w:val="000000" w:themeColor="text1"/>
          <w:szCs w:val="18"/>
          <w:lang w:val="en-GB"/>
        </w:rPr>
        <w:t>H</w:t>
      </w:r>
      <w:r w:rsidR="00FF4343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elmholtz Zentrum </w:t>
      </w:r>
      <w:proofErr w:type="spellStart"/>
      <w:r w:rsidR="00FF4343" w:rsidRPr="007F7FF5">
        <w:rPr>
          <w:rFonts w:ascii="Times New Roman" w:hAnsi="Times New Roman"/>
          <w:color w:val="000000" w:themeColor="text1"/>
          <w:szCs w:val="18"/>
          <w:lang w:val="en-GB"/>
        </w:rPr>
        <w:t>München</w:t>
      </w:r>
      <w:proofErr w:type="spellEnd"/>
      <w:r w:rsidR="00FF4343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, German Research </w:t>
      </w:r>
      <w:proofErr w:type="spellStart"/>
      <w:r w:rsidR="00FF4343" w:rsidRPr="007F7FF5">
        <w:rPr>
          <w:rFonts w:ascii="Times New Roman" w:hAnsi="Times New Roman"/>
          <w:color w:val="000000" w:themeColor="text1"/>
          <w:szCs w:val="18"/>
          <w:lang w:val="en-GB"/>
        </w:rPr>
        <w:t>Center</w:t>
      </w:r>
      <w:proofErr w:type="spellEnd"/>
      <w:r w:rsidR="00FF4343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 for Environmental Health, </w:t>
      </w:r>
      <w:r w:rsidR="00FD3AD3" w:rsidRPr="007F7FF5">
        <w:rPr>
          <w:rFonts w:ascii="Times New Roman" w:hAnsi="Times New Roman"/>
          <w:color w:val="000000" w:themeColor="text1"/>
          <w:szCs w:val="18"/>
          <w:lang w:val="en-GB"/>
        </w:rPr>
        <w:t>Individual</w:t>
      </w:r>
      <w:r w:rsidR="00FF4343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 Monitoring Se</w:t>
      </w:r>
      <w:r w:rsidR="00FF4343" w:rsidRPr="007F7FF5">
        <w:rPr>
          <w:rFonts w:ascii="Times New Roman" w:hAnsi="Times New Roman"/>
          <w:color w:val="000000" w:themeColor="text1"/>
          <w:szCs w:val="18"/>
          <w:lang w:val="en-GB"/>
        </w:rPr>
        <w:t>r</w:t>
      </w:r>
      <w:r w:rsidR="00FF4343" w:rsidRPr="007F7FF5">
        <w:rPr>
          <w:rFonts w:ascii="Times New Roman" w:hAnsi="Times New Roman"/>
          <w:color w:val="000000" w:themeColor="text1"/>
          <w:szCs w:val="18"/>
          <w:lang w:val="en-GB"/>
        </w:rPr>
        <w:t>vice, Otto-Hahn-Ring 6, D-81739 München, Germany</w:t>
      </w:r>
      <w:r w:rsidR="00FF4343" w:rsidRPr="007F7FF5">
        <w:rPr>
          <w:color w:val="000000" w:themeColor="text1"/>
          <w:szCs w:val="18"/>
        </w:rPr>
        <w:t xml:space="preserve"> </w:t>
      </w:r>
    </w:p>
    <w:p w:rsidR="00C4401A" w:rsidRPr="007F7FF5" w:rsidRDefault="00C4401A">
      <w:pPr>
        <w:pStyle w:val="History"/>
        <w:rPr>
          <w:color w:val="000000" w:themeColor="text1"/>
        </w:rPr>
      </w:pPr>
      <w:r w:rsidRPr="007F7FF5">
        <w:rPr>
          <w:color w:val="000000" w:themeColor="text1"/>
        </w:rPr>
        <w:t xml:space="preserve">Received </w:t>
      </w:r>
      <w:r w:rsidR="005F3B7A" w:rsidRPr="007F7FF5">
        <w:rPr>
          <w:color w:val="000000" w:themeColor="text1"/>
        </w:rPr>
        <w:t>month date year</w:t>
      </w:r>
      <w:r w:rsidRPr="007F7FF5">
        <w:rPr>
          <w:color w:val="000000" w:themeColor="text1"/>
        </w:rPr>
        <w:t xml:space="preserve">, amended </w:t>
      </w:r>
      <w:r w:rsidR="005F3B7A" w:rsidRPr="007F7FF5">
        <w:rPr>
          <w:color w:val="000000" w:themeColor="text1"/>
        </w:rPr>
        <w:t>month date year</w:t>
      </w:r>
      <w:r w:rsidRPr="007F7FF5">
        <w:rPr>
          <w:color w:val="000000" w:themeColor="text1"/>
        </w:rPr>
        <w:t xml:space="preserve">, accepted </w:t>
      </w:r>
      <w:r w:rsidR="005F3B7A" w:rsidRPr="007F7FF5">
        <w:rPr>
          <w:color w:val="000000" w:themeColor="text1"/>
        </w:rPr>
        <w:t>month date year</w:t>
      </w:r>
    </w:p>
    <w:p w:rsidR="00C4401A" w:rsidRPr="007F7FF5" w:rsidRDefault="004138A9">
      <w:pPr>
        <w:pStyle w:val="Abstract"/>
        <w:rPr>
          <w:rFonts w:ascii="Times New Roman" w:hAnsi="Times New Roman"/>
          <w:color w:val="000000" w:themeColor="text1"/>
          <w:szCs w:val="16"/>
          <w:lang w:val="en-GB"/>
        </w:rPr>
      </w:pPr>
      <w:r w:rsidRPr="007F7FF5">
        <w:rPr>
          <w:rFonts w:ascii="Times New Roman" w:hAnsi="Times New Roman"/>
          <w:color w:val="000000" w:themeColor="text1"/>
          <w:szCs w:val="16"/>
        </w:rPr>
        <w:t xml:space="preserve">The new </w:t>
      </w:r>
      <w:r w:rsidR="00400E84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albedo </w:t>
      </w:r>
      <w:proofErr w:type="spellStart"/>
      <w:r w:rsidR="00EB5933" w:rsidRPr="007F7FF5">
        <w:rPr>
          <w:rFonts w:ascii="Times New Roman" w:hAnsi="Times New Roman"/>
          <w:color w:val="000000" w:themeColor="text1"/>
          <w:szCs w:val="16"/>
          <w:lang w:val="en-GB"/>
        </w:rPr>
        <w:t>dosemeter</w:t>
      </w:r>
      <w:proofErr w:type="spellEnd"/>
      <w:r w:rsidR="00400E84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 </w:t>
      </w:r>
      <w:r w:rsidR="0039015B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type </w:t>
      </w:r>
      <w:r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AWST-TL-GD 04 </w:t>
      </w:r>
      <w:r w:rsidR="00FB21A4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has been </w:t>
      </w:r>
      <w:r w:rsidR="009407A5" w:rsidRPr="007F7FF5">
        <w:rPr>
          <w:rFonts w:ascii="Times New Roman" w:hAnsi="Times New Roman"/>
          <w:color w:val="000000" w:themeColor="text1"/>
          <w:szCs w:val="16"/>
          <w:lang w:val="en-GB"/>
        </w:rPr>
        <w:t>calibrated</w:t>
      </w:r>
      <w:r w:rsidR="00FB21A4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 </w:t>
      </w:r>
      <w:r w:rsidR="007B212F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in the CERF neutron field </w:t>
      </w:r>
      <w:r w:rsidR="00FB21A4" w:rsidRPr="007F7FF5">
        <w:rPr>
          <w:rFonts w:ascii="Times New Roman" w:hAnsi="Times New Roman"/>
          <w:color w:val="000000" w:themeColor="text1"/>
          <w:szCs w:val="16"/>
          <w:lang w:val="en-GB"/>
        </w:rPr>
        <w:t>(</w:t>
      </w:r>
      <w:proofErr w:type="spellStart"/>
      <w:r w:rsidR="007B212F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>C</w:t>
      </w:r>
      <w:r w:rsidR="009407A5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>ern</w:t>
      </w:r>
      <w:proofErr w:type="spellEnd"/>
      <w:r w:rsidR="007B212F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 xml:space="preserve">–EU </w:t>
      </w:r>
      <w:r w:rsidR="00137DAE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>high</w:t>
      </w:r>
      <w:r w:rsidR="007B212F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>-</w:t>
      </w:r>
      <w:r w:rsidR="00137DAE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>energy</w:t>
      </w:r>
      <w:r w:rsidR="007B212F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 xml:space="preserve"> R</w:t>
      </w:r>
      <w:r w:rsidR="00137DAE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>eference</w:t>
      </w:r>
      <w:r w:rsidR="007B212F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 xml:space="preserve"> F</w:t>
      </w:r>
      <w:r w:rsidR="00137DAE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>ield</w:t>
      </w:r>
      <w:r w:rsidR="007B212F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>)</w:t>
      </w:r>
      <w:r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 xml:space="preserve">. </w:t>
      </w:r>
      <w:r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This type of albedo </w:t>
      </w:r>
      <w:proofErr w:type="spellStart"/>
      <w:r w:rsidR="00EB5933" w:rsidRPr="007F7FF5">
        <w:rPr>
          <w:rFonts w:ascii="Times New Roman" w:hAnsi="Times New Roman"/>
          <w:color w:val="000000" w:themeColor="text1"/>
          <w:szCs w:val="16"/>
          <w:lang w:val="en-GB"/>
        </w:rPr>
        <w:t>dosemeter</w:t>
      </w:r>
      <w:proofErr w:type="spellEnd"/>
      <w:r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 is </w:t>
      </w:r>
      <w:r w:rsidR="0039015B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based on </w:t>
      </w:r>
      <w:proofErr w:type="spellStart"/>
      <w:r w:rsidR="0039015B" w:rsidRPr="007F7FF5">
        <w:rPr>
          <w:rFonts w:ascii="Times New Roman" w:hAnsi="Times New Roman"/>
          <w:color w:val="000000" w:themeColor="text1"/>
          <w:szCs w:val="16"/>
          <w:lang w:val="en-GB"/>
        </w:rPr>
        <w:t>thermoluminescence</w:t>
      </w:r>
      <w:proofErr w:type="spellEnd"/>
      <w:r w:rsidR="0039015B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 detectors </w:t>
      </w:r>
      <w:r w:rsidR="0037548E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(TLD) </w:t>
      </w:r>
      <w:r w:rsidR="0039015B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and </w:t>
      </w:r>
      <w:r w:rsidRPr="007F7FF5">
        <w:rPr>
          <w:rFonts w:ascii="Times New Roman" w:hAnsi="Times New Roman"/>
          <w:color w:val="000000" w:themeColor="text1"/>
          <w:szCs w:val="16"/>
          <w:lang w:val="en-GB"/>
        </w:rPr>
        <w:t>used by the ind</w:t>
      </w:r>
      <w:r w:rsidRPr="007F7FF5">
        <w:rPr>
          <w:rFonts w:ascii="Times New Roman" w:hAnsi="Times New Roman"/>
          <w:color w:val="000000" w:themeColor="text1"/>
          <w:szCs w:val="16"/>
          <w:lang w:val="en-GB"/>
        </w:rPr>
        <w:t>i</w:t>
      </w:r>
      <w:r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vidual monitoring service of the Helmholtz Zentrum München (AWST) since 2015 for monitoring persons, who are exposed occupationally against photon and neutron radiation.  </w:t>
      </w:r>
      <w:r w:rsidR="0039015B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The motivation for this experiment was to gain a </w:t>
      </w:r>
      <w:r w:rsidR="00137DAE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 xml:space="preserve">field specific </w:t>
      </w:r>
      <w:r w:rsidR="008A03AC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 xml:space="preserve">neutron </w:t>
      </w:r>
      <w:r w:rsidR="007B212F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>c</w:t>
      </w:r>
      <w:r w:rsidR="00137DAE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>orrection factor</w:t>
      </w:r>
      <w:r w:rsidR="009407A5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 xml:space="preserve"> </w:t>
      </w:r>
      <w:proofErr w:type="spellStart"/>
      <w:r w:rsidR="0039015B" w:rsidRPr="007F7FF5">
        <w:rPr>
          <w:rFonts w:ascii="Times New Roman" w:hAnsi="Times New Roman"/>
          <w:bCs/>
          <w:i/>
          <w:color w:val="000000" w:themeColor="text1"/>
          <w:szCs w:val="16"/>
          <w:lang w:eastAsia="de-DE"/>
        </w:rPr>
        <w:t>N</w:t>
      </w:r>
      <w:r w:rsidR="0039015B" w:rsidRPr="007F7FF5">
        <w:rPr>
          <w:rFonts w:ascii="Times New Roman" w:hAnsi="Times New Roman"/>
          <w:bCs/>
          <w:color w:val="000000" w:themeColor="text1"/>
          <w:szCs w:val="16"/>
          <w:vertAlign w:val="subscript"/>
          <w:lang w:eastAsia="de-DE"/>
        </w:rPr>
        <w:t>n</w:t>
      </w:r>
      <w:proofErr w:type="spellEnd"/>
      <w:r w:rsidR="0039015B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 xml:space="preserve"> for workplaces at high-energy particle accelerators. </w:t>
      </w:r>
      <w:proofErr w:type="spellStart"/>
      <w:r w:rsidR="0039015B" w:rsidRPr="007F7FF5">
        <w:rPr>
          <w:rFonts w:ascii="Times New Roman" w:hAnsi="Times New Roman"/>
          <w:bCs/>
          <w:i/>
          <w:color w:val="000000" w:themeColor="text1"/>
          <w:szCs w:val="16"/>
          <w:lang w:eastAsia="de-DE"/>
        </w:rPr>
        <w:t>N</w:t>
      </w:r>
      <w:r w:rsidR="0039015B" w:rsidRPr="007F7FF5">
        <w:rPr>
          <w:rFonts w:ascii="Times New Roman" w:hAnsi="Times New Roman"/>
          <w:bCs/>
          <w:i/>
          <w:color w:val="000000" w:themeColor="text1"/>
          <w:szCs w:val="16"/>
          <w:vertAlign w:val="subscript"/>
          <w:lang w:eastAsia="de-DE"/>
        </w:rPr>
        <w:t>n</w:t>
      </w:r>
      <w:proofErr w:type="spellEnd"/>
      <w:r w:rsidR="0039015B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 xml:space="preserve"> is </w:t>
      </w:r>
      <w:r w:rsidR="0037548E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 xml:space="preserve">a dimensionless factor </w:t>
      </w:r>
      <w:r w:rsidR="0037548E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relative to a basic detector calibration with </w:t>
      </w:r>
      <w:r w:rsidR="0037548E" w:rsidRPr="007F7FF5">
        <w:rPr>
          <w:rFonts w:ascii="Times New Roman" w:hAnsi="Times New Roman"/>
          <w:color w:val="000000" w:themeColor="text1"/>
          <w:szCs w:val="16"/>
          <w:vertAlign w:val="superscript"/>
          <w:lang w:val="en-GB"/>
        </w:rPr>
        <w:t>137</w:t>
      </w:r>
      <w:r w:rsidR="0037548E" w:rsidRPr="007F7FF5">
        <w:rPr>
          <w:rFonts w:ascii="Times New Roman" w:hAnsi="Times New Roman"/>
          <w:color w:val="000000" w:themeColor="text1"/>
          <w:szCs w:val="16"/>
          <w:lang w:val="en-GB"/>
        </w:rPr>
        <w:t>Cs</w:t>
      </w:r>
      <w:r w:rsidR="0037548E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 xml:space="preserve"> and is </w:t>
      </w:r>
      <w:r w:rsidR="00137DAE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 xml:space="preserve">used to calculate </w:t>
      </w:r>
      <w:r w:rsidR="00357BE4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 xml:space="preserve">the </w:t>
      </w:r>
      <w:r w:rsidR="00137DAE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 xml:space="preserve">personal neutron dose in terms of </w:t>
      </w:r>
      <w:proofErr w:type="spellStart"/>
      <w:proofErr w:type="gramStart"/>
      <w:r w:rsidR="00137DAE" w:rsidRPr="007F7FF5">
        <w:rPr>
          <w:rFonts w:ascii="Times New Roman" w:hAnsi="Times New Roman"/>
          <w:bCs/>
          <w:i/>
          <w:color w:val="000000" w:themeColor="text1"/>
          <w:szCs w:val="16"/>
          <w:lang w:eastAsia="de-DE"/>
        </w:rPr>
        <w:t>H</w:t>
      </w:r>
      <w:r w:rsidR="00137DAE" w:rsidRPr="007F7FF5">
        <w:rPr>
          <w:rFonts w:ascii="Times New Roman" w:hAnsi="Times New Roman"/>
          <w:bCs/>
          <w:color w:val="000000" w:themeColor="text1"/>
          <w:szCs w:val="16"/>
          <w:vertAlign w:val="subscript"/>
          <w:lang w:eastAsia="de-DE"/>
        </w:rPr>
        <w:t>p</w:t>
      </w:r>
      <w:proofErr w:type="spellEnd"/>
      <w:r w:rsidR="00137DAE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>(</w:t>
      </w:r>
      <w:proofErr w:type="gramEnd"/>
      <w:r w:rsidR="00137DAE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 xml:space="preserve">10) from the </w:t>
      </w:r>
      <w:r w:rsidR="006E32E7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 xml:space="preserve">neutron </w:t>
      </w:r>
      <w:r w:rsidR="00137DAE" w:rsidRPr="007F7FF5">
        <w:rPr>
          <w:rFonts w:ascii="Times New Roman" w:hAnsi="Times New Roman"/>
          <w:bCs/>
          <w:color w:val="000000" w:themeColor="text1"/>
          <w:szCs w:val="16"/>
          <w:lang w:eastAsia="de-DE"/>
        </w:rPr>
        <w:t xml:space="preserve">albedo signal. </w:t>
      </w:r>
      <w:r w:rsidR="007B212F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The results show that the sensitivity of the albedo </w:t>
      </w:r>
      <w:proofErr w:type="spellStart"/>
      <w:r w:rsidR="00EB5933" w:rsidRPr="007F7FF5">
        <w:rPr>
          <w:rFonts w:ascii="Times New Roman" w:hAnsi="Times New Roman"/>
          <w:color w:val="000000" w:themeColor="text1"/>
          <w:szCs w:val="16"/>
          <w:lang w:val="en-GB"/>
        </w:rPr>
        <w:t>dosemeter</w:t>
      </w:r>
      <w:proofErr w:type="spellEnd"/>
      <w:r w:rsidR="007B212F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 for this specific neutron field is not significantly lower as for fast neutrons of a </w:t>
      </w:r>
      <w:r w:rsidR="00137DAE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radionuclide source like </w:t>
      </w:r>
      <w:r w:rsidR="006E32E7" w:rsidRPr="007F7FF5">
        <w:rPr>
          <w:rFonts w:ascii="Times New Roman" w:hAnsi="Times New Roman"/>
          <w:color w:val="000000" w:themeColor="text1"/>
          <w:szCs w:val="16"/>
          <w:vertAlign w:val="superscript"/>
          <w:lang w:val="en-GB"/>
        </w:rPr>
        <w:t>252</w:t>
      </w:r>
      <w:r w:rsidR="006E32E7" w:rsidRPr="007F7FF5">
        <w:rPr>
          <w:rFonts w:ascii="Times New Roman" w:hAnsi="Times New Roman"/>
          <w:color w:val="000000" w:themeColor="text1"/>
          <w:szCs w:val="16"/>
          <w:lang w:val="en-GB"/>
        </w:rPr>
        <w:t>Cf</w:t>
      </w:r>
      <w:r w:rsidR="009407A5" w:rsidRPr="007F7FF5">
        <w:rPr>
          <w:rFonts w:ascii="Times New Roman" w:hAnsi="Times New Roman"/>
          <w:color w:val="000000" w:themeColor="text1"/>
          <w:szCs w:val="16"/>
          <w:lang w:val="en-GB"/>
        </w:rPr>
        <w:t>.</w:t>
      </w:r>
      <w:r w:rsidR="007B212F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 The </w:t>
      </w:r>
      <w:r w:rsidR="00357BE4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neutron </w:t>
      </w:r>
      <w:r w:rsidR="00137DAE" w:rsidRPr="007F7FF5">
        <w:rPr>
          <w:rFonts w:ascii="Times New Roman" w:hAnsi="Times New Roman"/>
          <w:color w:val="000000" w:themeColor="text1"/>
          <w:szCs w:val="16"/>
          <w:lang w:val="en-GB"/>
        </w:rPr>
        <w:t>correction factor varies between 0.73 and 1.1</w:t>
      </w:r>
      <w:r w:rsidR="00520B3D" w:rsidRPr="007F7FF5">
        <w:rPr>
          <w:rFonts w:ascii="Times New Roman" w:hAnsi="Times New Roman"/>
          <w:color w:val="000000" w:themeColor="text1"/>
          <w:szCs w:val="16"/>
          <w:lang w:val="en-GB"/>
        </w:rPr>
        <w:t>6</w:t>
      </w:r>
      <w:r w:rsidR="00137DAE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 with a midrange value of 0.9</w:t>
      </w:r>
      <w:r w:rsidR="006E32E7" w:rsidRPr="007F7FF5">
        <w:rPr>
          <w:rFonts w:ascii="Times New Roman" w:hAnsi="Times New Roman"/>
          <w:color w:val="000000" w:themeColor="text1"/>
          <w:szCs w:val="16"/>
          <w:lang w:val="en-GB"/>
        </w:rPr>
        <w:t>4</w:t>
      </w:r>
      <w:r w:rsidR="0037548E" w:rsidRPr="007F7FF5">
        <w:rPr>
          <w:rFonts w:ascii="Times New Roman" w:hAnsi="Times New Roman"/>
          <w:color w:val="000000" w:themeColor="text1"/>
          <w:szCs w:val="16"/>
          <w:lang w:val="en-GB"/>
        </w:rPr>
        <w:t>.</w:t>
      </w:r>
      <w:r w:rsidR="00357BE4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 </w:t>
      </w:r>
      <w:r w:rsidR="00696949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The albedo </w:t>
      </w:r>
      <w:proofErr w:type="spellStart"/>
      <w:r w:rsidR="00EB5933" w:rsidRPr="007F7FF5">
        <w:rPr>
          <w:rFonts w:ascii="Times New Roman" w:hAnsi="Times New Roman"/>
          <w:color w:val="000000" w:themeColor="text1"/>
          <w:szCs w:val="16"/>
          <w:lang w:val="en-GB"/>
        </w:rPr>
        <w:t>dosemeter</w:t>
      </w:r>
      <w:proofErr w:type="spellEnd"/>
      <w:r w:rsidR="00696949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 is therefore </w:t>
      </w:r>
      <w:r w:rsidR="0039015B" w:rsidRPr="007F7FF5">
        <w:rPr>
          <w:rStyle w:val="gt-card-ttl-txt"/>
          <w:color w:val="000000" w:themeColor="text1"/>
        </w:rPr>
        <w:t xml:space="preserve">appropriate </w:t>
      </w:r>
      <w:r w:rsidR="00696949" w:rsidRPr="007F7FF5">
        <w:rPr>
          <w:rFonts w:ascii="Times New Roman" w:hAnsi="Times New Roman"/>
          <w:color w:val="000000" w:themeColor="text1"/>
          <w:szCs w:val="16"/>
          <w:lang w:val="en-GB"/>
        </w:rPr>
        <w:t>to monitor persons, which are exposed at high</w:t>
      </w:r>
      <w:r w:rsidR="0039015B" w:rsidRPr="007F7FF5">
        <w:rPr>
          <w:rFonts w:ascii="Times New Roman" w:hAnsi="Times New Roman"/>
          <w:color w:val="000000" w:themeColor="text1"/>
          <w:szCs w:val="16"/>
          <w:lang w:val="en-GB"/>
        </w:rPr>
        <w:t>-</w:t>
      </w:r>
      <w:r w:rsidR="00696949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 energy particle accelerators.</w:t>
      </w:r>
    </w:p>
    <w:p w:rsidR="00C4401A" w:rsidRPr="007F7FF5" w:rsidRDefault="00C4401A">
      <w:pPr>
        <w:pStyle w:val="Para"/>
        <w:rPr>
          <w:color w:val="000000" w:themeColor="text1"/>
          <w:lang w:val="en-GB"/>
        </w:rPr>
        <w:sectPr w:rsidR="00C4401A" w:rsidRPr="007F7F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0715" w:h="13946" w:code="9"/>
          <w:pgMar w:top="1247" w:right="1525" w:bottom="1089" w:left="907" w:header="992" w:footer="737" w:gutter="0"/>
          <w:cols w:space="720"/>
          <w:titlePg/>
          <w:docGrid w:linePitch="360"/>
        </w:sectPr>
      </w:pPr>
    </w:p>
    <w:p w:rsidR="00C4401A" w:rsidRPr="007F7FF5" w:rsidRDefault="00400E84">
      <w:pPr>
        <w:pStyle w:val="AHead"/>
        <w:rPr>
          <w:color w:val="000000" w:themeColor="text1"/>
        </w:rPr>
      </w:pPr>
      <w:r w:rsidRPr="007F7FF5">
        <w:rPr>
          <w:color w:val="000000" w:themeColor="text1"/>
        </w:rPr>
        <w:lastRenderedPageBreak/>
        <w:t>Introduction</w:t>
      </w:r>
    </w:p>
    <w:p w:rsidR="004349B7" w:rsidRPr="007F7FF5" w:rsidRDefault="00400E84" w:rsidP="004349B7">
      <w:pPr>
        <w:jc w:val="both"/>
        <w:rPr>
          <w:rFonts w:ascii="Times New Roman" w:hAnsi="Times New Roman"/>
          <w:color w:val="000000" w:themeColor="text1"/>
          <w:szCs w:val="18"/>
          <w:lang w:val="en-GB"/>
        </w:rPr>
      </w:pPr>
      <w:r w:rsidRPr="007F7FF5">
        <w:rPr>
          <w:rFonts w:ascii="Times New Roman" w:hAnsi="Times New Roman"/>
          <w:color w:val="000000" w:themeColor="text1"/>
          <w:szCs w:val="18"/>
          <w:lang w:val="en-GB"/>
        </w:rPr>
        <w:t>With the beginning of 2015</w:t>
      </w:r>
      <w:r w:rsidR="00FD3AD3" w:rsidRPr="007F7FF5">
        <w:rPr>
          <w:rFonts w:ascii="Times New Roman" w:hAnsi="Times New Roman"/>
          <w:color w:val="000000" w:themeColor="text1"/>
          <w:szCs w:val="18"/>
          <w:lang w:val="en-GB"/>
        </w:rPr>
        <w:t>,</w:t>
      </w:r>
      <w:r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 </w:t>
      </w:r>
      <w:r w:rsidR="004349B7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a new albedo </w:t>
      </w:r>
      <w:r w:rsidR="0054218D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neutron </w:t>
      </w:r>
      <w:proofErr w:type="spellStart"/>
      <w:r w:rsidR="00EB5933" w:rsidRPr="007F7FF5">
        <w:rPr>
          <w:rFonts w:ascii="Times New Roman" w:hAnsi="Times New Roman"/>
          <w:color w:val="000000" w:themeColor="text1"/>
          <w:szCs w:val="18"/>
          <w:lang w:val="en-GB"/>
        </w:rPr>
        <w:t>dosemeter</w:t>
      </w:r>
      <w:proofErr w:type="spellEnd"/>
      <w:r w:rsidR="004349B7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 based on TLD (</w:t>
      </w:r>
      <w:proofErr w:type="spellStart"/>
      <w:r w:rsidR="004349B7" w:rsidRPr="007F7FF5">
        <w:rPr>
          <w:rFonts w:ascii="Times New Roman" w:hAnsi="Times New Roman"/>
          <w:color w:val="000000" w:themeColor="text1"/>
          <w:szCs w:val="16"/>
          <w:lang w:val="en-GB"/>
        </w:rPr>
        <w:t>thermoluminescence</w:t>
      </w:r>
      <w:proofErr w:type="spellEnd"/>
      <w:r w:rsidR="004349B7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 dete</w:t>
      </w:r>
      <w:r w:rsidR="004349B7" w:rsidRPr="007F7FF5">
        <w:rPr>
          <w:rFonts w:ascii="Times New Roman" w:hAnsi="Times New Roman"/>
          <w:color w:val="000000" w:themeColor="text1"/>
          <w:szCs w:val="16"/>
          <w:lang w:val="en-GB"/>
        </w:rPr>
        <w:t>c</w:t>
      </w:r>
      <w:r w:rsidR="004349B7" w:rsidRPr="007F7FF5">
        <w:rPr>
          <w:rFonts w:ascii="Times New Roman" w:hAnsi="Times New Roman"/>
          <w:color w:val="000000" w:themeColor="text1"/>
          <w:szCs w:val="16"/>
          <w:lang w:val="en-GB"/>
        </w:rPr>
        <w:t xml:space="preserve">tors) </w:t>
      </w:r>
      <w:r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has been introduced by the individual monitoring service </w:t>
      </w:r>
      <w:r w:rsidR="004349B7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(AWST) </w:t>
      </w:r>
      <w:r w:rsidRPr="007F7FF5">
        <w:rPr>
          <w:rFonts w:ascii="Times New Roman" w:hAnsi="Times New Roman"/>
          <w:color w:val="000000" w:themeColor="text1"/>
          <w:szCs w:val="18"/>
          <w:lang w:val="en-GB"/>
        </w:rPr>
        <w:t>of the Helmholtz Zentrum München</w:t>
      </w:r>
      <w:r w:rsidR="004349B7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. This albedo </w:t>
      </w:r>
      <w:proofErr w:type="spellStart"/>
      <w:r w:rsidR="00EB5933" w:rsidRPr="007F7FF5">
        <w:rPr>
          <w:rFonts w:ascii="Times New Roman" w:hAnsi="Times New Roman"/>
          <w:color w:val="000000" w:themeColor="text1"/>
          <w:szCs w:val="18"/>
          <w:lang w:val="en-GB"/>
        </w:rPr>
        <w:t>dosemeter</w:t>
      </w:r>
      <w:proofErr w:type="spellEnd"/>
      <w:r w:rsidR="004349B7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 has the official designation "AWST-TL-GD 0</w:t>
      </w:r>
      <w:r w:rsidR="007504D9" w:rsidRPr="007F7FF5">
        <w:rPr>
          <w:rFonts w:ascii="Times New Roman" w:hAnsi="Times New Roman"/>
          <w:color w:val="000000" w:themeColor="text1"/>
          <w:szCs w:val="18"/>
          <w:lang w:val="en-GB"/>
        </w:rPr>
        <w:t>4</w:t>
      </w:r>
      <w:r w:rsidR="004349B7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" and the type approval 23.52/14.01 </w:t>
      </w:r>
      <w:r w:rsidR="009407A5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for photon radiation </w:t>
      </w:r>
      <w:r w:rsidR="004349B7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allocated by the </w:t>
      </w:r>
      <w:proofErr w:type="spellStart"/>
      <w:r w:rsidR="004349B7" w:rsidRPr="007F7FF5">
        <w:rPr>
          <w:rFonts w:ascii="Times New Roman" w:hAnsi="Times New Roman"/>
          <w:color w:val="000000" w:themeColor="text1"/>
          <w:szCs w:val="18"/>
          <w:lang w:val="en-GB"/>
        </w:rPr>
        <w:t>Physikalisch-Technische</w:t>
      </w:r>
      <w:proofErr w:type="spellEnd"/>
      <w:r w:rsidR="004349B7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 </w:t>
      </w:r>
      <w:proofErr w:type="spellStart"/>
      <w:r w:rsidR="004349B7" w:rsidRPr="007F7FF5">
        <w:rPr>
          <w:rFonts w:ascii="Times New Roman" w:hAnsi="Times New Roman"/>
          <w:color w:val="000000" w:themeColor="text1"/>
          <w:szCs w:val="18"/>
          <w:lang w:val="en-GB"/>
        </w:rPr>
        <w:t>Bundesanstalt</w:t>
      </w:r>
      <w:proofErr w:type="spellEnd"/>
      <w:r w:rsidR="004349B7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 (PTB). Ap</w:t>
      </w:r>
      <w:r w:rsidRPr="007F7FF5">
        <w:rPr>
          <w:rFonts w:ascii="Times New Roman" w:hAnsi="Times New Roman"/>
          <w:color w:val="000000" w:themeColor="text1"/>
          <w:szCs w:val="18"/>
          <w:lang w:val="en-GB"/>
        </w:rPr>
        <w:t>prox. 5000 pe</w:t>
      </w:r>
      <w:r w:rsidRPr="007F7FF5">
        <w:rPr>
          <w:rFonts w:ascii="Times New Roman" w:hAnsi="Times New Roman"/>
          <w:color w:val="000000" w:themeColor="text1"/>
          <w:szCs w:val="18"/>
          <w:lang w:val="en-GB"/>
        </w:rPr>
        <w:t>r</w:t>
      </w:r>
      <w:r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sons are monitored currently with this type of </w:t>
      </w:r>
      <w:proofErr w:type="spellStart"/>
      <w:r w:rsidR="00EB5933" w:rsidRPr="007F7FF5">
        <w:rPr>
          <w:rFonts w:ascii="Times New Roman" w:hAnsi="Times New Roman"/>
          <w:color w:val="000000" w:themeColor="text1"/>
          <w:szCs w:val="18"/>
          <w:lang w:val="en-GB"/>
        </w:rPr>
        <w:t>dosem</w:t>
      </w:r>
      <w:r w:rsidR="00EB5933" w:rsidRPr="007F7FF5">
        <w:rPr>
          <w:rFonts w:ascii="Times New Roman" w:hAnsi="Times New Roman"/>
          <w:color w:val="000000" w:themeColor="text1"/>
          <w:szCs w:val="18"/>
          <w:lang w:val="en-GB"/>
        </w:rPr>
        <w:t>e</w:t>
      </w:r>
      <w:r w:rsidR="00EB5933" w:rsidRPr="007F7FF5">
        <w:rPr>
          <w:rFonts w:ascii="Times New Roman" w:hAnsi="Times New Roman"/>
          <w:color w:val="000000" w:themeColor="text1"/>
          <w:szCs w:val="18"/>
          <w:lang w:val="en-GB"/>
        </w:rPr>
        <w:t>ter</w:t>
      </w:r>
      <w:proofErr w:type="spellEnd"/>
      <w:r w:rsidRPr="007F7FF5">
        <w:rPr>
          <w:rFonts w:ascii="Times New Roman" w:hAnsi="Times New Roman"/>
          <w:color w:val="000000" w:themeColor="text1"/>
          <w:szCs w:val="18"/>
          <w:lang w:val="en-GB"/>
        </w:rPr>
        <w:t>.</w:t>
      </w:r>
      <w:r w:rsidR="00447BF1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 </w:t>
      </w:r>
      <w:r w:rsidR="004349B7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It mainly consists of a four-element detector card type </w:t>
      </w:r>
      <w:proofErr w:type="spellStart"/>
      <w:r w:rsidR="004349B7" w:rsidRPr="007F7FF5">
        <w:rPr>
          <w:rFonts w:ascii="Times New Roman" w:hAnsi="Times New Roman"/>
          <w:color w:val="000000" w:themeColor="text1"/>
          <w:szCs w:val="18"/>
          <w:lang w:val="en-GB"/>
        </w:rPr>
        <w:t>Harshaw</w:t>
      </w:r>
      <w:proofErr w:type="spellEnd"/>
      <w:r w:rsidR="004349B7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 and a new designed card holder which has been developed by the working group Radiation Physics of the Technical University in Dresden. Its properties are described in detail in Ref</w:t>
      </w:r>
      <w:r w:rsidR="003B766B" w:rsidRPr="007F7FF5">
        <w:rPr>
          <w:rFonts w:ascii="Times New Roman" w:hAnsi="Times New Roman"/>
          <w:color w:val="000000" w:themeColor="text1"/>
          <w:szCs w:val="18"/>
          <w:lang w:val="en-GB"/>
        </w:rPr>
        <w:t>erence</w:t>
      </w:r>
      <w:r w:rsidR="004349B7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 1.</w:t>
      </w:r>
    </w:p>
    <w:p w:rsidR="00EB0A05" w:rsidRPr="007F7FF5" w:rsidRDefault="00EB0A05" w:rsidP="0081153A">
      <w:pPr>
        <w:jc w:val="both"/>
        <w:rPr>
          <w:rFonts w:ascii="Times New Roman" w:hAnsi="Times New Roman"/>
          <w:color w:val="000000" w:themeColor="text1"/>
          <w:szCs w:val="18"/>
          <w:lang w:val="en-GB"/>
        </w:rPr>
      </w:pPr>
      <w:r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The AWST is </w:t>
      </w:r>
      <w:r w:rsidR="002255B1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also </w:t>
      </w:r>
      <w:r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monitoring </w:t>
      </w:r>
      <w:r w:rsidR="00F24B92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occupationally exposed </w:t>
      </w:r>
      <w:r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persons </w:t>
      </w:r>
      <w:r w:rsidR="00F24B92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at workplaces at </w:t>
      </w:r>
      <w:r w:rsidR="000275AA" w:rsidRPr="007F7FF5">
        <w:rPr>
          <w:rFonts w:ascii="Times New Roman" w:hAnsi="Times New Roman"/>
          <w:color w:val="000000" w:themeColor="text1"/>
          <w:szCs w:val="18"/>
          <w:lang w:val="en-GB"/>
        </w:rPr>
        <w:t>high-energy</w:t>
      </w:r>
      <w:r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 accelerators which are used for medical or research purposes</w:t>
      </w:r>
      <w:r w:rsidR="00577E37" w:rsidRPr="007F7FF5">
        <w:rPr>
          <w:rFonts w:ascii="Times New Roman" w:hAnsi="Times New Roman"/>
          <w:color w:val="000000" w:themeColor="text1"/>
          <w:szCs w:val="18"/>
          <w:lang w:val="en-GB"/>
        </w:rPr>
        <w:t>.</w:t>
      </w:r>
      <w:r w:rsidR="004A775E" w:rsidRPr="007F7FF5">
        <w:rPr>
          <w:rFonts w:ascii="Times New Roman" w:hAnsi="Times New Roman"/>
          <w:color w:val="000000" w:themeColor="text1"/>
          <w:szCs w:val="18"/>
          <w:lang w:val="en-GB"/>
        </w:rPr>
        <w:t xml:space="preserve"> </w:t>
      </w:r>
    </w:p>
    <w:p w:rsidR="004A775E" w:rsidRPr="007F7FF5" w:rsidRDefault="00275472" w:rsidP="0081153A">
      <w:pPr>
        <w:pStyle w:val="ParaNoInd"/>
        <w:rPr>
          <w:color w:val="000000" w:themeColor="text1"/>
          <w:lang w:val="en-GB"/>
        </w:rPr>
      </w:pPr>
      <w:r w:rsidRPr="007F7FF5">
        <w:rPr>
          <w:color w:val="000000" w:themeColor="text1"/>
          <w:lang w:val="en-GB"/>
        </w:rPr>
        <w:t xml:space="preserve">The albedo </w:t>
      </w:r>
      <w:proofErr w:type="spellStart"/>
      <w:r w:rsidR="00EB5933" w:rsidRPr="007F7FF5">
        <w:rPr>
          <w:color w:val="000000" w:themeColor="text1"/>
          <w:lang w:val="en-GB"/>
        </w:rPr>
        <w:t>dosemeter</w:t>
      </w:r>
      <w:proofErr w:type="spellEnd"/>
      <w:r w:rsidRPr="007F7FF5">
        <w:rPr>
          <w:color w:val="000000" w:themeColor="text1"/>
          <w:lang w:val="en-GB"/>
        </w:rPr>
        <w:t xml:space="preserve"> has </w:t>
      </w:r>
      <w:proofErr w:type="gramStart"/>
      <w:r w:rsidRPr="007F7FF5">
        <w:rPr>
          <w:color w:val="000000" w:themeColor="text1"/>
          <w:lang w:val="en-GB"/>
        </w:rPr>
        <w:t xml:space="preserve">a </w:t>
      </w:r>
      <w:r w:rsidR="00775E9D" w:rsidRPr="007F7FF5">
        <w:rPr>
          <w:color w:val="000000" w:themeColor="text1"/>
          <w:lang w:val="en-GB"/>
        </w:rPr>
        <w:t>significant</w:t>
      </w:r>
      <w:proofErr w:type="gramEnd"/>
      <w:r w:rsidR="00775E9D" w:rsidRPr="007F7FF5">
        <w:rPr>
          <w:color w:val="000000" w:themeColor="text1"/>
          <w:lang w:val="en-GB"/>
        </w:rPr>
        <w:t xml:space="preserve"> energy depen</w:t>
      </w:r>
      <w:r w:rsidR="00775E9D" w:rsidRPr="007F7FF5">
        <w:rPr>
          <w:color w:val="000000" w:themeColor="text1"/>
          <w:lang w:val="en-GB"/>
        </w:rPr>
        <w:t>d</w:t>
      </w:r>
      <w:r w:rsidR="00775E9D" w:rsidRPr="007F7FF5">
        <w:rPr>
          <w:color w:val="000000" w:themeColor="text1"/>
          <w:lang w:val="en-GB"/>
        </w:rPr>
        <w:t>ence and therefore field specific neutron correction factor</w:t>
      </w:r>
      <w:r w:rsidR="0037548E" w:rsidRPr="007F7FF5">
        <w:rPr>
          <w:color w:val="000000" w:themeColor="text1"/>
          <w:lang w:val="en-GB"/>
        </w:rPr>
        <w:t>s</w:t>
      </w:r>
      <w:r w:rsidR="00775E9D" w:rsidRPr="007F7FF5">
        <w:rPr>
          <w:color w:val="000000" w:themeColor="text1"/>
          <w:lang w:val="en-GB"/>
        </w:rPr>
        <w:t xml:space="preserve"> </w:t>
      </w:r>
      <w:r w:rsidRPr="007F7FF5">
        <w:rPr>
          <w:color w:val="000000" w:themeColor="text1"/>
          <w:lang w:val="en-GB"/>
        </w:rPr>
        <w:t xml:space="preserve">are defined for different </w:t>
      </w:r>
      <w:r w:rsidR="00F33346" w:rsidRPr="007F7FF5">
        <w:rPr>
          <w:color w:val="000000" w:themeColor="text1"/>
          <w:lang w:val="en-GB"/>
        </w:rPr>
        <w:t>categor</w:t>
      </w:r>
      <w:r w:rsidRPr="007F7FF5">
        <w:rPr>
          <w:color w:val="000000" w:themeColor="text1"/>
          <w:lang w:val="en-GB"/>
        </w:rPr>
        <w:t>ies</w:t>
      </w:r>
      <w:r w:rsidR="00F33346" w:rsidRPr="007F7FF5">
        <w:rPr>
          <w:color w:val="000000" w:themeColor="text1"/>
          <w:lang w:val="en-GB"/>
        </w:rPr>
        <w:t xml:space="preserve"> of </w:t>
      </w:r>
      <w:r w:rsidR="00775E9D" w:rsidRPr="007F7FF5">
        <w:rPr>
          <w:color w:val="000000" w:themeColor="text1"/>
          <w:lang w:val="en-GB"/>
        </w:rPr>
        <w:t>wor</w:t>
      </w:r>
      <w:r w:rsidR="00775E9D" w:rsidRPr="007F7FF5">
        <w:rPr>
          <w:color w:val="000000" w:themeColor="text1"/>
          <w:lang w:val="en-GB"/>
        </w:rPr>
        <w:t>k</w:t>
      </w:r>
      <w:r w:rsidR="00775E9D" w:rsidRPr="007F7FF5">
        <w:rPr>
          <w:color w:val="000000" w:themeColor="text1"/>
          <w:lang w:val="en-GB"/>
        </w:rPr>
        <w:t>places</w:t>
      </w:r>
      <w:r w:rsidRPr="007F7FF5">
        <w:rPr>
          <w:color w:val="000000" w:themeColor="text1"/>
          <w:lang w:val="en-GB"/>
        </w:rPr>
        <w:t>.</w:t>
      </w:r>
      <w:r w:rsidR="00F33346" w:rsidRPr="007F7FF5">
        <w:rPr>
          <w:color w:val="000000" w:themeColor="text1"/>
          <w:lang w:val="en-GB"/>
        </w:rPr>
        <w:t xml:space="preserve"> </w:t>
      </w:r>
      <w:r w:rsidRPr="007F7FF5">
        <w:rPr>
          <w:color w:val="000000" w:themeColor="text1"/>
          <w:lang w:val="en-GB"/>
        </w:rPr>
        <w:t xml:space="preserve">The correction factor for </w:t>
      </w:r>
      <w:r w:rsidR="007F2A43" w:rsidRPr="007F7FF5">
        <w:rPr>
          <w:color w:val="000000" w:themeColor="text1"/>
          <w:lang w:val="en-GB"/>
        </w:rPr>
        <w:t xml:space="preserve">workplaces </w:t>
      </w:r>
      <w:r w:rsidRPr="007F7FF5">
        <w:rPr>
          <w:color w:val="000000" w:themeColor="text1"/>
          <w:lang w:val="en-GB"/>
        </w:rPr>
        <w:t xml:space="preserve">at high-energy accelerators has been deduced from irradiations with fast neutrons produced by a </w:t>
      </w:r>
      <w:r w:rsidRPr="007F7FF5">
        <w:rPr>
          <w:color w:val="000000" w:themeColor="text1"/>
          <w:vertAlign w:val="superscript"/>
          <w:lang w:val="en-GB"/>
        </w:rPr>
        <w:t>252</w:t>
      </w:r>
      <w:r w:rsidRPr="007F7FF5">
        <w:rPr>
          <w:color w:val="000000" w:themeColor="text1"/>
          <w:lang w:val="en-GB"/>
        </w:rPr>
        <w:t>Cf source, and it was the motivation of this experiment to verify this</w:t>
      </w:r>
      <w:r w:rsidR="007F2A43" w:rsidRPr="007F7FF5">
        <w:rPr>
          <w:color w:val="000000" w:themeColor="text1"/>
          <w:lang w:val="en-GB"/>
        </w:rPr>
        <w:t xml:space="preserve"> calibration method.</w:t>
      </w:r>
    </w:p>
    <w:p w:rsidR="00DE3FCE" w:rsidRPr="007F7FF5" w:rsidRDefault="00DE3FCE" w:rsidP="0081153A">
      <w:pPr>
        <w:pStyle w:val="ParaNoInd"/>
        <w:rPr>
          <w:color w:val="000000" w:themeColor="text1"/>
        </w:rPr>
      </w:pPr>
    </w:p>
    <w:p w:rsidR="00DE3FCE" w:rsidRPr="007F7FF5" w:rsidRDefault="00DE3FCE" w:rsidP="00DE3FCE">
      <w:pPr>
        <w:pStyle w:val="ParaNoInd"/>
        <w:rPr>
          <w:rFonts w:ascii="Times New Roman" w:hAnsi="Times New Roman"/>
          <w:bCs/>
          <w:caps/>
          <w:color w:val="000000" w:themeColor="text1"/>
          <w:szCs w:val="18"/>
          <w:lang w:eastAsia="de-DE"/>
        </w:rPr>
      </w:pPr>
      <w:r w:rsidRPr="007F7FF5">
        <w:rPr>
          <w:rFonts w:ascii="Times New Roman" w:hAnsi="Times New Roman"/>
          <w:bCs/>
          <w:caps/>
          <w:color w:val="000000" w:themeColor="text1"/>
          <w:szCs w:val="18"/>
          <w:lang w:eastAsia="de-DE"/>
        </w:rPr>
        <w:t xml:space="preserve">Dosimetric properties of albedo </w:t>
      </w:r>
      <w:r w:rsidR="00EB5933" w:rsidRPr="007F7FF5">
        <w:rPr>
          <w:rFonts w:ascii="Times New Roman" w:hAnsi="Times New Roman"/>
          <w:bCs/>
          <w:caps/>
          <w:color w:val="000000" w:themeColor="text1"/>
          <w:szCs w:val="18"/>
          <w:lang w:eastAsia="de-DE"/>
        </w:rPr>
        <w:t>dos</w:t>
      </w:r>
      <w:r w:rsidR="00EB5933" w:rsidRPr="007F7FF5">
        <w:rPr>
          <w:rFonts w:ascii="Times New Roman" w:hAnsi="Times New Roman"/>
          <w:bCs/>
          <w:caps/>
          <w:color w:val="000000" w:themeColor="text1"/>
          <w:szCs w:val="18"/>
          <w:lang w:eastAsia="de-DE"/>
        </w:rPr>
        <w:t>e</w:t>
      </w:r>
      <w:r w:rsidR="00EB5933" w:rsidRPr="007F7FF5">
        <w:rPr>
          <w:rFonts w:ascii="Times New Roman" w:hAnsi="Times New Roman"/>
          <w:bCs/>
          <w:caps/>
          <w:color w:val="000000" w:themeColor="text1"/>
          <w:szCs w:val="18"/>
          <w:lang w:eastAsia="de-DE"/>
        </w:rPr>
        <w:t>meter</w:t>
      </w:r>
      <w:r w:rsidRPr="007F7FF5">
        <w:rPr>
          <w:rFonts w:ascii="Times New Roman" w:hAnsi="Times New Roman"/>
          <w:bCs/>
          <w:caps/>
          <w:color w:val="000000" w:themeColor="text1"/>
          <w:szCs w:val="18"/>
          <w:lang w:eastAsia="de-DE"/>
        </w:rPr>
        <w:t>s</w:t>
      </w:r>
    </w:p>
    <w:p w:rsidR="00DE3FCE" w:rsidRPr="007F7FF5" w:rsidRDefault="00DE3FCE" w:rsidP="0081153A">
      <w:pPr>
        <w:pStyle w:val="ParaNoInd"/>
        <w:rPr>
          <w:color w:val="000000" w:themeColor="text1"/>
        </w:rPr>
      </w:pPr>
    </w:p>
    <w:p w:rsidR="004A775E" w:rsidRPr="007F7FF5" w:rsidRDefault="004A775E" w:rsidP="0081153A">
      <w:pPr>
        <w:pStyle w:val="ParaNoInd"/>
        <w:rPr>
          <w:color w:val="000000" w:themeColor="text1"/>
        </w:rPr>
      </w:pPr>
      <w:r w:rsidRPr="007F7FF5">
        <w:rPr>
          <w:color w:val="000000" w:themeColor="text1"/>
        </w:rPr>
        <w:t>Fig</w:t>
      </w:r>
      <w:r w:rsidR="00E36361" w:rsidRPr="007F7FF5">
        <w:rPr>
          <w:color w:val="000000" w:themeColor="text1"/>
        </w:rPr>
        <w:t>ure</w:t>
      </w:r>
      <w:r w:rsidRPr="007F7FF5">
        <w:rPr>
          <w:color w:val="000000" w:themeColor="text1"/>
        </w:rPr>
        <w:t xml:space="preserve"> 1 shows the </w:t>
      </w:r>
      <w:proofErr w:type="spellStart"/>
      <w:r w:rsidR="00DE3FCE" w:rsidRPr="007F7FF5">
        <w:rPr>
          <w:color w:val="000000" w:themeColor="text1"/>
        </w:rPr>
        <w:t>fl</w:t>
      </w:r>
      <w:r w:rsidRPr="007F7FF5">
        <w:rPr>
          <w:color w:val="000000" w:themeColor="text1"/>
        </w:rPr>
        <w:t>u</w:t>
      </w:r>
      <w:r w:rsidR="00DE3FCE" w:rsidRPr="007F7FF5">
        <w:rPr>
          <w:color w:val="000000" w:themeColor="text1"/>
        </w:rPr>
        <w:t>e</w:t>
      </w:r>
      <w:r w:rsidRPr="007F7FF5">
        <w:rPr>
          <w:color w:val="000000" w:themeColor="text1"/>
        </w:rPr>
        <w:t>nce</w:t>
      </w:r>
      <w:proofErr w:type="spellEnd"/>
      <w:r w:rsidRPr="007F7FF5">
        <w:rPr>
          <w:color w:val="000000" w:themeColor="text1"/>
        </w:rPr>
        <w:t xml:space="preserve"> to dose conversion coeff</w:t>
      </w:r>
      <w:r w:rsidR="00DE3FCE" w:rsidRPr="007F7FF5">
        <w:rPr>
          <w:color w:val="000000" w:themeColor="text1"/>
        </w:rPr>
        <w:t>i</w:t>
      </w:r>
      <w:r w:rsidRPr="007F7FF5">
        <w:rPr>
          <w:color w:val="000000" w:themeColor="text1"/>
        </w:rPr>
        <w:t>ci</w:t>
      </w:r>
      <w:r w:rsidR="00DE3FCE" w:rsidRPr="007F7FF5">
        <w:rPr>
          <w:color w:val="000000" w:themeColor="text1"/>
        </w:rPr>
        <w:t xml:space="preserve">ent for neutrons and for the operational quantity </w:t>
      </w:r>
      <w:proofErr w:type="spellStart"/>
      <w:proofErr w:type="gramStart"/>
      <w:r w:rsidR="00DE3FCE" w:rsidRPr="007F7FF5">
        <w:rPr>
          <w:i/>
          <w:color w:val="000000" w:themeColor="text1"/>
        </w:rPr>
        <w:t>H</w:t>
      </w:r>
      <w:r w:rsidR="00DE3FCE" w:rsidRPr="007F7FF5">
        <w:rPr>
          <w:color w:val="000000" w:themeColor="text1"/>
          <w:vertAlign w:val="subscript"/>
        </w:rPr>
        <w:t>p</w:t>
      </w:r>
      <w:proofErr w:type="spellEnd"/>
      <w:r w:rsidR="00DE3FCE" w:rsidRPr="007F7FF5">
        <w:rPr>
          <w:color w:val="000000" w:themeColor="text1"/>
        </w:rPr>
        <w:t>(</w:t>
      </w:r>
      <w:proofErr w:type="gramEnd"/>
      <w:r w:rsidR="00DE3FCE" w:rsidRPr="007F7FF5">
        <w:rPr>
          <w:color w:val="000000" w:themeColor="text1"/>
        </w:rPr>
        <w:t>1</w:t>
      </w:r>
      <w:r w:rsidR="006E32E7" w:rsidRPr="007F7FF5">
        <w:rPr>
          <w:color w:val="000000" w:themeColor="text1"/>
        </w:rPr>
        <w:t>0</w:t>
      </w:r>
      <w:r w:rsidR="00E727A0" w:rsidRPr="007F7FF5">
        <w:rPr>
          <w:color w:val="000000" w:themeColor="text1"/>
        </w:rPr>
        <w:t>;</w:t>
      </w:r>
      <w:r w:rsidR="00DE3FCE" w:rsidRPr="007F7FF5">
        <w:rPr>
          <w:color w:val="000000" w:themeColor="text1"/>
        </w:rPr>
        <w:t xml:space="preserve">0°). The </w:t>
      </w:r>
      <w:r w:rsidR="00EB1B02" w:rsidRPr="007F7FF5">
        <w:rPr>
          <w:color w:val="000000" w:themeColor="text1"/>
        </w:rPr>
        <w:t xml:space="preserve">conversion </w:t>
      </w:r>
      <w:r w:rsidR="00DE3FCE" w:rsidRPr="007F7FF5">
        <w:rPr>
          <w:color w:val="000000" w:themeColor="text1"/>
        </w:rPr>
        <w:t>coefficient begins to i</w:t>
      </w:r>
      <w:r w:rsidR="00DE3FCE" w:rsidRPr="007F7FF5">
        <w:rPr>
          <w:color w:val="000000" w:themeColor="text1"/>
        </w:rPr>
        <w:t>n</w:t>
      </w:r>
      <w:r w:rsidR="00DE3FCE" w:rsidRPr="007F7FF5">
        <w:rPr>
          <w:color w:val="000000" w:themeColor="text1"/>
        </w:rPr>
        <w:lastRenderedPageBreak/>
        <w:t>crease rapidly f</w:t>
      </w:r>
      <w:r w:rsidR="00B47EE1" w:rsidRPr="007F7FF5">
        <w:rPr>
          <w:color w:val="000000" w:themeColor="text1"/>
        </w:rPr>
        <w:t xml:space="preserve">or neutron energies above 10 </w:t>
      </w:r>
      <w:proofErr w:type="spellStart"/>
      <w:r w:rsidR="00B47EE1" w:rsidRPr="007F7FF5">
        <w:rPr>
          <w:color w:val="000000" w:themeColor="text1"/>
        </w:rPr>
        <w:t>keV</w:t>
      </w:r>
      <w:proofErr w:type="spellEnd"/>
      <w:r w:rsidR="00B47EE1" w:rsidRPr="007F7FF5">
        <w:rPr>
          <w:color w:val="000000" w:themeColor="text1"/>
        </w:rPr>
        <w:t>.</w:t>
      </w:r>
      <w:r w:rsidR="00E727A0" w:rsidRPr="007F7FF5">
        <w:rPr>
          <w:color w:val="000000" w:themeColor="text1"/>
        </w:rPr>
        <w:t xml:space="preserve"> </w:t>
      </w:r>
      <w:r w:rsidR="00DE3FCE" w:rsidRPr="007F7FF5">
        <w:rPr>
          <w:color w:val="000000" w:themeColor="text1"/>
        </w:rPr>
        <w:t xml:space="preserve">In the same figure the response of a TLD albedo </w:t>
      </w:r>
      <w:proofErr w:type="spellStart"/>
      <w:r w:rsidR="00EB5933" w:rsidRPr="007F7FF5">
        <w:rPr>
          <w:color w:val="000000" w:themeColor="text1"/>
        </w:rPr>
        <w:t>dosem</w:t>
      </w:r>
      <w:r w:rsidR="00EB5933" w:rsidRPr="007F7FF5">
        <w:rPr>
          <w:color w:val="000000" w:themeColor="text1"/>
        </w:rPr>
        <w:t>e</w:t>
      </w:r>
      <w:r w:rsidR="00EB5933" w:rsidRPr="007F7FF5">
        <w:rPr>
          <w:color w:val="000000" w:themeColor="text1"/>
        </w:rPr>
        <w:t>ter</w:t>
      </w:r>
      <w:proofErr w:type="spellEnd"/>
      <w:r w:rsidR="00DE3FCE" w:rsidRPr="007F7FF5">
        <w:rPr>
          <w:color w:val="000000" w:themeColor="text1"/>
        </w:rPr>
        <w:t xml:space="preserve"> </w:t>
      </w:r>
      <w:r w:rsidR="009240DE" w:rsidRPr="007F7FF5">
        <w:rPr>
          <w:color w:val="000000" w:themeColor="text1"/>
        </w:rPr>
        <w:t xml:space="preserve">to </w:t>
      </w:r>
      <w:proofErr w:type="spellStart"/>
      <w:proofErr w:type="gramStart"/>
      <w:r w:rsidR="009240DE" w:rsidRPr="007F7FF5">
        <w:rPr>
          <w:i/>
          <w:color w:val="000000" w:themeColor="text1"/>
        </w:rPr>
        <w:t>H</w:t>
      </w:r>
      <w:r w:rsidR="009240DE" w:rsidRPr="007F7FF5">
        <w:rPr>
          <w:color w:val="000000" w:themeColor="text1"/>
          <w:vertAlign w:val="subscript"/>
        </w:rPr>
        <w:t>p</w:t>
      </w:r>
      <w:proofErr w:type="spellEnd"/>
      <w:r w:rsidR="009240DE" w:rsidRPr="007F7FF5">
        <w:rPr>
          <w:color w:val="000000" w:themeColor="text1"/>
        </w:rPr>
        <w:t>(</w:t>
      </w:r>
      <w:proofErr w:type="gramEnd"/>
      <w:r w:rsidR="009240DE" w:rsidRPr="007F7FF5">
        <w:rPr>
          <w:color w:val="000000" w:themeColor="text1"/>
        </w:rPr>
        <w:t xml:space="preserve">10; 0°) </w:t>
      </w:r>
      <w:r w:rsidR="00DE3FCE" w:rsidRPr="007F7FF5">
        <w:rPr>
          <w:color w:val="000000" w:themeColor="text1"/>
        </w:rPr>
        <w:t xml:space="preserve">is presented. The albedo </w:t>
      </w:r>
      <w:proofErr w:type="spellStart"/>
      <w:r w:rsidR="00EB5933" w:rsidRPr="007F7FF5">
        <w:rPr>
          <w:color w:val="000000" w:themeColor="text1"/>
        </w:rPr>
        <w:t>dosemeter</w:t>
      </w:r>
      <w:proofErr w:type="spellEnd"/>
      <w:r w:rsidR="00DE3FCE" w:rsidRPr="007F7FF5">
        <w:rPr>
          <w:color w:val="000000" w:themeColor="text1"/>
        </w:rPr>
        <w:t xml:space="preserve"> has a nearly constant </w:t>
      </w:r>
      <w:proofErr w:type="spellStart"/>
      <w:r w:rsidR="00DE3FCE" w:rsidRPr="007F7FF5">
        <w:rPr>
          <w:color w:val="000000" w:themeColor="text1"/>
        </w:rPr>
        <w:t>fluence</w:t>
      </w:r>
      <w:proofErr w:type="spellEnd"/>
      <w:r w:rsidR="00DE3FCE" w:rsidRPr="007F7FF5">
        <w:rPr>
          <w:color w:val="000000" w:themeColor="text1"/>
        </w:rPr>
        <w:t xml:space="preserve"> response up to 10 MeV, and therefore the response </w:t>
      </w:r>
      <w:r w:rsidR="009240DE" w:rsidRPr="007F7FF5">
        <w:rPr>
          <w:color w:val="000000" w:themeColor="text1"/>
        </w:rPr>
        <w:t xml:space="preserve">in terms of </w:t>
      </w:r>
      <w:proofErr w:type="spellStart"/>
      <w:proofErr w:type="gramStart"/>
      <w:r w:rsidR="009240DE" w:rsidRPr="007F7FF5">
        <w:rPr>
          <w:i/>
          <w:color w:val="000000" w:themeColor="text1"/>
        </w:rPr>
        <w:t>H</w:t>
      </w:r>
      <w:r w:rsidR="009240DE" w:rsidRPr="007F7FF5">
        <w:rPr>
          <w:color w:val="000000" w:themeColor="text1"/>
          <w:vertAlign w:val="subscript"/>
        </w:rPr>
        <w:t>p</w:t>
      </w:r>
      <w:proofErr w:type="spellEnd"/>
      <w:r w:rsidR="009240DE" w:rsidRPr="007F7FF5">
        <w:rPr>
          <w:color w:val="000000" w:themeColor="text1"/>
        </w:rPr>
        <w:t>(</w:t>
      </w:r>
      <w:proofErr w:type="gramEnd"/>
      <w:r w:rsidR="009240DE" w:rsidRPr="007F7FF5">
        <w:rPr>
          <w:color w:val="000000" w:themeColor="text1"/>
        </w:rPr>
        <w:t xml:space="preserve">10) </w:t>
      </w:r>
      <w:r w:rsidR="00DE3FCE" w:rsidRPr="007F7FF5">
        <w:rPr>
          <w:color w:val="000000" w:themeColor="text1"/>
        </w:rPr>
        <w:t xml:space="preserve">decreases significantly for energies above 10 </w:t>
      </w:r>
      <w:proofErr w:type="spellStart"/>
      <w:r w:rsidR="00DE3FCE" w:rsidRPr="007F7FF5">
        <w:rPr>
          <w:color w:val="000000" w:themeColor="text1"/>
        </w:rPr>
        <w:t>keV</w:t>
      </w:r>
      <w:proofErr w:type="spellEnd"/>
      <w:r w:rsidR="00E727A0" w:rsidRPr="007F7FF5">
        <w:rPr>
          <w:color w:val="000000" w:themeColor="text1"/>
        </w:rPr>
        <w:t>.</w:t>
      </w:r>
      <w:r w:rsidR="00B47EE1" w:rsidRPr="007F7FF5">
        <w:rPr>
          <w:color w:val="000000" w:themeColor="text1"/>
        </w:rPr>
        <w:t xml:space="preserve"> This can be gathered from Figure 1: both graphs begin to diverge at the intersection, which is located at 10 </w:t>
      </w:r>
      <w:proofErr w:type="spellStart"/>
      <w:r w:rsidR="00B47EE1" w:rsidRPr="007F7FF5">
        <w:rPr>
          <w:color w:val="000000" w:themeColor="text1"/>
        </w:rPr>
        <w:t>keV</w:t>
      </w:r>
      <w:proofErr w:type="spellEnd"/>
      <w:r w:rsidR="00B47EE1" w:rsidRPr="007F7FF5">
        <w:rPr>
          <w:color w:val="000000" w:themeColor="text1"/>
        </w:rPr>
        <w:t>.</w:t>
      </w:r>
    </w:p>
    <w:p w:rsidR="003F5B47" w:rsidRPr="007F7FF5" w:rsidRDefault="003F5B47" w:rsidP="00680138">
      <w:pPr>
        <w:jc w:val="both"/>
        <w:rPr>
          <w:color w:val="000000" w:themeColor="text1"/>
        </w:rPr>
      </w:pPr>
    </w:p>
    <w:p w:rsidR="003F5B47" w:rsidRPr="007F7FF5" w:rsidRDefault="003F5B47" w:rsidP="00680138">
      <w:pPr>
        <w:jc w:val="both"/>
        <w:rPr>
          <w:color w:val="000000" w:themeColor="text1"/>
        </w:rPr>
      </w:pPr>
    </w:p>
    <w:p w:rsidR="003F5B47" w:rsidRPr="007F7FF5" w:rsidRDefault="003F5B47" w:rsidP="00680138">
      <w:pPr>
        <w:jc w:val="both"/>
        <w:rPr>
          <w:color w:val="000000" w:themeColor="text1"/>
        </w:rPr>
      </w:pPr>
    </w:p>
    <w:p w:rsidR="003F5B47" w:rsidRPr="007F7FF5" w:rsidRDefault="003F5B47" w:rsidP="00680138">
      <w:pPr>
        <w:jc w:val="both"/>
        <w:rPr>
          <w:color w:val="000000" w:themeColor="text1"/>
        </w:rPr>
      </w:pPr>
    </w:p>
    <w:p w:rsidR="003F5B47" w:rsidRPr="007F7FF5" w:rsidRDefault="003F5B47" w:rsidP="00680138">
      <w:pPr>
        <w:jc w:val="both"/>
        <w:rPr>
          <w:color w:val="000000" w:themeColor="text1"/>
        </w:rPr>
      </w:pPr>
    </w:p>
    <w:p w:rsidR="003F5B47" w:rsidRPr="007F7FF5" w:rsidRDefault="003F5B47" w:rsidP="00680138">
      <w:pPr>
        <w:jc w:val="both"/>
        <w:rPr>
          <w:color w:val="000000" w:themeColor="text1"/>
        </w:rPr>
      </w:pPr>
    </w:p>
    <w:p w:rsidR="003F5B47" w:rsidRPr="007F7FF5" w:rsidRDefault="005B72CB" w:rsidP="00680138">
      <w:pPr>
        <w:jc w:val="both"/>
        <w:rPr>
          <w:color w:val="000000" w:themeColor="text1"/>
        </w:rPr>
      </w:pPr>
      <w:proofErr w:type="gramStart"/>
      <w:r w:rsidRPr="007F7FF5">
        <w:rPr>
          <w:color w:val="000000" w:themeColor="text1"/>
          <w:sz w:val="16"/>
          <w:szCs w:val="16"/>
        </w:rPr>
        <w:t>Figure 1.</w:t>
      </w:r>
      <w:proofErr w:type="gramEnd"/>
      <w:r w:rsidRPr="007F7FF5">
        <w:rPr>
          <w:color w:val="000000" w:themeColor="text1"/>
          <w:sz w:val="16"/>
          <w:szCs w:val="16"/>
        </w:rPr>
        <w:t xml:space="preserve"> </w:t>
      </w:r>
      <w:proofErr w:type="spellStart"/>
      <w:proofErr w:type="gramStart"/>
      <w:r w:rsidRPr="007F7FF5">
        <w:rPr>
          <w:i/>
          <w:color w:val="000000" w:themeColor="text1"/>
          <w:sz w:val="16"/>
          <w:szCs w:val="16"/>
        </w:rPr>
        <w:t>H</w:t>
      </w:r>
      <w:r w:rsidRPr="007F7FF5">
        <w:rPr>
          <w:color w:val="000000" w:themeColor="text1"/>
          <w:sz w:val="16"/>
          <w:szCs w:val="16"/>
          <w:vertAlign w:val="subscript"/>
        </w:rPr>
        <w:t>p</w:t>
      </w:r>
      <w:proofErr w:type="spellEnd"/>
      <w:r w:rsidRPr="007F7FF5">
        <w:rPr>
          <w:color w:val="000000" w:themeColor="text1"/>
          <w:sz w:val="16"/>
          <w:szCs w:val="16"/>
        </w:rPr>
        <w:t>(</w:t>
      </w:r>
      <w:proofErr w:type="gramEnd"/>
      <w:r w:rsidRPr="007F7FF5">
        <w:rPr>
          <w:color w:val="000000" w:themeColor="text1"/>
          <w:sz w:val="16"/>
          <w:szCs w:val="16"/>
        </w:rPr>
        <w:t xml:space="preserve">10) response of an albedo </w:t>
      </w:r>
      <w:proofErr w:type="spellStart"/>
      <w:r w:rsidRPr="007F7FF5">
        <w:rPr>
          <w:color w:val="000000" w:themeColor="text1"/>
          <w:sz w:val="16"/>
          <w:szCs w:val="16"/>
        </w:rPr>
        <w:t>dosemeter</w:t>
      </w:r>
      <w:proofErr w:type="spellEnd"/>
      <w:r w:rsidRPr="007F7FF5">
        <w:rPr>
          <w:color w:val="000000" w:themeColor="text1"/>
          <w:sz w:val="16"/>
          <w:szCs w:val="16"/>
        </w:rPr>
        <w:t xml:space="preserve"> (arbitrary units) and </w:t>
      </w:r>
      <w:proofErr w:type="spellStart"/>
      <w:r w:rsidRPr="007F7FF5">
        <w:rPr>
          <w:color w:val="000000" w:themeColor="text1"/>
          <w:sz w:val="16"/>
          <w:szCs w:val="16"/>
        </w:rPr>
        <w:t>fluence</w:t>
      </w:r>
      <w:proofErr w:type="spellEnd"/>
      <w:r w:rsidRPr="007F7FF5">
        <w:rPr>
          <w:color w:val="000000" w:themeColor="text1"/>
          <w:sz w:val="16"/>
          <w:szCs w:val="16"/>
        </w:rPr>
        <w:t xml:space="preserve"> to personal dose equivalent conversion coefficient for neutrons and </w:t>
      </w:r>
      <w:proofErr w:type="spellStart"/>
      <w:r w:rsidRPr="007F7FF5">
        <w:rPr>
          <w:i/>
          <w:color w:val="000000" w:themeColor="text1"/>
          <w:sz w:val="16"/>
          <w:szCs w:val="16"/>
        </w:rPr>
        <w:t>H</w:t>
      </w:r>
      <w:r w:rsidRPr="007F7FF5">
        <w:rPr>
          <w:color w:val="000000" w:themeColor="text1"/>
          <w:sz w:val="16"/>
          <w:szCs w:val="16"/>
          <w:vertAlign w:val="subscript"/>
        </w:rPr>
        <w:t>p</w:t>
      </w:r>
      <w:proofErr w:type="spellEnd"/>
      <w:r w:rsidRPr="007F7FF5">
        <w:rPr>
          <w:color w:val="000000" w:themeColor="text1"/>
          <w:sz w:val="16"/>
          <w:szCs w:val="16"/>
        </w:rPr>
        <w:t>(10;0°) (</w:t>
      </w:r>
      <w:proofErr w:type="spellStart"/>
      <w:r w:rsidRPr="007F7FF5">
        <w:rPr>
          <w:color w:val="000000" w:themeColor="text1"/>
          <w:sz w:val="16"/>
          <w:szCs w:val="16"/>
        </w:rPr>
        <w:t>pSv</w:t>
      </w:r>
      <w:proofErr w:type="spellEnd"/>
      <w:r w:rsidRPr="007F7FF5">
        <w:rPr>
          <w:color w:val="000000" w:themeColor="text1"/>
          <w:sz w:val="16"/>
          <w:szCs w:val="16"/>
        </w:rPr>
        <w:t xml:space="preserve"> · cm</w:t>
      </w:r>
      <w:r w:rsidRPr="007F7FF5">
        <w:rPr>
          <w:color w:val="000000" w:themeColor="text1"/>
          <w:sz w:val="16"/>
          <w:szCs w:val="16"/>
          <w:vertAlign w:val="superscript"/>
        </w:rPr>
        <w:t>2</w:t>
      </w:r>
      <w:r w:rsidRPr="007F7FF5">
        <w:rPr>
          <w:color w:val="000000" w:themeColor="text1"/>
          <w:sz w:val="16"/>
          <w:szCs w:val="16"/>
        </w:rPr>
        <w:t>).  Data are taken from Reference 2 (table 3</w:t>
      </w:r>
      <w:r w:rsidR="001139B8" w:rsidRPr="007F7FF5">
        <w:rPr>
          <w:color w:val="000000" w:themeColor="text1"/>
          <w:sz w:val="16"/>
          <w:szCs w:val="16"/>
        </w:rPr>
        <w:t>.</w:t>
      </w:r>
      <w:r w:rsidRPr="007F7FF5">
        <w:rPr>
          <w:color w:val="000000" w:themeColor="text1"/>
          <w:sz w:val="16"/>
          <w:szCs w:val="16"/>
        </w:rPr>
        <w:t>XXV, column 2 and table 2</w:t>
      </w:r>
      <w:r w:rsidR="001139B8" w:rsidRPr="007F7FF5">
        <w:rPr>
          <w:color w:val="000000" w:themeColor="text1"/>
          <w:sz w:val="16"/>
          <w:szCs w:val="16"/>
        </w:rPr>
        <w:t>.</w:t>
      </w:r>
      <w:r w:rsidRPr="007F7FF5">
        <w:rPr>
          <w:color w:val="000000" w:themeColor="text1"/>
          <w:sz w:val="16"/>
          <w:szCs w:val="16"/>
        </w:rPr>
        <w:t xml:space="preserve"> </w:t>
      </w:r>
      <w:proofErr w:type="gramStart"/>
      <w:r w:rsidRPr="007F7FF5">
        <w:rPr>
          <w:color w:val="000000" w:themeColor="text1"/>
          <w:sz w:val="16"/>
          <w:szCs w:val="16"/>
        </w:rPr>
        <w:t>III, column 3).</w:t>
      </w:r>
      <w:proofErr w:type="gramEnd"/>
    </w:p>
    <w:p w:rsidR="003F5B47" w:rsidRPr="007F7FF5" w:rsidRDefault="003F5B47" w:rsidP="00680138">
      <w:pPr>
        <w:jc w:val="both"/>
        <w:rPr>
          <w:color w:val="000000" w:themeColor="text1"/>
        </w:rPr>
      </w:pPr>
    </w:p>
    <w:p w:rsidR="00EB1B02" w:rsidRPr="007F7FF5" w:rsidRDefault="00EB1B02" w:rsidP="00680138">
      <w:pPr>
        <w:jc w:val="both"/>
        <w:rPr>
          <w:color w:val="000000" w:themeColor="text1"/>
        </w:rPr>
      </w:pPr>
    </w:p>
    <w:p w:rsidR="00EB1B02" w:rsidRPr="007F7FF5" w:rsidRDefault="00EB1B02" w:rsidP="00680138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>The energy spectra of the neutrons fields at high-energy accelerators typically show two pronounced peaks around 1 and 100 MeV.</w:t>
      </w:r>
    </w:p>
    <w:p w:rsidR="00680138" w:rsidRPr="007F7FF5" w:rsidRDefault="00680138" w:rsidP="00680138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This can be taken from </w:t>
      </w:r>
      <w:r w:rsidR="003B766B" w:rsidRPr="007F7FF5">
        <w:rPr>
          <w:color w:val="000000" w:themeColor="text1"/>
        </w:rPr>
        <w:t>Figure</w:t>
      </w:r>
      <w:r w:rsidRPr="007F7FF5">
        <w:rPr>
          <w:color w:val="000000" w:themeColor="text1"/>
        </w:rPr>
        <w:t xml:space="preserve"> 2, where the energy spectra at CERF and of a bare </w:t>
      </w:r>
      <w:r w:rsidRPr="007F7FF5">
        <w:rPr>
          <w:color w:val="000000" w:themeColor="text1"/>
          <w:vertAlign w:val="superscript"/>
        </w:rPr>
        <w:t>252</w:t>
      </w:r>
      <w:r w:rsidRPr="007F7FF5">
        <w:rPr>
          <w:color w:val="000000" w:themeColor="text1"/>
        </w:rPr>
        <w:t>Cf source are presen</w:t>
      </w:r>
      <w:r w:rsidRPr="007F7FF5">
        <w:rPr>
          <w:color w:val="000000" w:themeColor="text1"/>
        </w:rPr>
        <w:t>t</w:t>
      </w:r>
      <w:r w:rsidRPr="007F7FF5">
        <w:rPr>
          <w:color w:val="000000" w:themeColor="text1"/>
        </w:rPr>
        <w:t xml:space="preserve">ed. The albedo </w:t>
      </w:r>
      <w:proofErr w:type="spellStart"/>
      <w:r w:rsidR="00EB5933" w:rsidRPr="007F7FF5">
        <w:rPr>
          <w:color w:val="000000" w:themeColor="text1"/>
        </w:rPr>
        <w:t>dosemeter</w:t>
      </w:r>
      <w:proofErr w:type="spellEnd"/>
      <w:r w:rsidRPr="007F7FF5">
        <w:rPr>
          <w:color w:val="000000" w:themeColor="text1"/>
        </w:rPr>
        <w:t xml:space="preserve"> is nearly “blind” for neutrons in this energy region, but the CERF spectra also show that a significant part of the spectra consists of neutrons with thermal and intermediate energies. A calibration measurement of albedo </w:t>
      </w:r>
      <w:proofErr w:type="spellStart"/>
      <w:r w:rsidR="00EB5933" w:rsidRPr="007F7FF5">
        <w:rPr>
          <w:color w:val="000000" w:themeColor="text1"/>
        </w:rPr>
        <w:t>dosemeter</w:t>
      </w:r>
      <w:r w:rsidRPr="007F7FF5">
        <w:rPr>
          <w:color w:val="000000" w:themeColor="text1"/>
        </w:rPr>
        <w:t>s</w:t>
      </w:r>
      <w:proofErr w:type="spellEnd"/>
      <w:r w:rsidRPr="007F7FF5">
        <w:rPr>
          <w:color w:val="000000" w:themeColor="text1"/>
        </w:rPr>
        <w:t xml:space="preserve"> in the field of a </w:t>
      </w:r>
      <w:r w:rsidRPr="007F7FF5">
        <w:rPr>
          <w:color w:val="000000" w:themeColor="text1"/>
          <w:vertAlign w:val="superscript"/>
        </w:rPr>
        <w:t>252</w:t>
      </w:r>
      <w:r w:rsidRPr="007F7FF5">
        <w:rPr>
          <w:color w:val="000000" w:themeColor="text1"/>
        </w:rPr>
        <w:t xml:space="preserve">Cf source can be performed at the </w:t>
      </w:r>
      <w:proofErr w:type="spellStart"/>
      <w:r w:rsidRPr="007F7FF5">
        <w:rPr>
          <w:color w:val="000000" w:themeColor="text1"/>
        </w:rPr>
        <w:t>Physikalisch-Technische</w:t>
      </w:r>
      <w:proofErr w:type="spellEnd"/>
      <w:r w:rsidRPr="007F7FF5">
        <w:rPr>
          <w:color w:val="000000" w:themeColor="text1"/>
        </w:rPr>
        <w:t xml:space="preserve"> </w:t>
      </w:r>
      <w:proofErr w:type="spellStart"/>
      <w:r w:rsidRPr="007F7FF5">
        <w:rPr>
          <w:color w:val="000000" w:themeColor="text1"/>
        </w:rPr>
        <w:t>Bundesanstalt</w:t>
      </w:r>
      <w:proofErr w:type="spellEnd"/>
      <w:r w:rsidRPr="007F7FF5">
        <w:rPr>
          <w:color w:val="000000" w:themeColor="text1"/>
        </w:rPr>
        <w:t xml:space="preserve"> (PTB), but it is not clear whether this calibration </w:t>
      </w:r>
      <w:r w:rsidR="003F5B47" w:rsidRPr="007F7FF5">
        <w:rPr>
          <w:color w:val="000000" w:themeColor="text1"/>
        </w:rPr>
        <w:t xml:space="preserve">is also valid for workplaces at </w:t>
      </w:r>
      <w:r w:rsidR="000275AA" w:rsidRPr="007F7FF5">
        <w:rPr>
          <w:color w:val="000000" w:themeColor="text1"/>
        </w:rPr>
        <w:t>high-energy</w:t>
      </w:r>
      <w:r w:rsidR="003F5B47" w:rsidRPr="007F7FF5">
        <w:rPr>
          <w:color w:val="000000" w:themeColor="text1"/>
        </w:rPr>
        <w:t xml:space="preserve"> accelerators, because a </w:t>
      </w:r>
      <w:r w:rsidR="003F5B47" w:rsidRPr="007F7FF5">
        <w:rPr>
          <w:color w:val="000000" w:themeColor="text1"/>
          <w:vertAlign w:val="superscript"/>
        </w:rPr>
        <w:t>252</w:t>
      </w:r>
      <w:r w:rsidR="003F5B47" w:rsidRPr="007F7FF5">
        <w:rPr>
          <w:color w:val="000000" w:themeColor="text1"/>
        </w:rPr>
        <w:t xml:space="preserve">Cf source does </w:t>
      </w:r>
      <w:r w:rsidR="003F5B47" w:rsidRPr="007F7FF5">
        <w:rPr>
          <w:color w:val="000000" w:themeColor="text1"/>
        </w:rPr>
        <w:lastRenderedPageBreak/>
        <w:t xml:space="preserve">not deliver neutrons with energies above 10 MeV.  This was the motivation for a field calibration at CERF </w:t>
      </w:r>
      <w:r w:rsidR="003F5B47" w:rsidRPr="007F7FF5">
        <w:rPr>
          <w:rFonts w:ascii="Times New Roman" w:hAnsi="Times New Roman"/>
          <w:color w:val="000000" w:themeColor="text1"/>
          <w:szCs w:val="18"/>
          <w:lang w:val="en-GB"/>
        </w:rPr>
        <w:t>(</w:t>
      </w:r>
      <w:r w:rsidR="003F5B47" w:rsidRPr="007F7FF5">
        <w:rPr>
          <w:rFonts w:ascii="Times New Roman" w:hAnsi="Times New Roman"/>
          <w:bCs/>
          <w:color w:val="000000" w:themeColor="text1"/>
          <w:szCs w:val="18"/>
          <w:lang w:eastAsia="de-DE"/>
        </w:rPr>
        <w:t>CERN–EU high-energy Reference Field</w:t>
      </w:r>
      <w:proofErr w:type="gramStart"/>
      <w:r w:rsidR="003F5B47" w:rsidRPr="007F7FF5">
        <w:rPr>
          <w:rFonts w:ascii="Times New Roman" w:hAnsi="Times New Roman"/>
          <w:bCs/>
          <w:color w:val="000000" w:themeColor="text1"/>
          <w:szCs w:val="18"/>
          <w:lang w:eastAsia="de-DE"/>
        </w:rPr>
        <w:t>)</w:t>
      </w:r>
      <w:r w:rsidR="003F5B47" w:rsidRPr="007F7FF5">
        <w:rPr>
          <w:rFonts w:ascii="Times New Roman" w:hAnsi="Times New Roman"/>
          <w:bCs/>
          <w:color w:val="000000" w:themeColor="text1"/>
          <w:szCs w:val="18"/>
          <w:vertAlign w:val="superscript"/>
          <w:lang w:eastAsia="de-DE"/>
        </w:rPr>
        <w:t>(</w:t>
      </w:r>
      <w:proofErr w:type="gramEnd"/>
      <w:r w:rsidR="003F5B47" w:rsidRPr="007F7FF5">
        <w:rPr>
          <w:rFonts w:ascii="Times New Roman" w:hAnsi="Times New Roman"/>
          <w:bCs/>
          <w:color w:val="000000" w:themeColor="text1"/>
          <w:szCs w:val="18"/>
          <w:vertAlign w:val="superscript"/>
          <w:lang w:eastAsia="de-DE"/>
        </w:rPr>
        <w:t>3)</w:t>
      </w:r>
      <w:r w:rsidR="003F5B47" w:rsidRPr="007F7FF5">
        <w:rPr>
          <w:rFonts w:ascii="Times New Roman" w:hAnsi="Times New Roman"/>
          <w:bCs/>
          <w:color w:val="000000" w:themeColor="text1"/>
          <w:szCs w:val="18"/>
          <w:lang w:eastAsia="de-DE"/>
        </w:rPr>
        <w:t xml:space="preserve">. This field is primarily used for the calibration of neutron monitors which are used in flight dosimetry. The CERF field can be regarded as typical for other </w:t>
      </w:r>
      <w:r w:rsidR="000275AA" w:rsidRPr="007F7FF5">
        <w:rPr>
          <w:rFonts w:ascii="Times New Roman" w:hAnsi="Times New Roman"/>
          <w:bCs/>
          <w:color w:val="000000" w:themeColor="text1"/>
          <w:szCs w:val="18"/>
          <w:lang w:eastAsia="de-DE"/>
        </w:rPr>
        <w:t>high-energy</w:t>
      </w:r>
      <w:r w:rsidR="003F5B47" w:rsidRPr="007F7FF5">
        <w:rPr>
          <w:rFonts w:ascii="Times New Roman" w:hAnsi="Times New Roman"/>
          <w:bCs/>
          <w:color w:val="000000" w:themeColor="text1"/>
          <w:szCs w:val="18"/>
          <w:lang w:eastAsia="de-DE"/>
        </w:rPr>
        <w:t xml:space="preserve"> acceler</w:t>
      </w:r>
      <w:r w:rsidR="003F5B47" w:rsidRPr="007F7FF5">
        <w:rPr>
          <w:rFonts w:ascii="Times New Roman" w:hAnsi="Times New Roman"/>
          <w:bCs/>
          <w:color w:val="000000" w:themeColor="text1"/>
          <w:szCs w:val="18"/>
          <w:lang w:eastAsia="de-DE"/>
        </w:rPr>
        <w:t>a</w:t>
      </w:r>
      <w:r w:rsidR="003F5B47" w:rsidRPr="007F7FF5">
        <w:rPr>
          <w:rFonts w:ascii="Times New Roman" w:hAnsi="Times New Roman"/>
          <w:bCs/>
          <w:color w:val="000000" w:themeColor="text1"/>
          <w:szCs w:val="18"/>
          <w:lang w:eastAsia="de-DE"/>
        </w:rPr>
        <w:t xml:space="preserve">tors, </w:t>
      </w:r>
      <w:r w:rsidR="00F33346" w:rsidRPr="007F7FF5">
        <w:rPr>
          <w:rFonts w:ascii="Times New Roman" w:hAnsi="Times New Roman"/>
          <w:bCs/>
          <w:color w:val="000000" w:themeColor="text1"/>
          <w:szCs w:val="18"/>
          <w:lang w:eastAsia="de-DE"/>
        </w:rPr>
        <w:t>e.g.</w:t>
      </w:r>
      <w:r w:rsidR="003F5B47" w:rsidRPr="007F7FF5">
        <w:rPr>
          <w:rFonts w:ascii="Times New Roman" w:hAnsi="Times New Roman"/>
          <w:bCs/>
          <w:color w:val="000000" w:themeColor="text1"/>
          <w:szCs w:val="18"/>
          <w:lang w:eastAsia="de-DE"/>
        </w:rPr>
        <w:t xml:space="preserve"> the GSI heavy ion accelerator in </w:t>
      </w:r>
      <w:proofErr w:type="gramStart"/>
      <w:r w:rsidR="003F5B47" w:rsidRPr="007F7FF5">
        <w:rPr>
          <w:rFonts w:ascii="Times New Roman" w:hAnsi="Times New Roman"/>
          <w:bCs/>
          <w:color w:val="000000" w:themeColor="text1"/>
          <w:szCs w:val="18"/>
          <w:lang w:eastAsia="de-DE"/>
        </w:rPr>
        <w:t>Darmstadt</w:t>
      </w:r>
      <w:r w:rsidR="003F5B47" w:rsidRPr="007F7FF5">
        <w:rPr>
          <w:rFonts w:ascii="Times New Roman" w:hAnsi="Times New Roman"/>
          <w:bCs/>
          <w:color w:val="000000" w:themeColor="text1"/>
          <w:szCs w:val="18"/>
          <w:vertAlign w:val="superscript"/>
          <w:lang w:eastAsia="de-DE"/>
        </w:rPr>
        <w:t>(</w:t>
      </w:r>
      <w:proofErr w:type="gramEnd"/>
      <w:r w:rsidR="003F5B47" w:rsidRPr="007F7FF5">
        <w:rPr>
          <w:rFonts w:ascii="Times New Roman" w:hAnsi="Times New Roman"/>
          <w:bCs/>
          <w:color w:val="000000" w:themeColor="text1"/>
          <w:szCs w:val="18"/>
          <w:vertAlign w:val="superscript"/>
          <w:lang w:eastAsia="de-DE"/>
        </w:rPr>
        <w:t xml:space="preserve">4) </w:t>
      </w:r>
      <w:r w:rsidR="003F5B47" w:rsidRPr="007F7FF5">
        <w:rPr>
          <w:rFonts w:ascii="Times New Roman" w:hAnsi="Times New Roman"/>
          <w:bCs/>
          <w:color w:val="000000" w:themeColor="text1"/>
          <w:szCs w:val="18"/>
          <w:lang w:eastAsia="de-DE"/>
        </w:rPr>
        <w:t>or  medical accelerators</w:t>
      </w:r>
      <w:r w:rsidR="003F5B47" w:rsidRPr="007F7FF5">
        <w:rPr>
          <w:rFonts w:ascii="Times New Roman" w:hAnsi="Times New Roman"/>
          <w:bCs/>
          <w:color w:val="000000" w:themeColor="text1"/>
          <w:szCs w:val="18"/>
          <w:vertAlign w:val="superscript"/>
          <w:lang w:eastAsia="de-DE"/>
        </w:rPr>
        <w:t xml:space="preserve"> </w:t>
      </w:r>
      <w:r w:rsidR="00F33346" w:rsidRPr="007F7FF5">
        <w:rPr>
          <w:rFonts w:ascii="Times New Roman" w:hAnsi="Times New Roman"/>
          <w:bCs/>
          <w:color w:val="000000" w:themeColor="text1"/>
          <w:szCs w:val="18"/>
          <w:lang w:eastAsia="de-DE"/>
        </w:rPr>
        <w:t>like</w:t>
      </w:r>
      <w:r w:rsidR="003F5B47" w:rsidRPr="007F7FF5">
        <w:rPr>
          <w:rFonts w:ascii="Times New Roman" w:hAnsi="Times New Roman"/>
          <w:bCs/>
          <w:color w:val="000000" w:themeColor="text1"/>
          <w:szCs w:val="18"/>
          <w:lang w:eastAsia="de-DE"/>
        </w:rPr>
        <w:t xml:space="preserve"> proton therapy centers.</w:t>
      </w:r>
    </w:p>
    <w:p w:rsidR="004A775E" w:rsidRPr="007F7FF5" w:rsidRDefault="004A775E" w:rsidP="0081153A">
      <w:pPr>
        <w:pStyle w:val="ParaNoInd"/>
        <w:rPr>
          <w:color w:val="000000" w:themeColor="text1"/>
        </w:rPr>
      </w:pPr>
    </w:p>
    <w:p w:rsidR="004A775E" w:rsidRPr="007F7FF5" w:rsidRDefault="004A775E" w:rsidP="0081153A">
      <w:pPr>
        <w:pStyle w:val="ParaNoInd"/>
        <w:rPr>
          <w:color w:val="000000" w:themeColor="text1"/>
        </w:rPr>
      </w:pPr>
    </w:p>
    <w:p w:rsidR="004A775E" w:rsidRPr="007F7FF5" w:rsidRDefault="004A775E" w:rsidP="00DE3FCE">
      <w:pPr>
        <w:pStyle w:val="ParaNoInd"/>
        <w:jc w:val="left"/>
        <w:rPr>
          <w:color w:val="000000" w:themeColor="text1"/>
          <w:lang w:val="en-GB"/>
        </w:rPr>
      </w:pPr>
    </w:p>
    <w:p w:rsidR="004A775E" w:rsidRPr="007F7FF5" w:rsidRDefault="004A775E" w:rsidP="0081153A">
      <w:pPr>
        <w:pStyle w:val="ParaNoInd"/>
        <w:rPr>
          <w:color w:val="000000" w:themeColor="text1"/>
          <w:lang w:val="en-GB"/>
        </w:rPr>
      </w:pPr>
    </w:p>
    <w:p w:rsidR="00EB1B02" w:rsidRPr="007F7FF5" w:rsidRDefault="00EB1B02" w:rsidP="0081153A">
      <w:pPr>
        <w:pStyle w:val="ParaNoInd"/>
        <w:rPr>
          <w:color w:val="000000" w:themeColor="text1"/>
          <w:lang w:val="en-GB"/>
        </w:rPr>
      </w:pPr>
    </w:p>
    <w:p w:rsidR="00EB1B02" w:rsidRPr="007F7FF5" w:rsidRDefault="00EB1B02" w:rsidP="0081153A">
      <w:pPr>
        <w:pStyle w:val="ParaNoInd"/>
        <w:rPr>
          <w:color w:val="000000" w:themeColor="text1"/>
          <w:lang w:val="en-GB"/>
        </w:rPr>
      </w:pPr>
    </w:p>
    <w:p w:rsidR="00EB1B02" w:rsidRPr="007F7FF5" w:rsidRDefault="00EB1B02" w:rsidP="0081153A">
      <w:pPr>
        <w:pStyle w:val="ParaNoInd"/>
        <w:rPr>
          <w:color w:val="000000" w:themeColor="text1"/>
          <w:lang w:val="en-GB"/>
        </w:rPr>
      </w:pPr>
    </w:p>
    <w:p w:rsidR="00EB1B02" w:rsidRPr="007F7FF5" w:rsidRDefault="00EB1B02" w:rsidP="0081153A">
      <w:pPr>
        <w:pStyle w:val="ParaNoInd"/>
        <w:rPr>
          <w:color w:val="000000" w:themeColor="text1"/>
          <w:lang w:val="en-GB"/>
        </w:rPr>
      </w:pPr>
    </w:p>
    <w:p w:rsidR="00EB1B02" w:rsidRPr="007F7FF5" w:rsidRDefault="00EB1B02" w:rsidP="0081153A">
      <w:pPr>
        <w:pStyle w:val="ParaNoInd"/>
        <w:rPr>
          <w:color w:val="000000" w:themeColor="text1"/>
          <w:lang w:val="en-GB"/>
        </w:rPr>
      </w:pPr>
    </w:p>
    <w:p w:rsidR="00EB1B02" w:rsidRPr="007F7FF5" w:rsidRDefault="00EB1B02" w:rsidP="0081153A">
      <w:pPr>
        <w:pStyle w:val="ParaNoInd"/>
        <w:rPr>
          <w:color w:val="000000" w:themeColor="text1"/>
          <w:lang w:val="en-GB"/>
        </w:rPr>
      </w:pPr>
    </w:p>
    <w:p w:rsidR="00EB1B02" w:rsidRPr="007F7FF5" w:rsidRDefault="00690F71" w:rsidP="0081153A">
      <w:pPr>
        <w:pStyle w:val="ParaNoInd"/>
        <w:rPr>
          <w:color w:val="000000" w:themeColor="text1"/>
          <w:lang w:val="en-GB"/>
        </w:rPr>
      </w:pPr>
      <w:proofErr w:type="gramStart"/>
      <w:r w:rsidRPr="007F7FF5">
        <w:rPr>
          <w:color w:val="000000" w:themeColor="text1"/>
          <w:sz w:val="16"/>
          <w:szCs w:val="16"/>
        </w:rPr>
        <w:t>Figure 2.</w:t>
      </w:r>
      <w:proofErr w:type="gramEnd"/>
      <w:r w:rsidRPr="007F7FF5">
        <w:rPr>
          <w:color w:val="000000" w:themeColor="text1"/>
          <w:sz w:val="16"/>
          <w:szCs w:val="16"/>
        </w:rPr>
        <w:t xml:space="preserve"> </w:t>
      </w:r>
      <w:proofErr w:type="gramStart"/>
      <w:r w:rsidRPr="007F7FF5">
        <w:rPr>
          <w:color w:val="000000" w:themeColor="text1"/>
          <w:sz w:val="16"/>
          <w:szCs w:val="16"/>
        </w:rPr>
        <w:t xml:space="preserve">Energy spectra of neutron fields at CERF and of a bare </w:t>
      </w:r>
      <w:r w:rsidRPr="007F7FF5">
        <w:rPr>
          <w:color w:val="000000" w:themeColor="text1"/>
          <w:sz w:val="16"/>
          <w:szCs w:val="16"/>
          <w:vertAlign w:val="superscript"/>
        </w:rPr>
        <w:t>252</w:t>
      </w:r>
      <w:r w:rsidRPr="007F7FF5">
        <w:rPr>
          <w:color w:val="000000" w:themeColor="text1"/>
          <w:sz w:val="16"/>
          <w:szCs w:val="16"/>
        </w:rPr>
        <w:t>Cf source (at a distance of 170 cm).</w:t>
      </w:r>
      <w:proofErr w:type="gramEnd"/>
      <w:r w:rsidRPr="007F7FF5">
        <w:rPr>
          <w:color w:val="000000" w:themeColor="text1"/>
          <w:sz w:val="16"/>
          <w:szCs w:val="16"/>
        </w:rPr>
        <w:t xml:space="preserve"> Data are taken from Reference 2 (table 4</w:t>
      </w:r>
      <w:r w:rsidR="001139B8" w:rsidRPr="007F7FF5">
        <w:rPr>
          <w:color w:val="000000" w:themeColor="text1"/>
          <w:sz w:val="16"/>
          <w:szCs w:val="16"/>
        </w:rPr>
        <w:t>.</w:t>
      </w:r>
      <w:r w:rsidRPr="007F7FF5">
        <w:rPr>
          <w:color w:val="000000" w:themeColor="text1"/>
          <w:sz w:val="16"/>
          <w:szCs w:val="16"/>
        </w:rPr>
        <w:t>XXIII, columns 2 and 3 and table 4</w:t>
      </w:r>
      <w:r w:rsidR="001139B8" w:rsidRPr="007F7FF5">
        <w:rPr>
          <w:color w:val="000000" w:themeColor="text1"/>
          <w:sz w:val="16"/>
          <w:szCs w:val="16"/>
        </w:rPr>
        <w:t>.</w:t>
      </w:r>
      <w:r w:rsidRPr="007F7FF5">
        <w:rPr>
          <w:color w:val="000000" w:themeColor="text1"/>
          <w:sz w:val="16"/>
          <w:szCs w:val="16"/>
        </w:rPr>
        <w:t xml:space="preserve"> </w:t>
      </w:r>
      <w:proofErr w:type="gramStart"/>
      <w:r w:rsidRPr="007F7FF5">
        <w:rPr>
          <w:color w:val="000000" w:themeColor="text1"/>
          <w:sz w:val="16"/>
          <w:szCs w:val="16"/>
        </w:rPr>
        <w:t>VI, column 2).</w:t>
      </w:r>
      <w:proofErr w:type="gramEnd"/>
    </w:p>
    <w:p w:rsidR="004A775E" w:rsidRPr="007F7FF5" w:rsidRDefault="004A775E" w:rsidP="0081153A">
      <w:pPr>
        <w:pStyle w:val="ParaNoInd"/>
        <w:rPr>
          <w:color w:val="000000" w:themeColor="text1"/>
          <w:sz w:val="16"/>
          <w:szCs w:val="16"/>
          <w:lang w:val="en-GB"/>
        </w:rPr>
      </w:pPr>
    </w:p>
    <w:p w:rsidR="00EB1B02" w:rsidRPr="007F7FF5" w:rsidRDefault="00EB1B02" w:rsidP="0080671A">
      <w:pPr>
        <w:pStyle w:val="ParaNoInd"/>
        <w:rPr>
          <w:rFonts w:ascii="Times New Roman" w:hAnsi="Times New Roman"/>
          <w:bCs/>
          <w:caps/>
          <w:color w:val="000000" w:themeColor="text1"/>
          <w:szCs w:val="18"/>
          <w:lang w:eastAsia="de-DE"/>
        </w:rPr>
      </w:pPr>
    </w:p>
    <w:p w:rsidR="001B50AF" w:rsidRPr="007F7FF5" w:rsidRDefault="004C0669" w:rsidP="0080671A">
      <w:pPr>
        <w:pStyle w:val="ParaNoInd"/>
        <w:rPr>
          <w:rFonts w:ascii="Times New Roman" w:hAnsi="Times New Roman"/>
          <w:bCs/>
          <w:caps/>
          <w:color w:val="000000" w:themeColor="text1"/>
          <w:szCs w:val="18"/>
          <w:lang w:eastAsia="de-DE"/>
        </w:rPr>
      </w:pPr>
      <w:r w:rsidRPr="007F7FF5">
        <w:rPr>
          <w:rFonts w:ascii="Times New Roman" w:hAnsi="Times New Roman"/>
          <w:bCs/>
          <w:caps/>
          <w:color w:val="000000" w:themeColor="text1"/>
          <w:szCs w:val="18"/>
          <w:lang w:eastAsia="de-DE"/>
        </w:rPr>
        <w:t xml:space="preserve">Measurement Principle </w:t>
      </w:r>
      <w:r w:rsidR="00775E9D" w:rsidRPr="007F7FF5">
        <w:rPr>
          <w:rFonts w:ascii="Times New Roman" w:hAnsi="Times New Roman"/>
          <w:bCs/>
          <w:caps/>
          <w:color w:val="000000" w:themeColor="text1"/>
          <w:szCs w:val="18"/>
          <w:lang w:eastAsia="de-DE"/>
        </w:rPr>
        <w:t xml:space="preserve">of </w:t>
      </w:r>
      <w:r w:rsidR="001B50AF" w:rsidRPr="007F7FF5">
        <w:rPr>
          <w:rFonts w:ascii="Times New Roman" w:hAnsi="Times New Roman"/>
          <w:bCs/>
          <w:caps/>
          <w:color w:val="000000" w:themeColor="text1"/>
          <w:szCs w:val="18"/>
          <w:lang w:eastAsia="de-DE"/>
        </w:rPr>
        <w:t xml:space="preserve">albedo </w:t>
      </w:r>
      <w:r w:rsidR="00EB5933" w:rsidRPr="007F7FF5">
        <w:rPr>
          <w:rFonts w:ascii="Times New Roman" w:hAnsi="Times New Roman"/>
          <w:bCs/>
          <w:caps/>
          <w:color w:val="000000" w:themeColor="text1"/>
          <w:szCs w:val="18"/>
          <w:lang w:eastAsia="de-DE"/>
        </w:rPr>
        <w:t>dosemeter</w:t>
      </w:r>
      <w:r w:rsidR="00775E9D" w:rsidRPr="007F7FF5">
        <w:rPr>
          <w:rFonts w:ascii="Times New Roman" w:hAnsi="Times New Roman"/>
          <w:bCs/>
          <w:caps/>
          <w:color w:val="000000" w:themeColor="text1"/>
          <w:szCs w:val="18"/>
          <w:lang w:eastAsia="de-DE"/>
        </w:rPr>
        <w:t>s</w:t>
      </w:r>
    </w:p>
    <w:p w:rsidR="00C4401A" w:rsidRPr="007F7FF5" w:rsidRDefault="00C4401A" w:rsidP="0080671A">
      <w:pPr>
        <w:pStyle w:val="ParaNoInd"/>
        <w:rPr>
          <w:caps/>
          <w:color w:val="000000" w:themeColor="text1"/>
          <w:lang w:val="en-GB"/>
        </w:rPr>
      </w:pPr>
    </w:p>
    <w:p w:rsidR="001B50AF" w:rsidRPr="007F7FF5" w:rsidRDefault="001B50AF" w:rsidP="001B50AF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>The measurement principle</w:t>
      </w:r>
      <w:r w:rsidR="0054218D" w:rsidRPr="007F7FF5">
        <w:rPr>
          <w:color w:val="000000" w:themeColor="text1"/>
        </w:rPr>
        <w:t xml:space="preserve"> </w:t>
      </w:r>
      <w:r w:rsidRPr="007F7FF5">
        <w:rPr>
          <w:color w:val="000000" w:themeColor="text1"/>
        </w:rPr>
        <w:t xml:space="preserve">of a TLD albedo </w:t>
      </w:r>
      <w:proofErr w:type="spellStart"/>
      <w:r w:rsidR="00EB5933" w:rsidRPr="007F7FF5">
        <w:rPr>
          <w:color w:val="000000" w:themeColor="text1"/>
        </w:rPr>
        <w:t>dosemeter</w:t>
      </w:r>
      <w:proofErr w:type="spellEnd"/>
      <w:r w:rsidRPr="007F7FF5">
        <w:rPr>
          <w:color w:val="000000" w:themeColor="text1"/>
        </w:rPr>
        <w:t xml:space="preserve"> is well established in neutron dosimetry since many </w:t>
      </w:r>
      <w:proofErr w:type="gramStart"/>
      <w:r w:rsidRPr="007F7FF5">
        <w:rPr>
          <w:color w:val="000000" w:themeColor="text1"/>
        </w:rPr>
        <w:t>years</w:t>
      </w:r>
      <w:r w:rsidR="00F31143" w:rsidRPr="007F7FF5">
        <w:rPr>
          <w:color w:val="000000" w:themeColor="text1"/>
          <w:vertAlign w:val="superscript"/>
        </w:rPr>
        <w:t>(</w:t>
      </w:r>
      <w:proofErr w:type="gramEnd"/>
      <w:r w:rsidR="00F33346" w:rsidRPr="007F7FF5">
        <w:rPr>
          <w:color w:val="000000" w:themeColor="text1"/>
          <w:vertAlign w:val="superscript"/>
        </w:rPr>
        <w:t>5</w:t>
      </w:r>
      <w:r w:rsidR="00F31143" w:rsidRPr="007F7FF5">
        <w:rPr>
          <w:color w:val="000000" w:themeColor="text1"/>
          <w:vertAlign w:val="superscript"/>
        </w:rPr>
        <w:t>)</w:t>
      </w:r>
      <w:r w:rsidR="0054218D" w:rsidRPr="007F7FF5">
        <w:rPr>
          <w:color w:val="000000" w:themeColor="text1"/>
        </w:rPr>
        <w:t xml:space="preserve">. Therefore only a short description of the </w:t>
      </w:r>
      <w:r w:rsidR="00775E9D" w:rsidRPr="007F7FF5">
        <w:rPr>
          <w:color w:val="000000" w:themeColor="text1"/>
        </w:rPr>
        <w:t xml:space="preserve">main principle </w:t>
      </w:r>
      <w:r w:rsidR="0054218D" w:rsidRPr="007F7FF5">
        <w:rPr>
          <w:color w:val="000000" w:themeColor="text1"/>
        </w:rPr>
        <w:t xml:space="preserve">to determine the </w:t>
      </w:r>
      <w:r w:rsidR="00775E9D" w:rsidRPr="007F7FF5">
        <w:rPr>
          <w:color w:val="000000" w:themeColor="text1"/>
        </w:rPr>
        <w:t xml:space="preserve">personal </w:t>
      </w:r>
      <w:r w:rsidR="0054218D" w:rsidRPr="007F7FF5">
        <w:rPr>
          <w:color w:val="000000" w:themeColor="text1"/>
        </w:rPr>
        <w:t xml:space="preserve">neutron </w:t>
      </w:r>
      <w:r w:rsidR="00775E9D" w:rsidRPr="007F7FF5">
        <w:rPr>
          <w:color w:val="000000" w:themeColor="text1"/>
        </w:rPr>
        <w:t xml:space="preserve">dose </w:t>
      </w:r>
      <w:r w:rsidR="0054218D" w:rsidRPr="007F7FF5">
        <w:rPr>
          <w:color w:val="000000" w:themeColor="text1"/>
        </w:rPr>
        <w:t xml:space="preserve">is given here. </w:t>
      </w:r>
      <w:r w:rsidRPr="007F7FF5">
        <w:rPr>
          <w:color w:val="000000" w:themeColor="text1"/>
        </w:rPr>
        <w:t xml:space="preserve"> </w:t>
      </w:r>
    </w:p>
    <w:p w:rsidR="001B50AF" w:rsidRPr="007F7FF5" w:rsidRDefault="001B50AF" w:rsidP="001B50AF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The </w:t>
      </w:r>
      <w:proofErr w:type="spellStart"/>
      <w:r w:rsidRPr="007F7FF5">
        <w:rPr>
          <w:color w:val="000000" w:themeColor="text1"/>
        </w:rPr>
        <w:t>Harshaw</w:t>
      </w:r>
      <w:proofErr w:type="spellEnd"/>
      <w:r w:rsidRPr="007F7FF5">
        <w:rPr>
          <w:color w:val="000000" w:themeColor="text1"/>
        </w:rPr>
        <w:t xml:space="preserve"> TLD card 6776 contains four square detector elements </w:t>
      </w:r>
      <w:r w:rsidRPr="007F7FF5">
        <w:rPr>
          <w:i/>
          <w:color w:val="000000" w:themeColor="text1"/>
        </w:rPr>
        <w:t>E</w:t>
      </w:r>
      <w:r w:rsidRPr="007F7FF5">
        <w:rPr>
          <w:i/>
          <w:color w:val="000000" w:themeColor="text1"/>
          <w:vertAlign w:val="subscript"/>
        </w:rPr>
        <w:t>1</w:t>
      </w:r>
      <w:r w:rsidRPr="007F7FF5">
        <w:rPr>
          <w:color w:val="000000" w:themeColor="text1"/>
          <w:vertAlign w:val="subscript"/>
        </w:rPr>
        <w:t xml:space="preserve"> </w:t>
      </w:r>
      <w:r w:rsidRPr="007F7FF5">
        <w:rPr>
          <w:color w:val="000000" w:themeColor="text1"/>
        </w:rPr>
        <w:t xml:space="preserve">to </w:t>
      </w:r>
      <w:r w:rsidRPr="007F7FF5">
        <w:rPr>
          <w:i/>
          <w:color w:val="000000" w:themeColor="text1"/>
        </w:rPr>
        <w:t>E</w:t>
      </w:r>
      <w:r w:rsidRPr="007F7FF5">
        <w:rPr>
          <w:i/>
          <w:color w:val="000000" w:themeColor="text1"/>
          <w:vertAlign w:val="subscript"/>
        </w:rPr>
        <w:t>4</w:t>
      </w:r>
      <w:r w:rsidRPr="007F7FF5">
        <w:rPr>
          <w:color w:val="000000" w:themeColor="text1"/>
        </w:rPr>
        <w:t xml:space="preserve"> (size: 3.2 x 3.2 x 0.38 mm</w:t>
      </w:r>
      <w:r w:rsidRPr="007F7FF5">
        <w:rPr>
          <w:color w:val="000000" w:themeColor="text1"/>
          <w:vertAlign w:val="superscript"/>
        </w:rPr>
        <w:t>3</w:t>
      </w:r>
      <w:r w:rsidRPr="007F7FF5">
        <w:rPr>
          <w:color w:val="000000" w:themeColor="text1"/>
        </w:rPr>
        <w:t xml:space="preserve">) made of </w:t>
      </w:r>
      <w:proofErr w:type="spellStart"/>
      <w:proofErr w:type="gramStart"/>
      <w:r w:rsidRPr="007F7FF5">
        <w:rPr>
          <w:color w:val="000000" w:themeColor="text1"/>
        </w:rPr>
        <w:t>LiF</w:t>
      </w:r>
      <w:proofErr w:type="spellEnd"/>
      <w:r w:rsidRPr="007F7FF5">
        <w:rPr>
          <w:color w:val="000000" w:themeColor="text1"/>
        </w:rPr>
        <w:t>(</w:t>
      </w:r>
      <w:proofErr w:type="spellStart"/>
      <w:proofErr w:type="gramEnd"/>
      <w:r w:rsidRPr="007F7FF5">
        <w:rPr>
          <w:color w:val="000000" w:themeColor="text1"/>
        </w:rPr>
        <w:t>Mg,Ti</w:t>
      </w:r>
      <w:proofErr w:type="spellEnd"/>
      <w:r w:rsidRPr="007F7FF5">
        <w:rPr>
          <w:color w:val="000000" w:themeColor="text1"/>
        </w:rPr>
        <w:t xml:space="preserve">). </w:t>
      </w:r>
      <w:r w:rsidRPr="007F7FF5">
        <w:rPr>
          <w:i/>
          <w:color w:val="000000" w:themeColor="text1"/>
        </w:rPr>
        <w:t>E</w:t>
      </w:r>
      <w:r w:rsidRPr="007F7FF5">
        <w:rPr>
          <w:i/>
          <w:color w:val="000000" w:themeColor="text1"/>
          <w:vertAlign w:val="subscript"/>
        </w:rPr>
        <w:t>1</w:t>
      </w:r>
      <w:r w:rsidRPr="007F7FF5">
        <w:rPr>
          <w:color w:val="000000" w:themeColor="text1"/>
        </w:rPr>
        <w:t xml:space="preserve"> and </w:t>
      </w:r>
      <w:r w:rsidRPr="007F7FF5">
        <w:rPr>
          <w:i/>
          <w:color w:val="000000" w:themeColor="text1"/>
        </w:rPr>
        <w:t>E</w:t>
      </w:r>
      <w:r w:rsidRPr="007F7FF5">
        <w:rPr>
          <w:i/>
          <w:color w:val="000000" w:themeColor="text1"/>
          <w:vertAlign w:val="subscript"/>
        </w:rPr>
        <w:t>4</w:t>
      </w:r>
      <w:r w:rsidRPr="007F7FF5">
        <w:rPr>
          <w:color w:val="000000" w:themeColor="text1"/>
        </w:rPr>
        <w:t xml:space="preserve"> are enriched with the isotope </w:t>
      </w:r>
      <w:r w:rsidRPr="007F7FF5">
        <w:rPr>
          <w:color w:val="000000" w:themeColor="text1"/>
          <w:vertAlign w:val="superscript"/>
        </w:rPr>
        <w:t>6</w:t>
      </w:r>
      <w:r w:rsidRPr="007F7FF5">
        <w:rPr>
          <w:color w:val="000000" w:themeColor="text1"/>
        </w:rPr>
        <w:t xml:space="preserve">Li and therefore sensitive for thermal neutrons and photon radiation. </w:t>
      </w:r>
      <w:r w:rsidRPr="007F7FF5">
        <w:rPr>
          <w:i/>
          <w:color w:val="000000" w:themeColor="text1"/>
        </w:rPr>
        <w:t>E</w:t>
      </w:r>
      <w:r w:rsidRPr="007F7FF5">
        <w:rPr>
          <w:i/>
          <w:color w:val="000000" w:themeColor="text1"/>
          <w:vertAlign w:val="subscript"/>
        </w:rPr>
        <w:t>2</w:t>
      </w:r>
      <w:r w:rsidRPr="007F7FF5">
        <w:rPr>
          <w:color w:val="000000" w:themeColor="text1"/>
        </w:rPr>
        <w:t xml:space="preserve"> and </w:t>
      </w:r>
      <w:r w:rsidRPr="007F7FF5">
        <w:rPr>
          <w:i/>
          <w:color w:val="000000" w:themeColor="text1"/>
        </w:rPr>
        <w:t>E</w:t>
      </w:r>
      <w:r w:rsidRPr="007F7FF5">
        <w:rPr>
          <w:i/>
          <w:color w:val="000000" w:themeColor="text1"/>
          <w:vertAlign w:val="subscript"/>
        </w:rPr>
        <w:t>3</w:t>
      </w:r>
      <w:r w:rsidRPr="007F7FF5">
        <w:rPr>
          <w:color w:val="000000" w:themeColor="text1"/>
        </w:rPr>
        <w:t xml:space="preserve"> contain the isotope </w:t>
      </w:r>
      <w:r w:rsidRPr="007F7FF5">
        <w:rPr>
          <w:color w:val="000000" w:themeColor="text1"/>
          <w:vertAlign w:val="superscript"/>
        </w:rPr>
        <w:t>7</w:t>
      </w:r>
      <w:r w:rsidRPr="007F7FF5">
        <w:rPr>
          <w:color w:val="000000" w:themeColor="text1"/>
        </w:rPr>
        <w:t xml:space="preserve">Li and are sensitive for photon radiation only. </w:t>
      </w:r>
      <w:r w:rsidR="0067377C" w:rsidRPr="007F7FF5">
        <w:rPr>
          <w:color w:val="000000" w:themeColor="text1"/>
        </w:rPr>
        <w:t>The card reader and a</w:t>
      </w:r>
      <w:r w:rsidRPr="007F7FF5">
        <w:rPr>
          <w:color w:val="000000" w:themeColor="text1"/>
        </w:rPr>
        <w:t xml:space="preserve">ll four elements are calibrated with a </w:t>
      </w:r>
      <w:r w:rsidRPr="007F7FF5">
        <w:rPr>
          <w:color w:val="000000" w:themeColor="text1"/>
          <w:vertAlign w:val="superscript"/>
        </w:rPr>
        <w:t>137</w:t>
      </w:r>
      <w:r w:rsidRPr="007F7FF5">
        <w:rPr>
          <w:color w:val="000000" w:themeColor="text1"/>
        </w:rPr>
        <w:t xml:space="preserve">Cs source to determine their individual sensitivity. </w:t>
      </w:r>
      <w:r w:rsidR="0067377C" w:rsidRPr="007F7FF5">
        <w:rPr>
          <w:color w:val="000000" w:themeColor="text1"/>
        </w:rPr>
        <w:t xml:space="preserve">The calibrated measurements signals are denoted as </w:t>
      </w:r>
      <w:r w:rsidR="0067377C" w:rsidRPr="007F7FF5">
        <w:rPr>
          <w:i/>
          <w:color w:val="000000" w:themeColor="text1"/>
        </w:rPr>
        <w:t>M</w:t>
      </w:r>
      <w:r w:rsidR="0067377C" w:rsidRPr="007F7FF5">
        <w:rPr>
          <w:i/>
          <w:color w:val="000000" w:themeColor="text1"/>
          <w:vertAlign w:val="subscript"/>
        </w:rPr>
        <w:t>1</w:t>
      </w:r>
      <w:r w:rsidR="0067377C" w:rsidRPr="007F7FF5">
        <w:rPr>
          <w:color w:val="000000" w:themeColor="text1"/>
        </w:rPr>
        <w:t xml:space="preserve"> to </w:t>
      </w:r>
      <w:r w:rsidR="0067377C" w:rsidRPr="007F7FF5">
        <w:rPr>
          <w:i/>
          <w:color w:val="000000" w:themeColor="text1"/>
        </w:rPr>
        <w:t>M</w:t>
      </w:r>
      <w:r w:rsidR="0067377C" w:rsidRPr="007F7FF5">
        <w:rPr>
          <w:i/>
          <w:color w:val="000000" w:themeColor="text1"/>
          <w:vertAlign w:val="subscript"/>
        </w:rPr>
        <w:t>4</w:t>
      </w:r>
      <w:r w:rsidR="0067377C" w:rsidRPr="007F7FF5">
        <w:rPr>
          <w:color w:val="000000" w:themeColor="text1"/>
        </w:rPr>
        <w:t xml:space="preserve">. </w:t>
      </w:r>
      <w:r w:rsidRPr="007F7FF5">
        <w:rPr>
          <w:color w:val="000000" w:themeColor="text1"/>
        </w:rPr>
        <w:t xml:space="preserve"> </w:t>
      </w:r>
      <w:r w:rsidR="00696949" w:rsidRPr="007F7FF5">
        <w:rPr>
          <w:i/>
          <w:color w:val="000000" w:themeColor="text1"/>
        </w:rPr>
        <w:t>M</w:t>
      </w:r>
      <w:r w:rsidR="00696949" w:rsidRPr="007F7FF5">
        <w:rPr>
          <w:color w:val="000000" w:themeColor="text1"/>
          <w:vertAlign w:val="subscript"/>
        </w:rPr>
        <w:t>2</w:t>
      </w:r>
      <w:r w:rsidR="00696949" w:rsidRPr="007F7FF5">
        <w:rPr>
          <w:color w:val="000000" w:themeColor="text1"/>
        </w:rPr>
        <w:t xml:space="preserve"> delivers directly the personal dose </w:t>
      </w:r>
      <w:r w:rsidR="00FE3887" w:rsidRPr="007F7FF5">
        <w:rPr>
          <w:color w:val="000000" w:themeColor="text1"/>
        </w:rPr>
        <w:t xml:space="preserve">for photon radiation in terms of </w:t>
      </w:r>
      <w:proofErr w:type="spellStart"/>
      <w:proofErr w:type="gramStart"/>
      <w:r w:rsidR="00696949" w:rsidRPr="007F7FF5">
        <w:rPr>
          <w:i/>
          <w:color w:val="000000" w:themeColor="text1"/>
        </w:rPr>
        <w:t>H</w:t>
      </w:r>
      <w:r w:rsidR="00696949" w:rsidRPr="007F7FF5">
        <w:rPr>
          <w:color w:val="000000" w:themeColor="text1"/>
          <w:vertAlign w:val="subscript"/>
        </w:rPr>
        <w:t>p</w:t>
      </w:r>
      <w:proofErr w:type="spellEnd"/>
      <w:r w:rsidR="00696949" w:rsidRPr="007F7FF5">
        <w:rPr>
          <w:color w:val="000000" w:themeColor="text1"/>
        </w:rPr>
        <w:t>(</w:t>
      </w:r>
      <w:proofErr w:type="gramEnd"/>
      <w:r w:rsidR="00696949" w:rsidRPr="007F7FF5">
        <w:rPr>
          <w:color w:val="000000" w:themeColor="text1"/>
        </w:rPr>
        <w:t>10) without a further corre</w:t>
      </w:r>
      <w:r w:rsidR="00696949" w:rsidRPr="007F7FF5">
        <w:rPr>
          <w:color w:val="000000" w:themeColor="text1"/>
        </w:rPr>
        <w:t>c</w:t>
      </w:r>
      <w:r w:rsidR="00696949" w:rsidRPr="007F7FF5">
        <w:rPr>
          <w:color w:val="000000" w:themeColor="text1"/>
        </w:rPr>
        <w:t>tion factor.</w:t>
      </w:r>
    </w:p>
    <w:p w:rsidR="001B50AF" w:rsidRPr="007F7FF5" w:rsidRDefault="001B50AF" w:rsidP="001B50AF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By the calculating the difference of the signals </w:t>
      </w:r>
      <w:r w:rsidR="0067377C" w:rsidRPr="007F7FF5">
        <w:rPr>
          <w:i/>
          <w:color w:val="000000" w:themeColor="text1"/>
        </w:rPr>
        <w:t>M</w:t>
      </w:r>
      <w:r w:rsidRPr="007F7FF5">
        <w:rPr>
          <w:i/>
          <w:color w:val="000000" w:themeColor="text1"/>
          <w:vertAlign w:val="subscript"/>
        </w:rPr>
        <w:t>1</w:t>
      </w:r>
      <w:r w:rsidRPr="007F7FF5">
        <w:rPr>
          <w:color w:val="000000" w:themeColor="text1"/>
        </w:rPr>
        <w:t xml:space="preserve"> and </w:t>
      </w:r>
      <w:r w:rsidR="0067377C" w:rsidRPr="007F7FF5">
        <w:rPr>
          <w:i/>
          <w:color w:val="000000" w:themeColor="text1"/>
        </w:rPr>
        <w:t>M</w:t>
      </w:r>
      <w:r w:rsidRPr="007F7FF5">
        <w:rPr>
          <w:i/>
          <w:color w:val="000000" w:themeColor="text1"/>
          <w:vertAlign w:val="subscript"/>
        </w:rPr>
        <w:t>2</w:t>
      </w:r>
      <w:r w:rsidRPr="007F7FF5">
        <w:rPr>
          <w:color w:val="000000" w:themeColor="text1"/>
        </w:rPr>
        <w:t xml:space="preserve"> and </w:t>
      </w:r>
      <w:r w:rsidR="00FE3887" w:rsidRPr="007F7FF5">
        <w:rPr>
          <w:color w:val="000000" w:themeColor="text1"/>
        </w:rPr>
        <w:t xml:space="preserve">the difference of </w:t>
      </w:r>
      <w:r w:rsidR="0067377C" w:rsidRPr="007F7FF5">
        <w:rPr>
          <w:i/>
          <w:color w:val="000000" w:themeColor="text1"/>
        </w:rPr>
        <w:t>M</w:t>
      </w:r>
      <w:r w:rsidRPr="007F7FF5">
        <w:rPr>
          <w:i/>
          <w:color w:val="000000" w:themeColor="text1"/>
          <w:vertAlign w:val="subscript"/>
        </w:rPr>
        <w:t>4</w:t>
      </w:r>
      <w:r w:rsidRPr="007F7FF5">
        <w:rPr>
          <w:color w:val="000000" w:themeColor="text1"/>
        </w:rPr>
        <w:t xml:space="preserve"> and </w:t>
      </w:r>
      <w:r w:rsidR="0067377C" w:rsidRPr="007F7FF5">
        <w:rPr>
          <w:i/>
          <w:color w:val="000000" w:themeColor="text1"/>
        </w:rPr>
        <w:t>M</w:t>
      </w:r>
      <w:r w:rsidRPr="007F7FF5">
        <w:rPr>
          <w:i/>
          <w:color w:val="000000" w:themeColor="text1"/>
          <w:vertAlign w:val="subscript"/>
        </w:rPr>
        <w:t>3</w:t>
      </w:r>
      <w:r w:rsidRPr="007F7FF5">
        <w:rPr>
          <w:color w:val="000000" w:themeColor="text1"/>
        </w:rPr>
        <w:t xml:space="preserve"> two neutron mea</w:t>
      </w:r>
      <w:r w:rsidRPr="007F7FF5">
        <w:rPr>
          <w:color w:val="000000" w:themeColor="text1"/>
        </w:rPr>
        <w:t>s</w:t>
      </w:r>
      <w:r w:rsidRPr="007F7FF5">
        <w:rPr>
          <w:color w:val="000000" w:themeColor="text1"/>
        </w:rPr>
        <w:t>ure</w:t>
      </w:r>
      <w:r w:rsidR="00FE3887" w:rsidRPr="007F7FF5">
        <w:rPr>
          <w:color w:val="000000" w:themeColor="text1"/>
        </w:rPr>
        <w:t xml:space="preserve">ment signals can be determined. </w:t>
      </w:r>
      <w:r w:rsidR="0067377C" w:rsidRPr="007F7FF5">
        <w:rPr>
          <w:i/>
          <w:color w:val="000000" w:themeColor="text1"/>
        </w:rPr>
        <w:t>M</w:t>
      </w:r>
      <w:r w:rsidRPr="007F7FF5">
        <w:rPr>
          <w:i/>
          <w:color w:val="000000" w:themeColor="text1"/>
          <w:vertAlign w:val="subscript"/>
        </w:rPr>
        <w:t>1</w:t>
      </w:r>
      <w:r w:rsidR="00815DF4" w:rsidRPr="007F7FF5">
        <w:rPr>
          <w:i/>
          <w:color w:val="000000" w:themeColor="text1"/>
          <w:vertAlign w:val="subscript"/>
        </w:rPr>
        <w:t xml:space="preserve"> </w:t>
      </w:r>
      <w:r w:rsidR="00815DF4" w:rsidRPr="007F7FF5">
        <w:rPr>
          <w:i/>
          <w:color w:val="000000" w:themeColor="text1"/>
        </w:rPr>
        <w:t xml:space="preserve">– </w:t>
      </w:r>
      <w:r w:rsidR="0067377C" w:rsidRPr="007F7FF5">
        <w:rPr>
          <w:i/>
          <w:color w:val="000000" w:themeColor="text1"/>
        </w:rPr>
        <w:t>M</w:t>
      </w:r>
      <w:r w:rsidR="00815DF4" w:rsidRPr="007F7FF5">
        <w:rPr>
          <w:i/>
          <w:color w:val="000000" w:themeColor="text1"/>
          <w:vertAlign w:val="subscript"/>
        </w:rPr>
        <w:t>2</w:t>
      </w:r>
      <w:r w:rsidRPr="007F7FF5">
        <w:rPr>
          <w:color w:val="000000" w:themeColor="text1"/>
        </w:rPr>
        <w:t xml:space="preserve"> </w:t>
      </w:r>
      <w:r w:rsidR="00FE3887" w:rsidRPr="007F7FF5">
        <w:rPr>
          <w:color w:val="000000" w:themeColor="text1"/>
        </w:rPr>
        <w:t xml:space="preserve">is denoted as </w:t>
      </w:r>
      <w:r w:rsidRPr="007F7FF5">
        <w:rPr>
          <w:color w:val="000000" w:themeColor="text1"/>
        </w:rPr>
        <w:t xml:space="preserve">albedo signal </w:t>
      </w:r>
      <w:proofErr w:type="spellStart"/>
      <w:proofErr w:type="gramStart"/>
      <w:r w:rsidRPr="007F7FF5">
        <w:rPr>
          <w:i/>
          <w:color w:val="000000" w:themeColor="text1"/>
        </w:rPr>
        <w:t>M</w:t>
      </w:r>
      <w:r w:rsidRPr="007F7FF5">
        <w:rPr>
          <w:i/>
          <w:color w:val="000000" w:themeColor="text1"/>
          <w:vertAlign w:val="subscript"/>
        </w:rPr>
        <w:t>n</w:t>
      </w:r>
      <w:proofErr w:type="spellEnd"/>
      <w:r w:rsidRPr="007F7FF5">
        <w:rPr>
          <w:i/>
          <w:color w:val="000000" w:themeColor="text1"/>
        </w:rPr>
        <w:t>(</w:t>
      </w:r>
      <w:proofErr w:type="gramEnd"/>
      <w:r w:rsidRPr="007F7FF5">
        <w:rPr>
          <w:i/>
          <w:color w:val="000000" w:themeColor="text1"/>
        </w:rPr>
        <w:t>albedo),</w:t>
      </w:r>
      <w:r w:rsidR="00815DF4" w:rsidRPr="007F7FF5">
        <w:rPr>
          <w:color w:val="000000" w:themeColor="text1"/>
        </w:rPr>
        <w:t xml:space="preserve"> because the</w:t>
      </w:r>
      <w:r w:rsidRPr="007F7FF5">
        <w:rPr>
          <w:color w:val="000000" w:themeColor="text1"/>
        </w:rPr>
        <w:t>s</w:t>
      </w:r>
      <w:r w:rsidR="00815DF4" w:rsidRPr="007F7FF5">
        <w:rPr>
          <w:color w:val="000000" w:themeColor="text1"/>
        </w:rPr>
        <w:t>e</w:t>
      </w:r>
      <w:r w:rsidRPr="007F7FF5">
        <w:rPr>
          <w:color w:val="000000" w:themeColor="text1"/>
        </w:rPr>
        <w:t xml:space="preserve"> detector </w:t>
      </w:r>
      <w:r w:rsidR="00815DF4" w:rsidRPr="007F7FF5">
        <w:rPr>
          <w:color w:val="000000" w:themeColor="text1"/>
        </w:rPr>
        <w:t xml:space="preserve">are </w:t>
      </w:r>
      <w:r w:rsidRPr="007F7FF5">
        <w:rPr>
          <w:color w:val="000000" w:themeColor="text1"/>
        </w:rPr>
        <w:t xml:space="preserve">shielded </w:t>
      </w:r>
      <w:r w:rsidR="00F31143" w:rsidRPr="007F7FF5">
        <w:rPr>
          <w:color w:val="000000" w:themeColor="text1"/>
        </w:rPr>
        <w:t>with boron loaded aluminum filters a</w:t>
      </w:r>
      <w:r w:rsidRPr="007F7FF5">
        <w:rPr>
          <w:color w:val="000000" w:themeColor="text1"/>
        </w:rPr>
        <w:t xml:space="preserve">gainst the incoming neutron radiation and unshielded against neutrons, which are backscattered by the human body.  </w:t>
      </w:r>
      <w:r w:rsidR="0067377C" w:rsidRPr="007F7FF5">
        <w:rPr>
          <w:i/>
          <w:color w:val="000000" w:themeColor="text1"/>
        </w:rPr>
        <w:t>M</w:t>
      </w:r>
      <w:r w:rsidRPr="007F7FF5">
        <w:rPr>
          <w:i/>
          <w:color w:val="000000" w:themeColor="text1"/>
          <w:vertAlign w:val="subscript"/>
        </w:rPr>
        <w:t>4</w:t>
      </w:r>
      <w:r w:rsidRPr="007F7FF5">
        <w:rPr>
          <w:color w:val="000000" w:themeColor="text1"/>
          <w:vertAlign w:val="subscript"/>
        </w:rPr>
        <w:t xml:space="preserve"> </w:t>
      </w:r>
      <w:r w:rsidR="00815DF4" w:rsidRPr="007F7FF5">
        <w:rPr>
          <w:i/>
          <w:color w:val="000000" w:themeColor="text1"/>
        </w:rPr>
        <w:t xml:space="preserve">– </w:t>
      </w:r>
      <w:r w:rsidR="0067377C" w:rsidRPr="007F7FF5">
        <w:rPr>
          <w:i/>
          <w:color w:val="000000" w:themeColor="text1"/>
        </w:rPr>
        <w:t>M</w:t>
      </w:r>
      <w:r w:rsidR="00815DF4" w:rsidRPr="007F7FF5">
        <w:rPr>
          <w:i/>
          <w:color w:val="000000" w:themeColor="text1"/>
          <w:vertAlign w:val="subscript"/>
        </w:rPr>
        <w:t>3</w:t>
      </w:r>
      <w:r w:rsidR="00815DF4" w:rsidRPr="007F7FF5">
        <w:rPr>
          <w:color w:val="000000" w:themeColor="text1"/>
          <w:vertAlign w:val="subscript"/>
        </w:rPr>
        <w:t xml:space="preserve"> </w:t>
      </w:r>
      <w:r w:rsidRPr="007F7FF5">
        <w:rPr>
          <w:color w:val="000000" w:themeColor="text1"/>
        </w:rPr>
        <w:t>is de</w:t>
      </w:r>
      <w:r w:rsidR="0067377C" w:rsidRPr="007F7FF5">
        <w:rPr>
          <w:color w:val="000000" w:themeColor="text1"/>
        </w:rPr>
        <w:t>noted</w:t>
      </w:r>
      <w:r w:rsidRPr="007F7FF5">
        <w:rPr>
          <w:color w:val="000000" w:themeColor="text1"/>
        </w:rPr>
        <w:t xml:space="preserve"> as </w:t>
      </w:r>
      <w:proofErr w:type="spellStart"/>
      <w:proofErr w:type="gramStart"/>
      <w:r w:rsidRPr="007F7FF5">
        <w:rPr>
          <w:i/>
          <w:color w:val="000000" w:themeColor="text1"/>
        </w:rPr>
        <w:t>M</w:t>
      </w:r>
      <w:r w:rsidRPr="007F7FF5">
        <w:rPr>
          <w:i/>
          <w:color w:val="000000" w:themeColor="text1"/>
          <w:vertAlign w:val="subscript"/>
        </w:rPr>
        <w:t>n</w:t>
      </w:r>
      <w:proofErr w:type="spellEnd"/>
      <w:r w:rsidRPr="007F7FF5">
        <w:rPr>
          <w:i/>
          <w:color w:val="000000" w:themeColor="text1"/>
        </w:rPr>
        <w:t>(</w:t>
      </w:r>
      <w:proofErr w:type="gramEnd"/>
      <w:r w:rsidRPr="007F7FF5">
        <w:rPr>
          <w:i/>
          <w:color w:val="000000" w:themeColor="text1"/>
        </w:rPr>
        <w:t>field),</w:t>
      </w:r>
      <w:r w:rsidR="00815DF4" w:rsidRPr="007F7FF5">
        <w:rPr>
          <w:color w:val="000000" w:themeColor="text1"/>
        </w:rPr>
        <w:t xml:space="preserve"> </w:t>
      </w:r>
      <w:r w:rsidRPr="007F7FF5">
        <w:rPr>
          <w:color w:val="000000" w:themeColor="text1"/>
        </w:rPr>
        <w:t>because the shielding is in opposite direction, so that only neutron radiation incident from the front can be detected.</w:t>
      </w:r>
    </w:p>
    <w:p w:rsidR="001B50AF" w:rsidRPr="007F7FF5" w:rsidRDefault="001B50AF" w:rsidP="00C6202D">
      <w:pPr>
        <w:jc w:val="both"/>
        <w:rPr>
          <w:i/>
          <w:color w:val="000000" w:themeColor="text1"/>
          <w:vertAlign w:val="subscript"/>
        </w:rPr>
      </w:pPr>
      <w:r w:rsidRPr="007F7FF5">
        <w:rPr>
          <w:color w:val="000000" w:themeColor="text1"/>
        </w:rPr>
        <w:t xml:space="preserve">The personal neutron dose </w:t>
      </w:r>
      <w:proofErr w:type="spellStart"/>
      <w:r w:rsidRPr="007F7FF5">
        <w:rPr>
          <w:i/>
          <w:color w:val="000000" w:themeColor="text1"/>
        </w:rPr>
        <w:t>H</w:t>
      </w:r>
      <w:r w:rsidRPr="007F7FF5">
        <w:rPr>
          <w:color w:val="000000" w:themeColor="text1"/>
          <w:vertAlign w:val="subscript"/>
        </w:rPr>
        <w:t>n</w:t>
      </w:r>
      <w:proofErr w:type="spellEnd"/>
      <w:r w:rsidRPr="007F7FF5">
        <w:rPr>
          <w:color w:val="000000" w:themeColor="text1"/>
        </w:rPr>
        <w:t xml:space="preserve"> in terms of </w:t>
      </w:r>
      <w:proofErr w:type="spellStart"/>
      <w:r w:rsidRPr="007F7FF5">
        <w:rPr>
          <w:i/>
          <w:color w:val="000000" w:themeColor="text1"/>
        </w:rPr>
        <w:t>H</w:t>
      </w:r>
      <w:r w:rsidRPr="007F7FF5">
        <w:rPr>
          <w:color w:val="000000" w:themeColor="text1"/>
          <w:vertAlign w:val="subscript"/>
        </w:rPr>
        <w:t>p</w:t>
      </w:r>
      <w:proofErr w:type="spellEnd"/>
      <w:r w:rsidRPr="007F7FF5">
        <w:rPr>
          <w:color w:val="000000" w:themeColor="text1"/>
        </w:rPr>
        <w:t xml:space="preserve">(10) is </w:t>
      </w:r>
      <w:r w:rsidRPr="007F7FF5">
        <w:rPr>
          <w:color w:val="000000" w:themeColor="text1"/>
        </w:rPr>
        <w:lastRenderedPageBreak/>
        <w:t>calculated by multiplying the albedo signal with a field specific c</w:t>
      </w:r>
      <w:r w:rsidR="00815DF4" w:rsidRPr="007F7FF5">
        <w:rPr>
          <w:color w:val="000000" w:themeColor="text1"/>
        </w:rPr>
        <w:t xml:space="preserve">orrection </w:t>
      </w:r>
      <w:r w:rsidRPr="007F7FF5">
        <w:rPr>
          <w:color w:val="000000" w:themeColor="text1"/>
        </w:rPr>
        <w:t xml:space="preserve">factor </w:t>
      </w:r>
      <w:proofErr w:type="spellStart"/>
      <w:r w:rsidRPr="007F7FF5">
        <w:rPr>
          <w:i/>
          <w:color w:val="000000" w:themeColor="text1"/>
        </w:rPr>
        <w:t>N</w:t>
      </w:r>
      <w:r w:rsidR="00815DF4" w:rsidRPr="007F7FF5">
        <w:rPr>
          <w:i/>
          <w:color w:val="000000" w:themeColor="text1"/>
          <w:vertAlign w:val="subscript"/>
        </w:rPr>
        <w:t>n</w:t>
      </w:r>
      <w:proofErr w:type="spellEnd"/>
      <w:r w:rsidR="00C6202D" w:rsidRPr="007F7FF5">
        <w:rPr>
          <w:color w:val="000000" w:themeColor="text1"/>
        </w:rPr>
        <w:t xml:space="preserve">, which </w:t>
      </w:r>
      <w:r w:rsidR="004E12ED" w:rsidRPr="007F7FF5">
        <w:rPr>
          <w:color w:val="000000" w:themeColor="text1"/>
        </w:rPr>
        <w:t>can be described as a function of the ratio</w:t>
      </w:r>
      <w:r w:rsidR="00C6202D" w:rsidRPr="007F7FF5">
        <w:rPr>
          <w:color w:val="000000" w:themeColor="text1"/>
        </w:rPr>
        <w:t xml:space="preserve"> </w:t>
      </w:r>
      <w:r w:rsidR="004E12ED" w:rsidRPr="007F7FF5">
        <w:rPr>
          <w:i/>
          <w:color w:val="000000" w:themeColor="text1"/>
        </w:rPr>
        <w:t xml:space="preserve">X = </w:t>
      </w:r>
      <w:proofErr w:type="spellStart"/>
      <w:r w:rsidR="004E12ED" w:rsidRPr="007F7FF5">
        <w:rPr>
          <w:i/>
          <w:color w:val="000000" w:themeColor="text1"/>
        </w:rPr>
        <w:t>M</w:t>
      </w:r>
      <w:r w:rsidR="004E12ED" w:rsidRPr="007F7FF5">
        <w:rPr>
          <w:i/>
          <w:color w:val="000000" w:themeColor="text1"/>
          <w:vertAlign w:val="subscript"/>
        </w:rPr>
        <w:t>n</w:t>
      </w:r>
      <w:proofErr w:type="spellEnd"/>
      <w:r w:rsidR="004E12ED" w:rsidRPr="007F7FF5">
        <w:rPr>
          <w:i/>
          <w:color w:val="000000" w:themeColor="text1"/>
        </w:rPr>
        <w:t xml:space="preserve">(field) / </w:t>
      </w:r>
      <w:proofErr w:type="spellStart"/>
      <w:r w:rsidR="004E12ED" w:rsidRPr="007F7FF5">
        <w:rPr>
          <w:i/>
          <w:color w:val="000000" w:themeColor="text1"/>
        </w:rPr>
        <w:t>M</w:t>
      </w:r>
      <w:r w:rsidR="004E12ED" w:rsidRPr="007F7FF5">
        <w:rPr>
          <w:i/>
          <w:color w:val="000000" w:themeColor="text1"/>
          <w:vertAlign w:val="subscript"/>
        </w:rPr>
        <w:t>n</w:t>
      </w:r>
      <w:proofErr w:type="spellEnd"/>
      <w:r w:rsidR="004E12ED" w:rsidRPr="007F7FF5">
        <w:rPr>
          <w:i/>
          <w:color w:val="000000" w:themeColor="text1"/>
        </w:rPr>
        <w:t>(albedo)</w:t>
      </w:r>
      <w:r w:rsidR="00C6202D" w:rsidRPr="007F7FF5">
        <w:rPr>
          <w:i/>
          <w:color w:val="000000" w:themeColor="text1"/>
        </w:rPr>
        <w:t xml:space="preserve">. </w:t>
      </w:r>
    </w:p>
    <w:p w:rsidR="001B50AF" w:rsidRPr="007F7FF5" w:rsidRDefault="001B50AF" w:rsidP="001B50AF">
      <w:pPr>
        <w:pStyle w:val="EqnDisp"/>
        <w:spacing w:before="180" w:after="180"/>
        <w:ind w:left="142"/>
        <w:rPr>
          <w:color w:val="000000" w:themeColor="text1"/>
          <w:lang w:val="de-DE"/>
        </w:rPr>
      </w:pPr>
      <w:proofErr w:type="spellStart"/>
      <w:r w:rsidRPr="007F7FF5">
        <w:rPr>
          <w:i/>
          <w:color w:val="000000" w:themeColor="text1"/>
          <w:lang w:val="de-DE"/>
        </w:rPr>
        <w:t>H</w:t>
      </w:r>
      <w:r w:rsidRPr="007F7FF5">
        <w:rPr>
          <w:i/>
          <w:color w:val="000000" w:themeColor="text1"/>
          <w:vertAlign w:val="subscript"/>
          <w:lang w:val="de-DE"/>
        </w:rPr>
        <w:t>n</w:t>
      </w:r>
      <w:proofErr w:type="spellEnd"/>
      <w:r w:rsidRPr="007F7FF5">
        <w:rPr>
          <w:i/>
          <w:color w:val="000000" w:themeColor="text1"/>
          <w:lang w:val="de-DE"/>
        </w:rPr>
        <w:t xml:space="preserve"> = </w:t>
      </w:r>
      <w:proofErr w:type="spellStart"/>
      <w:r w:rsidRPr="007F7FF5">
        <w:rPr>
          <w:i/>
          <w:color w:val="000000" w:themeColor="text1"/>
          <w:lang w:val="de-DE"/>
        </w:rPr>
        <w:t>N</w:t>
      </w:r>
      <w:r w:rsidR="00815DF4" w:rsidRPr="007F7FF5">
        <w:rPr>
          <w:i/>
          <w:color w:val="000000" w:themeColor="text1"/>
          <w:vertAlign w:val="subscript"/>
          <w:lang w:val="de-DE"/>
        </w:rPr>
        <w:t>n</w:t>
      </w:r>
      <w:proofErr w:type="spellEnd"/>
      <w:r w:rsidR="00C6202D" w:rsidRPr="007F7FF5">
        <w:rPr>
          <w:i/>
          <w:color w:val="000000" w:themeColor="text1"/>
          <w:lang w:val="de-DE"/>
        </w:rPr>
        <w:t xml:space="preserve">(X) </w:t>
      </w:r>
      <w:r w:rsidRPr="007F7FF5">
        <w:rPr>
          <w:i/>
          <w:color w:val="000000" w:themeColor="text1"/>
          <w:lang w:val="de-DE"/>
        </w:rPr>
        <w:t xml:space="preserve">· </w:t>
      </w:r>
      <w:proofErr w:type="spellStart"/>
      <w:r w:rsidRPr="007F7FF5">
        <w:rPr>
          <w:i/>
          <w:color w:val="000000" w:themeColor="text1"/>
          <w:lang w:val="de-DE"/>
        </w:rPr>
        <w:t>M</w:t>
      </w:r>
      <w:r w:rsidRPr="007F7FF5">
        <w:rPr>
          <w:i/>
          <w:color w:val="000000" w:themeColor="text1"/>
          <w:vertAlign w:val="subscript"/>
          <w:lang w:val="de-DE"/>
        </w:rPr>
        <w:t>n</w:t>
      </w:r>
      <w:proofErr w:type="spellEnd"/>
      <w:r w:rsidRPr="007F7FF5">
        <w:rPr>
          <w:i/>
          <w:color w:val="000000" w:themeColor="text1"/>
          <w:lang w:val="de-DE"/>
        </w:rPr>
        <w:t>(</w:t>
      </w:r>
      <w:proofErr w:type="spellStart"/>
      <w:r w:rsidRPr="007F7FF5">
        <w:rPr>
          <w:i/>
          <w:color w:val="000000" w:themeColor="text1"/>
          <w:lang w:val="de-DE"/>
        </w:rPr>
        <w:t>albedo</w:t>
      </w:r>
      <w:proofErr w:type="spellEnd"/>
      <w:r w:rsidRPr="007F7FF5">
        <w:rPr>
          <w:i/>
          <w:color w:val="000000" w:themeColor="text1"/>
          <w:lang w:val="de-DE"/>
        </w:rPr>
        <w:t>)</w:t>
      </w:r>
      <w:r w:rsidRPr="007F7FF5">
        <w:rPr>
          <w:i/>
          <w:color w:val="000000" w:themeColor="text1"/>
          <w:lang w:val="de-DE"/>
        </w:rPr>
        <w:tab/>
        <w:t xml:space="preserve"> </w:t>
      </w:r>
      <w:r w:rsidRPr="007F7FF5">
        <w:rPr>
          <w:color w:val="000000" w:themeColor="text1"/>
          <w:lang w:val="de-DE"/>
        </w:rPr>
        <w:t>(1)</w:t>
      </w:r>
    </w:p>
    <w:p w:rsidR="00C6202D" w:rsidRPr="007F7FF5" w:rsidRDefault="00A8189F" w:rsidP="00A8189F">
      <w:pPr>
        <w:pStyle w:val="AHead"/>
        <w:jc w:val="both"/>
        <w:rPr>
          <w:rFonts w:ascii="Times New Roman" w:hAnsi="Times New Roman"/>
          <w:caps w:val="0"/>
          <w:color w:val="000000" w:themeColor="text1"/>
          <w:szCs w:val="18"/>
          <w:lang w:val="en-GB"/>
        </w:rPr>
      </w:pPr>
      <w:proofErr w:type="spellStart"/>
      <w:proofErr w:type="gramStart"/>
      <w:r w:rsidRPr="007F7FF5">
        <w:rPr>
          <w:rFonts w:ascii="Times New Roman" w:hAnsi="Times New Roman"/>
          <w:i/>
          <w:caps w:val="0"/>
          <w:color w:val="000000" w:themeColor="text1"/>
          <w:szCs w:val="18"/>
          <w:lang w:val="en-GB"/>
        </w:rPr>
        <w:t>N</w:t>
      </w:r>
      <w:r w:rsidRPr="007F7FF5">
        <w:rPr>
          <w:rFonts w:ascii="Times New Roman" w:hAnsi="Times New Roman"/>
          <w:i/>
          <w:caps w:val="0"/>
          <w:color w:val="000000" w:themeColor="text1"/>
          <w:szCs w:val="18"/>
          <w:vertAlign w:val="subscript"/>
          <w:lang w:val="en-GB"/>
        </w:rPr>
        <w:t>n</w:t>
      </w:r>
      <w:proofErr w:type="spellEnd"/>
      <w:r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 xml:space="preserve"> </w:t>
      </w:r>
      <w:r w:rsidR="00EB1B02"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 xml:space="preserve">and </w:t>
      </w:r>
      <w:r w:rsidR="00EB1B02" w:rsidRPr="007F7FF5">
        <w:rPr>
          <w:rFonts w:ascii="Times New Roman" w:hAnsi="Times New Roman"/>
          <w:i/>
          <w:caps w:val="0"/>
          <w:color w:val="000000" w:themeColor="text1"/>
          <w:szCs w:val="18"/>
          <w:lang w:val="en-GB"/>
        </w:rPr>
        <w:t>X</w:t>
      </w:r>
      <w:r w:rsidR="00EB1B02"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 xml:space="preserve"> show</w:t>
      </w:r>
      <w:r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 xml:space="preserve"> </w:t>
      </w:r>
      <w:r w:rsidR="00EB1B02"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>h</w:t>
      </w:r>
      <w:r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>igh variation</w:t>
      </w:r>
      <w:r w:rsidR="00EB1B02"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>s</w:t>
      </w:r>
      <w:r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 xml:space="preserve"> for different neutron fields.</w:t>
      </w:r>
      <w:proofErr w:type="gramEnd"/>
      <w:r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 xml:space="preserve"> </w:t>
      </w:r>
      <w:r w:rsidR="00C6202D"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>Th</w:t>
      </w:r>
      <w:r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>e</w:t>
      </w:r>
      <w:r w:rsidR="00C6202D"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 xml:space="preserve"> functional dependency </w:t>
      </w:r>
      <w:r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 xml:space="preserve">of </w:t>
      </w:r>
      <w:proofErr w:type="spellStart"/>
      <w:r w:rsidRPr="007F7FF5">
        <w:rPr>
          <w:rFonts w:ascii="Times New Roman" w:hAnsi="Times New Roman"/>
          <w:i/>
          <w:caps w:val="0"/>
          <w:color w:val="000000" w:themeColor="text1"/>
          <w:szCs w:val="18"/>
          <w:lang w:val="en-GB"/>
        </w:rPr>
        <w:t>N</w:t>
      </w:r>
      <w:r w:rsidRPr="007F7FF5">
        <w:rPr>
          <w:rFonts w:ascii="Times New Roman" w:hAnsi="Times New Roman"/>
          <w:i/>
          <w:caps w:val="0"/>
          <w:color w:val="000000" w:themeColor="text1"/>
          <w:szCs w:val="18"/>
          <w:vertAlign w:val="subscript"/>
          <w:lang w:val="en-GB"/>
        </w:rPr>
        <w:t>n</w:t>
      </w:r>
      <w:proofErr w:type="spellEnd"/>
      <w:r w:rsidRPr="007F7FF5">
        <w:rPr>
          <w:rFonts w:ascii="Times New Roman" w:hAnsi="Times New Roman"/>
          <w:caps w:val="0"/>
          <w:color w:val="000000" w:themeColor="text1"/>
          <w:szCs w:val="18"/>
          <w:vertAlign w:val="subscript"/>
          <w:lang w:val="en-GB"/>
        </w:rPr>
        <w:t xml:space="preserve"> </w:t>
      </w:r>
      <w:r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 xml:space="preserve">with </w:t>
      </w:r>
      <w:r w:rsidRPr="007F7FF5">
        <w:rPr>
          <w:rFonts w:ascii="Times New Roman" w:hAnsi="Times New Roman"/>
          <w:i/>
          <w:caps w:val="0"/>
          <w:color w:val="000000" w:themeColor="text1"/>
          <w:szCs w:val="18"/>
          <w:lang w:val="en-GB"/>
        </w:rPr>
        <w:t>X</w:t>
      </w:r>
      <w:r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 xml:space="preserve"> </w:t>
      </w:r>
      <w:r w:rsidR="00C6202D"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 xml:space="preserve">can be used to reduce a multiplicity of </w:t>
      </w:r>
      <w:r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 xml:space="preserve">neutron </w:t>
      </w:r>
      <w:r w:rsidR="00C6202D"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>fields</w:t>
      </w:r>
      <w:r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 xml:space="preserve"> to a few categories, which can be regarded as typical for certain </w:t>
      </w:r>
      <w:proofErr w:type="gramStart"/>
      <w:r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>workplaces</w:t>
      </w:r>
      <w:r w:rsidRPr="007F7FF5">
        <w:rPr>
          <w:rFonts w:ascii="Times New Roman" w:hAnsi="Times New Roman"/>
          <w:caps w:val="0"/>
          <w:color w:val="000000" w:themeColor="text1"/>
          <w:szCs w:val="18"/>
          <w:vertAlign w:val="superscript"/>
          <w:lang w:val="en-GB"/>
        </w:rPr>
        <w:t>(</w:t>
      </w:r>
      <w:proofErr w:type="gramEnd"/>
      <w:r w:rsidR="00F33346" w:rsidRPr="007F7FF5">
        <w:rPr>
          <w:rFonts w:ascii="Times New Roman" w:hAnsi="Times New Roman"/>
          <w:caps w:val="0"/>
          <w:color w:val="000000" w:themeColor="text1"/>
          <w:szCs w:val="18"/>
          <w:vertAlign w:val="superscript"/>
          <w:lang w:val="en-GB"/>
        </w:rPr>
        <w:t>6</w:t>
      </w:r>
      <w:r w:rsidRPr="007F7FF5">
        <w:rPr>
          <w:rFonts w:ascii="Times New Roman" w:hAnsi="Times New Roman"/>
          <w:caps w:val="0"/>
          <w:color w:val="000000" w:themeColor="text1"/>
          <w:szCs w:val="18"/>
          <w:vertAlign w:val="superscript"/>
          <w:lang w:val="en-GB"/>
        </w:rPr>
        <w:t>)</w:t>
      </w:r>
      <w:r w:rsidRPr="007F7FF5">
        <w:rPr>
          <w:rFonts w:ascii="Times New Roman" w:hAnsi="Times New Roman"/>
          <w:caps w:val="0"/>
          <w:color w:val="000000" w:themeColor="text1"/>
          <w:szCs w:val="18"/>
          <w:lang w:val="en-GB"/>
        </w:rPr>
        <w:t>.</w:t>
      </w:r>
    </w:p>
    <w:p w:rsidR="00426D02" w:rsidRPr="007F7FF5" w:rsidRDefault="00C6202D" w:rsidP="00426D02">
      <w:pPr>
        <w:pStyle w:val="AHead"/>
        <w:rPr>
          <w:color w:val="000000" w:themeColor="text1"/>
          <w:szCs w:val="18"/>
        </w:rPr>
      </w:pPr>
      <w:r w:rsidRPr="007F7FF5">
        <w:rPr>
          <w:rFonts w:ascii="Times New Roman" w:hAnsi="Times New Roman"/>
          <w:color w:val="000000" w:themeColor="text1"/>
          <w:szCs w:val="18"/>
          <w:lang w:val="en-GB"/>
        </w:rPr>
        <w:t>F</w:t>
      </w:r>
      <w:r w:rsidR="00E06592" w:rsidRPr="007F7FF5">
        <w:rPr>
          <w:rFonts w:ascii="Times New Roman" w:hAnsi="Times New Roman"/>
          <w:color w:val="000000" w:themeColor="text1"/>
          <w:szCs w:val="18"/>
          <w:lang w:val="en-GB"/>
        </w:rPr>
        <w:t>ield calibration method</w:t>
      </w:r>
    </w:p>
    <w:p w:rsidR="00C4401A" w:rsidRPr="007F7FF5" w:rsidRDefault="00C4401A" w:rsidP="00FF4343">
      <w:pPr>
        <w:framePr w:w="4025" w:h="218" w:hSpace="180" w:vSpace="120" w:wrap="notBeside" w:hAnchor="page" w:x="917" w:yAlign="bottom" w:anchorLock="1"/>
        <w:pBdr>
          <w:top w:val="single" w:sz="4" w:space="6" w:color="000000"/>
        </w:pBdr>
        <w:rPr>
          <w:color w:val="000000" w:themeColor="text1"/>
          <w:sz w:val="16"/>
        </w:rPr>
      </w:pPr>
      <w:r w:rsidRPr="007F7FF5">
        <w:rPr>
          <w:color w:val="000000" w:themeColor="text1"/>
          <w:sz w:val="16"/>
        </w:rPr>
        <w:t>*Correspon</w:t>
      </w:r>
      <w:r w:rsidR="00D859B4" w:rsidRPr="007F7FF5">
        <w:rPr>
          <w:color w:val="000000" w:themeColor="text1"/>
          <w:sz w:val="16"/>
        </w:rPr>
        <w:t>ding author:</w:t>
      </w:r>
      <w:r w:rsidR="00FF4343" w:rsidRPr="007F7FF5">
        <w:rPr>
          <w:color w:val="000000" w:themeColor="text1"/>
          <w:sz w:val="16"/>
        </w:rPr>
        <w:t xml:space="preserve"> Haninger@helmholtz-muenchen.de</w:t>
      </w:r>
    </w:p>
    <w:p w:rsidR="009B4B72" w:rsidRPr="007F7FF5" w:rsidRDefault="00215B9C" w:rsidP="00E06592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One commonly used </w:t>
      </w:r>
      <w:r w:rsidR="009B4B72" w:rsidRPr="007F7FF5">
        <w:rPr>
          <w:color w:val="000000" w:themeColor="text1"/>
        </w:rPr>
        <w:t xml:space="preserve">method </w:t>
      </w:r>
      <w:r w:rsidR="008232CC" w:rsidRPr="007F7FF5">
        <w:rPr>
          <w:color w:val="000000" w:themeColor="text1"/>
        </w:rPr>
        <w:t>to</w:t>
      </w:r>
      <w:r w:rsidR="009B4B72" w:rsidRPr="007F7FF5">
        <w:rPr>
          <w:color w:val="000000" w:themeColor="text1"/>
        </w:rPr>
        <w:t xml:space="preserve"> </w:t>
      </w:r>
      <w:r w:rsidR="008232CC" w:rsidRPr="007F7FF5">
        <w:rPr>
          <w:color w:val="000000" w:themeColor="text1"/>
        </w:rPr>
        <w:t>determine the corre</w:t>
      </w:r>
      <w:r w:rsidR="008232CC" w:rsidRPr="007F7FF5">
        <w:rPr>
          <w:color w:val="000000" w:themeColor="text1"/>
        </w:rPr>
        <w:t>c</w:t>
      </w:r>
      <w:r w:rsidR="008232CC" w:rsidRPr="007F7FF5">
        <w:rPr>
          <w:color w:val="000000" w:themeColor="text1"/>
        </w:rPr>
        <w:t xml:space="preserve">tion factor </w:t>
      </w:r>
      <w:proofErr w:type="spellStart"/>
      <w:r w:rsidR="008232CC" w:rsidRPr="007F7FF5">
        <w:rPr>
          <w:i/>
          <w:color w:val="000000" w:themeColor="text1"/>
        </w:rPr>
        <w:t>N</w:t>
      </w:r>
      <w:r w:rsidR="008232CC" w:rsidRPr="007F7FF5">
        <w:rPr>
          <w:i/>
          <w:color w:val="000000" w:themeColor="text1"/>
          <w:vertAlign w:val="subscript"/>
        </w:rPr>
        <w:t>n</w:t>
      </w:r>
      <w:proofErr w:type="spellEnd"/>
      <w:r w:rsidR="00CF24B8" w:rsidRPr="007F7FF5">
        <w:rPr>
          <w:i/>
          <w:color w:val="000000" w:themeColor="text1"/>
        </w:rPr>
        <w:t>(X)</w:t>
      </w:r>
      <w:r w:rsidR="008232CC" w:rsidRPr="007F7FF5">
        <w:rPr>
          <w:color w:val="000000" w:themeColor="text1"/>
        </w:rPr>
        <w:t xml:space="preserve"> in an unknown neutron field </w:t>
      </w:r>
      <w:r w:rsidR="009B4B72" w:rsidRPr="007F7FF5">
        <w:rPr>
          <w:color w:val="000000" w:themeColor="text1"/>
        </w:rPr>
        <w:t>is the single sphere</w:t>
      </w:r>
      <w:r w:rsidR="004E12ED" w:rsidRPr="007F7FF5">
        <w:rPr>
          <w:color w:val="000000" w:themeColor="text1"/>
        </w:rPr>
        <w:t xml:space="preserve"> approach, which was developed by </w:t>
      </w:r>
      <w:proofErr w:type="spellStart"/>
      <w:r w:rsidR="004E12ED" w:rsidRPr="007F7FF5">
        <w:rPr>
          <w:color w:val="000000" w:themeColor="text1"/>
        </w:rPr>
        <w:t>Burgkhardt</w:t>
      </w:r>
      <w:proofErr w:type="spellEnd"/>
      <w:r w:rsidR="004E12ED" w:rsidRPr="007F7FF5">
        <w:rPr>
          <w:color w:val="000000" w:themeColor="text1"/>
        </w:rPr>
        <w:t xml:space="preserve"> and </w:t>
      </w:r>
      <w:proofErr w:type="spellStart"/>
      <w:r w:rsidR="004E12ED" w:rsidRPr="007F7FF5">
        <w:rPr>
          <w:color w:val="000000" w:themeColor="text1"/>
        </w:rPr>
        <w:t>Piesch</w:t>
      </w:r>
      <w:proofErr w:type="spellEnd"/>
      <w:r w:rsidR="008232CC" w:rsidRPr="007F7FF5">
        <w:rPr>
          <w:color w:val="000000" w:themeColor="text1"/>
          <w:vertAlign w:val="superscript"/>
        </w:rPr>
        <w:t>(</w:t>
      </w:r>
      <w:r w:rsidR="00F33346" w:rsidRPr="007F7FF5">
        <w:rPr>
          <w:color w:val="000000" w:themeColor="text1"/>
          <w:vertAlign w:val="superscript"/>
        </w:rPr>
        <w:t>7</w:t>
      </w:r>
      <w:r w:rsidR="008232CC" w:rsidRPr="007F7FF5">
        <w:rPr>
          <w:color w:val="000000" w:themeColor="text1"/>
          <w:vertAlign w:val="superscript"/>
        </w:rPr>
        <w:t>)</w:t>
      </w:r>
      <w:r w:rsidR="004E12ED" w:rsidRPr="007F7FF5">
        <w:rPr>
          <w:color w:val="000000" w:themeColor="text1"/>
        </w:rPr>
        <w:t>.</w:t>
      </w:r>
      <w:r w:rsidR="009B4B72" w:rsidRPr="007F7FF5">
        <w:rPr>
          <w:color w:val="000000" w:themeColor="text1"/>
        </w:rPr>
        <w:t xml:space="preserve"> </w:t>
      </w:r>
    </w:p>
    <w:p w:rsidR="008B13EA" w:rsidRPr="007F7FF5" w:rsidRDefault="00E06592" w:rsidP="00E06592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A polyethylene sphere </w:t>
      </w:r>
      <w:r w:rsidR="00EC5CC6" w:rsidRPr="007F7FF5">
        <w:rPr>
          <w:color w:val="000000" w:themeColor="text1"/>
        </w:rPr>
        <w:t xml:space="preserve">(PE ball) </w:t>
      </w:r>
      <w:r w:rsidRPr="007F7FF5">
        <w:rPr>
          <w:color w:val="000000" w:themeColor="text1"/>
        </w:rPr>
        <w:t xml:space="preserve">with a diameter of 30 cm is used as phantom for </w:t>
      </w:r>
      <w:r w:rsidR="00FE3887" w:rsidRPr="007F7FF5">
        <w:rPr>
          <w:color w:val="000000" w:themeColor="text1"/>
        </w:rPr>
        <w:t>two</w:t>
      </w:r>
      <w:r w:rsidRPr="007F7FF5">
        <w:rPr>
          <w:color w:val="000000" w:themeColor="text1"/>
        </w:rPr>
        <w:t xml:space="preserve"> albedo </w:t>
      </w:r>
      <w:proofErr w:type="spellStart"/>
      <w:r w:rsidR="00EB5933" w:rsidRPr="007F7FF5">
        <w:rPr>
          <w:color w:val="000000" w:themeColor="text1"/>
        </w:rPr>
        <w:t>dosemeter</w:t>
      </w:r>
      <w:r w:rsidRPr="007F7FF5">
        <w:rPr>
          <w:color w:val="000000" w:themeColor="text1"/>
        </w:rPr>
        <w:t>s</w:t>
      </w:r>
      <w:proofErr w:type="spellEnd"/>
      <w:r w:rsidRPr="007F7FF5">
        <w:rPr>
          <w:color w:val="000000" w:themeColor="text1"/>
        </w:rPr>
        <w:t xml:space="preserve">, which are fixed on opposite sides of the sphere. </w:t>
      </w:r>
      <w:r w:rsidR="008B13EA" w:rsidRPr="007F7FF5">
        <w:rPr>
          <w:color w:val="000000" w:themeColor="text1"/>
        </w:rPr>
        <w:t xml:space="preserve">A TLD card in the center of the sphere is used to determine the ambient dose equivalent </w:t>
      </w:r>
      <w:r w:rsidR="008B13EA" w:rsidRPr="007F7FF5">
        <w:rPr>
          <w:i/>
          <w:color w:val="000000" w:themeColor="text1"/>
        </w:rPr>
        <w:t>H</w:t>
      </w:r>
      <w:r w:rsidR="008B13EA" w:rsidRPr="007F7FF5">
        <w:rPr>
          <w:color w:val="000000" w:themeColor="text1"/>
        </w:rPr>
        <w:t>*(10) for neutron radiation. The neutron measurement signal of th</w:t>
      </w:r>
      <w:r w:rsidR="00CF24B8" w:rsidRPr="007F7FF5">
        <w:rPr>
          <w:color w:val="000000" w:themeColor="text1"/>
        </w:rPr>
        <w:t>is</w:t>
      </w:r>
      <w:r w:rsidR="008B13EA" w:rsidRPr="007F7FF5">
        <w:rPr>
          <w:color w:val="000000" w:themeColor="text1"/>
        </w:rPr>
        <w:t xml:space="preserve"> detector card is denoted as </w:t>
      </w:r>
      <w:proofErr w:type="spellStart"/>
      <w:proofErr w:type="gramStart"/>
      <w:r w:rsidR="008B13EA" w:rsidRPr="007F7FF5">
        <w:rPr>
          <w:i/>
          <w:color w:val="000000" w:themeColor="text1"/>
        </w:rPr>
        <w:t>M</w:t>
      </w:r>
      <w:r w:rsidR="008B13EA" w:rsidRPr="007F7FF5">
        <w:rPr>
          <w:i/>
          <w:color w:val="000000" w:themeColor="text1"/>
          <w:vertAlign w:val="subscript"/>
        </w:rPr>
        <w:t>n</w:t>
      </w:r>
      <w:proofErr w:type="spellEnd"/>
      <w:r w:rsidR="008B13EA" w:rsidRPr="007F7FF5">
        <w:rPr>
          <w:i/>
          <w:color w:val="000000" w:themeColor="text1"/>
        </w:rPr>
        <w:t>(</w:t>
      </w:r>
      <w:proofErr w:type="gramEnd"/>
      <w:r w:rsidR="008B13EA" w:rsidRPr="007F7FF5">
        <w:rPr>
          <w:i/>
          <w:color w:val="000000" w:themeColor="text1"/>
        </w:rPr>
        <w:t>center)</w:t>
      </w:r>
      <w:r w:rsidR="00CF24B8" w:rsidRPr="007F7FF5">
        <w:rPr>
          <w:i/>
          <w:color w:val="000000" w:themeColor="text1"/>
        </w:rPr>
        <w:t xml:space="preserve"> </w:t>
      </w:r>
      <w:r w:rsidR="00CF24B8" w:rsidRPr="007F7FF5">
        <w:rPr>
          <w:color w:val="000000" w:themeColor="text1"/>
        </w:rPr>
        <w:t>which</w:t>
      </w:r>
      <w:r w:rsidR="00CF24B8" w:rsidRPr="007F7FF5">
        <w:rPr>
          <w:i/>
          <w:color w:val="000000" w:themeColor="text1"/>
        </w:rPr>
        <w:t xml:space="preserve"> </w:t>
      </w:r>
      <w:r w:rsidR="008B13EA" w:rsidRPr="007F7FF5">
        <w:rPr>
          <w:color w:val="000000" w:themeColor="text1"/>
        </w:rPr>
        <w:t>is determined by calcula</w:t>
      </w:r>
      <w:r w:rsidR="008B13EA" w:rsidRPr="007F7FF5">
        <w:rPr>
          <w:color w:val="000000" w:themeColor="text1"/>
        </w:rPr>
        <w:t>t</w:t>
      </w:r>
      <w:r w:rsidR="008B13EA" w:rsidRPr="007F7FF5">
        <w:rPr>
          <w:color w:val="000000" w:themeColor="text1"/>
        </w:rPr>
        <w:t xml:space="preserve">ing the difference of the </w:t>
      </w:r>
      <w:r w:rsidR="00866A80" w:rsidRPr="007F7FF5">
        <w:rPr>
          <w:color w:val="000000" w:themeColor="text1"/>
        </w:rPr>
        <w:t>mean</w:t>
      </w:r>
      <w:r w:rsidR="008B13EA" w:rsidRPr="007F7FF5">
        <w:rPr>
          <w:color w:val="000000" w:themeColor="text1"/>
        </w:rPr>
        <w:t xml:space="preserve"> values of the two </w:t>
      </w:r>
      <w:r w:rsidR="008B13EA" w:rsidRPr="007F7FF5">
        <w:rPr>
          <w:color w:val="000000" w:themeColor="text1"/>
          <w:vertAlign w:val="superscript"/>
        </w:rPr>
        <w:t>6</w:t>
      </w:r>
      <w:r w:rsidR="008B13EA" w:rsidRPr="007F7FF5">
        <w:rPr>
          <w:color w:val="000000" w:themeColor="text1"/>
        </w:rPr>
        <w:t xml:space="preserve">Li detectors and the two </w:t>
      </w:r>
      <w:r w:rsidR="008B13EA" w:rsidRPr="007F7FF5">
        <w:rPr>
          <w:color w:val="000000" w:themeColor="text1"/>
          <w:vertAlign w:val="superscript"/>
        </w:rPr>
        <w:t>7</w:t>
      </w:r>
      <w:r w:rsidR="008B13EA" w:rsidRPr="007F7FF5">
        <w:rPr>
          <w:color w:val="000000" w:themeColor="text1"/>
        </w:rPr>
        <w:t xml:space="preserve">Li detectors. The </w:t>
      </w:r>
      <w:r w:rsidR="00CF24B8" w:rsidRPr="007F7FF5">
        <w:rPr>
          <w:color w:val="000000" w:themeColor="text1"/>
        </w:rPr>
        <w:t>neutron cal</w:t>
      </w:r>
      <w:r w:rsidR="00CF24B8" w:rsidRPr="007F7FF5">
        <w:rPr>
          <w:color w:val="000000" w:themeColor="text1"/>
        </w:rPr>
        <w:t>i</w:t>
      </w:r>
      <w:r w:rsidR="00CF24B8" w:rsidRPr="007F7FF5">
        <w:rPr>
          <w:color w:val="000000" w:themeColor="text1"/>
        </w:rPr>
        <w:t xml:space="preserve">bration factor </w:t>
      </w:r>
      <w:proofErr w:type="spellStart"/>
      <w:proofErr w:type="gramStart"/>
      <w:r w:rsidR="000275AA" w:rsidRPr="007F7FF5">
        <w:rPr>
          <w:i/>
          <w:color w:val="000000" w:themeColor="text1"/>
        </w:rPr>
        <w:t>N</w:t>
      </w:r>
      <w:r w:rsidR="000275AA" w:rsidRPr="007F7FF5">
        <w:rPr>
          <w:i/>
          <w:color w:val="000000" w:themeColor="text1"/>
          <w:vertAlign w:val="subscript"/>
        </w:rPr>
        <w:t>c</w:t>
      </w:r>
      <w:proofErr w:type="spellEnd"/>
      <w:proofErr w:type="gramEnd"/>
      <w:r w:rsidR="000275AA" w:rsidRPr="007F7FF5">
        <w:rPr>
          <w:i/>
          <w:color w:val="000000" w:themeColor="text1"/>
        </w:rPr>
        <w:t xml:space="preserve"> </w:t>
      </w:r>
      <w:r w:rsidR="00CF24B8" w:rsidRPr="007F7FF5">
        <w:rPr>
          <w:color w:val="000000" w:themeColor="text1"/>
        </w:rPr>
        <w:t xml:space="preserve">of the </w:t>
      </w:r>
      <w:r w:rsidR="008B13EA" w:rsidRPr="007F7FF5">
        <w:rPr>
          <w:color w:val="000000" w:themeColor="text1"/>
        </w:rPr>
        <w:t xml:space="preserve">central detector card is </w:t>
      </w:r>
      <w:r w:rsidR="00CF24B8" w:rsidRPr="007F7FF5">
        <w:rPr>
          <w:color w:val="000000" w:themeColor="text1"/>
        </w:rPr>
        <w:t>dete</w:t>
      </w:r>
      <w:r w:rsidR="00CF24B8" w:rsidRPr="007F7FF5">
        <w:rPr>
          <w:color w:val="000000" w:themeColor="text1"/>
        </w:rPr>
        <w:t>r</w:t>
      </w:r>
      <w:r w:rsidR="00CF24B8" w:rsidRPr="007F7FF5">
        <w:rPr>
          <w:color w:val="000000" w:themeColor="text1"/>
        </w:rPr>
        <w:t>min</w:t>
      </w:r>
      <w:r w:rsidR="001E49AA" w:rsidRPr="007F7FF5">
        <w:rPr>
          <w:color w:val="000000" w:themeColor="text1"/>
        </w:rPr>
        <w:t>e</w:t>
      </w:r>
      <w:r w:rsidR="00CF24B8" w:rsidRPr="007F7FF5">
        <w:rPr>
          <w:color w:val="000000" w:themeColor="text1"/>
        </w:rPr>
        <w:t xml:space="preserve">d by a measurement </w:t>
      </w:r>
      <w:r w:rsidR="008B13EA" w:rsidRPr="007F7FF5">
        <w:rPr>
          <w:color w:val="000000" w:themeColor="text1"/>
        </w:rPr>
        <w:t>in the neutron field of a refe</w:t>
      </w:r>
      <w:r w:rsidR="008B13EA" w:rsidRPr="007F7FF5">
        <w:rPr>
          <w:color w:val="000000" w:themeColor="text1"/>
        </w:rPr>
        <w:t>r</w:t>
      </w:r>
      <w:r w:rsidR="008B13EA" w:rsidRPr="007F7FF5">
        <w:rPr>
          <w:color w:val="000000" w:themeColor="text1"/>
        </w:rPr>
        <w:t>ence source</w:t>
      </w:r>
      <w:r w:rsidR="007504D9" w:rsidRPr="007F7FF5">
        <w:rPr>
          <w:color w:val="000000" w:themeColor="text1"/>
        </w:rPr>
        <w:t xml:space="preserve"> like </w:t>
      </w:r>
      <w:r w:rsidR="007504D9" w:rsidRPr="007F7FF5">
        <w:rPr>
          <w:color w:val="000000" w:themeColor="text1"/>
          <w:vertAlign w:val="superscript"/>
        </w:rPr>
        <w:t>252</w:t>
      </w:r>
      <w:r w:rsidR="007504D9" w:rsidRPr="007F7FF5">
        <w:rPr>
          <w:color w:val="000000" w:themeColor="text1"/>
        </w:rPr>
        <w:t>Cf</w:t>
      </w:r>
      <w:r w:rsidR="008B13EA" w:rsidRPr="007F7FF5">
        <w:rPr>
          <w:color w:val="000000" w:themeColor="text1"/>
        </w:rPr>
        <w:t xml:space="preserve">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1"/>
        <w:gridCol w:w="2081"/>
      </w:tblGrid>
      <w:tr w:rsidR="006D4E90" w:rsidRPr="007F7FF5" w:rsidTr="009506BD">
        <w:tc>
          <w:tcPr>
            <w:tcW w:w="2081" w:type="dxa"/>
          </w:tcPr>
          <w:p w:rsidR="006D4E90" w:rsidRPr="007F7FF5" w:rsidRDefault="009A03D3" w:rsidP="006D4E90">
            <w:pPr>
              <w:spacing w:before="240" w:after="240"/>
              <w:jc w:val="both"/>
              <w:rPr>
                <w:rFonts w:ascii="Times New Roman" w:hAnsi="Times New Roman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color w:val="000000" w:themeColor="text1"/>
                        <w:szCs w:val="22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 w:themeColor="text1"/>
                        <w:szCs w:val="22"/>
                        <w:lang w:val="de-DE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ref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 w:themeColor="text1"/>
                      </w:rPr>
                      <m:t>(10)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Cs w:val="22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 w:themeColor="text1"/>
                      </w:rPr>
                      <m:t>(center)</m:t>
                    </m:r>
                  </m:den>
                </m:f>
              </m:oMath>
            </m:oMathPara>
          </w:p>
        </w:tc>
        <w:tc>
          <w:tcPr>
            <w:tcW w:w="2081" w:type="dxa"/>
          </w:tcPr>
          <w:p w:rsidR="006D4E90" w:rsidRPr="007F7FF5" w:rsidRDefault="006D4E90" w:rsidP="00CF24B8">
            <w:pPr>
              <w:jc w:val="both"/>
              <w:rPr>
                <w:color w:val="000000" w:themeColor="text1"/>
              </w:rPr>
            </w:pPr>
          </w:p>
          <w:p w:rsidR="006D4E90" w:rsidRPr="007F7FF5" w:rsidRDefault="006D4E90" w:rsidP="006D4E90">
            <w:pPr>
              <w:jc w:val="right"/>
              <w:rPr>
                <w:color w:val="000000" w:themeColor="text1"/>
              </w:rPr>
            </w:pPr>
            <w:r w:rsidRPr="007F7FF5">
              <w:rPr>
                <w:color w:val="000000" w:themeColor="text1"/>
              </w:rPr>
              <w:t>(2)</w:t>
            </w:r>
          </w:p>
        </w:tc>
      </w:tr>
    </w:tbl>
    <w:p w:rsidR="00CF24B8" w:rsidRPr="007F7FF5" w:rsidRDefault="00CF24B8" w:rsidP="00E06592">
      <w:pPr>
        <w:jc w:val="both"/>
        <w:rPr>
          <w:color w:val="000000" w:themeColor="text1"/>
        </w:rPr>
      </w:pPr>
    </w:p>
    <w:p w:rsidR="008B13EA" w:rsidRPr="007F7FF5" w:rsidRDefault="000275AA" w:rsidP="00E06592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The field specific correction factor </w:t>
      </w:r>
      <w:proofErr w:type="spellStart"/>
      <w:r w:rsidRPr="007F7FF5">
        <w:rPr>
          <w:i/>
          <w:color w:val="000000" w:themeColor="text1"/>
        </w:rPr>
        <w:t>N</w:t>
      </w:r>
      <w:r w:rsidRPr="007F7FF5">
        <w:rPr>
          <w:i/>
          <w:color w:val="000000" w:themeColor="text1"/>
          <w:vertAlign w:val="subscript"/>
        </w:rPr>
        <w:t>n</w:t>
      </w:r>
      <w:proofErr w:type="spellEnd"/>
      <w:r w:rsidRPr="007F7FF5">
        <w:rPr>
          <w:i/>
          <w:color w:val="000000" w:themeColor="text1"/>
        </w:rPr>
        <w:t>(X)</w:t>
      </w:r>
      <w:r w:rsidRPr="007F7FF5">
        <w:rPr>
          <w:color w:val="000000" w:themeColor="text1"/>
        </w:rPr>
        <w:t xml:space="preserve"> for the albedo </w:t>
      </w:r>
      <w:proofErr w:type="spellStart"/>
      <w:r w:rsidR="00EB5933" w:rsidRPr="007F7FF5">
        <w:rPr>
          <w:color w:val="000000" w:themeColor="text1"/>
        </w:rPr>
        <w:t>dosemeter</w:t>
      </w:r>
      <w:proofErr w:type="spellEnd"/>
      <w:r w:rsidRPr="007F7FF5">
        <w:rPr>
          <w:i/>
          <w:color w:val="000000" w:themeColor="text1"/>
        </w:rPr>
        <w:t xml:space="preserve"> </w:t>
      </w:r>
      <w:r w:rsidR="00CF24B8" w:rsidRPr="007F7FF5">
        <w:rPr>
          <w:color w:val="000000" w:themeColor="text1"/>
        </w:rPr>
        <w:t xml:space="preserve">is calculated by using the sum of </w:t>
      </w:r>
      <w:r w:rsidRPr="007F7FF5">
        <w:rPr>
          <w:color w:val="000000" w:themeColor="text1"/>
        </w:rPr>
        <w:t xml:space="preserve">the </w:t>
      </w:r>
      <w:r w:rsidR="00866A80" w:rsidRPr="007F7FF5">
        <w:rPr>
          <w:color w:val="000000" w:themeColor="text1"/>
        </w:rPr>
        <w:t>albedo</w:t>
      </w:r>
      <w:r w:rsidR="00CF24B8" w:rsidRPr="007F7FF5">
        <w:rPr>
          <w:color w:val="000000" w:themeColor="text1"/>
        </w:rPr>
        <w:t xml:space="preserve"> signals</w:t>
      </w:r>
      <w:r w:rsidRPr="007F7FF5">
        <w:rPr>
          <w:color w:val="000000" w:themeColor="text1"/>
        </w:rPr>
        <w:t xml:space="preserve"> of both </w:t>
      </w:r>
      <w:proofErr w:type="spellStart"/>
      <w:r w:rsidR="00EB5933" w:rsidRPr="007F7FF5">
        <w:rPr>
          <w:color w:val="000000" w:themeColor="text1"/>
        </w:rPr>
        <w:t>dosemeter</w:t>
      </w:r>
      <w:r w:rsidRPr="007F7FF5">
        <w:rPr>
          <w:color w:val="000000" w:themeColor="text1"/>
        </w:rPr>
        <w:t>s</w:t>
      </w:r>
      <w:proofErr w:type="spellEnd"/>
      <w:r w:rsidR="00CF24B8" w:rsidRPr="007F7FF5">
        <w:rPr>
          <w:color w:val="000000" w:themeColor="text1"/>
        </w:rPr>
        <w:t xml:space="preserve">: </w:t>
      </w:r>
    </w:p>
    <w:p w:rsidR="00CF24B8" w:rsidRPr="007F7FF5" w:rsidRDefault="00CF24B8" w:rsidP="00CF24B8">
      <w:pPr>
        <w:jc w:val="both"/>
        <w:rPr>
          <w:color w:val="000000" w:themeColor="text1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3"/>
        <w:gridCol w:w="495"/>
      </w:tblGrid>
      <w:tr w:rsidR="006D4E90" w:rsidRPr="007F7FF5" w:rsidTr="009506BD">
        <w:tc>
          <w:tcPr>
            <w:tcW w:w="3743" w:type="dxa"/>
          </w:tcPr>
          <w:p w:rsidR="006D4E90" w:rsidRPr="007F7FF5" w:rsidRDefault="009A03D3" w:rsidP="006820F1">
            <w:pPr>
              <w:spacing w:before="240" w:after="240"/>
              <w:jc w:val="both"/>
              <w:rPr>
                <w:rFonts w:ascii="Times New Roman" w:hAnsi="Times New Roman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color w:val="000000" w:themeColor="text1"/>
                        <w:szCs w:val="22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(X)=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 w:themeColor="text1"/>
                        <w:szCs w:val="22"/>
                        <w:lang w:val="de-D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 w:themeColor="text1"/>
                      </w:rPr>
                      <m:t>(center)∙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c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Cs w:val="22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albedo1</m:t>
                        </m:r>
                      </m:e>
                    </m:d>
                    <m:r>
                      <w:rPr>
                        <w:rFonts w:ascii="Cambria Math" w:hAnsi="Cambria Math"/>
                        <w:color w:val="000000" w:themeColor="text1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Cs w:val="22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albedo2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495" w:type="dxa"/>
          </w:tcPr>
          <w:p w:rsidR="006D4E90" w:rsidRPr="007F7FF5" w:rsidRDefault="006D4E90" w:rsidP="002776E3">
            <w:pPr>
              <w:jc w:val="both"/>
              <w:rPr>
                <w:color w:val="000000" w:themeColor="text1"/>
              </w:rPr>
            </w:pPr>
          </w:p>
          <w:p w:rsidR="006D4E90" w:rsidRPr="007F7FF5" w:rsidRDefault="006D4E90" w:rsidP="006D4E90">
            <w:pPr>
              <w:jc w:val="right"/>
              <w:rPr>
                <w:color w:val="000000" w:themeColor="text1"/>
              </w:rPr>
            </w:pPr>
            <w:r w:rsidRPr="007F7FF5">
              <w:rPr>
                <w:color w:val="000000" w:themeColor="text1"/>
              </w:rPr>
              <w:t>(3)</w:t>
            </w:r>
          </w:p>
        </w:tc>
      </w:tr>
    </w:tbl>
    <w:p w:rsidR="00CF24B8" w:rsidRPr="007F7FF5" w:rsidRDefault="00CF24B8" w:rsidP="00E06592">
      <w:pPr>
        <w:jc w:val="both"/>
        <w:rPr>
          <w:color w:val="000000" w:themeColor="text1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3"/>
        <w:gridCol w:w="495"/>
      </w:tblGrid>
      <w:tr w:rsidR="006D4E90" w:rsidRPr="007F7FF5" w:rsidTr="009506BD">
        <w:tc>
          <w:tcPr>
            <w:tcW w:w="3743" w:type="dxa"/>
          </w:tcPr>
          <w:p w:rsidR="006D4E90" w:rsidRPr="007F7FF5" w:rsidRDefault="009A03D3" w:rsidP="006820F1">
            <w:pPr>
              <w:spacing w:before="240" w:after="240"/>
              <w:jc w:val="both"/>
              <w:rPr>
                <w:rFonts w:ascii="Tempus Sans ITC" w:hAnsi="Tempus Sans ITC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color w:val="000000" w:themeColor="text1"/>
                        <w:szCs w:val="22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color w:val="000000" w:themeColor="text1"/>
                        <w:szCs w:val="22"/>
                        <w:lang w:val="de-D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/>
                        <w:color w:val="000000" w:themeColor="text1"/>
                        <w:szCs w:val="22"/>
                        <w:lang w:val="de-DE"/>
                      </w:rPr>
                      <m:t>sum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 w:themeColor="text1"/>
                        <w:szCs w:val="22"/>
                        <w:lang w:val="de-D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Cs w:val="22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field1</m:t>
                        </m:r>
                      </m:e>
                    </m:d>
                    <m:r>
                      <w:rPr>
                        <w:rFonts w:ascii="Cambria Math" w:hAnsi="Cambria Math"/>
                        <w:color w:val="000000" w:themeColor="text1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Cs w:val="22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field2</m:t>
                        </m:r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Cs w:val="22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albedo1</m:t>
                        </m:r>
                      </m:e>
                    </m:d>
                    <m:r>
                      <w:rPr>
                        <w:rFonts w:ascii="Cambria Math" w:hAnsi="Cambria Math"/>
                        <w:color w:val="000000" w:themeColor="text1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color w:val="000000" w:themeColor="text1"/>
                            <w:szCs w:val="22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albedo2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495" w:type="dxa"/>
          </w:tcPr>
          <w:p w:rsidR="006D4E90" w:rsidRPr="007F7FF5" w:rsidRDefault="006D4E90" w:rsidP="002776E3">
            <w:pPr>
              <w:jc w:val="both"/>
              <w:rPr>
                <w:color w:val="000000" w:themeColor="text1"/>
              </w:rPr>
            </w:pPr>
          </w:p>
          <w:p w:rsidR="006D4E90" w:rsidRPr="007F7FF5" w:rsidRDefault="006D4E90" w:rsidP="006D4E90">
            <w:pPr>
              <w:jc w:val="right"/>
              <w:rPr>
                <w:color w:val="000000" w:themeColor="text1"/>
              </w:rPr>
            </w:pPr>
            <w:r w:rsidRPr="007F7FF5">
              <w:rPr>
                <w:color w:val="000000" w:themeColor="text1"/>
              </w:rPr>
              <w:t>(4)</w:t>
            </w:r>
          </w:p>
        </w:tc>
      </w:tr>
    </w:tbl>
    <w:p w:rsidR="00CF24B8" w:rsidRPr="007F7FF5" w:rsidRDefault="00CF24B8" w:rsidP="00E06592">
      <w:pPr>
        <w:jc w:val="both"/>
        <w:rPr>
          <w:color w:val="000000" w:themeColor="text1"/>
        </w:rPr>
      </w:pPr>
    </w:p>
    <w:p w:rsidR="001E49AA" w:rsidRPr="007F7FF5" w:rsidRDefault="001E49AA" w:rsidP="001E49AA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The sum of both </w:t>
      </w:r>
      <w:proofErr w:type="spellStart"/>
      <w:r w:rsidR="00EB5933" w:rsidRPr="007F7FF5">
        <w:rPr>
          <w:color w:val="000000" w:themeColor="text1"/>
        </w:rPr>
        <w:t>dosemeter</w:t>
      </w:r>
      <w:r w:rsidRPr="007F7FF5">
        <w:rPr>
          <w:color w:val="000000" w:themeColor="text1"/>
        </w:rPr>
        <w:t>s</w:t>
      </w:r>
      <w:proofErr w:type="spellEnd"/>
      <w:r w:rsidRPr="007F7FF5">
        <w:rPr>
          <w:color w:val="000000" w:themeColor="text1"/>
        </w:rPr>
        <w:t xml:space="preserve"> is used, because </w:t>
      </w:r>
      <w:r w:rsidR="001D7411" w:rsidRPr="007F7FF5">
        <w:rPr>
          <w:color w:val="000000" w:themeColor="text1"/>
        </w:rPr>
        <w:t>a</w:t>
      </w:r>
      <w:r w:rsidRPr="007F7FF5">
        <w:rPr>
          <w:color w:val="000000" w:themeColor="text1"/>
        </w:rPr>
        <w:t xml:space="preserve">n albedo </w:t>
      </w:r>
      <w:proofErr w:type="spellStart"/>
      <w:r w:rsidR="00EB5933" w:rsidRPr="007F7FF5">
        <w:rPr>
          <w:color w:val="000000" w:themeColor="text1"/>
        </w:rPr>
        <w:t>dosemeter</w:t>
      </w:r>
      <w:proofErr w:type="spellEnd"/>
      <w:r w:rsidRPr="007F7FF5">
        <w:rPr>
          <w:color w:val="000000" w:themeColor="text1"/>
        </w:rPr>
        <w:t xml:space="preserve"> fixed on one side of the sphere is shielded against </w:t>
      </w:r>
      <w:r w:rsidR="001139B8" w:rsidRPr="007F7FF5">
        <w:rPr>
          <w:color w:val="000000" w:themeColor="text1"/>
        </w:rPr>
        <w:t xml:space="preserve">neutron </w:t>
      </w:r>
      <w:r w:rsidRPr="007F7FF5">
        <w:rPr>
          <w:color w:val="000000" w:themeColor="text1"/>
        </w:rPr>
        <w:t xml:space="preserve">radiation coming from the rear side, whereas the measurement of </w:t>
      </w:r>
      <w:r w:rsidRPr="007F7FF5">
        <w:rPr>
          <w:i/>
          <w:color w:val="000000" w:themeColor="text1"/>
        </w:rPr>
        <w:t>H*</w:t>
      </w:r>
      <w:r w:rsidRPr="007F7FF5">
        <w:rPr>
          <w:color w:val="000000" w:themeColor="text1"/>
        </w:rPr>
        <w:t>(10) is defined as isotropic and the TLD card inside the sphere detects neutron radiation coming from all directions.</w:t>
      </w:r>
    </w:p>
    <w:p w:rsidR="001E49AA" w:rsidRPr="007F7FF5" w:rsidRDefault="001E49AA" w:rsidP="00E06592">
      <w:pPr>
        <w:jc w:val="both"/>
        <w:rPr>
          <w:color w:val="000000" w:themeColor="text1"/>
        </w:rPr>
      </w:pPr>
      <w:proofErr w:type="spellStart"/>
      <w:r w:rsidRPr="007F7FF5">
        <w:rPr>
          <w:color w:val="000000" w:themeColor="text1"/>
        </w:rPr>
        <w:t>Luszik-Bhadra</w:t>
      </w:r>
      <w:proofErr w:type="spellEnd"/>
      <w:r w:rsidRPr="007F7FF5">
        <w:rPr>
          <w:color w:val="000000" w:themeColor="text1"/>
        </w:rPr>
        <w:t xml:space="preserve"> has evaluated the single sphere a</w:t>
      </w:r>
      <w:r w:rsidRPr="007F7FF5">
        <w:rPr>
          <w:color w:val="000000" w:themeColor="text1"/>
        </w:rPr>
        <w:t>p</w:t>
      </w:r>
      <w:r w:rsidRPr="007F7FF5">
        <w:rPr>
          <w:color w:val="000000" w:themeColor="text1"/>
        </w:rPr>
        <w:t xml:space="preserve">proach by measurements which have been performed in the framework of the EVIDOS </w:t>
      </w:r>
      <w:proofErr w:type="gramStart"/>
      <w:r w:rsidRPr="007F7FF5">
        <w:rPr>
          <w:color w:val="000000" w:themeColor="text1"/>
        </w:rPr>
        <w:t>project</w:t>
      </w:r>
      <w:r w:rsidRPr="007F7FF5">
        <w:rPr>
          <w:color w:val="000000" w:themeColor="text1"/>
          <w:vertAlign w:val="superscript"/>
        </w:rPr>
        <w:t>(</w:t>
      </w:r>
      <w:proofErr w:type="gramEnd"/>
      <w:r w:rsidR="00DF2E22" w:rsidRPr="007F7FF5">
        <w:rPr>
          <w:color w:val="000000" w:themeColor="text1"/>
          <w:vertAlign w:val="superscript"/>
        </w:rPr>
        <w:t>8</w:t>
      </w:r>
      <w:r w:rsidRPr="007F7FF5">
        <w:rPr>
          <w:color w:val="000000" w:themeColor="text1"/>
          <w:vertAlign w:val="superscript"/>
        </w:rPr>
        <w:t>)</w:t>
      </w:r>
      <w:r w:rsidRPr="007F7FF5">
        <w:rPr>
          <w:color w:val="000000" w:themeColor="text1"/>
        </w:rPr>
        <w:t xml:space="preserve">. </w:t>
      </w:r>
      <w:r w:rsidR="006D4E90" w:rsidRPr="007F7FF5">
        <w:rPr>
          <w:color w:val="000000" w:themeColor="text1"/>
        </w:rPr>
        <w:t xml:space="preserve">The results show that the sum </w:t>
      </w:r>
      <w:proofErr w:type="spellStart"/>
      <w:r w:rsidR="00443F30" w:rsidRPr="007F7FF5">
        <w:rPr>
          <w:i/>
          <w:color w:val="000000" w:themeColor="text1"/>
        </w:rPr>
        <w:t>H</w:t>
      </w:r>
      <w:r w:rsidR="00443F30" w:rsidRPr="007F7FF5">
        <w:rPr>
          <w:color w:val="000000" w:themeColor="text1"/>
          <w:vertAlign w:val="subscript"/>
        </w:rPr>
        <w:t>p,sum</w:t>
      </w:r>
      <w:proofErr w:type="spellEnd"/>
      <w:r w:rsidR="00443F30" w:rsidRPr="007F7FF5">
        <w:rPr>
          <w:color w:val="000000" w:themeColor="text1"/>
        </w:rPr>
        <w:t xml:space="preserve">(10) </w:t>
      </w:r>
      <w:r w:rsidR="006D4E90" w:rsidRPr="007F7FF5">
        <w:rPr>
          <w:color w:val="000000" w:themeColor="text1"/>
        </w:rPr>
        <w:t xml:space="preserve">of the </w:t>
      </w:r>
      <w:r w:rsidR="00F925DD" w:rsidRPr="007F7FF5">
        <w:rPr>
          <w:color w:val="000000" w:themeColor="text1"/>
        </w:rPr>
        <w:t xml:space="preserve">personal </w:t>
      </w:r>
      <w:r w:rsidR="006D4E90" w:rsidRPr="007F7FF5">
        <w:rPr>
          <w:color w:val="000000" w:themeColor="text1"/>
        </w:rPr>
        <w:t>dose</w:t>
      </w:r>
      <w:r w:rsidR="00443F30" w:rsidRPr="007F7FF5">
        <w:rPr>
          <w:color w:val="000000" w:themeColor="text1"/>
        </w:rPr>
        <w:t xml:space="preserve"> </w:t>
      </w:r>
      <w:r w:rsidR="00443F30" w:rsidRPr="007F7FF5">
        <w:rPr>
          <w:color w:val="000000" w:themeColor="text1"/>
        </w:rPr>
        <w:lastRenderedPageBreak/>
        <w:t xml:space="preserve">values measured </w:t>
      </w:r>
      <w:r w:rsidR="00F925DD" w:rsidRPr="007F7FF5">
        <w:rPr>
          <w:color w:val="000000" w:themeColor="text1"/>
        </w:rPr>
        <w:t>at</w:t>
      </w:r>
      <w:r w:rsidR="006D4E90" w:rsidRPr="007F7FF5">
        <w:rPr>
          <w:color w:val="000000" w:themeColor="text1"/>
        </w:rPr>
        <w:t xml:space="preserve"> two opposite positions on a sphere is always lower than </w:t>
      </w:r>
      <w:r w:rsidR="006D4E90" w:rsidRPr="007F7FF5">
        <w:rPr>
          <w:i/>
          <w:color w:val="000000" w:themeColor="text1"/>
        </w:rPr>
        <w:t>H</w:t>
      </w:r>
      <w:r w:rsidR="006D4E90" w:rsidRPr="007F7FF5">
        <w:rPr>
          <w:color w:val="000000" w:themeColor="text1"/>
        </w:rPr>
        <w:t xml:space="preserve">*(10). </w:t>
      </w:r>
      <w:r w:rsidR="009506BD" w:rsidRPr="007F7FF5">
        <w:rPr>
          <w:color w:val="000000" w:themeColor="text1"/>
        </w:rPr>
        <w:t xml:space="preserve">The main reason for this observation is, that the operational quantity </w:t>
      </w:r>
      <w:proofErr w:type="spellStart"/>
      <w:proofErr w:type="gramStart"/>
      <w:r w:rsidR="009506BD" w:rsidRPr="007F7FF5">
        <w:rPr>
          <w:i/>
          <w:color w:val="000000" w:themeColor="text1"/>
        </w:rPr>
        <w:t>H</w:t>
      </w:r>
      <w:r w:rsidR="009506BD" w:rsidRPr="007F7FF5">
        <w:rPr>
          <w:color w:val="000000" w:themeColor="text1"/>
          <w:vertAlign w:val="subscript"/>
        </w:rPr>
        <w:t>p</w:t>
      </w:r>
      <w:proofErr w:type="spellEnd"/>
      <w:r w:rsidR="009506BD" w:rsidRPr="007F7FF5">
        <w:rPr>
          <w:color w:val="000000" w:themeColor="text1"/>
        </w:rPr>
        <w:t>(</w:t>
      </w:r>
      <w:proofErr w:type="gramEnd"/>
      <w:r w:rsidR="009506BD" w:rsidRPr="007F7FF5">
        <w:rPr>
          <w:color w:val="000000" w:themeColor="text1"/>
        </w:rPr>
        <w:t xml:space="preserve">10) depends on the angle of incidence </w:t>
      </w:r>
      <w:r w:rsidR="00985A20" w:rsidRPr="007F7FF5">
        <w:rPr>
          <w:rFonts w:ascii="Symbol" w:hAnsi="Symbol"/>
          <w:color w:val="000000" w:themeColor="text1"/>
        </w:rPr>
        <w:t></w:t>
      </w:r>
      <w:r w:rsidR="00985A20" w:rsidRPr="007F7FF5">
        <w:rPr>
          <w:color w:val="000000" w:themeColor="text1"/>
        </w:rPr>
        <w:t xml:space="preserve">  </w:t>
      </w:r>
      <w:r w:rsidR="009506BD" w:rsidRPr="007F7FF5">
        <w:rPr>
          <w:color w:val="000000" w:themeColor="text1"/>
        </w:rPr>
        <w:t>with app</w:t>
      </w:r>
      <w:r w:rsidR="00985A20" w:rsidRPr="007F7FF5">
        <w:rPr>
          <w:color w:val="000000" w:themeColor="text1"/>
        </w:rPr>
        <w:t>r</w:t>
      </w:r>
      <w:r w:rsidR="009506BD" w:rsidRPr="007F7FF5">
        <w:rPr>
          <w:color w:val="000000" w:themeColor="text1"/>
        </w:rPr>
        <w:t xml:space="preserve">ox. </w:t>
      </w:r>
      <w:r w:rsidR="00985A20" w:rsidRPr="007F7FF5">
        <w:rPr>
          <w:color w:val="000000" w:themeColor="text1"/>
        </w:rPr>
        <w:t>c</w:t>
      </w:r>
      <w:r w:rsidR="009506BD" w:rsidRPr="007F7FF5">
        <w:rPr>
          <w:color w:val="000000" w:themeColor="text1"/>
        </w:rPr>
        <w:t>os(</w:t>
      </w:r>
      <w:r w:rsidR="00985A20" w:rsidRPr="007F7FF5">
        <w:rPr>
          <w:rFonts w:ascii="Symbol" w:hAnsi="Symbol"/>
          <w:color w:val="000000" w:themeColor="text1"/>
        </w:rPr>
        <w:t></w:t>
      </w:r>
      <w:r w:rsidR="00985A20" w:rsidRPr="007F7FF5">
        <w:rPr>
          <w:color w:val="000000" w:themeColor="text1"/>
        </w:rPr>
        <w:t xml:space="preserve">) and the albedo </w:t>
      </w:r>
      <w:proofErr w:type="spellStart"/>
      <w:r w:rsidR="00EB5933" w:rsidRPr="007F7FF5">
        <w:rPr>
          <w:color w:val="000000" w:themeColor="text1"/>
        </w:rPr>
        <w:t>dosemeter</w:t>
      </w:r>
      <w:proofErr w:type="spellEnd"/>
      <w:r w:rsidR="00985A20" w:rsidRPr="007F7FF5">
        <w:rPr>
          <w:color w:val="000000" w:themeColor="text1"/>
        </w:rPr>
        <w:t xml:space="preserve"> has  a similar angular dependency</w:t>
      </w:r>
      <w:r w:rsidR="00985A20" w:rsidRPr="007F7FF5">
        <w:rPr>
          <w:color w:val="000000" w:themeColor="text1"/>
          <w:vertAlign w:val="superscript"/>
        </w:rPr>
        <w:t>(</w:t>
      </w:r>
      <w:r w:rsidR="000275AA" w:rsidRPr="007F7FF5">
        <w:rPr>
          <w:color w:val="000000" w:themeColor="text1"/>
          <w:vertAlign w:val="superscript"/>
        </w:rPr>
        <w:t>8</w:t>
      </w:r>
      <w:r w:rsidR="00985A20" w:rsidRPr="007F7FF5">
        <w:rPr>
          <w:color w:val="000000" w:themeColor="text1"/>
          <w:vertAlign w:val="superscript"/>
        </w:rPr>
        <w:t>)</w:t>
      </w:r>
      <w:r w:rsidR="00985A20" w:rsidRPr="007F7FF5">
        <w:rPr>
          <w:color w:val="000000" w:themeColor="text1"/>
        </w:rPr>
        <w:t>. The ratio</w:t>
      </w:r>
      <w:r w:rsidR="000275AA" w:rsidRPr="007F7FF5">
        <w:rPr>
          <w:color w:val="000000" w:themeColor="text1"/>
        </w:rPr>
        <w:t>s</w:t>
      </w:r>
      <w:r w:rsidR="00985A20" w:rsidRPr="007F7FF5">
        <w:rPr>
          <w:color w:val="000000" w:themeColor="text1"/>
        </w:rPr>
        <w:t xml:space="preserve"> </w:t>
      </w:r>
      <w:proofErr w:type="spellStart"/>
      <w:r w:rsidR="00985A20" w:rsidRPr="007F7FF5">
        <w:rPr>
          <w:i/>
          <w:color w:val="000000" w:themeColor="text1"/>
        </w:rPr>
        <w:t>H</w:t>
      </w:r>
      <w:r w:rsidR="00985A20" w:rsidRPr="007F7FF5">
        <w:rPr>
          <w:color w:val="000000" w:themeColor="text1"/>
          <w:vertAlign w:val="subscript"/>
        </w:rPr>
        <w:t>p</w:t>
      </w:r>
      <w:proofErr w:type="gramStart"/>
      <w:r w:rsidR="00985A20" w:rsidRPr="007F7FF5">
        <w:rPr>
          <w:color w:val="000000" w:themeColor="text1"/>
          <w:vertAlign w:val="subscript"/>
        </w:rPr>
        <w:t>,sum</w:t>
      </w:r>
      <w:proofErr w:type="spellEnd"/>
      <w:proofErr w:type="gramEnd"/>
      <w:r w:rsidR="00985A20" w:rsidRPr="007F7FF5">
        <w:rPr>
          <w:color w:val="000000" w:themeColor="text1"/>
        </w:rPr>
        <w:t xml:space="preserve">(10) / </w:t>
      </w:r>
      <w:r w:rsidR="00985A20" w:rsidRPr="007F7FF5">
        <w:rPr>
          <w:i/>
          <w:color w:val="000000" w:themeColor="text1"/>
        </w:rPr>
        <w:t>H</w:t>
      </w:r>
      <w:r w:rsidR="000275AA" w:rsidRPr="007F7FF5">
        <w:rPr>
          <w:color w:val="000000" w:themeColor="text1"/>
        </w:rPr>
        <w:t xml:space="preserve">*(10) </w:t>
      </w:r>
      <w:r w:rsidR="00EB1B02" w:rsidRPr="007F7FF5">
        <w:rPr>
          <w:color w:val="000000" w:themeColor="text1"/>
        </w:rPr>
        <w:t>dete</w:t>
      </w:r>
      <w:r w:rsidR="00EB1B02" w:rsidRPr="007F7FF5">
        <w:rPr>
          <w:color w:val="000000" w:themeColor="text1"/>
        </w:rPr>
        <w:t>r</w:t>
      </w:r>
      <w:r w:rsidR="00EB1B02" w:rsidRPr="007F7FF5">
        <w:rPr>
          <w:color w:val="000000" w:themeColor="text1"/>
        </w:rPr>
        <w:t xml:space="preserve">mined </w:t>
      </w:r>
      <w:r w:rsidR="000275AA" w:rsidRPr="007F7FF5">
        <w:rPr>
          <w:color w:val="000000" w:themeColor="text1"/>
        </w:rPr>
        <w:t xml:space="preserve">by </w:t>
      </w:r>
      <w:proofErr w:type="spellStart"/>
      <w:r w:rsidR="000275AA" w:rsidRPr="007F7FF5">
        <w:rPr>
          <w:color w:val="000000" w:themeColor="text1"/>
        </w:rPr>
        <w:t>Luszik-Bhadra</w:t>
      </w:r>
      <w:proofErr w:type="spellEnd"/>
      <w:r w:rsidR="000275AA" w:rsidRPr="007F7FF5">
        <w:rPr>
          <w:color w:val="000000" w:themeColor="text1"/>
        </w:rPr>
        <w:t xml:space="preserve"> vary</w:t>
      </w:r>
      <w:r w:rsidR="00985A20" w:rsidRPr="007F7FF5">
        <w:rPr>
          <w:color w:val="000000" w:themeColor="text1"/>
        </w:rPr>
        <w:t xml:space="preserve"> between 0.33 and 0.94.  The neutron correction factor </w:t>
      </w:r>
      <w:proofErr w:type="spellStart"/>
      <w:r w:rsidR="00985A20" w:rsidRPr="007F7FF5">
        <w:rPr>
          <w:i/>
          <w:color w:val="000000" w:themeColor="text1"/>
        </w:rPr>
        <w:t>N</w:t>
      </w:r>
      <w:r w:rsidR="00985A20" w:rsidRPr="007F7FF5">
        <w:rPr>
          <w:i/>
          <w:color w:val="000000" w:themeColor="text1"/>
          <w:vertAlign w:val="subscript"/>
        </w:rPr>
        <w:t>n</w:t>
      </w:r>
      <w:proofErr w:type="spellEnd"/>
      <w:r w:rsidR="00985A20" w:rsidRPr="007F7FF5">
        <w:rPr>
          <w:i/>
          <w:color w:val="000000" w:themeColor="text1"/>
        </w:rPr>
        <w:t>(X)</w:t>
      </w:r>
      <w:r w:rsidR="00985A20" w:rsidRPr="007F7FF5">
        <w:rPr>
          <w:color w:val="000000" w:themeColor="text1"/>
        </w:rPr>
        <w:t xml:space="preserve"> is the reciprocal of this ratio</w:t>
      </w:r>
      <w:r w:rsidR="00866A80" w:rsidRPr="007F7FF5">
        <w:rPr>
          <w:color w:val="000000" w:themeColor="text1"/>
        </w:rPr>
        <w:t xml:space="preserve"> and t</w:t>
      </w:r>
      <w:r w:rsidR="00985A20" w:rsidRPr="007F7FF5">
        <w:rPr>
          <w:color w:val="000000" w:themeColor="text1"/>
        </w:rPr>
        <w:t xml:space="preserve">herefore the single sphere approach delivers conservative correction coefficients which </w:t>
      </w:r>
      <w:r w:rsidR="000275AA" w:rsidRPr="007F7FF5">
        <w:rPr>
          <w:color w:val="000000" w:themeColor="text1"/>
        </w:rPr>
        <w:t xml:space="preserve">tend to </w:t>
      </w:r>
      <w:r w:rsidR="00985A20" w:rsidRPr="007F7FF5">
        <w:rPr>
          <w:color w:val="000000" w:themeColor="text1"/>
        </w:rPr>
        <w:t xml:space="preserve">overestimate personal neutron dose. In view of radiation protection purposes this </w:t>
      </w:r>
      <w:r w:rsidR="008F3717" w:rsidRPr="007F7FF5">
        <w:rPr>
          <w:color w:val="000000" w:themeColor="text1"/>
        </w:rPr>
        <w:t>is a desirable beha</w:t>
      </w:r>
      <w:r w:rsidR="008F3717" w:rsidRPr="007F7FF5">
        <w:rPr>
          <w:color w:val="000000" w:themeColor="text1"/>
        </w:rPr>
        <w:t>v</w:t>
      </w:r>
      <w:r w:rsidR="008F3717" w:rsidRPr="007F7FF5">
        <w:rPr>
          <w:color w:val="000000" w:themeColor="text1"/>
        </w:rPr>
        <w:t>ior because it prevents an underestimation of dose. It should be noted however</w:t>
      </w:r>
      <w:r w:rsidR="00F925DD" w:rsidRPr="007F7FF5">
        <w:rPr>
          <w:color w:val="000000" w:themeColor="text1"/>
        </w:rPr>
        <w:t>,</w:t>
      </w:r>
      <w:r w:rsidR="008F3717" w:rsidRPr="007F7FF5">
        <w:rPr>
          <w:color w:val="000000" w:themeColor="text1"/>
        </w:rPr>
        <w:t xml:space="preserve"> that all measurements of the EVIDOS project ha</w:t>
      </w:r>
      <w:r w:rsidR="00F925DD" w:rsidRPr="007F7FF5">
        <w:rPr>
          <w:color w:val="000000" w:themeColor="text1"/>
        </w:rPr>
        <w:t>ve</w:t>
      </w:r>
      <w:r w:rsidR="008F3717" w:rsidRPr="007F7FF5">
        <w:rPr>
          <w:color w:val="000000" w:themeColor="text1"/>
        </w:rPr>
        <w:t xml:space="preserve"> been performed at workplaces of the nuclear industry and therefore the results can be transferred to work</w:t>
      </w:r>
      <w:r w:rsidR="000275AA" w:rsidRPr="007F7FF5">
        <w:rPr>
          <w:color w:val="000000" w:themeColor="text1"/>
        </w:rPr>
        <w:t>places at high-</w:t>
      </w:r>
      <w:r w:rsidR="008F3717" w:rsidRPr="007F7FF5">
        <w:rPr>
          <w:color w:val="000000" w:themeColor="text1"/>
        </w:rPr>
        <w:t xml:space="preserve">energy accelerators only with care, because </w:t>
      </w:r>
      <w:r w:rsidR="002255B1" w:rsidRPr="007F7FF5">
        <w:rPr>
          <w:color w:val="000000" w:themeColor="text1"/>
        </w:rPr>
        <w:t xml:space="preserve">it may be that </w:t>
      </w:r>
      <w:r w:rsidR="000275AA" w:rsidRPr="007F7FF5">
        <w:rPr>
          <w:color w:val="000000" w:themeColor="text1"/>
        </w:rPr>
        <w:t>high-energy</w:t>
      </w:r>
      <w:r w:rsidR="002255B1" w:rsidRPr="007F7FF5">
        <w:rPr>
          <w:color w:val="000000" w:themeColor="text1"/>
        </w:rPr>
        <w:t xml:space="preserve"> </w:t>
      </w:r>
      <w:r w:rsidR="008F3717" w:rsidRPr="007F7FF5">
        <w:rPr>
          <w:color w:val="000000" w:themeColor="text1"/>
        </w:rPr>
        <w:t xml:space="preserve">neutrons can </w:t>
      </w:r>
      <w:r w:rsidR="002255B1" w:rsidRPr="007F7FF5">
        <w:rPr>
          <w:color w:val="000000" w:themeColor="text1"/>
        </w:rPr>
        <w:t>completely penetrate the sphere and ther</w:t>
      </w:r>
      <w:r w:rsidR="002255B1" w:rsidRPr="007F7FF5">
        <w:rPr>
          <w:color w:val="000000" w:themeColor="text1"/>
        </w:rPr>
        <w:t>e</w:t>
      </w:r>
      <w:r w:rsidR="002255B1" w:rsidRPr="007F7FF5">
        <w:rPr>
          <w:color w:val="000000" w:themeColor="text1"/>
        </w:rPr>
        <w:t>fore the second albedo on the back side of the sphere is no longer shielded against neutrons coming from the other side.</w:t>
      </w:r>
      <w:r w:rsidR="002F2E3E" w:rsidRPr="007F7FF5">
        <w:rPr>
          <w:color w:val="000000" w:themeColor="text1"/>
        </w:rPr>
        <w:t xml:space="preserve"> It should be noted here, that no electronic personal </w:t>
      </w:r>
      <w:proofErr w:type="spellStart"/>
      <w:r w:rsidR="00EB5933" w:rsidRPr="007F7FF5">
        <w:rPr>
          <w:color w:val="000000" w:themeColor="text1"/>
        </w:rPr>
        <w:t>dosemeter</w:t>
      </w:r>
      <w:proofErr w:type="spellEnd"/>
      <w:r w:rsidR="002F2E3E" w:rsidRPr="007F7FF5">
        <w:rPr>
          <w:color w:val="000000" w:themeColor="text1"/>
        </w:rPr>
        <w:t xml:space="preserve"> is commercially available, which can deliver a reference value for </w:t>
      </w:r>
      <w:proofErr w:type="spellStart"/>
      <w:proofErr w:type="gramStart"/>
      <w:r w:rsidR="002F2E3E" w:rsidRPr="007F7FF5">
        <w:rPr>
          <w:i/>
          <w:color w:val="000000" w:themeColor="text1"/>
        </w:rPr>
        <w:t>H</w:t>
      </w:r>
      <w:r w:rsidR="002F2E3E" w:rsidRPr="007F7FF5">
        <w:rPr>
          <w:color w:val="000000" w:themeColor="text1"/>
          <w:vertAlign w:val="subscript"/>
        </w:rPr>
        <w:t>p</w:t>
      </w:r>
      <w:proofErr w:type="spellEnd"/>
      <w:r w:rsidR="002F2E3E" w:rsidRPr="007F7FF5">
        <w:rPr>
          <w:color w:val="000000" w:themeColor="text1"/>
        </w:rPr>
        <w:t>(</w:t>
      </w:r>
      <w:proofErr w:type="gramEnd"/>
      <w:r w:rsidR="002F2E3E" w:rsidRPr="007F7FF5">
        <w:rPr>
          <w:color w:val="000000" w:themeColor="text1"/>
        </w:rPr>
        <w:t xml:space="preserve">10) with sufficient accuracy. For these reasons a modified single sphere approach has been chosen to determine field specific neutron correction factors for the albedo </w:t>
      </w:r>
      <w:proofErr w:type="spellStart"/>
      <w:r w:rsidR="00EB5933" w:rsidRPr="007F7FF5">
        <w:rPr>
          <w:color w:val="000000" w:themeColor="text1"/>
        </w:rPr>
        <w:t>dosemeter</w:t>
      </w:r>
      <w:proofErr w:type="spellEnd"/>
      <w:r w:rsidR="002F2E3E" w:rsidRPr="007F7FF5">
        <w:rPr>
          <w:color w:val="000000" w:themeColor="text1"/>
        </w:rPr>
        <w:t>.</w:t>
      </w:r>
    </w:p>
    <w:p w:rsidR="006D4E90" w:rsidRPr="007F7FF5" w:rsidRDefault="006D4E90" w:rsidP="00E06592">
      <w:pPr>
        <w:jc w:val="both"/>
        <w:rPr>
          <w:color w:val="000000" w:themeColor="text1"/>
        </w:rPr>
      </w:pPr>
    </w:p>
    <w:p w:rsidR="006D4E90" w:rsidRPr="007F7FF5" w:rsidRDefault="007A4C5C" w:rsidP="00E06592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MODIFIED </w:t>
      </w:r>
      <w:r w:rsidR="008F3717" w:rsidRPr="007F7FF5">
        <w:rPr>
          <w:color w:val="000000" w:themeColor="text1"/>
        </w:rPr>
        <w:t>FIELD CALIBRATION AT CERF</w:t>
      </w:r>
    </w:p>
    <w:p w:rsidR="006D4E90" w:rsidRPr="007F7FF5" w:rsidRDefault="006D4E90" w:rsidP="00E06592">
      <w:pPr>
        <w:jc w:val="both"/>
        <w:rPr>
          <w:color w:val="000000" w:themeColor="text1"/>
        </w:rPr>
      </w:pPr>
    </w:p>
    <w:p w:rsidR="008F3717" w:rsidRPr="007F7FF5" w:rsidRDefault="008F3717" w:rsidP="00E06592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The </w:t>
      </w:r>
      <w:r w:rsidR="00BC17D9" w:rsidRPr="007F7FF5">
        <w:rPr>
          <w:color w:val="000000" w:themeColor="text1"/>
        </w:rPr>
        <w:t xml:space="preserve">original </w:t>
      </w:r>
      <w:r w:rsidRPr="007F7FF5">
        <w:rPr>
          <w:color w:val="000000" w:themeColor="text1"/>
        </w:rPr>
        <w:t xml:space="preserve">single sphere approach was modified for the measurements at CERF. </w:t>
      </w:r>
    </w:p>
    <w:p w:rsidR="00E06592" w:rsidRPr="007F7FF5" w:rsidRDefault="007A4C5C" w:rsidP="00E06592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Two </w:t>
      </w:r>
      <w:r w:rsidR="00E06592" w:rsidRPr="007F7FF5">
        <w:rPr>
          <w:color w:val="000000" w:themeColor="text1"/>
        </w:rPr>
        <w:t>TLD card</w:t>
      </w:r>
      <w:r w:rsidR="00215B9C" w:rsidRPr="007F7FF5">
        <w:rPr>
          <w:color w:val="000000" w:themeColor="text1"/>
        </w:rPr>
        <w:t xml:space="preserve">s in the center of the sphere </w:t>
      </w:r>
      <w:r w:rsidR="008F3717" w:rsidRPr="007F7FF5">
        <w:rPr>
          <w:color w:val="000000" w:themeColor="text1"/>
        </w:rPr>
        <w:t xml:space="preserve">were </w:t>
      </w:r>
      <w:r w:rsidR="00E06592" w:rsidRPr="007F7FF5">
        <w:rPr>
          <w:color w:val="000000" w:themeColor="text1"/>
        </w:rPr>
        <w:t xml:space="preserve">used to determine </w:t>
      </w:r>
      <w:r w:rsidR="00E06592" w:rsidRPr="007F7FF5">
        <w:rPr>
          <w:i/>
          <w:color w:val="000000" w:themeColor="text1"/>
        </w:rPr>
        <w:t>H</w:t>
      </w:r>
      <w:r w:rsidR="00E06592" w:rsidRPr="007F7FF5">
        <w:rPr>
          <w:color w:val="000000" w:themeColor="text1"/>
        </w:rPr>
        <w:t>*(10)</w:t>
      </w:r>
      <w:r w:rsidR="008F3717" w:rsidRPr="007F7FF5">
        <w:rPr>
          <w:color w:val="000000" w:themeColor="text1"/>
        </w:rPr>
        <w:t xml:space="preserve">. </w:t>
      </w:r>
      <w:r w:rsidR="00215B9C" w:rsidRPr="007F7FF5">
        <w:rPr>
          <w:color w:val="000000" w:themeColor="text1"/>
        </w:rPr>
        <w:t>The det</w:t>
      </w:r>
      <w:r w:rsidR="008B13EA" w:rsidRPr="007F7FF5">
        <w:rPr>
          <w:color w:val="000000" w:themeColor="text1"/>
        </w:rPr>
        <w:t>e</w:t>
      </w:r>
      <w:r w:rsidR="00215B9C" w:rsidRPr="007F7FF5">
        <w:rPr>
          <w:color w:val="000000" w:themeColor="text1"/>
        </w:rPr>
        <w:t>cto</w:t>
      </w:r>
      <w:r w:rsidR="008B13EA" w:rsidRPr="007F7FF5">
        <w:rPr>
          <w:color w:val="000000" w:themeColor="text1"/>
        </w:rPr>
        <w:t>r</w:t>
      </w:r>
      <w:r w:rsidR="008F3717" w:rsidRPr="007F7FF5">
        <w:rPr>
          <w:color w:val="000000" w:themeColor="text1"/>
        </w:rPr>
        <w:t xml:space="preserve"> cards we</w:t>
      </w:r>
      <w:r w:rsidR="00215B9C" w:rsidRPr="007F7FF5">
        <w:rPr>
          <w:color w:val="000000" w:themeColor="text1"/>
        </w:rPr>
        <w:t>re fixed mi</w:t>
      </w:r>
      <w:r w:rsidR="00215B9C" w:rsidRPr="007F7FF5">
        <w:rPr>
          <w:color w:val="000000" w:themeColor="text1"/>
        </w:rPr>
        <w:t>r</w:t>
      </w:r>
      <w:r w:rsidR="00215B9C" w:rsidRPr="007F7FF5">
        <w:rPr>
          <w:color w:val="000000" w:themeColor="text1"/>
        </w:rPr>
        <w:t xml:space="preserve">rored, so that one </w:t>
      </w:r>
      <w:r w:rsidR="00215B9C" w:rsidRPr="007F7FF5">
        <w:rPr>
          <w:color w:val="000000" w:themeColor="text1"/>
          <w:vertAlign w:val="superscript"/>
        </w:rPr>
        <w:t>6</w:t>
      </w:r>
      <w:r w:rsidR="008F3717" w:rsidRPr="007F7FF5">
        <w:rPr>
          <w:color w:val="000000" w:themeColor="text1"/>
        </w:rPr>
        <w:t>Li detector wa</w:t>
      </w:r>
      <w:r w:rsidR="00215B9C" w:rsidRPr="007F7FF5">
        <w:rPr>
          <w:color w:val="000000" w:themeColor="text1"/>
        </w:rPr>
        <w:t xml:space="preserve">s covered by a </w:t>
      </w:r>
      <w:r w:rsidR="00215B9C" w:rsidRPr="007F7FF5">
        <w:rPr>
          <w:color w:val="000000" w:themeColor="text1"/>
          <w:vertAlign w:val="superscript"/>
        </w:rPr>
        <w:t>7</w:t>
      </w:r>
      <w:r w:rsidR="00215B9C" w:rsidRPr="007F7FF5">
        <w:rPr>
          <w:color w:val="000000" w:themeColor="text1"/>
        </w:rPr>
        <w:t xml:space="preserve">Li </w:t>
      </w:r>
      <w:r w:rsidR="008B13EA" w:rsidRPr="007F7FF5">
        <w:rPr>
          <w:color w:val="000000" w:themeColor="text1"/>
        </w:rPr>
        <w:t xml:space="preserve">element </w:t>
      </w:r>
      <w:r w:rsidR="00215B9C" w:rsidRPr="007F7FF5">
        <w:rPr>
          <w:color w:val="000000" w:themeColor="text1"/>
        </w:rPr>
        <w:t xml:space="preserve">of the other card to prevent shielding effects, because neutrons are absorbed in the surface layer of the </w:t>
      </w:r>
      <w:r w:rsidR="00875067" w:rsidRPr="007F7FF5">
        <w:rPr>
          <w:color w:val="000000" w:themeColor="text1"/>
          <w:vertAlign w:val="superscript"/>
        </w:rPr>
        <w:t>6</w:t>
      </w:r>
      <w:r w:rsidR="00875067" w:rsidRPr="007F7FF5">
        <w:rPr>
          <w:color w:val="000000" w:themeColor="text1"/>
        </w:rPr>
        <w:t>Li</w:t>
      </w:r>
      <w:r w:rsidR="008F3717" w:rsidRPr="007F7FF5">
        <w:rPr>
          <w:color w:val="000000" w:themeColor="text1"/>
        </w:rPr>
        <w:t xml:space="preserve"> </w:t>
      </w:r>
      <w:r w:rsidR="00215B9C" w:rsidRPr="007F7FF5">
        <w:rPr>
          <w:color w:val="000000" w:themeColor="text1"/>
        </w:rPr>
        <w:t xml:space="preserve">detectors. </w:t>
      </w:r>
      <w:proofErr w:type="spellStart"/>
      <w:proofErr w:type="gramStart"/>
      <w:r w:rsidR="00215B9C" w:rsidRPr="007F7FF5">
        <w:rPr>
          <w:i/>
          <w:color w:val="000000" w:themeColor="text1"/>
        </w:rPr>
        <w:t>M</w:t>
      </w:r>
      <w:r w:rsidR="00215B9C" w:rsidRPr="007F7FF5">
        <w:rPr>
          <w:i/>
          <w:color w:val="000000" w:themeColor="text1"/>
          <w:vertAlign w:val="subscript"/>
        </w:rPr>
        <w:t>n</w:t>
      </w:r>
      <w:proofErr w:type="spellEnd"/>
      <w:r w:rsidR="008B13EA" w:rsidRPr="007F7FF5">
        <w:rPr>
          <w:i/>
          <w:color w:val="000000" w:themeColor="text1"/>
        </w:rPr>
        <w:t>(</w:t>
      </w:r>
      <w:proofErr w:type="gramEnd"/>
      <w:r w:rsidR="008B13EA" w:rsidRPr="007F7FF5">
        <w:rPr>
          <w:i/>
          <w:color w:val="000000" w:themeColor="text1"/>
        </w:rPr>
        <w:t>center)</w:t>
      </w:r>
      <w:r w:rsidR="00CF24B8" w:rsidRPr="007F7FF5">
        <w:rPr>
          <w:color w:val="000000" w:themeColor="text1"/>
        </w:rPr>
        <w:t xml:space="preserve"> </w:t>
      </w:r>
      <w:r w:rsidR="008F3717" w:rsidRPr="007F7FF5">
        <w:rPr>
          <w:color w:val="000000" w:themeColor="text1"/>
        </w:rPr>
        <w:t>was</w:t>
      </w:r>
      <w:r w:rsidR="008B13EA" w:rsidRPr="007F7FF5">
        <w:rPr>
          <w:color w:val="000000" w:themeColor="text1"/>
        </w:rPr>
        <w:t xml:space="preserve"> </w:t>
      </w:r>
      <w:r w:rsidR="00875067" w:rsidRPr="007F7FF5">
        <w:rPr>
          <w:color w:val="000000" w:themeColor="text1"/>
        </w:rPr>
        <w:t xml:space="preserve">determined by </w:t>
      </w:r>
      <w:r w:rsidR="008B13EA" w:rsidRPr="007F7FF5">
        <w:rPr>
          <w:color w:val="000000" w:themeColor="text1"/>
        </w:rPr>
        <w:t>calc</w:t>
      </w:r>
      <w:r w:rsidR="008B13EA" w:rsidRPr="007F7FF5">
        <w:rPr>
          <w:color w:val="000000" w:themeColor="text1"/>
        </w:rPr>
        <w:t>u</w:t>
      </w:r>
      <w:r w:rsidR="008B13EA" w:rsidRPr="007F7FF5">
        <w:rPr>
          <w:color w:val="000000" w:themeColor="text1"/>
        </w:rPr>
        <w:t>lat</w:t>
      </w:r>
      <w:r w:rsidR="00875067" w:rsidRPr="007F7FF5">
        <w:rPr>
          <w:color w:val="000000" w:themeColor="text1"/>
        </w:rPr>
        <w:t>ing the</w:t>
      </w:r>
      <w:r w:rsidR="008B13EA" w:rsidRPr="007F7FF5">
        <w:rPr>
          <w:color w:val="000000" w:themeColor="text1"/>
        </w:rPr>
        <w:t xml:space="preserve"> difference of the </w:t>
      </w:r>
      <w:r w:rsidR="00EB1B02" w:rsidRPr="007F7FF5">
        <w:rPr>
          <w:color w:val="000000" w:themeColor="text1"/>
        </w:rPr>
        <w:t xml:space="preserve">two </w:t>
      </w:r>
      <w:r w:rsidR="00866A80" w:rsidRPr="007F7FF5">
        <w:rPr>
          <w:color w:val="000000" w:themeColor="text1"/>
        </w:rPr>
        <w:t>mean</w:t>
      </w:r>
      <w:r w:rsidR="008B13EA" w:rsidRPr="007F7FF5">
        <w:rPr>
          <w:color w:val="000000" w:themeColor="text1"/>
        </w:rPr>
        <w:t xml:space="preserve"> values of the four  </w:t>
      </w:r>
      <w:r w:rsidR="008B13EA" w:rsidRPr="007F7FF5">
        <w:rPr>
          <w:color w:val="000000" w:themeColor="text1"/>
          <w:vertAlign w:val="superscript"/>
        </w:rPr>
        <w:t>6</w:t>
      </w:r>
      <w:r w:rsidR="008B13EA" w:rsidRPr="007F7FF5">
        <w:rPr>
          <w:color w:val="000000" w:themeColor="text1"/>
        </w:rPr>
        <w:t xml:space="preserve">Li detectors and </w:t>
      </w:r>
      <w:r w:rsidR="00EB1B02" w:rsidRPr="007F7FF5">
        <w:rPr>
          <w:color w:val="000000" w:themeColor="text1"/>
        </w:rPr>
        <w:t xml:space="preserve">of </w:t>
      </w:r>
      <w:r w:rsidR="008B13EA" w:rsidRPr="007F7FF5">
        <w:rPr>
          <w:color w:val="000000" w:themeColor="text1"/>
        </w:rPr>
        <w:t xml:space="preserve">the four </w:t>
      </w:r>
      <w:r w:rsidR="008B13EA" w:rsidRPr="007F7FF5">
        <w:rPr>
          <w:color w:val="000000" w:themeColor="text1"/>
          <w:vertAlign w:val="superscript"/>
        </w:rPr>
        <w:t>7</w:t>
      </w:r>
      <w:r w:rsidR="008B13EA" w:rsidRPr="007F7FF5">
        <w:rPr>
          <w:color w:val="000000" w:themeColor="text1"/>
        </w:rPr>
        <w:t>Li detectors.</w:t>
      </w:r>
    </w:p>
    <w:p w:rsidR="00EC5CC6" w:rsidRPr="007F7FF5" w:rsidRDefault="008F3717" w:rsidP="00857965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For the determination of </w:t>
      </w:r>
      <w:r w:rsidRPr="007F7FF5">
        <w:rPr>
          <w:i/>
          <w:color w:val="000000" w:themeColor="text1"/>
        </w:rPr>
        <w:t>H</w:t>
      </w:r>
      <w:r w:rsidRPr="007F7FF5">
        <w:rPr>
          <w:color w:val="000000" w:themeColor="text1"/>
        </w:rPr>
        <w:t>*(10)</w:t>
      </w:r>
      <w:r w:rsidR="003A0A53" w:rsidRPr="007F7FF5">
        <w:rPr>
          <w:color w:val="000000" w:themeColor="text1"/>
        </w:rPr>
        <w:t xml:space="preserve"> </w:t>
      </w:r>
      <w:r w:rsidR="00EC5CC6" w:rsidRPr="007F7FF5">
        <w:rPr>
          <w:color w:val="000000" w:themeColor="text1"/>
        </w:rPr>
        <w:t>at CERF</w:t>
      </w:r>
      <w:r w:rsidR="007A4C5C" w:rsidRPr="007F7FF5">
        <w:rPr>
          <w:color w:val="000000" w:themeColor="text1"/>
        </w:rPr>
        <w:t>,</w:t>
      </w:r>
      <w:r w:rsidRPr="007F7FF5">
        <w:rPr>
          <w:color w:val="000000" w:themeColor="text1"/>
        </w:rPr>
        <w:t xml:space="preserve"> a </w:t>
      </w:r>
      <w:r w:rsidR="00EC5CC6" w:rsidRPr="007F7FF5">
        <w:rPr>
          <w:color w:val="000000" w:themeColor="text1"/>
        </w:rPr>
        <w:t xml:space="preserve">special neutron ball for TLD cards </w:t>
      </w:r>
      <w:r w:rsidRPr="007F7FF5">
        <w:rPr>
          <w:color w:val="000000" w:themeColor="text1"/>
        </w:rPr>
        <w:t>was</w:t>
      </w:r>
      <w:r w:rsidR="00EC5CC6" w:rsidRPr="007F7FF5">
        <w:rPr>
          <w:color w:val="000000" w:themeColor="text1"/>
        </w:rPr>
        <w:t xml:space="preserve"> </w:t>
      </w:r>
      <w:r w:rsidRPr="007F7FF5">
        <w:rPr>
          <w:color w:val="000000" w:themeColor="text1"/>
        </w:rPr>
        <w:t>used</w:t>
      </w:r>
      <w:r w:rsidRPr="007F7FF5">
        <w:rPr>
          <w:color w:val="000000" w:themeColor="text1"/>
          <w:vertAlign w:val="superscript"/>
        </w:rPr>
        <w:t>(</w:t>
      </w:r>
      <w:r w:rsidR="000275AA" w:rsidRPr="007F7FF5">
        <w:rPr>
          <w:color w:val="000000" w:themeColor="text1"/>
          <w:vertAlign w:val="superscript"/>
        </w:rPr>
        <w:t>9</w:t>
      </w:r>
      <w:r w:rsidRPr="007F7FF5">
        <w:rPr>
          <w:color w:val="000000" w:themeColor="text1"/>
          <w:vertAlign w:val="superscript"/>
        </w:rPr>
        <w:t>)</w:t>
      </w:r>
      <w:r w:rsidR="00857965" w:rsidRPr="007F7FF5">
        <w:rPr>
          <w:color w:val="000000" w:themeColor="text1"/>
        </w:rPr>
        <w:t xml:space="preserve">, which </w:t>
      </w:r>
      <w:r w:rsidR="00EC5CC6" w:rsidRPr="007F7FF5">
        <w:rPr>
          <w:color w:val="000000" w:themeColor="text1"/>
        </w:rPr>
        <w:t xml:space="preserve">mainly consist of polyethylene, but contains </w:t>
      </w:r>
      <w:r w:rsidR="00857965" w:rsidRPr="007F7FF5">
        <w:rPr>
          <w:color w:val="000000" w:themeColor="text1"/>
        </w:rPr>
        <w:t>a</w:t>
      </w:r>
      <w:r w:rsidR="00EC5CC6" w:rsidRPr="007F7FF5">
        <w:rPr>
          <w:color w:val="000000" w:themeColor="text1"/>
        </w:rPr>
        <w:t>n additional</w:t>
      </w:r>
      <w:r w:rsidR="00857965" w:rsidRPr="007F7FF5">
        <w:rPr>
          <w:color w:val="000000" w:themeColor="text1"/>
        </w:rPr>
        <w:t xml:space="preserve"> lead layer to improve the response to </w:t>
      </w:r>
      <w:r w:rsidR="000275AA" w:rsidRPr="007F7FF5">
        <w:rPr>
          <w:color w:val="000000" w:themeColor="text1"/>
        </w:rPr>
        <w:t>high-energy</w:t>
      </w:r>
      <w:r w:rsidR="00857965" w:rsidRPr="007F7FF5">
        <w:rPr>
          <w:color w:val="000000" w:themeColor="text1"/>
        </w:rPr>
        <w:t xml:space="preserve"> neutrons</w:t>
      </w:r>
      <w:r w:rsidR="00EC5CC6" w:rsidRPr="007F7FF5">
        <w:rPr>
          <w:color w:val="000000" w:themeColor="text1"/>
        </w:rPr>
        <w:t xml:space="preserve">. This special neutron ball has been developed at the </w:t>
      </w:r>
      <w:proofErr w:type="spellStart"/>
      <w:r w:rsidR="00EC5CC6" w:rsidRPr="007F7FF5">
        <w:rPr>
          <w:color w:val="000000" w:themeColor="text1"/>
        </w:rPr>
        <w:t>Gesellschaft</w:t>
      </w:r>
      <w:proofErr w:type="spellEnd"/>
      <w:r w:rsidR="00EC5CC6" w:rsidRPr="007F7FF5">
        <w:rPr>
          <w:color w:val="000000" w:themeColor="text1"/>
        </w:rPr>
        <w:t xml:space="preserve"> for </w:t>
      </w:r>
      <w:proofErr w:type="spellStart"/>
      <w:r w:rsidR="00EC5CC6" w:rsidRPr="007F7FF5">
        <w:rPr>
          <w:color w:val="000000" w:themeColor="text1"/>
        </w:rPr>
        <w:t>Schwerionen</w:t>
      </w:r>
      <w:proofErr w:type="spellEnd"/>
      <w:r w:rsidR="00EC5CC6" w:rsidRPr="007F7FF5">
        <w:rPr>
          <w:color w:val="000000" w:themeColor="text1"/>
        </w:rPr>
        <w:t xml:space="preserve"> (GSI) in Darmstadt, and therefore it is denoted as GSI ball, whereas a normal PE sphere without lead layer is denoted as PE ball.</w:t>
      </w:r>
    </w:p>
    <w:p w:rsidR="008F3717" w:rsidRPr="007F7FF5" w:rsidRDefault="00EC5CC6" w:rsidP="00857965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>Ultra-relativistic neutrons with energies higher than 10 MeV produce a</w:t>
      </w:r>
      <w:r w:rsidR="007A4C5C" w:rsidRPr="007F7FF5">
        <w:rPr>
          <w:color w:val="000000" w:themeColor="text1"/>
        </w:rPr>
        <w:t xml:space="preserve">dditional neutrons by spallation in the lead. Because this process is absent in the human body, the GSI ball was used as reference instrument for </w:t>
      </w:r>
      <w:r w:rsidR="007A4C5C" w:rsidRPr="007F7FF5">
        <w:rPr>
          <w:i/>
          <w:color w:val="000000" w:themeColor="text1"/>
        </w:rPr>
        <w:t>H</w:t>
      </w:r>
      <w:r w:rsidR="007A4C5C" w:rsidRPr="007F7FF5">
        <w:rPr>
          <w:color w:val="000000" w:themeColor="text1"/>
        </w:rPr>
        <w:t xml:space="preserve">*(10), but not as a phantom for albedo </w:t>
      </w:r>
      <w:proofErr w:type="spellStart"/>
      <w:r w:rsidR="00EB5933" w:rsidRPr="007F7FF5">
        <w:rPr>
          <w:color w:val="000000" w:themeColor="text1"/>
        </w:rPr>
        <w:t>dosemeter</w:t>
      </w:r>
      <w:r w:rsidR="007A4C5C" w:rsidRPr="007F7FF5">
        <w:rPr>
          <w:color w:val="000000" w:themeColor="text1"/>
        </w:rPr>
        <w:t>s</w:t>
      </w:r>
      <w:proofErr w:type="spellEnd"/>
      <w:r w:rsidR="007A4C5C" w:rsidRPr="007F7FF5">
        <w:rPr>
          <w:color w:val="000000" w:themeColor="text1"/>
        </w:rPr>
        <w:t>.</w:t>
      </w:r>
      <w:r w:rsidR="00BC17D9" w:rsidRPr="007F7FF5">
        <w:rPr>
          <w:color w:val="000000" w:themeColor="text1"/>
        </w:rPr>
        <w:t xml:space="preserve"> For this purpose</w:t>
      </w:r>
      <w:r w:rsidR="008E7F14" w:rsidRPr="007F7FF5">
        <w:rPr>
          <w:color w:val="000000" w:themeColor="text1"/>
        </w:rPr>
        <w:t xml:space="preserve"> </w:t>
      </w:r>
      <w:r w:rsidR="00DF2E22" w:rsidRPr="007F7FF5">
        <w:rPr>
          <w:color w:val="000000" w:themeColor="text1"/>
        </w:rPr>
        <w:t xml:space="preserve">only </w:t>
      </w:r>
      <w:r w:rsidR="00BC17D9" w:rsidRPr="007F7FF5">
        <w:rPr>
          <w:color w:val="000000" w:themeColor="text1"/>
        </w:rPr>
        <w:t>normal PE sphere</w:t>
      </w:r>
      <w:r w:rsidR="008E7F14" w:rsidRPr="007F7FF5">
        <w:rPr>
          <w:color w:val="000000" w:themeColor="text1"/>
        </w:rPr>
        <w:t>s</w:t>
      </w:r>
      <w:r w:rsidR="00BC17D9" w:rsidRPr="007F7FF5">
        <w:rPr>
          <w:color w:val="000000" w:themeColor="text1"/>
        </w:rPr>
        <w:t xml:space="preserve"> </w:t>
      </w:r>
      <w:r w:rsidR="00DF2E22" w:rsidRPr="007F7FF5">
        <w:rPr>
          <w:color w:val="000000" w:themeColor="text1"/>
        </w:rPr>
        <w:t xml:space="preserve">without lead </w:t>
      </w:r>
      <w:r w:rsidR="00BC17D9" w:rsidRPr="007F7FF5">
        <w:rPr>
          <w:color w:val="000000" w:themeColor="text1"/>
        </w:rPr>
        <w:t>w</w:t>
      </w:r>
      <w:r w:rsidR="008E7F14" w:rsidRPr="007F7FF5">
        <w:rPr>
          <w:color w:val="000000" w:themeColor="text1"/>
        </w:rPr>
        <w:t>ere</w:t>
      </w:r>
      <w:r w:rsidR="00BC17D9" w:rsidRPr="007F7FF5">
        <w:rPr>
          <w:color w:val="000000" w:themeColor="text1"/>
        </w:rPr>
        <w:t xml:space="preserve"> used. </w:t>
      </w:r>
    </w:p>
    <w:p w:rsidR="001D5A4D" w:rsidRPr="007F7FF5" w:rsidRDefault="001D5A4D" w:rsidP="00E06592">
      <w:pPr>
        <w:jc w:val="both"/>
        <w:rPr>
          <w:color w:val="000000" w:themeColor="text1"/>
        </w:rPr>
      </w:pPr>
    </w:p>
    <w:p w:rsidR="00690F71" w:rsidRPr="007F7FF5" w:rsidRDefault="00690F71" w:rsidP="00E06592">
      <w:pPr>
        <w:jc w:val="both"/>
        <w:rPr>
          <w:color w:val="000000" w:themeColor="text1"/>
        </w:rPr>
      </w:pPr>
    </w:p>
    <w:p w:rsidR="00690F71" w:rsidRPr="007F7FF5" w:rsidRDefault="00690F71" w:rsidP="00E06592">
      <w:pPr>
        <w:jc w:val="both"/>
        <w:rPr>
          <w:color w:val="000000" w:themeColor="text1"/>
        </w:rPr>
      </w:pPr>
    </w:p>
    <w:p w:rsidR="000971CB" w:rsidRPr="007F7FF5" w:rsidRDefault="000971CB" w:rsidP="00E06592">
      <w:pPr>
        <w:jc w:val="both"/>
        <w:rPr>
          <w:caps/>
          <w:color w:val="000000" w:themeColor="text1"/>
        </w:rPr>
      </w:pPr>
      <w:r w:rsidRPr="007F7FF5">
        <w:rPr>
          <w:caps/>
          <w:color w:val="000000" w:themeColor="text1"/>
        </w:rPr>
        <w:lastRenderedPageBreak/>
        <w:t>Experimental Setup</w:t>
      </w:r>
    </w:p>
    <w:p w:rsidR="000971CB" w:rsidRPr="007F7FF5" w:rsidRDefault="000971CB" w:rsidP="00E06592">
      <w:pPr>
        <w:jc w:val="both"/>
        <w:rPr>
          <w:color w:val="000000" w:themeColor="text1"/>
        </w:rPr>
      </w:pPr>
    </w:p>
    <w:p w:rsidR="000971CB" w:rsidRPr="007F7FF5" w:rsidRDefault="00FA5255" w:rsidP="00E06592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>The measurement</w:t>
      </w:r>
      <w:r w:rsidR="002E6DA8" w:rsidRPr="007F7FF5">
        <w:rPr>
          <w:color w:val="000000" w:themeColor="text1"/>
        </w:rPr>
        <w:t>s</w:t>
      </w:r>
      <w:r w:rsidRPr="007F7FF5">
        <w:rPr>
          <w:color w:val="000000" w:themeColor="text1"/>
        </w:rPr>
        <w:t xml:space="preserve"> took place </w:t>
      </w:r>
      <w:r w:rsidR="003A0A53" w:rsidRPr="007F7FF5">
        <w:rPr>
          <w:color w:val="000000" w:themeColor="text1"/>
        </w:rPr>
        <w:t>during</w:t>
      </w:r>
      <w:r w:rsidR="00802D87" w:rsidRPr="007F7FF5">
        <w:rPr>
          <w:color w:val="000000" w:themeColor="text1"/>
        </w:rPr>
        <w:t xml:space="preserve"> two different </w:t>
      </w:r>
      <w:r w:rsidR="00875067" w:rsidRPr="007F7FF5">
        <w:rPr>
          <w:color w:val="000000" w:themeColor="text1"/>
        </w:rPr>
        <w:t xml:space="preserve">beam time </w:t>
      </w:r>
      <w:r w:rsidR="00802D87" w:rsidRPr="007F7FF5">
        <w:rPr>
          <w:color w:val="000000" w:themeColor="text1"/>
        </w:rPr>
        <w:t>runs</w:t>
      </w:r>
      <w:r w:rsidR="00DF2E22" w:rsidRPr="007F7FF5">
        <w:rPr>
          <w:color w:val="000000" w:themeColor="text1"/>
        </w:rPr>
        <w:t xml:space="preserve"> (Run</w:t>
      </w:r>
      <w:r w:rsidR="008E53EF" w:rsidRPr="007F7FF5">
        <w:rPr>
          <w:color w:val="000000" w:themeColor="text1"/>
        </w:rPr>
        <w:t xml:space="preserve"> </w:t>
      </w:r>
      <w:r w:rsidR="00DF2E22" w:rsidRPr="007F7FF5">
        <w:rPr>
          <w:color w:val="000000" w:themeColor="text1"/>
        </w:rPr>
        <w:t xml:space="preserve">1 and 2). The balls were set up </w:t>
      </w:r>
      <w:r w:rsidR="00CA717F" w:rsidRPr="007F7FF5">
        <w:rPr>
          <w:color w:val="000000" w:themeColor="text1"/>
        </w:rPr>
        <w:t>on the roof and in a small</w:t>
      </w:r>
      <w:r w:rsidR="00CA717F" w:rsidRPr="007F7FF5">
        <w:rPr>
          <w:caps/>
          <w:color w:val="000000" w:themeColor="text1"/>
        </w:rPr>
        <w:t xml:space="preserve"> </w:t>
      </w:r>
      <w:r w:rsidR="00CA717F" w:rsidRPr="007F7FF5">
        <w:rPr>
          <w:color w:val="000000" w:themeColor="text1"/>
        </w:rPr>
        <w:t>corridor at the side</w:t>
      </w:r>
      <w:r w:rsidR="00CA717F" w:rsidRPr="007F7FF5">
        <w:rPr>
          <w:caps/>
          <w:color w:val="000000" w:themeColor="text1"/>
        </w:rPr>
        <w:t xml:space="preserve"> </w:t>
      </w:r>
      <w:r w:rsidRPr="007F7FF5">
        <w:rPr>
          <w:color w:val="000000" w:themeColor="text1"/>
        </w:rPr>
        <w:t xml:space="preserve">of the CERF facility. </w:t>
      </w:r>
      <w:r w:rsidR="00CA717F" w:rsidRPr="007F7FF5">
        <w:rPr>
          <w:color w:val="000000" w:themeColor="text1"/>
        </w:rPr>
        <w:t xml:space="preserve">These positions are denoted by </w:t>
      </w:r>
      <w:proofErr w:type="spellStart"/>
      <w:r w:rsidR="00CA717F" w:rsidRPr="007F7FF5">
        <w:rPr>
          <w:color w:val="000000" w:themeColor="text1"/>
        </w:rPr>
        <w:t>Mitaroff</w:t>
      </w:r>
      <w:proofErr w:type="spellEnd"/>
      <w:r w:rsidR="00CA717F" w:rsidRPr="007F7FF5">
        <w:rPr>
          <w:color w:val="000000" w:themeColor="text1"/>
        </w:rPr>
        <w:t xml:space="preserve"> and </w:t>
      </w:r>
      <w:proofErr w:type="spellStart"/>
      <w:proofErr w:type="gramStart"/>
      <w:r w:rsidR="00CA717F" w:rsidRPr="007F7FF5">
        <w:rPr>
          <w:color w:val="000000" w:themeColor="text1"/>
        </w:rPr>
        <w:t>Silari</w:t>
      </w:r>
      <w:proofErr w:type="spellEnd"/>
      <w:r w:rsidR="00CA717F" w:rsidRPr="007F7FF5">
        <w:rPr>
          <w:color w:val="000000" w:themeColor="text1"/>
          <w:vertAlign w:val="superscript"/>
        </w:rPr>
        <w:t>(</w:t>
      </w:r>
      <w:proofErr w:type="gramEnd"/>
      <w:r w:rsidR="00DF2E22" w:rsidRPr="007F7FF5">
        <w:rPr>
          <w:color w:val="000000" w:themeColor="text1"/>
          <w:vertAlign w:val="superscript"/>
        </w:rPr>
        <w:t>3</w:t>
      </w:r>
      <w:r w:rsidR="00CA717F" w:rsidRPr="007F7FF5">
        <w:rPr>
          <w:color w:val="000000" w:themeColor="text1"/>
          <w:vertAlign w:val="superscript"/>
        </w:rPr>
        <w:t>)</w:t>
      </w:r>
      <w:r w:rsidR="00CA717F" w:rsidRPr="007F7FF5">
        <w:rPr>
          <w:color w:val="000000" w:themeColor="text1"/>
        </w:rPr>
        <w:t xml:space="preserve"> as T</w:t>
      </w:r>
      <w:r w:rsidR="00CD4B36" w:rsidRPr="007F7FF5">
        <w:rPr>
          <w:color w:val="000000" w:themeColor="text1"/>
        </w:rPr>
        <w:t xml:space="preserve">op Concrete </w:t>
      </w:r>
      <w:r w:rsidR="00CA717F" w:rsidRPr="007F7FF5">
        <w:rPr>
          <w:color w:val="000000" w:themeColor="text1"/>
        </w:rPr>
        <w:t>and S</w:t>
      </w:r>
      <w:r w:rsidR="00CD4B36" w:rsidRPr="007F7FF5">
        <w:rPr>
          <w:color w:val="000000" w:themeColor="text1"/>
        </w:rPr>
        <w:t>ide</w:t>
      </w:r>
      <w:r w:rsidR="00CA717F" w:rsidRPr="007F7FF5">
        <w:rPr>
          <w:color w:val="000000" w:themeColor="text1"/>
        </w:rPr>
        <w:t xml:space="preserve"> C</w:t>
      </w:r>
      <w:r w:rsidR="00CD4B36" w:rsidRPr="007F7FF5">
        <w:rPr>
          <w:color w:val="000000" w:themeColor="text1"/>
        </w:rPr>
        <w:t>oncrete.</w:t>
      </w:r>
      <w:r w:rsidR="003B766B" w:rsidRPr="007F7FF5">
        <w:rPr>
          <w:color w:val="000000" w:themeColor="text1"/>
        </w:rPr>
        <w:t xml:space="preserve"> The </w:t>
      </w:r>
      <w:r w:rsidRPr="007F7FF5">
        <w:rPr>
          <w:color w:val="000000" w:themeColor="text1"/>
        </w:rPr>
        <w:t xml:space="preserve">CERN </w:t>
      </w:r>
      <w:r w:rsidR="00CA717F" w:rsidRPr="007F7FF5">
        <w:rPr>
          <w:color w:val="000000" w:themeColor="text1"/>
        </w:rPr>
        <w:t xml:space="preserve">staff </w:t>
      </w:r>
      <w:r w:rsidRPr="007F7FF5">
        <w:rPr>
          <w:color w:val="000000" w:themeColor="text1"/>
        </w:rPr>
        <w:t xml:space="preserve">provides PIC counts </w:t>
      </w:r>
      <w:r w:rsidR="00AD20E2" w:rsidRPr="007F7FF5">
        <w:rPr>
          <w:color w:val="000000" w:themeColor="text1"/>
        </w:rPr>
        <w:t xml:space="preserve">of a beam monitor </w:t>
      </w:r>
      <w:r w:rsidRPr="007F7FF5">
        <w:rPr>
          <w:color w:val="000000" w:themeColor="text1"/>
        </w:rPr>
        <w:t xml:space="preserve">for every </w:t>
      </w:r>
      <w:r w:rsidR="00BC6635" w:rsidRPr="007F7FF5">
        <w:rPr>
          <w:color w:val="000000" w:themeColor="text1"/>
        </w:rPr>
        <w:t xml:space="preserve">beam time </w:t>
      </w:r>
      <w:r w:rsidRPr="007F7FF5">
        <w:rPr>
          <w:color w:val="000000" w:themeColor="text1"/>
        </w:rPr>
        <w:t xml:space="preserve">and with the </w:t>
      </w:r>
      <w:r w:rsidR="004B36D9" w:rsidRPr="007F7FF5">
        <w:rPr>
          <w:color w:val="000000" w:themeColor="text1"/>
        </w:rPr>
        <w:t xml:space="preserve">conversion factors, </w:t>
      </w:r>
      <w:r w:rsidRPr="007F7FF5">
        <w:rPr>
          <w:color w:val="000000" w:themeColor="text1"/>
        </w:rPr>
        <w:t xml:space="preserve">given in </w:t>
      </w:r>
      <w:r w:rsidR="00BC6635" w:rsidRPr="007F7FF5">
        <w:rPr>
          <w:color w:val="000000" w:themeColor="text1"/>
        </w:rPr>
        <w:t xml:space="preserve">table 2 of </w:t>
      </w:r>
      <w:r w:rsidRPr="007F7FF5">
        <w:rPr>
          <w:color w:val="000000" w:themeColor="text1"/>
        </w:rPr>
        <w:t>Ref</w:t>
      </w:r>
      <w:r w:rsidR="00FE17AE" w:rsidRPr="007F7FF5">
        <w:rPr>
          <w:color w:val="000000" w:themeColor="text1"/>
        </w:rPr>
        <w:t>erence</w:t>
      </w:r>
      <w:r w:rsidRPr="007F7FF5">
        <w:rPr>
          <w:color w:val="000000" w:themeColor="text1"/>
        </w:rPr>
        <w:t xml:space="preserve"> </w:t>
      </w:r>
      <w:r w:rsidR="00DF2E22" w:rsidRPr="007F7FF5">
        <w:rPr>
          <w:color w:val="000000" w:themeColor="text1"/>
        </w:rPr>
        <w:t>3</w:t>
      </w:r>
      <w:r w:rsidRPr="007F7FF5">
        <w:rPr>
          <w:color w:val="000000" w:themeColor="text1"/>
        </w:rPr>
        <w:t xml:space="preserve">, the ambient dose equivalent </w:t>
      </w:r>
      <w:r w:rsidRPr="007F7FF5">
        <w:rPr>
          <w:i/>
          <w:color w:val="000000" w:themeColor="text1"/>
        </w:rPr>
        <w:t>H</w:t>
      </w:r>
      <w:r w:rsidRPr="007F7FF5">
        <w:rPr>
          <w:color w:val="000000" w:themeColor="text1"/>
        </w:rPr>
        <w:t xml:space="preserve">*(10) can be calculated.  This is possible </w:t>
      </w:r>
      <w:r w:rsidR="00802D87" w:rsidRPr="007F7FF5">
        <w:rPr>
          <w:color w:val="000000" w:themeColor="text1"/>
        </w:rPr>
        <w:t xml:space="preserve">only </w:t>
      </w:r>
      <w:r w:rsidRPr="007F7FF5">
        <w:rPr>
          <w:color w:val="000000" w:themeColor="text1"/>
        </w:rPr>
        <w:t xml:space="preserve">for </w:t>
      </w:r>
      <w:r w:rsidR="00BC6635" w:rsidRPr="007F7FF5">
        <w:rPr>
          <w:color w:val="000000" w:themeColor="text1"/>
        </w:rPr>
        <w:t>positi</w:t>
      </w:r>
      <w:r w:rsidRPr="007F7FF5">
        <w:rPr>
          <w:color w:val="000000" w:themeColor="text1"/>
        </w:rPr>
        <w:t xml:space="preserve">ons within </w:t>
      </w:r>
      <w:r w:rsidR="00BC6635" w:rsidRPr="007F7FF5">
        <w:rPr>
          <w:color w:val="000000" w:themeColor="text1"/>
        </w:rPr>
        <w:t xml:space="preserve">defined </w:t>
      </w:r>
      <w:r w:rsidRPr="007F7FF5">
        <w:rPr>
          <w:color w:val="000000" w:themeColor="text1"/>
        </w:rPr>
        <w:t>grid</w:t>
      </w:r>
      <w:r w:rsidR="00BC6635" w:rsidRPr="007F7FF5">
        <w:rPr>
          <w:color w:val="000000" w:themeColor="text1"/>
        </w:rPr>
        <w:t>s</w:t>
      </w:r>
      <w:r w:rsidRPr="007F7FF5">
        <w:rPr>
          <w:color w:val="000000" w:themeColor="text1"/>
        </w:rPr>
        <w:t xml:space="preserve"> </w:t>
      </w:r>
      <w:r w:rsidR="00BC6635" w:rsidRPr="007F7FF5">
        <w:rPr>
          <w:color w:val="000000" w:themeColor="text1"/>
        </w:rPr>
        <w:t>o</w:t>
      </w:r>
      <w:r w:rsidR="002E6DA8" w:rsidRPr="007F7FF5">
        <w:rPr>
          <w:color w:val="000000" w:themeColor="text1"/>
        </w:rPr>
        <w:t>n</w:t>
      </w:r>
      <w:r w:rsidR="00BC6635" w:rsidRPr="007F7FF5">
        <w:rPr>
          <w:color w:val="000000" w:themeColor="text1"/>
        </w:rPr>
        <w:t xml:space="preserve"> the roof</w:t>
      </w:r>
      <w:r w:rsidR="00CA717F" w:rsidRPr="007F7FF5">
        <w:rPr>
          <w:color w:val="000000" w:themeColor="text1"/>
        </w:rPr>
        <w:t xml:space="preserve"> (</w:t>
      </w:r>
      <w:r w:rsidR="00CD4B36" w:rsidRPr="007F7FF5">
        <w:rPr>
          <w:color w:val="000000" w:themeColor="text1"/>
        </w:rPr>
        <w:t>Top Co</w:t>
      </w:r>
      <w:r w:rsidR="00CD4B36" w:rsidRPr="007F7FF5">
        <w:rPr>
          <w:color w:val="000000" w:themeColor="text1"/>
        </w:rPr>
        <w:t>n</w:t>
      </w:r>
      <w:r w:rsidR="00CD4B36" w:rsidRPr="007F7FF5">
        <w:rPr>
          <w:color w:val="000000" w:themeColor="text1"/>
        </w:rPr>
        <w:t>crete</w:t>
      </w:r>
      <w:r w:rsidR="00CA717F" w:rsidRPr="007F7FF5">
        <w:rPr>
          <w:color w:val="000000" w:themeColor="text1"/>
        </w:rPr>
        <w:t>)</w:t>
      </w:r>
      <w:r w:rsidR="003A0A53" w:rsidRPr="007F7FF5">
        <w:rPr>
          <w:color w:val="000000" w:themeColor="text1"/>
        </w:rPr>
        <w:t xml:space="preserve"> and the</w:t>
      </w:r>
      <w:r w:rsidR="00875067" w:rsidRPr="007F7FF5">
        <w:rPr>
          <w:color w:val="000000" w:themeColor="text1"/>
        </w:rPr>
        <w:t xml:space="preserve"> conversion factors refer only to </w:t>
      </w:r>
      <w:r w:rsidR="00875067" w:rsidRPr="007F7FF5">
        <w:rPr>
          <w:i/>
          <w:color w:val="000000" w:themeColor="text1"/>
        </w:rPr>
        <w:t>H</w:t>
      </w:r>
      <w:r w:rsidR="00875067" w:rsidRPr="007F7FF5">
        <w:rPr>
          <w:color w:val="000000" w:themeColor="text1"/>
        </w:rPr>
        <w:t xml:space="preserve">*(10) and not to </w:t>
      </w:r>
      <w:proofErr w:type="spellStart"/>
      <w:r w:rsidR="00875067" w:rsidRPr="007F7FF5">
        <w:rPr>
          <w:i/>
          <w:color w:val="000000" w:themeColor="text1"/>
        </w:rPr>
        <w:t>H</w:t>
      </w:r>
      <w:r w:rsidR="00875067" w:rsidRPr="007F7FF5">
        <w:rPr>
          <w:color w:val="000000" w:themeColor="text1"/>
          <w:vertAlign w:val="subscript"/>
        </w:rPr>
        <w:t>p</w:t>
      </w:r>
      <w:proofErr w:type="spellEnd"/>
      <w:r w:rsidR="00875067" w:rsidRPr="007F7FF5">
        <w:rPr>
          <w:color w:val="000000" w:themeColor="text1"/>
        </w:rPr>
        <w:t xml:space="preserve">(10). </w:t>
      </w:r>
      <w:r w:rsidR="002E6DA8" w:rsidRPr="007F7FF5">
        <w:rPr>
          <w:color w:val="000000" w:themeColor="text1"/>
        </w:rPr>
        <w:t xml:space="preserve">For the location at the side no </w:t>
      </w:r>
      <w:r w:rsidR="002C05AA" w:rsidRPr="007F7FF5">
        <w:rPr>
          <w:color w:val="000000" w:themeColor="text1"/>
        </w:rPr>
        <w:t>co</w:t>
      </w:r>
      <w:r w:rsidR="002C05AA" w:rsidRPr="007F7FF5">
        <w:rPr>
          <w:color w:val="000000" w:themeColor="text1"/>
        </w:rPr>
        <w:t>n</w:t>
      </w:r>
      <w:r w:rsidR="002C05AA" w:rsidRPr="007F7FF5">
        <w:rPr>
          <w:color w:val="000000" w:themeColor="text1"/>
        </w:rPr>
        <w:t>version</w:t>
      </w:r>
      <w:r w:rsidR="00875067" w:rsidRPr="007F7FF5">
        <w:rPr>
          <w:color w:val="000000" w:themeColor="text1"/>
        </w:rPr>
        <w:t xml:space="preserve"> factors </w:t>
      </w:r>
      <w:r w:rsidR="002E6DA8" w:rsidRPr="007F7FF5">
        <w:rPr>
          <w:color w:val="000000" w:themeColor="text1"/>
        </w:rPr>
        <w:t>are</w:t>
      </w:r>
      <w:r w:rsidR="00875067" w:rsidRPr="007F7FF5">
        <w:rPr>
          <w:color w:val="000000" w:themeColor="text1"/>
        </w:rPr>
        <w:t xml:space="preserve"> </w:t>
      </w:r>
      <w:r w:rsidR="002E6DA8" w:rsidRPr="007F7FF5">
        <w:rPr>
          <w:color w:val="000000" w:themeColor="text1"/>
        </w:rPr>
        <w:t>available</w:t>
      </w:r>
      <w:r w:rsidR="00CA717F" w:rsidRPr="007F7FF5">
        <w:rPr>
          <w:color w:val="000000" w:themeColor="text1"/>
        </w:rPr>
        <w:t>.</w:t>
      </w:r>
      <w:r w:rsidR="002E6DA8" w:rsidRPr="007F7FF5">
        <w:rPr>
          <w:color w:val="000000" w:themeColor="text1"/>
        </w:rPr>
        <w:t xml:space="preserve"> </w:t>
      </w:r>
    </w:p>
    <w:p w:rsidR="001D3635" w:rsidRPr="007F7FF5" w:rsidRDefault="00CA717F" w:rsidP="00E06592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During the first run one GSI ball </w:t>
      </w:r>
      <w:r w:rsidR="00D7403A" w:rsidRPr="007F7FF5">
        <w:rPr>
          <w:color w:val="000000" w:themeColor="text1"/>
        </w:rPr>
        <w:t xml:space="preserve">(GSI1) </w:t>
      </w:r>
      <w:r w:rsidRPr="007F7FF5">
        <w:rPr>
          <w:color w:val="000000" w:themeColor="text1"/>
        </w:rPr>
        <w:t xml:space="preserve">was located </w:t>
      </w:r>
      <w:r w:rsidR="004B36D9" w:rsidRPr="007F7FF5">
        <w:rPr>
          <w:color w:val="000000" w:themeColor="text1"/>
        </w:rPr>
        <w:t xml:space="preserve">on the roof </w:t>
      </w:r>
      <w:r w:rsidRPr="007F7FF5">
        <w:rPr>
          <w:color w:val="000000" w:themeColor="text1"/>
        </w:rPr>
        <w:t xml:space="preserve">in the center </w:t>
      </w:r>
      <w:r w:rsidR="00D7403A" w:rsidRPr="007F7FF5">
        <w:rPr>
          <w:color w:val="000000" w:themeColor="text1"/>
        </w:rPr>
        <w:t xml:space="preserve">of </w:t>
      </w:r>
      <w:r w:rsidRPr="007F7FF5">
        <w:rPr>
          <w:color w:val="000000" w:themeColor="text1"/>
        </w:rPr>
        <w:t>the grid fields 06,</w:t>
      </w:r>
      <w:r w:rsidR="00D7403A" w:rsidRPr="007F7FF5">
        <w:rPr>
          <w:color w:val="000000" w:themeColor="text1"/>
        </w:rPr>
        <w:t xml:space="preserve"> </w:t>
      </w:r>
      <w:r w:rsidRPr="007F7FF5">
        <w:rPr>
          <w:color w:val="000000" w:themeColor="text1"/>
        </w:rPr>
        <w:t>07,</w:t>
      </w:r>
      <w:r w:rsidR="00D7403A" w:rsidRPr="007F7FF5">
        <w:rPr>
          <w:color w:val="000000" w:themeColor="text1"/>
        </w:rPr>
        <w:t xml:space="preserve"> </w:t>
      </w:r>
      <w:r w:rsidRPr="007F7FF5">
        <w:rPr>
          <w:color w:val="000000" w:themeColor="text1"/>
        </w:rPr>
        <w:t>10</w:t>
      </w:r>
      <w:r w:rsidR="00D7403A" w:rsidRPr="007F7FF5">
        <w:rPr>
          <w:color w:val="000000" w:themeColor="text1"/>
        </w:rPr>
        <w:t xml:space="preserve"> and 11. The GSI ball</w:t>
      </w:r>
      <w:r w:rsidRPr="007F7FF5">
        <w:rPr>
          <w:color w:val="000000" w:themeColor="text1"/>
        </w:rPr>
        <w:t xml:space="preserve"> </w:t>
      </w:r>
      <w:r w:rsidR="00D7403A" w:rsidRPr="007F7FF5">
        <w:rPr>
          <w:color w:val="000000" w:themeColor="text1"/>
        </w:rPr>
        <w:t>was su</w:t>
      </w:r>
      <w:r w:rsidRPr="007F7FF5">
        <w:rPr>
          <w:color w:val="000000" w:themeColor="text1"/>
        </w:rPr>
        <w:t xml:space="preserve">rrounded by 4 PE balls </w:t>
      </w:r>
      <w:r w:rsidR="00D7403A" w:rsidRPr="007F7FF5">
        <w:rPr>
          <w:color w:val="000000" w:themeColor="text1"/>
        </w:rPr>
        <w:t xml:space="preserve">(PE1 to PE4) </w:t>
      </w:r>
      <w:r w:rsidRPr="007F7FF5">
        <w:rPr>
          <w:color w:val="000000" w:themeColor="text1"/>
        </w:rPr>
        <w:t xml:space="preserve">which were </w:t>
      </w:r>
      <w:r w:rsidR="00D7403A" w:rsidRPr="007F7FF5">
        <w:rPr>
          <w:color w:val="000000" w:themeColor="text1"/>
        </w:rPr>
        <w:t xml:space="preserve">positioned </w:t>
      </w:r>
      <w:r w:rsidRPr="007F7FF5">
        <w:rPr>
          <w:color w:val="000000" w:themeColor="text1"/>
        </w:rPr>
        <w:t xml:space="preserve">in </w:t>
      </w:r>
      <w:r w:rsidR="00D7403A" w:rsidRPr="007F7FF5">
        <w:rPr>
          <w:color w:val="000000" w:themeColor="text1"/>
        </w:rPr>
        <w:t>the</w:t>
      </w:r>
      <w:r w:rsidRPr="007F7FF5">
        <w:rPr>
          <w:color w:val="000000" w:themeColor="text1"/>
        </w:rPr>
        <w:t xml:space="preserve"> center of one these fields.</w:t>
      </w:r>
      <w:r w:rsidR="00D7403A" w:rsidRPr="007F7FF5">
        <w:rPr>
          <w:color w:val="000000" w:themeColor="text1"/>
        </w:rPr>
        <w:t xml:space="preserve"> </w:t>
      </w:r>
      <w:r w:rsidR="001D3635" w:rsidRPr="007F7FF5">
        <w:rPr>
          <w:color w:val="000000" w:themeColor="text1"/>
        </w:rPr>
        <w:t xml:space="preserve">To fix the balls basic holders of tripods without bars were used, so that the height of a ball center amounted 20 cm above the cover plate of the roof. </w:t>
      </w:r>
    </w:p>
    <w:p w:rsidR="00CA717F" w:rsidRPr="007F7FF5" w:rsidRDefault="00D7403A" w:rsidP="00E06592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At the side </w:t>
      </w:r>
      <w:r w:rsidR="003A0A53" w:rsidRPr="007F7FF5">
        <w:rPr>
          <w:color w:val="000000" w:themeColor="text1"/>
        </w:rPr>
        <w:t xml:space="preserve">position </w:t>
      </w:r>
      <w:r w:rsidRPr="007F7FF5">
        <w:rPr>
          <w:color w:val="000000" w:themeColor="text1"/>
        </w:rPr>
        <w:t xml:space="preserve">one GSI ball was set up on a </w:t>
      </w:r>
      <w:r w:rsidR="001D3635" w:rsidRPr="007F7FF5">
        <w:rPr>
          <w:color w:val="000000" w:themeColor="text1"/>
        </w:rPr>
        <w:t>co</w:t>
      </w:r>
      <w:r w:rsidR="001D3635" w:rsidRPr="007F7FF5">
        <w:rPr>
          <w:color w:val="000000" w:themeColor="text1"/>
        </w:rPr>
        <w:t>m</w:t>
      </w:r>
      <w:r w:rsidR="001D3635" w:rsidRPr="007F7FF5">
        <w:rPr>
          <w:color w:val="000000" w:themeColor="text1"/>
        </w:rPr>
        <w:t xml:space="preserve">plete </w:t>
      </w:r>
      <w:r w:rsidRPr="007F7FF5">
        <w:rPr>
          <w:color w:val="000000" w:themeColor="text1"/>
        </w:rPr>
        <w:t xml:space="preserve">tripod, so that the center of the ball was </w:t>
      </w:r>
      <w:r w:rsidR="00BE79ED" w:rsidRPr="007F7FF5">
        <w:rPr>
          <w:color w:val="000000" w:themeColor="text1"/>
        </w:rPr>
        <w:t xml:space="preserve">located </w:t>
      </w:r>
      <w:r w:rsidRPr="007F7FF5">
        <w:rPr>
          <w:color w:val="000000" w:themeColor="text1"/>
        </w:rPr>
        <w:t xml:space="preserve">at a height of 85 cm above ground. </w:t>
      </w:r>
      <w:r w:rsidR="00BE79ED" w:rsidRPr="007F7FF5">
        <w:rPr>
          <w:color w:val="000000" w:themeColor="text1"/>
        </w:rPr>
        <w:t xml:space="preserve">The </w:t>
      </w:r>
      <w:r w:rsidRPr="007F7FF5">
        <w:rPr>
          <w:color w:val="000000" w:themeColor="text1"/>
        </w:rPr>
        <w:t xml:space="preserve">PE balls PE5 and PE6 were located </w:t>
      </w:r>
      <w:r w:rsidR="00BE79ED" w:rsidRPr="007F7FF5">
        <w:rPr>
          <w:color w:val="000000" w:themeColor="text1"/>
        </w:rPr>
        <w:t xml:space="preserve">close </w:t>
      </w:r>
      <w:r w:rsidRPr="007F7FF5">
        <w:rPr>
          <w:color w:val="000000" w:themeColor="text1"/>
        </w:rPr>
        <w:t>to the GSI ball</w:t>
      </w:r>
      <w:r w:rsidR="00BE79ED" w:rsidRPr="007F7FF5">
        <w:rPr>
          <w:color w:val="000000" w:themeColor="text1"/>
        </w:rPr>
        <w:t xml:space="preserve"> on the left and right.</w:t>
      </w:r>
    </w:p>
    <w:p w:rsidR="00D7403A" w:rsidRPr="007F7FF5" w:rsidRDefault="00D7403A" w:rsidP="00E06592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During the second </w:t>
      </w:r>
      <w:r w:rsidR="001D3635" w:rsidRPr="007F7FF5">
        <w:rPr>
          <w:color w:val="000000" w:themeColor="text1"/>
        </w:rPr>
        <w:t>beam time</w:t>
      </w:r>
      <w:r w:rsidRPr="007F7FF5">
        <w:rPr>
          <w:color w:val="000000" w:themeColor="text1"/>
        </w:rPr>
        <w:t xml:space="preserve"> the two balls PE1 and PE2 were located in the grid fields 08 and 12 on the roof. </w:t>
      </w:r>
      <w:r w:rsidR="001D3635" w:rsidRPr="007F7FF5">
        <w:rPr>
          <w:color w:val="000000" w:themeColor="text1"/>
        </w:rPr>
        <w:t>GSI ball GSI1 could not be used for this beam time, because of a mechanical problem, which occurred during card change.</w:t>
      </w:r>
    </w:p>
    <w:p w:rsidR="0051281C" w:rsidRPr="007F7FF5" w:rsidRDefault="00D7403A" w:rsidP="008002F1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At the side the </w:t>
      </w:r>
      <w:r w:rsidR="008002F1" w:rsidRPr="007F7FF5">
        <w:rPr>
          <w:color w:val="000000" w:themeColor="text1"/>
        </w:rPr>
        <w:t xml:space="preserve">ball GSI 2 </w:t>
      </w:r>
      <w:r w:rsidR="00E828A3" w:rsidRPr="007F7FF5">
        <w:rPr>
          <w:color w:val="000000" w:themeColor="text1"/>
        </w:rPr>
        <w:t xml:space="preserve">was </w:t>
      </w:r>
      <w:r w:rsidR="008002F1" w:rsidRPr="007F7FF5">
        <w:rPr>
          <w:color w:val="000000" w:themeColor="text1"/>
        </w:rPr>
        <w:t>located at a height of 126 cm above ground</w:t>
      </w:r>
      <w:r w:rsidR="00E828A3" w:rsidRPr="007F7FF5">
        <w:rPr>
          <w:color w:val="000000" w:themeColor="text1"/>
        </w:rPr>
        <w:t xml:space="preserve"> and the ball PE3 close to it, whereas </w:t>
      </w:r>
      <w:r w:rsidR="008002F1" w:rsidRPr="007F7FF5">
        <w:rPr>
          <w:color w:val="000000" w:themeColor="text1"/>
        </w:rPr>
        <w:t xml:space="preserve">the balls PE4 and PE5 </w:t>
      </w:r>
      <w:r w:rsidR="00E828A3" w:rsidRPr="007F7FF5">
        <w:rPr>
          <w:color w:val="000000" w:themeColor="text1"/>
        </w:rPr>
        <w:t xml:space="preserve">were set up on tripods </w:t>
      </w:r>
      <w:r w:rsidR="008002F1" w:rsidRPr="007F7FF5">
        <w:rPr>
          <w:color w:val="000000" w:themeColor="text1"/>
        </w:rPr>
        <w:t>at a height of 85 cm. PE6 was positioned in the lab</w:t>
      </w:r>
      <w:r w:rsidR="008002F1" w:rsidRPr="007F7FF5">
        <w:rPr>
          <w:color w:val="000000" w:themeColor="text1"/>
        </w:rPr>
        <w:t>y</w:t>
      </w:r>
      <w:r w:rsidR="008002F1" w:rsidRPr="007F7FF5">
        <w:rPr>
          <w:color w:val="000000" w:themeColor="text1"/>
        </w:rPr>
        <w:t>rinth of the entrance</w:t>
      </w:r>
      <w:r w:rsidR="00E828A3" w:rsidRPr="007F7FF5">
        <w:rPr>
          <w:color w:val="000000" w:themeColor="text1"/>
        </w:rPr>
        <w:t xml:space="preserve"> in a greater distance</w:t>
      </w:r>
      <w:r w:rsidR="00BA4D52" w:rsidRPr="007F7FF5">
        <w:rPr>
          <w:color w:val="000000" w:themeColor="text1"/>
        </w:rPr>
        <w:t>.</w:t>
      </w:r>
    </w:p>
    <w:p w:rsidR="008002F1" w:rsidRPr="007F7FF5" w:rsidRDefault="002F2E3E" w:rsidP="008002F1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>It should be noted that during R</w:t>
      </w:r>
      <w:r w:rsidR="00B26C54" w:rsidRPr="007F7FF5">
        <w:rPr>
          <w:color w:val="000000" w:themeColor="text1"/>
        </w:rPr>
        <w:t>un</w:t>
      </w:r>
      <w:r w:rsidR="008E53EF" w:rsidRPr="007F7FF5">
        <w:rPr>
          <w:color w:val="000000" w:themeColor="text1"/>
        </w:rPr>
        <w:t xml:space="preserve"> </w:t>
      </w:r>
      <w:r w:rsidR="00B26C54" w:rsidRPr="007F7FF5">
        <w:rPr>
          <w:color w:val="000000" w:themeColor="text1"/>
        </w:rPr>
        <w:t>1 the exposition periods at the locations T</w:t>
      </w:r>
      <w:r w:rsidRPr="007F7FF5">
        <w:rPr>
          <w:color w:val="000000" w:themeColor="text1"/>
        </w:rPr>
        <w:t>op</w:t>
      </w:r>
      <w:r w:rsidR="00B26C54" w:rsidRPr="007F7FF5">
        <w:rPr>
          <w:color w:val="000000" w:themeColor="text1"/>
        </w:rPr>
        <w:t xml:space="preserve"> and S</w:t>
      </w:r>
      <w:r w:rsidRPr="007F7FF5">
        <w:rPr>
          <w:color w:val="000000" w:themeColor="text1"/>
        </w:rPr>
        <w:t>ide</w:t>
      </w:r>
      <w:r w:rsidR="00B26C54" w:rsidRPr="007F7FF5">
        <w:rPr>
          <w:color w:val="000000" w:themeColor="text1"/>
        </w:rPr>
        <w:t xml:space="preserve"> C</w:t>
      </w:r>
      <w:r w:rsidRPr="007F7FF5">
        <w:rPr>
          <w:color w:val="000000" w:themeColor="text1"/>
        </w:rPr>
        <w:t xml:space="preserve">oncrete </w:t>
      </w:r>
      <w:r w:rsidR="00B26C54" w:rsidRPr="007F7FF5">
        <w:rPr>
          <w:color w:val="000000" w:themeColor="text1"/>
        </w:rPr>
        <w:t>were equiv</w:t>
      </w:r>
      <w:r w:rsidRPr="007F7FF5">
        <w:rPr>
          <w:color w:val="000000" w:themeColor="text1"/>
        </w:rPr>
        <w:t>alent (8 hours), but for Run</w:t>
      </w:r>
      <w:r w:rsidR="008E53EF" w:rsidRPr="007F7FF5">
        <w:rPr>
          <w:color w:val="000000" w:themeColor="text1"/>
        </w:rPr>
        <w:t xml:space="preserve"> </w:t>
      </w:r>
      <w:r w:rsidR="00B26C54" w:rsidRPr="007F7FF5">
        <w:rPr>
          <w:color w:val="000000" w:themeColor="text1"/>
        </w:rPr>
        <w:t xml:space="preserve">2 </w:t>
      </w:r>
      <w:r w:rsidR="001D3635" w:rsidRPr="007F7FF5">
        <w:rPr>
          <w:color w:val="000000" w:themeColor="text1"/>
        </w:rPr>
        <w:t>the exposure</w:t>
      </w:r>
      <w:r w:rsidR="00B26C54" w:rsidRPr="007F7FF5">
        <w:rPr>
          <w:color w:val="000000" w:themeColor="text1"/>
        </w:rPr>
        <w:t xml:space="preserve"> </w:t>
      </w:r>
      <w:r w:rsidR="001D3635" w:rsidRPr="007F7FF5">
        <w:rPr>
          <w:color w:val="000000" w:themeColor="text1"/>
        </w:rPr>
        <w:t>lasted</w:t>
      </w:r>
      <w:r w:rsidR="0051281C" w:rsidRPr="007F7FF5">
        <w:rPr>
          <w:color w:val="000000" w:themeColor="text1"/>
        </w:rPr>
        <w:t xml:space="preserve"> 16</w:t>
      </w:r>
      <w:r w:rsidR="00B26C54" w:rsidRPr="007F7FF5">
        <w:rPr>
          <w:color w:val="000000" w:themeColor="text1"/>
        </w:rPr>
        <w:t xml:space="preserve"> hours for the balls at the side and 20.5 </w:t>
      </w:r>
      <w:r w:rsidR="00F925DD" w:rsidRPr="007F7FF5">
        <w:rPr>
          <w:color w:val="000000" w:themeColor="text1"/>
        </w:rPr>
        <w:t>hours for th</w:t>
      </w:r>
      <w:r w:rsidR="00BA4D52" w:rsidRPr="007F7FF5">
        <w:rPr>
          <w:color w:val="000000" w:themeColor="text1"/>
        </w:rPr>
        <w:t>e balls on the roof.</w:t>
      </w:r>
      <w:r w:rsidR="00DF2E22" w:rsidRPr="007F7FF5">
        <w:rPr>
          <w:color w:val="000000" w:themeColor="text1"/>
        </w:rPr>
        <w:t xml:space="preserve"> The position of the albedo </w:t>
      </w:r>
      <w:proofErr w:type="spellStart"/>
      <w:r w:rsidR="00EB5933" w:rsidRPr="007F7FF5">
        <w:rPr>
          <w:color w:val="000000" w:themeColor="text1"/>
        </w:rPr>
        <w:t>dosemeter</w:t>
      </w:r>
      <w:r w:rsidR="00DF2E22" w:rsidRPr="007F7FF5">
        <w:rPr>
          <w:color w:val="000000" w:themeColor="text1"/>
        </w:rPr>
        <w:t>s</w:t>
      </w:r>
      <w:proofErr w:type="spellEnd"/>
      <w:r w:rsidR="00DF2E22" w:rsidRPr="007F7FF5">
        <w:rPr>
          <w:color w:val="000000" w:themeColor="text1"/>
        </w:rPr>
        <w:t xml:space="preserve"> on the PE balls which </w:t>
      </w:r>
      <w:r w:rsidR="005A7E0B" w:rsidRPr="007F7FF5">
        <w:rPr>
          <w:color w:val="000000" w:themeColor="text1"/>
        </w:rPr>
        <w:t>were faced</w:t>
      </w:r>
      <w:r w:rsidR="00DF2E22" w:rsidRPr="007F7FF5">
        <w:rPr>
          <w:color w:val="000000" w:themeColor="text1"/>
        </w:rPr>
        <w:t xml:space="preserve"> directly to the target </w:t>
      </w:r>
      <w:r w:rsidR="005A7E0B" w:rsidRPr="007F7FF5">
        <w:rPr>
          <w:color w:val="000000" w:themeColor="text1"/>
        </w:rPr>
        <w:t>is denoted as F</w:t>
      </w:r>
      <w:r w:rsidR="00AE3E0D" w:rsidRPr="007F7FF5">
        <w:rPr>
          <w:color w:val="000000" w:themeColor="text1"/>
        </w:rPr>
        <w:t>ront</w:t>
      </w:r>
      <w:r w:rsidR="005A7E0B" w:rsidRPr="007F7FF5">
        <w:rPr>
          <w:color w:val="000000" w:themeColor="text1"/>
        </w:rPr>
        <w:t xml:space="preserve">. For the measurement on the roof, this position denotes the </w:t>
      </w:r>
      <w:proofErr w:type="spellStart"/>
      <w:r w:rsidR="00EB5933" w:rsidRPr="007F7FF5">
        <w:rPr>
          <w:color w:val="000000" w:themeColor="text1"/>
        </w:rPr>
        <w:t>dosemeter</w:t>
      </w:r>
      <w:r w:rsidR="005A7E0B" w:rsidRPr="007F7FF5">
        <w:rPr>
          <w:color w:val="000000" w:themeColor="text1"/>
        </w:rPr>
        <w:t>s</w:t>
      </w:r>
      <w:proofErr w:type="spellEnd"/>
      <w:r w:rsidR="005A7E0B" w:rsidRPr="007F7FF5">
        <w:rPr>
          <w:color w:val="000000" w:themeColor="text1"/>
        </w:rPr>
        <w:t>, which were orie</w:t>
      </w:r>
      <w:r w:rsidR="005A7E0B" w:rsidRPr="007F7FF5">
        <w:rPr>
          <w:color w:val="000000" w:themeColor="text1"/>
        </w:rPr>
        <w:t>n</w:t>
      </w:r>
      <w:r w:rsidR="005A7E0B" w:rsidRPr="007F7FF5">
        <w:rPr>
          <w:color w:val="000000" w:themeColor="text1"/>
        </w:rPr>
        <w:t xml:space="preserve">tated downwards to the ground.  The </w:t>
      </w:r>
      <w:proofErr w:type="spellStart"/>
      <w:r w:rsidR="00EB5933" w:rsidRPr="007F7FF5">
        <w:rPr>
          <w:color w:val="000000" w:themeColor="text1"/>
        </w:rPr>
        <w:t>dosemeter</w:t>
      </w:r>
      <w:r w:rsidR="005A7E0B" w:rsidRPr="007F7FF5">
        <w:rPr>
          <w:color w:val="000000" w:themeColor="text1"/>
        </w:rPr>
        <w:t>s</w:t>
      </w:r>
      <w:proofErr w:type="spellEnd"/>
      <w:r w:rsidR="005A7E0B" w:rsidRPr="007F7FF5">
        <w:rPr>
          <w:color w:val="000000" w:themeColor="text1"/>
        </w:rPr>
        <w:t xml:space="preserve"> on the opposite side of the ball are denoted as B</w:t>
      </w:r>
      <w:r w:rsidR="00AE3E0D" w:rsidRPr="007F7FF5">
        <w:rPr>
          <w:color w:val="000000" w:themeColor="text1"/>
        </w:rPr>
        <w:t>ack</w:t>
      </w:r>
      <w:r w:rsidR="005A7E0B" w:rsidRPr="007F7FF5">
        <w:rPr>
          <w:color w:val="000000" w:themeColor="text1"/>
        </w:rPr>
        <w:t xml:space="preserve"> and the other 2 </w:t>
      </w:r>
      <w:proofErr w:type="spellStart"/>
      <w:r w:rsidR="00EB5933" w:rsidRPr="007F7FF5">
        <w:rPr>
          <w:color w:val="000000" w:themeColor="text1"/>
        </w:rPr>
        <w:t>dosemeter</w:t>
      </w:r>
      <w:r w:rsidR="005A7E0B" w:rsidRPr="007F7FF5">
        <w:rPr>
          <w:color w:val="000000" w:themeColor="text1"/>
        </w:rPr>
        <w:t>s</w:t>
      </w:r>
      <w:proofErr w:type="spellEnd"/>
      <w:r w:rsidR="005A7E0B" w:rsidRPr="007F7FF5">
        <w:rPr>
          <w:color w:val="000000" w:themeColor="text1"/>
        </w:rPr>
        <w:t xml:space="preserve"> as L</w:t>
      </w:r>
      <w:r w:rsidR="00AE3E0D" w:rsidRPr="007F7FF5">
        <w:rPr>
          <w:color w:val="000000" w:themeColor="text1"/>
        </w:rPr>
        <w:t>eft</w:t>
      </w:r>
      <w:r w:rsidR="005A7E0B" w:rsidRPr="007F7FF5">
        <w:rPr>
          <w:color w:val="000000" w:themeColor="text1"/>
        </w:rPr>
        <w:t xml:space="preserve"> and R</w:t>
      </w:r>
      <w:r w:rsidR="00AE3E0D" w:rsidRPr="007F7FF5">
        <w:rPr>
          <w:color w:val="000000" w:themeColor="text1"/>
        </w:rPr>
        <w:t>ight</w:t>
      </w:r>
      <w:r w:rsidR="005A7E0B" w:rsidRPr="007F7FF5">
        <w:rPr>
          <w:color w:val="000000" w:themeColor="text1"/>
        </w:rPr>
        <w:t xml:space="preserve">. </w:t>
      </w:r>
    </w:p>
    <w:p w:rsidR="00CA717F" w:rsidRPr="007F7FF5" w:rsidRDefault="00CA717F" w:rsidP="00E06592">
      <w:pPr>
        <w:jc w:val="both"/>
        <w:rPr>
          <w:color w:val="000000" w:themeColor="text1"/>
        </w:rPr>
      </w:pPr>
    </w:p>
    <w:p w:rsidR="000971CB" w:rsidRPr="007F7FF5" w:rsidRDefault="002E6DA8" w:rsidP="00E06592">
      <w:pPr>
        <w:jc w:val="both"/>
        <w:rPr>
          <w:caps/>
          <w:color w:val="000000" w:themeColor="text1"/>
        </w:rPr>
      </w:pPr>
      <w:r w:rsidRPr="007F7FF5">
        <w:rPr>
          <w:caps/>
          <w:color w:val="000000" w:themeColor="text1"/>
        </w:rPr>
        <w:t xml:space="preserve">Determination of </w:t>
      </w:r>
      <w:r w:rsidRPr="007F7FF5">
        <w:rPr>
          <w:i/>
          <w:caps/>
          <w:color w:val="000000" w:themeColor="text1"/>
        </w:rPr>
        <w:t>H</w:t>
      </w:r>
      <w:r w:rsidRPr="007F7FF5">
        <w:rPr>
          <w:caps/>
          <w:color w:val="000000" w:themeColor="text1"/>
        </w:rPr>
        <w:t>*(10)</w:t>
      </w:r>
    </w:p>
    <w:p w:rsidR="002E6DA8" w:rsidRPr="007F7FF5" w:rsidRDefault="002E6DA8" w:rsidP="00E06592">
      <w:pPr>
        <w:jc w:val="both"/>
        <w:rPr>
          <w:color w:val="000000" w:themeColor="text1"/>
        </w:rPr>
      </w:pPr>
    </w:p>
    <w:p w:rsidR="00BC17D9" w:rsidRPr="007F7FF5" w:rsidRDefault="00BC17D9" w:rsidP="00E06592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Different </w:t>
      </w:r>
      <w:r w:rsidR="00515E70" w:rsidRPr="007F7FF5">
        <w:rPr>
          <w:color w:val="000000" w:themeColor="text1"/>
        </w:rPr>
        <w:t>methods</w:t>
      </w:r>
      <w:r w:rsidR="0051281C" w:rsidRPr="007F7FF5">
        <w:rPr>
          <w:color w:val="000000" w:themeColor="text1"/>
        </w:rPr>
        <w:t xml:space="preserve"> </w:t>
      </w:r>
      <w:r w:rsidR="00515E70" w:rsidRPr="007F7FF5">
        <w:rPr>
          <w:color w:val="000000" w:themeColor="text1"/>
        </w:rPr>
        <w:t>we</w:t>
      </w:r>
      <w:r w:rsidR="0051281C" w:rsidRPr="007F7FF5">
        <w:rPr>
          <w:color w:val="000000" w:themeColor="text1"/>
        </w:rPr>
        <w:t xml:space="preserve">re </w:t>
      </w:r>
      <w:r w:rsidR="00BA4D52" w:rsidRPr="007F7FF5">
        <w:rPr>
          <w:color w:val="000000" w:themeColor="text1"/>
        </w:rPr>
        <w:t>combined</w:t>
      </w:r>
      <w:r w:rsidRPr="007F7FF5">
        <w:rPr>
          <w:color w:val="000000" w:themeColor="text1"/>
        </w:rPr>
        <w:t xml:space="preserve"> to determine </w:t>
      </w:r>
      <w:r w:rsidR="00B26C54" w:rsidRPr="007F7FF5">
        <w:rPr>
          <w:color w:val="000000" w:themeColor="text1"/>
        </w:rPr>
        <w:t xml:space="preserve">the neutron ambient dose equivalent </w:t>
      </w:r>
      <w:r w:rsidRPr="007F7FF5">
        <w:rPr>
          <w:i/>
          <w:color w:val="000000" w:themeColor="text1"/>
        </w:rPr>
        <w:t>H</w:t>
      </w:r>
      <w:r w:rsidRPr="007F7FF5">
        <w:rPr>
          <w:color w:val="000000" w:themeColor="text1"/>
        </w:rPr>
        <w:t>*(10).</w:t>
      </w:r>
      <w:r w:rsidR="003C1494" w:rsidRPr="007F7FF5">
        <w:rPr>
          <w:color w:val="000000" w:themeColor="text1"/>
        </w:rPr>
        <w:t xml:space="preserve"> The results of all </w:t>
      </w:r>
      <w:r w:rsidR="003C1494" w:rsidRPr="007F7FF5">
        <w:rPr>
          <w:i/>
          <w:color w:val="000000" w:themeColor="text1"/>
        </w:rPr>
        <w:t>H</w:t>
      </w:r>
      <w:r w:rsidR="003C1494" w:rsidRPr="007F7FF5">
        <w:rPr>
          <w:color w:val="000000" w:themeColor="text1"/>
        </w:rPr>
        <w:t>*(10) measurements are listed in table 1.</w:t>
      </w:r>
    </w:p>
    <w:p w:rsidR="003E09FE" w:rsidRPr="007F7FF5" w:rsidRDefault="00BC17D9" w:rsidP="00847526">
      <w:pPr>
        <w:pStyle w:val="ParaNoInd"/>
        <w:rPr>
          <w:color w:val="000000" w:themeColor="text1"/>
        </w:rPr>
      </w:pPr>
      <w:r w:rsidRPr="007F7FF5">
        <w:rPr>
          <w:color w:val="000000" w:themeColor="text1"/>
        </w:rPr>
        <w:t xml:space="preserve">The first step was to calibrate the GSI ball and the PE sphere in the reference field of </w:t>
      </w:r>
      <w:r w:rsidR="002E6DA8" w:rsidRPr="007F7FF5">
        <w:rPr>
          <w:color w:val="000000" w:themeColor="text1"/>
        </w:rPr>
        <w:t xml:space="preserve">a </w:t>
      </w:r>
      <w:r w:rsidRPr="007F7FF5">
        <w:rPr>
          <w:color w:val="000000" w:themeColor="text1"/>
          <w:vertAlign w:val="superscript"/>
        </w:rPr>
        <w:t>2</w:t>
      </w:r>
      <w:r w:rsidR="00952199" w:rsidRPr="007F7FF5">
        <w:rPr>
          <w:color w:val="000000" w:themeColor="text1"/>
          <w:vertAlign w:val="superscript"/>
        </w:rPr>
        <w:t>52</w:t>
      </w:r>
      <w:r w:rsidR="00952199" w:rsidRPr="007F7FF5">
        <w:rPr>
          <w:color w:val="000000" w:themeColor="text1"/>
        </w:rPr>
        <w:t>Cf</w:t>
      </w:r>
      <w:r w:rsidRPr="007F7FF5">
        <w:rPr>
          <w:color w:val="000000" w:themeColor="text1"/>
        </w:rPr>
        <w:t xml:space="preserve"> source </w:t>
      </w:r>
      <w:r w:rsidR="000243E0" w:rsidRPr="007F7FF5">
        <w:rPr>
          <w:color w:val="000000" w:themeColor="text1"/>
        </w:rPr>
        <w:t xml:space="preserve">in the neutron calibration laboratory of the </w:t>
      </w:r>
      <w:proofErr w:type="spellStart"/>
      <w:r w:rsidR="000243E0" w:rsidRPr="007F7FF5">
        <w:rPr>
          <w:color w:val="000000" w:themeColor="text1"/>
        </w:rPr>
        <w:t>Physikalisch-Technische</w:t>
      </w:r>
      <w:proofErr w:type="spellEnd"/>
      <w:r w:rsidR="000243E0" w:rsidRPr="007F7FF5">
        <w:rPr>
          <w:color w:val="000000" w:themeColor="text1"/>
        </w:rPr>
        <w:t xml:space="preserve"> </w:t>
      </w:r>
      <w:proofErr w:type="spellStart"/>
      <w:r w:rsidR="000243E0" w:rsidRPr="007F7FF5">
        <w:rPr>
          <w:color w:val="000000" w:themeColor="text1"/>
        </w:rPr>
        <w:t>Bundesanstalt</w:t>
      </w:r>
      <w:proofErr w:type="spellEnd"/>
      <w:r w:rsidR="000243E0" w:rsidRPr="007F7FF5">
        <w:rPr>
          <w:color w:val="000000" w:themeColor="text1"/>
        </w:rPr>
        <w:t xml:space="preserve"> (</w:t>
      </w:r>
      <w:r w:rsidRPr="007F7FF5">
        <w:rPr>
          <w:color w:val="000000" w:themeColor="text1"/>
        </w:rPr>
        <w:t>PTB</w:t>
      </w:r>
      <w:r w:rsidR="000243E0" w:rsidRPr="007F7FF5">
        <w:rPr>
          <w:color w:val="000000" w:themeColor="text1"/>
        </w:rPr>
        <w:t>)</w:t>
      </w:r>
      <w:r w:rsidRPr="007F7FF5">
        <w:rPr>
          <w:color w:val="000000" w:themeColor="text1"/>
        </w:rPr>
        <w:t xml:space="preserve">. The distance between </w:t>
      </w:r>
      <w:r w:rsidR="000243E0" w:rsidRPr="007F7FF5">
        <w:rPr>
          <w:color w:val="000000" w:themeColor="text1"/>
        </w:rPr>
        <w:lastRenderedPageBreak/>
        <w:t xml:space="preserve">the </w:t>
      </w:r>
      <w:r w:rsidRPr="007F7FF5">
        <w:rPr>
          <w:color w:val="000000" w:themeColor="text1"/>
        </w:rPr>
        <w:t>source and</w:t>
      </w:r>
      <w:r w:rsidR="002E6DA8" w:rsidRPr="007F7FF5">
        <w:rPr>
          <w:color w:val="000000" w:themeColor="text1"/>
        </w:rPr>
        <w:t xml:space="preserve"> t</w:t>
      </w:r>
      <w:r w:rsidRPr="007F7FF5">
        <w:rPr>
          <w:color w:val="000000" w:themeColor="text1"/>
        </w:rPr>
        <w:t>he center of the ball was 170 cm. The irradiation</w:t>
      </w:r>
      <w:r w:rsidR="009859EC" w:rsidRPr="007F7FF5">
        <w:rPr>
          <w:color w:val="000000" w:themeColor="text1"/>
        </w:rPr>
        <w:t xml:space="preserve"> was performed at a height of 3.</w:t>
      </w:r>
      <w:r w:rsidR="00867CFE" w:rsidRPr="007F7FF5">
        <w:rPr>
          <w:color w:val="000000" w:themeColor="text1"/>
        </w:rPr>
        <w:t>2</w:t>
      </w:r>
      <w:r w:rsidRPr="007F7FF5">
        <w:rPr>
          <w:color w:val="000000" w:themeColor="text1"/>
        </w:rPr>
        <w:t>5 m above ground</w:t>
      </w:r>
      <w:r w:rsidR="00690F71" w:rsidRPr="007F7FF5">
        <w:rPr>
          <w:color w:val="000000" w:themeColor="text1"/>
        </w:rPr>
        <w:t>.</w:t>
      </w:r>
      <w:r w:rsidR="00061386" w:rsidRPr="007F7FF5">
        <w:rPr>
          <w:color w:val="000000" w:themeColor="text1"/>
        </w:rPr>
        <w:t xml:space="preserve"> </w:t>
      </w:r>
    </w:p>
    <w:p w:rsidR="00061386" w:rsidRPr="007F7FF5" w:rsidRDefault="00061386" w:rsidP="00847526">
      <w:pPr>
        <w:pStyle w:val="ParaNoInd"/>
        <w:rPr>
          <w:color w:val="000000" w:themeColor="text1"/>
        </w:rPr>
      </w:pPr>
      <w:r w:rsidRPr="007F7FF5">
        <w:rPr>
          <w:color w:val="000000" w:themeColor="text1"/>
        </w:rPr>
        <w:t xml:space="preserve">The calibration factors </w:t>
      </w:r>
      <w:proofErr w:type="spellStart"/>
      <w:proofErr w:type="gramStart"/>
      <w:r w:rsidR="000243E0" w:rsidRPr="007F7FF5">
        <w:rPr>
          <w:i/>
          <w:color w:val="000000" w:themeColor="text1"/>
        </w:rPr>
        <w:t>N</w:t>
      </w:r>
      <w:r w:rsidR="000243E0" w:rsidRPr="007F7FF5">
        <w:rPr>
          <w:i/>
          <w:color w:val="000000" w:themeColor="text1"/>
          <w:vertAlign w:val="subscript"/>
        </w:rPr>
        <w:t>c</w:t>
      </w:r>
      <w:proofErr w:type="spellEnd"/>
      <w:proofErr w:type="gramEnd"/>
      <w:r w:rsidR="000243E0" w:rsidRPr="007F7FF5">
        <w:rPr>
          <w:i/>
          <w:color w:val="000000" w:themeColor="text1"/>
        </w:rPr>
        <w:t>,</w:t>
      </w:r>
      <w:r w:rsidR="000243E0" w:rsidRPr="007F7FF5">
        <w:rPr>
          <w:color w:val="000000" w:themeColor="text1"/>
        </w:rPr>
        <w:t xml:space="preserve"> which were determined at the PTB </w:t>
      </w:r>
      <w:r w:rsidR="00952199" w:rsidRPr="007F7FF5">
        <w:rPr>
          <w:color w:val="000000" w:themeColor="text1"/>
        </w:rPr>
        <w:t>amount 0.</w:t>
      </w:r>
      <w:r w:rsidRPr="007F7FF5">
        <w:rPr>
          <w:color w:val="000000" w:themeColor="text1"/>
        </w:rPr>
        <w:t>4</w:t>
      </w:r>
      <w:r w:rsidR="00952199" w:rsidRPr="007F7FF5">
        <w:rPr>
          <w:color w:val="000000" w:themeColor="text1"/>
        </w:rPr>
        <w:t>80</w:t>
      </w:r>
      <w:r w:rsidRPr="007F7FF5">
        <w:rPr>
          <w:color w:val="000000" w:themeColor="text1"/>
        </w:rPr>
        <w:t xml:space="preserve"> for the GSI ball and 0</w:t>
      </w:r>
      <w:r w:rsidR="006E32E7" w:rsidRPr="007F7FF5">
        <w:rPr>
          <w:color w:val="000000" w:themeColor="text1"/>
        </w:rPr>
        <w:t>.</w:t>
      </w:r>
      <w:r w:rsidR="00952199" w:rsidRPr="007F7FF5">
        <w:rPr>
          <w:color w:val="000000" w:themeColor="text1"/>
        </w:rPr>
        <w:t>416</w:t>
      </w:r>
      <w:r w:rsidRPr="007F7FF5">
        <w:rPr>
          <w:color w:val="000000" w:themeColor="text1"/>
        </w:rPr>
        <w:t xml:space="preserve"> for the PE sphere. </w:t>
      </w:r>
    </w:p>
    <w:p w:rsidR="00201F90" w:rsidRPr="007F7FF5" w:rsidRDefault="0051281C" w:rsidP="00B26C54">
      <w:pPr>
        <w:pStyle w:val="ParaNoInd"/>
        <w:rPr>
          <w:color w:val="000000" w:themeColor="text1"/>
        </w:rPr>
      </w:pPr>
      <w:r w:rsidRPr="007F7FF5">
        <w:rPr>
          <w:color w:val="000000" w:themeColor="text1"/>
        </w:rPr>
        <w:t xml:space="preserve">In a second step </w:t>
      </w:r>
      <w:r w:rsidR="00061386" w:rsidRPr="007F7FF5">
        <w:rPr>
          <w:color w:val="000000" w:themeColor="text1"/>
        </w:rPr>
        <w:t xml:space="preserve">the </w:t>
      </w:r>
      <w:r w:rsidRPr="007F7FF5">
        <w:rPr>
          <w:color w:val="000000" w:themeColor="text1"/>
        </w:rPr>
        <w:t>results of the balls</w:t>
      </w:r>
      <w:r w:rsidR="000243E0" w:rsidRPr="007F7FF5">
        <w:rPr>
          <w:color w:val="000000" w:themeColor="text1"/>
        </w:rPr>
        <w:t>, which were gained during the CERF experiment,</w:t>
      </w:r>
      <w:r w:rsidRPr="007F7FF5">
        <w:rPr>
          <w:color w:val="000000" w:themeColor="text1"/>
        </w:rPr>
        <w:t xml:space="preserve"> </w:t>
      </w:r>
      <w:r w:rsidR="00BE79ED" w:rsidRPr="007F7FF5">
        <w:rPr>
          <w:color w:val="000000" w:themeColor="text1"/>
        </w:rPr>
        <w:t>are</w:t>
      </w:r>
      <w:r w:rsidRPr="007F7FF5">
        <w:rPr>
          <w:color w:val="000000" w:themeColor="text1"/>
        </w:rPr>
        <w:t xml:space="preserve"> compared </w:t>
      </w:r>
      <w:r w:rsidR="00061386" w:rsidRPr="007F7FF5">
        <w:rPr>
          <w:color w:val="000000" w:themeColor="text1"/>
        </w:rPr>
        <w:t xml:space="preserve">with the </w:t>
      </w:r>
      <w:r w:rsidR="002E6DA8" w:rsidRPr="007F7FF5">
        <w:rPr>
          <w:color w:val="000000" w:themeColor="text1"/>
        </w:rPr>
        <w:t>reference value</w:t>
      </w:r>
      <w:r w:rsidR="00B26C54" w:rsidRPr="007F7FF5">
        <w:rPr>
          <w:color w:val="000000" w:themeColor="text1"/>
        </w:rPr>
        <w:t>s</w:t>
      </w:r>
      <w:r w:rsidR="00061386" w:rsidRPr="007F7FF5">
        <w:rPr>
          <w:color w:val="000000" w:themeColor="text1"/>
        </w:rPr>
        <w:t xml:space="preserve"> calculated from the PIC counts.</w:t>
      </w:r>
      <w:r w:rsidR="009E32D5" w:rsidRPr="007F7FF5">
        <w:rPr>
          <w:color w:val="000000" w:themeColor="text1"/>
        </w:rPr>
        <w:t xml:space="preserve"> </w:t>
      </w:r>
      <w:r w:rsidR="00BE79ED" w:rsidRPr="007F7FF5">
        <w:rPr>
          <w:color w:val="000000" w:themeColor="text1"/>
        </w:rPr>
        <w:t xml:space="preserve"> </w:t>
      </w:r>
      <w:r w:rsidR="00B26C54" w:rsidRPr="007F7FF5">
        <w:rPr>
          <w:color w:val="000000" w:themeColor="text1"/>
        </w:rPr>
        <w:t xml:space="preserve">By using the </w:t>
      </w:r>
      <w:r w:rsidR="00515E70" w:rsidRPr="007F7FF5">
        <w:rPr>
          <w:color w:val="000000" w:themeColor="text1"/>
        </w:rPr>
        <w:t xml:space="preserve">PTB </w:t>
      </w:r>
      <w:r w:rsidR="00B26C54" w:rsidRPr="007F7FF5">
        <w:rPr>
          <w:color w:val="000000" w:themeColor="text1"/>
        </w:rPr>
        <w:t>calibration factor</w:t>
      </w:r>
      <w:r w:rsidR="00952199" w:rsidRPr="007F7FF5">
        <w:rPr>
          <w:color w:val="000000" w:themeColor="text1"/>
        </w:rPr>
        <w:t xml:space="preserve"> of 0.</w:t>
      </w:r>
      <w:r w:rsidR="00B26C54" w:rsidRPr="007F7FF5">
        <w:rPr>
          <w:color w:val="000000" w:themeColor="text1"/>
        </w:rPr>
        <w:t>4</w:t>
      </w:r>
      <w:r w:rsidR="00952199" w:rsidRPr="007F7FF5">
        <w:rPr>
          <w:color w:val="000000" w:themeColor="text1"/>
        </w:rPr>
        <w:t>80</w:t>
      </w:r>
      <w:r w:rsidR="00B26C54" w:rsidRPr="007F7FF5">
        <w:rPr>
          <w:color w:val="000000" w:themeColor="text1"/>
        </w:rPr>
        <w:t xml:space="preserve"> for the GSI ball, </w:t>
      </w:r>
      <w:r w:rsidR="00325FF8" w:rsidRPr="007F7FF5">
        <w:rPr>
          <w:color w:val="000000" w:themeColor="text1"/>
        </w:rPr>
        <w:t xml:space="preserve">the </w:t>
      </w:r>
      <w:r w:rsidR="00BE79ED" w:rsidRPr="007F7FF5">
        <w:rPr>
          <w:color w:val="000000" w:themeColor="text1"/>
        </w:rPr>
        <w:t xml:space="preserve">measured dose </w:t>
      </w:r>
      <w:r w:rsidR="00325FF8" w:rsidRPr="007F7FF5">
        <w:rPr>
          <w:color w:val="000000" w:themeColor="text1"/>
        </w:rPr>
        <w:t xml:space="preserve">value for </w:t>
      </w:r>
      <w:r w:rsidR="00325FF8" w:rsidRPr="007F7FF5">
        <w:rPr>
          <w:i/>
          <w:color w:val="000000" w:themeColor="text1"/>
        </w:rPr>
        <w:t>H</w:t>
      </w:r>
      <w:r w:rsidR="00325FF8" w:rsidRPr="007F7FF5">
        <w:rPr>
          <w:color w:val="000000" w:themeColor="text1"/>
        </w:rPr>
        <w:t xml:space="preserve">*(10) </w:t>
      </w:r>
      <w:r w:rsidR="008E53EF" w:rsidRPr="007F7FF5">
        <w:rPr>
          <w:color w:val="000000" w:themeColor="text1"/>
        </w:rPr>
        <w:t>for R</w:t>
      </w:r>
      <w:r w:rsidR="00952199" w:rsidRPr="007F7FF5">
        <w:rPr>
          <w:color w:val="000000" w:themeColor="text1"/>
        </w:rPr>
        <w:t xml:space="preserve">un 1 </w:t>
      </w:r>
      <w:r w:rsidR="00201F90" w:rsidRPr="007F7FF5">
        <w:rPr>
          <w:color w:val="000000" w:themeColor="text1"/>
        </w:rPr>
        <w:t>amounts 651 µ</w:t>
      </w:r>
      <w:proofErr w:type="spellStart"/>
      <w:r w:rsidR="00201F90" w:rsidRPr="007F7FF5">
        <w:rPr>
          <w:color w:val="000000" w:themeColor="text1"/>
        </w:rPr>
        <w:t>Sv</w:t>
      </w:r>
      <w:proofErr w:type="spellEnd"/>
      <w:r w:rsidR="00201F90" w:rsidRPr="007F7FF5">
        <w:rPr>
          <w:color w:val="000000" w:themeColor="text1"/>
        </w:rPr>
        <w:t xml:space="preserve"> and is therefore </w:t>
      </w:r>
      <w:r w:rsidR="00952199" w:rsidRPr="007F7FF5">
        <w:rPr>
          <w:color w:val="000000" w:themeColor="text1"/>
        </w:rPr>
        <w:t>20</w:t>
      </w:r>
      <w:r w:rsidR="00BE79ED" w:rsidRPr="007F7FF5">
        <w:rPr>
          <w:color w:val="000000" w:themeColor="text1"/>
        </w:rPr>
        <w:t>% hig</w:t>
      </w:r>
      <w:r w:rsidR="00BE79ED" w:rsidRPr="007F7FF5">
        <w:rPr>
          <w:color w:val="000000" w:themeColor="text1"/>
        </w:rPr>
        <w:t>h</w:t>
      </w:r>
      <w:r w:rsidR="00BE79ED" w:rsidRPr="007F7FF5">
        <w:rPr>
          <w:color w:val="000000" w:themeColor="text1"/>
        </w:rPr>
        <w:t xml:space="preserve">er than </w:t>
      </w:r>
      <w:r w:rsidR="00952199" w:rsidRPr="007F7FF5">
        <w:rPr>
          <w:color w:val="000000" w:themeColor="text1"/>
        </w:rPr>
        <w:t xml:space="preserve">the </w:t>
      </w:r>
      <w:r w:rsidR="00325FF8" w:rsidRPr="007F7FF5">
        <w:rPr>
          <w:color w:val="000000" w:themeColor="text1"/>
        </w:rPr>
        <w:t xml:space="preserve">value calculated from the </w:t>
      </w:r>
      <w:r w:rsidR="00BE79ED" w:rsidRPr="007F7FF5">
        <w:rPr>
          <w:color w:val="000000" w:themeColor="text1"/>
        </w:rPr>
        <w:t xml:space="preserve">PIC </w:t>
      </w:r>
      <w:r w:rsidR="00325FF8" w:rsidRPr="007F7FF5">
        <w:rPr>
          <w:color w:val="000000" w:themeColor="text1"/>
        </w:rPr>
        <w:t>counts (</w:t>
      </w:r>
      <w:r w:rsidR="00A119CB" w:rsidRPr="007F7FF5">
        <w:rPr>
          <w:color w:val="000000" w:themeColor="text1"/>
        </w:rPr>
        <w:t>54</w:t>
      </w:r>
      <w:r w:rsidR="00520B3D" w:rsidRPr="007F7FF5">
        <w:rPr>
          <w:color w:val="000000" w:themeColor="text1"/>
        </w:rPr>
        <w:t>1</w:t>
      </w:r>
      <w:r w:rsidR="00A119CB" w:rsidRPr="007F7FF5">
        <w:rPr>
          <w:color w:val="000000" w:themeColor="text1"/>
        </w:rPr>
        <w:t xml:space="preserve"> µ</w:t>
      </w:r>
      <w:proofErr w:type="spellStart"/>
      <w:r w:rsidR="00A119CB" w:rsidRPr="007F7FF5">
        <w:rPr>
          <w:color w:val="000000" w:themeColor="text1"/>
        </w:rPr>
        <w:t>Sv</w:t>
      </w:r>
      <w:proofErr w:type="spellEnd"/>
      <w:r w:rsidR="00A119CB" w:rsidRPr="007F7FF5">
        <w:rPr>
          <w:color w:val="000000" w:themeColor="text1"/>
        </w:rPr>
        <w:t>, s</w:t>
      </w:r>
      <w:r w:rsidR="008E53EF" w:rsidRPr="007F7FF5">
        <w:rPr>
          <w:color w:val="000000" w:themeColor="text1"/>
        </w:rPr>
        <w:t>ee T</w:t>
      </w:r>
      <w:r w:rsidR="00325FF8" w:rsidRPr="007F7FF5">
        <w:rPr>
          <w:color w:val="000000" w:themeColor="text1"/>
        </w:rPr>
        <w:t>able 1)</w:t>
      </w:r>
      <w:r w:rsidR="00B26C54" w:rsidRPr="007F7FF5">
        <w:rPr>
          <w:color w:val="000000" w:themeColor="text1"/>
        </w:rPr>
        <w:t>.</w:t>
      </w:r>
      <w:r w:rsidRPr="007F7FF5">
        <w:rPr>
          <w:color w:val="000000" w:themeColor="text1"/>
        </w:rPr>
        <w:t xml:space="preserve"> T</w:t>
      </w:r>
      <w:r w:rsidR="00B26C54" w:rsidRPr="007F7FF5">
        <w:rPr>
          <w:color w:val="000000" w:themeColor="text1"/>
        </w:rPr>
        <w:t xml:space="preserve">he normal PE ball without lead inlay underestimates </w:t>
      </w:r>
      <w:r w:rsidRPr="007F7FF5">
        <w:rPr>
          <w:color w:val="000000" w:themeColor="text1"/>
        </w:rPr>
        <w:t>ambient dose</w:t>
      </w:r>
      <w:r w:rsidR="00515E70" w:rsidRPr="007F7FF5">
        <w:rPr>
          <w:color w:val="000000" w:themeColor="text1"/>
        </w:rPr>
        <w:t xml:space="preserve"> by using the PTB calibration factor</w:t>
      </w:r>
      <w:r w:rsidRPr="007F7FF5">
        <w:rPr>
          <w:color w:val="000000" w:themeColor="text1"/>
        </w:rPr>
        <w:t xml:space="preserve">, because </w:t>
      </w:r>
      <w:r w:rsidR="00BE79ED" w:rsidRPr="007F7FF5">
        <w:rPr>
          <w:color w:val="000000" w:themeColor="text1"/>
        </w:rPr>
        <w:t xml:space="preserve">its </w:t>
      </w:r>
      <w:r w:rsidRPr="007F7FF5">
        <w:rPr>
          <w:color w:val="000000" w:themeColor="text1"/>
        </w:rPr>
        <w:t xml:space="preserve">sensitivity decreases substantially for neutron energies above 10 MeV. </w:t>
      </w:r>
      <w:r w:rsidR="00201F90" w:rsidRPr="007F7FF5">
        <w:rPr>
          <w:color w:val="000000" w:themeColor="text1"/>
        </w:rPr>
        <w:t xml:space="preserve">The </w:t>
      </w:r>
      <w:r w:rsidR="00A119CB" w:rsidRPr="007F7FF5">
        <w:rPr>
          <w:color w:val="000000" w:themeColor="text1"/>
        </w:rPr>
        <w:t xml:space="preserve">mean value for </w:t>
      </w:r>
      <w:r w:rsidR="00A119CB" w:rsidRPr="007F7FF5">
        <w:rPr>
          <w:i/>
          <w:color w:val="000000" w:themeColor="text1"/>
        </w:rPr>
        <w:t>H</w:t>
      </w:r>
      <w:r w:rsidR="00A119CB" w:rsidRPr="007F7FF5">
        <w:rPr>
          <w:color w:val="000000" w:themeColor="text1"/>
        </w:rPr>
        <w:t>*(10</w:t>
      </w:r>
      <w:r w:rsidR="00CD4B36" w:rsidRPr="007F7FF5">
        <w:rPr>
          <w:color w:val="000000" w:themeColor="text1"/>
        </w:rPr>
        <w:t xml:space="preserve">) of </w:t>
      </w:r>
      <w:r w:rsidR="003B766B" w:rsidRPr="007F7FF5">
        <w:rPr>
          <w:color w:val="000000" w:themeColor="text1"/>
        </w:rPr>
        <w:t>four</w:t>
      </w:r>
      <w:r w:rsidR="00CD4B36" w:rsidRPr="007F7FF5">
        <w:rPr>
          <w:color w:val="000000" w:themeColor="text1"/>
        </w:rPr>
        <w:t xml:space="preserve"> PE balls amounts 426 µ</w:t>
      </w:r>
      <w:proofErr w:type="spellStart"/>
      <w:r w:rsidR="00CD4B36" w:rsidRPr="007F7FF5">
        <w:rPr>
          <w:color w:val="000000" w:themeColor="text1"/>
        </w:rPr>
        <w:t>Sv</w:t>
      </w:r>
      <w:proofErr w:type="spellEnd"/>
      <w:r w:rsidR="00CD4B36" w:rsidRPr="007F7FF5">
        <w:rPr>
          <w:color w:val="000000" w:themeColor="text1"/>
        </w:rPr>
        <w:t>, which results in an underestimation of dose.</w:t>
      </w:r>
      <w:r w:rsidR="00A119CB" w:rsidRPr="007F7FF5">
        <w:rPr>
          <w:color w:val="000000" w:themeColor="text1"/>
        </w:rPr>
        <w:t xml:space="preserve"> </w:t>
      </w:r>
    </w:p>
    <w:p w:rsidR="00A119CB" w:rsidRPr="007F7FF5" w:rsidRDefault="0051281C" w:rsidP="00B26C54">
      <w:pPr>
        <w:pStyle w:val="ParaNoInd"/>
        <w:rPr>
          <w:color w:val="000000" w:themeColor="text1"/>
        </w:rPr>
      </w:pPr>
      <w:r w:rsidRPr="007F7FF5">
        <w:rPr>
          <w:color w:val="000000" w:themeColor="text1"/>
        </w:rPr>
        <w:t>The</w:t>
      </w:r>
      <w:r w:rsidR="00201F90" w:rsidRPr="007F7FF5">
        <w:rPr>
          <w:color w:val="000000" w:themeColor="text1"/>
        </w:rPr>
        <w:t xml:space="preserve"> result</w:t>
      </w:r>
      <w:r w:rsidR="00CD4B36" w:rsidRPr="007F7FF5">
        <w:rPr>
          <w:color w:val="000000" w:themeColor="text1"/>
        </w:rPr>
        <w:t>s</w:t>
      </w:r>
      <w:r w:rsidR="00201F90" w:rsidRPr="007F7FF5">
        <w:rPr>
          <w:color w:val="000000" w:themeColor="text1"/>
        </w:rPr>
        <w:t xml:space="preserve"> </w:t>
      </w:r>
      <w:r w:rsidR="00CD4B36" w:rsidRPr="007F7FF5">
        <w:rPr>
          <w:color w:val="000000" w:themeColor="text1"/>
        </w:rPr>
        <w:t>of Run</w:t>
      </w:r>
      <w:r w:rsidR="008E53EF" w:rsidRPr="007F7FF5">
        <w:rPr>
          <w:color w:val="000000" w:themeColor="text1"/>
        </w:rPr>
        <w:t xml:space="preserve"> </w:t>
      </w:r>
      <w:r w:rsidR="00CD4B36" w:rsidRPr="007F7FF5">
        <w:rPr>
          <w:color w:val="000000" w:themeColor="text1"/>
        </w:rPr>
        <w:t xml:space="preserve">1 at Top concrete </w:t>
      </w:r>
      <w:r w:rsidR="00201F90" w:rsidRPr="007F7FF5">
        <w:rPr>
          <w:color w:val="000000" w:themeColor="text1"/>
        </w:rPr>
        <w:t xml:space="preserve">have been used to determine </w:t>
      </w:r>
      <w:r w:rsidRPr="007F7FF5">
        <w:rPr>
          <w:color w:val="000000" w:themeColor="text1"/>
        </w:rPr>
        <w:t>new</w:t>
      </w:r>
      <w:r w:rsidR="00201F90" w:rsidRPr="007F7FF5">
        <w:rPr>
          <w:color w:val="000000" w:themeColor="text1"/>
        </w:rPr>
        <w:t xml:space="preserve"> </w:t>
      </w:r>
      <w:r w:rsidRPr="007F7FF5">
        <w:rPr>
          <w:color w:val="000000" w:themeColor="text1"/>
        </w:rPr>
        <w:t>calibration</w:t>
      </w:r>
      <w:r w:rsidR="00201F90" w:rsidRPr="007F7FF5">
        <w:rPr>
          <w:color w:val="000000" w:themeColor="text1"/>
        </w:rPr>
        <w:t>s</w:t>
      </w:r>
      <w:r w:rsidRPr="007F7FF5">
        <w:rPr>
          <w:color w:val="000000" w:themeColor="text1"/>
        </w:rPr>
        <w:t xml:space="preserve"> factor</w:t>
      </w:r>
      <w:r w:rsidR="00201F90" w:rsidRPr="007F7FF5">
        <w:rPr>
          <w:color w:val="000000" w:themeColor="text1"/>
        </w:rPr>
        <w:t>s</w:t>
      </w:r>
      <w:r w:rsidRPr="007F7FF5">
        <w:rPr>
          <w:color w:val="000000" w:themeColor="text1"/>
        </w:rPr>
        <w:t xml:space="preserve"> of </w:t>
      </w:r>
      <w:proofErr w:type="spellStart"/>
      <w:proofErr w:type="gramStart"/>
      <w:r w:rsidRPr="007F7FF5">
        <w:rPr>
          <w:i/>
          <w:color w:val="000000" w:themeColor="text1"/>
        </w:rPr>
        <w:t>N</w:t>
      </w:r>
      <w:r w:rsidRPr="007F7FF5">
        <w:rPr>
          <w:i/>
          <w:color w:val="000000" w:themeColor="text1"/>
          <w:vertAlign w:val="subscript"/>
        </w:rPr>
        <w:t>c</w:t>
      </w:r>
      <w:proofErr w:type="spellEnd"/>
      <w:proofErr w:type="gramEnd"/>
      <w:r w:rsidRPr="007F7FF5">
        <w:rPr>
          <w:color w:val="000000" w:themeColor="text1"/>
        </w:rPr>
        <w:t xml:space="preserve"> = 0.53 </w:t>
      </w:r>
      <w:r w:rsidR="00201F90" w:rsidRPr="007F7FF5">
        <w:rPr>
          <w:color w:val="000000" w:themeColor="text1"/>
        </w:rPr>
        <w:t>for the PE ball</w:t>
      </w:r>
      <w:r w:rsidR="00CD4B36" w:rsidRPr="007F7FF5">
        <w:rPr>
          <w:color w:val="000000" w:themeColor="text1"/>
        </w:rPr>
        <w:t>s</w:t>
      </w:r>
      <w:r w:rsidR="00201F90" w:rsidRPr="007F7FF5">
        <w:rPr>
          <w:color w:val="000000" w:themeColor="text1"/>
        </w:rPr>
        <w:t xml:space="preserve"> and </w:t>
      </w:r>
      <w:proofErr w:type="spellStart"/>
      <w:r w:rsidR="00A119CB" w:rsidRPr="007F7FF5">
        <w:rPr>
          <w:i/>
          <w:color w:val="000000" w:themeColor="text1"/>
        </w:rPr>
        <w:t>N</w:t>
      </w:r>
      <w:r w:rsidR="00A119CB" w:rsidRPr="007F7FF5">
        <w:rPr>
          <w:i/>
          <w:color w:val="000000" w:themeColor="text1"/>
          <w:vertAlign w:val="subscript"/>
        </w:rPr>
        <w:t>c</w:t>
      </w:r>
      <w:proofErr w:type="spellEnd"/>
      <w:r w:rsidR="00A119CB" w:rsidRPr="007F7FF5">
        <w:rPr>
          <w:color w:val="000000" w:themeColor="text1"/>
        </w:rPr>
        <w:t xml:space="preserve"> = 0.</w:t>
      </w:r>
      <w:r w:rsidR="00201F90" w:rsidRPr="007F7FF5">
        <w:rPr>
          <w:color w:val="000000" w:themeColor="text1"/>
        </w:rPr>
        <w:t>40 for the GSI ball</w:t>
      </w:r>
      <w:r w:rsidR="00CD4B36" w:rsidRPr="007F7FF5">
        <w:rPr>
          <w:color w:val="000000" w:themeColor="text1"/>
        </w:rPr>
        <w:t>s</w:t>
      </w:r>
      <w:r w:rsidR="00201F90" w:rsidRPr="007F7FF5">
        <w:rPr>
          <w:color w:val="000000" w:themeColor="text1"/>
        </w:rPr>
        <w:t xml:space="preserve">. </w:t>
      </w:r>
    </w:p>
    <w:p w:rsidR="00B26C54" w:rsidRPr="007F7FF5" w:rsidRDefault="00A119CB" w:rsidP="00B26C54">
      <w:pPr>
        <w:pStyle w:val="ParaNoInd"/>
        <w:rPr>
          <w:color w:val="000000" w:themeColor="text1"/>
        </w:rPr>
      </w:pPr>
      <w:r w:rsidRPr="007F7FF5">
        <w:rPr>
          <w:color w:val="000000" w:themeColor="text1"/>
        </w:rPr>
        <w:t>For the measurements a</w:t>
      </w:r>
      <w:r w:rsidR="00BE79ED" w:rsidRPr="007F7FF5">
        <w:rPr>
          <w:color w:val="000000" w:themeColor="text1"/>
        </w:rPr>
        <w:t xml:space="preserve">t the side, </w:t>
      </w:r>
      <w:r w:rsidR="00B9120C" w:rsidRPr="007F7FF5">
        <w:rPr>
          <w:color w:val="000000" w:themeColor="text1"/>
        </w:rPr>
        <w:t xml:space="preserve">the balls PE5 and PE6 were located close to the ball GSI2 during </w:t>
      </w:r>
      <w:proofErr w:type="gramStart"/>
      <w:r w:rsidR="00CD4B36" w:rsidRPr="007F7FF5">
        <w:rPr>
          <w:color w:val="000000" w:themeColor="text1"/>
        </w:rPr>
        <w:t>R</w:t>
      </w:r>
      <w:r w:rsidR="00B9120C" w:rsidRPr="007F7FF5">
        <w:rPr>
          <w:color w:val="000000" w:themeColor="text1"/>
        </w:rPr>
        <w:t>un</w:t>
      </w:r>
      <w:r w:rsidR="00CD4B36" w:rsidRPr="007F7FF5">
        <w:rPr>
          <w:color w:val="000000" w:themeColor="text1"/>
        </w:rPr>
        <w:t>1,</w:t>
      </w:r>
      <w:proofErr w:type="gramEnd"/>
      <w:r w:rsidR="00CD4B36" w:rsidRPr="007F7FF5">
        <w:rPr>
          <w:color w:val="000000" w:themeColor="text1"/>
        </w:rPr>
        <w:t xml:space="preserve"> and PE3 during R</w:t>
      </w:r>
      <w:r w:rsidR="00B9120C" w:rsidRPr="007F7FF5">
        <w:rPr>
          <w:color w:val="000000" w:themeColor="text1"/>
        </w:rPr>
        <w:t>un</w:t>
      </w:r>
      <w:r w:rsidR="008E53EF" w:rsidRPr="007F7FF5">
        <w:rPr>
          <w:color w:val="000000" w:themeColor="text1"/>
        </w:rPr>
        <w:t xml:space="preserve"> </w:t>
      </w:r>
      <w:r w:rsidR="00B9120C" w:rsidRPr="007F7FF5">
        <w:rPr>
          <w:color w:val="000000" w:themeColor="text1"/>
        </w:rPr>
        <w:t>2. T</w:t>
      </w:r>
      <w:r w:rsidR="00BE79ED" w:rsidRPr="007F7FF5">
        <w:rPr>
          <w:color w:val="000000" w:themeColor="text1"/>
        </w:rPr>
        <w:t>he dose values of the</w:t>
      </w:r>
      <w:r w:rsidRPr="007F7FF5">
        <w:rPr>
          <w:color w:val="000000" w:themeColor="text1"/>
        </w:rPr>
        <w:t>se</w:t>
      </w:r>
      <w:r w:rsidR="00B9120C" w:rsidRPr="007F7FF5">
        <w:rPr>
          <w:color w:val="000000" w:themeColor="text1"/>
        </w:rPr>
        <w:t xml:space="preserve"> </w:t>
      </w:r>
      <w:r w:rsidR="00BE79ED" w:rsidRPr="007F7FF5">
        <w:rPr>
          <w:color w:val="000000" w:themeColor="text1"/>
        </w:rPr>
        <w:t xml:space="preserve">PE balls are </w:t>
      </w:r>
      <w:r w:rsidRPr="007F7FF5">
        <w:rPr>
          <w:color w:val="000000" w:themeColor="text1"/>
        </w:rPr>
        <w:t xml:space="preserve">up to 30% </w:t>
      </w:r>
      <w:r w:rsidR="00BE79ED" w:rsidRPr="007F7FF5">
        <w:rPr>
          <w:color w:val="000000" w:themeColor="text1"/>
        </w:rPr>
        <w:t>higher</w:t>
      </w:r>
      <w:r w:rsidR="00515E70" w:rsidRPr="007F7FF5">
        <w:rPr>
          <w:color w:val="000000" w:themeColor="text1"/>
        </w:rPr>
        <w:t xml:space="preserve"> than </w:t>
      </w:r>
      <w:r w:rsidR="00B9120C" w:rsidRPr="007F7FF5">
        <w:rPr>
          <w:color w:val="000000" w:themeColor="text1"/>
        </w:rPr>
        <w:t xml:space="preserve">the </w:t>
      </w:r>
      <w:r w:rsidRPr="007F7FF5">
        <w:rPr>
          <w:color w:val="000000" w:themeColor="text1"/>
        </w:rPr>
        <w:t xml:space="preserve">corresponding </w:t>
      </w:r>
      <w:r w:rsidR="00B9120C" w:rsidRPr="007F7FF5">
        <w:rPr>
          <w:color w:val="000000" w:themeColor="text1"/>
        </w:rPr>
        <w:t>dose value of GSI2</w:t>
      </w:r>
      <w:r w:rsidR="008E53EF" w:rsidRPr="007F7FF5">
        <w:rPr>
          <w:color w:val="000000" w:themeColor="text1"/>
        </w:rPr>
        <w:t xml:space="preserve"> (see T</w:t>
      </w:r>
      <w:r w:rsidRPr="007F7FF5">
        <w:rPr>
          <w:color w:val="000000" w:themeColor="text1"/>
        </w:rPr>
        <w:t xml:space="preserve">able </w:t>
      </w:r>
      <w:r w:rsidR="006E32E7" w:rsidRPr="007F7FF5">
        <w:rPr>
          <w:color w:val="000000" w:themeColor="text1"/>
        </w:rPr>
        <w:t>1</w:t>
      </w:r>
      <w:r w:rsidRPr="007F7FF5">
        <w:rPr>
          <w:color w:val="000000" w:themeColor="text1"/>
        </w:rPr>
        <w:t>)</w:t>
      </w:r>
      <w:r w:rsidR="00B9120C" w:rsidRPr="007F7FF5">
        <w:rPr>
          <w:color w:val="000000" w:themeColor="text1"/>
        </w:rPr>
        <w:t xml:space="preserve">. Therefore it </w:t>
      </w:r>
      <w:r w:rsidR="00F925DD" w:rsidRPr="007F7FF5">
        <w:rPr>
          <w:color w:val="000000" w:themeColor="text1"/>
        </w:rPr>
        <w:t>can be co</w:t>
      </w:r>
      <w:r w:rsidR="00F925DD" w:rsidRPr="007F7FF5">
        <w:rPr>
          <w:color w:val="000000" w:themeColor="text1"/>
        </w:rPr>
        <w:t>n</w:t>
      </w:r>
      <w:r w:rsidR="00F925DD" w:rsidRPr="007F7FF5">
        <w:rPr>
          <w:color w:val="000000" w:themeColor="text1"/>
        </w:rPr>
        <w:t>cluded</w:t>
      </w:r>
      <w:r w:rsidR="00515E70" w:rsidRPr="007F7FF5">
        <w:rPr>
          <w:color w:val="000000" w:themeColor="text1"/>
        </w:rPr>
        <w:t>,</w:t>
      </w:r>
      <w:r w:rsidR="00F925DD" w:rsidRPr="007F7FF5">
        <w:rPr>
          <w:color w:val="000000" w:themeColor="text1"/>
        </w:rPr>
        <w:t xml:space="preserve"> that by using a calibration factor </w:t>
      </w:r>
      <w:proofErr w:type="spellStart"/>
      <w:proofErr w:type="gramStart"/>
      <w:r w:rsidR="00F925DD" w:rsidRPr="007F7FF5">
        <w:rPr>
          <w:i/>
          <w:color w:val="000000" w:themeColor="text1"/>
        </w:rPr>
        <w:t>N</w:t>
      </w:r>
      <w:r w:rsidR="00F925DD" w:rsidRPr="007F7FF5">
        <w:rPr>
          <w:i/>
          <w:color w:val="000000" w:themeColor="text1"/>
          <w:vertAlign w:val="subscript"/>
        </w:rPr>
        <w:t>c</w:t>
      </w:r>
      <w:proofErr w:type="spellEnd"/>
      <w:proofErr w:type="gramEnd"/>
      <w:r w:rsidR="00F925DD" w:rsidRPr="007F7FF5">
        <w:rPr>
          <w:color w:val="000000" w:themeColor="text1"/>
        </w:rPr>
        <w:t xml:space="preserve"> of 0.53</w:t>
      </w:r>
      <w:r w:rsidR="00515E70" w:rsidRPr="007F7FF5">
        <w:rPr>
          <w:color w:val="000000" w:themeColor="text1"/>
        </w:rPr>
        <w:t>,</w:t>
      </w:r>
      <w:r w:rsidR="00F925DD" w:rsidRPr="007F7FF5">
        <w:rPr>
          <w:color w:val="000000" w:themeColor="text1"/>
        </w:rPr>
        <w:t xml:space="preserve"> the PE balls tend </w:t>
      </w:r>
      <w:r w:rsidR="00E828A3" w:rsidRPr="007F7FF5">
        <w:rPr>
          <w:color w:val="000000" w:themeColor="text1"/>
        </w:rPr>
        <w:t xml:space="preserve">to overestimate </w:t>
      </w:r>
      <w:r w:rsidR="00AD20E2" w:rsidRPr="007F7FF5">
        <w:rPr>
          <w:color w:val="000000" w:themeColor="text1"/>
        </w:rPr>
        <w:t>ambient</w:t>
      </w:r>
      <w:r w:rsidR="00E828A3" w:rsidRPr="007F7FF5">
        <w:rPr>
          <w:color w:val="000000" w:themeColor="text1"/>
        </w:rPr>
        <w:t xml:space="preserve"> dose, so that neutron correction factors </w:t>
      </w:r>
      <w:r w:rsidR="00D208AC" w:rsidRPr="007F7FF5">
        <w:rPr>
          <w:color w:val="000000" w:themeColor="text1"/>
        </w:rPr>
        <w:t>f</w:t>
      </w:r>
      <w:r w:rsidR="00C16CEC" w:rsidRPr="007F7FF5">
        <w:rPr>
          <w:color w:val="000000" w:themeColor="text1"/>
        </w:rPr>
        <w:t>o</w:t>
      </w:r>
      <w:r w:rsidR="00D208AC" w:rsidRPr="007F7FF5">
        <w:rPr>
          <w:color w:val="000000" w:themeColor="text1"/>
        </w:rPr>
        <w:t xml:space="preserve">r the albedo </w:t>
      </w:r>
      <w:proofErr w:type="spellStart"/>
      <w:r w:rsidR="00EB5933" w:rsidRPr="007F7FF5">
        <w:rPr>
          <w:color w:val="000000" w:themeColor="text1"/>
        </w:rPr>
        <w:t>dosemeter</w:t>
      </w:r>
      <w:r w:rsidR="00D208AC" w:rsidRPr="007F7FF5">
        <w:rPr>
          <w:color w:val="000000" w:themeColor="text1"/>
        </w:rPr>
        <w:t>s</w:t>
      </w:r>
      <w:proofErr w:type="spellEnd"/>
      <w:r w:rsidR="00D208AC" w:rsidRPr="007F7FF5">
        <w:rPr>
          <w:color w:val="000000" w:themeColor="text1"/>
        </w:rPr>
        <w:t xml:space="preserve"> calculated with formula</w:t>
      </w:r>
      <w:r w:rsidR="002C6D1F" w:rsidRPr="007F7FF5">
        <w:rPr>
          <w:color w:val="000000" w:themeColor="text1"/>
        </w:rPr>
        <w:t>s</w:t>
      </w:r>
      <w:r w:rsidR="00D208AC" w:rsidRPr="007F7FF5">
        <w:rPr>
          <w:color w:val="000000" w:themeColor="text1"/>
        </w:rPr>
        <w:t xml:space="preserve"> (2) </w:t>
      </w:r>
      <w:r w:rsidR="002C6D1F" w:rsidRPr="007F7FF5">
        <w:rPr>
          <w:color w:val="000000" w:themeColor="text1"/>
        </w:rPr>
        <w:t xml:space="preserve">and (3) </w:t>
      </w:r>
      <w:r w:rsidR="00D208AC" w:rsidRPr="007F7FF5">
        <w:rPr>
          <w:color w:val="000000" w:themeColor="text1"/>
        </w:rPr>
        <w:t xml:space="preserve">are conservative. </w:t>
      </w:r>
      <w:r w:rsidR="00E828A3" w:rsidRPr="007F7FF5">
        <w:rPr>
          <w:color w:val="000000" w:themeColor="text1"/>
        </w:rPr>
        <w:t xml:space="preserve"> </w:t>
      </w:r>
    </w:p>
    <w:p w:rsidR="00847526" w:rsidRPr="007F7FF5" w:rsidRDefault="00F925DD" w:rsidP="00847526">
      <w:pPr>
        <w:pStyle w:val="BHead"/>
        <w:rPr>
          <w:b w:val="0"/>
          <w:caps/>
          <w:color w:val="000000" w:themeColor="text1"/>
        </w:rPr>
      </w:pPr>
      <w:r w:rsidRPr="007F7FF5">
        <w:rPr>
          <w:b w:val="0"/>
          <w:caps/>
          <w:color w:val="000000" w:themeColor="text1"/>
        </w:rPr>
        <w:t>RESULTS</w:t>
      </w:r>
    </w:p>
    <w:p w:rsidR="00B24686" w:rsidRPr="007F7FF5" w:rsidRDefault="00A35303" w:rsidP="00AD7B5F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>T</w:t>
      </w:r>
      <w:r w:rsidR="00B9120C" w:rsidRPr="007F7FF5">
        <w:rPr>
          <w:color w:val="000000" w:themeColor="text1"/>
        </w:rPr>
        <w:t>a</w:t>
      </w:r>
      <w:r w:rsidRPr="007F7FF5">
        <w:rPr>
          <w:color w:val="000000" w:themeColor="text1"/>
        </w:rPr>
        <w:t xml:space="preserve">ble </w:t>
      </w:r>
      <w:r w:rsidR="00B9120C" w:rsidRPr="007F7FF5">
        <w:rPr>
          <w:color w:val="000000" w:themeColor="text1"/>
        </w:rPr>
        <w:t xml:space="preserve">2 </w:t>
      </w:r>
      <w:r w:rsidRPr="007F7FF5">
        <w:rPr>
          <w:color w:val="000000" w:themeColor="text1"/>
        </w:rPr>
        <w:t>show</w:t>
      </w:r>
      <w:r w:rsidR="00B9120C" w:rsidRPr="007F7FF5">
        <w:rPr>
          <w:color w:val="000000" w:themeColor="text1"/>
        </w:rPr>
        <w:t>s</w:t>
      </w:r>
      <w:r w:rsidRPr="007F7FF5">
        <w:rPr>
          <w:color w:val="000000" w:themeColor="text1"/>
        </w:rPr>
        <w:t xml:space="preserve"> the results of </w:t>
      </w:r>
      <w:r w:rsidR="00B24686" w:rsidRPr="007F7FF5">
        <w:rPr>
          <w:color w:val="000000" w:themeColor="text1"/>
        </w:rPr>
        <w:t xml:space="preserve">all balls which were used for </w:t>
      </w:r>
      <w:r w:rsidRPr="007F7FF5">
        <w:rPr>
          <w:color w:val="000000" w:themeColor="text1"/>
        </w:rPr>
        <w:t xml:space="preserve">the </w:t>
      </w:r>
      <w:r w:rsidR="00040214" w:rsidRPr="007F7FF5">
        <w:rPr>
          <w:color w:val="000000" w:themeColor="text1"/>
        </w:rPr>
        <w:t xml:space="preserve">field calibration. </w:t>
      </w:r>
      <w:r w:rsidR="006C1C79" w:rsidRPr="007F7FF5">
        <w:rPr>
          <w:color w:val="000000" w:themeColor="text1"/>
        </w:rPr>
        <w:t>(</w:t>
      </w:r>
      <w:r w:rsidR="00B24686" w:rsidRPr="007F7FF5">
        <w:rPr>
          <w:color w:val="000000" w:themeColor="text1"/>
        </w:rPr>
        <w:t>PE6 was located in the lab</w:t>
      </w:r>
      <w:r w:rsidR="00B24686" w:rsidRPr="007F7FF5">
        <w:rPr>
          <w:color w:val="000000" w:themeColor="text1"/>
        </w:rPr>
        <w:t>y</w:t>
      </w:r>
      <w:r w:rsidR="00B24686" w:rsidRPr="007F7FF5">
        <w:rPr>
          <w:color w:val="000000" w:themeColor="text1"/>
        </w:rPr>
        <w:t>rinth during Run</w:t>
      </w:r>
      <w:r w:rsidR="008E53EF" w:rsidRPr="007F7FF5">
        <w:rPr>
          <w:color w:val="000000" w:themeColor="text1"/>
        </w:rPr>
        <w:t xml:space="preserve"> </w:t>
      </w:r>
      <w:r w:rsidR="00B24686" w:rsidRPr="007F7FF5">
        <w:rPr>
          <w:color w:val="000000" w:themeColor="text1"/>
        </w:rPr>
        <w:t>2 and the dose there was quite low, so that no albedo correction factors were determined</w:t>
      </w:r>
      <w:r w:rsidR="006C1C79" w:rsidRPr="007F7FF5">
        <w:rPr>
          <w:color w:val="000000" w:themeColor="text1"/>
        </w:rPr>
        <w:t>)</w:t>
      </w:r>
      <w:r w:rsidR="00B24686" w:rsidRPr="007F7FF5">
        <w:rPr>
          <w:color w:val="000000" w:themeColor="text1"/>
        </w:rPr>
        <w:t xml:space="preserve">. </w:t>
      </w:r>
    </w:p>
    <w:p w:rsidR="003A0A53" w:rsidRPr="007F7FF5" w:rsidRDefault="00040214" w:rsidP="00AD7B5F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>The v</w:t>
      </w:r>
      <w:r w:rsidR="00F16C9D" w:rsidRPr="007F7FF5">
        <w:rPr>
          <w:color w:val="000000" w:themeColor="text1"/>
        </w:rPr>
        <w:t>a</w:t>
      </w:r>
      <w:r w:rsidRPr="007F7FF5">
        <w:rPr>
          <w:color w:val="000000" w:themeColor="text1"/>
        </w:rPr>
        <w:t xml:space="preserve">lues of </w:t>
      </w:r>
      <w:proofErr w:type="spellStart"/>
      <w:r w:rsidRPr="007F7FF5">
        <w:rPr>
          <w:i/>
          <w:color w:val="000000" w:themeColor="text1"/>
        </w:rPr>
        <w:t>X</w:t>
      </w:r>
      <w:r w:rsidRPr="007F7FF5">
        <w:rPr>
          <w:i/>
          <w:color w:val="000000" w:themeColor="text1"/>
          <w:vertAlign w:val="subscript"/>
        </w:rPr>
        <w:t>sum</w:t>
      </w:r>
      <w:proofErr w:type="spellEnd"/>
      <w:r w:rsidRPr="007F7FF5">
        <w:rPr>
          <w:color w:val="000000" w:themeColor="text1"/>
        </w:rPr>
        <w:t xml:space="preserve"> range from 1.00 to 1.32 and the field specific c</w:t>
      </w:r>
      <w:r w:rsidR="00961272" w:rsidRPr="007F7FF5">
        <w:rPr>
          <w:color w:val="000000" w:themeColor="text1"/>
        </w:rPr>
        <w:t>orrecti</w:t>
      </w:r>
      <w:r w:rsidRPr="007F7FF5">
        <w:rPr>
          <w:color w:val="000000" w:themeColor="text1"/>
        </w:rPr>
        <w:t xml:space="preserve">on factors </w:t>
      </w:r>
      <w:proofErr w:type="spellStart"/>
      <w:r w:rsidR="00F16C9D" w:rsidRPr="007F7FF5">
        <w:rPr>
          <w:i/>
          <w:color w:val="000000" w:themeColor="text1"/>
        </w:rPr>
        <w:t>N</w:t>
      </w:r>
      <w:r w:rsidR="00F16C9D" w:rsidRPr="007F7FF5">
        <w:rPr>
          <w:i/>
          <w:color w:val="000000" w:themeColor="text1"/>
          <w:vertAlign w:val="subscript"/>
        </w:rPr>
        <w:t>n</w:t>
      </w:r>
      <w:proofErr w:type="spellEnd"/>
      <w:r w:rsidR="00F16C9D" w:rsidRPr="007F7FF5">
        <w:rPr>
          <w:i/>
          <w:color w:val="000000" w:themeColor="text1"/>
        </w:rPr>
        <w:t>(X)</w:t>
      </w:r>
      <w:r w:rsidR="00F16C9D" w:rsidRPr="007F7FF5">
        <w:rPr>
          <w:color w:val="000000" w:themeColor="text1"/>
        </w:rPr>
        <w:t xml:space="preserve"> </w:t>
      </w:r>
      <w:r w:rsidRPr="007F7FF5">
        <w:rPr>
          <w:color w:val="000000" w:themeColor="text1"/>
        </w:rPr>
        <w:t>from 0.73 to 1.1</w:t>
      </w:r>
      <w:r w:rsidR="00137DAE" w:rsidRPr="007F7FF5">
        <w:rPr>
          <w:color w:val="000000" w:themeColor="text1"/>
        </w:rPr>
        <w:t>7</w:t>
      </w:r>
      <w:r w:rsidRPr="007F7FF5">
        <w:rPr>
          <w:color w:val="000000" w:themeColor="text1"/>
        </w:rPr>
        <w:t xml:space="preserve">. This variation is </w:t>
      </w:r>
      <w:r w:rsidR="00195205" w:rsidRPr="007F7FF5">
        <w:rPr>
          <w:color w:val="000000" w:themeColor="text1"/>
        </w:rPr>
        <w:t xml:space="preserve">not </w:t>
      </w:r>
      <w:proofErr w:type="gramStart"/>
      <w:r w:rsidR="00195205" w:rsidRPr="007F7FF5">
        <w:rPr>
          <w:color w:val="000000" w:themeColor="text1"/>
        </w:rPr>
        <w:t>so</w:t>
      </w:r>
      <w:proofErr w:type="gramEnd"/>
      <w:r w:rsidR="00195205" w:rsidRPr="007F7FF5">
        <w:rPr>
          <w:color w:val="000000" w:themeColor="text1"/>
        </w:rPr>
        <w:t xml:space="preserve"> large as expected and</w:t>
      </w:r>
      <w:r w:rsidRPr="007F7FF5">
        <w:rPr>
          <w:color w:val="000000" w:themeColor="text1"/>
        </w:rPr>
        <w:t xml:space="preserve"> extreme outliers are not present. The midrange values</w:t>
      </w:r>
      <w:r w:rsidR="00961272" w:rsidRPr="007F7FF5">
        <w:rPr>
          <w:color w:val="000000" w:themeColor="text1"/>
        </w:rPr>
        <w:t xml:space="preserve"> (arithm</w:t>
      </w:r>
      <w:r w:rsidR="00961272" w:rsidRPr="007F7FF5">
        <w:rPr>
          <w:color w:val="000000" w:themeColor="text1"/>
        </w:rPr>
        <w:t>e</w:t>
      </w:r>
      <w:r w:rsidR="00961272" w:rsidRPr="007F7FF5">
        <w:rPr>
          <w:color w:val="000000" w:themeColor="text1"/>
        </w:rPr>
        <w:t xml:space="preserve">tic mean between </w:t>
      </w:r>
      <w:r w:rsidR="00F16C9D" w:rsidRPr="007F7FF5">
        <w:rPr>
          <w:color w:val="000000" w:themeColor="text1"/>
        </w:rPr>
        <w:t>minimum and maximum value) amount</w:t>
      </w:r>
      <w:r w:rsidR="003A0A53" w:rsidRPr="007F7FF5">
        <w:rPr>
          <w:color w:val="000000" w:themeColor="text1"/>
        </w:rPr>
        <w:t>:</w:t>
      </w:r>
      <w:r w:rsidR="00F16C9D" w:rsidRPr="007F7FF5">
        <w:rPr>
          <w:color w:val="000000" w:themeColor="text1"/>
        </w:rPr>
        <w:t xml:space="preserve"> </w:t>
      </w:r>
    </w:p>
    <w:p w:rsidR="00FE17AE" w:rsidRPr="007F7FF5" w:rsidRDefault="00FE17AE" w:rsidP="003A0A53">
      <w:pPr>
        <w:ind w:left="284"/>
        <w:jc w:val="both"/>
        <w:rPr>
          <w:i/>
          <w:color w:val="000000" w:themeColor="text1"/>
        </w:rPr>
      </w:pPr>
    </w:p>
    <w:p w:rsidR="004B65CE" w:rsidRPr="007F7FF5" w:rsidRDefault="009A03D3" w:rsidP="003A0A53">
      <w:pPr>
        <w:ind w:left="284"/>
        <w:jc w:val="both"/>
        <w:rPr>
          <w:color w:val="000000" w:themeColor="text1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acc>
      </m:oMath>
      <w:proofErr w:type="gramStart"/>
      <w:r w:rsidR="00FE17AE" w:rsidRPr="007F7FF5">
        <w:rPr>
          <w:i/>
          <w:color w:val="000000" w:themeColor="text1"/>
          <w:vertAlign w:val="subscript"/>
        </w:rPr>
        <w:t>sum</w:t>
      </w:r>
      <w:proofErr w:type="gramEnd"/>
      <w:r w:rsidR="00F32D54" w:rsidRPr="007F7FF5">
        <w:rPr>
          <w:color w:val="000000" w:themeColor="text1"/>
        </w:rPr>
        <w:t xml:space="preserve"> </w:t>
      </w:r>
      <w:r w:rsidR="007D1164" w:rsidRPr="007F7FF5">
        <w:rPr>
          <w:color w:val="000000" w:themeColor="text1"/>
        </w:rPr>
        <w:t xml:space="preserve">= 1.16 </w:t>
      </w:r>
      <w:r w:rsidR="00F16C9D" w:rsidRPr="007F7FF5">
        <w:rPr>
          <w:color w:val="000000" w:themeColor="text1"/>
        </w:rPr>
        <w:t xml:space="preserve">and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/>
                <w:color w:val="000000" w:themeColor="text1"/>
              </w:rPr>
              <m:t>N</m:t>
            </m:r>
          </m:e>
        </m:acc>
      </m:oMath>
      <w:r w:rsidR="00FE17AE" w:rsidRPr="007F7FF5">
        <w:rPr>
          <w:i/>
          <w:color w:val="000000" w:themeColor="text1"/>
          <w:vertAlign w:val="subscript"/>
        </w:rPr>
        <w:t>n</w:t>
      </w:r>
      <w:r w:rsidR="00FE17AE" w:rsidRPr="007F7FF5">
        <w:rPr>
          <w:i/>
          <w:color w:val="000000" w:themeColor="text1"/>
        </w:rPr>
        <w:t>(X)</w:t>
      </w:r>
      <w:r w:rsidR="004E7995" w:rsidRPr="007F7FF5">
        <w:rPr>
          <w:i/>
          <w:color w:val="000000" w:themeColor="text1"/>
        </w:rPr>
        <w:t xml:space="preserve"> </w:t>
      </w:r>
      <w:r w:rsidR="00F16C9D" w:rsidRPr="007F7FF5">
        <w:rPr>
          <w:color w:val="000000" w:themeColor="text1"/>
        </w:rPr>
        <w:t>= 0.94</w:t>
      </w:r>
      <w:r w:rsidR="007D1164" w:rsidRPr="007F7FF5">
        <w:rPr>
          <w:color w:val="000000" w:themeColor="text1"/>
        </w:rPr>
        <w:t xml:space="preserve"> </w:t>
      </w:r>
    </w:p>
    <w:p w:rsidR="004E7995" w:rsidRPr="007F7FF5" w:rsidRDefault="004E7995" w:rsidP="003A0A53">
      <w:pPr>
        <w:ind w:left="284"/>
        <w:jc w:val="both"/>
        <w:rPr>
          <w:color w:val="000000" w:themeColor="text1"/>
        </w:rPr>
      </w:pPr>
    </w:p>
    <w:p w:rsidR="00E36361" w:rsidRPr="007F7FF5" w:rsidRDefault="004E7995" w:rsidP="00E36361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A </w:t>
      </w:r>
      <w:r w:rsidR="00CE64B7" w:rsidRPr="007F7FF5">
        <w:rPr>
          <w:color w:val="000000" w:themeColor="text1"/>
        </w:rPr>
        <w:t xml:space="preserve">notable </w:t>
      </w:r>
      <w:r w:rsidRPr="007F7FF5">
        <w:rPr>
          <w:color w:val="000000" w:themeColor="text1"/>
        </w:rPr>
        <w:t xml:space="preserve">detail is the ratio of the albedo signals of </w:t>
      </w:r>
      <w:r w:rsidR="00CE64B7" w:rsidRPr="007F7FF5">
        <w:rPr>
          <w:color w:val="000000" w:themeColor="text1"/>
        </w:rPr>
        <w:t>two</w:t>
      </w:r>
      <w:r w:rsidRPr="007F7FF5">
        <w:rPr>
          <w:color w:val="000000" w:themeColor="text1"/>
        </w:rPr>
        <w:t xml:space="preserve"> opposite </w:t>
      </w:r>
      <w:proofErr w:type="spellStart"/>
      <w:r w:rsidR="00EB5933" w:rsidRPr="007F7FF5">
        <w:rPr>
          <w:color w:val="000000" w:themeColor="text1"/>
        </w:rPr>
        <w:t>dosemeter</w:t>
      </w:r>
      <w:r w:rsidRPr="007F7FF5">
        <w:rPr>
          <w:color w:val="000000" w:themeColor="text1"/>
        </w:rPr>
        <w:t>s</w:t>
      </w:r>
      <w:proofErr w:type="spellEnd"/>
      <w:r w:rsidRPr="007F7FF5">
        <w:rPr>
          <w:color w:val="000000" w:themeColor="text1"/>
        </w:rPr>
        <w:t xml:space="preserve">. </w:t>
      </w:r>
      <w:r w:rsidR="00CE64B7" w:rsidRPr="007F7FF5">
        <w:rPr>
          <w:color w:val="000000" w:themeColor="text1"/>
        </w:rPr>
        <w:t>These ratios can be deduced from the results in Table 2a und 2b. The ratio for the Front and Back position of the balls on the roof varies b</w:t>
      </w:r>
      <w:r w:rsidR="00CE64B7" w:rsidRPr="007F7FF5">
        <w:rPr>
          <w:color w:val="000000" w:themeColor="text1"/>
        </w:rPr>
        <w:t>e</w:t>
      </w:r>
      <w:r w:rsidR="00CE64B7" w:rsidRPr="007F7FF5">
        <w:rPr>
          <w:color w:val="000000" w:themeColor="text1"/>
        </w:rPr>
        <w:t>tween 6.0 and 10.2, whereas all other ratios are b</w:t>
      </w:r>
      <w:r w:rsidR="00CE64B7" w:rsidRPr="007F7FF5">
        <w:rPr>
          <w:color w:val="000000" w:themeColor="text1"/>
        </w:rPr>
        <w:t>e</w:t>
      </w:r>
      <w:r w:rsidR="00CE64B7" w:rsidRPr="007F7FF5">
        <w:rPr>
          <w:color w:val="000000" w:themeColor="text1"/>
        </w:rPr>
        <w:t>tween 1.0 and 2.3. A ratio of 10.2 (PE1, Run 1) ind</w:t>
      </w:r>
      <w:r w:rsidR="00CE64B7" w:rsidRPr="007F7FF5">
        <w:rPr>
          <w:color w:val="000000" w:themeColor="text1"/>
        </w:rPr>
        <w:t>i</w:t>
      </w:r>
      <w:r w:rsidR="00CE64B7" w:rsidRPr="007F7FF5">
        <w:rPr>
          <w:color w:val="000000" w:themeColor="text1"/>
        </w:rPr>
        <w:t xml:space="preserve">cates that the </w:t>
      </w:r>
      <w:r w:rsidR="005C26F1" w:rsidRPr="007F7FF5">
        <w:rPr>
          <w:color w:val="000000" w:themeColor="text1"/>
        </w:rPr>
        <w:t xml:space="preserve">correction factor </w:t>
      </w:r>
      <w:proofErr w:type="spellStart"/>
      <w:r w:rsidR="005C26F1" w:rsidRPr="007F7FF5">
        <w:rPr>
          <w:i/>
          <w:color w:val="000000" w:themeColor="text1"/>
        </w:rPr>
        <w:t>N</w:t>
      </w:r>
      <w:r w:rsidR="005C26F1" w:rsidRPr="007F7FF5">
        <w:rPr>
          <w:i/>
          <w:color w:val="000000" w:themeColor="text1"/>
          <w:vertAlign w:val="subscript"/>
        </w:rPr>
        <w:t>n</w:t>
      </w:r>
      <w:proofErr w:type="spellEnd"/>
      <w:r w:rsidR="005C26F1" w:rsidRPr="007F7FF5">
        <w:rPr>
          <w:i/>
          <w:color w:val="000000" w:themeColor="text1"/>
        </w:rPr>
        <w:t>(X)</w:t>
      </w:r>
      <w:r w:rsidR="005C26F1" w:rsidRPr="007F7FF5">
        <w:rPr>
          <w:color w:val="000000" w:themeColor="text1"/>
        </w:rPr>
        <w:t xml:space="preserve"> = 0.89 for this </w:t>
      </w:r>
      <w:proofErr w:type="spellStart"/>
      <w:r w:rsidR="00EB5933" w:rsidRPr="007F7FF5">
        <w:rPr>
          <w:color w:val="000000" w:themeColor="text1"/>
        </w:rPr>
        <w:t>dosemeter</w:t>
      </w:r>
      <w:proofErr w:type="spellEnd"/>
      <w:r w:rsidR="005C26F1" w:rsidRPr="007F7FF5">
        <w:rPr>
          <w:color w:val="000000" w:themeColor="text1"/>
        </w:rPr>
        <w:t xml:space="preserve"> pair is caused mainly by the frontal </w:t>
      </w:r>
      <w:proofErr w:type="spellStart"/>
      <w:r w:rsidR="00EB5933" w:rsidRPr="007F7FF5">
        <w:rPr>
          <w:color w:val="000000" w:themeColor="text1"/>
        </w:rPr>
        <w:t>dosem</w:t>
      </w:r>
      <w:r w:rsidR="00EB5933" w:rsidRPr="007F7FF5">
        <w:rPr>
          <w:color w:val="000000" w:themeColor="text1"/>
        </w:rPr>
        <w:t>e</w:t>
      </w:r>
      <w:r w:rsidR="00EB5933" w:rsidRPr="007F7FF5">
        <w:rPr>
          <w:color w:val="000000" w:themeColor="text1"/>
        </w:rPr>
        <w:t>ter</w:t>
      </w:r>
      <w:proofErr w:type="spellEnd"/>
      <w:r w:rsidR="005C26F1" w:rsidRPr="007F7FF5">
        <w:rPr>
          <w:color w:val="000000" w:themeColor="text1"/>
        </w:rPr>
        <w:t xml:space="preserve">, which is faced downwards and to the target. The back </w:t>
      </w:r>
      <w:proofErr w:type="spellStart"/>
      <w:r w:rsidR="00EB5933" w:rsidRPr="007F7FF5">
        <w:rPr>
          <w:color w:val="000000" w:themeColor="text1"/>
        </w:rPr>
        <w:t>dosemeter</w:t>
      </w:r>
      <w:proofErr w:type="spellEnd"/>
      <w:r w:rsidR="005C26F1" w:rsidRPr="007F7FF5">
        <w:rPr>
          <w:color w:val="000000" w:themeColor="text1"/>
        </w:rPr>
        <w:t xml:space="preserve"> does not contribute much to the sum of the albedo signals. This exposure situation is very </w:t>
      </w:r>
      <w:r w:rsidR="005C26F1" w:rsidRPr="007F7FF5">
        <w:rPr>
          <w:color w:val="000000" w:themeColor="text1"/>
        </w:rPr>
        <w:lastRenderedPageBreak/>
        <w:t>different from the situation at the side, where a substa</w:t>
      </w:r>
      <w:r w:rsidR="005C26F1" w:rsidRPr="007F7FF5">
        <w:rPr>
          <w:color w:val="000000" w:themeColor="text1"/>
        </w:rPr>
        <w:t>n</w:t>
      </w:r>
      <w:r w:rsidR="005C26F1" w:rsidRPr="007F7FF5">
        <w:rPr>
          <w:color w:val="000000" w:themeColor="text1"/>
        </w:rPr>
        <w:t xml:space="preserve">tial fraction of neutrons is backscattered by the second wall of the narrow floor and contributes </w:t>
      </w:r>
      <w:r w:rsidR="006C1C79" w:rsidRPr="007F7FF5">
        <w:rPr>
          <w:color w:val="000000" w:themeColor="text1"/>
        </w:rPr>
        <w:t xml:space="preserve">a substantial part </w:t>
      </w:r>
      <w:r w:rsidR="005C26F1" w:rsidRPr="007F7FF5">
        <w:rPr>
          <w:color w:val="000000" w:themeColor="text1"/>
        </w:rPr>
        <w:t xml:space="preserve">to the sum </w:t>
      </w:r>
      <w:r w:rsidR="006C1C79" w:rsidRPr="007F7FF5">
        <w:rPr>
          <w:color w:val="000000" w:themeColor="text1"/>
        </w:rPr>
        <w:t xml:space="preserve">of the albedo signals </w:t>
      </w:r>
      <w:r w:rsidR="005C26F1" w:rsidRPr="007F7FF5">
        <w:rPr>
          <w:color w:val="000000" w:themeColor="text1"/>
        </w:rPr>
        <w:t xml:space="preserve">of </w:t>
      </w:r>
      <w:r w:rsidR="006C1C79" w:rsidRPr="007F7FF5">
        <w:rPr>
          <w:color w:val="000000" w:themeColor="text1"/>
        </w:rPr>
        <w:t xml:space="preserve">two opposite </w:t>
      </w:r>
      <w:proofErr w:type="spellStart"/>
      <w:r w:rsidR="00EB5933" w:rsidRPr="007F7FF5">
        <w:rPr>
          <w:color w:val="000000" w:themeColor="text1"/>
        </w:rPr>
        <w:t>dosemeter</w:t>
      </w:r>
      <w:r w:rsidR="006C1C79" w:rsidRPr="007F7FF5">
        <w:rPr>
          <w:color w:val="000000" w:themeColor="text1"/>
        </w:rPr>
        <w:t>s</w:t>
      </w:r>
      <w:proofErr w:type="spellEnd"/>
      <w:r w:rsidR="006C1C79" w:rsidRPr="007F7FF5">
        <w:rPr>
          <w:color w:val="000000" w:themeColor="text1"/>
        </w:rPr>
        <w:t xml:space="preserve">. The variation of all field correction factors amounts </w:t>
      </w:r>
      <w:r w:rsidR="00E4458C" w:rsidRPr="007F7FF5">
        <w:rPr>
          <w:color w:val="000000" w:themeColor="text1"/>
        </w:rPr>
        <w:t xml:space="preserve">only </w:t>
      </w:r>
      <w:r w:rsidR="006C1C79" w:rsidRPr="007F7FF5">
        <w:rPr>
          <w:color w:val="000000" w:themeColor="text1"/>
        </w:rPr>
        <w:t>30% (2</w:t>
      </w:r>
      <w:r w:rsidR="006C1C79" w:rsidRPr="007F7FF5">
        <w:rPr>
          <w:rFonts w:ascii="Symbol" w:hAnsi="Symbol"/>
          <w:color w:val="000000" w:themeColor="text1"/>
        </w:rPr>
        <w:t></w:t>
      </w:r>
      <w:r w:rsidR="006C1C79" w:rsidRPr="007F7FF5">
        <w:rPr>
          <w:color w:val="000000" w:themeColor="text1"/>
        </w:rPr>
        <w:t>)</w:t>
      </w:r>
      <w:r w:rsidR="00E4458C" w:rsidRPr="007F7FF5">
        <w:rPr>
          <w:color w:val="000000" w:themeColor="text1"/>
        </w:rPr>
        <w:t xml:space="preserve"> and th</w:t>
      </w:r>
      <w:r w:rsidR="006C1C79" w:rsidRPr="007F7FF5">
        <w:rPr>
          <w:color w:val="000000" w:themeColor="text1"/>
        </w:rPr>
        <w:t xml:space="preserve">is implies that </w:t>
      </w:r>
      <w:proofErr w:type="spellStart"/>
      <w:r w:rsidR="006C1C79" w:rsidRPr="007F7FF5">
        <w:rPr>
          <w:i/>
          <w:color w:val="000000" w:themeColor="text1"/>
        </w:rPr>
        <w:t>N</w:t>
      </w:r>
      <w:r w:rsidR="006C1C79" w:rsidRPr="007F7FF5">
        <w:rPr>
          <w:i/>
          <w:color w:val="000000" w:themeColor="text1"/>
          <w:vertAlign w:val="subscript"/>
        </w:rPr>
        <w:t>n</w:t>
      </w:r>
      <w:proofErr w:type="spellEnd"/>
      <w:r w:rsidR="006C1C79" w:rsidRPr="007F7FF5">
        <w:rPr>
          <w:i/>
          <w:color w:val="000000" w:themeColor="text1"/>
        </w:rPr>
        <w:t>(X)</w:t>
      </w:r>
      <w:r w:rsidR="006C1C79" w:rsidRPr="007F7FF5">
        <w:rPr>
          <w:color w:val="000000" w:themeColor="text1"/>
        </w:rPr>
        <w:t xml:space="preserve"> shows only a weak </w:t>
      </w:r>
      <w:r w:rsidR="00E4458C" w:rsidRPr="007F7FF5">
        <w:rPr>
          <w:color w:val="000000" w:themeColor="text1"/>
        </w:rPr>
        <w:t xml:space="preserve">dependence </w:t>
      </w:r>
      <w:r w:rsidR="006C1C79" w:rsidRPr="007F7FF5">
        <w:rPr>
          <w:color w:val="000000" w:themeColor="text1"/>
        </w:rPr>
        <w:t xml:space="preserve">of the </w:t>
      </w:r>
      <w:r w:rsidR="00E4458C" w:rsidRPr="007F7FF5">
        <w:rPr>
          <w:color w:val="000000" w:themeColor="text1"/>
        </w:rPr>
        <w:t xml:space="preserve">individual </w:t>
      </w:r>
      <w:r w:rsidR="006C1C79" w:rsidRPr="007F7FF5">
        <w:rPr>
          <w:color w:val="000000" w:themeColor="text1"/>
        </w:rPr>
        <w:t>exp</w:t>
      </w:r>
      <w:r w:rsidR="006C1C79" w:rsidRPr="007F7FF5">
        <w:rPr>
          <w:color w:val="000000" w:themeColor="text1"/>
        </w:rPr>
        <w:t>o</w:t>
      </w:r>
      <w:r w:rsidR="006C1C79" w:rsidRPr="007F7FF5">
        <w:rPr>
          <w:color w:val="000000" w:themeColor="text1"/>
        </w:rPr>
        <w:t>sure situation.</w:t>
      </w:r>
    </w:p>
    <w:p w:rsidR="004E7995" w:rsidRPr="007F7FF5" w:rsidRDefault="004E7995" w:rsidP="00E36361">
      <w:pPr>
        <w:jc w:val="both"/>
        <w:rPr>
          <w:color w:val="000000" w:themeColor="text1"/>
        </w:rPr>
      </w:pPr>
    </w:p>
    <w:p w:rsidR="00353F82" w:rsidRPr="007F7FF5" w:rsidRDefault="00353F82" w:rsidP="00AD7B5F">
      <w:pPr>
        <w:jc w:val="both"/>
        <w:rPr>
          <w:caps/>
          <w:color w:val="000000" w:themeColor="text1"/>
        </w:rPr>
      </w:pPr>
      <w:r w:rsidRPr="007F7FF5">
        <w:rPr>
          <w:caps/>
          <w:color w:val="000000" w:themeColor="text1"/>
        </w:rPr>
        <w:t>Field Calibration with a radionuclide source</w:t>
      </w:r>
    </w:p>
    <w:p w:rsidR="00353F82" w:rsidRPr="007F7FF5" w:rsidRDefault="00353F82" w:rsidP="00AD7B5F">
      <w:pPr>
        <w:jc w:val="both"/>
        <w:rPr>
          <w:color w:val="000000" w:themeColor="text1"/>
        </w:rPr>
      </w:pPr>
    </w:p>
    <w:p w:rsidR="00443449" w:rsidRPr="007F7FF5" w:rsidRDefault="00443449" w:rsidP="00AD7B5F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The field calibration measurement has been </w:t>
      </w:r>
      <w:r w:rsidR="00CD4B36" w:rsidRPr="007F7FF5">
        <w:rPr>
          <w:color w:val="000000" w:themeColor="text1"/>
        </w:rPr>
        <w:t xml:space="preserve">repeated </w:t>
      </w:r>
      <w:r w:rsidRPr="007F7FF5">
        <w:rPr>
          <w:color w:val="000000" w:themeColor="text1"/>
        </w:rPr>
        <w:t>at PTB with a</w:t>
      </w:r>
      <w:r w:rsidR="001C0FD2" w:rsidRPr="007F7FF5">
        <w:rPr>
          <w:color w:val="000000" w:themeColor="text1"/>
        </w:rPr>
        <w:t xml:space="preserve"> bare</w:t>
      </w:r>
      <w:r w:rsidRPr="007F7FF5">
        <w:rPr>
          <w:color w:val="000000" w:themeColor="text1"/>
        </w:rPr>
        <w:t xml:space="preserve"> </w:t>
      </w:r>
      <w:r w:rsidRPr="007F7FF5">
        <w:rPr>
          <w:color w:val="000000" w:themeColor="text1"/>
          <w:vertAlign w:val="superscript"/>
        </w:rPr>
        <w:t>252</w:t>
      </w:r>
      <w:r w:rsidRPr="007F7FF5">
        <w:rPr>
          <w:color w:val="000000" w:themeColor="text1"/>
        </w:rPr>
        <w:t xml:space="preserve">Cf source. This source is used </w:t>
      </w:r>
      <w:r w:rsidR="00BD1072" w:rsidRPr="007F7FF5">
        <w:rPr>
          <w:color w:val="000000" w:themeColor="text1"/>
        </w:rPr>
        <w:t xml:space="preserve">routinely </w:t>
      </w:r>
      <w:r w:rsidR="00353F82" w:rsidRPr="007F7FF5">
        <w:rPr>
          <w:color w:val="000000" w:themeColor="text1"/>
        </w:rPr>
        <w:t xml:space="preserve">by </w:t>
      </w:r>
      <w:r w:rsidRPr="007F7FF5">
        <w:rPr>
          <w:color w:val="000000" w:themeColor="text1"/>
        </w:rPr>
        <w:t xml:space="preserve">PTB for the annual </w:t>
      </w:r>
      <w:proofErr w:type="spellStart"/>
      <w:r w:rsidRPr="007F7FF5">
        <w:rPr>
          <w:color w:val="000000" w:themeColor="text1"/>
        </w:rPr>
        <w:t>intercomparison</w:t>
      </w:r>
      <w:proofErr w:type="spellEnd"/>
      <w:r w:rsidRPr="007F7FF5">
        <w:rPr>
          <w:color w:val="000000" w:themeColor="text1"/>
        </w:rPr>
        <w:t xml:space="preserve"> mea</w:t>
      </w:r>
      <w:r w:rsidRPr="007F7FF5">
        <w:rPr>
          <w:color w:val="000000" w:themeColor="text1"/>
        </w:rPr>
        <w:t>s</w:t>
      </w:r>
      <w:r w:rsidRPr="007F7FF5">
        <w:rPr>
          <w:color w:val="000000" w:themeColor="text1"/>
        </w:rPr>
        <w:t xml:space="preserve">urements of the albedo </w:t>
      </w:r>
      <w:proofErr w:type="spellStart"/>
      <w:r w:rsidR="00EB5933" w:rsidRPr="007F7FF5">
        <w:rPr>
          <w:color w:val="000000" w:themeColor="text1"/>
        </w:rPr>
        <w:t>dosemeter</w:t>
      </w:r>
      <w:r w:rsidRPr="007F7FF5">
        <w:rPr>
          <w:color w:val="000000" w:themeColor="text1"/>
        </w:rPr>
        <w:t>s</w:t>
      </w:r>
      <w:proofErr w:type="spellEnd"/>
      <w:r w:rsidRPr="007F7FF5">
        <w:rPr>
          <w:color w:val="000000" w:themeColor="text1"/>
        </w:rPr>
        <w:t>, which are used by the official German dosimetry services.</w:t>
      </w:r>
      <w:r w:rsidR="00CD4B36" w:rsidRPr="007F7FF5">
        <w:rPr>
          <w:color w:val="000000" w:themeColor="text1"/>
        </w:rPr>
        <w:t xml:space="preserve"> The </w:t>
      </w:r>
      <w:r w:rsidR="00353F82" w:rsidRPr="007F7FF5">
        <w:rPr>
          <w:color w:val="000000" w:themeColor="text1"/>
        </w:rPr>
        <w:t>motivation of this experiment was to compare the neutron corre</w:t>
      </w:r>
      <w:r w:rsidR="00353F82" w:rsidRPr="007F7FF5">
        <w:rPr>
          <w:color w:val="000000" w:themeColor="text1"/>
        </w:rPr>
        <w:t>c</w:t>
      </w:r>
      <w:r w:rsidR="00353F82" w:rsidRPr="007F7FF5">
        <w:rPr>
          <w:color w:val="000000" w:themeColor="text1"/>
        </w:rPr>
        <w:t>tion factor gained at CERF with a correction factor which can be determined much easier with a standard neutron calibration source.</w:t>
      </w:r>
    </w:p>
    <w:p w:rsidR="00443449" w:rsidRPr="007F7FF5" w:rsidRDefault="009652C3" w:rsidP="00AD7B5F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>At first</w:t>
      </w:r>
      <w:r w:rsidR="00443449" w:rsidRPr="007F7FF5">
        <w:rPr>
          <w:color w:val="000000" w:themeColor="text1"/>
        </w:rPr>
        <w:t xml:space="preserve"> a calibration has been </w:t>
      </w:r>
      <w:r w:rsidR="00BD1072" w:rsidRPr="007F7FF5">
        <w:rPr>
          <w:color w:val="000000" w:themeColor="text1"/>
        </w:rPr>
        <w:t xml:space="preserve">performed with </w:t>
      </w:r>
      <w:r w:rsidRPr="007F7FF5">
        <w:rPr>
          <w:color w:val="000000" w:themeColor="text1"/>
        </w:rPr>
        <w:t>four</w:t>
      </w:r>
      <w:r w:rsidR="00BD1072" w:rsidRPr="007F7FF5">
        <w:rPr>
          <w:color w:val="000000" w:themeColor="text1"/>
        </w:rPr>
        <w:t xml:space="preserve"> albedo </w:t>
      </w:r>
      <w:proofErr w:type="spellStart"/>
      <w:r w:rsidR="00EB5933" w:rsidRPr="007F7FF5">
        <w:rPr>
          <w:color w:val="000000" w:themeColor="text1"/>
        </w:rPr>
        <w:t>dosemeter</w:t>
      </w:r>
      <w:r w:rsidR="00443449" w:rsidRPr="007F7FF5">
        <w:rPr>
          <w:color w:val="000000" w:themeColor="text1"/>
        </w:rPr>
        <w:t>s</w:t>
      </w:r>
      <w:proofErr w:type="spellEnd"/>
      <w:r w:rsidR="00443449" w:rsidRPr="007F7FF5">
        <w:rPr>
          <w:color w:val="000000" w:themeColor="text1"/>
        </w:rPr>
        <w:t xml:space="preserve">, which were fixed at the surface </w:t>
      </w:r>
      <w:r w:rsidR="00BD1072" w:rsidRPr="007F7FF5">
        <w:rPr>
          <w:color w:val="000000" w:themeColor="text1"/>
        </w:rPr>
        <w:t xml:space="preserve">of </w:t>
      </w:r>
      <w:r w:rsidR="00443449" w:rsidRPr="007F7FF5">
        <w:rPr>
          <w:color w:val="000000" w:themeColor="text1"/>
        </w:rPr>
        <w:t xml:space="preserve">a </w:t>
      </w:r>
      <w:r w:rsidRPr="007F7FF5">
        <w:rPr>
          <w:color w:val="000000" w:themeColor="text1"/>
        </w:rPr>
        <w:t>slab</w:t>
      </w:r>
      <w:r w:rsidR="00443449" w:rsidRPr="007F7FF5">
        <w:rPr>
          <w:color w:val="000000" w:themeColor="text1"/>
        </w:rPr>
        <w:t xml:space="preserve"> phantom</w:t>
      </w:r>
      <w:r w:rsidRPr="007F7FF5">
        <w:rPr>
          <w:color w:val="000000" w:themeColor="text1"/>
        </w:rPr>
        <w:t xml:space="preserve"> (30 x 30 x 15 cm</w:t>
      </w:r>
      <w:r w:rsidRPr="007F7FF5">
        <w:rPr>
          <w:color w:val="000000" w:themeColor="text1"/>
          <w:vertAlign w:val="superscript"/>
        </w:rPr>
        <w:t>3</w:t>
      </w:r>
      <w:r w:rsidRPr="007F7FF5">
        <w:rPr>
          <w:color w:val="000000" w:themeColor="text1"/>
        </w:rPr>
        <w:t>)</w:t>
      </w:r>
      <w:r w:rsidR="00443449" w:rsidRPr="007F7FF5">
        <w:rPr>
          <w:color w:val="000000" w:themeColor="text1"/>
        </w:rPr>
        <w:t xml:space="preserve">. The distance between source and phantom amounted 170 cm. The PTB </w:t>
      </w:r>
      <w:r w:rsidR="00BD1072" w:rsidRPr="007F7FF5">
        <w:rPr>
          <w:color w:val="000000" w:themeColor="text1"/>
        </w:rPr>
        <w:t>deli</w:t>
      </w:r>
      <w:r w:rsidR="00BD1072" w:rsidRPr="007F7FF5">
        <w:rPr>
          <w:color w:val="000000" w:themeColor="text1"/>
        </w:rPr>
        <w:t>v</w:t>
      </w:r>
      <w:r w:rsidR="00BD1072" w:rsidRPr="007F7FF5">
        <w:rPr>
          <w:color w:val="000000" w:themeColor="text1"/>
        </w:rPr>
        <w:t xml:space="preserve">ered </w:t>
      </w:r>
      <w:r w:rsidR="00443449" w:rsidRPr="007F7FF5">
        <w:rPr>
          <w:color w:val="000000" w:themeColor="text1"/>
        </w:rPr>
        <w:t xml:space="preserve">a reference value </w:t>
      </w:r>
      <w:r w:rsidR="00AC192E" w:rsidRPr="007F7FF5">
        <w:rPr>
          <w:color w:val="000000" w:themeColor="text1"/>
        </w:rPr>
        <w:t>of</w:t>
      </w:r>
      <w:r w:rsidR="00443449" w:rsidRPr="007F7FF5">
        <w:rPr>
          <w:color w:val="000000" w:themeColor="text1"/>
        </w:rPr>
        <w:t xml:space="preserve"> </w:t>
      </w:r>
      <w:proofErr w:type="spellStart"/>
      <w:proofErr w:type="gramStart"/>
      <w:r w:rsidR="00443449" w:rsidRPr="007F7FF5">
        <w:rPr>
          <w:i/>
          <w:color w:val="000000" w:themeColor="text1"/>
        </w:rPr>
        <w:t>H</w:t>
      </w:r>
      <w:r w:rsidR="00443449" w:rsidRPr="007F7FF5">
        <w:rPr>
          <w:color w:val="000000" w:themeColor="text1"/>
          <w:vertAlign w:val="subscript"/>
        </w:rPr>
        <w:t>p</w:t>
      </w:r>
      <w:proofErr w:type="spellEnd"/>
      <w:r w:rsidR="00443449" w:rsidRPr="007F7FF5">
        <w:rPr>
          <w:color w:val="000000" w:themeColor="text1"/>
        </w:rPr>
        <w:t>(</w:t>
      </w:r>
      <w:proofErr w:type="gramEnd"/>
      <w:r w:rsidR="00443449" w:rsidRPr="007F7FF5">
        <w:rPr>
          <w:color w:val="000000" w:themeColor="text1"/>
        </w:rPr>
        <w:t>10)</w:t>
      </w:r>
      <w:r w:rsidR="00BD1072" w:rsidRPr="007F7FF5">
        <w:rPr>
          <w:color w:val="000000" w:themeColor="text1"/>
        </w:rPr>
        <w:t xml:space="preserve">, which was used for the calculation of the exact </w:t>
      </w:r>
      <w:r w:rsidR="00443449" w:rsidRPr="007F7FF5">
        <w:rPr>
          <w:color w:val="000000" w:themeColor="text1"/>
        </w:rPr>
        <w:t>field specific correction factor</w:t>
      </w:r>
      <w:r w:rsidR="00BD1072" w:rsidRPr="007F7FF5">
        <w:rPr>
          <w:color w:val="000000" w:themeColor="text1"/>
        </w:rPr>
        <w:t xml:space="preserve">: </w:t>
      </w:r>
      <w:proofErr w:type="spellStart"/>
      <w:r w:rsidR="00377DA9" w:rsidRPr="007F7FF5">
        <w:rPr>
          <w:i/>
          <w:color w:val="000000" w:themeColor="text1"/>
        </w:rPr>
        <w:t>N</w:t>
      </w:r>
      <w:r w:rsidR="00377DA9" w:rsidRPr="007F7FF5">
        <w:rPr>
          <w:i/>
          <w:color w:val="000000" w:themeColor="text1"/>
          <w:vertAlign w:val="subscript"/>
        </w:rPr>
        <w:t>n</w:t>
      </w:r>
      <w:proofErr w:type="spellEnd"/>
      <w:r w:rsidR="00377DA9" w:rsidRPr="007F7FF5">
        <w:rPr>
          <w:i/>
          <w:color w:val="000000" w:themeColor="text1"/>
        </w:rPr>
        <w:t>(X)</w:t>
      </w:r>
      <w:r w:rsidR="009859EC" w:rsidRPr="007F7FF5">
        <w:rPr>
          <w:color w:val="000000" w:themeColor="text1"/>
        </w:rPr>
        <w:t xml:space="preserve"> = 1.</w:t>
      </w:r>
      <w:r w:rsidR="00377DA9" w:rsidRPr="007F7FF5">
        <w:rPr>
          <w:color w:val="000000" w:themeColor="text1"/>
        </w:rPr>
        <w:t>07</w:t>
      </w:r>
      <w:r w:rsidR="009859EC" w:rsidRPr="007F7FF5">
        <w:rPr>
          <w:color w:val="000000" w:themeColor="text1"/>
        </w:rPr>
        <w:t xml:space="preserve"> </w:t>
      </w:r>
      <w:r w:rsidR="009859EC" w:rsidRPr="007F7FF5">
        <w:rPr>
          <w:rFonts w:cs="Times"/>
          <w:color w:val="000000" w:themeColor="text1"/>
        </w:rPr>
        <w:t>±</w:t>
      </w:r>
      <w:r w:rsidR="009859EC" w:rsidRPr="007F7FF5">
        <w:rPr>
          <w:color w:val="000000" w:themeColor="text1"/>
        </w:rPr>
        <w:t xml:space="preserve"> 0.03 (arithmetic mean </w:t>
      </w:r>
      <w:r w:rsidR="009859EC" w:rsidRPr="007F7FF5">
        <w:rPr>
          <w:rFonts w:cs="Times"/>
          <w:color w:val="000000" w:themeColor="text1"/>
        </w:rPr>
        <w:t xml:space="preserve">± </w:t>
      </w:r>
      <w:r w:rsidR="009859EC" w:rsidRPr="007F7FF5">
        <w:rPr>
          <w:color w:val="000000" w:themeColor="text1"/>
        </w:rPr>
        <w:t>standard deviation)</w:t>
      </w:r>
      <w:r w:rsidR="00BD1072" w:rsidRPr="007F7FF5">
        <w:rPr>
          <w:color w:val="000000" w:themeColor="text1"/>
        </w:rPr>
        <w:t xml:space="preserve">, with </w:t>
      </w:r>
      <w:r w:rsidR="00BD1072" w:rsidRPr="007F7FF5">
        <w:rPr>
          <w:i/>
          <w:color w:val="000000" w:themeColor="text1"/>
        </w:rPr>
        <w:t>X</w:t>
      </w:r>
      <w:r w:rsidR="00BD1072" w:rsidRPr="007F7FF5">
        <w:rPr>
          <w:color w:val="000000" w:themeColor="text1"/>
        </w:rPr>
        <w:t xml:space="preserve"> = 0.35 </w:t>
      </w:r>
      <w:r w:rsidR="00BD1072" w:rsidRPr="007F7FF5">
        <w:rPr>
          <w:rFonts w:cs="Times"/>
          <w:color w:val="000000" w:themeColor="text1"/>
        </w:rPr>
        <w:t xml:space="preserve">± </w:t>
      </w:r>
      <w:r w:rsidR="00BD1072" w:rsidRPr="007F7FF5">
        <w:rPr>
          <w:color w:val="000000" w:themeColor="text1"/>
        </w:rPr>
        <w:t>0.02</w:t>
      </w:r>
      <w:r w:rsidRPr="007F7FF5">
        <w:rPr>
          <w:color w:val="000000" w:themeColor="text1"/>
        </w:rPr>
        <w:t>.</w:t>
      </w:r>
    </w:p>
    <w:p w:rsidR="00377DA9" w:rsidRPr="007F7FF5" w:rsidRDefault="00377DA9" w:rsidP="00AD7B5F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In a second step, a PE ball </w:t>
      </w:r>
      <w:r w:rsidR="001C0FD2" w:rsidRPr="007F7FF5">
        <w:rPr>
          <w:color w:val="000000" w:themeColor="text1"/>
        </w:rPr>
        <w:t xml:space="preserve">equipped </w:t>
      </w:r>
      <w:r w:rsidRPr="007F7FF5">
        <w:rPr>
          <w:color w:val="000000" w:themeColor="text1"/>
        </w:rPr>
        <w:t xml:space="preserve">with 4 albedo </w:t>
      </w:r>
      <w:proofErr w:type="spellStart"/>
      <w:r w:rsidR="00EB5933" w:rsidRPr="007F7FF5">
        <w:rPr>
          <w:color w:val="000000" w:themeColor="text1"/>
        </w:rPr>
        <w:t>dosemeter</w:t>
      </w:r>
      <w:r w:rsidRPr="007F7FF5">
        <w:rPr>
          <w:color w:val="000000" w:themeColor="text1"/>
        </w:rPr>
        <w:t>s</w:t>
      </w:r>
      <w:proofErr w:type="spellEnd"/>
      <w:r w:rsidRPr="007F7FF5">
        <w:rPr>
          <w:color w:val="000000" w:themeColor="text1"/>
        </w:rPr>
        <w:t xml:space="preserve"> was located</w:t>
      </w:r>
      <w:r w:rsidR="00642D2A" w:rsidRPr="007F7FF5">
        <w:rPr>
          <w:color w:val="000000" w:themeColor="text1"/>
        </w:rPr>
        <w:t xml:space="preserve"> with its center </w:t>
      </w:r>
      <w:r w:rsidRPr="007F7FF5">
        <w:rPr>
          <w:color w:val="000000" w:themeColor="text1"/>
        </w:rPr>
        <w:t xml:space="preserve">in a distance of 185 cm from the source, so that the </w:t>
      </w:r>
      <w:r w:rsidR="001C0FD2" w:rsidRPr="007F7FF5">
        <w:rPr>
          <w:color w:val="000000" w:themeColor="text1"/>
        </w:rPr>
        <w:t xml:space="preserve">position of the </w:t>
      </w:r>
      <w:r w:rsidRPr="007F7FF5">
        <w:rPr>
          <w:color w:val="000000" w:themeColor="text1"/>
        </w:rPr>
        <w:t xml:space="preserve">albedo </w:t>
      </w:r>
      <w:proofErr w:type="spellStart"/>
      <w:r w:rsidR="00EB5933" w:rsidRPr="007F7FF5">
        <w:rPr>
          <w:color w:val="000000" w:themeColor="text1"/>
        </w:rPr>
        <w:t>dosemeter</w:t>
      </w:r>
      <w:proofErr w:type="spellEnd"/>
      <w:r w:rsidRPr="007F7FF5">
        <w:rPr>
          <w:color w:val="000000" w:themeColor="text1"/>
        </w:rPr>
        <w:t xml:space="preserve"> at the front </w:t>
      </w:r>
      <w:r w:rsidR="009C4439" w:rsidRPr="007F7FF5">
        <w:rPr>
          <w:color w:val="000000" w:themeColor="text1"/>
        </w:rPr>
        <w:t>side of the sphere wa</w:t>
      </w:r>
      <w:r w:rsidR="001C0FD2" w:rsidRPr="007F7FF5">
        <w:rPr>
          <w:color w:val="000000" w:themeColor="text1"/>
        </w:rPr>
        <w:t xml:space="preserve">s the same as in the measurement with the </w:t>
      </w:r>
      <w:r w:rsidR="00AE5DA2" w:rsidRPr="007F7FF5">
        <w:rPr>
          <w:color w:val="000000" w:themeColor="text1"/>
        </w:rPr>
        <w:t xml:space="preserve">cuboid </w:t>
      </w:r>
      <w:r w:rsidR="00642D2A" w:rsidRPr="007F7FF5">
        <w:rPr>
          <w:color w:val="000000" w:themeColor="text1"/>
        </w:rPr>
        <w:t xml:space="preserve">phantom.  For the </w:t>
      </w:r>
      <w:r w:rsidR="001C0FD2" w:rsidRPr="007F7FF5">
        <w:rPr>
          <w:color w:val="000000" w:themeColor="text1"/>
        </w:rPr>
        <w:t>albedo</w:t>
      </w:r>
      <w:r w:rsidR="00642D2A" w:rsidRPr="007F7FF5">
        <w:rPr>
          <w:color w:val="000000" w:themeColor="text1"/>
        </w:rPr>
        <w:t xml:space="preserve"> </w:t>
      </w:r>
      <w:proofErr w:type="spellStart"/>
      <w:r w:rsidR="00EB5933" w:rsidRPr="007F7FF5">
        <w:rPr>
          <w:color w:val="000000" w:themeColor="text1"/>
        </w:rPr>
        <w:t>dosemeter</w:t>
      </w:r>
      <w:proofErr w:type="spellEnd"/>
      <w:r w:rsidR="00642D2A" w:rsidRPr="007F7FF5">
        <w:rPr>
          <w:color w:val="000000" w:themeColor="text1"/>
        </w:rPr>
        <w:t xml:space="preserve"> at the front side,</w:t>
      </w:r>
      <w:r w:rsidR="001C0FD2" w:rsidRPr="007F7FF5">
        <w:rPr>
          <w:color w:val="000000" w:themeColor="text1"/>
        </w:rPr>
        <w:t xml:space="preserve"> </w:t>
      </w:r>
      <w:r w:rsidR="00BD1072" w:rsidRPr="007F7FF5">
        <w:rPr>
          <w:color w:val="000000" w:themeColor="text1"/>
        </w:rPr>
        <w:t xml:space="preserve">a </w:t>
      </w:r>
      <w:r w:rsidR="00AE0C01" w:rsidRPr="007F7FF5">
        <w:rPr>
          <w:color w:val="000000" w:themeColor="text1"/>
        </w:rPr>
        <w:t xml:space="preserve">correction factor </w:t>
      </w:r>
      <w:proofErr w:type="spellStart"/>
      <w:r w:rsidR="00BD1072" w:rsidRPr="007F7FF5">
        <w:rPr>
          <w:i/>
          <w:color w:val="000000" w:themeColor="text1"/>
        </w:rPr>
        <w:t>N</w:t>
      </w:r>
      <w:r w:rsidR="00BD1072" w:rsidRPr="007F7FF5">
        <w:rPr>
          <w:i/>
          <w:color w:val="000000" w:themeColor="text1"/>
          <w:vertAlign w:val="subscript"/>
        </w:rPr>
        <w:t>n</w:t>
      </w:r>
      <w:proofErr w:type="spellEnd"/>
      <w:r w:rsidR="00BD1072" w:rsidRPr="007F7FF5">
        <w:rPr>
          <w:i/>
          <w:color w:val="000000" w:themeColor="text1"/>
        </w:rPr>
        <w:t>(X)</w:t>
      </w:r>
      <w:r w:rsidR="00BD1072" w:rsidRPr="007F7FF5">
        <w:rPr>
          <w:color w:val="000000" w:themeColor="text1"/>
        </w:rPr>
        <w:t xml:space="preserve"> </w:t>
      </w:r>
      <w:r w:rsidR="00154CE5" w:rsidRPr="007F7FF5">
        <w:rPr>
          <w:color w:val="000000" w:themeColor="text1"/>
        </w:rPr>
        <w:t>=</w:t>
      </w:r>
      <w:r w:rsidR="00BD1072" w:rsidRPr="007F7FF5">
        <w:rPr>
          <w:color w:val="000000" w:themeColor="text1"/>
        </w:rPr>
        <w:t xml:space="preserve"> </w:t>
      </w:r>
      <w:r w:rsidR="00600962" w:rsidRPr="007F7FF5">
        <w:rPr>
          <w:color w:val="000000" w:themeColor="text1"/>
        </w:rPr>
        <w:t>1.</w:t>
      </w:r>
      <w:r w:rsidR="001C0FD2" w:rsidRPr="007F7FF5">
        <w:rPr>
          <w:color w:val="000000" w:themeColor="text1"/>
        </w:rPr>
        <w:t>18</w:t>
      </w:r>
      <w:r w:rsidR="00BD1072" w:rsidRPr="007F7FF5">
        <w:rPr>
          <w:color w:val="000000" w:themeColor="text1"/>
        </w:rPr>
        <w:t xml:space="preserve"> was determined by using the refe</w:t>
      </w:r>
      <w:r w:rsidR="00BD1072" w:rsidRPr="007F7FF5">
        <w:rPr>
          <w:color w:val="000000" w:themeColor="text1"/>
        </w:rPr>
        <w:t>r</w:t>
      </w:r>
      <w:r w:rsidR="00BD1072" w:rsidRPr="007F7FF5">
        <w:rPr>
          <w:color w:val="000000" w:themeColor="text1"/>
        </w:rPr>
        <w:t xml:space="preserve">ence value of </w:t>
      </w:r>
      <w:proofErr w:type="spellStart"/>
      <w:proofErr w:type="gramStart"/>
      <w:r w:rsidR="00BD1072" w:rsidRPr="007F7FF5">
        <w:rPr>
          <w:i/>
          <w:color w:val="000000" w:themeColor="text1"/>
        </w:rPr>
        <w:t>H</w:t>
      </w:r>
      <w:r w:rsidR="00BD1072" w:rsidRPr="007F7FF5">
        <w:rPr>
          <w:i/>
          <w:color w:val="000000" w:themeColor="text1"/>
          <w:vertAlign w:val="subscript"/>
        </w:rPr>
        <w:t>p</w:t>
      </w:r>
      <w:proofErr w:type="spellEnd"/>
      <w:r w:rsidR="00BD1072" w:rsidRPr="007F7FF5">
        <w:rPr>
          <w:color w:val="000000" w:themeColor="text1"/>
        </w:rPr>
        <w:t>(</w:t>
      </w:r>
      <w:proofErr w:type="gramEnd"/>
      <w:r w:rsidR="00BD1072" w:rsidRPr="007F7FF5">
        <w:rPr>
          <w:color w:val="000000" w:themeColor="text1"/>
        </w:rPr>
        <w:t>10)</w:t>
      </w:r>
      <w:r w:rsidR="001C0FD2" w:rsidRPr="007F7FF5">
        <w:rPr>
          <w:color w:val="000000" w:themeColor="text1"/>
        </w:rPr>
        <w:t>. By using the field calibration method the following parameters were determined</w:t>
      </w:r>
      <w:r w:rsidR="00AC192E" w:rsidRPr="007F7FF5">
        <w:rPr>
          <w:color w:val="000000" w:themeColor="text1"/>
        </w:rPr>
        <w:t xml:space="preserve"> (see Table 3)</w:t>
      </w:r>
      <w:r w:rsidR="001C0FD2" w:rsidRPr="007F7FF5">
        <w:rPr>
          <w:color w:val="000000" w:themeColor="text1"/>
        </w:rPr>
        <w:t xml:space="preserve">: </w:t>
      </w:r>
      <w:r w:rsidR="00BD1072" w:rsidRPr="007F7FF5">
        <w:rPr>
          <w:color w:val="000000" w:themeColor="text1"/>
        </w:rPr>
        <w:t xml:space="preserve"> </w:t>
      </w:r>
      <w:proofErr w:type="spellStart"/>
      <w:r w:rsidR="001C0FD2" w:rsidRPr="007F7FF5">
        <w:rPr>
          <w:i/>
          <w:color w:val="000000" w:themeColor="text1"/>
        </w:rPr>
        <w:t>X</w:t>
      </w:r>
      <w:r w:rsidR="001C0FD2" w:rsidRPr="007F7FF5">
        <w:rPr>
          <w:i/>
          <w:color w:val="000000" w:themeColor="text1"/>
          <w:vertAlign w:val="subscript"/>
        </w:rPr>
        <w:t>sum</w:t>
      </w:r>
      <w:proofErr w:type="spellEnd"/>
      <w:r w:rsidR="00642D2A" w:rsidRPr="007F7FF5">
        <w:rPr>
          <w:color w:val="000000" w:themeColor="text1"/>
        </w:rPr>
        <w:t xml:space="preserve"> = 0.</w:t>
      </w:r>
      <w:r w:rsidR="001C0FD2" w:rsidRPr="007F7FF5">
        <w:rPr>
          <w:color w:val="000000" w:themeColor="text1"/>
        </w:rPr>
        <w:t>5</w:t>
      </w:r>
      <w:r w:rsidR="00E4458C" w:rsidRPr="007F7FF5">
        <w:rPr>
          <w:color w:val="000000" w:themeColor="text1"/>
        </w:rPr>
        <w:t>2</w:t>
      </w:r>
      <w:r w:rsidR="001C0FD2" w:rsidRPr="007F7FF5">
        <w:rPr>
          <w:color w:val="000000" w:themeColor="text1"/>
        </w:rPr>
        <w:t xml:space="preserve"> and </w:t>
      </w:r>
      <w:proofErr w:type="spellStart"/>
      <w:r w:rsidR="001C0FD2" w:rsidRPr="007F7FF5">
        <w:rPr>
          <w:i/>
          <w:color w:val="000000" w:themeColor="text1"/>
        </w:rPr>
        <w:t>N</w:t>
      </w:r>
      <w:r w:rsidR="001C0FD2" w:rsidRPr="007F7FF5">
        <w:rPr>
          <w:i/>
          <w:color w:val="000000" w:themeColor="text1"/>
          <w:vertAlign w:val="subscript"/>
        </w:rPr>
        <w:t>n</w:t>
      </w:r>
      <w:proofErr w:type="spellEnd"/>
      <w:r w:rsidR="00642D2A" w:rsidRPr="007F7FF5">
        <w:rPr>
          <w:i/>
          <w:color w:val="000000" w:themeColor="text1"/>
        </w:rPr>
        <w:t>(X)</w:t>
      </w:r>
      <w:r w:rsidR="00642D2A" w:rsidRPr="007F7FF5">
        <w:rPr>
          <w:color w:val="000000" w:themeColor="text1"/>
        </w:rPr>
        <w:t xml:space="preserve"> = 0.</w:t>
      </w:r>
      <w:r w:rsidR="001C0FD2" w:rsidRPr="007F7FF5">
        <w:rPr>
          <w:color w:val="000000" w:themeColor="text1"/>
        </w:rPr>
        <w:t>8</w:t>
      </w:r>
      <w:r w:rsidR="00E4458C" w:rsidRPr="007F7FF5">
        <w:rPr>
          <w:color w:val="000000" w:themeColor="text1"/>
        </w:rPr>
        <w:t>7</w:t>
      </w:r>
      <w:r w:rsidR="001C0FD2" w:rsidRPr="007F7FF5">
        <w:rPr>
          <w:color w:val="000000" w:themeColor="text1"/>
        </w:rPr>
        <w:t xml:space="preserve"> (</w:t>
      </w:r>
      <w:r w:rsidR="00BD1072" w:rsidRPr="007F7FF5">
        <w:rPr>
          <w:color w:val="000000" w:themeColor="text1"/>
        </w:rPr>
        <w:t xml:space="preserve">albedo </w:t>
      </w:r>
      <w:proofErr w:type="spellStart"/>
      <w:r w:rsidR="00EB5933" w:rsidRPr="007F7FF5">
        <w:rPr>
          <w:color w:val="000000" w:themeColor="text1"/>
        </w:rPr>
        <w:t>dos</w:t>
      </w:r>
      <w:r w:rsidR="00EB5933" w:rsidRPr="007F7FF5">
        <w:rPr>
          <w:color w:val="000000" w:themeColor="text1"/>
        </w:rPr>
        <w:t>e</w:t>
      </w:r>
      <w:r w:rsidR="00EB5933" w:rsidRPr="007F7FF5">
        <w:rPr>
          <w:color w:val="000000" w:themeColor="text1"/>
        </w:rPr>
        <w:t>meter</w:t>
      </w:r>
      <w:r w:rsidR="00BD1072" w:rsidRPr="007F7FF5">
        <w:rPr>
          <w:color w:val="000000" w:themeColor="text1"/>
        </w:rPr>
        <w:t>s</w:t>
      </w:r>
      <w:proofErr w:type="spellEnd"/>
      <w:r w:rsidR="00BD1072" w:rsidRPr="007F7FF5">
        <w:rPr>
          <w:color w:val="000000" w:themeColor="text1"/>
        </w:rPr>
        <w:t xml:space="preserve"> at the </w:t>
      </w:r>
      <w:r w:rsidR="001C0FD2" w:rsidRPr="007F7FF5">
        <w:rPr>
          <w:color w:val="000000" w:themeColor="text1"/>
        </w:rPr>
        <w:t xml:space="preserve">front and back positions) and </w:t>
      </w:r>
      <w:proofErr w:type="spellStart"/>
      <w:r w:rsidR="001C0FD2" w:rsidRPr="007F7FF5">
        <w:rPr>
          <w:i/>
          <w:color w:val="000000" w:themeColor="text1"/>
        </w:rPr>
        <w:t>X</w:t>
      </w:r>
      <w:r w:rsidR="001C0FD2" w:rsidRPr="007F7FF5">
        <w:rPr>
          <w:i/>
          <w:color w:val="000000" w:themeColor="text1"/>
          <w:vertAlign w:val="subscript"/>
        </w:rPr>
        <w:t>sum</w:t>
      </w:r>
      <w:proofErr w:type="spellEnd"/>
      <w:r w:rsidR="001C0FD2" w:rsidRPr="007F7FF5">
        <w:rPr>
          <w:color w:val="000000" w:themeColor="text1"/>
        </w:rPr>
        <w:t xml:space="preserve"> = 0</w:t>
      </w:r>
      <w:r w:rsidR="00642D2A" w:rsidRPr="007F7FF5">
        <w:rPr>
          <w:color w:val="000000" w:themeColor="text1"/>
        </w:rPr>
        <w:t>.</w:t>
      </w:r>
      <w:r w:rsidR="00E4458C" w:rsidRPr="007F7FF5">
        <w:rPr>
          <w:color w:val="000000" w:themeColor="text1"/>
        </w:rPr>
        <w:t>59</w:t>
      </w:r>
      <w:r w:rsidR="001C0FD2" w:rsidRPr="007F7FF5">
        <w:rPr>
          <w:color w:val="000000" w:themeColor="text1"/>
        </w:rPr>
        <w:t xml:space="preserve"> and </w:t>
      </w:r>
      <w:proofErr w:type="spellStart"/>
      <w:r w:rsidR="001C0FD2" w:rsidRPr="007F7FF5">
        <w:rPr>
          <w:i/>
          <w:color w:val="000000" w:themeColor="text1"/>
        </w:rPr>
        <w:t>N</w:t>
      </w:r>
      <w:r w:rsidR="001C0FD2" w:rsidRPr="007F7FF5">
        <w:rPr>
          <w:i/>
          <w:color w:val="000000" w:themeColor="text1"/>
          <w:vertAlign w:val="subscript"/>
        </w:rPr>
        <w:t>n</w:t>
      </w:r>
      <w:proofErr w:type="spellEnd"/>
      <w:r w:rsidR="001C0FD2" w:rsidRPr="007F7FF5">
        <w:rPr>
          <w:i/>
          <w:color w:val="000000" w:themeColor="text1"/>
        </w:rPr>
        <w:t>(X) =</w:t>
      </w:r>
      <w:r w:rsidR="00642D2A" w:rsidRPr="007F7FF5">
        <w:rPr>
          <w:color w:val="000000" w:themeColor="text1"/>
        </w:rPr>
        <w:t xml:space="preserve"> 1.</w:t>
      </w:r>
      <w:r w:rsidR="001C0FD2" w:rsidRPr="007F7FF5">
        <w:rPr>
          <w:color w:val="000000" w:themeColor="text1"/>
        </w:rPr>
        <w:t>12 (side positions)</w:t>
      </w:r>
      <w:r w:rsidR="00BD1072" w:rsidRPr="007F7FF5">
        <w:rPr>
          <w:color w:val="000000" w:themeColor="text1"/>
        </w:rPr>
        <w:t xml:space="preserve">. </w:t>
      </w:r>
      <w:proofErr w:type="gramStart"/>
      <w:r w:rsidR="00BD1072" w:rsidRPr="007F7FF5">
        <w:rPr>
          <w:color w:val="000000" w:themeColor="text1"/>
        </w:rPr>
        <w:t xml:space="preserve">The PTB reference value of </w:t>
      </w:r>
      <w:r w:rsidR="00BD1072" w:rsidRPr="007F7FF5">
        <w:rPr>
          <w:i/>
          <w:color w:val="000000" w:themeColor="text1"/>
        </w:rPr>
        <w:t>H*(10)</w:t>
      </w:r>
      <w:r w:rsidR="00BD1072" w:rsidRPr="007F7FF5">
        <w:rPr>
          <w:color w:val="000000" w:themeColor="text1"/>
        </w:rPr>
        <w:t xml:space="preserve"> for this measurement </w:t>
      </w:r>
      <w:r w:rsidR="00600962" w:rsidRPr="007F7FF5">
        <w:rPr>
          <w:color w:val="000000" w:themeColor="text1"/>
        </w:rPr>
        <w:t>is 6.</w:t>
      </w:r>
      <w:r w:rsidR="00195205" w:rsidRPr="007F7FF5">
        <w:rPr>
          <w:color w:val="000000" w:themeColor="text1"/>
        </w:rPr>
        <w:t xml:space="preserve">00 </w:t>
      </w:r>
      <w:proofErr w:type="spellStart"/>
      <w:r w:rsidR="00195205" w:rsidRPr="007F7FF5">
        <w:rPr>
          <w:color w:val="000000" w:themeColor="text1"/>
        </w:rPr>
        <w:t>mSv</w:t>
      </w:r>
      <w:proofErr w:type="spellEnd"/>
      <w:r w:rsidR="00195205" w:rsidRPr="007F7FF5">
        <w:rPr>
          <w:color w:val="000000" w:themeColor="text1"/>
        </w:rPr>
        <w:t xml:space="preserve">, </w:t>
      </w:r>
      <w:r w:rsidR="00BD1072" w:rsidRPr="007F7FF5">
        <w:rPr>
          <w:color w:val="000000" w:themeColor="text1"/>
        </w:rPr>
        <w:t>and the dose</w:t>
      </w:r>
      <w:r w:rsidR="00195205" w:rsidRPr="007F7FF5">
        <w:rPr>
          <w:color w:val="000000" w:themeColor="text1"/>
        </w:rPr>
        <w:t xml:space="preserve"> measured with the ball amounts </w:t>
      </w:r>
      <w:r w:rsidR="00642D2A" w:rsidRPr="007F7FF5">
        <w:rPr>
          <w:color w:val="000000" w:themeColor="text1"/>
        </w:rPr>
        <w:t>6.</w:t>
      </w:r>
      <w:r w:rsidR="00600962" w:rsidRPr="007F7FF5">
        <w:rPr>
          <w:color w:val="000000" w:themeColor="text1"/>
        </w:rPr>
        <w:t>1</w:t>
      </w:r>
      <w:r w:rsidR="00E4458C" w:rsidRPr="007F7FF5">
        <w:rPr>
          <w:color w:val="000000" w:themeColor="text1"/>
        </w:rPr>
        <w:t>6</w:t>
      </w:r>
      <w:r w:rsidR="00600962" w:rsidRPr="007F7FF5">
        <w:rPr>
          <w:color w:val="000000" w:themeColor="text1"/>
        </w:rPr>
        <w:t xml:space="preserve"> </w:t>
      </w:r>
      <w:proofErr w:type="spellStart"/>
      <w:r w:rsidR="00BD1072" w:rsidRPr="007F7FF5">
        <w:rPr>
          <w:color w:val="000000" w:themeColor="text1"/>
        </w:rPr>
        <w:t>mSv</w:t>
      </w:r>
      <w:proofErr w:type="spellEnd"/>
      <w:r w:rsidR="00BD1072" w:rsidRPr="007F7FF5">
        <w:rPr>
          <w:color w:val="000000" w:themeColor="text1"/>
        </w:rPr>
        <w:t>.</w:t>
      </w:r>
      <w:proofErr w:type="gramEnd"/>
      <w:r w:rsidR="00BD1072" w:rsidRPr="007F7FF5">
        <w:rPr>
          <w:color w:val="000000" w:themeColor="text1"/>
        </w:rPr>
        <w:t xml:space="preserve"> </w:t>
      </w:r>
      <w:r w:rsidR="009C4439" w:rsidRPr="007F7FF5">
        <w:rPr>
          <w:color w:val="000000" w:themeColor="text1"/>
        </w:rPr>
        <w:t xml:space="preserve">The agreement between the field specific correction factors calculated with the exact value of </w:t>
      </w:r>
      <w:proofErr w:type="spellStart"/>
      <w:proofErr w:type="gramStart"/>
      <w:r w:rsidR="009C4439" w:rsidRPr="007F7FF5">
        <w:rPr>
          <w:i/>
          <w:color w:val="000000" w:themeColor="text1"/>
        </w:rPr>
        <w:t>H</w:t>
      </w:r>
      <w:r w:rsidR="009C4439" w:rsidRPr="007F7FF5">
        <w:rPr>
          <w:color w:val="000000" w:themeColor="text1"/>
          <w:vertAlign w:val="subscript"/>
        </w:rPr>
        <w:t>p</w:t>
      </w:r>
      <w:proofErr w:type="spellEnd"/>
      <w:r w:rsidR="009C4439" w:rsidRPr="007F7FF5">
        <w:rPr>
          <w:color w:val="000000" w:themeColor="text1"/>
        </w:rPr>
        <w:t>(</w:t>
      </w:r>
      <w:proofErr w:type="gramEnd"/>
      <w:r w:rsidR="009C4439" w:rsidRPr="007F7FF5">
        <w:rPr>
          <w:color w:val="000000" w:themeColor="text1"/>
        </w:rPr>
        <w:t xml:space="preserve">10) and the factors determined with single sphere method is within 20%. This </w:t>
      </w:r>
      <w:r w:rsidR="00AE0C01" w:rsidRPr="007F7FF5">
        <w:rPr>
          <w:color w:val="000000" w:themeColor="text1"/>
        </w:rPr>
        <w:t xml:space="preserve">test </w:t>
      </w:r>
      <w:r w:rsidR="009C4439" w:rsidRPr="007F7FF5">
        <w:rPr>
          <w:color w:val="000000" w:themeColor="text1"/>
        </w:rPr>
        <w:t xml:space="preserve">has </w:t>
      </w:r>
      <w:proofErr w:type="gramStart"/>
      <w:r w:rsidR="009C4439" w:rsidRPr="007F7FF5">
        <w:rPr>
          <w:color w:val="000000" w:themeColor="text1"/>
        </w:rPr>
        <w:t>shown,</w:t>
      </w:r>
      <w:proofErr w:type="gramEnd"/>
      <w:r w:rsidR="009C4439" w:rsidRPr="007F7FF5">
        <w:rPr>
          <w:color w:val="000000" w:themeColor="text1"/>
        </w:rPr>
        <w:t xml:space="preserve"> that the single sphere method works properly. </w:t>
      </w:r>
    </w:p>
    <w:p w:rsidR="00CA100A" w:rsidRPr="007F7FF5" w:rsidRDefault="009C4439" w:rsidP="00AD7B5F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>The field specific correction factor</w:t>
      </w:r>
      <w:r w:rsidR="009A4AD7" w:rsidRPr="007F7FF5">
        <w:rPr>
          <w:color w:val="000000" w:themeColor="text1"/>
        </w:rPr>
        <w:t>s</w:t>
      </w:r>
      <w:r w:rsidRPr="007F7FF5">
        <w:rPr>
          <w:color w:val="000000" w:themeColor="text1"/>
        </w:rPr>
        <w:t xml:space="preserve"> </w:t>
      </w:r>
      <w:proofErr w:type="spellStart"/>
      <w:r w:rsidRPr="007F7FF5">
        <w:rPr>
          <w:i/>
          <w:color w:val="000000" w:themeColor="text1"/>
        </w:rPr>
        <w:t>N</w:t>
      </w:r>
      <w:r w:rsidRPr="007F7FF5">
        <w:rPr>
          <w:i/>
          <w:color w:val="000000" w:themeColor="text1"/>
          <w:vertAlign w:val="subscript"/>
        </w:rPr>
        <w:t>n</w:t>
      </w:r>
      <w:proofErr w:type="spellEnd"/>
      <w:r w:rsidRPr="007F7FF5">
        <w:rPr>
          <w:i/>
          <w:color w:val="000000" w:themeColor="text1"/>
        </w:rPr>
        <w:t>(X)</w:t>
      </w:r>
      <w:r w:rsidRPr="007F7FF5">
        <w:rPr>
          <w:color w:val="000000" w:themeColor="text1"/>
        </w:rPr>
        <w:t xml:space="preserve"> in the ne</w:t>
      </w:r>
      <w:r w:rsidRPr="007F7FF5">
        <w:rPr>
          <w:color w:val="000000" w:themeColor="text1"/>
        </w:rPr>
        <w:t>u</w:t>
      </w:r>
      <w:r w:rsidRPr="007F7FF5">
        <w:rPr>
          <w:color w:val="000000" w:themeColor="text1"/>
        </w:rPr>
        <w:t>tron field</w:t>
      </w:r>
      <w:r w:rsidR="00AC192E" w:rsidRPr="007F7FF5">
        <w:rPr>
          <w:color w:val="000000" w:themeColor="text1"/>
        </w:rPr>
        <w:t>s</w:t>
      </w:r>
      <w:r w:rsidRPr="007F7FF5">
        <w:rPr>
          <w:color w:val="000000" w:themeColor="text1"/>
        </w:rPr>
        <w:t xml:space="preserve"> of a bare </w:t>
      </w:r>
      <w:r w:rsidRPr="007F7FF5">
        <w:rPr>
          <w:color w:val="000000" w:themeColor="text1"/>
          <w:vertAlign w:val="superscript"/>
        </w:rPr>
        <w:t>252</w:t>
      </w:r>
      <w:r w:rsidRPr="007F7FF5">
        <w:rPr>
          <w:color w:val="000000" w:themeColor="text1"/>
        </w:rPr>
        <w:t>Cf</w:t>
      </w:r>
      <w:r w:rsidR="009A4AD7" w:rsidRPr="007F7FF5">
        <w:rPr>
          <w:color w:val="000000" w:themeColor="text1"/>
        </w:rPr>
        <w:t xml:space="preserve"> source</w:t>
      </w:r>
      <w:r w:rsidRPr="007F7FF5">
        <w:rPr>
          <w:color w:val="000000" w:themeColor="text1"/>
        </w:rPr>
        <w:t xml:space="preserve"> </w:t>
      </w:r>
      <w:r w:rsidR="009A4AD7" w:rsidRPr="007F7FF5">
        <w:rPr>
          <w:color w:val="000000" w:themeColor="text1"/>
        </w:rPr>
        <w:t xml:space="preserve">and at CERF are comparable. </w:t>
      </w:r>
    </w:p>
    <w:p w:rsidR="0006496B" w:rsidRPr="007F7FF5" w:rsidRDefault="0006496B" w:rsidP="00AD7B5F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>It should be noted here</w:t>
      </w:r>
      <w:r w:rsidR="00CA100A" w:rsidRPr="007F7FF5">
        <w:rPr>
          <w:color w:val="000000" w:themeColor="text1"/>
        </w:rPr>
        <w:t>,</w:t>
      </w:r>
      <w:r w:rsidRPr="007F7FF5">
        <w:rPr>
          <w:color w:val="000000" w:themeColor="text1"/>
        </w:rPr>
        <w:t xml:space="preserve"> that the </w:t>
      </w:r>
      <w:proofErr w:type="spellStart"/>
      <w:r w:rsidRPr="007F7FF5">
        <w:rPr>
          <w:color w:val="000000" w:themeColor="text1"/>
        </w:rPr>
        <w:t>fluence</w:t>
      </w:r>
      <w:proofErr w:type="spellEnd"/>
      <w:r w:rsidRPr="007F7FF5">
        <w:rPr>
          <w:color w:val="000000" w:themeColor="text1"/>
        </w:rPr>
        <w:t xml:space="preserve"> to dose </w:t>
      </w:r>
      <w:r w:rsidR="00BC3DBC" w:rsidRPr="007F7FF5">
        <w:rPr>
          <w:color w:val="000000" w:themeColor="text1"/>
        </w:rPr>
        <w:t>coeff</w:t>
      </w:r>
      <w:r w:rsidR="00BC3DBC" w:rsidRPr="007F7FF5">
        <w:rPr>
          <w:color w:val="000000" w:themeColor="text1"/>
        </w:rPr>
        <w:t>i</w:t>
      </w:r>
      <w:r w:rsidR="00BC3DBC" w:rsidRPr="007F7FF5">
        <w:rPr>
          <w:color w:val="000000" w:themeColor="text1"/>
        </w:rPr>
        <w:t xml:space="preserve">cients for </w:t>
      </w:r>
      <w:r w:rsidR="000275AA" w:rsidRPr="007F7FF5">
        <w:rPr>
          <w:color w:val="000000" w:themeColor="text1"/>
        </w:rPr>
        <w:t>high-energy</w:t>
      </w:r>
      <w:r w:rsidR="00BC3DBC" w:rsidRPr="007F7FF5">
        <w:rPr>
          <w:color w:val="000000" w:themeColor="text1"/>
        </w:rPr>
        <w:t xml:space="preserve"> neutrons vary only within a factor 2 in the energy region from 1  to 1000 MeV and for 100 MeV neutrons it is even lower than for 1 MeV neutrons</w:t>
      </w:r>
      <w:r w:rsidR="00BC3DBC" w:rsidRPr="007F7FF5">
        <w:rPr>
          <w:color w:val="000000" w:themeColor="text1"/>
          <w:vertAlign w:val="superscript"/>
        </w:rPr>
        <w:t>(</w:t>
      </w:r>
      <w:r w:rsidR="00A15F0E" w:rsidRPr="007F7FF5">
        <w:rPr>
          <w:color w:val="000000" w:themeColor="text1"/>
          <w:vertAlign w:val="superscript"/>
        </w:rPr>
        <w:t>10</w:t>
      </w:r>
      <w:r w:rsidR="00BC3DBC" w:rsidRPr="007F7FF5">
        <w:rPr>
          <w:color w:val="000000" w:themeColor="text1"/>
          <w:vertAlign w:val="superscript"/>
        </w:rPr>
        <w:t>)</w:t>
      </w:r>
      <w:r w:rsidR="00BC3DBC" w:rsidRPr="007F7FF5">
        <w:rPr>
          <w:color w:val="000000" w:themeColor="text1"/>
        </w:rPr>
        <w:t xml:space="preserve">. The albedo signal depends mainly on neutrons with energies below 100 </w:t>
      </w:r>
      <w:proofErr w:type="spellStart"/>
      <w:r w:rsidR="00BC3DBC" w:rsidRPr="007F7FF5">
        <w:rPr>
          <w:color w:val="000000" w:themeColor="text1"/>
        </w:rPr>
        <w:t>keV</w:t>
      </w:r>
      <w:proofErr w:type="spellEnd"/>
      <w:r w:rsidR="00BC3DBC" w:rsidRPr="007F7FF5">
        <w:rPr>
          <w:color w:val="000000" w:themeColor="text1"/>
        </w:rPr>
        <w:t xml:space="preserve">, and therefore a radionuclide source can be used for the calibration of </w:t>
      </w:r>
      <w:r w:rsidR="00BC3DBC" w:rsidRPr="007F7FF5">
        <w:rPr>
          <w:color w:val="000000" w:themeColor="text1"/>
        </w:rPr>
        <w:lastRenderedPageBreak/>
        <w:t xml:space="preserve">albedo </w:t>
      </w:r>
      <w:proofErr w:type="spellStart"/>
      <w:r w:rsidR="00EB5933" w:rsidRPr="007F7FF5">
        <w:rPr>
          <w:color w:val="000000" w:themeColor="text1"/>
        </w:rPr>
        <w:t>dosemeter</w:t>
      </w:r>
      <w:r w:rsidR="00BC3DBC" w:rsidRPr="007F7FF5">
        <w:rPr>
          <w:color w:val="000000" w:themeColor="text1"/>
        </w:rPr>
        <w:t>s</w:t>
      </w:r>
      <w:proofErr w:type="spellEnd"/>
      <w:r w:rsidR="00BC3DBC" w:rsidRPr="007F7FF5">
        <w:rPr>
          <w:color w:val="000000" w:themeColor="text1"/>
        </w:rPr>
        <w:t xml:space="preserve"> in the </w:t>
      </w:r>
      <w:r w:rsidR="000275AA" w:rsidRPr="007F7FF5">
        <w:rPr>
          <w:color w:val="000000" w:themeColor="text1"/>
        </w:rPr>
        <w:t>high-energy</w:t>
      </w:r>
      <w:r w:rsidR="00BC3DBC" w:rsidRPr="007F7FF5">
        <w:rPr>
          <w:color w:val="000000" w:themeColor="text1"/>
        </w:rPr>
        <w:t xml:space="preserve"> region although neutrons with en</w:t>
      </w:r>
      <w:r w:rsidR="00CA100A" w:rsidRPr="007F7FF5">
        <w:rPr>
          <w:color w:val="000000" w:themeColor="text1"/>
        </w:rPr>
        <w:t>e</w:t>
      </w:r>
      <w:r w:rsidR="00BC3DBC" w:rsidRPr="007F7FF5">
        <w:rPr>
          <w:color w:val="000000" w:themeColor="text1"/>
        </w:rPr>
        <w:t>rgi</w:t>
      </w:r>
      <w:r w:rsidR="00CA100A" w:rsidRPr="007F7FF5">
        <w:rPr>
          <w:color w:val="000000" w:themeColor="text1"/>
        </w:rPr>
        <w:t>e</w:t>
      </w:r>
      <w:r w:rsidR="00BC3DBC" w:rsidRPr="007F7FF5">
        <w:rPr>
          <w:color w:val="000000" w:themeColor="text1"/>
        </w:rPr>
        <w:t xml:space="preserve">s above 10 MeV are missing in the spectrum. </w:t>
      </w:r>
    </w:p>
    <w:p w:rsidR="00A15F0E" w:rsidRPr="007F7FF5" w:rsidRDefault="00A15F0E" w:rsidP="00AD7B5F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Therefore other measurement services can calibrate their albedo </w:t>
      </w:r>
      <w:proofErr w:type="spellStart"/>
      <w:r w:rsidR="00EB5933" w:rsidRPr="007F7FF5">
        <w:rPr>
          <w:color w:val="000000" w:themeColor="text1"/>
        </w:rPr>
        <w:t>dosemeter</w:t>
      </w:r>
      <w:r w:rsidRPr="007F7FF5">
        <w:rPr>
          <w:color w:val="000000" w:themeColor="text1"/>
        </w:rPr>
        <w:t>s</w:t>
      </w:r>
      <w:proofErr w:type="spellEnd"/>
      <w:r w:rsidRPr="007F7FF5">
        <w:rPr>
          <w:color w:val="000000" w:themeColor="text1"/>
        </w:rPr>
        <w:t xml:space="preserve"> with an unmoderated radion</w:t>
      </w:r>
      <w:r w:rsidRPr="007F7FF5">
        <w:rPr>
          <w:color w:val="000000" w:themeColor="text1"/>
        </w:rPr>
        <w:t>u</w:t>
      </w:r>
      <w:r w:rsidRPr="007F7FF5">
        <w:rPr>
          <w:color w:val="000000" w:themeColor="text1"/>
        </w:rPr>
        <w:t xml:space="preserve">clide source, if the personal staff </w:t>
      </w:r>
      <w:r w:rsidR="00195205" w:rsidRPr="007F7FF5">
        <w:rPr>
          <w:color w:val="000000" w:themeColor="text1"/>
        </w:rPr>
        <w:t>of a high-</w:t>
      </w:r>
      <w:r w:rsidRPr="007F7FF5">
        <w:rPr>
          <w:color w:val="000000" w:themeColor="text1"/>
        </w:rPr>
        <w:t xml:space="preserve">energy </w:t>
      </w:r>
      <w:r w:rsidR="00195205" w:rsidRPr="007F7FF5">
        <w:rPr>
          <w:color w:val="000000" w:themeColor="text1"/>
        </w:rPr>
        <w:t xml:space="preserve">particle </w:t>
      </w:r>
      <w:r w:rsidRPr="007F7FF5">
        <w:rPr>
          <w:color w:val="000000" w:themeColor="text1"/>
        </w:rPr>
        <w:t xml:space="preserve">accelerator </w:t>
      </w:r>
      <w:r w:rsidR="00195205" w:rsidRPr="007F7FF5">
        <w:rPr>
          <w:color w:val="000000" w:themeColor="text1"/>
        </w:rPr>
        <w:t>has</w:t>
      </w:r>
      <w:r w:rsidRPr="007F7FF5">
        <w:rPr>
          <w:color w:val="000000" w:themeColor="text1"/>
        </w:rPr>
        <w:t xml:space="preserve"> </w:t>
      </w:r>
      <w:r w:rsidR="00154CE5" w:rsidRPr="007F7FF5">
        <w:rPr>
          <w:color w:val="000000" w:themeColor="text1"/>
        </w:rPr>
        <w:t xml:space="preserve">to </w:t>
      </w:r>
      <w:r w:rsidRPr="007F7FF5">
        <w:rPr>
          <w:color w:val="000000" w:themeColor="text1"/>
        </w:rPr>
        <w:t xml:space="preserve">be monitored. The energy dependence of different albedo </w:t>
      </w:r>
      <w:proofErr w:type="spellStart"/>
      <w:r w:rsidR="00EB5933" w:rsidRPr="007F7FF5">
        <w:rPr>
          <w:color w:val="000000" w:themeColor="text1"/>
        </w:rPr>
        <w:t>dosemeter</w:t>
      </w:r>
      <w:r w:rsidRPr="007F7FF5">
        <w:rPr>
          <w:color w:val="000000" w:themeColor="text1"/>
        </w:rPr>
        <w:t>s</w:t>
      </w:r>
      <w:proofErr w:type="spellEnd"/>
      <w:r w:rsidRPr="007F7FF5">
        <w:rPr>
          <w:color w:val="000000" w:themeColor="text1"/>
        </w:rPr>
        <w:t xml:space="preserve"> based on TL detectors should be similar. </w:t>
      </w:r>
    </w:p>
    <w:p w:rsidR="001626DD" w:rsidRPr="007F7FF5" w:rsidRDefault="00CA100A" w:rsidP="00AD7B5F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>This statement is only valid for the amount of the field correction factor</w:t>
      </w:r>
      <w:r w:rsidR="00A15F0E" w:rsidRPr="007F7FF5">
        <w:rPr>
          <w:color w:val="000000" w:themeColor="text1"/>
        </w:rPr>
        <w:t xml:space="preserve"> </w:t>
      </w:r>
      <w:proofErr w:type="spellStart"/>
      <w:r w:rsidR="00A15F0E" w:rsidRPr="007F7FF5">
        <w:rPr>
          <w:i/>
          <w:color w:val="000000" w:themeColor="text1"/>
        </w:rPr>
        <w:t>N</w:t>
      </w:r>
      <w:r w:rsidR="00A15F0E" w:rsidRPr="007F7FF5">
        <w:rPr>
          <w:i/>
          <w:color w:val="000000" w:themeColor="text1"/>
          <w:vertAlign w:val="subscript"/>
        </w:rPr>
        <w:t>n</w:t>
      </w:r>
      <w:proofErr w:type="spellEnd"/>
      <w:r w:rsidR="00A15F0E" w:rsidRPr="007F7FF5">
        <w:rPr>
          <w:i/>
          <w:color w:val="000000" w:themeColor="text1"/>
        </w:rPr>
        <w:t>(X)</w:t>
      </w:r>
      <w:r w:rsidRPr="007F7FF5">
        <w:rPr>
          <w:color w:val="000000" w:themeColor="text1"/>
        </w:rPr>
        <w:t xml:space="preserve">, but not for its dependence on the ratio </w:t>
      </w:r>
      <w:r w:rsidRPr="007F7FF5">
        <w:rPr>
          <w:i/>
          <w:color w:val="000000" w:themeColor="text1"/>
        </w:rPr>
        <w:t>X</w:t>
      </w:r>
      <w:r w:rsidRPr="007F7FF5">
        <w:rPr>
          <w:color w:val="000000" w:themeColor="text1"/>
        </w:rPr>
        <w:t xml:space="preserve">. The ratio </w:t>
      </w:r>
      <w:r w:rsidRPr="007F7FF5">
        <w:rPr>
          <w:i/>
          <w:color w:val="000000" w:themeColor="text1"/>
        </w:rPr>
        <w:t>X</w:t>
      </w:r>
      <w:r w:rsidRPr="007F7FF5">
        <w:rPr>
          <w:color w:val="000000" w:themeColor="text1"/>
        </w:rPr>
        <w:t xml:space="preserve"> between the field detector and the albedo detector differ substantially between both irradiation conditions. The </w:t>
      </w:r>
      <w:r w:rsidRPr="007F7FF5">
        <w:rPr>
          <w:i/>
          <w:color w:val="000000" w:themeColor="text1"/>
        </w:rPr>
        <w:t>X</w:t>
      </w:r>
      <w:r w:rsidRPr="007F7FF5">
        <w:rPr>
          <w:color w:val="000000" w:themeColor="text1"/>
        </w:rPr>
        <w:t xml:space="preserve"> factor determined at CERF with a value of 1.16 is twice as the </w:t>
      </w:r>
      <w:r w:rsidRPr="007F7FF5">
        <w:rPr>
          <w:i/>
          <w:color w:val="000000" w:themeColor="text1"/>
        </w:rPr>
        <w:t>X</w:t>
      </w:r>
      <w:r w:rsidRPr="007F7FF5">
        <w:rPr>
          <w:color w:val="000000" w:themeColor="text1"/>
        </w:rPr>
        <w:t xml:space="preserve"> factor in the field of a </w:t>
      </w:r>
      <w:r w:rsidRPr="007F7FF5">
        <w:rPr>
          <w:color w:val="000000" w:themeColor="text1"/>
          <w:vertAlign w:val="superscript"/>
        </w:rPr>
        <w:t>252</w:t>
      </w:r>
      <w:r w:rsidRPr="007F7FF5">
        <w:rPr>
          <w:color w:val="000000" w:themeColor="text1"/>
        </w:rPr>
        <w:t xml:space="preserve">Cf source. If </w:t>
      </w:r>
      <w:r w:rsidRPr="007F7FF5">
        <w:rPr>
          <w:i/>
          <w:color w:val="000000" w:themeColor="text1"/>
        </w:rPr>
        <w:t>X</w:t>
      </w:r>
      <w:r w:rsidRPr="007F7FF5">
        <w:rPr>
          <w:color w:val="000000" w:themeColor="text1"/>
        </w:rPr>
        <w:t xml:space="preserve"> is used for the corre</w:t>
      </w:r>
      <w:r w:rsidRPr="007F7FF5">
        <w:rPr>
          <w:color w:val="000000" w:themeColor="text1"/>
        </w:rPr>
        <w:t>c</w:t>
      </w:r>
      <w:r w:rsidRPr="007F7FF5">
        <w:rPr>
          <w:color w:val="000000" w:themeColor="text1"/>
        </w:rPr>
        <w:t xml:space="preserve">tion of </w:t>
      </w:r>
      <w:proofErr w:type="spellStart"/>
      <w:r w:rsidRPr="007F7FF5">
        <w:rPr>
          <w:i/>
          <w:color w:val="000000" w:themeColor="text1"/>
        </w:rPr>
        <w:t>N</w:t>
      </w:r>
      <w:r w:rsidRPr="007F7FF5">
        <w:rPr>
          <w:i/>
          <w:color w:val="000000" w:themeColor="text1"/>
          <w:vertAlign w:val="subscript"/>
        </w:rPr>
        <w:t>n</w:t>
      </w:r>
      <w:proofErr w:type="spellEnd"/>
      <w:r w:rsidRPr="007F7FF5">
        <w:rPr>
          <w:i/>
          <w:color w:val="000000" w:themeColor="text1"/>
        </w:rPr>
        <w:t>(X)</w:t>
      </w:r>
      <w:r w:rsidRPr="007F7FF5">
        <w:rPr>
          <w:color w:val="000000" w:themeColor="text1"/>
        </w:rPr>
        <w:t xml:space="preserve"> and if it decreases with increasing </w:t>
      </w:r>
      <w:r w:rsidRPr="007F7FF5">
        <w:rPr>
          <w:i/>
          <w:color w:val="000000" w:themeColor="text1"/>
        </w:rPr>
        <w:t>X</w:t>
      </w:r>
      <w:r w:rsidRPr="007F7FF5">
        <w:rPr>
          <w:color w:val="000000" w:themeColor="text1"/>
        </w:rPr>
        <w:t xml:space="preserve">, </w:t>
      </w:r>
      <w:r w:rsidR="00195205" w:rsidRPr="007F7FF5">
        <w:rPr>
          <w:color w:val="000000" w:themeColor="text1"/>
        </w:rPr>
        <w:t xml:space="preserve">the correction factor </w:t>
      </w:r>
      <w:r w:rsidRPr="007F7FF5">
        <w:rPr>
          <w:color w:val="000000" w:themeColor="text1"/>
        </w:rPr>
        <w:t xml:space="preserve">will be too low for the fields at </w:t>
      </w:r>
      <w:r w:rsidR="000275AA" w:rsidRPr="007F7FF5">
        <w:rPr>
          <w:color w:val="000000" w:themeColor="text1"/>
        </w:rPr>
        <w:t>high-energy</w:t>
      </w:r>
      <w:r w:rsidR="004138A9" w:rsidRPr="007F7FF5">
        <w:rPr>
          <w:color w:val="000000" w:themeColor="text1"/>
        </w:rPr>
        <w:t xml:space="preserve"> accelerators, if the </w:t>
      </w:r>
      <w:proofErr w:type="spellStart"/>
      <w:r w:rsidR="00EB5933" w:rsidRPr="007F7FF5">
        <w:rPr>
          <w:color w:val="000000" w:themeColor="text1"/>
        </w:rPr>
        <w:t>dosemeter</w:t>
      </w:r>
      <w:proofErr w:type="spellEnd"/>
      <w:r w:rsidR="00A15F0E" w:rsidRPr="007F7FF5">
        <w:rPr>
          <w:color w:val="000000" w:themeColor="text1"/>
        </w:rPr>
        <w:t xml:space="preserve"> </w:t>
      </w:r>
      <w:r w:rsidR="00195205" w:rsidRPr="007F7FF5">
        <w:rPr>
          <w:color w:val="000000" w:themeColor="text1"/>
        </w:rPr>
        <w:t xml:space="preserve">is based on the calibration with </w:t>
      </w:r>
      <w:r w:rsidR="004138A9" w:rsidRPr="007F7FF5">
        <w:rPr>
          <w:color w:val="000000" w:themeColor="text1"/>
        </w:rPr>
        <w:t>a radionuclide source</w:t>
      </w:r>
      <w:r w:rsidR="00195205" w:rsidRPr="007F7FF5">
        <w:rPr>
          <w:color w:val="000000" w:themeColor="text1"/>
        </w:rPr>
        <w:t xml:space="preserve"> only</w:t>
      </w:r>
      <w:r w:rsidR="004138A9" w:rsidRPr="007F7FF5">
        <w:rPr>
          <w:color w:val="000000" w:themeColor="text1"/>
        </w:rPr>
        <w:t>.</w:t>
      </w:r>
      <w:r w:rsidR="00A15F0E" w:rsidRPr="007F7FF5">
        <w:rPr>
          <w:color w:val="000000" w:themeColor="text1"/>
        </w:rPr>
        <w:t xml:space="preserve"> </w:t>
      </w:r>
    </w:p>
    <w:p w:rsidR="001626DD" w:rsidRPr="007F7FF5" w:rsidRDefault="001626DD" w:rsidP="00AD7B5F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>Figure 3 shows the dependence of the neutron corre</w:t>
      </w:r>
      <w:r w:rsidRPr="007F7FF5">
        <w:rPr>
          <w:color w:val="000000" w:themeColor="text1"/>
        </w:rPr>
        <w:t>c</w:t>
      </w:r>
      <w:r w:rsidRPr="007F7FF5">
        <w:rPr>
          <w:color w:val="000000" w:themeColor="text1"/>
        </w:rPr>
        <w:t xml:space="preserve">tion factor </w:t>
      </w:r>
      <w:proofErr w:type="spellStart"/>
      <w:r w:rsidRPr="007F7FF5">
        <w:rPr>
          <w:i/>
          <w:color w:val="000000" w:themeColor="text1"/>
        </w:rPr>
        <w:t>N</w:t>
      </w:r>
      <w:r w:rsidRPr="007F7FF5">
        <w:rPr>
          <w:i/>
          <w:color w:val="000000" w:themeColor="text1"/>
          <w:vertAlign w:val="subscript"/>
        </w:rPr>
        <w:t>n</w:t>
      </w:r>
      <w:proofErr w:type="spellEnd"/>
      <w:r w:rsidRPr="007F7FF5">
        <w:rPr>
          <w:i/>
          <w:color w:val="000000" w:themeColor="text1"/>
        </w:rPr>
        <w:t>(X)</w:t>
      </w:r>
      <w:r w:rsidRPr="007F7FF5">
        <w:rPr>
          <w:color w:val="000000" w:themeColor="text1"/>
        </w:rPr>
        <w:t xml:space="preserve"> on the ratio </w:t>
      </w:r>
      <w:r w:rsidR="003F6FD1" w:rsidRPr="007F7FF5">
        <w:rPr>
          <w:i/>
          <w:color w:val="000000" w:themeColor="text1"/>
        </w:rPr>
        <w:t>X</w:t>
      </w:r>
      <w:r w:rsidR="003F6FD1" w:rsidRPr="007F7FF5">
        <w:rPr>
          <w:color w:val="000000" w:themeColor="text1"/>
        </w:rPr>
        <w:t xml:space="preserve"> </w:t>
      </w:r>
      <w:r w:rsidRPr="007F7FF5">
        <w:rPr>
          <w:color w:val="000000" w:themeColor="text1"/>
        </w:rPr>
        <w:t xml:space="preserve">of </w:t>
      </w:r>
      <w:proofErr w:type="spellStart"/>
      <w:proofErr w:type="gramStart"/>
      <w:r w:rsidR="003F6FD1" w:rsidRPr="007F7FF5">
        <w:rPr>
          <w:i/>
          <w:color w:val="000000" w:themeColor="text1"/>
        </w:rPr>
        <w:t>M</w:t>
      </w:r>
      <w:r w:rsidR="003F6FD1" w:rsidRPr="007F7FF5">
        <w:rPr>
          <w:i/>
          <w:color w:val="000000" w:themeColor="text1"/>
          <w:vertAlign w:val="subscript"/>
        </w:rPr>
        <w:t>n</w:t>
      </w:r>
      <w:proofErr w:type="spellEnd"/>
      <w:r w:rsidRPr="007F7FF5">
        <w:rPr>
          <w:i/>
          <w:color w:val="000000" w:themeColor="text1"/>
        </w:rPr>
        <w:t>(</w:t>
      </w:r>
      <w:proofErr w:type="gramEnd"/>
      <w:r w:rsidRPr="007F7FF5">
        <w:rPr>
          <w:i/>
          <w:color w:val="000000" w:themeColor="text1"/>
        </w:rPr>
        <w:t>field)</w:t>
      </w:r>
      <w:r w:rsidRPr="007F7FF5">
        <w:rPr>
          <w:color w:val="000000" w:themeColor="text1"/>
        </w:rPr>
        <w:t xml:space="preserve"> to </w:t>
      </w:r>
      <w:proofErr w:type="spellStart"/>
      <w:r w:rsidRPr="007F7FF5">
        <w:rPr>
          <w:i/>
          <w:color w:val="000000" w:themeColor="text1"/>
        </w:rPr>
        <w:t>M</w:t>
      </w:r>
      <w:r w:rsidRPr="007F7FF5">
        <w:rPr>
          <w:i/>
          <w:color w:val="000000" w:themeColor="text1"/>
          <w:vertAlign w:val="subscript"/>
        </w:rPr>
        <w:t>n</w:t>
      </w:r>
      <w:proofErr w:type="spellEnd"/>
      <w:r w:rsidRPr="007F7FF5">
        <w:rPr>
          <w:i/>
          <w:color w:val="000000" w:themeColor="text1"/>
        </w:rPr>
        <w:t>(albedo).</w:t>
      </w:r>
      <w:r w:rsidR="003F6FD1" w:rsidRPr="007F7FF5">
        <w:rPr>
          <w:i/>
          <w:color w:val="000000" w:themeColor="text1"/>
        </w:rPr>
        <w:t xml:space="preserve"> </w:t>
      </w:r>
      <w:r w:rsidR="003F6FD1" w:rsidRPr="007F7FF5">
        <w:rPr>
          <w:color w:val="000000" w:themeColor="text1"/>
        </w:rPr>
        <w:t>Figure 3 comprises data of calibration measurements at PTB with different unmoderated radionuclide sources (</w:t>
      </w:r>
      <w:r w:rsidR="003F6FD1" w:rsidRPr="007F7FF5">
        <w:rPr>
          <w:color w:val="000000" w:themeColor="text1"/>
          <w:vertAlign w:val="superscript"/>
        </w:rPr>
        <w:t>252</w:t>
      </w:r>
      <w:r w:rsidR="003F6FD1" w:rsidRPr="007F7FF5">
        <w:rPr>
          <w:color w:val="000000" w:themeColor="text1"/>
        </w:rPr>
        <w:t xml:space="preserve">Cf, </w:t>
      </w:r>
      <w:proofErr w:type="gramStart"/>
      <w:r w:rsidR="003F6FD1" w:rsidRPr="007F7FF5">
        <w:rPr>
          <w:color w:val="000000" w:themeColor="text1"/>
          <w:vertAlign w:val="superscript"/>
        </w:rPr>
        <w:t>241</w:t>
      </w:r>
      <w:r w:rsidR="003F6FD1" w:rsidRPr="007F7FF5">
        <w:rPr>
          <w:color w:val="000000" w:themeColor="text1"/>
        </w:rPr>
        <w:t>Am(</w:t>
      </w:r>
      <w:proofErr w:type="gramEnd"/>
      <w:r w:rsidR="003F6FD1" w:rsidRPr="007F7FF5">
        <w:rPr>
          <w:color w:val="000000" w:themeColor="text1"/>
        </w:rPr>
        <w:t>Be)) and the CERF data. The CERF data points are clearly located in a region with higher X-values.</w:t>
      </w:r>
    </w:p>
    <w:p w:rsidR="00574224" w:rsidRPr="007F7FF5" w:rsidRDefault="00696949" w:rsidP="00AD7B5F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 xml:space="preserve">The reason for this observation is that </w:t>
      </w:r>
      <w:r w:rsidR="00322E2F" w:rsidRPr="007F7FF5">
        <w:rPr>
          <w:color w:val="000000" w:themeColor="text1"/>
        </w:rPr>
        <w:t xml:space="preserve">during </w:t>
      </w:r>
      <w:r w:rsidRPr="007F7FF5">
        <w:rPr>
          <w:color w:val="000000" w:themeColor="text1"/>
        </w:rPr>
        <w:t>all irrad</w:t>
      </w:r>
      <w:r w:rsidR="00435853" w:rsidRPr="007F7FF5">
        <w:rPr>
          <w:color w:val="000000" w:themeColor="text1"/>
        </w:rPr>
        <w:t>i</w:t>
      </w:r>
      <w:r w:rsidRPr="007F7FF5">
        <w:rPr>
          <w:color w:val="000000" w:themeColor="text1"/>
        </w:rPr>
        <w:t xml:space="preserve">ations at PTB </w:t>
      </w:r>
      <w:r w:rsidR="00322E2F" w:rsidRPr="007F7FF5">
        <w:rPr>
          <w:color w:val="000000" w:themeColor="text1"/>
        </w:rPr>
        <w:t xml:space="preserve">the neutron source is located in the center of the room </w:t>
      </w:r>
      <w:r w:rsidR="00435853" w:rsidRPr="007F7FF5">
        <w:rPr>
          <w:color w:val="000000" w:themeColor="text1"/>
        </w:rPr>
        <w:t xml:space="preserve">to reduce the fraction of scattered neutrons in the spectrum. This does not </w:t>
      </w:r>
      <w:r w:rsidR="00322E2F" w:rsidRPr="007F7FF5">
        <w:rPr>
          <w:color w:val="000000" w:themeColor="text1"/>
        </w:rPr>
        <w:t xml:space="preserve">reflect the situation </w:t>
      </w:r>
      <w:r w:rsidR="00435853" w:rsidRPr="007F7FF5">
        <w:rPr>
          <w:color w:val="000000" w:themeColor="text1"/>
        </w:rPr>
        <w:t>at CERF where the fraction</w:t>
      </w:r>
      <w:r w:rsidR="00322E2F" w:rsidRPr="007F7FF5">
        <w:rPr>
          <w:color w:val="000000" w:themeColor="text1"/>
        </w:rPr>
        <w:t>s</w:t>
      </w:r>
      <w:r w:rsidR="00435853" w:rsidRPr="007F7FF5">
        <w:rPr>
          <w:color w:val="000000" w:themeColor="text1"/>
        </w:rPr>
        <w:t xml:space="preserve"> of moderated neutrons </w:t>
      </w:r>
      <w:r w:rsidR="00322E2F" w:rsidRPr="007F7FF5">
        <w:rPr>
          <w:color w:val="000000" w:themeColor="text1"/>
        </w:rPr>
        <w:t>in the spectra are</w:t>
      </w:r>
      <w:r w:rsidR="00435853" w:rsidRPr="007F7FF5">
        <w:rPr>
          <w:color w:val="000000" w:themeColor="text1"/>
        </w:rPr>
        <w:t xml:space="preserve"> higher</w:t>
      </w:r>
      <w:r w:rsidR="008E53EF" w:rsidRPr="007F7FF5">
        <w:rPr>
          <w:color w:val="000000" w:themeColor="text1"/>
        </w:rPr>
        <w:t xml:space="preserve"> (see Figure 2)</w:t>
      </w:r>
      <w:r w:rsidR="00435853" w:rsidRPr="007F7FF5">
        <w:rPr>
          <w:color w:val="000000" w:themeColor="text1"/>
        </w:rPr>
        <w:t xml:space="preserve">. </w:t>
      </w:r>
      <w:r w:rsidR="00322E2F" w:rsidRPr="007F7FF5">
        <w:rPr>
          <w:color w:val="000000" w:themeColor="text1"/>
        </w:rPr>
        <w:t>Additional exper</w:t>
      </w:r>
      <w:r w:rsidR="00322E2F" w:rsidRPr="007F7FF5">
        <w:rPr>
          <w:color w:val="000000" w:themeColor="text1"/>
        </w:rPr>
        <w:t>i</w:t>
      </w:r>
      <w:r w:rsidR="00322E2F" w:rsidRPr="007F7FF5">
        <w:rPr>
          <w:color w:val="000000" w:themeColor="text1"/>
        </w:rPr>
        <w:t>ments would be required to find an irradiation cond</w:t>
      </w:r>
      <w:r w:rsidR="00322E2F" w:rsidRPr="007F7FF5">
        <w:rPr>
          <w:color w:val="000000" w:themeColor="text1"/>
        </w:rPr>
        <w:t>i</w:t>
      </w:r>
      <w:r w:rsidR="00322E2F" w:rsidRPr="007F7FF5">
        <w:rPr>
          <w:color w:val="000000" w:themeColor="text1"/>
        </w:rPr>
        <w:t xml:space="preserve">tion with a radionuclide source where the resulting field </w:t>
      </w:r>
      <w:r w:rsidR="00085EF2" w:rsidRPr="007F7FF5">
        <w:rPr>
          <w:color w:val="000000" w:themeColor="text1"/>
        </w:rPr>
        <w:t xml:space="preserve">contains a higher fraction of </w:t>
      </w:r>
      <w:r w:rsidR="001D7411" w:rsidRPr="007F7FF5">
        <w:rPr>
          <w:color w:val="000000" w:themeColor="text1"/>
        </w:rPr>
        <w:t xml:space="preserve">moderated </w:t>
      </w:r>
      <w:r w:rsidR="00085EF2" w:rsidRPr="007F7FF5">
        <w:rPr>
          <w:color w:val="000000" w:themeColor="text1"/>
        </w:rPr>
        <w:t xml:space="preserve">neutrons </w:t>
      </w:r>
      <w:r w:rsidR="001D7411" w:rsidRPr="007F7FF5">
        <w:rPr>
          <w:color w:val="000000" w:themeColor="text1"/>
        </w:rPr>
        <w:t xml:space="preserve">with </w:t>
      </w:r>
      <w:r w:rsidR="00085EF2" w:rsidRPr="007F7FF5">
        <w:rPr>
          <w:color w:val="000000" w:themeColor="text1"/>
        </w:rPr>
        <w:t>intermediate energ</w:t>
      </w:r>
      <w:r w:rsidR="001D7411" w:rsidRPr="007F7FF5">
        <w:rPr>
          <w:color w:val="000000" w:themeColor="text1"/>
        </w:rPr>
        <w:t>ies</w:t>
      </w:r>
      <w:r w:rsidR="00085EF2" w:rsidRPr="007F7FF5">
        <w:rPr>
          <w:color w:val="000000" w:themeColor="text1"/>
        </w:rPr>
        <w:t xml:space="preserve">, which </w:t>
      </w:r>
      <w:r w:rsidR="00322E2F" w:rsidRPr="007F7FF5">
        <w:rPr>
          <w:color w:val="000000" w:themeColor="text1"/>
        </w:rPr>
        <w:t>is more similar to the fields of CERF.</w:t>
      </w:r>
      <w:r w:rsidR="00195205" w:rsidRPr="007F7FF5">
        <w:rPr>
          <w:color w:val="000000" w:themeColor="text1"/>
        </w:rPr>
        <w:t xml:space="preserve"> </w:t>
      </w:r>
      <w:r w:rsidR="00355035" w:rsidRPr="007F7FF5">
        <w:rPr>
          <w:color w:val="000000" w:themeColor="text1"/>
        </w:rPr>
        <w:t xml:space="preserve">As a final conclusion it can be stated, that a calibration with an unmoderated radionuclide source delivers a good estimate for </w:t>
      </w:r>
      <w:proofErr w:type="spellStart"/>
      <w:r w:rsidR="00355035" w:rsidRPr="007F7FF5">
        <w:rPr>
          <w:i/>
          <w:color w:val="000000" w:themeColor="text1"/>
        </w:rPr>
        <w:t>N</w:t>
      </w:r>
      <w:r w:rsidR="00355035" w:rsidRPr="007F7FF5">
        <w:rPr>
          <w:i/>
          <w:color w:val="000000" w:themeColor="text1"/>
          <w:vertAlign w:val="subscript"/>
        </w:rPr>
        <w:t>n</w:t>
      </w:r>
      <w:proofErr w:type="spellEnd"/>
      <w:r w:rsidR="00355035" w:rsidRPr="007F7FF5">
        <w:rPr>
          <w:i/>
          <w:color w:val="000000" w:themeColor="text1"/>
        </w:rPr>
        <w:t xml:space="preserve">(X) </w:t>
      </w:r>
      <w:r w:rsidR="00355035" w:rsidRPr="007F7FF5">
        <w:rPr>
          <w:color w:val="000000" w:themeColor="text1"/>
        </w:rPr>
        <w:t>for workpla</w:t>
      </w:r>
      <w:r w:rsidR="00355035" w:rsidRPr="007F7FF5">
        <w:rPr>
          <w:color w:val="000000" w:themeColor="text1"/>
        </w:rPr>
        <w:t>c</w:t>
      </w:r>
      <w:r w:rsidR="00355035" w:rsidRPr="007F7FF5">
        <w:rPr>
          <w:color w:val="000000" w:themeColor="text1"/>
        </w:rPr>
        <w:t xml:space="preserve">es at high-energy accelerators, but the correction with </w:t>
      </w:r>
      <w:r w:rsidR="00355035" w:rsidRPr="007F7FF5">
        <w:rPr>
          <w:i/>
          <w:color w:val="000000" w:themeColor="text1"/>
        </w:rPr>
        <w:t>X</w:t>
      </w:r>
      <w:r w:rsidR="00355035" w:rsidRPr="007F7FF5">
        <w:rPr>
          <w:color w:val="000000" w:themeColor="text1"/>
        </w:rPr>
        <w:t xml:space="preserve"> should </w:t>
      </w:r>
      <w:r w:rsidR="00085EF2" w:rsidRPr="007F7FF5">
        <w:rPr>
          <w:color w:val="000000" w:themeColor="text1"/>
        </w:rPr>
        <w:t>be performed with care.</w:t>
      </w:r>
    </w:p>
    <w:p w:rsidR="001626DD" w:rsidRPr="007F7FF5" w:rsidRDefault="001626DD" w:rsidP="00AD7B5F">
      <w:pPr>
        <w:jc w:val="both"/>
        <w:rPr>
          <w:color w:val="000000" w:themeColor="text1"/>
        </w:rPr>
      </w:pPr>
    </w:p>
    <w:p w:rsidR="001626DD" w:rsidRPr="007F7FF5" w:rsidRDefault="001626DD" w:rsidP="00AD7B5F">
      <w:pPr>
        <w:jc w:val="both"/>
        <w:rPr>
          <w:color w:val="000000" w:themeColor="text1"/>
        </w:rPr>
      </w:pPr>
    </w:p>
    <w:p w:rsidR="001626DD" w:rsidRPr="007F7FF5" w:rsidRDefault="001626DD" w:rsidP="00AD7B5F">
      <w:pPr>
        <w:jc w:val="both"/>
        <w:rPr>
          <w:color w:val="000000" w:themeColor="text1"/>
        </w:rPr>
      </w:pPr>
    </w:p>
    <w:p w:rsidR="001626DD" w:rsidRPr="007F7FF5" w:rsidRDefault="001626DD" w:rsidP="00AD7B5F">
      <w:pPr>
        <w:jc w:val="both"/>
        <w:rPr>
          <w:color w:val="000000" w:themeColor="text1"/>
        </w:rPr>
      </w:pPr>
    </w:p>
    <w:p w:rsidR="003F6FD1" w:rsidRPr="007F7FF5" w:rsidRDefault="003F6FD1" w:rsidP="00AD7B5F">
      <w:pPr>
        <w:jc w:val="both"/>
        <w:rPr>
          <w:color w:val="000000" w:themeColor="text1"/>
        </w:rPr>
      </w:pPr>
    </w:p>
    <w:p w:rsidR="003F6FD1" w:rsidRPr="007F7FF5" w:rsidRDefault="003F6FD1" w:rsidP="00AD7B5F">
      <w:pPr>
        <w:jc w:val="both"/>
        <w:rPr>
          <w:color w:val="000000" w:themeColor="text1"/>
        </w:rPr>
      </w:pPr>
    </w:p>
    <w:p w:rsidR="001626DD" w:rsidRPr="007F7FF5" w:rsidRDefault="001626DD" w:rsidP="00AD7B5F">
      <w:pPr>
        <w:jc w:val="both"/>
        <w:rPr>
          <w:color w:val="000000" w:themeColor="text1"/>
        </w:rPr>
      </w:pPr>
    </w:p>
    <w:p w:rsidR="001626DD" w:rsidRPr="007F7FF5" w:rsidRDefault="001626DD" w:rsidP="00AD7B5F">
      <w:pPr>
        <w:jc w:val="both"/>
        <w:rPr>
          <w:color w:val="000000" w:themeColor="text1"/>
        </w:rPr>
      </w:pPr>
    </w:p>
    <w:p w:rsidR="001626DD" w:rsidRPr="007F7FF5" w:rsidRDefault="001626DD" w:rsidP="00AD7B5F">
      <w:pPr>
        <w:jc w:val="both"/>
        <w:rPr>
          <w:color w:val="000000" w:themeColor="text1"/>
        </w:rPr>
      </w:pPr>
    </w:p>
    <w:p w:rsidR="001626DD" w:rsidRPr="007F7FF5" w:rsidRDefault="001626DD" w:rsidP="00AD7B5F">
      <w:pPr>
        <w:jc w:val="both"/>
        <w:rPr>
          <w:color w:val="000000" w:themeColor="text1"/>
        </w:rPr>
      </w:pPr>
    </w:p>
    <w:p w:rsidR="001626DD" w:rsidRPr="007F7FF5" w:rsidRDefault="001626DD" w:rsidP="003F6FD1">
      <w:pPr>
        <w:spacing w:line="240" w:lineRule="auto"/>
        <w:rPr>
          <w:color w:val="000000" w:themeColor="text1"/>
          <w:szCs w:val="18"/>
          <w:lang w:eastAsia="de-DE"/>
        </w:rPr>
      </w:pPr>
      <w:r w:rsidRPr="007F7FF5">
        <w:rPr>
          <w:noProof/>
          <w:color w:val="000000" w:themeColor="text1"/>
          <w:szCs w:val="18"/>
          <w:lang w:eastAsia="de-DE"/>
        </w:rPr>
        <w:t xml:space="preserve">Fig. 3: </w:t>
      </w:r>
      <w:r w:rsidR="003F6FD1" w:rsidRPr="007F7FF5">
        <w:rPr>
          <w:noProof/>
          <w:color w:val="000000" w:themeColor="text1"/>
          <w:szCs w:val="18"/>
          <w:lang w:eastAsia="de-DE"/>
        </w:rPr>
        <w:t xml:space="preserve">Functional dependence of the neutron correction factor </w:t>
      </w:r>
      <w:r w:rsidR="003F6FD1" w:rsidRPr="007F7FF5">
        <w:rPr>
          <w:i/>
          <w:noProof/>
          <w:color w:val="000000" w:themeColor="text1"/>
          <w:szCs w:val="18"/>
          <w:lang w:eastAsia="de-DE"/>
        </w:rPr>
        <w:t>N</w:t>
      </w:r>
      <w:r w:rsidR="003F6FD1" w:rsidRPr="007F7FF5">
        <w:rPr>
          <w:i/>
          <w:noProof/>
          <w:color w:val="000000" w:themeColor="text1"/>
          <w:szCs w:val="18"/>
          <w:vertAlign w:val="subscript"/>
          <w:lang w:eastAsia="de-DE"/>
        </w:rPr>
        <w:t>n</w:t>
      </w:r>
      <w:r w:rsidR="003F6FD1" w:rsidRPr="007F7FF5">
        <w:rPr>
          <w:i/>
          <w:noProof/>
          <w:color w:val="000000" w:themeColor="text1"/>
          <w:szCs w:val="18"/>
          <w:lang w:eastAsia="de-DE"/>
        </w:rPr>
        <w:t>(X)</w:t>
      </w:r>
      <w:r w:rsidR="003F6FD1" w:rsidRPr="007F7FF5">
        <w:rPr>
          <w:noProof/>
          <w:color w:val="000000" w:themeColor="text1"/>
          <w:szCs w:val="18"/>
          <w:lang w:eastAsia="de-DE"/>
        </w:rPr>
        <w:t xml:space="preserve"> on the ratio </w:t>
      </w:r>
      <w:r w:rsidR="003F6FD1" w:rsidRPr="007F7FF5">
        <w:rPr>
          <w:i/>
          <w:noProof/>
          <w:color w:val="000000" w:themeColor="text1"/>
          <w:szCs w:val="18"/>
          <w:lang w:eastAsia="de-DE"/>
        </w:rPr>
        <w:t>X</w:t>
      </w:r>
      <w:r w:rsidR="003F6FD1" w:rsidRPr="007F7FF5">
        <w:rPr>
          <w:noProof/>
          <w:color w:val="000000" w:themeColor="text1"/>
          <w:szCs w:val="18"/>
          <w:lang w:eastAsia="de-DE"/>
        </w:rPr>
        <w:t xml:space="preserve"> of </w:t>
      </w:r>
      <w:r w:rsidR="003F6FD1" w:rsidRPr="007F7FF5">
        <w:rPr>
          <w:i/>
          <w:noProof/>
          <w:color w:val="000000" w:themeColor="text1"/>
          <w:szCs w:val="18"/>
          <w:lang w:eastAsia="de-DE"/>
        </w:rPr>
        <w:t>M</w:t>
      </w:r>
      <w:r w:rsidR="003F6FD1" w:rsidRPr="007F7FF5">
        <w:rPr>
          <w:i/>
          <w:noProof/>
          <w:color w:val="000000" w:themeColor="text1"/>
          <w:szCs w:val="18"/>
          <w:vertAlign w:val="subscript"/>
          <w:lang w:eastAsia="de-DE"/>
        </w:rPr>
        <w:t>n</w:t>
      </w:r>
      <w:r w:rsidR="003F6FD1" w:rsidRPr="007F7FF5">
        <w:rPr>
          <w:i/>
          <w:noProof/>
          <w:color w:val="000000" w:themeColor="text1"/>
          <w:szCs w:val="18"/>
          <w:lang w:eastAsia="de-DE"/>
        </w:rPr>
        <w:t>(field)</w:t>
      </w:r>
      <w:r w:rsidR="003F6FD1" w:rsidRPr="007F7FF5">
        <w:rPr>
          <w:noProof/>
          <w:color w:val="000000" w:themeColor="text1"/>
          <w:szCs w:val="18"/>
          <w:lang w:eastAsia="de-DE"/>
        </w:rPr>
        <w:t xml:space="preserve"> to </w:t>
      </w:r>
      <w:r w:rsidR="003F6FD1" w:rsidRPr="007F7FF5">
        <w:rPr>
          <w:i/>
          <w:noProof/>
          <w:color w:val="000000" w:themeColor="text1"/>
          <w:szCs w:val="18"/>
          <w:lang w:eastAsia="de-DE"/>
        </w:rPr>
        <w:t>M</w:t>
      </w:r>
      <w:r w:rsidR="003F6FD1" w:rsidRPr="007F7FF5">
        <w:rPr>
          <w:i/>
          <w:noProof/>
          <w:color w:val="000000" w:themeColor="text1"/>
          <w:szCs w:val="18"/>
          <w:vertAlign w:val="subscript"/>
          <w:lang w:eastAsia="de-DE"/>
        </w:rPr>
        <w:t>n</w:t>
      </w:r>
      <w:r w:rsidR="003F6FD1" w:rsidRPr="007F7FF5">
        <w:rPr>
          <w:i/>
          <w:noProof/>
          <w:color w:val="000000" w:themeColor="text1"/>
          <w:szCs w:val="18"/>
          <w:lang w:eastAsia="de-DE"/>
        </w:rPr>
        <w:t>(albedo)</w:t>
      </w:r>
      <w:r w:rsidR="003F6FD1" w:rsidRPr="007F7FF5">
        <w:rPr>
          <w:noProof/>
          <w:color w:val="000000" w:themeColor="text1"/>
          <w:szCs w:val="18"/>
          <w:lang w:eastAsia="de-DE"/>
        </w:rPr>
        <w:t xml:space="preserve"> for fast neutron fields.</w:t>
      </w:r>
    </w:p>
    <w:p w:rsidR="00907952" w:rsidRPr="007F7FF5" w:rsidRDefault="00BC3DBC" w:rsidP="00907952">
      <w:pPr>
        <w:pStyle w:val="AHead"/>
        <w:rPr>
          <w:color w:val="000000" w:themeColor="text1"/>
        </w:rPr>
      </w:pPr>
      <w:r w:rsidRPr="007F7FF5">
        <w:rPr>
          <w:rFonts w:ascii="Times New Roman" w:hAnsi="Times New Roman"/>
          <w:bCs/>
          <w:color w:val="000000" w:themeColor="text1"/>
          <w:szCs w:val="18"/>
          <w:lang w:eastAsia="de-DE"/>
        </w:rPr>
        <w:t>Conclusion</w:t>
      </w:r>
    </w:p>
    <w:p w:rsidR="00BC3DBC" w:rsidRPr="007F7FF5" w:rsidRDefault="00BC3DBC" w:rsidP="00CA100A">
      <w:pPr>
        <w:jc w:val="both"/>
        <w:rPr>
          <w:color w:val="000000" w:themeColor="text1"/>
          <w:lang w:eastAsia="de-DE"/>
        </w:rPr>
      </w:pPr>
      <w:r w:rsidRPr="007F7FF5">
        <w:rPr>
          <w:color w:val="000000" w:themeColor="text1"/>
          <w:lang w:eastAsia="de-DE"/>
        </w:rPr>
        <w:lastRenderedPageBreak/>
        <w:t xml:space="preserve">The field calibration of </w:t>
      </w:r>
      <w:r w:rsidR="00CA100A" w:rsidRPr="007F7FF5">
        <w:rPr>
          <w:color w:val="000000" w:themeColor="text1"/>
          <w:lang w:eastAsia="de-DE"/>
        </w:rPr>
        <w:t xml:space="preserve">the TLD albedo </w:t>
      </w:r>
      <w:proofErr w:type="spellStart"/>
      <w:r w:rsidR="00EB5933" w:rsidRPr="007F7FF5">
        <w:rPr>
          <w:color w:val="000000" w:themeColor="text1"/>
          <w:lang w:eastAsia="de-DE"/>
        </w:rPr>
        <w:t>dosemeter</w:t>
      </w:r>
      <w:proofErr w:type="spellEnd"/>
      <w:r w:rsidR="00CA100A" w:rsidRPr="007F7FF5">
        <w:rPr>
          <w:color w:val="000000" w:themeColor="text1"/>
          <w:lang w:eastAsia="de-DE"/>
        </w:rPr>
        <w:t xml:space="preserve"> AWST-TL GD 04 in the </w:t>
      </w:r>
      <w:r w:rsidR="000275AA" w:rsidRPr="007F7FF5">
        <w:rPr>
          <w:color w:val="000000" w:themeColor="text1"/>
          <w:lang w:eastAsia="de-DE"/>
        </w:rPr>
        <w:t>high-energy</w:t>
      </w:r>
      <w:r w:rsidRPr="007F7FF5">
        <w:rPr>
          <w:color w:val="000000" w:themeColor="text1"/>
          <w:lang w:eastAsia="de-DE"/>
        </w:rPr>
        <w:t xml:space="preserve"> neutrons fields at CERF has </w:t>
      </w:r>
      <w:r w:rsidR="00AE5DA2" w:rsidRPr="007F7FF5">
        <w:rPr>
          <w:color w:val="000000" w:themeColor="text1"/>
          <w:lang w:eastAsia="de-DE"/>
        </w:rPr>
        <w:t>revealed th</w:t>
      </w:r>
      <w:r w:rsidRPr="007F7FF5">
        <w:rPr>
          <w:color w:val="000000" w:themeColor="text1"/>
          <w:lang w:eastAsia="de-DE"/>
        </w:rPr>
        <w:t xml:space="preserve">at this kind of </w:t>
      </w:r>
      <w:proofErr w:type="spellStart"/>
      <w:r w:rsidR="00EB5933" w:rsidRPr="007F7FF5">
        <w:rPr>
          <w:color w:val="000000" w:themeColor="text1"/>
          <w:lang w:eastAsia="de-DE"/>
        </w:rPr>
        <w:t>dosemeter</w:t>
      </w:r>
      <w:proofErr w:type="spellEnd"/>
      <w:r w:rsidRPr="007F7FF5">
        <w:rPr>
          <w:color w:val="000000" w:themeColor="text1"/>
          <w:lang w:eastAsia="de-DE"/>
        </w:rPr>
        <w:t xml:space="preserve"> can </w:t>
      </w:r>
      <w:r w:rsidR="00CA100A" w:rsidRPr="007F7FF5">
        <w:rPr>
          <w:color w:val="000000" w:themeColor="text1"/>
          <w:lang w:eastAsia="de-DE"/>
        </w:rPr>
        <w:t xml:space="preserve">also </w:t>
      </w:r>
      <w:r w:rsidRPr="007F7FF5">
        <w:rPr>
          <w:color w:val="000000" w:themeColor="text1"/>
          <w:lang w:eastAsia="de-DE"/>
        </w:rPr>
        <w:t xml:space="preserve">be used for personal monitoring </w:t>
      </w:r>
      <w:r w:rsidR="00CA100A" w:rsidRPr="007F7FF5">
        <w:rPr>
          <w:color w:val="000000" w:themeColor="text1"/>
          <w:lang w:eastAsia="de-DE"/>
        </w:rPr>
        <w:t xml:space="preserve">at workplaces of </w:t>
      </w:r>
      <w:r w:rsidR="000275AA" w:rsidRPr="007F7FF5">
        <w:rPr>
          <w:color w:val="000000" w:themeColor="text1"/>
          <w:lang w:eastAsia="de-DE"/>
        </w:rPr>
        <w:t>high-energy</w:t>
      </w:r>
      <w:r w:rsidR="002324DD" w:rsidRPr="007F7FF5">
        <w:rPr>
          <w:color w:val="000000" w:themeColor="text1"/>
          <w:lang w:eastAsia="de-DE"/>
        </w:rPr>
        <w:t xml:space="preserve"> accelerators, because its sensitivity is high enough to detect even a low neutron personal dose of 0,1 </w:t>
      </w:r>
      <w:proofErr w:type="spellStart"/>
      <w:r w:rsidR="002324DD" w:rsidRPr="007F7FF5">
        <w:rPr>
          <w:color w:val="000000" w:themeColor="text1"/>
          <w:lang w:eastAsia="de-DE"/>
        </w:rPr>
        <w:t>mSv</w:t>
      </w:r>
      <w:proofErr w:type="spellEnd"/>
      <w:r w:rsidR="002324DD" w:rsidRPr="007F7FF5">
        <w:rPr>
          <w:color w:val="000000" w:themeColor="text1"/>
          <w:lang w:eastAsia="de-DE"/>
        </w:rPr>
        <w:t xml:space="preserve">. </w:t>
      </w:r>
      <w:r w:rsidR="00CA100A" w:rsidRPr="007F7FF5">
        <w:rPr>
          <w:color w:val="000000" w:themeColor="text1"/>
          <w:lang w:eastAsia="de-DE"/>
        </w:rPr>
        <w:t>This is very important, because the number of workplaces at medical accelerators like proton therapy center</w:t>
      </w:r>
      <w:r w:rsidR="00907952" w:rsidRPr="007F7FF5">
        <w:rPr>
          <w:color w:val="000000" w:themeColor="text1"/>
          <w:lang w:eastAsia="de-DE"/>
        </w:rPr>
        <w:t>s</w:t>
      </w:r>
      <w:r w:rsidR="00CA100A" w:rsidRPr="007F7FF5">
        <w:rPr>
          <w:color w:val="000000" w:themeColor="text1"/>
          <w:lang w:eastAsia="de-DE"/>
        </w:rPr>
        <w:t xml:space="preserve"> </w:t>
      </w:r>
      <w:r w:rsidR="007B5BAD" w:rsidRPr="007F7FF5">
        <w:rPr>
          <w:color w:val="000000" w:themeColor="text1"/>
          <w:lang w:eastAsia="de-DE"/>
        </w:rPr>
        <w:t>will</w:t>
      </w:r>
      <w:r w:rsidR="00CA100A" w:rsidRPr="007F7FF5">
        <w:rPr>
          <w:color w:val="000000" w:themeColor="text1"/>
          <w:lang w:eastAsia="de-DE"/>
        </w:rPr>
        <w:t xml:space="preserve"> increas</w:t>
      </w:r>
      <w:r w:rsidR="007B5BAD" w:rsidRPr="007F7FF5">
        <w:rPr>
          <w:color w:val="000000" w:themeColor="text1"/>
          <w:lang w:eastAsia="de-DE"/>
        </w:rPr>
        <w:t>e</w:t>
      </w:r>
      <w:r w:rsidR="00CA100A" w:rsidRPr="007F7FF5">
        <w:rPr>
          <w:color w:val="000000" w:themeColor="text1"/>
          <w:lang w:eastAsia="de-DE"/>
        </w:rPr>
        <w:t>.</w:t>
      </w:r>
    </w:p>
    <w:p w:rsidR="00014D28" w:rsidRPr="007F7FF5" w:rsidRDefault="00014D28" w:rsidP="00CD2CF8">
      <w:pPr>
        <w:pStyle w:val="AHead"/>
        <w:rPr>
          <w:color w:val="000000" w:themeColor="text1"/>
        </w:rPr>
      </w:pPr>
      <w:r w:rsidRPr="007F7FF5">
        <w:rPr>
          <w:color w:val="000000" w:themeColor="text1"/>
        </w:rPr>
        <w:t>acknowledgments</w:t>
      </w:r>
    </w:p>
    <w:p w:rsidR="00723B25" w:rsidRPr="007F7FF5" w:rsidRDefault="00723B25" w:rsidP="00723B25">
      <w:pPr>
        <w:jc w:val="both"/>
        <w:rPr>
          <w:color w:val="000000" w:themeColor="text1"/>
        </w:rPr>
      </w:pPr>
      <w:r w:rsidRPr="007F7FF5">
        <w:rPr>
          <w:color w:val="000000" w:themeColor="text1"/>
        </w:rPr>
        <w:t>The authors are grateful to the following persons for their assistance in performing field calibration mea</w:t>
      </w:r>
      <w:r w:rsidRPr="007F7FF5">
        <w:rPr>
          <w:color w:val="000000" w:themeColor="text1"/>
        </w:rPr>
        <w:t>s</w:t>
      </w:r>
      <w:r w:rsidRPr="007F7FF5">
        <w:rPr>
          <w:color w:val="000000" w:themeColor="text1"/>
        </w:rPr>
        <w:t xml:space="preserve">urements with albedo </w:t>
      </w:r>
      <w:proofErr w:type="spellStart"/>
      <w:r w:rsidR="00EB5933" w:rsidRPr="007F7FF5">
        <w:rPr>
          <w:color w:val="000000" w:themeColor="text1"/>
        </w:rPr>
        <w:t>dosemeter</w:t>
      </w:r>
      <w:r w:rsidRPr="007F7FF5">
        <w:rPr>
          <w:color w:val="000000" w:themeColor="text1"/>
        </w:rPr>
        <w:t>s</w:t>
      </w:r>
      <w:proofErr w:type="spellEnd"/>
      <w:r w:rsidRPr="007F7FF5">
        <w:rPr>
          <w:color w:val="000000" w:themeColor="text1"/>
        </w:rPr>
        <w:t xml:space="preserve"> at different wo</w:t>
      </w:r>
      <w:r w:rsidR="00DF51EE" w:rsidRPr="007F7FF5">
        <w:rPr>
          <w:color w:val="000000" w:themeColor="text1"/>
        </w:rPr>
        <w:t>r</w:t>
      </w:r>
      <w:r w:rsidRPr="007F7FF5">
        <w:rPr>
          <w:color w:val="000000" w:themeColor="text1"/>
        </w:rPr>
        <w:t>k</w:t>
      </w:r>
      <w:r w:rsidRPr="007F7FF5">
        <w:rPr>
          <w:color w:val="000000" w:themeColor="text1"/>
        </w:rPr>
        <w:t>places:</w:t>
      </w:r>
      <w:r w:rsidR="00CA100A" w:rsidRPr="007F7FF5">
        <w:rPr>
          <w:color w:val="000000" w:themeColor="text1"/>
        </w:rPr>
        <w:t xml:space="preserve"> </w:t>
      </w:r>
      <w:r w:rsidRPr="007F7FF5">
        <w:rPr>
          <w:color w:val="000000" w:themeColor="text1"/>
        </w:rPr>
        <w:t xml:space="preserve">G. </w:t>
      </w:r>
      <w:proofErr w:type="spellStart"/>
      <w:r w:rsidRPr="007F7FF5">
        <w:rPr>
          <w:color w:val="000000" w:themeColor="text1"/>
        </w:rPr>
        <w:t>Fehrenbacher</w:t>
      </w:r>
      <w:proofErr w:type="spellEnd"/>
      <w:r w:rsidRPr="007F7FF5">
        <w:rPr>
          <w:color w:val="000000" w:themeColor="text1"/>
        </w:rPr>
        <w:t xml:space="preserve"> and E. </w:t>
      </w:r>
      <w:proofErr w:type="spellStart"/>
      <w:r w:rsidRPr="007F7FF5">
        <w:rPr>
          <w:color w:val="000000" w:themeColor="text1"/>
        </w:rPr>
        <w:t>Kozlova</w:t>
      </w:r>
      <w:proofErr w:type="spellEnd"/>
      <w:r w:rsidR="00CA100A" w:rsidRPr="007F7FF5">
        <w:rPr>
          <w:color w:val="000000" w:themeColor="text1"/>
        </w:rPr>
        <w:t xml:space="preserve"> </w:t>
      </w:r>
      <w:r w:rsidRPr="007F7FF5">
        <w:rPr>
          <w:color w:val="000000" w:themeColor="text1"/>
        </w:rPr>
        <w:t xml:space="preserve">from </w:t>
      </w:r>
      <w:r w:rsidR="00355035" w:rsidRPr="007F7FF5">
        <w:rPr>
          <w:color w:val="000000" w:themeColor="text1"/>
        </w:rPr>
        <w:t>G</w:t>
      </w:r>
      <w:r w:rsidRPr="007F7FF5">
        <w:rPr>
          <w:color w:val="000000" w:themeColor="text1"/>
        </w:rPr>
        <w:t>SI in Darmstadt</w:t>
      </w:r>
      <w:proofErr w:type="gramStart"/>
      <w:r w:rsidRPr="007F7FF5">
        <w:rPr>
          <w:color w:val="000000" w:themeColor="text1"/>
        </w:rPr>
        <w:t>,  E</w:t>
      </w:r>
      <w:proofErr w:type="gramEnd"/>
      <w:r w:rsidRPr="007F7FF5">
        <w:rPr>
          <w:color w:val="000000" w:themeColor="text1"/>
        </w:rPr>
        <w:t xml:space="preserve">. </w:t>
      </w:r>
      <w:proofErr w:type="spellStart"/>
      <w:r w:rsidRPr="007F7FF5">
        <w:rPr>
          <w:color w:val="000000" w:themeColor="text1"/>
        </w:rPr>
        <w:t>Kudejova</w:t>
      </w:r>
      <w:proofErr w:type="spellEnd"/>
      <w:r w:rsidRPr="007F7FF5">
        <w:rPr>
          <w:color w:val="000000" w:themeColor="text1"/>
        </w:rPr>
        <w:t xml:space="preserve"> from Technical University of Munich,  M. </w:t>
      </w:r>
      <w:proofErr w:type="spellStart"/>
      <w:r w:rsidRPr="007F7FF5">
        <w:rPr>
          <w:color w:val="000000" w:themeColor="text1"/>
        </w:rPr>
        <w:t>Silari</w:t>
      </w:r>
      <w:proofErr w:type="spellEnd"/>
      <w:r w:rsidRPr="007F7FF5">
        <w:rPr>
          <w:color w:val="000000" w:themeColor="text1"/>
        </w:rPr>
        <w:t xml:space="preserve"> and </w:t>
      </w:r>
      <w:r w:rsidR="003B766B" w:rsidRPr="007F7FF5">
        <w:rPr>
          <w:color w:val="000000" w:themeColor="text1"/>
        </w:rPr>
        <w:t>his colleagues</w:t>
      </w:r>
      <w:r w:rsidRPr="007F7FF5">
        <w:rPr>
          <w:color w:val="000000" w:themeColor="text1"/>
        </w:rPr>
        <w:t xml:space="preserve"> from CERN, M. </w:t>
      </w:r>
      <w:proofErr w:type="spellStart"/>
      <w:r w:rsidRPr="007F7FF5">
        <w:rPr>
          <w:color w:val="000000" w:themeColor="text1"/>
        </w:rPr>
        <w:t>Luszik-Bhadra</w:t>
      </w:r>
      <w:proofErr w:type="spellEnd"/>
      <w:r w:rsidRPr="007F7FF5">
        <w:rPr>
          <w:color w:val="000000" w:themeColor="text1"/>
        </w:rPr>
        <w:t xml:space="preserve"> from PTB in </w:t>
      </w:r>
      <w:proofErr w:type="spellStart"/>
      <w:r w:rsidRPr="007F7FF5">
        <w:rPr>
          <w:color w:val="000000" w:themeColor="text1"/>
        </w:rPr>
        <w:t>Braunschweig</w:t>
      </w:r>
      <w:proofErr w:type="spellEnd"/>
      <w:r w:rsidRPr="007F7FF5">
        <w:rPr>
          <w:color w:val="000000" w:themeColor="text1"/>
        </w:rPr>
        <w:t xml:space="preserve"> and W. </w:t>
      </w:r>
      <w:proofErr w:type="spellStart"/>
      <w:r w:rsidRPr="007F7FF5">
        <w:rPr>
          <w:color w:val="000000" w:themeColor="text1"/>
        </w:rPr>
        <w:t>Rabauer</w:t>
      </w:r>
      <w:proofErr w:type="spellEnd"/>
      <w:r w:rsidRPr="007F7FF5">
        <w:rPr>
          <w:color w:val="000000" w:themeColor="text1"/>
        </w:rPr>
        <w:t xml:space="preserve"> and W. </w:t>
      </w:r>
      <w:proofErr w:type="spellStart"/>
      <w:r w:rsidRPr="007F7FF5">
        <w:rPr>
          <w:color w:val="000000" w:themeColor="text1"/>
        </w:rPr>
        <w:t>Behmer</w:t>
      </w:r>
      <w:proofErr w:type="spellEnd"/>
      <w:r w:rsidRPr="007F7FF5">
        <w:rPr>
          <w:color w:val="000000" w:themeColor="text1"/>
        </w:rPr>
        <w:t xml:space="preserve"> from EON GmbH in </w:t>
      </w:r>
      <w:proofErr w:type="spellStart"/>
      <w:r w:rsidRPr="007F7FF5">
        <w:rPr>
          <w:color w:val="000000" w:themeColor="text1"/>
        </w:rPr>
        <w:t>Esse</w:t>
      </w:r>
      <w:r w:rsidRPr="007F7FF5">
        <w:rPr>
          <w:color w:val="000000" w:themeColor="text1"/>
        </w:rPr>
        <w:t>n</w:t>
      </w:r>
      <w:r w:rsidRPr="007F7FF5">
        <w:rPr>
          <w:color w:val="000000" w:themeColor="text1"/>
        </w:rPr>
        <w:t>bach</w:t>
      </w:r>
      <w:proofErr w:type="spellEnd"/>
      <w:r w:rsidRPr="007F7FF5">
        <w:rPr>
          <w:color w:val="000000" w:themeColor="text1"/>
        </w:rPr>
        <w:t>.</w:t>
      </w:r>
    </w:p>
    <w:p w:rsidR="00AB4BEE" w:rsidRPr="007F7FF5" w:rsidRDefault="00AB4BEE" w:rsidP="00AB4BEE">
      <w:pPr>
        <w:pStyle w:val="AHead"/>
        <w:spacing w:before="440"/>
        <w:rPr>
          <w:color w:val="000000" w:themeColor="text1"/>
        </w:rPr>
      </w:pPr>
      <w:r w:rsidRPr="007F7FF5">
        <w:rPr>
          <w:color w:val="000000" w:themeColor="text1"/>
        </w:rPr>
        <w:t>References</w:t>
      </w:r>
    </w:p>
    <w:p w:rsidR="001B50AF" w:rsidRPr="007F7FF5" w:rsidRDefault="001B50AF" w:rsidP="00527AF2">
      <w:pPr>
        <w:pStyle w:val="Reference"/>
        <w:rPr>
          <w:color w:val="000000" w:themeColor="text1"/>
          <w:lang w:eastAsia="de-DE"/>
        </w:rPr>
      </w:pPr>
      <w:r w:rsidRPr="007F7FF5">
        <w:rPr>
          <w:color w:val="000000" w:themeColor="text1"/>
          <w:lang w:eastAsia="de-DE"/>
        </w:rPr>
        <w:t xml:space="preserve">Haninger, T. and </w:t>
      </w:r>
      <w:proofErr w:type="spellStart"/>
      <w:r w:rsidR="0054218D" w:rsidRPr="007F7FF5">
        <w:rPr>
          <w:color w:val="000000" w:themeColor="text1"/>
          <w:lang w:eastAsia="de-DE"/>
        </w:rPr>
        <w:t>Henniger</w:t>
      </w:r>
      <w:proofErr w:type="spellEnd"/>
      <w:r w:rsidR="0054218D" w:rsidRPr="007F7FF5">
        <w:rPr>
          <w:color w:val="000000" w:themeColor="text1"/>
          <w:lang w:eastAsia="de-DE"/>
        </w:rPr>
        <w:t xml:space="preserve"> J. </w:t>
      </w:r>
      <w:proofErr w:type="spellStart"/>
      <w:r w:rsidR="0054218D" w:rsidRPr="007F7FF5">
        <w:rPr>
          <w:i/>
          <w:color w:val="000000" w:themeColor="text1"/>
          <w:lang w:eastAsia="de-DE"/>
        </w:rPr>
        <w:t>Dosimetric</w:t>
      </w:r>
      <w:proofErr w:type="spellEnd"/>
      <w:r w:rsidR="0054218D" w:rsidRPr="007F7FF5">
        <w:rPr>
          <w:i/>
          <w:color w:val="000000" w:themeColor="text1"/>
          <w:lang w:eastAsia="de-DE"/>
        </w:rPr>
        <w:t xml:space="preserve"> properties </w:t>
      </w:r>
      <w:proofErr w:type="gramStart"/>
      <w:r w:rsidR="0054218D" w:rsidRPr="007F7FF5">
        <w:rPr>
          <w:i/>
          <w:color w:val="000000" w:themeColor="text1"/>
          <w:lang w:eastAsia="de-DE"/>
        </w:rPr>
        <w:t>of</w:t>
      </w:r>
      <w:r w:rsidR="0054218D" w:rsidRPr="007F7FF5">
        <w:rPr>
          <w:color w:val="000000" w:themeColor="text1"/>
          <w:lang w:eastAsia="de-DE"/>
        </w:rPr>
        <w:t xml:space="preserve">  </w:t>
      </w:r>
      <w:r w:rsidR="0054218D" w:rsidRPr="007F7FF5">
        <w:rPr>
          <w:i/>
          <w:color w:val="000000" w:themeColor="text1"/>
          <w:lang w:eastAsia="de-DE"/>
        </w:rPr>
        <w:t>the</w:t>
      </w:r>
      <w:proofErr w:type="gramEnd"/>
      <w:r w:rsidR="0054218D" w:rsidRPr="007F7FF5">
        <w:rPr>
          <w:i/>
          <w:color w:val="000000" w:themeColor="text1"/>
          <w:lang w:eastAsia="de-DE"/>
        </w:rPr>
        <w:t xml:space="preserve"> new TLD albedo neutron </w:t>
      </w:r>
      <w:proofErr w:type="spellStart"/>
      <w:r w:rsidR="00EB5933" w:rsidRPr="007F7FF5">
        <w:rPr>
          <w:i/>
          <w:color w:val="000000" w:themeColor="text1"/>
          <w:lang w:eastAsia="de-DE"/>
        </w:rPr>
        <w:t>dosemeter</w:t>
      </w:r>
      <w:proofErr w:type="spellEnd"/>
      <w:r w:rsidR="0054218D" w:rsidRPr="007F7FF5">
        <w:rPr>
          <w:i/>
          <w:color w:val="000000" w:themeColor="text1"/>
          <w:lang w:eastAsia="de-DE"/>
        </w:rPr>
        <w:t xml:space="preserve"> type AWST-TL-GD 04.</w:t>
      </w:r>
      <w:r w:rsidR="0054218D" w:rsidRPr="007F7FF5">
        <w:rPr>
          <w:color w:val="000000" w:themeColor="text1"/>
          <w:lang w:eastAsia="de-DE"/>
        </w:rPr>
        <w:t xml:space="preserve"> </w:t>
      </w:r>
      <w:proofErr w:type="spellStart"/>
      <w:r w:rsidR="00AF6E31" w:rsidRPr="007F7FF5">
        <w:rPr>
          <w:rStyle w:val="HTMLZitat"/>
          <w:i w:val="0"/>
          <w:color w:val="000000" w:themeColor="text1"/>
        </w:rPr>
        <w:t>Radiat</w:t>
      </w:r>
      <w:proofErr w:type="spellEnd"/>
      <w:r w:rsidR="00AF6E31" w:rsidRPr="007F7FF5">
        <w:rPr>
          <w:rStyle w:val="HTMLZitat"/>
          <w:i w:val="0"/>
          <w:color w:val="000000" w:themeColor="text1"/>
        </w:rPr>
        <w:t>. Prot. Dosimetry</w:t>
      </w:r>
      <w:r w:rsidR="00AF6E31" w:rsidRPr="007F7FF5">
        <w:rPr>
          <w:rStyle w:val="slug-pub-date"/>
          <w:i/>
          <w:iCs/>
          <w:color w:val="000000" w:themeColor="text1"/>
        </w:rPr>
        <w:t xml:space="preserve"> </w:t>
      </w:r>
      <w:r w:rsidR="00AF6E31" w:rsidRPr="007F7FF5">
        <w:rPr>
          <w:rStyle w:val="slug-pub-date"/>
          <w:iCs/>
          <w:color w:val="000000" w:themeColor="text1"/>
        </w:rPr>
        <w:t xml:space="preserve">(2015) </w:t>
      </w:r>
      <w:proofErr w:type="spellStart"/>
      <w:r w:rsidR="00AF6E31" w:rsidRPr="007F7FF5">
        <w:rPr>
          <w:rStyle w:val="slug-doi-wrapper"/>
          <w:iCs/>
          <w:color w:val="000000" w:themeColor="text1"/>
        </w:rPr>
        <w:t>doi</w:t>
      </w:r>
      <w:proofErr w:type="spellEnd"/>
      <w:r w:rsidR="00AF6E31" w:rsidRPr="007F7FF5">
        <w:rPr>
          <w:rStyle w:val="slug-doi-wrapper"/>
          <w:iCs/>
          <w:color w:val="000000" w:themeColor="text1"/>
        </w:rPr>
        <w:t xml:space="preserve">: </w:t>
      </w:r>
      <w:r w:rsidR="00AF6E31" w:rsidRPr="007F7FF5">
        <w:rPr>
          <w:rStyle w:val="slug-doi"/>
          <w:iCs/>
          <w:color w:val="000000" w:themeColor="text1"/>
        </w:rPr>
        <w:t xml:space="preserve">10.1093/ </w:t>
      </w:r>
      <w:proofErr w:type="spellStart"/>
      <w:r w:rsidR="00AF6E31" w:rsidRPr="007F7FF5">
        <w:rPr>
          <w:rStyle w:val="slug-doi"/>
          <w:iCs/>
          <w:color w:val="000000" w:themeColor="text1"/>
        </w:rPr>
        <w:t>pd</w:t>
      </w:r>
      <w:proofErr w:type="spellEnd"/>
      <w:r w:rsidR="00AF6E31" w:rsidRPr="007F7FF5">
        <w:rPr>
          <w:rStyle w:val="slug-doi"/>
          <w:iCs/>
          <w:color w:val="000000" w:themeColor="text1"/>
        </w:rPr>
        <w:t>/ncv406</w:t>
      </w:r>
    </w:p>
    <w:p w:rsidR="007504D9" w:rsidRPr="007F7FF5" w:rsidRDefault="007504D9" w:rsidP="007504D9">
      <w:pPr>
        <w:pStyle w:val="Reference"/>
        <w:rPr>
          <w:rStyle w:val="BibRef"/>
          <w:color w:val="000000" w:themeColor="text1"/>
          <w:lang w:eastAsia="de-DE"/>
        </w:rPr>
      </w:pPr>
      <w:r w:rsidRPr="007F7FF5">
        <w:rPr>
          <w:color w:val="000000" w:themeColor="text1"/>
          <w:lang w:eastAsia="de-DE"/>
        </w:rPr>
        <w:t xml:space="preserve">International Atomic Energy Agency. </w:t>
      </w:r>
      <w:r w:rsidRPr="007F7FF5">
        <w:rPr>
          <w:i/>
          <w:color w:val="000000" w:themeColor="text1"/>
          <w:lang w:eastAsia="de-DE"/>
        </w:rPr>
        <w:t>Compendium of neutron spectra and detector responses for radiation protection purposes: supplement to Technical Report Series No. 318</w:t>
      </w:r>
      <w:r w:rsidRPr="007F7FF5">
        <w:rPr>
          <w:rFonts w:ascii="AdvTT2a1c7c1f" w:hAnsi="AdvTT2a1c7c1f" w:cs="AdvTT2a1c7c1f"/>
          <w:i/>
          <w:color w:val="000000" w:themeColor="text1"/>
          <w:lang w:eastAsia="de-DE"/>
        </w:rPr>
        <w:t xml:space="preserve">. </w:t>
      </w:r>
      <w:r w:rsidRPr="007F7FF5">
        <w:rPr>
          <w:rFonts w:ascii="AdvTT2a1c7c1f" w:hAnsi="AdvTT2a1c7c1f" w:cs="AdvTT2a1c7c1f"/>
          <w:color w:val="000000" w:themeColor="text1"/>
          <w:lang w:eastAsia="de-DE"/>
        </w:rPr>
        <w:t xml:space="preserve">Technical Report Series No. 403. </w:t>
      </w:r>
      <w:r w:rsidRPr="007F7FF5">
        <w:rPr>
          <w:rFonts w:ascii="AdvTT2a1c7c1f" w:hAnsi="AdvTT2a1c7c1f" w:cs="AdvTT2a1c7c1f"/>
          <w:color w:val="000000" w:themeColor="text1"/>
          <w:lang w:val="de-DE" w:eastAsia="de-DE"/>
        </w:rPr>
        <w:t>IAEA. (2001).</w:t>
      </w:r>
    </w:p>
    <w:p w:rsidR="001B50AF" w:rsidRPr="007F7FF5" w:rsidRDefault="001B50AF" w:rsidP="001B50AF">
      <w:pPr>
        <w:pStyle w:val="Reference"/>
        <w:rPr>
          <w:color w:val="000000" w:themeColor="text1"/>
          <w:lang w:eastAsia="de-DE"/>
        </w:rPr>
      </w:pPr>
      <w:proofErr w:type="spellStart"/>
      <w:r w:rsidRPr="007F7FF5">
        <w:rPr>
          <w:color w:val="000000" w:themeColor="text1"/>
          <w:lang w:eastAsia="de-DE"/>
        </w:rPr>
        <w:t>Mitaroff</w:t>
      </w:r>
      <w:proofErr w:type="spellEnd"/>
      <w:r w:rsidRPr="007F7FF5">
        <w:rPr>
          <w:color w:val="000000" w:themeColor="text1"/>
          <w:lang w:eastAsia="de-DE"/>
        </w:rPr>
        <w:t xml:space="preserve">, A. and </w:t>
      </w:r>
      <w:proofErr w:type="spellStart"/>
      <w:r w:rsidRPr="007F7FF5">
        <w:rPr>
          <w:color w:val="000000" w:themeColor="text1"/>
          <w:lang w:eastAsia="de-DE"/>
        </w:rPr>
        <w:t>Silari</w:t>
      </w:r>
      <w:proofErr w:type="spellEnd"/>
      <w:r w:rsidRPr="007F7FF5">
        <w:rPr>
          <w:color w:val="000000" w:themeColor="text1"/>
          <w:lang w:eastAsia="de-DE"/>
        </w:rPr>
        <w:t xml:space="preserve">, M. </w:t>
      </w:r>
      <w:r w:rsidRPr="007F7FF5">
        <w:rPr>
          <w:i/>
          <w:color w:val="000000" w:themeColor="text1"/>
          <w:lang w:eastAsia="de-DE"/>
        </w:rPr>
        <w:t>The CERN–EU High-Energy Reference Field (CERF) Facility for Dosimetry at Commercial Flight Altitudes and in Space.</w:t>
      </w:r>
      <w:r w:rsidRPr="007F7FF5">
        <w:rPr>
          <w:b/>
          <w:color w:val="000000" w:themeColor="text1"/>
          <w:lang w:eastAsia="de-DE"/>
        </w:rPr>
        <w:t xml:space="preserve"> </w:t>
      </w:r>
      <w:proofErr w:type="spellStart"/>
      <w:r w:rsidRPr="007F7FF5">
        <w:rPr>
          <w:color w:val="000000" w:themeColor="text1"/>
          <w:lang w:eastAsia="de-DE"/>
        </w:rPr>
        <w:t>Radiat</w:t>
      </w:r>
      <w:proofErr w:type="spellEnd"/>
      <w:r w:rsidRPr="007F7FF5">
        <w:rPr>
          <w:color w:val="000000" w:themeColor="text1"/>
          <w:lang w:eastAsia="de-DE"/>
        </w:rPr>
        <w:t xml:space="preserve">. Prot. </w:t>
      </w:r>
      <w:proofErr w:type="spellStart"/>
      <w:r w:rsidRPr="007F7FF5">
        <w:rPr>
          <w:color w:val="000000" w:themeColor="text1"/>
          <w:lang w:eastAsia="de-DE"/>
        </w:rPr>
        <w:t>Dosim</w:t>
      </w:r>
      <w:proofErr w:type="spellEnd"/>
      <w:r w:rsidRPr="007F7FF5">
        <w:rPr>
          <w:color w:val="000000" w:themeColor="text1"/>
          <w:lang w:eastAsia="de-DE"/>
        </w:rPr>
        <w:t xml:space="preserve">. </w:t>
      </w:r>
      <w:r w:rsidRPr="007F7FF5">
        <w:rPr>
          <w:b/>
          <w:color w:val="000000" w:themeColor="text1"/>
          <w:lang w:eastAsia="de-DE"/>
        </w:rPr>
        <w:t>102</w:t>
      </w:r>
      <w:r w:rsidRPr="007F7FF5">
        <w:rPr>
          <w:color w:val="000000" w:themeColor="text1"/>
          <w:lang w:eastAsia="de-DE"/>
        </w:rPr>
        <w:t>, 7–22 (2002).</w:t>
      </w:r>
    </w:p>
    <w:p w:rsidR="00854670" w:rsidRPr="007F7FF5" w:rsidRDefault="004F79BB" w:rsidP="00A8189F">
      <w:pPr>
        <w:pStyle w:val="Reference"/>
        <w:rPr>
          <w:color w:val="000000" w:themeColor="text1"/>
          <w:lang w:eastAsia="de-DE"/>
        </w:rPr>
      </w:pPr>
      <w:r w:rsidRPr="007F7FF5">
        <w:rPr>
          <w:rFonts w:ascii="AdvP496EB2" w:hAnsi="AdvP496EB2" w:cs="AdvP496EB2"/>
          <w:color w:val="000000" w:themeColor="text1"/>
          <w:szCs w:val="18"/>
          <w:lang w:eastAsia="de-DE"/>
        </w:rPr>
        <w:t xml:space="preserve">Iwase H., </w:t>
      </w:r>
      <w:proofErr w:type="spellStart"/>
      <w:r w:rsidRPr="007F7FF5">
        <w:rPr>
          <w:rFonts w:ascii="AdvP496EB2" w:hAnsi="AdvP496EB2" w:cs="AdvP496EB2"/>
          <w:color w:val="000000" w:themeColor="text1"/>
          <w:szCs w:val="18"/>
          <w:lang w:eastAsia="de-DE"/>
        </w:rPr>
        <w:t>Wiegel</w:t>
      </w:r>
      <w:proofErr w:type="spellEnd"/>
      <w:r w:rsidRPr="007F7FF5">
        <w:rPr>
          <w:rFonts w:ascii="AdvP496EB2" w:hAnsi="AdvP496EB2" w:cs="AdvP496EB2"/>
          <w:color w:val="000000" w:themeColor="text1"/>
          <w:szCs w:val="18"/>
          <w:lang w:eastAsia="de-DE"/>
        </w:rPr>
        <w:t xml:space="preserve">, B., </w:t>
      </w:r>
      <w:proofErr w:type="spellStart"/>
      <w:r w:rsidRPr="007F7FF5">
        <w:rPr>
          <w:rFonts w:ascii="AdvP496EB2" w:hAnsi="AdvP496EB2" w:cs="AdvP496EB2"/>
          <w:color w:val="000000" w:themeColor="text1"/>
          <w:szCs w:val="18"/>
          <w:lang w:eastAsia="de-DE"/>
        </w:rPr>
        <w:t>Fehrenbacher</w:t>
      </w:r>
      <w:proofErr w:type="spellEnd"/>
      <w:r w:rsidRPr="007F7FF5">
        <w:rPr>
          <w:rFonts w:ascii="AdvP496EB2" w:hAnsi="AdvP496EB2" w:cs="AdvP496EB2"/>
          <w:color w:val="000000" w:themeColor="text1"/>
          <w:szCs w:val="18"/>
          <w:lang w:eastAsia="de-DE"/>
        </w:rPr>
        <w:t xml:space="preserve"> G., </w:t>
      </w:r>
      <w:proofErr w:type="spellStart"/>
      <w:r w:rsidRPr="007F7FF5">
        <w:rPr>
          <w:rFonts w:ascii="AdvP496EB2" w:hAnsi="AdvP496EB2" w:cs="AdvP496EB2"/>
          <w:color w:val="000000" w:themeColor="text1"/>
          <w:szCs w:val="18"/>
          <w:lang w:eastAsia="de-DE"/>
        </w:rPr>
        <w:t>Schardt</w:t>
      </w:r>
      <w:proofErr w:type="spellEnd"/>
      <w:r w:rsidRPr="007F7FF5">
        <w:rPr>
          <w:rFonts w:ascii="AdvP496EB2" w:hAnsi="AdvP496EB2" w:cs="AdvP496EB2"/>
          <w:color w:val="000000" w:themeColor="text1"/>
          <w:szCs w:val="18"/>
          <w:lang w:eastAsia="de-DE"/>
        </w:rPr>
        <w:t xml:space="preserve"> D.,</w:t>
      </w:r>
      <w:r w:rsidR="00574224" w:rsidRPr="007F7FF5">
        <w:rPr>
          <w:rFonts w:ascii="AdvP496EB2" w:hAnsi="AdvP496EB2" w:cs="AdvP496EB2"/>
          <w:color w:val="000000" w:themeColor="text1"/>
          <w:szCs w:val="18"/>
          <w:lang w:eastAsia="de-DE"/>
        </w:rPr>
        <w:t xml:space="preserve"> </w:t>
      </w:r>
      <w:r w:rsidRPr="007F7FF5">
        <w:rPr>
          <w:rFonts w:ascii="AdvP496EB2" w:hAnsi="AdvP496EB2" w:cs="AdvP496EB2"/>
          <w:color w:val="000000" w:themeColor="text1"/>
          <w:szCs w:val="18"/>
          <w:lang w:eastAsia="de-DE"/>
        </w:rPr>
        <w:t xml:space="preserve">Nakamura, </w:t>
      </w:r>
      <w:r w:rsidR="00574224" w:rsidRPr="007F7FF5">
        <w:rPr>
          <w:rFonts w:ascii="AdvP496EB2" w:hAnsi="AdvP496EB2" w:cs="AdvP496EB2"/>
          <w:color w:val="000000" w:themeColor="text1"/>
          <w:szCs w:val="18"/>
          <w:lang w:eastAsia="de-DE"/>
        </w:rPr>
        <w:t xml:space="preserve">T., </w:t>
      </w:r>
      <w:proofErr w:type="spellStart"/>
      <w:r w:rsidRPr="007F7FF5">
        <w:rPr>
          <w:rFonts w:ascii="AdvP496EB2" w:hAnsi="AdvP496EB2" w:cs="AdvP496EB2"/>
          <w:color w:val="000000" w:themeColor="text1"/>
          <w:szCs w:val="18"/>
          <w:lang w:eastAsia="de-DE"/>
        </w:rPr>
        <w:t>Niita</w:t>
      </w:r>
      <w:proofErr w:type="spellEnd"/>
      <w:r w:rsidR="00574224" w:rsidRPr="007F7FF5">
        <w:rPr>
          <w:rFonts w:ascii="AdvP496EB2" w:hAnsi="AdvP496EB2" w:cs="AdvP496EB2"/>
          <w:color w:val="000000" w:themeColor="text1"/>
          <w:szCs w:val="18"/>
          <w:lang w:eastAsia="de-DE"/>
        </w:rPr>
        <w:t>, K.</w:t>
      </w:r>
      <w:r w:rsidRPr="007F7FF5">
        <w:rPr>
          <w:rFonts w:ascii="AdvP496EB2" w:hAnsi="AdvP496EB2" w:cs="AdvP496EB2"/>
          <w:color w:val="000000" w:themeColor="text1"/>
          <w:sz w:val="12"/>
          <w:szCs w:val="12"/>
          <w:lang w:eastAsia="de-DE"/>
        </w:rPr>
        <w:t xml:space="preserve"> </w:t>
      </w:r>
      <w:r w:rsidRPr="007F7FF5">
        <w:rPr>
          <w:rFonts w:ascii="AdvP496EB2" w:hAnsi="AdvP496EB2" w:cs="AdvP496EB2"/>
          <w:color w:val="000000" w:themeColor="text1"/>
          <w:szCs w:val="18"/>
          <w:lang w:eastAsia="de-DE"/>
        </w:rPr>
        <w:t>and T. Radon</w:t>
      </w:r>
      <w:r w:rsidR="00574224" w:rsidRPr="007F7FF5">
        <w:rPr>
          <w:rFonts w:ascii="AdvP496EB2" w:hAnsi="AdvP496EB2" w:cs="AdvP496EB2"/>
          <w:color w:val="000000" w:themeColor="text1"/>
          <w:szCs w:val="18"/>
          <w:lang w:eastAsia="de-DE"/>
        </w:rPr>
        <w:t xml:space="preserve"> </w:t>
      </w:r>
      <w:r w:rsidR="00574224" w:rsidRPr="007F7FF5">
        <w:rPr>
          <w:rFonts w:ascii="AdvP496EB2" w:hAnsi="AdvP496EB2" w:cs="AdvP496EB2"/>
          <w:i/>
          <w:color w:val="000000" w:themeColor="text1"/>
          <w:szCs w:val="18"/>
          <w:lang w:eastAsia="de-DE"/>
        </w:rPr>
        <w:t>Comparison b</w:t>
      </w:r>
      <w:r w:rsidR="00574224" w:rsidRPr="007F7FF5">
        <w:rPr>
          <w:rFonts w:ascii="AdvP496EB2" w:hAnsi="AdvP496EB2" w:cs="AdvP496EB2"/>
          <w:i/>
          <w:color w:val="000000" w:themeColor="text1"/>
          <w:szCs w:val="18"/>
          <w:lang w:eastAsia="de-DE"/>
        </w:rPr>
        <w:t>e</w:t>
      </w:r>
      <w:r w:rsidR="00574224" w:rsidRPr="007F7FF5">
        <w:rPr>
          <w:rFonts w:ascii="AdvP496EB2" w:hAnsi="AdvP496EB2" w:cs="AdvP496EB2"/>
          <w:i/>
          <w:color w:val="000000" w:themeColor="text1"/>
          <w:szCs w:val="18"/>
          <w:lang w:eastAsia="de-DE"/>
        </w:rPr>
        <w:t>tween calculation and measured data on secondary neutron spectra by heavy ion reactions from different thick targets.</w:t>
      </w:r>
      <w:r w:rsidR="00574224" w:rsidRPr="007F7FF5">
        <w:rPr>
          <w:rFonts w:ascii="AdvP496EB2" w:hAnsi="AdvP496EB2" w:cs="AdvP496EB2"/>
          <w:color w:val="000000" w:themeColor="text1"/>
          <w:szCs w:val="18"/>
          <w:lang w:eastAsia="de-DE"/>
        </w:rPr>
        <w:t xml:space="preserve"> </w:t>
      </w:r>
      <w:r w:rsidR="00574224" w:rsidRPr="007F7FF5">
        <w:rPr>
          <w:color w:val="000000" w:themeColor="text1"/>
          <w:lang w:eastAsia="de-DE"/>
        </w:rPr>
        <w:t xml:space="preserve">Prot. </w:t>
      </w:r>
      <w:proofErr w:type="spellStart"/>
      <w:r w:rsidR="00574224" w:rsidRPr="007F7FF5">
        <w:rPr>
          <w:color w:val="000000" w:themeColor="text1"/>
          <w:lang w:eastAsia="de-DE"/>
        </w:rPr>
        <w:t>Dosim</w:t>
      </w:r>
      <w:proofErr w:type="spellEnd"/>
      <w:r w:rsidR="00574224" w:rsidRPr="007F7FF5">
        <w:rPr>
          <w:color w:val="000000" w:themeColor="text1"/>
          <w:lang w:eastAsia="de-DE"/>
        </w:rPr>
        <w:t xml:space="preserve">. </w:t>
      </w:r>
      <w:r w:rsidR="00574224" w:rsidRPr="007F7FF5">
        <w:rPr>
          <w:b/>
          <w:bCs/>
          <w:color w:val="000000" w:themeColor="text1"/>
          <w:lang w:eastAsia="de-DE"/>
        </w:rPr>
        <w:t>116</w:t>
      </w:r>
      <w:r w:rsidR="00574224" w:rsidRPr="007F7FF5">
        <w:rPr>
          <w:color w:val="000000" w:themeColor="text1"/>
          <w:lang w:eastAsia="de-DE"/>
        </w:rPr>
        <w:t>, 640–646 (2005).</w:t>
      </w:r>
    </w:p>
    <w:p w:rsidR="00A8189F" w:rsidRPr="007F7FF5" w:rsidRDefault="00A8189F" w:rsidP="00A8189F">
      <w:pPr>
        <w:pStyle w:val="Reference"/>
        <w:rPr>
          <w:color w:val="000000" w:themeColor="text1"/>
          <w:lang w:eastAsia="de-DE"/>
        </w:rPr>
      </w:pPr>
      <w:proofErr w:type="spellStart"/>
      <w:r w:rsidRPr="007F7FF5">
        <w:rPr>
          <w:color w:val="000000" w:themeColor="text1"/>
          <w:lang w:eastAsia="de-DE"/>
        </w:rPr>
        <w:t>Piesch</w:t>
      </w:r>
      <w:proofErr w:type="spellEnd"/>
      <w:r w:rsidRPr="007F7FF5">
        <w:rPr>
          <w:color w:val="000000" w:themeColor="text1"/>
          <w:lang w:eastAsia="de-DE"/>
        </w:rPr>
        <w:t xml:space="preserve">, E. and Burgkhardt, B. </w:t>
      </w:r>
      <w:r w:rsidRPr="007F7FF5">
        <w:rPr>
          <w:i/>
          <w:color w:val="000000" w:themeColor="text1"/>
          <w:lang w:eastAsia="de-DE"/>
        </w:rPr>
        <w:t>Albedo Neutron Dosim</w:t>
      </w:r>
      <w:r w:rsidRPr="007F7FF5">
        <w:rPr>
          <w:i/>
          <w:color w:val="000000" w:themeColor="text1"/>
          <w:lang w:eastAsia="de-DE"/>
        </w:rPr>
        <w:t>e</w:t>
      </w:r>
      <w:r w:rsidRPr="007F7FF5">
        <w:rPr>
          <w:i/>
          <w:color w:val="000000" w:themeColor="text1"/>
          <w:lang w:eastAsia="de-DE"/>
        </w:rPr>
        <w:t>try.</w:t>
      </w:r>
      <w:r w:rsidRPr="007F7FF5">
        <w:rPr>
          <w:color w:val="000000" w:themeColor="text1"/>
          <w:lang w:eastAsia="de-DE"/>
        </w:rPr>
        <w:t xml:space="preserve"> </w:t>
      </w:r>
      <w:proofErr w:type="spellStart"/>
      <w:r w:rsidRPr="007F7FF5">
        <w:rPr>
          <w:color w:val="000000" w:themeColor="text1"/>
          <w:lang w:eastAsia="de-DE"/>
        </w:rPr>
        <w:t>Radiat</w:t>
      </w:r>
      <w:proofErr w:type="spellEnd"/>
      <w:r w:rsidRPr="007F7FF5">
        <w:rPr>
          <w:color w:val="000000" w:themeColor="text1"/>
          <w:lang w:eastAsia="de-DE"/>
        </w:rPr>
        <w:t xml:space="preserve">. Prot. </w:t>
      </w:r>
      <w:proofErr w:type="spellStart"/>
      <w:r w:rsidRPr="007F7FF5">
        <w:rPr>
          <w:color w:val="000000" w:themeColor="text1"/>
          <w:lang w:eastAsia="de-DE"/>
        </w:rPr>
        <w:t>Dosim</w:t>
      </w:r>
      <w:proofErr w:type="spellEnd"/>
      <w:r w:rsidRPr="007F7FF5">
        <w:rPr>
          <w:color w:val="000000" w:themeColor="text1"/>
          <w:lang w:eastAsia="de-DE"/>
        </w:rPr>
        <w:t xml:space="preserve">. </w:t>
      </w:r>
      <w:r w:rsidRPr="007F7FF5">
        <w:rPr>
          <w:b/>
          <w:bCs/>
          <w:color w:val="000000" w:themeColor="text1"/>
          <w:lang w:eastAsia="de-DE"/>
        </w:rPr>
        <w:t>1</w:t>
      </w:r>
      <w:r w:rsidR="006E32E7" w:rsidRPr="007F7FF5">
        <w:rPr>
          <w:b/>
          <w:bCs/>
          <w:color w:val="000000" w:themeColor="text1"/>
          <w:lang w:eastAsia="de-DE"/>
        </w:rPr>
        <w:t>0.</w:t>
      </w:r>
      <w:r w:rsidRPr="007F7FF5">
        <w:rPr>
          <w:color w:val="000000" w:themeColor="text1"/>
          <w:lang w:eastAsia="de-DE"/>
        </w:rPr>
        <w:t xml:space="preserve"> 175–188 (1985).</w:t>
      </w:r>
    </w:p>
    <w:p w:rsidR="00527AF2" w:rsidRPr="007F7FF5" w:rsidRDefault="00527AF2" w:rsidP="00527AF2">
      <w:pPr>
        <w:pStyle w:val="Reference"/>
        <w:rPr>
          <w:bCs/>
          <w:color w:val="000000" w:themeColor="text1"/>
          <w:lang w:eastAsia="de-DE"/>
        </w:rPr>
      </w:pPr>
      <w:proofErr w:type="spellStart"/>
      <w:r w:rsidRPr="007F7FF5">
        <w:rPr>
          <w:color w:val="000000" w:themeColor="text1"/>
          <w:lang w:val="de-DE" w:eastAsia="de-DE"/>
        </w:rPr>
        <w:t>Luszik-Bhadra</w:t>
      </w:r>
      <w:proofErr w:type="spellEnd"/>
      <w:r w:rsidRPr="007F7FF5">
        <w:rPr>
          <w:color w:val="000000" w:themeColor="text1"/>
          <w:lang w:val="de-DE" w:eastAsia="de-DE"/>
        </w:rPr>
        <w:t xml:space="preserve">, M., </w:t>
      </w:r>
      <w:proofErr w:type="spellStart"/>
      <w:r w:rsidRPr="007F7FF5">
        <w:rPr>
          <w:color w:val="000000" w:themeColor="text1"/>
          <w:lang w:val="de-DE" w:eastAsia="de-DE"/>
        </w:rPr>
        <w:t>Zimbal</w:t>
      </w:r>
      <w:proofErr w:type="spellEnd"/>
      <w:r w:rsidRPr="007F7FF5">
        <w:rPr>
          <w:color w:val="000000" w:themeColor="text1"/>
          <w:lang w:val="de-DE" w:eastAsia="de-DE"/>
        </w:rPr>
        <w:t>, A., Busch, F., Eichelbe</w:t>
      </w:r>
      <w:r w:rsidRPr="007F7FF5">
        <w:rPr>
          <w:color w:val="000000" w:themeColor="text1"/>
          <w:lang w:val="de-DE" w:eastAsia="de-DE"/>
        </w:rPr>
        <w:t>r</w:t>
      </w:r>
      <w:r w:rsidRPr="007F7FF5">
        <w:rPr>
          <w:color w:val="000000" w:themeColor="text1"/>
          <w:lang w:val="de-DE" w:eastAsia="de-DE"/>
        </w:rPr>
        <w:t xml:space="preserve">ger, A., Engelhardt, J., Figel, M., </w:t>
      </w:r>
      <w:proofErr w:type="spellStart"/>
      <w:r w:rsidRPr="007F7FF5">
        <w:rPr>
          <w:color w:val="000000" w:themeColor="text1"/>
          <w:lang w:val="de-DE" w:eastAsia="de-DE"/>
        </w:rPr>
        <w:t>Frasch</w:t>
      </w:r>
      <w:proofErr w:type="spellEnd"/>
      <w:r w:rsidRPr="007F7FF5">
        <w:rPr>
          <w:color w:val="000000" w:themeColor="text1"/>
          <w:lang w:val="de-DE" w:eastAsia="de-DE"/>
        </w:rPr>
        <w:t xml:space="preserve">, G., Günther, K., Jordan, M., Martini, E., Haninger, T., </w:t>
      </w:r>
      <w:proofErr w:type="spellStart"/>
      <w:r w:rsidRPr="007F7FF5">
        <w:rPr>
          <w:color w:val="000000" w:themeColor="text1"/>
          <w:lang w:val="de-DE" w:eastAsia="de-DE"/>
        </w:rPr>
        <w:t>Rimpler</w:t>
      </w:r>
      <w:proofErr w:type="spellEnd"/>
      <w:r w:rsidRPr="007F7FF5">
        <w:rPr>
          <w:color w:val="000000" w:themeColor="text1"/>
          <w:lang w:val="de-DE" w:eastAsia="de-DE"/>
        </w:rPr>
        <w:t xml:space="preserve">, A., </w:t>
      </w:r>
      <w:proofErr w:type="spellStart"/>
      <w:r w:rsidRPr="007F7FF5">
        <w:rPr>
          <w:color w:val="000000" w:themeColor="text1"/>
          <w:lang w:val="de-DE" w:eastAsia="de-DE"/>
        </w:rPr>
        <w:t>and</w:t>
      </w:r>
      <w:proofErr w:type="spellEnd"/>
      <w:r w:rsidRPr="007F7FF5">
        <w:rPr>
          <w:color w:val="000000" w:themeColor="text1"/>
          <w:lang w:val="de-DE" w:eastAsia="de-DE"/>
        </w:rPr>
        <w:t xml:space="preserve"> Seifert, R.  </w:t>
      </w:r>
      <w:r w:rsidRPr="007F7FF5">
        <w:rPr>
          <w:i/>
          <w:color w:val="000000" w:themeColor="text1"/>
          <w:lang w:eastAsia="de-DE"/>
        </w:rPr>
        <w:t>Albedo neutron dosimetry in Germany: regulations and performance.</w:t>
      </w:r>
      <w:r w:rsidRPr="007F7FF5">
        <w:rPr>
          <w:color w:val="000000" w:themeColor="text1"/>
          <w:lang w:eastAsia="de-DE"/>
        </w:rPr>
        <w:t xml:space="preserve"> </w:t>
      </w:r>
      <w:proofErr w:type="spellStart"/>
      <w:r w:rsidRPr="007F7FF5">
        <w:rPr>
          <w:color w:val="000000" w:themeColor="text1"/>
          <w:lang w:eastAsia="de-DE"/>
        </w:rPr>
        <w:t>Radiat</w:t>
      </w:r>
      <w:proofErr w:type="spellEnd"/>
      <w:r w:rsidRPr="007F7FF5">
        <w:rPr>
          <w:color w:val="000000" w:themeColor="text1"/>
          <w:lang w:eastAsia="de-DE"/>
        </w:rPr>
        <w:t xml:space="preserve">. Prot. </w:t>
      </w:r>
      <w:proofErr w:type="spellStart"/>
      <w:r w:rsidRPr="007F7FF5">
        <w:rPr>
          <w:color w:val="000000" w:themeColor="text1"/>
          <w:lang w:eastAsia="de-DE"/>
        </w:rPr>
        <w:t>Dosim</w:t>
      </w:r>
      <w:proofErr w:type="spellEnd"/>
      <w:r w:rsidRPr="007F7FF5">
        <w:rPr>
          <w:color w:val="000000" w:themeColor="text1"/>
          <w:lang w:eastAsia="de-DE"/>
        </w:rPr>
        <w:t xml:space="preserve">. </w:t>
      </w:r>
      <w:r w:rsidRPr="007F7FF5">
        <w:rPr>
          <w:bCs/>
          <w:color w:val="000000" w:themeColor="text1"/>
          <w:lang w:eastAsia="de-DE"/>
        </w:rPr>
        <w:t>162</w:t>
      </w:r>
      <w:r w:rsidRPr="007F7FF5">
        <w:rPr>
          <w:color w:val="000000" w:themeColor="text1"/>
          <w:lang w:eastAsia="de-DE"/>
        </w:rPr>
        <w:t>, 649–</w:t>
      </w:r>
      <w:proofErr w:type="gramStart"/>
      <w:r w:rsidRPr="007F7FF5">
        <w:rPr>
          <w:color w:val="000000" w:themeColor="text1"/>
          <w:lang w:eastAsia="de-DE"/>
        </w:rPr>
        <w:t>656  (</w:t>
      </w:r>
      <w:proofErr w:type="gramEnd"/>
      <w:r w:rsidRPr="007F7FF5">
        <w:rPr>
          <w:color w:val="000000" w:themeColor="text1"/>
          <w:lang w:eastAsia="de-DE"/>
        </w:rPr>
        <w:t xml:space="preserve">2014). </w:t>
      </w:r>
    </w:p>
    <w:p w:rsidR="008232CC" w:rsidRPr="007F7FF5" w:rsidRDefault="008232CC" w:rsidP="008232CC">
      <w:pPr>
        <w:pStyle w:val="Reference"/>
        <w:rPr>
          <w:color w:val="000000" w:themeColor="text1"/>
          <w:lang w:eastAsia="de-DE"/>
        </w:rPr>
      </w:pPr>
      <w:r w:rsidRPr="007F7FF5">
        <w:rPr>
          <w:color w:val="000000" w:themeColor="text1"/>
          <w:lang w:eastAsia="de-DE"/>
        </w:rPr>
        <w:t xml:space="preserve">Burgkhardt, B. and </w:t>
      </w:r>
      <w:proofErr w:type="spellStart"/>
      <w:r w:rsidRPr="007F7FF5">
        <w:rPr>
          <w:color w:val="000000" w:themeColor="text1"/>
          <w:lang w:eastAsia="de-DE"/>
        </w:rPr>
        <w:t>Piesch</w:t>
      </w:r>
      <w:proofErr w:type="spellEnd"/>
      <w:r w:rsidRPr="007F7FF5">
        <w:rPr>
          <w:color w:val="000000" w:themeColor="text1"/>
          <w:lang w:eastAsia="de-DE"/>
        </w:rPr>
        <w:t xml:space="preserve">, E. </w:t>
      </w:r>
      <w:r w:rsidRPr="007F7FF5">
        <w:rPr>
          <w:i/>
          <w:color w:val="000000" w:themeColor="text1"/>
          <w:lang w:eastAsia="de-DE"/>
        </w:rPr>
        <w:t>Field calibration tec</w:t>
      </w:r>
      <w:r w:rsidRPr="007F7FF5">
        <w:rPr>
          <w:i/>
          <w:color w:val="000000" w:themeColor="text1"/>
          <w:lang w:eastAsia="de-DE"/>
        </w:rPr>
        <w:t>h</w:t>
      </w:r>
      <w:r w:rsidRPr="007F7FF5">
        <w:rPr>
          <w:i/>
          <w:color w:val="000000" w:themeColor="text1"/>
          <w:lang w:eastAsia="de-DE"/>
        </w:rPr>
        <w:t xml:space="preserve">nique for albedo neutron </w:t>
      </w:r>
      <w:proofErr w:type="spellStart"/>
      <w:r w:rsidR="00EB5933" w:rsidRPr="007F7FF5">
        <w:rPr>
          <w:i/>
          <w:color w:val="000000" w:themeColor="text1"/>
          <w:lang w:eastAsia="de-DE"/>
        </w:rPr>
        <w:t>dosemeter</w:t>
      </w:r>
      <w:r w:rsidRPr="007F7FF5">
        <w:rPr>
          <w:i/>
          <w:color w:val="000000" w:themeColor="text1"/>
          <w:lang w:eastAsia="de-DE"/>
        </w:rPr>
        <w:t>s</w:t>
      </w:r>
      <w:proofErr w:type="spellEnd"/>
      <w:r w:rsidRPr="007F7FF5">
        <w:rPr>
          <w:i/>
          <w:color w:val="000000" w:themeColor="text1"/>
          <w:lang w:eastAsia="de-DE"/>
        </w:rPr>
        <w:t>.</w:t>
      </w:r>
      <w:r w:rsidRPr="007F7FF5">
        <w:rPr>
          <w:color w:val="000000" w:themeColor="text1"/>
          <w:lang w:eastAsia="de-DE"/>
        </w:rPr>
        <w:t xml:space="preserve"> </w:t>
      </w:r>
      <w:proofErr w:type="spellStart"/>
      <w:r w:rsidRPr="007F7FF5">
        <w:rPr>
          <w:color w:val="000000" w:themeColor="text1"/>
          <w:lang w:eastAsia="de-DE"/>
        </w:rPr>
        <w:t>Radiat</w:t>
      </w:r>
      <w:proofErr w:type="spellEnd"/>
      <w:r w:rsidRPr="007F7FF5">
        <w:rPr>
          <w:color w:val="000000" w:themeColor="text1"/>
          <w:lang w:eastAsia="de-DE"/>
        </w:rPr>
        <w:t xml:space="preserve">. Prot. </w:t>
      </w:r>
      <w:proofErr w:type="spellStart"/>
      <w:r w:rsidRPr="007F7FF5">
        <w:rPr>
          <w:color w:val="000000" w:themeColor="text1"/>
          <w:lang w:eastAsia="de-DE"/>
        </w:rPr>
        <w:t>Dosim</w:t>
      </w:r>
      <w:proofErr w:type="spellEnd"/>
      <w:r w:rsidRPr="007F7FF5">
        <w:rPr>
          <w:color w:val="000000" w:themeColor="text1"/>
          <w:lang w:eastAsia="de-DE"/>
        </w:rPr>
        <w:t xml:space="preserve">. </w:t>
      </w:r>
      <w:r w:rsidRPr="007F7FF5">
        <w:rPr>
          <w:b/>
          <w:bCs/>
          <w:color w:val="000000" w:themeColor="text1"/>
          <w:lang w:eastAsia="de-DE"/>
        </w:rPr>
        <w:t>23</w:t>
      </w:r>
      <w:r w:rsidRPr="007F7FF5">
        <w:rPr>
          <w:color w:val="000000" w:themeColor="text1"/>
          <w:lang w:eastAsia="de-DE"/>
        </w:rPr>
        <w:t>, 121–126 (1988).</w:t>
      </w:r>
    </w:p>
    <w:p w:rsidR="001E49AA" w:rsidRPr="007F7FF5" w:rsidRDefault="001E49AA" w:rsidP="00527AF2">
      <w:pPr>
        <w:pStyle w:val="Reference"/>
        <w:rPr>
          <w:rStyle w:val="BibRef"/>
          <w:color w:val="000000" w:themeColor="text1"/>
          <w:lang w:eastAsia="de-DE"/>
        </w:rPr>
      </w:pPr>
      <w:proofErr w:type="spellStart"/>
      <w:r w:rsidRPr="007F7FF5">
        <w:rPr>
          <w:color w:val="000000" w:themeColor="text1"/>
          <w:lang w:eastAsia="de-DE"/>
        </w:rPr>
        <w:t>Luszik-Bhadra</w:t>
      </w:r>
      <w:proofErr w:type="spellEnd"/>
      <w:r w:rsidRPr="007F7FF5">
        <w:rPr>
          <w:color w:val="000000" w:themeColor="text1"/>
          <w:lang w:eastAsia="de-DE"/>
        </w:rPr>
        <w:t xml:space="preserve">, M. </w:t>
      </w:r>
      <w:r w:rsidRPr="007F7FF5">
        <w:rPr>
          <w:i/>
          <w:color w:val="000000" w:themeColor="text1"/>
          <w:lang w:eastAsia="de-DE"/>
        </w:rPr>
        <w:t>Field correction factors for perso</w:t>
      </w:r>
      <w:r w:rsidRPr="007F7FF5">
        <w:rPr>
          <w:i/>
          <w:color w:val="000000" w:themeColor="text1"/>
          <w:lang w:eastAsia="de-DE"/>
        </w:rPr>
        <w:t>n</w:t>
      </w:r>
      <w:r w:rsidRPr="007F7FF5">
        <w:rPr>
          <w:i/>
          <w:color w:val="000000" w:themeColor="text1"/>
          <w:lang w:eastAsia="de-DE"/>
        </w:rPr>
        <w:t>al</w:t>
      </w:r>
      <w:r w:rsidRPr="007F7FF5">
        <w:rPr>
          <w:color w:val="000000" w:themeColor="text1"/>
          <w:lang w:eastAsia="de-DE"/>
        </w:rPr>
        <w:t xml:space="preserve"> </w:t>
      </w:r>
      <w:r w:rsidRPr="007F7FF5">
        <w:rPr>
          <w:i/>
          <w:color w:val="000000" w:themeColor="text1"/>
          <w:lang w:eastAsia="de-DE"/>
        </w:rPr>
        <w:t xml:space="preserve">neutron </w:t>
      </w:r>
      <w:proofErr w:type="spellStart"/>
      <w:r w:rsidR="00EB5933" w:rsidRPr="007F7FF5">
        <w:rPr>
          <w:i/>
          <w:color w:val="000000" w:themeColor="text1"/>
          <w:lang w:eastAsia="de-DE"/>
        </w:rPr>
        <w:t>dosemeter</w:t>
      </w:r>
      <w:r w:rsidRPr="007F7FF5">
        <w:rPr>
          <w:i/>
          <w:color w:val="000000" w:themeColor="text1"/>
          <w:lang w:eastAsia="de-DE"/>
        </w:rPr>
        <w:t>s</w:t>
      </w:r>
      <w:proofErr w:type="spellEnd"/>
      <w:r w:rsidRPr="007F7FF5">
        <w:rPr>
          <w:i/>
          <w:color w:val="000000" w:themeColor="text1"/>
          <w:lang w:eastAsia="de-DE"/>
        </w:rPr>
        <w:t>.</w:t>
      </w:r>
      <w:r w:rsidRPr="007F7FF5">
        <w:rPr>
          <w:color w:val="000000" w:themeColor="text1"/>
          <w:lang w:eastAsia="de-DE"/>
        </w:rPr>
        <w:t xml:space="preserve"> </w:t>
      </w:r>
      <w:proofErr w:type="spellStart"/>
      <w:r w:rsidRPr="007F7FF5">
        <w:rPr>
          <w:color w:val="000000" w:themeColor="text1"/>
          <w:lang w:eastAsia="de-DE"/>
        </w:rPr>
        <w:t>Radiat</w:t>
      </w:r>
      <w:proofErr w:type="spellEnd"/>
      <w:r w:rsidRPr="007F7FF5">
        <w:rPr>
          <w:color w:val="000000" w:themeColor="text1"/>
          <w:lang w:eastAsia="de-DE"/>
        </w:rPr>
        <w:t xml:space="preserve">. Prot. </w:t>
      </w:r>
      <w:proofErr w:type="spellStart"/>
      <w:r w:rsidRPr="007F7FF5">
        <w:rPr>
          <w:color w:val="000000" w:themeColor="text1"/>
          <w:lang w:eastAsia="de-DE"/>
        </w:rPr>
        <w:t>Dosim</w:t>
      </w:r>
      <w:proofErr w:type="spellEnd"/>
      <w:r w:rsidRPr="007F7FF5">
        <w:rPr>
          <w:color w:val="000000" w:themeColor="text1"/>
          <w:lang w:eastAsia="de-DE"/>
        </w:rPr>
        <w:t>.  (2015).</w:t>
      </w:r>
      <w:r w:rsidR="00AF6E31" w:rsidRPr="007F7FF5">
        <w:rPr>
          <w:i/>
          <w:iCs/>
          <w:color w:val="000000" w:themeColor="text1"/>
        </w:rPr>
        <w:t xml:space="preserve"> </w:t>
      </w:r>
      <w:proofErr w:type="spellStart"/>
      <w:r w:rsidR="00AF6E31" w:rsidRPr="007F7FF5">
        <w:rPr>
          <w:rStyle w:val="slug-doi-wrapper"/>
          <w:iCs/>
          <w:color w:val="000000" w:themeColor="text1"/>
        </w:rPr>
        <w:t>doi</w:t>
      </w:r>
      <w:proofErr w:type="spellEnd"/>
      <w:r w:rsidR="00AF6E31" w:rsidRPr="007F7FF5">
        <w:rPr>
          <w:rStyle w:val="slug-doi-wrapper"/>
          <w:iCs/>
          <w:color w:val="000000" w:themeColor="text1"/>
        </w:rPr>
        <w:t xml:space="preserve">: </w:t>
      </w:r>
      <w:r w:rsidR="00AF6E31" w:rsidRPr="007F7FF5">
        <w:rPr>
          <w:rStyle w:val="slug-doi"/>
          <w:iCs/>
          <w:color w:val="000000" w:themeColor="text1"/>
        </w:rPr>
        <w:t>10.1093/</w:t>
      </w:r>
      <w:proofErr w:type="spellStart"/>
      <w:r w:rsidR="00AF6E31" w:rsidRPr="007F7FF5">
        <w:rPr>
          <w:rStyle w:val="slug-doi"/>
          <w:iCs/>
          <w:color w:val="000000" w:themeColor="text1"/>
        </w:rPr>
        <w:t>rpd</w:t>
      </w:r>
      <w:proofErr w:type="spellEnd"/>
      <w:r w:rsidR="00AF6E31" w:rsidRPr="007F7FF5">
        <w:rPr>
          <w:rStyle w:val="slug-doi"/>
          <w:iCs/>
          <w:color w:val="000000" w:themeColor="text1"/>
        </w:rPr>
        <w:t>/ncv444</w:t>
      </w:r>
    </w:p>
    <w:p w:rsidR="00857965" w:rsidRPr="007F7FF5" w:rsidRDefault="00857965" w:rsidP="00857965">
      <w:pPr>
        <w:pStyle w:val="Reference"/>
        <w:rPr>
          <w:rStyle w:val="BibRef"/>
          <w:rFonts w:ascii="Times New Roman" w:hAnsi="Times New Roman"/>
          <w:color w:val="000000" w:themeColor="text1"/>
          <w:szCs w:val="16"/>
          <w:lang w:eastAsia="de-DE"/>
        </w:rPr>
      </w:pPr>
      <w:proofErr w:type="spellStart"/>
      <w:r w:rsidRPr="007F7FF5">
        <w:rPr>
          <w:rFonts w:ascii="Times New Roman" w:hAnsi="Times New Roman"/>
          <w:color w:val="000000" w:themeColor="text1"/>
          <w:szCs w:val="16"/>
          <w:lang w:eastAsia="de-DE"/>
        </w:rPr>
        <w:t>Fehrenbacher</w:t>
      </w:r>
      <w:proofErr w:type="spellEnd"/>
      <w:r w:rsidRPr="007F7FF5">
        <w:rPr>
          <w:rFonts w:ascii="Times New Roman" w:hAnsi="Times New Roman"/>
          <w:color w:val="000000" w:themeColor="text1"/>
          <w:szCs w:val="16"/>
          <w:lang w:eastAsia="de-DE"/>
        </w:rPr>
        <w:t xml:space="preserve"> G., </w:t>
      </w:r>
      <w:proofErr w:type="spellStart"/>
      <w:r w:rsidRPr="007F7FF5">
        <w:rPr>
          <w:rFonts w:ascii="Times New Roman" w:hAnsi="Times New Roman"/>
          <w:color w:val="000000" w:themeColor="text1"/>
          <w:szCs w:val="16"/>
          <w:lang w:eastAsia="de-DE"/>
        </w:rPr>
        <w:t>Kozlova</w:t>
      </w:r>
      <w:proofErr w:type="spellEnd"/>
      <w:r w:rsidRPr="007F7FF5">
        <w:rPr>
          <w:rFonts w:ascii="Times New Roman" w:hAnsi="Times New Roman"/>
          <w:color w:val="000000" w:themeColor="text1"/>
          <w:szCs w:val="16"/>
          <w:lang w:eastAsia="de-DE"/>
        </w:rPr>
        <w:t xml:space="preserve"> E., </w:t>
      </w:r>
      <w:proofErr w:type="spellStart"/>
      <w:r w:rsidRPr="007F7FF5">
        <w:rPr>
          <w:rFonts w:ascii="Times New Roman" w:hAnsi="Times New Roman"/>
          <w:color w:val="000000" w:themeColor="text1"/>
          <w:szCs w:val="16"/>
          <w:lang w:eastAsia="de-DE"/>
        </w:rPr>
        <w:t>Gutermuth</w:t>
      </w:r>
      <w:proofErr w:type="spellEnd"/>
      <w:r w:rsidRPr="007F7FF5">
        <w:rPr>
          <w:rFonts w:ascii="Times New Roman" w:hAnsi="Times New Roman"/>
          <w:color w:val="000000" w:themeColor="text1"/>
          <w:szCs w:val="16"/>
          <w:lang w:eastAsia="de-DE"/>
        </w:rPr>
        <w:t xml:space="preserve"> F., Radon T.,  </w:t>
      </w:r>
      <w:proofErr w:type="spellStart"/>
      <w:r w:rsidRPr="007F7FF5">
        <w:rPr>
          <w:rFonts w:ascii="Times New Roman" w:hAnsi="Times New Roman"/>
          <w:color w:val="000000" w:themeColor="text1"/>
          <w:szCs w:val="16"/>
          <w:lang w:eastAsia="de-DE"/>
        </w:rPr>
        <w:t>Schütz</w:t>
      </w:r>
      <w:proofErr w:type="spellEnd"/>
      <w:r w:rsidRPr="007F7FF5">
        <w:rPr>
          <w:rFonts w:ascii="Times New Roman" w:hAnsi="Times New Roman"/>
          <w:color w:val="000000" w:themeColor="text1"/>
          <w:szCs w:val="16"/>
          <w:lang w:eastAsia="de-DE"/>
        </w:rPr>
        <w:t xml:space="preserve"> R., Nolte R. and </w:t>
      </w:r>
      <w:proofErr w:type="spellStart"/>
      <w:r w:rsidRPr="007F7FF5">
        <w:rPr>
          <w:rFonts w:ascii="Times New Roman" w:hAnsi="Times New Roman"/>
          <w:color w:val="000000" w:themeColor="text1"/>
          <w:szCs w:val="16"/>
          <w:lang w:eastAsia="de-DE"/>
        </w:rPr>
        <w:t>Böttger</w:t>
      </w:r>
      <w:proofErr w:type="spellEnd"/>
      <w:r w:rsidRPr="007F7FF5">
        <w:rPr>
          <w:rFonts w:ascii="Times New Roman" w:hAnsi="Times New Roman"/>
          <w:color w:val="000000" w:themeColor="text1"/>
          <w:szCs w:val="16"/>
          <w:lang w:eastAsia="de-DE"/>
        </w:rPr>
        <w:t xml:space="preserve"> R. </w:t>
      </w:r>
      <w:r w:rsidRPr="007F7FF5">
        <w:rPr>
          <w:rFonts w:ascii="Times New Roman" w:hAnsi="Times New Roman"/>
          <w:i/>
          <w:color w:val="000000" w:themeColor="text1"/>
          <w:szCs w:val="16"/>
          <w:lang w:eastAsia="de-DE"/>
        </w:rPr>
        <w:t xml:space="preserve">Measurement of the </w:t>
      </w:r>
      <w:proofErr w:type="spellStart"/>
      <w:r w:rsidRPr="007F7FF5">
        <w:rPr>
          <w:rFonts w:ascii="Times New Roman" w:hAnsi="Times New Roman"/>
          <w:i/>
          <w:color w:val="000000" w:themeColor="text1"/>
          <w:szCs w:val="16"/>
          <w:lang w:eastAsia="de-DE"/>
        </w:rPr>
        <w:t>fluence</w:t>
      </w:r>
      <w:proofErr w:type="spellEnd"/>
      <w:r w:rsidRPr="007F7FF5">
        <w:rPr>
          <w:rFonts w:ascii="Times New Roman" w:hAnsi="Times New Roman"/>
          <w:i/>
          <w:color w:val="000000" w:themeColor="text1"/>
          <w:szCs w:val="16"/>
          <w:lang w:eastAsia="de-DE"/>
        </w:rPr>
        <w:t xml:space="preserve"> response of the GSI neutron ball </w:t>
      </w:r>
      <w:proofErr w:type="spellStart"/>
      <w:r w:rsidRPr="007F7FF5">
        <w:rPr>
          <w:rFonts w:ascii="Times New Roman" w:hAnsi="Times New Roman"/>
          <w:i/>
          <w:color w:val="000000" w:themeColor="text1"/>
          <w:szCs w:val="16"/>
          <w:lang w:eastAsia="de-DE"/>
        </w:rPr>
        <w:t>dosemeter</w:t>
      </w:r>
      <w:proofErr w:type="spellEnd"/>
      <w:r w:rsidRPr="007F7FF5">
        <w:rPr>
          <w:rFonts w:ascii="Times New Roman" w:hAnsi="Times New Roman"/>
          <w:i/>
          <w:color w:val="000000" w:themeColor="text1"/>
          <w:szCs w:val="16"/>
          <w:lang w:eastAsia="de-DE"/>
        </w:rPr>
        <w:t xml:space="preserve"> in the energy range </w:t>
      </w:r>
      <w:proofErr w:type="spellStart"/>
      <w:r w:rsidRPr="007F7FF5">
        <w:rPr>
          <w:rFonts w:ascii="Times New Roman" w:hAnsi="Times New Roman"/>
          <w:i/>
          <w:color w:val="000000" w:themeColor="text1"/>
          <w:szCs w:val="16"/>
          <w:lang w:eastAsia="de-DE"/>
        </w:rPr>
        <w:t>fron</w:t>
      </w:r>
      <w:proofErr w:type="spellEnd"/>
      <w:r w:rsidRPr="007F7FF5">
        <w:rPr>
          <w:rFonts w:ascii="Times New Roman" w:hAnsi="Times New Roman"/>
          <w:i/>
          <w:color w:val="000000" w:themeColor="text1"/>
          <w:szCs w:val="16"/>
          <w:lang w:eastAsia="de-DE"/>
        </w:rPr>
        <w:t xml:space="preserve"> thermal to 19 MeV.</w:t>
      </w:r>
      <w:r w:rsidRPr="007F7FF5">
        <w:rPr>
          <w:rFonts w:ascii="Times New Roman" w:hAnsi="Times New Roman"/>
          <w:color w:val="000000" w:themeColor="text1"/>
          <w:szCs w:val="16"/>
          <w:lang w:eastAsia="de-DE"/>
        </w:rPr>
        <w:t xml:space="preserve"> </w:t>
      </w:r>
      <w:proofErr w:type="spellStart"/>
      <w:r w:rsidRPr="007F7FF5">
        <w:rPr>
          <w:color w:val="000000" w:themeColor="text1"/>
          <w:lang w:eastAsia="de-DE"/>
        </w:rPr>
        <w:t>Radiat</w:t>
      </w:r>
      <w:proofErr w:type="spellEnd"/>
      <w:r w:rsidRPr="007F7FF5">
        <w:rPr>
          <w:color w:val="000000" w:themeColor="text1"/>
          <w:lang w:eastAsia="de-DE"/>
        </w:rPr>
        <w:t xml:space="preserve">. Prot. </w:t>
      </w:r>
      <w:proofErr w:type="spellStart"/>
      <w:r w:rsidRPr="007F7FF5">
        <w:rPr>
          <w:color w:val="000000" w:themeColor="text1"/>
          <w:lang w:eastAsia="de-DE"/>
        </w:rPr>
        <w:t>Dosim</w:t>
      </w:r>
      <w:proofErr w:type="spellEnd"/>
      <w:r w:rsidRPr="007F7FF5">
        <w:rPr>
          <w:color w:val="000000" w:themeColor="text1"/>
          <w:lang w:eastAsia="de-DE"/>
        </w:rPr>
        <w:t xml:space="preserve">. </w:t>
      </w:r>
      <w:r w:rsidRPr="007F7FF5">
        <w:rPr>
          <w:b/>
          <w:bCs/>
          <w:color w:val="000000" w:themeColor="text1"/>
          <w:lang w:eastAsia="de-DE"/>
        </w:rPr>
        <w:t>126</w:t>
      </w:r>
      <w:r w:rsidRPr="007F7FF5">
        <w:rPr>
          <w:color w:val="000000" w:themeColor="text1"/>
          <w:lang w:eastAsia="de-DE"/>
        </w:rPr>
        <w:t>, 546–548 (2007).</w:t>
      </w:r>
    </w:p>
    <w:p w:rsidR="0006496B" w:rsidRPr="007F7FF5" w:rsidRDefault="0006496B" w:rsidP="0006496B">
      <w:pPr>
        <w:pStyle w:val="Reference"/>
        <w:rPr>
          <w:color w:val="000000" w:themeColor="text1"/>
          <w:lang w:eastAsia="de-DE"/>
        </w:rPr>
      </w:pPr>
      <w:r w:rsidRPr="007F7FF5">
        <w:rPr>
          <w:color w:val="000000" w:themeColor="text1"/>
        </w:rPr>
        <w:lastRenderedPageBreak/>
        <w:t>Ferrari</w:t>
      </w:r>
      <w:r w:rsidRPr="007F7FF5">
        <w:rPr>
          <w:color w:val="000000" w:themeColor="text1"/>
          <w:lang w:eastAsia="de-DE"/>
        </w:rPr>
        <w:t xml:space="preserve"> A. and </w:t>
      </w:r>
      <w:proofErr w:type="spellStart"/>
      <w:r w:rsidRPr="007F7FF5">
        <w:rPr>
          <w:color w:val="000000" w:themeColor="text1"/>
        </w:rPr>
        <w:t>Pelliccioni</w:t>
      </w:r>
      <w:proofErr w:type="spellEnd"/>
      <w:r w:rsidRPr="007F7FF5">
        <w:rPr>
          <w:color w:val="000000" w:themeColor="text1"/>
        </w:rPr>
        <w:t xml:space="preserve"> M. </w:t>
      </w:r>
      <w:proofErr w:type="spellStart"/>
      <w:r w:rsidRPr="007F7FF5">
        <w:rPr>
          <w:i/>
          <w:color w:val="000000" w:themeColor="text1"/>
        </w:rPr>
        <w:t>Fluence</w:t>
      </w:r>
      <w:proofErr w:type="spellEnd"/>
      <w:r w:rsidRPr="007F7FF5">
        <w:rPr>
          <w:i/>
          <w:color w:val="000000" w:themeColor="text1"/>
        </w:rPr>
        <w:t xml:space="preserve"> to dose equiv</w:t>
      </w:r>
      <w:r w:rsidRPr="007F7FF5">
        <w:rPr>
          <w:i/>
          <w:color w:val="000000" w:themeColor="text1"/>
        </w:rPr>
        <w:t>a</w:t>
      </w:r>
      <w:r w:rsidRPr="007F7FF5">
        <w:rPr>
          <w:i/>
          <w:color w:val="000000" w:themeColor="text1"/>
        </w:rPr>
        <w:t xml:space="preserve">lent conversion data and effective quality factors for </w:t>
      </w:r>
      <w:r w:rsidR="000275AA" w:rsidRPr="007F7FF5">
        <w:rPr>
          <w:i/>
          <w:color w:val="000000" w:themeColor="text1"/>
        </w:rPr>
        <w:t>high-energy</w:t>
      </w:r>
      <w:r w:rsidRPr="007F7FF5">
        <w:rPr>
          <w:i/>
          <w:color w:val="000000" w:themeColor="text1"/>
        </w:rPr>
        <w:t xml:space="preserve"> neutrons.</w:t>
      </w:r>
      <w:r w:rsidRPr="007F7FF5">
        <w:rPr>
          <w:color w:val="000000" w:themeColor="text1"/>
        </w:rPr>
        <w:t xml:space="preserve"> </w:t>
      </w:r>
      <w:r w:rsidRPr="007F7FF5">
        <w:rPr>
          <w:color w:val="000000" w:themeColor="text1"/>
          <w:lang w:eastAsia="de-DE"/>
        </w:rPr>
        <w:t xml:space="preserve">Radiation Protection Dosimetry </w:t>
      </w:r>
      <w:r w:rsidRPr="007F7FF5">
        <w:rPr>
          <w:b/>
          <w:color w:val="000000" w:themeColor="text1"/>
          <w:lang w:eastAsia="de-DE"/>
        </w:rPr>
        <w:t>76</w:t>
      </w:r>
      <w:r w:rsidRPr="007F7FF5">
        <w:rPr>
          <w:color w:val="000000" w:themeColor="text1"/>
          <w:lang w:eastAsia="de-DE"/>
        </w:rPr>
        <w:t>, 215–224 (1998)</w:t>
      </w:r>
      <w:r w:rsidR="00F67D51" w:rsidRPr="007F7FF5">
        <w:rPr>
          <w:color w:val="000000" w:themeColor="text1"/>
          <w:lang w:eastAsia="de-DE"/>
        </w:rPr>
        <w:t>.</w:t>
      </w:r>
    </w:p>
    <w:p w:rsidR="009E32D5" w:rsidRPr="007F7FF5" w:rsidRDefault="009E32D5" w:rsidP="002776E3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Cs w:val="18"/>
          <w:lang w:eastAsia="de-DE"/>
        </w:rPr>
        <w:sectPr w:rsidR="009E32D5" w:rsidRPr="007F7FF5" w:rsidSect="002A3ADC">
          <w:type w:val="continuous"/>
          <w:pgSz w:w="10715" w:h="13946" w:code="9"/>
          <w:pgMar w:top="1247" w:right="1525" w:bottom="1089" w:left="907" w:header="992" w:footer="737" w:gutter="0"/>
          <w:cols w:num="2" w:space="238"/>
          <w:titlePg/>
          <w:docGrid w:linePitch="360"/>
        </w:sectPr>
      </w:pPr>
    </w:p>
    <w:p w:rsidR="001E2687" w:rsidRPr="007F7FF5" w:rsidRDefault="001E2687" w:rsidP="00215B9C">
      <w:pPr>
        <w:spacing w:line="240" w:lineRule="auto"/>
        <w:rPr>
          <w:caps/>
          <w:color w:val="000000" w:themeColor="text1"/>
          <w:szCs w:val="18"/>
          <w:lang w:eastAsia="de-DE"/>
        </w:rPr>
      </w:pPr>
    </w:p>
    <w:p w:rsidR="00215B9C" w:rsidRPr="007F7FF5" w:rsidRDefault="001E2687" w:rsidP="00215B9C">
      <w:pPr>
        <w:spacing w:line="240" w:lineRule="auto"/>
        <w:rPr>
          <w:caps/>
          <w:color w:val="000000" w:themeColor="text1"/>
          <w:szCs w:val="18"/>
          <w:lang w:eastAsia="de-DE"/>
        </w:rPr>
      </w:pPr>
      <w:r w:rsidRPr="007F7FF5">
        <w:rPr>
          <w:caps/>
          <w:color w:val="000000" w:themeColor="text1"/>
          <w:szCs w:val="18"/>
          <w:lang w:eastAsia="de-DE"/>
        </w:rPr>
        <w:t>Tables</w:t>
      </w:r>
    </w:p>
    <w:p w:rsidR="001E2687" w:rsidRPr="007F7FF5" w:rsidRDefault="001E2687" w:rsidP="00215B9C">
      <w:pPr>
        <w:spacing w:line="240" w:lineRule="auto"/>
        <w:rPr>
          <w:color w:val="000000" w:themeColor="text1"/>
          <w:sz w:val="16"/>
          <w:szCs w:val="20"/>
          <w:lang w:eastAsia="de-DE"/>
        </w:rPr>
      </w:pPr>
    </w:p>
    <w:p w:rsidR="00C16CEC" w:rsidRPr="007F7FF5" w:rsidRDefault="00DD7EBF" w:rsidP="00215B9C">
      <w:pPr>
        <w:spacing w:line="240" w:lineRule="auto"/>
        <w:rPr>
          <w:color w:val="000000" w:themeColor="text1"/>
          <w:szCs w:val="18"/>
          <w:lang w:eastAsia="de-DE"/>
        </w:rPr>
      </w:pPr>
      <w:r w:rsidRPr="007F7FF5">
        <w:rPr>
          <w:color w:val="000000" w:themeColor="text1"/>
          <w:szCs w:val="18"/>
          <w:lang w:eastAsia="de-DE"/>
        </w:rPr>
        <w:t>T</w:t>
      </w:r>
      <w:r w:rsidR="00C16CEC" w:rsidRPr="007F7FF5">
        <w:rPr>
          <w:color w:val="000000" w:themeColor="text1"/>
          <w:szCs w:val="18"/>
          <w:lang w:eastAsia="de-DE"/>
        </w:rPr>
        <w:t xml:space="preserve">able 1: Results of the </w:t>
      </w:r>
      <w:r w:rsidR="00C16CEC" w:rsidRPr="007F7FF5">
        <w:rPr>
          <w:i/>
          <w:color w:val="000000" w:themeColor="text1"/>
          <w:szCs w:val="18"/>
          <w:lang w:eastAsia="de-DE"/>
        </w:rPr>
        <w:t>H</w:t>
      </w:r>
      <w:r w:rsidR="00C16CEC" w:rsidRPr="007F7FF5">
        <w:rPr>
          <w:color w:val="000000" w:themeColor="text1"/>
          <w:szCs w:val="18"/>
          <w:lang w:eastAsia="de-DE"/>
        </w:rPr>
        <w:t xml:space="preserve">*(10) measurements at CERF </w:t>
      </w:r>
      <w:r w:rsidR="00600962" w:rsidRPr="007F7FF5">
        <w:rPr>
          <w:color w:val="000000" w:themeColor="text1"/>
          <w:szCs w:val="18"/>
          <w:lang w:eastAsia="de-DE"/>
        </w:rPr>
        <w:t>(</w:t>
      </w:r>
      <w:r w:rsidR="00B24686" w:rsidRPr="007F7FF5">
        <w:rPr>
          <w:color w:val="000000" w:themeColor="text1"/>
          <w:szCs w:val="18"/>
          <w:lang w:eastAsia="de-DE"/>
        </w:rPr>
        <w:t xml:space="preserve">Location </w:t>
      </w:r>
      <w:r w:rsidR="00600962" w:rsidRPr="007F7FF5">
        <w:rPr>
          <w:color w:val="000000" w:themeColor="text1"/>
          <w:szCs w:val="18"/>
          <w:lang w:eastAsia="de-DE"/>
        </w:rPr>
        <w:t>Top* d</w:t>
      </w:r>
      <w:r w:rsidR="00B24686" w:rsidRPr="007F7FF5">
        <w:rPr>
          <w:color w:val="000000" w:themeColor="text1"/>
          <w:szCs w:val="18"/>
          <w:lang w:eastAsia="de-DE"/>
        </w:rPr>
        <w:t>enotes the center of the grids 0</w:t>
      </w:r>
      <w:r w:rsidR="00600962" w:rsidRPr="007F7FF5">
        <w:rPr>
          <w:color w:val="000000" w:themeColor="text1"/>
          <w:szCs w:val="18"/>
          <w:lang w:eastAsia="de-DE"/>
        </w:rPr>
        <w:t>6,</w:t>
      </w:r>
      <w:r w:rsidR="00154CE5" w:rsidRPr="007F7FF5">
        <w:rPr>
          <w:color w:val="000000" w:themeColor="text1"/>
          <w:szCs w:val="18"/>
          <w:lang w:eastAsia="de-DE"/>
        </w:rPr>
        <w:t xml:space="preserve"> </w:t>
      </w:r>
      <w:r w:rsidR="00B24686" w:rsidRPr="007F7FF5">
        <w:rPr>
          <w:color w:val="000000" w:themeColor="text1"/>
          <w:szCs w:val="18"/>
          <w:lang w:eastAsia="de-DE"/>
        </w:rPr>
        <w:t>0</w:t>
      </w:r>
      <w:r w:rsidR="00600962" w:rsidRPr="007F7FF5">
        <w:rPr>
          <w:color w:val="000000" w:themeColor="text1"/>
          <w:szCs w:val="18"/>
          <w:lang w:eastAsia="de-DE"/>
        </w:rPr>
        <w:t>7,</w:t>
      </w:r>
      <w:r w:rsidR="00154CE5" w:rsidRPr="007F7FF5">
        <w:rPr>
          <w:color w:val="000000" w:themeColor="text1"/>
          <w:szCs w:val="18"/>
          <w:lang w:eastAsia="de-DE"/>
        </w:rPr>
        <w:t xml:space="preserve"> </w:t>
      </w:r>
      <w:r w:rsidR="00600962" w:rsidRPr="007F7FF5">
        <w:rPr>
          <w:color w:val="000000" w:themeColor="text1"/>
          <w:szCs w:val="18"/>
          <w:lang w:eastAsia="de-DE"/>
        </w:rPr>
        <w:t>10 and 11)</w:t>
      </w:r>
      <w:r w:rsidR="00AC192E" w:rsidRPr="007F7FF5">
        <w:rPr>
          <w:color w:val="000000" w:themeColor="text1"/>
          <w:szCs w:val="18"/>
          <w:lang w:eastAsia="de-DE"/>
        </w:rPr>
        <w:t>.</w:t>
      </w:r>
    </w:p>
    <w:p w:rsidR="00C16CEC" w:rsidRPr="007F7FF5" w:rsidRDefault="00C16CEC" w:rsidP="00215B9C">
      <w:pPr>
        <w:spacing w:line="240" w:lineRule="auto"/>
        <w:rPr>
          <w:color w:val="000000" w:themeColor="text1"/>
          <w:szCs w:val="18"/>
          <w:lang w:eastAsia="de-DE"/>
        </w:rPr>
      </w:pPr>
    </w:p>
    <w:tbl>
      <w:tblPr>
        <w:tblW w:w="6603" w:type="dxa"/>
        <w:tblInd w:w="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1456"/>
        <w:gridCol w:w="1123"/>
        <w:gridCol w:w="1056"/>
        <w:gridCol w:w="1033"/>
        <w:gridCol w:w="1033"/>
      </w:tblGrid>
      <w:tr w:rsidR="007F7FF5" w:rsidRPr="007F7FF5" w:rsidTr="00600962">
        <w:trPr>
          <w:trHeight w:val="480"/>
        </w:trPr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7D1164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  <w:t xml:space="preserve">Ball </w:t>
            </w:r>
            <w:r w:rsidR="007D1164"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  <w:t xml:space="preserve">- </w:t>
            </w:r>
            <w:proofErr w:type="spellStart"/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  <w:t>run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A119CB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  <w:t>Location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val="de-DE" w:eastAsia="de-DE"/>
              </w:rPr>
              <w:t>M</w:t>
            </w:r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vertAlign w:val="subscript"/>
                <w:lang w:val="de-DE" w:eastAsia="de-DE"/>
              </w:rPr>
              <w:t>n</w:t>
            </w:r>
            <w:proofErr w:type="spellEnd"/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  <w:t>(</w:t>
            </w:r>
            <w:proofErr w:type="spellStart"/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  <w:t>c</w:t>
            </w:r>
            <w:r w:rsidR="00614375"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  <w:t>enter</w:t>
            </w:r>
            <w:proofErr w:type="spellEnd"/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  <w:t>)</w:t>
            </w:r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  <w:br/>
              <w:t xml:space="preserve"> (µ</w:t>
            </w:r>
            <w:proofErr w:type="spellStart"/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  <w:t>Sv</w:t>
            </w:r>
            <w:proofErr w:type="spellEnd"/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val="de-DE" w:eastAsia="de-DE"/>
              </w:rPr>
              <w:t>N</w:t>
            </w:r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vertAlign w:val="subscript"/>
                <w:lang w:val="de-DE" w:eastAsia="de-DE"/>
              </w:rPr>
              <w:t>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  <w:t>Ball dose (µ</w:t>
            </w:r>
            <w:proofErr w:type="spellStart"/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  <w:t>Sv</w:t>
            </w:r>
            <w:proofErr w:type="spellEnd"/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  <w:t>PIC dose (µ</w:t>
            </w:r>
            <w:proofErr w:type="spellStart"/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  <w:t>Sv</w:t>
            </w:r>
            <w:proofErr w:type="spellEnd"/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val="de-DE" w:eastAsia="de-DE"/>
              </w:rPr>
              <w:t>)</w:t>
            </w:r>
          </w:p>
        </w:tc>
      </w:tr>
      <w:tr w:rsidR="007F7FF5" w:rsidRPr="007F7FF5" w:rsidTr="00600962">
        <w:trPr>
          <w:trHeight w:val="255"/>
        </w:trPr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GSI1 - 1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14375" w:rsidP="00600962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Top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*</w:t>
            </w:r>
            <w:r w:rsidR="00600962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 xml:space="preserve"> 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1356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201F90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</w:t>
            </w:r>
            <w:r w:rsidR="00201F90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.</w:t>
            </w: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4</w:t>
            </w:r>
            <w:r w:rsidR="00201F90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F90" w:rsidRPr="007F7FF5" w:rsidRDefault="00201F90" w:rsidP="00201F90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543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520B3D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54</w:t>
            </w:r>
            <w:r w:rsidR="00520B3D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</w:t>
            </w:r>
          </w:p>
        </w:tc>
      </w:tr>
      <w:tr w:rsidR="007F7FF5" w:rsidRPr="007F7FF5" w:rsidTr="00600962">
        <w:trPr>
          <w:trHeight w:val="25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PE1 - 1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14375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Top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 xml:space="preserve"> </w:t>
            </w:r>
            <w:r w:rsidR="00600962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201F90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0.53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539</w:t>
            </w:r>
          </w:p>
        </w:tc>
      </w:tr>
      <w:tr w:rsidR="007F7FF5" w:rsidRPr="007F7FF5" w:rsidTr="00600962">
        <w:trPr>
          <w:trHeight w:val="25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PE2 - 1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14375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Top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 xml:space="preserve"> </w:t>
            </w:r>
            <w:r w:rsidR="00600962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987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201F90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0.53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546</w:t>
            </w:r>
          </w:p>
        </w:tc>
      </w:tr>
      <w:tr w:rsidR="007F7FF5" w:rsidRPr="007F7FF5" w:rsidTr="00600962">
        <w:trPr>
          <w:trHeight w:val="25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PE3 - 1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14375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Top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 xml:space="preserve"> 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1079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201F90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0.53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546</w:t>
            </w:r>
          </w:p>
        </w:tc>
      </w:tr>
      <w:tr w:rsidR="007F7FF5" w:rsidRPr="007F7FF5" w:rsidTr="00600962">
        <w:trPr>
          <w:trHeight w:val="255"/>
        </w:trPr>
        <w:tc>
          <w:tcPr>
            <w:tcW w:w="80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PE4 - 1</w:t>
            </w:r>
          </w:p>
        </w:tc>
        <w:tc>
          <w:tcPr>
            <w:tcW w:w="129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14375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Top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 xml:space="preserve"> 11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1029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201F90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0.53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545</w:t>
            </w:r>
          </w:p>
        </w:tc>
        <w:tc>
          <w:tcPr>
            <w:tcW w:w="9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535</w:t>
            </w:r>
          </w:p>
        </w:tc>
      </w:tr>
      <w:tr w:rsidR="007F7FF5" w:rsidRPr="007F7FF5" w:rsidTr="00600962">
        <w:trPr>
          <w:trHeight w:val="255"/>
        </w:trPr>
        <w:tc>
          <w:tcPr>
            <w:tcW w:w="803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GSI2 - 1</w:t>
            </w:r>
          </w:p>
        </w:tc>
        <w:tc>
          <w:tcPr>
            <w:tcW w:w="1296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14375" w:rsidP="00614375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Side</w:t>
            </w:r>
          </w:p>
        </w:tc>
        <w:tc>
          <w:tcPr>
            <w:tcW w:w="100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1414</w:t>
            </w:r>
          </w:p>
        </w:tc>
        <w:tc>
          <w:tcPr>
            <w:tcW w:w="94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201F90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0</w:t>
            </w:r>
            <w:r w:rsidR="00201F90"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.400</w:t>
            </w:r>
          </w:p>
        </w:tc>
        <w:tc>
          <w:tcPr>
            <w:tcW w:w="92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201F90" w:rsidP="00201F90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566</w:t>
            </w:r>
          </w:p>
        </w:tc>
        <w:tc>
          <w:tcPr>
            <w:tcW w:w="92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 </w:t>
            </w:r>
          </w:p>
        </w:tc>
      </w:tr>
      <w:tr w:rsidR="007F7FF5" w:rsidRPr="007F7FF5" w:rsidTr="00600962">
        <w:trPr>
          <w:trHeight w:val="25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PE5 - 1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14375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Side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1287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201F90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0.53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682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</w:p>
        </w:tc>
      </w:tr>
      <w:tr w:rsidR="007F7FF5" w:rsidRPr="007F7FF5" w:rsidTr="00600962">
        <w:trPr>
          <w:trHeight w:val="255"/>
        </w:trPr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PE6 - 1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14375" w:rsidP="00614375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Side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1361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201F90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0.53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721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</w:p>
        </w:tc>
      </w:tr>
      <w:tr w:rsidR="007F7FF5" w:rsidRPr="007F7FF5" w:rsidTr="00600962">
        <w:trPr>
          <w:trHeight w:val="255"/>
        </w:trPr>
        <w:tc>
          <w:tcPr>
            <w:tcW w:w="8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PE1 - 2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14375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Top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 xml:space="preserve"> </w:t>
            </w:r>
            <w:r w:rsidR="00600962"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0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5063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201F90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0.53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2683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2599</w:t>
            </w:r>
          </w:p>
        </w:tc>
      </w:tr>
      <w:tr w:rsidR="007F7FF5" w:rsidRPr="007F7FF5" w:rsidTr="00600962">
        <w:trPr>
          <w:trHeight w:val="255"/>
        </w:trPr>
        <w:tc>
          <w:tcPr>
            <w:tcW w:w="803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PE2 - 2</w:t>
            </w:r>
          </w:p>
        </w:tc>
        <w:tc>
          <w:tcPr>
            <w:tcW w:w="1296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14375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Top</w:t>
            </w:r>
            <w:r w:rsidR="00600962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 xml:space="preserve"> 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12</w:t>
            </w:r>
          </w:p>
        </w:tc>
        <w:tc>
          <w:tcPr>
            <w:tcW w:w="1000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5296</w:t>
            </w:r>
          </w:p>
        </w:tc>
        <w:tc>
          <w:tcPr>
            <w:tcW w:w="940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201F90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0.53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</w:t>
            </w:r>
          </w:p>
        </w:tc>
        <w:tc>
          <w:tcPr>
            <w:tcW w:w="920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2807</w:t>
            </w:r>
          </w:p>
        </w:tc>
        <w:tc>
          <w:tcPr>
            <w:tcW w:w="920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2576</w:t>
            </w:r>
          </w:p>
        </w:tc>
      </w:tr>
      <w:tr w:rsidR="007F7FF5" w:rsidRPr="007F7FF5" w:rsidTr="00600962">
        <w:trPr>
          <w:trHeight w:val="255"/>
        </w:trPr>
        <w:tc>
          <w:tcPr>
            <w:tcW w:w="803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GSI2 - 2</w:t>
            </w:r>
          </w:p>
        </w:tc>
        <w:tc>
          <w:tcPr>
            <w:tcW w:w="1296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14375" w:rsidP="00614375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Side</w:t>
            </w:r>
          </w:p>
        </w:tc>
        <w:tc>
          <w:tcPr>
            <w:tcW w:w="100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6114</w:t>
            </w:r>
          </w:p>
        </w:tc>
        <w:tc>
          <w:tcPr>
            <w:tcW w:w="94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201F90" w:rsidP="00201F90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4</w:t>
            </w: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00</w:t>
            </w:r>
          </w:p>
        </w:tc>
        <w:tc>
          <w:tcPr>
            <w:tcW w:w="92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201F90" w:rsidP="00201F90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2446</w:t>
            </w:r>
          </w:p>
        </w:tc>
        <w:tc>
          <w:tcPr>
            <w:tcW w:w="92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</w:tr>
      <w:tr w:rsidR="007F7FF5" w:rsidRPr="007F7FF5" w:rsidTr="00600962">
        <w:trPr>
          <w:trHeight w:val="255"/>
        </w:trPr>
        <w:tc>
          <w:tcPr>
            <w:tcW w:w="80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PE3 - 2</w:t>
            </w:r>
          </w:p>
        </w:tc>
        <w:tc>
          <w:tcPr>
            <w:tcW w:w="129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14375" w:rsidP="00614375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Side</w:t>
            </w:r>
            <w:r w:rsidR="003876B1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5288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201F90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0.53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2803</w:t>
            </w:r>
          </w:p>
        </w:tc>
        <w:tc>
          <w:tcPr>
            <w:tcW w:w="9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</w:tr>
      <w:tr w:rsidR="007F7FF5" w:rsidRPr="007F7FF5" w:rsidTr="00600962">
        <w:trPr>
          <w:trHeight w:val="255"/>
        </w:trPr>
        <w:tc>
          <w:tcPr>
            <w:tcW w:w="803" w:type="dxa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PE4 - 2</w:t>
            </w:r>
          </w:p>
        </w:tc>
        <w:tc>
          <w:tcPr>
            <w:tcW w:w="1296" w:type="dxa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14375" w:rsidP="00614375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Side</w:t>
            </w:r>
          </w:p>
        </w:tc>
        <w:tc>
          <w:tcPr>
            <w:tcW w:w="1000" w:type="dxa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4151</w:t>
            </w:r>
          </w:p>
        </w:tc>
        <w:tc>
          <w:tcPr>
            <w:tcW w:w="940" w:type="dxa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201F90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0.53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</w:t>
            </w:r>
          </w:p>
        </w:tc>
        <w:tc>
          <w:tcPr>
            <w:tcW w:w="920" w:type="dxa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2200</w:t>
            </w:r>
          </w:p>
        </w:tc>
        <w:tc>
          <w:tcPr>
            <w:tcW w:w="920" w:type="dxa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</w:tr>
      <w:tr w:rsidR="007F7FF5" w:rsidRPr="007F7FF5" w:rsidTr="00600962">
        <w:trPr>
          <w:trHeight w:val="255"/>
        </w:trPr>
        <w:tc>
          <w:tcPr>
            <w:tcW w:w="80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PE5 - 2</w:t>
            </w:r>
          </w:p>
        </w:tc>
        <w:tc>
          <w:tcPr>
            <w:tcW w:w="129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14375" w:rsidP="00614375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Side</w:t>
            </w:r>
          </w:p>
        </w:tc>
        <w:tc>
          <w:tcPr>
            <w:tcW w:w="10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4366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201F90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0.53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2314</w:t>
            </w:r>
          </w:p>
        </w:tc>
        <w:tc>
          <w:tcPr>
            <w:tcW w:w="9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</w:tr>
      <w:tr w:rsidR="00C303D9" w:rsidRPr="007F7FF5" w:rsidTr="00600962">
        <w:trPr>
          <w:trHeight w:val="255"/>
        </w:trPr>
        <w:tc>
          <w:tcPr>
            <w:tcW w:w="803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PE6 - 2</w:t>
            </w:r>
          </w:p>
        </w:tc>
        <w:tc>
          <w:tcPr>
            <w:tcW w:w="1296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614375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Labyrinth</w:t>
            </w:r>
          </w:p>
        </w:tc>
        <w:tc>
          <w:tcPr>
            <w:tcW w:w="100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94</w:t>
            </w:r>
          </w:p>
        </w:tc>
        <w:tc>
          <w:tcPr>
            <w:tcW w:w="94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201F90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0.53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</w:t>
            </w:r>
          </w:p>
        </w:tc>
        <w:tc>
          <w:tcPr>
            <w:tcW w:w="92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50</w:t>
            </w:r>
          </w:p>
        </w:tc>
        <w:tc>
          <w:tcPr>
            <w:tcW w:w="92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</w:tr>
    </w:tbl>
    <w:p w:rsidR="00B9120C" w:rsidRPr="007F7FF5" w:rsidRDefault="00B9120C" w:rsidP="00215B9C">
      <w:pPr>
        <w:spacing w:line="240" w:lineRule="auto"/>
        <w:rPr>
          <w:color w:val="000000" w:themeColor="text1"/>
          <w:sz w:val="16"/>
          <w:szCs w:val="16"/>
          <w:lang w:eastAsia="de-DE"/>
        </w:rPr>
      </w:pPr>
    </w:p>
    <w:p w:rsidR="00DF51EE" w:rsidRPr="007F7FF5" w:rsidRDefault="00DF51EE" w:rsidP="00215B9C">
      <w:pPr>
        <w:spacing w:line="240" w:lineRule="auto"/>
        <w:rPr>
          <w:color w:val="000000" w:themeColor="text1"/>
          <w:sz w:val="16"/>
          <w:szCs w:val="16"/>
          <w:lang w:eastAsia="de-DE"/>
        </w:rPr>
      </w:pPr>
    </w:p>
    <w:p w:rsidR="00DF51EE" w:rsidRPr="007F7FF5" w:rsidRDefault="00DF51EE" w:rsidP="00215B9C">
      <w:pPr>
        <w:spacing w:line="240" w:lineRule="auto"/>
        <w:rPr>
          <w:color w:val="000000" w:themeColor="text1"/>
          <w:sz w:val="16"/>
          <w:szCs w:val="16"/>
          <w:lang w:eastAsia="de-DE"/>
        </w:rPr>
      </w:pPr>
    </w:p>
    <w:p w:rsidR="00DF51EE" w:rsidRPr="007F7FF5" w:rsidRDefault="00DF51EE" w:rsidP="00215B9C">
      <w:pPr>
        <w:spacing w:line="240" w:lineRule="auto"/>
        <w:rPr>
          <w:color w:val="000000" w:themeColor="text1"/>
          <w:sz w:val="16"/>
          <w:szCs w:val="16"/>
          <w:lang w:eastAsia="de-DE"/>
        </w:rPr>
      </w:pPr>
    </w:p>
    <w:p w:rsidR="00DF51EE" w:rsidRPr="007F7FF5" w:rsidRDefault="00DF51EE" w:rsidP="00215B9C">
      <w:pPr>
        <w:spacing w:line="240" w:lineRule="auto"/>
        <w:rPr>
          <w:color w:val="000000" w:themeColor="text1"/>
          <w:sz w:val="16"/>
          <w:szCs w:val="16"/>
          <w:lang w:eastAsia="de-DE"/>
        </w:rPr>
      </w:pPr>
    </w:p>
    <w:p w:rsidR="00DF51EE" w:rsidRPr="007F7FF5" w:rsidRDefault="00DF51EE">
      <w:pPr>
        <w:spacing w:line="240" w:lineRule="auto"/>
        <w:rPr>
          <w:color w:val="000000" w:themeColor="text1"/>
          <w:sz w:val="16"/>
          <w:szCs w:val="16"/>
          <w:lang w:eastAsia="de-DE"/>
        </w:rPr>
      </w:pPr>
      <w:r w:rsidRPr="007F7FF5">
        <w:rPr>
          <w:color w:val="000000" w:themeColor="text1"/>
          <w:sz w:val="16"/>
          <w:szCs w:val="16"/>
          <w:lang w:eastAsia="de-DE"/>
        </w:rPr>
        <w:br w:type="page"/>
      </w:r>
    </w:p>
    <w:p w:rsidR="00DF51EE" w:rsidRPr="007F7FF5" w:rsidRDefault="004E7995" w:rsidP="00DF51EE">
      <w:pPr>
        <w:spacing w:after="120" w:line="240" w:lineRule="auto"/>
        <w:rPr>
          <w:color w:val="000000" w:themeColor="text1"/>
          <w:szCs w:val="18"/>
          <w:lang w:eastAsia="de-DE"/>
        </w:rPr>
      </w:pPr>
      <w:proofErr w:type="gramStart"/>
      <w:r w:rsidRPr="007F7FF5">
        <w:rPr>
          <w:color w:val="000000" w:themeColor="text1"/>
          <w:szCs w:val="18"/>
          <w:lang w:eastAsia="de-DE"/>
        </w:rPr>
        <w:lastRenderedPageBreak/>
        <w:t>Table 2a.</w:t>
      </w:r>
      <w:proofErr w:type="gramEnd"/>
      <w:r w:rsidR="00DF51EE" w:rsidRPr="007F7FF5">
        <w:rPr>
          <w:color w:val="000000" w:themeColor="text1"/>
          <w:szCs w:val="18"/>
          <w:lang w:eastAsia="de-DE"/>
        </w:rPr>
        <w:t xml:space="preserve"> Results of the field calibration measurements at CERF, first beam time</w:t>
      </w:r>
      <w:r w:rsidR="00B24686" w:rsidRPr="007F7FF5">
        <w:rPr>
          <w:color w:val="000000" w:themeColor="text1"/>
          <w:szCs w:val="18"/>
          <w:lang w:eastAsia="de-DE"/>
        </w:rPr>
        <w:t xml:space="preserve"> (Run</w:t>
      </w:r>
      <w:r w:rsidRPr="007F7FF5">
        <w:rPr>
          <w:color w:val="000000" w:themeColor="text1"/>
          <w:szCs w:val="18"/>
          <w:lang w:eastAsia="de-DE"/>
        </w:rPr>
        <w:t xml:space="preserve"> </w:t>
      </w:r>
      <w:r w:rsidR="00B24686" w:rsidRPr="007F7FF5">
        <w:rPr>
          <w:color w:val="000000" w:themeColor="text1"/>
          <w:szCs w:val="18"/>
          <w:lang w:eastAsia="de-DE"/>
        </w:rPr>
        <w:t>1)</w:t>
      </w:r>
      <w:r w:rsidR="00DF51EE" w:rsidRPr="007F7FF5">
        <w:rPr>
          <w:color w:val="000000" w:themeColor="text1"/>
          <w:szCs w:val="18"/>
          <w:lang w:eastAsia="de-DE"/>
        </w:rPr>
        <w:t xml:space="preserve">. </w:t>
      </w:r>
    </w:p>
    <w:tbl>
      <w:tblPr>
        <w:tblW w:w="7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920"/>
        <w:gridCol w:w="920"/>
        <w:gridCol w:w="920"/>
        <w:gridCol w:w="920"/>
        <w:gridCol w:w="920"/>
        <w:gridCol w:w="920"/>
        <w:gridCol w:w="980"/>
      </w:tblGrid>
      <w:tr w:rsidR="007F7FF5" w:rsidRPr="007F7FF5" w:rsidTr="003A06E8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DD7EBF" w:rsidP="00B43E99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 w:themeColor="text1"/>
                <w:szCs w:val="18"/>
                <w:lang w:eastAsia="de-DE"/>
              </w:rPr>
            </w:pPr>
            <w:r w:rsidRPr="007F7FF5">
              <w:rPr>
                <w:color w:val="000000" w:themeColor="text1"/>
                <w:szCs w:val="18"/>
              </w:rPr>
              <w:br w:type="page"/>
            </w:r>
            <w:r w:rsidR="00E42D56" w:rsidRPr="007F7FF5">
              <w:rPr>
                <w:color w:val="000000" w:themeColor="text1"/>
                <w:szCs w:val="18"/>
                <w:lang w:eastAsia="de-DE"/>
              </w:rPr>
              <w:br w:type="page"/>
            </w:r>
            <w:r w:rsidR="00B9120C" w:rsidRPr="007F7FF5">
              <w:rPr>
                <w:color w:val="000000" w:themeColor="text1"/>
                <w:szCs w:val="18"/>
                <w:lang w:eastAsia="de-DE"/>
              </w:rPr>
              <w:br w:type="page"/>
            </w:r>
            <w:r w:rsidR="00C303D9"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eastAsia="de-DE"/>
              </w:rPr>
              <w:t xml:space="preserve">Ball </w:t>
            </w:r>
            <w:r w:rsidR="00B43E99"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eastAsia="de-DE"/>
              </w:rPr>
              <w:t xml:space="preserve">- </w:t>
            </w:r>
            <w:r w:rsidR="00C303D9"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eastAsia="de-DE"/>
              </w:rPr>
              <w:t>run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eastAsia="de-DE"/>
              </w:rPr>
              <w:t>Position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</w:pPr>
            <w:proofErr w:type="spellStart"/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  <w:t>M</w:t>
            </w:r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vertAlign w:val="subscript"/>
                <w:lang w:eastAsia="de-DE"/>
              </w:rPr>
              <w:t>field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</w:pPr>
            <w:proofErr w:type="spellStart"/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  <w:t>M</w:t>
            </w:r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vertAlign w:val="subscript"/>
                <w:lang w:eastAsia="de-DE"/>
              </w:rPr>
              <w:t>albedo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  <w:t>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eastAsia="de-DE"/>
              </w:rPr>
              <w:t>Ball dose</w:t>
            </w:r>
            <w:r w:rsidR="00AE0C01"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eastAsia="de-DE"/>
              </w:rPr>
              <w:br/>
              <w:t>(µ</w:t>
            </w:r>
            <w:proofErr w:type="spellStart"/>
            <w:r w:rsidR="00AE0C01"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eastAsia="de-DE"/>
              </w:rPr>
              <w:t>Sv</w:t>
            </w:r>
            <w:proofErr w:type="spellEnd"/>
            <w:r w:rsidR="00AE0C01"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eastAsia="de-DE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</w:pPr>
            <w:proofErr w:type="spellStart"/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  <w:t>X</w:t>
            </w:r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vertAlign w:val="subscript"/>
                <w:lang w:eastAsia="de-DE"/>
              </w:rPr>
              <w:t>sum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AE0C0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</w:pPr>
            <w:proofErr w:type="spellStart"/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  <w:t>N</w:t>
            </w:r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vertAlign w:val="subscript"/>
                <w:lang w:eastAsia="de-DE"/>
              </w:rPr>
              <w:t>n</w:t>
            </w:r>
            <w:proofErr w:type="spellEnd"/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  <w:t>(X)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3A06E8">
            <w:pPr>
              <w:widowControl w:val="0"/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PE1 - 1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3A06E8">
            <w:pPr>
              <w:widowControl w:val="0"/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F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ront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3A06E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759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3A06E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546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3A06E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1,39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3A06E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531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3A06E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1,32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3A06E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89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3A06E8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P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E1 - 1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B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ack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5</w:t>
            </w: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531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PE1 - 1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L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eft</w:t>
            </w:r>
            <w:proofErr w:type="spellEnd"/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192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223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86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531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1,10</w:t>
            </w:r>
          </w:p>
        </w:tc>
        <w:tc>
          <w:tcPr>
            <w:tcW w:w="98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1,16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PE1 - 1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Ri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ght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309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PE2 - 1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AE0C01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F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ront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671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506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1,32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523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92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PE2 - 1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B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ack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523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PE2 - 1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L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eft</w:t>
            </w:r>
            <w:proofErr w:type="spellEnd"/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281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296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95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523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1,04</w:t>
            </w:r>
          </w:p>
        </w:tc>
        <w:tc>
          <w:tcPr>
            <w:tcW w:w="98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1,08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PE2 - 1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R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ight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PE3 - 1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Front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659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499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1,32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572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98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PE3 - 1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Back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572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PE3 - 1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Left</w:t>
            </w:r>
            <w:proofErr w:type="spellEnd"/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304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293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1,04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572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1,06</w:t>
            </w:r>
          </w:p>
        </w:tc>
        <w:tc>
          <w:tcPr>
            <w:tcW w:w="98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1,16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PE3 - 1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Right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</w:tr>
      <w:tr w:rsidR="007F7FF5" w:rsidRPr="007F7FF5" w:rsidTr="005C73D8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PE4 - 1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Front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784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578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1,35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545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85</w:t>
            </w:r>
          </w:p>
        </w:tc>
      </w:tr>
      <w:tr w:rsidR="007F7FF5" w:rsidRPr="007F7FF5" w:rsidTr="005C73D8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PE4 - 1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Back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545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</w:tr>
      <w:tr w:rsidR="007F7FF5" w:rsidRPr="007F7FF5" w:rsidTr="005C73D8">
        <w:trPr>
          <w:trHeight w:val="255"/>
        </w:trPr>
        <w:tc>
          <w:tcPr>
            <w:tcW w:w="118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PE4 - 1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Left</w:t>
            </w:r>
            <w:proofErr w:type="spellEnd"/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263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262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1,00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545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1,00</w:t>
            </w:r>
          </w:p>
        </w:tc>
        <w:tc>
          <w:tcPr>
            <w:tcW w:w="98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1,05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PE4 - 1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Right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</w:tr>
      <w:tr w:rsidR="007F7FF5" w:rsidRPr="007F7FF5" w:rsidTr="005C73D8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PE5 - 1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Front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667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682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81</w:t>
            </w:r>
          </w:p>
        </w:tc>
      </w:tr>
      <w:tr w:rsidR="007F7FF5" w:rsidRPr="007F7FF5" w:rsidTr="005C73D8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PE5 - 1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Back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351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310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1,13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682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</w:tr>
      <w:tr w:rsidR="007F7FF5" w:rsidRPr="007F7FF5" w:rsidTr="005C73D8">
        <w:trPr>
          <w:trHeight w:val="255"/>
        </w:trPr>
        <w:tc>
          <w:tcPr>
            <w:tcW w:w="118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PE5 - 1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Left</w:t>
            </w:r>
            <w:proofErr w:type="spellEnd"/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694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592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1,17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682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1,15</w:t>
            </w:r>
          </w:p>
        </w:tc>
        <w:tc>
          <w:tcPr>
            <w:tcW w:w="98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78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PE5 - 1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Right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307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682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</w:tr>
      <w:tr w:rsidR="007F7FF5" w:rsidRPr="007F7FF5" w:rsidTr="005C73D8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PE6 - 1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Front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680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527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721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83</w:t>
            </w:r>
          </w:p>
        </w:tc>
      </w:tr>
      <w:tr w:rsidR="007F7FF5" w:rsidRPr="007F7FF5" w:rsidTr="005C73D8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PE6 - 1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Back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358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338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1,06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721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</w:tr>
      <w:tr w:rsidR="007F7FF5" w:rsidRPr="007F7FF5" w:rsidTr="005C73D8">
        <w:trPr>
          <w:trHeight w:val="255"/>
        </w:trPr>
        <w:tc>
          <w:tcPr>
            <w:tcW w:w="118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PE6 - 1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Left</w:t>
            </w:r>
            <w:proofErr w:type="spellEnd"/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621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559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1,11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721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1,13</w:t>
            </w:r>
          </w:p>
        </w:tc>
        <w:tc>
          <w:tcPr>
            <w:tcW w:w="98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83</w:t>
            </w:r>
          </w:p>
        </w:tc>
      </w:tr>
      <w:tr w:rsidR="00C303D9" w:rsidRPr="007F7FF5" w:rsidTr="006F5A53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PE6 - 1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Right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363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311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721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</w:tr>
    </w:tbl>
    <w:p w:rsidR="00DF51EE" w:rsidRPr="007F7FF5" w:rsidRDefault="00DF51EE">
      <w:pPr>
        <w:rPr>
          <w:color w:val="000000" w:themeColor="text1"/>
          <w:sz w:val="16"/>
          <w:szCs w:val="16"/>
        </w:rPr>
      </w:pPr>
    </w:p>
    <w:p w:rsidR="00DF51EE" w:rsidRPr="007F7FF5" w:rsidRDefault="00DF51EE">
      <w:pPr>
        <w:rPr>
          <w:color w:val="000000" w:themeColor="text1"/>
          <w:sz w:val="16"/>
          <w:szCs w:val="16"/>
        </w:rPr>
      </w:pPr>
    </w:p>
    <w:p w:rsidR="00DF51EE" w:rsidRPr="007F7FF5" w:rsidRDefault="00DF51EE">
      <w:pPr>
        <w:rPr>
          <w:color w:val="000000" w:themeColor="text1"/>
          <w:sz w:val="16"/>
          <w:szCs w:val="16"/>
        </w:rPr>
      </w:pPr>
    </w:p>
    <w:p w:rsidR="00DF51EE" w:rsidRPr="007F7FF5" w:rsidRDefault="00DF51EE">
      <w:pPr>
        <w:rPr>
          <w:color w:val="000000" w:themeColor="text1"/>
          <w:sz w:val="16"/>
          <w:szCs w:val="16"/>
        </w:rPr>
      </w:pPr>
    </w:p>
    <w:p w:rsidR="00DF51EE" w:rsidRPr="007F7FF5" w:rsidRDefault="00DF51EE" w:rsidP="00DF51EE">
      <w:pPr>
        <w:spacing w:after="120" w:line="240" w:lineRule="auto"/>
        <w:rPr>
          <w:color w:val="000000" w:themeColor="text1"/>
          <w:szCs w:val="18"/>
          <w:lang w:eastAsia="de-DE"/>
        </w:rPr>
      </w:pPr>
      <w:proofErr w:type="gramStart"/>
      <w:r w:rsidRPr="007F7FF5">
        <w:rPr>
          <w:color w:val="000000" w:themeColor="text1"/>
          <w:szCs w:val="18"/>
          <w:lang w:eastAsia="de-DE"/>
        </w:rPr>
        <w:lastRenderedPageBreak/>
        <w:t>Table 2b</w:t>
      </w:r>
      <w:r w:rsidR="004E7995" w:rsidRPr="007F7FF5">
        <w:rPr>
          <w:color w:val="000000" w:themeColor="text1"/>
          <w:szCs w:val="18"/>
          <w:lang w:eastAsia="de-DE"/>
        </w:rPr>
        <w:t>.</w:t>
      </w:r>
      <w:proofErr w:type="gramEnd"/>
      <w:r w:rsidRPr="007F7FF5">
        <w:rPr>
          <w:color w:val="000000" w:themeColor="text1"/>
          <w:szCs w:val="18"/>
          <w:lang w:eastAsia="de-DE"/>
        </w:rPr>
        <w:t xml:space="preserve"> Results of the field calibration measurements at CERF, second beam time</w:t>
      </w:r>
      <w:r w:rsidR="00B24686" w:rsidRPr="007F7FF5">
        <w:rPr>
          <w:color w:val="000000" w:themeColor="text1"/>
          <w:szCs w:val="18"/>
          <w:lang w:eastAsia="de-DE"/>
        </w:rPr>
        <w:t xml:space="preserve"> (Run</w:t>
      </w:r>
      <w:r w:rsidR="004E7995" w:rsidRPr="007F7FF5">
        <w:rPr>
          <w:color w:val="000000" w:themeColor="text1"/>
          <w:szCs w:val="18"/>
          <w:lang w:eastAsia="de-DE"/>
        </w:rPr>
        <w:t xml:space="preserve"> </w:t>
      </w:r>
      <w:r w:rsidR="00B24686" w:rsidRPr="007F7FF5">
        <w:rPr>
          <w:color w:val="000000" w:themeColor="text1"/>
          <w:szCs w:val="18"/>
          <w:lang w:eastAsia="de-DE"/>
        </w:rPr>
        <w:t>2)</w:t>
      </w:r>
      <w:r w:rsidRPr="007F7FF5">
        <w:rPr>
          <w:color w:val="000000" w:themeColor="text1"/>
          <w:szCs w:val="18"/>
          <w:lang w:eastAsia="de-DE"/>
        </w:rPr>
        <w:t xml:space="preserve">. </w:t>
      </w:r>
    </w:p>
    <w:tbl>
      <w:tblPr>
        <w:tblW w:w="7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920"/>
        <w:gridCol w:w="920"/>
        <w:gridCol w:w="920"/>
        <w:gridCol w:w="920"/>
        <w:gridCol w:w="920"/>
        <w:gridCol w:w="920"/>
        <w:gridCol w:w="980"/>
      </w:tblGrid>
      <w:tr w:rsidR="007F7FF5" w:rsidRPr="007F7FF5" w:rsidTr="00B43E99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E99" w:rsidRPr="007F7FF5" w:rsidRDefault="00B43E99" w:rsidP="00B43E99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Cs w:val="18"/>
                <w:lang w:eastAsia="de-DE"/>
              </w:rPr>
            </w:pPr>
            <w:r w:rsidRPr="007F7FF5">
              <w:rPr>
                <w:color w:val="000000" w:themeColor="text1"/>
                <w:szCs w:val="18"/>
              </w:rPr>
              <w:br w:type="page"/>
            </w:r>
            <w:r w:rsidRPr="007F7FF5">
              <w:rPr>
                <w:color w:val="000000" w:themeColor="text1"/>
                <w:szCs w:val="18"/>
                <w:lang w:eastAsia="de-DE"/>
              </w:rPr>
              <w:br w:type="page"/>
            </w:r>
            <w:r w:rsidRPr="007F7FF5">
              <w:rPr>
                <w:color w:val="000000" w:themeColor="text1"/>
                <w:szCs w:val="18"/>
                <w:lang w:eastAsia="de-DE"/>
              </w:rPr>
              <w:br w:type="page"/>
            </w:r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eastAsia="de-DE"/>
              </w:rPr>
              <w:t>Ball - run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E99" w:rsidRPr="007F7FF5" w:rsidRDefault="00B43E99" w:rsidP="008A03AC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eastAsia="de-DE"/>
              </w:rPr>
              <w:t>Position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E99" w:rsidRPr="007F7FF5" w:rsidRDefault="00B43E99" w:rsidP="008A03A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</w:pPr>
            <w:proofErr w:type="spellStart"/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  <w:t>M</w:t>
            </w:r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vertAlign w:val="subscript"/>
                <w:lang w:eastAsia="de-DE"/>
              </w:rPr>
              <w:t>field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E99" w:rsidRPr="007F7FF5" w:rsidRDefault="00B43E99" w:rsidP="008A03A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</w:pPr>
            <w:proofErr w:type="spellStart"/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  <w:t>M</w:t>
            </w:r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vertAlign w:val="subscript"/>
                <w:lang w:eastAsia="de-DE"/>
              </w:rPr>
              <w:t>albedo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E99" w:rsidRPr="007F7FF5" w:rsidRDefault="00B43E99" w:rsidP="008A03A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  <w:t>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E99" w:rsidRPr="007F7FF5" w:rsidRDefault="00B43E99" w:rsidP="008A03A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eastAsia="de-DE"/>
              </w:rPr>
              <w:t>Ball dose</w:t>
            </w:r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eastAsia="de-DE"/>
              </w:rPr>
              <w:br/>
              <w:t>(µ</w:t>
            </w:r>
            <w:proofErr w:type="spellStart"/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eastAsia="de-DE"/>
              </w:rPr>
              <w:t>Sv</w:t>
            </w:r>
            <w:proofErr w:type="spellEnd"/>
            <w:r w:rsidRPr="007F7FF5">
              <w:rPr>
                <w:rFonts w:ascii="Times New Roman" w:hAnsi="Times New Roman"/>
                <w:b/>
                <w:bCs/>
                <w:color w:val="000000" w:themeColor="text1"/>
                <w:szCs w:val="18"/>
                <w:lang w:eastAsia="de-DE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E99" w:rsidRPr="007F7FF5" w:rsidRDefault="00B43E99" w:rsidP="008A03A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</w:pPr>
            <w:proofErr w:type="spellStart"/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  <w:t>X</w:t>
            </w:r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vertAlign w:val="subscript"/>
                <w:lang w:eastAsia="de-DE"/>
              </w:rPr>
              <w:t>sum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E99" w:rsidRPr="007F7FF5" w:rsidRDefault="00B43E99" w:rsidP="008A03A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</w:pPr>
            <w:proofErr w:type="spellStart"/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  <w:t>N</w:t>
            </w:r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vertAlign w:val="subscript"/>
                <w:lang w:eastAsia="de-DE"/>
              </w:rPr>
              <w:t>n</w:t>
            </w:r>
            <w:proofErr w:type="spellEnd"/>
            <w:r w:rsidRPr="007F7FF5">
              <w:rPr>
                <w:rFonts w:ascii="Times New Roman" w:hAnsi="Times New Roman"/>
                <w:b/>
                <w:bCs/>
                <w:i/>
                <w:color w:val="000000" w:themeColor="text1"/>
                <w:szCs w:val="18"/>
                <w:lang w:eastAsia="de-DE"/>
              </w:rPr>
              <w:t>(X)</w:t>
            </w:r>
          </w:p>
        </w:tc>
      </w:tr>
      <w:tr w:rsidR="007F7FF5" w:rsidRPr="007F7FF5" w:rsidTr="00B43E99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PE1 - 2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Front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3388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2514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1,35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2683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1,27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96</w:t>
            </w:r>
          </w:p>
        </w:tc>
      </w:tr>
      <w:tr w:rsidR="007F7FF5" w:rsidRPr="007F7FF5" w:rsidTr="00B43E99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PE1 - 2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Back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1</w:t>
            </w: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292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2683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</w:tr>
      <w:tr w:rsidR="007F7FF5" w:rsidRPr="007F7FF5" w:rsidTr="00B43E99">
        <w:trPr>
          <w:trHeight w:val="255"/>
        </w:trPr>
        <w:tc>
          <w:tcPr>
            <w:tcW w:w="118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PE1 - 2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Left</w:t>
            </w:r>
            <w:proofErr w:type="spellEnd"/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2060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1789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1,15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2683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1,12</w:t>
            </w:r>
          </w:p>
        </w:tc>
        <w:tc>
          <w:tcPr>
            <w:tcW w:w="98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1,03</w:t>
            </w:r>
          </w:p>
        </w:tc>
      </w:tr>
      <w:tr w:rsidR="007F7FF5" w:rsidRPr="007F7FF5" w:rsidTr="00B43E99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PE1 - 2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Right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818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2683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PE2 - 2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Front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3430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2449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1,40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2807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1,00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PE2 - 2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Back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210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364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2807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PE2 - 2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Left</w:t>
            </w:r>
            <w:proofErr w:type="spellEnd"/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1597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1413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1,13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2807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1,19</w:t>
            </w:r>
          </w:p>
        </w:tc>
        <w:tc>
          <w:tcPr>
            <w:tcW w:w="98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1,01</w:t>
            </w:r>
          </w:p>
        </w:tc>
      </w:tr>
      <w:tr w:rsidR="007F7FF5" w:rsidRPr="007F7FF5" w:rsidTr="00B43E99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PE2 - 2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Right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1715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1379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2807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PE3 - 2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Front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3152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2462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2803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77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PE3 - 2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Back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1410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1178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1,20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2803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PE3 - 2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Left</w:t>
            </w:r>
            <w:proofErr w:type="spellEnd"/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2460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1792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1,37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2803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1,30</w:t>
            </w:r>
          </w:p>
        </w:tc>
        <w:tc>
          <w:tcPr>
            <w:tcW w:w="98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1,02</w:t>
            </w:r>
          </w:p>
        </w:tc>
      </w:tr>
      <w:tr w:rsidR="007F7FF5" w:rsidRPr="007F7FF5" w:rsidTr="00B43E99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PE3 - 2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Right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1116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968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2803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PE4 - 2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Front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1723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1365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80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PE4 - 2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Back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1664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1373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1,21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2200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PE4 - 2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Left</w:t>
            </w:r>
            <w:proofErr w:type="spellEnd"/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2477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1927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1,29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2200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1,27</w:t>
            </w:r>
          </w:p>
        </w:tc>
        <w:tc>
          <w:tcPr>
            <w:tcW w:w="98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73</w:t>
            </w:r>
          </w:p>
        </w:tc>
      </w:tr>
      <w:tr w:rsidR="007F7FF5" w:rsidRPr="007F7FF5" w:rsidTr="00B43E99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PE4 - 2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Right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1374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PE5 - 2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Front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2490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1921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2314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73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PE5 - 2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Back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1583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1270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1,25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2314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PE5 - 2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Left</w:t>
            </w:r>
            <w:proofErr w:type="spellEnd"/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2120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1850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1,15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2314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1,24</w:t>
            </w:r>
          </w:p>
        </w:tc>
        <w:tc>
          <w:tcPr>
            <w:tcW w:w="98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6E32E7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0.</w:t>
            </w:r>
            <w:r w:rsidR="00C303D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78</w:t>
            </w:r>
          </w:p>
        </w:tc>
      </w:tr>
      <w:tr w:rsidR="00C303D9" w:rsidRPr="007F7FF5" w:rsidTr="00B43E99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PE5 - 2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AE0C01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proofErr w:type="spellStart"/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Right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1533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1102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1,39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2314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D9" w:rsidRPr="007F7FF5" w:rsidRDefault="00C303D9" w:rsidP="00C303D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 </w:t>
            </w:r>
          </w:p>
        </w:tc>
      </w:tr>
    </w:tbl>
    <w:p w:rsidR="00727A8D" w:rsidRPr="007F7FF5" w:rsidRDefault="00727A8D">
      <w:pPr>
        <w:rPr>
          <w:color w:val="000000" w:themeColor="text1"/>
          <w:szCs w:val="18"/>
        </w:rPr>
      </w:pPr>
    </w:p>
    <w:p w:rsidR="00727A8D" w:rsidRPr="007F7FF5" w:rsidRDefault="00727A8D" w:rsidP="00727A8D">
      <w:pPr>
        <w:spacing w:after="120" w:line="240" w:lineRule="auto"/>
        <w:rPr>
          <w:color w:val="000000" w:themeColor="text1"/>
          <w:szCs w:val="18"/>
          <w:lang w:eastAsia="de-DE"/>
        </w:rPr>
      </w:pPr>
      <w:proofErr w:type="gramStart"/>
      <w:r w:rsidRPr="007F7FF5">
        <w:rPr>
          <w:color w:val="000000" w:themeColor="text1"/>
          <w:szCs w:val="18"/>
          <w:lang w:eastAsia="de-DE"/>
        </w:rPr>
        <w:t xml:space="preserve">Table </w:t>
      </w:r>
      <w:r w:rsidR="00B43E99" w:rsidRPr="007F7FF5">
        <w:rPr>
          <w:color w:val="000000" w:themeColor="text1"/>
          <w:szCs w:val="18"/>
          <w:lang w:eastAsia="de-DE"/>
        </w:rPr>
        <w:t>3</w:t>
      </w:r>
      <w:r w:rsidR="004E7995" w:rsidRPr="007F7FF5">
        <w:rPr>
          <w:color w:val="000000" w:themeColor="text1"/>
          <w:szCs w:val="18"/>
          <w:lang w:eastAsia="de-DE"/>
        </w:rPr>
        <w:t>.</w:t>
      </w:r>
      <w:proofErr w:type="gramEnd"/>
      <w:r w:rsidRPr="007F7FF5">
        <w:rPr>
          <w:color w:val="000000" w:themeColor="text1"/>
          <w:szCs w:val="18"/>
          <w:lang w:eastAsia="de-DE"/>
        </w:rPr>
        <w:t xml:space="preserve"> Results of field calibration measurements at PTB with a bare </w:t>
      </w:r>
      <w:r w:rsidRPr="007F7FF5">
        <w:rPr>
          <w:color w:val="000000" w:themeColor="text1"/>
          <w:szCs w:val="18"/>
          <w:vertAlign w:val="superscript"/>
          <w:lang w:eastAsia="de-DE"/>
        </w:rPr>
        <w:t>252</w:t>
      </w:r>
      <w:r w:rsidRPr="007F7FF5">
        <w:rPr>
          <w:color w:val="000000" w:themeColor="text1"/>
          <w:szCs w:val="18"/>
          <w:lang w:eastAsia="de-DE"/>
        </w:rPr>
        <w:t>Cf source</w:t>
      </w:r>
      <w:r w:rsidR="008E53EF" w:rsidRPr="007F7FF5">
        <w:rPr>
          <w:color w:val="000000" w:themeColor="text1"/>
          <w:szCs w:val="18"/>
          <w:lang w:eastAsia="de-DE"/>
        </w:rPr>
        <w:t xml:space="preserve"> (distance source – ball center: 185 cm)</w:t>
      </w:r>
      <w:r w:rsidR="00B43E99" w:rsidRPr="007F7FF5">
        <w:rPr>
          <w:color w:val="000000" w:themeColor="text1"/>
          <w:szCs w:val="18"/>
          <w:lang w:eastAsia="de-DE"/>
        </w:rPr>
        <w:t>.</w:t>
      </w:r>
    </w:p>
    <w:tbl>
      <w:tblPr>
        <w:tblW w:w="7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920"/>
        <w:gridCol w:w="920"/>
        <w:gridCol w:w="920"/>
        <w:gridCol w:w="920"/>
        <w:gridCol w:w="920"/>
        <w:gridCol w:w="920"/>
        <w:gridCol w:w="980"/>
      </w:tblGrid>
      <w:tr w:rsidR="007F7FF5" w:rsidRPr="007F7FF5" w:rsidTr="003A06E8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E99" w:rsidRPr="007F7FF5" w:rsidRDefault="00B43E99" w:rsidP="00B43E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b/>
                <w:color w:val="000000" w:themeColor="text1"/>
                <w:szCs w:val="18"/>
                <w:lang w:eastAsia="de-DE"/>
              </w:rPr>
              <w:br w:type="page"/>
            </w:r>
            <w:r w:rsidRPr="007F7FF5">
              <w:rPr>
                <w:rFonts w:ascii="Times New Roman" w:hAnsi="Times New Roman"/>
                <w:b/>
                <w:color w:val="000000" w:themeColor="text1"/>
                <w:szCs w:val="18"/>
                <w:lang w:eastAsia="de-DE"/>
              </w:rPr>
              <w:br w:type="page"/>
            </w:r>
            <w:r w:rsidRPr="007F7FF5">
              <w:rPr>
                <w:rFonts w:ascii="Times New Roman" w:hAnsi="Times New Roman"/>
                <w:b/>
                <w:color w:val="000000" w:themeColor="text1"/>
                <w:szCs w:val="18"/>
                <w:lang w:eastAsia="de-DE"/>
              </w:rPr>
              <w:br w:type="page"/>
              <w:t xml:space="preserve">Ball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E99" w:rsidRPr="007F7FF5" w:rsidRDefault="00B43E99" w:rsidP="00B43E99">
            <w:pPr>
              <w:rPr>
                <w:b/>
                <w:color w:val="000000" w:themeColor="text1"/>
                <w:szCs w:val="18"/>
              </w:rPr>
            </w:pPr>
            <w:r w:rsidRPr="007F7FF5">
              <w:rPr>
                <w:b/>
                <w:color w:val="000000" w:themeColor="text1"/>
                <w:szCs w:val="18"/>
              </w:rPr>
              <w:t>Position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E99" w:rsidRPr="007F7FF5" w:rsidRDefault="00B43E99" w:rsidP="00B43E99">
            <w:pPr>
              <w:jc w:val="center"/>
              <w:rPr>
                <w:b/>
                <w:i/>
                <w:color w:val="000000" w:themeColor="text1"/>
                <w:szCs w:val="18"/>
              </w:rPr>
            </w:pPr>
            <w:proofErr w:type="spellStart"/>
            <w:r w:rsidRPr="007F7FF5">
              <w:rPr>
                <w:b/>
                <w:i/>
                <w:color w:val="000000" w:themeColor="text1"/>
                <w:szCs w:val="18"/>
              </w:rPr>
              <w:t>M</w:t>
            </w:r>
            <w:r w:rsidRPr="007F7FF5">
              <w:rPr>
                <w:b/>
                <w:i/>
                <w:color w:val="000000" w:themeColor="text1"/>
                <w:szCs w:val="18"/>
                <w:vertAlign w:val="subscript"/>
              </w:rPr>
              <w:t>field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E99" w:rsidRPr="007F7FF5" w:rsidRDefault="00B43E99" w:rsidP="00B43E99">
            <w:pPr>
              <w:jc w:val="center"/>
              <w:rPr>
                <w:b/>
                <w:i/>
                <w:color w:val="000000" w:themeColor="text1"/>
                <w:szCs w:val="18"/>
              </w:rPr>
            </w:pPr>
            <w:proofErr w:type="spellStart"/>
            <w:r w:rsidRPr="007F7FF5">
              <w:rPr>
                <w:b/>
                <w:i/>
                <w:color w:val="000000" w:themeColor="text1"/>
                <w:szCs w:val="18"/>
              </w:rPr>
              <w:t>M</w:t>
            </w:r>
            <w:r w:rsidRPr="007F7FF5">
              <w:rPr>
                <w:b/>
                <w:i/>
                <w:color w:val="000000" w:themeColor="text1"/>
                <w:szCs w:val="18"/>
                <w:vertAlign w:val="subscript"/>
              </w:rPr>
              <w:t>albedo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E99" w:rsidRPr="007F7FF5" w:rsidRDefault="00B43E99" w:rsidP="00B43E99">
            <w:pPr>
              <w:jc w:val="center"/>
              <w:rPr>
                <w:b/>
                <w:i/>
                <w:color w:val="000000" w:themeColor="text1"/>
                <w:szCs w:val="18"/>
              </w:rPr>
            </w:pPr>
            <w:r w:rsidRPr="007F7FF5">
              <w:rPr>
                <w:b/>
                <w:i/>
                <w:color w:val="000000" w:themeColor="text1"/>
                <w:szCs w:val="18"/>
              </w:rPr>
              <w:t>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E99" w:rsidRPr="007F7FF5" w:rsidRDefault="00B43E99" w:rsidP="00B43E99">
            <w:pPr>
              <w:jc w:val="center"/>
              <w:rPr>
                <w:b/>
                <w:color w:val="000000" w:themeColor="text1"/>
                <w:szCs w:val="18"/>
              </w:rPr>
            </w:pPr>
            <w:r w:rsidRPr="007F7FF5">
              <w:rPr>
                <w:b/>
                <w:color w:val="000000" w:themeColor="text1"/>
                <w:szCs w:val="18"/>
              </w:rPr>
              <w:t>Ball dose</w:t>
            </w:r>
            <w:r w:rsidRPr="007F7FF5">
              <w:rPr>
                <w:b/>
                <w:color w:val="000000" w:themeColor="text1"/>
                <w:szCs w:val="18"/>
              </w:rPr>
              <w:br/>
              <w:t>(µ</w:t>
            </w:r>
            <w:proofErr w:type="spellStart"/>
            <w:r w:rsidRPr="007F7FF5">
              <w:rPr>
                <w:b/>
                <w:color w:val="000000" w:themeColor="text1"/>
                <w:szCs w:val="18"/>
              </w:rPr>
              <w:t>Sv</w:t>
            </w:r>
            <w:proofErr w:type="spellEnd"/>
            <w:r w:rsidRPr="007F7FF5">
              <w:rPr>
                <w:b/>
                <w:color w:val="000000" w:themeColor="text1"/>
                <w:szCs w:val="18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E99" w:rsidRPr="007F7FF5" w:rsidRDefault="00B43E99" w:rsidP="00B43E99">
            <w:pPr>
              <w:jc w:val="center"/>
              <w:rPr>
                <w:b/>
                <w:i/>
                <w:color w:val="000000" w:themeColor="text1"/>
                <w:szCs w:val="18"/>
              </w:rPr>
            </w:pPr>
            <w:proofErr w:type="spellStart"/>
            <w:r w:rsidRPr="007F7FF5">
              <w:rPr>
                <w:b/>
                <w:i/>
                <w:color w:val="000000" w:themeColor="text1"/>
                <w:szCs w:val="18"/>
              </w:rPr>
              <w:t>X</w:t>
            </w:r>
            <w:r w:rsidRPr="007F7FF5">
              <w:rPr>
                <w:b/>
                <w:i/>
                <w:color w:val="000000" w:themeColor="text1"/>
                <w:szCs w:val="18"/>
                <w:vertAlign w:val="subscript"/>
              </w:rPr>
              <w:t>sum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E99" w:rsidRPr="007F7FF5" w:rsidRDefault="00B43E99" w:rsidP="00B43E99">
            <w:pPr>
              <w:jc w:val="center"/>
              <w:rPr>
                <w:b/>
                <w:i/>
                <w:color w:val="000000" w:themeColor="text1"/>
                <w:szCs w:val="18"/>
              </w:rPr>
            </w:pPr>
            <w:proofErr w:type="spellStart"/>
            <w:r w:rsidRPr="007F7FF5">
              <w:rPr>
                <w:b/>
                <w:i/>
                <w:color w:val="000000" w:themeColor="text1"/>
                <w:szCs w:val="18"/>
              </w:rPr>
              <w:t>N</w:t>
            </w:r>
            <w:r w:rsidRPr="007F7FF5">
              <w:rPr>
                <w:b/>
                <w:i/>
                <w:color w:val="000000" w:themeColor="text1"/>
                <w:szCs w:val="18"/>
                <w:vertAlign w:val="subscript"/>
              </w:rPr>
              <w:t>n</w:t>
            </w:r>
            <w:proofErr w:type="spellEnd"/>
            <w:r w:rsidRPr="007F7FF5">
              <w:rPr>
                <w:b/>
                <w:i/>
                <w:color w:val="000000" w:themeColor="text1"/>
                <w:szCs w:val="18"/>
              </w:rPr>
              <w:t>(X)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6F5A53" w:rsidP="00B43E9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P</w:t>
            </w:r>
            <w:r w:rsidR="00B43E99"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AE0C01">
            <w:pPr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Front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DD7EBF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1983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DD7EBF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4970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6E32E7" w:rsidP="00DD7EBF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0.</w:t>
            </w:r>
            <w:r w:rsidR="00DD7EBF" w:rsidRPr="007F7FF5">
              <w:rPr>
                <w:color w:val="000000" w:themeColor="text1"/>
                <w:szCs w:val="18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DD7EBF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6157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6E32E7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0.</w:t>
            </w:r>
            <w:r w:rsidR="006F5A53" w:rsidRPr="007F7FF5">
              <w:rPr>
                <w:color w:val="000000" w:themeColor="text1"/>
                <w:szCs w:val="18"/>
              </w:rPr>
              <w:t>5</w:t>
            </w:r>
            <w:r w:rsidR="00DD7EBF" w:rsidRPr="007F7FF5">
              <w:rPr>
                <w:color w:val="000000" w:themeColor="text1"/>
                <w:szCs w:val="18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6E32E7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0.</w:t>
            </w:r>
            <w:r w:rsidR="00DD7EBF" w:rsidRPr="007F7FF5">
              <w:rPr>
                <w:color w:val="000000" w:themeColor="text1"/>
                <w:szCs w:val="18"/>
              </w:rPr>
              <w:t>87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6F5A53" w:rsidP="00B43E9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P</w:t>
            </w:r>
            <w:r w:rsidR="00B43E99" w:rsidRPr="007F7FF5">
              <w:rPr>
                <w:rFonts w:ascii="Times New Roman" w:hAnsi="Times New Roman"/>
                <w:color w:val="000000" w:themeColor="text1"/>
                <w:szCs w:val="18"/>
                <w:lang w:eastAsia="de-DE"/>
              </w:rPr>
              <w:t>E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AE0C01">
            <w:pPr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Back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DD7EBF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1675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DD7EBF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2125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6E32E7" w:rsidP="00DD7EBF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0.</w:t>
            </w:r>
            <w:r w:rsidR="006F5A53" w:rsidRPr="007F7FF5">
              <w:rPr>
                <w:color w:val="000000" w:themeColor="text1"/>
                <w:szCs w:val="18"/>
              </w:rPr>
              <w:t>7</w:t>
            </w:r>
            <w:r w:rsidR="00DD7EBF" w:rsidRPr="007F7FF5">
              <w:rPr>
                <w:color w:val="000000" w:themeColor="text1"/>
                <w:szCs w:val="18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DD7EBF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6157</w:t>
            </w:r>
          </w:p>
        </w:tc>
        <w:tc>
          <w:tcPr>
            <w:tcW w:w="9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6F5A53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6F5A53">
            <w:pPr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 </w:t>
            </w:r>
          </w:p>
        </w:tc>
      </w:tr>
      <w:tr w:rsidR="007F7FF5" w:rsidRPr="007F7FF5" w:rsidTr="003A06E8">
        <w:trPr>
          <w:trHeight w:val="255"/>
        </w:trPr>
        <w:tc>
          <w:tcPr>
            <w:tcW w:w="118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6F5A53" w:rsidP="00B43E9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</w:t>
            </w:r>
            <w:r w:rsidR="00B43E9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E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AE0C01">
            <w:pPr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Left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6F5A53" w:rsidP="00DD7EBF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15</w:t>
            </w:r>
            <w:r w:rsidR="00DD7EBF" w:rsidRPr="007F7FF5">
              <w:rPr>
                <w:color w:val="000000" w:themeColor="text1"/>
                <w:szCs w:val="18"/>
              </w:rPr>
              <w:t>96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DD7EBF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2771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6E32E7" w:rsidP="00DD7EBF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0.</w:t>
            </w:r>
            <w:r w:rsidR="00DD7EBF" w:rsidRPr="007F7FF5">
              <w:rPr>
                <w:color w:val="000000" w:themeColor="text1"/>
                <w:szCs w:val="18"/>
              </w:rPr>
              <w:t>58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DD7EBF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6157</w:t>
            </w:r>
          </w:p>
        </w:tc>
        <w:tc>
          <w:tcPr>
            <w:tcW w:w="92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6E32E7" w:rsidP="00DD7EBF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0.</w:t>
            </w:r>
            <w:r w:rsidR="006F5A53" w:rsidRPr="007F7FF5">
              <w:rPr>
                <w:color w:val="000000" w:themeColor="text1"/>
                <w:szCs w:val="18"/>
              </w:rPr>
              <w:t>5</w:t>
            </w:r>
            <w:r w:rsidR="00DD7EBF" w:rsidRPr="007F7FF5">
              <w:rPr>
                <w:color w:val="000000" w:themeColor="text1"/>
                <w:szCs w:val="18"/>
              </w:rPr>
              <w:t>9</w:t>
            </w:r>
          </w:p>
        </w:tc>
        <w:tc>
          <w:tcPr>
            <w:tcW w:w="98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6F5A53" w:rsidP="00DD7EBF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1,</w:t>
            </w:r>
            <w:r w:rsidR="00DD7EBF" w:rsidRPr="007F7FF5">
              <w:rPr>
                <w:color w:val="000000" w:themeColor="text1"/>
                <w:szCs w:val="18"/>
              </w:rPr>
              <w:t>12</w:t>
            </w:r>
          </w:p>
        </w:tc>
      </w:tr>
      <w:tr w:rsidR="007F7FF5" w:rsidRPr="007F7FF5" w:rsidTr="00B43E99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6F5A53" w:rsidP="00B43E99">
            <w:pPr>
              <w:spacing w:line="240" w:lineRule="auto"/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</w:pPr>
            <w:r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P</w:t>
            </w:r>
            <w:r w:rsidR="00B43E99" w:rsidRPr="007F7FF5">
              <w:rPr>
                <w:rFonts w:ascii="Times New Roman" w:hAnsi="Times New Roman"/>
                <w:color w:val="000000" w:themeColor="text1"/>
                <w:szCs w:val="18"/>
                <w:lang w:val="de-DE" w:eastAsia="de-DE"/>
              </w:rPr>
              <w:t>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AE0C01">
            <w:pPr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Right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6F5A53" w:rsidP="00DD7EBF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1</w:t>
            </w:r>
            <w:r w:rsidR="00DD7EBF" w:rsidRPr="007F7FF5">
              <w:rPr>
                <w:color w:val="000000" w:themeColor="text1"/>
                <w:szCs w:val="18"/>
              </w:rPr>
              <w:t>641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DD7EBF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2714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6E32E7" w:rsidP="00AC192E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0.</w:t>
            </w:r>
            <w:r w:rsidR="00DD7EBF" w:rsidRPr="007F7FF5">
              <w:rPr>
                <w:color w:val="000000" w:themeColor="text1"/>
                <w:szCs w:val="18"/>
              </w:rPr>
              <w:t>6</w:t>
            </w:r>
            <w:r w:rsidR="00AC192E" w:rsidRPr="007F7FF5">
              <w:rPr>
                <w:color w:val="000000" w:themeColor="text1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DD7EBF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6157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6F5A53">
            <w:pPr>
              <w:jc w:val="center"/>
              <w:rPr>
                <w:color w:val="000000" w:themeColor="text1"/>
                <w:szCs w:val="18"/>
              </w:rPr>
            </w:pPr>
            <w:r w:rsidRPr="007F7FF5">
              <w:rPr>
                <w:color w:val="000000" w:themeColor="text1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A53" w:rsidRPr="007F7FF5" w:rsidRDefault="006F5A53">
            <w:pPr>
              <w:rPr>
                <w:color w:val="000000" w:themeColor="text1"/>
                <w:sz w:val="16"/>
                <w:szCs w:val="16"/>
              </w:rPr>
            </w:pPr>
            <w:r w:rsidRPr="007F7FF5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</w:tbl>
    <w:p w:rsidR="00B143B0" w:rsidRPr="007F7FF5" w:rsidRDefault="00E4458C" w:rsidP="00B143B0">
      <w:pPr>
        <w:spacing w:line="240" w:lineRule="auto"/>
        <w:ind w:left="1134"/>
        <w:rPr>
          <w:color w:val="000000" w:themeColor="text1"/>
          <w:sz w:val="16"/>
          <w:szCs w:val="20"/>
          <w:lang w:eastAsia="de-DE"/>
        </w:rPr>
      </w:pPr>
      <w:r w:rsidRPr="007F7FF5">
        <w:rPr>
          <w:noProof/>
          <w:color w:val="000000" w:themeColor="text1"/>
          <w:sz w:val="16"/>
          <w:szCs w:val="20"/>
          <w:lang w:val="de-DE" w:eastAsia="de-DE"/>
        </w:rPr>
        <w:lastRenderedPageBreak/>
        <w:drawing>
          <wp:inline distT="0" distB="0" distL="0" distR="0" wp14:anchorId="1132F108" wp14:editId="6A558583">
            <wp:extent cx="5450205" cy="4316095"/>
            <wp:effectExtent l="0" t="0" r="0" b="825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205" cy="431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7952" w:rsidRPr="007F7FF5" w:rsidRDefault="00E36361" w:rsidP="00E36361">
      <w:pPr>
        <w:rPr>
          <w:color w:val="000000" w:themeColor="text1"/>
          <w:szCs w:val="18"/>
        </w:rPr>
      </w:pPr>
      <w:proofErr w:type="gramStart"/>
      <w:r w:rsidRPr="007F7FF5">
        <w:rPr>
          <w:color w:val="000000" w:themeColor="text1"/>
          <w:szCs w:val="18"/>
        </w:rPr>
        <w:t>Figure</w:t>
      </w:r>
      <w:r w:rsidR="00907952" w:rsidRPr="007F7FF5">
        <w:rPr>
          <w:color w:val="000000" w:themeColor="text1"/>
          <w:szCs w:val="18"/>
        </w:rPr>
        <w:t xml:space="preserve"> 1</w:t>
      </w:r>
      <w:r w:rsidRPr="007F7FF5">
        <w:rPr>
          <w:color w:val="000000" w:themeColor="text1"/>
          <w:szCs w:val="18"/>
        </w:rPr>
        <w:t>.</w:t>
      </w:r>
      <w:proofErr w:type="gramEnd"/>
      <w:r w:rsidR="00907952" w:rsidRPr="007F7FF5">
        <w:rPr>
          <w:color w:val="000000" w:themeColor="text1"/>
          <w:szCs w:val="18"/>
        </w:rPr>
        <w:t xml:space="preserve"> </w:t>
      </w:r>
      <w:proofErr w:type="spellStart"/>
      <w:proofErr w:type="gramStart"/>
      <w:r w:rsidR="00EB5933" w:rsidRPr="007F7FF5">
        <w:rPr>
          <w:i/>
          <w:color w:val="000000" w:themeColor="text1"/>
          <w:szCs w:val="18"/>
        </w:rPr>
        <w:t>H</w:t>
      </w:r>
      <w:r w:rsidR="00EB5933" w:rsidRPr="007F7FF5">
        <w:rPr>
          <w:color w:val="000000" w:themeColor="text1"/>
          <w:szCs w:val="18"/>
          <w:vertAlign w:val="subscript"/>
        </w:rPr>
        <w:t>p</w:t>
      </w:r>
      <w:proofErr w:type="spellEnd"/>
      <w:r w:rsidR="00EB5933" w:rsidRPr="007F7FF5">
        <w:rPr>
          <w:color w:val="000000" w:themeColor="text1"/>
          <w:szCs w:val="18"/>
        </w:rPr>
        <w:t>(</w:t>
      </w:r>
      <w:proofErr w:type="gramEnd"/>
      <w:r w:rsidR="00EB5933" w:rsidRPr="007F7FF5">
        <w:rPr>
          <w:color w:val="000000" w:themeColor="text1"/>
          <w:szCs w:val="18"/>
        </w:rPr>
        <w:t>10)</w:t>
      </w:r>
      <w:r w:rsidR="00907952" w:rsidRPr="007F7FF5">
        <w:rPr>
          <w:color w:val="000000" w:themeColor="text1"/>
          <w:szCs w:val="18"/>
        </w:rPr>
        <w:t xml:space="preserve"> response of an albedo </w:t>
      </w:r>
      <w:proofErr w:type="spellStart"/>
      <w:r w:rsidR="00EB5933" w:rsidRPr="007F7FF5">
        <w:rPr>
          <w:color w:val="000000" w:themeColor="text1"/>
          <w:szCs w:val="18"/>
        </w:rPr>
        <w:t>dosemeter</w:t>
      </w:r>
      <w:proofErr w:type="spellEnd"/>
      <w:r w:rsidR="00907952" w:rsidRPr="007F7FF5">
        <w:rPr>
          <w:color w:val="000000" w:themeColor="text1"/>
          <w:szCs w:val="18"/>
        </w:rPr>
        <w:t xml:space="preserve"> (arbitrary units) and </w:t>
      </w:r>
      <w:proofErr w:type="spellStart"/>
      <w:r w:rsidR="00907952" w:rsidRPr="007F7FF5">
        <w:rPr>
          <w:color w:val="000000" w:themeColor="text1"/>
          <w:szCs w:val="18"/>
        </w:rPr>
        <w:t>fluence</w:t>
      </w:r>
      <w:proofErr w:type="spellEnd"/>
      <w:r w:rsidR="00907952" w:rsidRPr="007F7FF5">
        <w:rPr>
          <w:color w:val="000000" w:themeColor="text1"/>
          <w:szCs w:val="18"/>
        </w:rPr>
        <w:t xml:space="preserve"> to </w:t>
      </w:r>
      <w:r w:rsidR="00EB5933" w:rsidRPr="007F7FF5">
        <w:rPr>
          <w:color w:val="000000" w:themeColor="text1"/>
          <w:szCs w:val="18"/>
        </w:rPr>
        <w:t xml:space="preserve">personal </w:t>
      </w:r>
      <w:r w:rsidR="00907952" w:rsidRPr="007F7FF5">
        <w:rPr>
          <w:color w:val="000000" w:themeColor="text1"/>
          <w:szCs w:val="18"/>
        </w:rPr>
        <w:t xml:space="preserve">dose </w:t>
      </w:r>
      <w:r w:rsidR="00EB5933" w:rsidRPr="007F7FF5">
        <w:rPr>
          <w:color w:val="000000" w:themeColor="text1"/>
          <w:szCs w:val="18"/>
        </w:rPr>
        <w:t xml:space="preserve">equivalent conversion </w:t>
      </w:r>
      <w:r w:rsidR="00907952" w:rsidRPr="007F7FF5">
        <w:rPr>
          <w:color w:val="000000" w:themeColor="text1"/>
          <w:szCs w:val="18"/>
        </w:rPr>
        <w:t xml:space="preserve">coefficient for neutrons and </w:t>
      </w:r>
      <w:proofErr w:type="spellStart"/>
      <w:r w:rsidR="00907952" w:rsidRPr="007F7FF5">
        <w:rPr>
          <w:i/>
          <w:color w:val="000000" w:themeColor="text1"/>
          <w:szCs w:val="18"/>
        </w:rPr>
        <w:t>H</w:t>
      </w:r>
      <w:r w:rsidR="00907952" w:rsidRPr="007F7FF5">
        <w:rPr>
          <w:color w:val="000000" w:themeColor="text1"/>
          <w:szCs w:val="18"/>
          <w:vertAlign w:val="subscript"/>
        </w:rPr>
        <w:t>p</w:t>
      </w:r>
      <w:proofErr w:type="spellEnd"/>
      <w:r w:rsidR="00EB5933" w:rsidRPr="007F7FF5">
        <w:rPr>
          <w:color w:val="000000" w:themeColor="text1"/>
          <w:szCs w:val="18"/>
        </w:rPr>
        <w:t>(10;</w:t>
      </w:r>
      <w:r w:rsidR="00907952" w:rsidRPr="007F7FF5">
        <w:rPr>
          <w:color w:val="000000" w:themeColor="text1"/>
          <w:szCs w:val="18"/>
        </w:rPr>
        <w:t>0°) (</w:t>
      </w:r>
      <w:proofErr w:type="spellStart"/>
      <w:r w:rsidR="00907952" w:rsidRPr="007F7FF5">
        <w:rPr>
          <w:color w:val="000000" w:themeColor="text1"/>
          <w:szCs w:val="18"/>
        </w:rPr>
        <w:t>pSv</w:t>
      </w:r>
      <w:proofErr w:type="spellEnd"/>
      <w:r w:rsidR="00907952" w:rsidRPr="007F7FF5">
        <w:rPr>
          <w:color w:val="000000" w:themeColor="text1"/>
          <w:szCs w:val="18"/>
        </w:rPr>
        <w:t xml:space="preserve"> · cm</w:t>
      </w:r>
      <w:r w:rsidR="00907952" w:rsidRPr="007F7FF5">
        <w:rPr>
          <w:color w:val="000000" w:themeColor="text1"/>
          <w:szCs w:val="18"/>
          <w:vertAlign w:val="superscript"/>
        </w:rPr>
        <w:t>2</w:t>
      </w:r>
      <w:r w:rsidR="00907952" w:rsidRPr="007F7FF5">
        <w:rPr>
          <w:color w:val="000000" w:themeColor="text1"/>
          <w:szCs w:val="18"/>
        </w:rPr>
        <w:t>).  Data are taken from Ref</w:t>
      </w:r>
      <w:r w:rsidRPr="007F7FF5">
        <w:rPr>
          <w:color w:val="000000" w:themeColor="text1"/>
          <w:szCs w:val="18"/>
        </w:rPr>
        <w:t>erence</w:t>
      </w:r>
      <w:r w:rsidR="00907952" w:rsidRPr="007F7FF5">
        <w:rPr>
          <w:color w:val="000000" w:themeColor="text1"/>
          <w:szCs w:val="18"/>
        </w:rPr>
        <w:t xml:space="preserve"> 2</w:t>
      </w:r>
      <w:r w:rsidR="00E7039F" w:rsidRPr="007F7FF5">
        <w:rPr>
          <w:color w:val="000000" w:themeColor="text1"/>
          <w:szCs w:val="18"/>
        </w:rPr>
        <w:t xml:space="preserve"> (table 3</w:t>
      </w:r>
      <w:r w:rsidR="001139B8" w:rsidRPr="007F7FF5">
        <w:rPr>
          <w:color w:val="000000" w:themeColor="text1"/>
          <w:szCs w:val="18"/>
        </w:rPr>
        <w:t>.</w:t>
      </w:r>
      <w:r w:rsidR="00E7039F" w:rsidRPr="007F7FF5">
        <w:rPr>
          <w:color w:val="000000" w:themeColor="text1"/>
          <w:szCs w:val="18"/>
        </w:rPr>
        <w:t>XXV, column 2 and table 2</w:t>
      </w:r>
      <w:r w:rsidR="001139B8" w:rsidRPr="007F7FF5">
        <w:rPr>
          <w:color w:val="000000" w:themeColor="text1"/>
          <w:szCs w:val="18"/>
        </w:rPr>
        <w:t>.</w:t>
      </w:r>
      <w:r w:rsidR="00E7039F" w:rsidRPr="007F7FF5">
        <w:rPr>
          <w:color w:val="000000" w:themeColor="text1"/>
          <w:szCs w:val="18"/>
        </w:rPr>
        <w:t>III, column 3)</w:t>
      </w:r>
      <w:r w:rsidR="00A15F0E" w:rsidRPr="007F7FF5">
        <w:rPr>
          <w:color w:val="000000" w:themeColor="text1"/>
          <w:szCs w:val="18"/>
        </w:rPr>
        <w:t>.</w:t>
      </w:r>
    </w:p>
    <w:p w:rsidR="008E53EF" w:rsidRPr="007F7FF5" w:rsidRDefault="008E53EF" w:rsidP="008E53EF">
      <w:pPr>
        <w:spacing w:line="240" w:lineRule="auto"/>
        <w:rPr>
          <w:color w:val="000000" w:themeColor="text1"/>
          <w:sz w:val="16"/>
          <w:szCs w:val="16"/>
          <w:lang w:eastAsia="de-DE"/>
        </w:rPr>
      </w:pPr>
    </w:p>
    <w:p w:rsidR="008E53EF" w:rsidRPr="007F7FF5" w:rsidRDefault="00E36361" w:rsidP="008E53EF">
      <w:pPr>
        <w:spacing w:line="240" w:lineRule="auto"/>
        <w:rPr>
          <w:color w:val="000000" w:themeColor="text1"/>
          <w:sz w:val="16"/>
          <w:szCs w:val="20"/>
          <w:lang w:eastAsia="de-DE"/>
        </w:rPr>
      </w:pPr>
      <w:r w:rsidRPr="007F7FF5">
        <w:rPr>
          <w:noProof/>
          <w:color w:val="000000" w:themeColor="text1"/>
          <w:sz w:val="16"/>
          <w:szCs w:val="20"/>
          <w:lang w:val="de-DE" w:eastAsia="de-DE"/>
        </w:rPr>
        <w:lastRenderedPageBreak/>
        <w:drawing>
          <wp:inline distT="0" distB="0" distL="0" distR="0" wp14:anchorId="26409FA9" wp14:editId="1839EA18">
            <wp:extent cx="5450205" cy="4785995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205" cy="478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26DD" w:rsidRPr="007F7FF5" w:rsidRDefault="008E53EF" w:rsidP="001E2687">
      <w:pPr>
        <w:spacing w:line="240" w:lineRule="auto"/>
        <w:ind w:left="1134"/>
        <w:rPr>
          <w:color w:val="000000" w:themeColor="text1"/>
          <w:szCs w:val="18"/>
        </w:rPr>
      </w:pPr>
      <w:proofErr w:type="gramStart"/>
      <w:r w:rsidRPr="007F7FF5">
        <w:rPr>
          <w:color w:val="000000" w:themeColor="text1"/>
          <w:szCs w:val="18"/>
        </w:rPr>
        <w:t>Fig</w:t>
      </w:r>
      <w:r w:rsidR="00E36361" w:rsidRPr="007F7FF5">
        <w:rPr>
          <w:color w:val="000000" w:themeColor="text1"/>
          <w:szCs w:val="18"/>
        </w:rPr>
        <w:t>ure</w:t>
      </w:r>
      <w:r w:rsidRPr="007F7FF5">
        <w:rPr>
          <w:color w:val="000000" w:themeColor="text1"/>
          <w:szCs w:val="18"/>
        </w:rPr>
        <w:t xml:space="preserve"> 2</w:t>
      </w:r>
      <w:r w:rsidR="00E36361" w:rsidRPr="007F7FF5">
        <w:rPr>
          <w:color w:val="000000" w:themeColor="text1"/>
          <w:szCs w:val="18"/>
        </w:rPr>
        <w:t>.</w:t>
      </w:r>
      <w:proofErr w:type="gramEnd"/>
      <w:r w:rsidRPr="007F7FF5">
        <w:rPr>
          <w:color w:val="000000" w:themeColor="text1"/>
          <w:szCs w:val="18"/>
        </w:rPr>
        <w:t xml:space="preserve"> </w:t>
      </w:r>
      <w:proofErr w:type="gramStart"/>
      <w:r w:rsidRPr="007F7FF5">
        <w:rPr>
          <w:color w:val="000000" w:themeColor="text1"/>
          <w:szCs w:val="18"/>
        </w:rPr>
        <w:t xml:space="preserve">Energy spectra of neutron fields at CERF and of a bare </w:t>
      </w:r>
      <w:r w:rsidRPr="007F7FF5">
        <w:rPr>
          <w:color w:val="000000" w:themeColor="text1"/>
          <w:szCs w:val="18"/>
          <w:vertAlign w:val="superscript"/>
        </w:rPr>
        <w:t>252</w:t>
      </w:r>
      <w:r w:rsidRPr="007F7FF5">
        <w:rPr>
          <w:color w:val="000000" w:themeColor="text1"/>
          <w:szCs w:val="18"/>
        </w:rPr>
        <w:t>Cf source (</w:t>
      </w:r>
      <w:r w:rsidR="00E36361" w:rsidRPr="007F7FF5">
        <w:rPr>
          <w:color w:val="000000" w:themeColor="text1"/>
          <w:szCs w:val="18"/>
        </w:rPr>
        <w:t>at</w:t>
      </w:r>
      <w:r w:rsidRPr="007F7FF5">
        <w:rPr>
          <w:color w:val="000000" w:themeColor="text1"/>
          <w:szCs w:val="18"/>
        </w:rPr>
        <w:t xml:space="preserve"> a distance of 170 cm).</w:t>
      </w:r>
      <w:proofErr w:type="gramEnd"/>
      <w:r w:rsidRPr="007F7FF5">
        <w:rPr>
          <w:color w:val="000000" w:themeColor="text1"/>
          <w:szCs w:val="18"/>
        </w:rPr>
        <w:t xml:space="preserve"> </w:t>
      </w:r>
      <w:r w:rsidR="00E36361" w:rsidRPr="007F7FF5">
        <w:rPr>
          <w:color w:val="000000" w:themeColor="text1"/>
          <w:szCs w:val="18"/>
        </w:rPr>
        <w:br/>
      </w:r>
      <w:r w:rsidRPr="007F7FF5">
        <w:rPr>
          <w:color w:val="000000" w:themeColor="text1"/>
          <w:szCs w:val="18"/>
        </w:rPr>
        <w:t>Data are taken from Ref</w:t>
      </w:r>
      <w:r w:rsidR="00E36361" w:rsidRPr="007F7FF5">
        <w:rPr>
          <w:color w:val="000000" w:themeColor="text1"/>
          <w:szCs w:val="18"/>
        </w:rPr>
        <w:t>erence</w:t>
      </w:r>
      <w:r w:rsidRPr="007F7FF5">
        <w:rPr>
          <w:color w:val="000000" w:themeColor="text1"/>
          <w:szCs w:val="18"/>
        </w:rPr>
        <w:t xml:space="preserve"> 2</w:t>
      </w:r>
      <w:r w:rsidR="00E7039F" w:rsidRPr="007F7FF5">
        <w:rPr>
          <w:color w:val="000000" w:themeColor="text1"/>
          <w:szCs w:val="18"/>
        </w:rPr>
        <w:t xml:space="preserve"> (table 4</w:t>
      </w:r>
      <w:r w:rsidR="001139B8" w:rsidRPr="007F7FF5">
        <w:rPr>
          <w:color w:val="000000" w:themeColor="text1"/>
          <w:szCs w:val="18"/>
        </w:rPr>
        <w:t>.</w:t>
      </w:r>
      <w:r w:rsidR="00E7039F" w:rsidRPr="007F7FF5">
        <w:rPr>
          <w:color w:val="000000" w:themeColor="text1"/>
          <w:szCs w:val="18"/>
        </w:rPr>
        <w:t>XXIII, columns 2 and 3 and table 4</w:t>
      </w:r>
      <w:r w:rsidR="001139B8" w:rsidRPr="007F7FF5">
        <w:rPr>
          <w:color w:val="000000" w:themeColor="text1"/>
          <w:szCs w:val="18"/>
        </w:rPr>
        <w:t>.</w:t>
      </w:r>
      <w:r w:rsidR="00E7039F" w:rsidRPr="007F7FF5">
        <w:rPr>
          <w:color w:val="000000" w:themeColor="text1"/>
          <w:szCs w:val="18"/>
        </w:rPr>
        <w:t>VI, column 2)</w:t>
      </w:r>
      <w:r w:rsidRPr="007F7FF5">
        <w:rPr>
          <w:color w:val="000000" w:themeColor="text1"/>
          <w:szCs w:val="18"/>
        </w:rPr>
        <w:t>.</w:t>
      </w:r>
    </w:p>
    <w:p w:rsidR="00907952" w:rsidRPr="007F7FF5" w:rsidRDefault="001626DD" w:rsidP="001626DD">
      <w:pPr>
        <w:spacing w:line="240" w:lineRule="auto"/>
        <w:rPr>
          <w:noProof/>
          <w:color w:val="000000" w:themeColor="text1"/>
          <w:szCs w:val="18"/>
          <w:lang w:val="de-DE" w:eastAsia="de-DE"/>
        </w:rPr>
      </w:pPr>
      <w:r w:rsidRPr="007F7FF5">
        <w:rPr>
          <w:color w:val="000000" w:themeColor="text1"/>
          <w:szCs w:val="18"/>
        </w:rPr>
        <w:br w:type="page"/>
      </w:r>
      <w:r w:rsidRPr="007F7FF5">
        <w:rPr>
          <w:noProof/>
          <w:color w:val="000000" w:themeColor="text1"/>
          <w:szCs w:val="18"/>
          <w:lang w:val="de-DE" w:eastAsia="de-DE"/>
        </w:rPr>
        <w:lastRenderedPageBreak/>
        <w:drawing>
          <wp:inline distT="0" distB="0" distL="0" distR="0" wp14:anchorId="56216257" wp14:editId="59C67713">
            <wp:extent cx="5456555" cy="4779645"/>
            <wp:effectExtent l="0" t="0" r="0" b="190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477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26DD" w:rsidRPr="007F7FF5" w:rsidRDefault="001626DD" w:rsidP="001E2687">
      <w:pPr>
        <w:spacing w:line="240" w:lineRule="auto"/>
        <w:ind w:left="1134"/>
        <w:rPr>
          <w:color w:val="000000" w:themeColor="text1"/>
          <w:szCs w:val="18"/>
          <w:lang w:eastAsia="de-DE"/>
        </w:rPr>
      </w:pPr>
      <w:r w:rsidRPr="007F7FF5">
        <w:rPr>
          <w:noProof/>
          <w:color w:val="000000" w:themeColor="text1"/>
          <w:szCs w:val="18"/>
          <w:lang w:eastAsia="de-DE"/>
        </w:rPr>
        <w:t xml:space="preserve">Fig. 3: Functional dependence of the neutron correction factor </w:t>
      </w:r>
      <w:r w:rsidRPr="007F7FF5">
        <w:rPr>
          <w:i/>
          <w:noProof/>
          <w:color w:val="000000" w:themeColor="text1"/>
          <w:szCs w:val="18"/>
          <w:lang w:eastAsia="de-DE"/>
        </w:rPr>
        <w:t>N</w:t>
      </w:r>
      <w:r w:rsidRPr="007F7FF5">
        <w:rPr>
          <w:i/>
          <w:noProof/>
          <w:color w:val="000000" w:themeColor="text1"/>
          <w:szCs w:val="18"/>
          <w:vertAlign w:val="subscript"/>
          <w:lang w:eastAsia="de-DE"/>
        </w:rPr>
        <w:t>n</w:t>
      </w:r>
      <w:r w:rsidRPr="007F7FF5">
        <w:rPr>
          <w:i/>
          <w:noProof/>
          <w:color w:val="000000" w:themeColor="text1"/>
          <w:szCs w:val="18"/>
          <w:lang w:eastAsia="de-DE"/>
        </w:rPr>
        <w:t>(X)</w:t>
      </w:r>
      <w:r w:rsidRPr="007F7FF5">
        <w:rPr>
          <w:noProof/>
          <w:color w:val="000000" w:themeColor="text1"/>
          <w:szCs w:val="18"/>
          <w:lang w:eastAsia="de-DE"/>
        </w:rPr>
        <w:t xml:space="preserve"> on the ratio </w:t>
      </w:r>
      <w:r w:rsidR="003F6FD1" w:rsidRPr="007F7FF5">
        <w:rPr>
          <w:i/>
          <w:noProof/>
          <w:color w:val="000000" w:themeColor="text1"/>
          <w:szCs w:val="18"/>
          <w:lang w:eastAsia="de-DE"/>
        </w:rPr>
        <w:t>X</w:t>
      </w:r>
      <w:r w:rsidR="003F6FD1" w:rsidRPr="007F7FF5">
        <w:rPr>
          <w:noProof/>
          <w:color w:val="000000" w:themeColor="text1"/>
          <w:szCs w:val="18"/>
          <w:lang w:eastAsia="de-DE"/>
        </w:rPr>
        <w:t xml:space="preserve"> </w:t>
      </w:r>
      <w:r w:rsidRPr="007F7FF5">
        <w:rPr>
          <w:noProof/>
          <w:color w:val="000000" w:themeColor="text1"/>
          <w:szCs w:val="18"/>
          <w:lang w:eastAsia="de-DE"/>
        </w:rPr>
        <w:t xml:space="preserve">of </w:t>
      </w:r>
      <w:r w:rsidRPr="007F7FF5">
        <w:rPr>
          <w:i/>
          <w:noProof/>
          <w:color w:val="000000" w:themeColor="text1"/>
          <w:szCs w:val="18"/>
          <w:lang w:eastAsia="de-DE"/>
        </w:rPr>
        <w:t>M</w:t>
      </w:r>
      <w:r w:rsidRPr="007F7FF5">
        <w:rPr>
          <w:i/>
          <w:noProof/>
          <w:color w:val="000000" w:themeColor="text1"/>
          <w:szCs w:val="18"/>
          <w:vertAlign w:val="subscript"/>
          <w:lang w:eastAsia="de-DE"/>
        </w:rPr>
        <w:t>n</w:t>
      </w:r>
      <w:r w:rsidRPr="007F7FF5">
        <w:rPr>
          <w:i/>
          <w:noProof/>
          <w:color w:val="000000" w:themeColor="text1"/>
          <w:szCs w:val="18"/>
          <w:lang w:eastAsia="de-DE"/>
        </w:rPr>
        <w:t>(field)</w:t>
      </w:r>
      <w:r w:rsidRPr="007F7FF5">
        <w:rPr>
          <w:noProof/>
          <w:color w:val="000000" w:themeColor="text1"/>
          <w:szCs w:val="18"/>
          <w:lang w:eastAsia="de-DE"/>
        </w:rPr>
        <w:t xml:space="preserve"> to </w:t>
      </w:r>
      <w:r w:rsidRPr="007F7FF5">
        <w:rPr>
          <w:i/>
          <w:noProof/>
          <w:color w:val="000000" w:themeColor="text1"/>
          <w:szCs w:val="18"/>
          <w:lang w:eastAsia="de-DE"/>
        </w:rPr>
        <w:t>M</w:t>
      </w:r>
      <w:r w:rsidRPr="007F7FF5">
        <w:rPr>
          <w:i/>
          <w:noProof/>
          <w:color w:val="000000" w:themeColor="text1"/>
          <w:szCs w:val="18"/>
          <w:vertAlign w:val="subscript"/>
          <w:lang w:eastAsia="de-DE"/>
        </w:rPr>
        <w:t>n</w:t>
      </w:r>
      <w:r w:rsidRPr="007F7FF5">
        <w:rPr>
          <w:i/>
          <w:noProof/>
          <w:color w:val="000000" w:themeColor="text1"/>
          <w:szCs w:val="18"/>
          <w:lang w:eastAsia="de-DE"/>
        </w:rPr>
        <w:t>(albedo)</w:t>
      </w:r>
      <w:r w:rsidRPr="007F7FF5">
        <w:rPr>
          <w:noProof/>
          <w:color w:val="000000" w:themeColor="text1"/>
          <w:szCs w:val="18"/>
          <w:lang w:eastAsia="de-DE"/>
        </w:rPr>
        <w:t xml:space="preserve"> for fast neutron fields.</w:t>
      </w:r>
    </w:p>
    <w:sectPr w:rsidR="001626DD" w:rsidRPr="007F7FF5" w:rsidSect="00C16CEC">
      <w:type w:val="continuous"/>
      <w:pgSz w:w="13946" w:h="10715" w:orient="landscape" w:code="9"/>
      <w:pgMar w:top="907" w:right="1247" w:bottom="1525" w:left="1089" w:header="992" w:footer="737" w:gutter="0"/>
      <w:cols w:space="23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B1" w:rsidRDefault="008128B1">
      <w:r>
        <w:separator/>
      </w:r>
    </w:p>
  </w:endnote>
  <w:endnote w:type="continuationSeparator" w:id="0">
    <w:p w:rsidR="008128B1" w:rsidRDefault="0081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dvTT2a1c7c1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96EB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7A0" w:rsidRDefault="00E727A0">
    <w:pPr>
      <w:pStyle w:val="Fu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A03D3">
      <w:rPr>
        <w:rStyle w:val="Seitenzahl"/>
        <w:noProof/>
      </w:rPr>
      <w:t>12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7A0" w:rsidRDefault="00E727A0">
    <w:pPr>
      <w:pStyle w:val="Fu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A03D3">
      <w:rPr>
        <w:rStyle w:val="Seitenzahl"/>
        <w:noProof/>
      </w:rPr>
      <w:t>11</w:t>
    </w:r>
    <w:r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7A0" w:rsidRDefault="00E727A0">
    <w:pPr>
      <w:pStyle w:val="Fuzeile"/>
      <w:jc w:val="center"/>
    </w:pPr>
    <w:r>
      <w:rPr>
        <w:noProof/>
        <w:sz w:val="20"/>
        <w:lang w:val="de-DE"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5E43D8" wp14:editId="655D9394">
              <wp:simplePos x="0" y="0"/>
              <wp:positionH relativeFrom="column">
                <wp:posOffset>-7620</wp:posOffset>
              </wp:positionH>
              <wp:positionV relativeFrom="paragraph">
                <wp:posOffset>158750</wp:posOffset>
              </wp:positionV>
              <wp:extent cx="5072380" cy="141605"/>
              <wp:effectExtent l="1905" t="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7A0" w:rsidRDefault="00E727A0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sz w:val="14"/>
                            </w:rPr>
                            <w:t>© The author (year).</w:t>
                          </w:r>
                          <w:proofErr w:type="gramEnd"/>
                          <w:r>
                            <w:rPr>
                              <w:sz w:val="14"/>
                            </w:rPr>
                            <w:t xml:space="preserve"> Published by Oxford University Press; all rights reserved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.6pt;margin-top:12.5pt;width:399.4pt;height:1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3/rrwIAALA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" filled="f" stroked="f">
              <v:textbox inset="0,0,0,0">
                <w:txbxContent>
                  <w:p w:rsidR="00E727A0" w:rsidRDefault="00E727A0">
                    <w:pPr>
                      <w:spacing w:line="140" w:lineRule="exact"/>
                      <w:rPr>
                        <w:sz w:val="14"/>
                      </w:rPr>
                    </w:pPr>
                    <w:proofErr w:type="gramStart"/>
                    <w:r>
                      <w:rPr>
                        <w:sz w:val="14"/>
                      </w:rPr>
                      <w:t>© The author (year).</w:t>
                    </w:r>
                    <w:proofErr w:type="gramEnd"/>
                    <w:r>
                      <w:rPr>
                        <w:sz w:val="14"/>
                      </w:rPr>
                      <w:t xml:space="preserve"> Published by Oxford University Press; all rights reserved</w:t>
                    </w:r>
                  </w:p>
                </w:txbxContent>
              </v:textbox>
            </v:shape>
          </w:pict>
        </mc:Fallback>
      </mc:AlternateConten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A03D3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B1" w:rsidRDefault="008128B1">
      <w:r>
        <w:separator/>
      </w:r>
    </w:p>
  </w:footnote>
  <w:footnote w:type="continuationSeparator" w:id="0">
    <w:p w:rsidR="008128B1" w:rsidRDefault="0081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7A0" w:rsidRDefault="00E727A0">
    <w:pPr>
      <w:pStyle w:val="Kopfzeile"/>
      <w:jc w:val="center"/>
      <w:rPr>
        <w:i/>
        <w:iCs/>
      </w:rPr>
    </w:pPr>
    <w:r w:rsidRPr="009F22F2">
      <w:rPr>
        <w:i/>
        <w:iCs/>
        <w:caps/>
      </w:rPr>
      <w:t>T. Haninger</w:t>
    </w:r>
    <w:r>
      <w:rPr>
        <w:i/>
        <w:iCs/>
      </w:rPr>
      <w:t xml:space="preserve"> ET 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7A0" w:rsidRPr="00FB756F" w:rsidRDefault="00E727A0">
    <w:pPr>
      <w:pStyle w:val="Kopfzeile"/>
      <w:jc w:val="center"/>
      <w:rPr>
        <w:i/>
        <w:iCs/>
        <w:caps/>
      </w:rPr>
    </w:pPr>
    <w:r w:rsidRPr="00FB756F">
      <w:rPr>
        <w:i/>
        <w:iCs/>
        <w:caps/>
      </w:rPr>
      <w:t>ALBEDO Calibration at CERF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7A0" w:rsidRDefault="00E727A0">
    <w:pPr>
      <w:pStyle w:val="Kopfzeile"/>
    </w:pPr>
    <w:r>
      <w:rPr>
        <w:noProof/>
        <w:sz w:val="20"/>
        <w:lang w:val="de-DE"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D0C2F4" wp14:editId="02D3E588">
              <wp:simplePos x="0" y="0"/>
              <wp:positionH relativeFrom="column">
                <wp:posOffset>3806825</wp:posOffset>
              </wp:positionH>
              <wp:positionV relativeFrom="paragraph">
                <wp:posOffset>-28575</wp:posOffset>
              </wp:positionV>
              <wp:extent cx="1443355" cy="170180"/>
              <wp:effectExtent l="0" t="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3355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7A0" w:rsidRDefault="00E727A0">
                          <w:pPr>
                            <w:jc w:val="right"/>
                          </w:pPr>
                          <w:r>
                            <w:rPr>
                              <w:i/>
                              <w:iCs/>
                              <w:sz w:val="20"/>
                            </w:rPr>
                            <w:t>SECTION TITLE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9.75pt;margin-top:-2.25pt;width:113.65pt;height: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" filled="f" stroked="f">
              <v:textbox inset="0,0,0,0">
                <w:txbxContent>
                  <w:p w:rsidR="00E727A0" w:rsidRDefault="00E727A0">
                    <w:pPr>
                      <w:jc w:val="right"/>
                    </w:pPr>
                    <w:r>
                      <w:rPr>
                        <w:i/>
                        <w:iCs/>
                        <w:sz w:val="20"/>
                      </w:rPr>
                      <w:t>SECTION TITLE HERE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de-DE"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19528C" wp14:editId="64808AEB">
              <wp:simplePos x="0" y="0"/>
              <wp:positionH relativeFrom="column">
                <wp:posOffset>0</wp:posOffset>
              </wp:positionH>
              <wp:positionV relativeFrom="paragraph">
                <wp:posOffset>1905</wp:posOffset>
              </wp:positionV>
              <wp:extent cx="2416810" cy="217805"/>
              <wp:effectExtent l="0" t="190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681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7A0" w:rsidRDefault="00E727A0">
                          <w:pPr>
                            <w:pStyle w:val="Kopfzeile"/>
                            <w:tabs>
                              <w:tab w:val="clear" w:pos="4320"/>
                              <w:tab w:val="clear" w:pos="8640"/>
                              <w:tab w:val="right" w:pos="8300"/>
                            </w:tabs>
                            <w:spacing w:after="0" w:line="140" w:lineRule="exact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sz w:val="14"/>
                            </w:rPr>
                            <w:t>Radiation Protection Dosimetry (year), Vol. 0.</w:t>
                          </w:r>
                          <w:proofErr w:type="gram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No. 0.</w:t>
                          </w:r>
                          <w:proofErr w:type="gramEnd"/>
                          <w:r>
                            <w:rPr>
                              <w:sz w:val="14"/>
                            </w:rPr>
                            <w:t xml:space="preserve"> pp. 0–0 </w:t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</w:p>
                        <w:p w:rsidR="00E727A0" w:rsidRDefault="00E727A0">
                          <w:pPr>
                            <w:pStyle w:val="Kopfzeile"/>
                            <w:spacing w:after="0"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DOI: 10.1093/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rpd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/nc0000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.15pt;width:190.3pt;height:1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Tb6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" filled="f" stroked="f">
              <v:textbox inset="0,0,0,0">
                <w:txbxContent>
                  <w:p w:rsidR="00E727A0" w:rsidRDefault="00E727A0">
                    <w:pPr>
                      <w:pStyle w:val="Kopfzeile"/>
                      <w:tabs>
                        <w:tab w:val="clear" w:pos="4320"/>
                        <w:tab w:val="clear" w:pos="8640"/>
                        <w:tab w:val="right" w:pos="8300"/>
                      </w:tabs>
                      <w:spacing w:after="0" w:line="140" w:lineRule="exact"/>
                      <w:rPr>
                        <w:sz w:val="14"/>
                      </w:rPr>
                    </w:pPr>
                    <w:proofErr w:type="gramStart"/>
                    <w:r>
                      <w:rPr>
                        <w:sz w:val="14"/>
                      </w:rPr>
                      <w:t>Radiation Protection Dosimetry (year), Vol. 0.</w:t>
                    </w:r>
                    <w:proofErr w:type="gramEnd"/>
                    <w:r>
                      <w:rPr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No. 0.</w:t>
                    </w:r>
                    <w:proofErr w:type="gramEnd"/>
                    <w:r>
                      <w:rPr>
                        <w:sz w:val="14"/>
                      </w:rPr>
                      <w:t xml:space="preserve"> pp. 0–0 </w:t>
                    </w:r>
                    <w:r>
                      <w:rPr>
                        <w:sz w:val="14"/>
                      </w:rPr>
                      <w:tab/>
                    </w:r>
                  </w:p>
                  <w:p w:rsidR="00E727A0" w:rsidRDefault="00E727A0">
                    <w:pPr>
                      <w:pStyle w:val="Kopfzeile"/>
                      <w:spacing w:after="0"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DOI: 10.1093/</w:t>
                    </w:r>
                    <w:proofErr w:type="spellStart"/>
                    <w:r>
                      <w:rPr>
                        <w:sz w:val="14"/>
                      </w:rPr>
                      <w:t>rpd</w:t>
                    </w:r>
                    <w:proofErr w:type="spellEnd"/>
                    <w:r>
                      <w:rPr>
                        <w:sz w:val="14"/>
                      </w:rPr>
                      <w:t>/nc0000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91E693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B8A698D"/>
    <w:multiLevelType w:val="hybridMultilevel"/>
    <w:tmpl w:val="D75EACFA"/>
    <w:lvl w:ilvl="0" w:tplc="917CD83E">
      <w:start w:val="1"/>
      <w:numFmt w:val="decimal"/>
      <w:lvlRestart w:val="0"/>
      <w:pStyle w:val="ListNum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436F77"/>
    <w:multiLevelType w:val="hybridMultilevel"/>
    <w:tmpl w:val="C0227B80"/>
    <w:lvl w:ilvl="0" w:tplc="3A2E4D98">
      <w:start w:val="1"/>
      <w:numFmt w:val="bullet"/>
      <w:pStyle w:val="ListBull"/>
      <w:lvlText w:val=""/>
      <w:lvlJc w:val="left"/>
      <w:pPr>
        <w:tabs>
          <w:tab w:val="num" w:pos="360"/>
        </w:tabs>
        <w:ind w:left="200" w:hanging="2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B876F1"/>
    <w:multiLevelType w:val="hybridMultilevel"/>
    <w:tmpl w:val="7D545CC2"/>
    <w:lvl w:ilvl="0" w:tplc="EC48259A">
      <w:start w:val="1"/>
      <w:numFmt w:val="lowerLetter"/>
      <w:lvlRestart w:val="0"/>
      <w:pStyle w:val="ListLetter"/>
      <w:lvlText w:val="(%1)"/>
      <w:lvlJc w:val="left"/>
      <w:pPr>
        <w:tabs>
          <w:tab w:val="num" w:pos="720"/>
        </w:tabs>
        <w:ind w:left="301" w:hanging="3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F41A9E"/>
    <w:multiLevelType w:val="hybridMultilevel"/>
    <w:tmpl w:val="C77A14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C7975"/>
    <w:multiLevelType w:val="hybridMultilevel"/>
    <w:tmpl w:val="BA2A507A"/>
    <w:lvl w:ilvl="0" w:tplc="24B0DF1C">
      <w:start w:val="1"/>
      <w:numFmt w:val="decimal"/>
      <w:pStyle w:val="Reference"/>
      <w:lvlText w:val="%1."/>
      <w:lvlJc w:val="left"/>
      <w:pPr>
        <w:tabs>
          <w:tab w:val="num" w:pos="502"/>
        </w:tabs>
        <w:ind w:left="426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evenAndOddHeaders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1A"/>
    <w:rsid w:val="00014D28"/>
    <w:rsid w:val="000243E0"/>
    <w:rsid w:val="000275AA"/>
    <w:rsid w:val="00027D05"/>
    <w:rsid w:val="000308B2"/>
    <w:rsid w:val="00040214"/>
    <w:rsid w:val="00061386"/>
    <w:rsid w:val="0006496B"/>
    <w:rsid w:val="0007716E"/>
    <w:rsid w:val="00085EF2"/>
    <w:rsid w:val="000971CB"/>
    <w:rsid w:val="000A475F"/>
    <w:rsid w:val="000E025B"/>
    <w:rsid w:val="00111909"/>
    <w:rsid w:val="001139B8"/>
    <w:rsid w:val="00137DAE"/>
    <w:rsid w:val="001406DB"/>
    <w:rsid w:val="00147C88"/>
    <w:rsid w:val="00150F40"/>
    <w:rsid w:val="00154CE5"/>
    <w:rsid w:val="001626DD"/>
    <w:rsid w:val="00173DCC"/>
    <w:rsid w:val="00176537"/>
    <w:rsid w:val="00184C52"/>
    <w:rsid w:val="00195205"/>
    <w:rsid w:val="001B50AF"/>
    <w:rsid w:val="001C0FD2"/>
    <w:rsid w:val="001C1DA4"/>
    <w:rsid w:val="001C6877"/>
    <w:rsid w:val="001D3635"/>
    <w:rsid w:val="001D5A4D"/>
    <w:rsid w:val="001D7411"/>
    <w:rsid w:val="001E1E96"/>
    <w:rsid w:val="001E2687"/>
    <w:rsid w:val="001E49AA"/>
    <w:rsid w:val="0020050D"/>
    <w:rsid w:val="00201F90"/>
    <w:rsid w:val="00215B9C"/>
    <w:rsid w:val="002255B1"/>
    <w:rsid w:val="002324DD"/>
    <w:rsid w:val="00243E2A"/>
    <w:rsid w:val="00267EA5"/>
    <w:rsid w:val="00267F6D"/>
    <w:rsid w:val="00275472"/>
    <w:rsid w:val="002776E3"/>
    <w:rsid w:val="002A3ADC"/>
    <w:rsid w:val="002B772B"/>
    <w:rsid w:val="002C05AA"/>
    <w:rsid w:val="002C6612"/>
    <w:rsid w:val="002C6D1F"/>
    <w:rsid w:val="002E6DA8"/>
    <w:rsid w:val="002F2E3E"/>
    <w:rsid w:val="003008D5"/>
    <w:rsid w:val="00322E2F"/>
    <w:rsid w:val="00325FF8"/>
    <w:rsid w:val="00353F82"/>
    <w:rsid w:val="00355035"/>
    <w:rsid w:val="00357BE4"/>
    <w:rsid w:val="003679C9"/>
    <w:rsid w:val="0037548E"/>
    <w:rsid w:val="00377DA9"/>
    <w:rsid w:val="00381189"/>
    <w:rsid w:val="003876B1"/>
    <w:rsid w:val="0039015B"/>
    <w:rsid w:val="003939CD"/>
    <w:rsid w:val="00396C67"/>
    <w:rsid w:val="003A06E8"/>
    <w:rsid w:val="003A0A53"/>
    <w:rsid w:val="003B766B"/>
    <w:rsid w:val="003C1494"/>
    <w:rsid w:val="003D7B2A"/>
    <w:rsid w:val="003E09FE"/>
    <w:rsid w:val="003F3669"/>
    <w:rsid w:val="003F5B47"/>
    <w:rsid w:val="003F6FD1"/>
    <w:rsid w:val="00400E84"/>
    <w:rsid w:val="004138A9"/>
    <w:rsid w:val="00426D02"/>
    <w:rsid w:val="00431AD5"/>
    <w:rsid w:val="004349B7"/>
    <w:rsid w:val="00435853"/>
    <w:rsid w:val="00443449"/>
    <w:rsid w:val="00443F30"/>
    <w:rsid w:val="00447BF1"/>
    <w:rsid w:val="00455CEA"/>
    <w:rsid w:val="00465F0D"/>
    <w:rsid w:val="004760FA"/>
    <w:rsid w:val="004A775E"/>
    <w:rsid w:val="004B36D9"/>
    <w:rsid w:val="004B65CE"/>
    <w:rsid w:val="004C0669"/>
    <w:rsid w:val="004D2BA8"/>
    <w:rsid w:val="004E12ED"/>
    <w:rsid w:val="004E7995"/>
    <w:rsid w:val="004F79BB"/>
    <w:rsid w:val="0051281C"/>
    <w:rsid w:val="00515E70"/>
    <w:rsid w:val="00520B3D"/>
    <w:rsid w:val="00520D47"/>
    <w:rsid w:val="00520F58"/>
    <w:rsid w:val="00527AF2"/>
    <w:rsid w:val="0054218D"/>
    <w:rsid w:val="00544023"/>
    <w:rsid w:val="00567374"/>
    <w:rsid w:val="00574224"/>
    <w:rsid w:val="00577E37"/>
    <w:rsid w:val="005873F8"/>
    <w:rsid w:val="00590E59"/>
    <w:rsid w:val="005A654E"/>
    <w:rsid w:val="005A7E0B"/>
    <w:rsid w:val="005B4678"/>
    <w:rsid w:val="005B72CB"/>
    <w:rsid w:val="005C26F1"/>
    <w:rsid w:val="005C6EEE"/>
    <w:rsid w:val="005C73D8"/>
    <w:rsid w:val="005E357A"/>
    <w:rsid w:val="005F3B7A"/>
    <w:rsid w:val="00600962"/>
    <w:rsid w:val="00614375"/>
    <w:rsid w:val="00627B94"/>
    <w:rsid w:val="00633E27"/>
    <w:rsid w:val="00642D2A"/>
    <w:rsid w:val="00647B92"/>
    <w:rsid w:val="0067377C"/>
    <w:rsid w:val="00680138"/>
    <w:rsid w:val="006820F1"/>
    <w:rsid w:val="00690F71"/>
    <w:rsid w:val="00696949"/>
    <w:rsid w:val="006A2114"/>
    <w:rsid w:val="006A5A13"/>
    <w:rsid w:val="006B45A9"/>
    <w:rsid w:val="006C1C79"/>
    <w:rsid w:val="006D4E90"/>
    <w:rsid w:val="006E32E7"/>
    <w:rsid w:val="006F3E96"/>
    <w:rsid w:val="006F5A53"/>
    <w:rsid w:val="0070279F"/>
    <w:rsid w:val="00706BC1"/>
    <w:rsid w:val="00723B25"/>
    <w:rsid w:val="00727A8D"/>
    <w:rsid w:val="007504D9"/>
    <w:rsid w:val="00775E9D"/>
    <w:rsid w:val="007A4C5C"/>
    <w:rsid w:val="007B212F"/>
    <w:rsid w:val="007B5BAD"/>
    <w:rsid w:val="007D1164"/>
    <w:rsid w:val="007E165A"/>
    <w:rsid w:val="007E2178"/>
    <w:rsid w:val="007E3FC2"/>
    <w:rsid w:val="007E6B6F"/>
    <w:rsid w:val="007F2A43"/>
    <w:rsid w:val="007F7FF5"/>
    <w:rsid w:val="008002F1"/>
    <w:rsid w:val="00802D87"/>
    <w:rsid w:val="00805AC1"/>
    <w:rsid w:val="0080671A"/>
    <w:rsid w:val="0081153A"/>
    <w:rsid w:val="008128B1"/>
    <w:rsid w:val="00815DF4"/>
    <w:rsid w:val="00816A78"/>
    <w:rsid w:val="008232CC"/>
    <w:rsid w:val="0082556B"/>
    <w:rsid w:val="00834702"/>
    <w:rsid w:val="0083546F"/>
    <w:rsid w:val="00847452"/>
    <w:rsid w:val="00847526"/>
    <w:rsid w:val="00854670"/>
    <w:rsid w:val="00857965"/>
    <w:rsid w:val="00866A80"/>
    <w:rsid w:val="00867CFE"/>
    <w:rsid w:val="008704DF"/>
    <w:rsid w:val="00873DF7"/>
    <w:rsid w:val="00875067"/>
    <w:rsid w:val="008A03AC"/>
    <w:rsid w:val="008A08F5"/>
    <w:rsid w:val="008A2E8D"/>
    <w:rsid w:val="008B13EA"/>
    <w:rsid w:val="008E53EF"/>
    <w:rsid w:val="008E7F14"/>
    <w:rsid w:val="008F3717"/>
    <w:rsid w:val="00907952"/>
    <w:rsid w:val="009216DD"/>
    <w:rsid w:val="009240DE"/>
    <w:rsid w:val="00930328"/>
    <w:rsid w:val="009407A5"/>
    <w:rsid w:val="00943132"/>
    <w:rsid w:val="0095029D"/>
    <w:rsid w:val="009506BD"/>
    <w:rsid w:val="00952199"/>
    <w:rsid w:val="00960AA9"/>
    <w:rsid w:val="00961272"/>
    <w:rsid w:val="009652C3"/>
    <w:rsid w:val="00980A92"/>
    <w:rsid w:val="009859EC"/>
    <w:rsid w:val="00985A20"/>
    <w:rsid w:val="009A03D3"/>
    <w:rsid w:val="009A4AD7"/>
    <w:rsid w:val="009A70AF"/>
    <w:rsid w:val="009B4B72"/>
    <w:rsid w:val="009C4439"/>
    <w:rsid w:val="009C6D69"/>
    <w:rsid w:val="009E32D5"/>
    <w:rsid w:val="009F22F2"/>
    <w:rsid w:val="00A119CB"/>
    <w:rsid w:val="00A132E3"/>
    <w:rsid w:val="00A15F0E"/>
    <w:rsid w:val="00A35303"/>
    <w:rsid w:val="00A44628"/>
    <w:rsid w:val="00A56D3E"/>
    <w:rsid w:val="00A622F0"/>
    <w:rsid w:val="00A8189F"/>
    <w:rsid w:val="00AB4BEE"/>
    <w:rsid w:val="00AC192E"/>
    <w:rsid w:val="00AD0737"/>
    <w:rsid w:val="00AD20E2"/>
    <w:rsid w:val="00AD7B5F"/>
    <w:rsid w:val="00AE02AF"/>
    <w:rsid w:val="00AE0C01"/>
    <w:rsid w:val="00AE3E0D"/>
    <w:rsid w:val="00AE5DA2"/>
    <w:rsid w:val="00AF6E31"/>
    <w:rsid w:val="00B143B0"/>
    <w:rsid w:val="00B23541"/>
    <w:rsid w:val="00B23D74"/>
    <w:rsid w:val="00B24686"/>
    <w:rsid w:val="00B26C54"/>
    <w:rsid w:val="00B31C53"/>
    <w:rsid w:val="00B43E99"/>
    <w:rsid w:val="00B47EE1"/>
    <w:rsid w:val="00B5063D"/>
    <w:rsid w:val="00B9120C"/>
    <w:rsid w:val="00BA4D52"/>
    <w:rsid w:val="00BB4409"/>
    <w:rsid w:val="00BC17D9"/>
    <w:rsid w:val="00BC3DBC"/>
    <w:rsid w:val="00BC6635"/>
    <w:rsid w:val="00BD1072"/>
    <w:rsid w:val="00BE79ED"/>
    <w:rsid w:val="00C14C0A"/>
    <w:rsid w:val="00C16CEC"/>
    <w:rsid w:val="00C16DC5"/>
    <w:rsid w:val="00C303D9"/>
    <w:rsid w:val="00C35A53"/>
    <w:rsid w:val="00C40E04"/>
    <w:rsid w:val="00C4401A"/>
    <w:rsid w:val="00C6202D"/>
    <w:rsid w:val="00C87D86"/>
    <w:rsid w:val="00C913E1"/>
    <w:rsid w:val="00CA100A"/>
    <w:rsid w:val="00CA717F"/>
    <w:rsid w:val="00CB551E"/>
    <w:rsid w:val="00CC7431"/>
    <w:rsid w:val="00CD2CF8"/>
    <w:rsid w:val="00CD4B36"/>
    <w:rsid w:val="00CE3523"/>
    <w:rsid w:val="00CE64B7"/>
    <w:rsid w:val="00CF24B8"/>
    <w:rsid w:val="00D208AC"/>
    <w:rsid w:val="00D54361"/>
    <w:rsid w:val="00D54D87"/>
    <w:rsid w:val="00D7403A"/>
    <w:rsid w:val="00D859B4"/>
    <w:rsid w:val="00DA4F71"/>
    <w:rsid w:val="00DA55F3"/>
    <w:rsid w:val="00DA7CEE"/>
    <w:rsid w:val="00DD7EBF"/>
    <w:rsid w:val="00DE3FCE"/>
    <w:rsid w:val="00DF2E22"/>
    <w:rsid w:val="00DF51EE"/>
    <w:rsid w:val="00E06592"/>
    <w:rsid w:val="00E36361"/>
    <w:rsid w:val="00E42D56"/>
    <w:rsid w:val="00E4458C"/>
    <w:rsid w:val="00E519C8"/>
    <w:rsid w:val="00E67933"/>
    <w:rsid w:val="00E7039F"/>
    <w:rsid w:val="00E727A0"/>
    <w:rsid w:val="00E75360"/>
    <w:rsid w:val="00E828A3"/>
    <w:rsid w:val="00E91FF2"/>
    <w:rsid w:val="00EB0A05"/>
    <w:rsid w:val="00EB1B02"/>
    <w:rsid w:val="00EB5933"/>
    <w:rsid w:val="00EC5CC6"/>
    <w:rsid w:val="00EC5D0D"/>
    <w:rsid w:val="00ED7709"/>
    <w:rsid w:val="00F16C9D"/>
    <w:rsid w:val="00F24B92"/>
    <w:rsid w:val="00F259F9"/>
    <w:rsid w:val="00F26446"/>
    <w:rsid w:val="00F31143"/>
    <w:rsid w:val="00F32D54"/>
    <w:rsid w:val="00F33346"/>
    <w:rsid w:val="00F67D51"/>
    <w:rsid w:val="00F80794"/>
    <w:rsid w:val="00F925DD"/>
    <w:rsid w:val="00FA5255"/>
    <w:rsid w:val="00FB04A4"/>
    <w:rsid w:val="00FB21A4"/>
    <w:rsid w:val="00FB756F"/>
    <w:rsid w:val="00FD3AD3"/>
    <w:rsid w:val="00FD44F7"/>
    <w:rsid w:val="00FD77C4"/>
    <w:rsid w:val="00FE17AE"/>
    <w:rsid w:val="00FE3887"/>
    <w:rsid w:val="00FE6EFA"/>
    <w:rsid w:val="00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00" w:lineRule="exact"/>
    </w:pPr>
    <w:rPr>
      <w:rFonts w:ascii="Times" w:hAnsi="Times"/>
      <w:sz w:val="18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  <w:spacing w:after="80" w:line="160" w:lineRule="exact"/>
    </w:pPr>
    <w:rPr>
      <w:sz w:val="16"/>
    </w:rPr>
  </w:style>
  <w:style w:type="character" w:styleId="Zeilennummer">
    <w:name w:val="line number"/>
    <w:basedOn w:val="Absatz-Standardschriftart"/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</w:style>
  <w:style w:type="paragraph" w:customStyle="1" w:styleId="MTDisplayEquation">
    <w:name w:val="MTDisplayEquation"/>
    <w:basedOn w:val="Textkrper"/>
    <w:next w:val="Standard"/>
    <w:pPr>
      <w:tabs>
        <w:tab w:val="center" w:pos="4140"/>
        <w:tab w:val="right" w:pos="8280"/>
      </w:tabs>
    </w:pPr>
  </w:style>
  <w:style w:type="paragraph" w:customStyle="1" w:styleId="Articletitle">
    <w:name w:val="Article title"/>
    <w:pPr>
      <w:spacing w:before="522" w:line="280" w:lineRule="exact"/>
    </w:pPr>
    <w:rPr>
      <w:rFonts w:ascii="Times" w:hAnsi="Times"/>
      <w:b/>
      <w:caps/>
      <w:sz w:val="26"/>
      <w:lang w:val="en-US" w:eastAsia="en-US"/>
    </w:rPr>
  </w:style>
  <w:style w:type="paragraph" w:customStyle="1" w:styleId="Authorname">
    <w:name w:val="Author name"/>
    <w:pPr>
      <w:spacing w:before="70" w:line="200" w:lineRule="exact"/>
    </w:pPr>
    <w:rPr>
      <w:rFonts w:ascii="Times" w:hAnsi="Times"/>
      <w:sz w:val="18"/>
      <w:lang w:val="en-US" w:eastAsia="en-US"/>
    </w:rPr>
  </w:style>
  <w:style w:type="paragraph" w:customStyle="1" w:styleId="Affiliation">
    <w:name w:val="Affiliation"/>
    <w:pPr>
      <w:spacing w:line="200" w:lineRule="exact"/>
    </w:pPr>
    <w:rPr>
      <w:rFonts w:ascii="Times" w:hAnsi="Times"/>
      <w:sz w:val="18"/>
      <w:lang w:val="en-US" w:eastAsia="en-US"/>
    </w:rPr>
  </w:style>
  <w:style w:type="paragraph" w:customStyle="1" w:styleId="History">
    <w:name w:val="History"/>
    <w:pPr>
      <w:spacing w:before="340" w:line="180" w:lineRule="exact"/>
    </w:pPr>
    <w:rPr>
      <w:rFonts w:ascii="Times" w:hAnsi="Times"/>
      <w:i/>
      <w:sz w:val="18"/>
      <w:lang w:val="en-US" w:eastAsia="en-US"/>
    </w:rPr>
  </w:style>
  <w:style w:type="paragraph" w:customStyle="1" w:styleId="Abstract">
    <w:name w:val="Abstract"/>
    <w:pPr>
      <w:spacing w:before="180" w:after="308" w:line="180" w:lineRule="exact"/>
      <w:jc w:val="both"/>
    </w:pPr>
    <w:rPr>
      <w:rFonts w:ascii="Times" w:hAnsi="Times"/>
      <w:b/>
      <w:sz w:val="16"/>
      <w:lang w:val="en-US" w:eastAsia="en-US"/>
    </w:rPr>
  </w:style>
  <w:style w:type="paragraph" w:customStyle="1" w:styleId="Para">
    <w:name w:val="Para"/>
    <w:basedOn w:val="ParaNoInd"/>
    <w:pPr>
      <w:ind w:firstLine="200"/>
    </w:pPr>
  </w:style>
  <w:style w:type="paragraph" w:customStyle="1" w:styleId="AHead">
    <w:name w:val="A Head"/>
    <w:pPr>
      <w:spacing w:before="300" w:after="94"/>
    </w:pPr>
    <w:rPr>
      <w:rFonts w:ascii="Times" w:hAnsi="Times"/>
      <w:caps/>
      <w:sz w:val="18"/>
      <w:lang w:val="en-US" w:eastAsia="en-US"/>
    </w:rPr>
  </w:style>
  <w:style w:type="paragraph" w:customStyle="1" w:styleId="BHead">
    <w:name w:val="B Head"/>
    <w:basedOn w:val="AHead"/>
    <w:rPr>
      <w:b/>
      <w:caps w:val="0"/>
    </w:rPr>
  </w:style>
  <w:style w:type="paragraph" w:customStyle="1" w:styleId="CHead">
    <w:name w:val="C Head"/>
    <w:basedOn w:val="AHead"/>
    <w:rPr>
      <w:i/>
      <w:caps w:val="0"/>
    </w:rPr>
  </w:style>
  <w:style w:type="paragraph" w:styleId="Sprechblasentext">
    <w:name w:val="Balloon Text"/>
    <w:basedOn w:val="Standard"/>
    <w:link w:val="SprechblasentextZchn"/>
    <w:rsid w:val="00426D02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EqnDisp">
    <w:name w:val="EqnDisp"/>
    <w:pPr>
      <w:tabs>
        <w:tab w:val="left" w:pos="160"/>
        <w:tab w:val="right" w:pos="4037"/>
      </w:tabs>
      <w:spacing w:before="100" w:after="100"/>
    </w:pPr>
    <w:rPr>
      <w:rFonts w:ascii="Times" w:hAnsi="Times"/>
      <w:sz w:val="18"/>
      <w:lang w:val="en-US" w:eastAsia="en-US"/>
    </w:rPr>
  </w:style>
  <w:style w:type="paragraph" w:customStyle="1" w:styleId="ParaNoInd">
    <w:name w:val="Para NoInd"/>
    <w:pPr>
      <w:spacing w:line="200" w:lineRule="exact"/>
      <w:jc w:val="both"/>
    </w:pPr>
    <w:rPr>
      <w:rFonts w:ascii="Times" w:hAnsi="Times"/>
      <w:sz w:val="18"/>
      <w:lang w:val="en-US" w:eastAsia="en-US"/>
    </w:rPr>
  </w:style>
  <w:style w:type="paragraph" w:customStyle="1" w:styleId="ListBull">
    <w:name w:val="List Bull"/>
    <w:basedOn w:val="ParaNoInd"/>
    <w:pPr>
      <w:numPr>
        <w:numId w:val="2"/>
      </w:numPr>
      <w:tabs>
        <w:tab w:val="clear" w:pos="360"/>
      </w:tabs>
      <w:ind w:left="267" w:hanging="267"/>
      <w:jc w:val="left"/>
    </w:pPr>
  </w:style>
  <w:style w:type="paragraph" w:customStyle="1" w:styleId="ListNum">
    <w:name w:val="List Num"/>
    <w:basedOn w:val="ParaNoInd"/>
    <w:pPr>
      <w:numPr>
        <w:numId w:val="3"/>
      </w:numPr>
      <w:tabs>
        <w:tab w:val="clear" w:pos="357"/>
      </w:tabs>
      <w:ind w:left="301" w:hanging="301"/>
      <w:jc w:val="left"/>
    </w:pPr>
  </w:style>
  <w:style w:type="paragraph" w:customStyle="1" w:styleId="ListLetter">
    <w:name w:val="List Letter"/>
    <w:basedOn w:val="ParaNoInd"/>
    <w:pPr>
      <w:numPr>
        <w:numId w:val="4"/>
      </w:numPr>
      <w:tabs>
        <w:tab w:val="clear" w:pos="720"/>
      </w:tabs>
      <w:jc w:val="left"/>
    </w:pPr>
  </w:style>
  <w:style w:type="paragraph" w:customStyle="1" w:styleId="Extract">
    <w:name w:val="Extract"/>
    <w:basedOn w:val="ParaNoInd"/>
    <w:pPr>
      <w:spacing w:before="100" w:after="100"/>
      <w:ind w:left="200"/>
    </w:pPr>
  </w:style>
  <w:style w:type="paragraph" w:customStyle="1" w:styleId="FigureLegend">
    <w:name w:val="Figure Legend"/>
    <w:pPr>
      <w:spacing w:line="180" w:lineRule="exact"/>
      <w:jc w:val="both"/>
    </w:pPr>
    <w:rPr>
      <w:rFonts w:ascii="Times" w:hAnsi="Times"/>
      <w:sz w:val="16"/>
      <w:lang w:val="en-US" w:eastAsia="en-US"/>
    </w:rPr>
  </w:style>
  <w:style w:type="paragraph" w:customStyle="1" w:styleId="Reference">
    <w:name w:val="Reference"/>
    <w:pPr>
      <w:numPr>
        <w:numId w:val="5"/>
      </w:numPr>
      <w:spacing w:line="180" w:lineRule="exact"/>
      <w:jc w:val="both"/>
    </w:pPr>
    <w:rPr>
      <w:rFonts w:ascii="Times" w:hAnsi="Times"/>
      <w:sz w:val="16"/>
      <w:lang w:val="en-US" w:eastAsia="en-US"/>
    </w:rPr>
  </w:style>
  <w:style w:type="paragraph" w:customStyle="1" w:styleId="Tablecaption">
    <w:name w:val="Table caption"/>
    <w:pPr>
      <w:spacing w:after="76" w:line="180" w:lineRule="exact"/>
      <w:jc w:val="both"/>
    </w:pPr>
    <w:rPr>
      <w:rFonts w:ascii="Times" w:hAnsi="Times"/>
      <w:b/>
      <w:sz w:val="16"/>
      <w:lang w:val="en-US" w:eastAsia="en-US"/>
    </w:rPr>
  </w:style>
  <w:style w:type="paragraph" w:customStyle="1" w:styleId="Columnhead">
    <w:name w:val="Column head"/>
    <w:pPr>
      <w:spacing w:before="140" w:after="70" w:line="180" w:lineRule="exact"/>
      <w:jc w:val="center"/>
    </w:pPr>
    <w:rPr>
      <w:rFonts w:ascii="Times" w:hAnsi="Times"/>
      <w:sz w:val="16"/>
      <w:lang w:val="en-US" w:eastAsia="en-US"/>
    </w:rPr>
  </w:style>
  <w:style w:type="paragraph" w:customStyle="1" w:styleId="Tablebody">
    <w:name w:val="Table body"/>
    <w:pPr>
      <w:spacing w:line="180" w:lineRule="exact"/>
    </w:pPr>
    <w:rPr>
      <w:rFonts w:ascii="Times" w:hAnsi="Times"/>
      <w:sz w:val="16"/>
      <w:lang w:val="en-US" w:eastAsia="en-US"/>
    </w:rPr>
  </w:style>
  <w:style w:type="paragraph" w:customStyle="1" w:styleId="Tablebodyfirst">
    <w:name w:val="Table body first"/>
    <w:basedOn w:val="Tablebody"/>
    <w:pPr>
      <w:spacing w:before="140"/>
    </w:pPr>
  </w:style>
  <w:style w:type="paragraph" w:customStyle="1" w:styleId="Tablebodylast">
    <w:name w:val="Table body last"/>
    <w:basedOn w:val="Tablebody"/>
    <w:pPr>
      <w:spacing w:after="72"/>
    </w:pPr>
  </w:style>
  <w:style w:type="paragraph" w:customStyle="1" w:styleId="TableFootnote">
    <w:name w:val="Table Footnote"/>
    <w:pPr>
      <w:spacing w:before="140" w:line="180" w:lineRule="exact"/>
      <w:jc w:val="both"/>
    </w:pPr>
    <w:rPr>
      <w:rFonts w:ascii="Times" w:hAnsi="Times"/>
      <w:sz w:val="16"/>
      <w:lang w:val="en-US" w:eastAsia="en-US"/>
    </w:rPr>
  </w:style>
  <w:style w:type="paragraph" w:customStyle="1" w:styleId="Sectiontitle">
    <w:name w:val="Section title"/>
    <w:rPr>
      <w:rFonts w:ascii="Times" w:hAnsi="Times"/>
      <w:i/>
      <w:caps/>
      <w:lang w:val="en-US" w:eastAsia="en-US"/>
    </w:rPr>
  </w:style>
  <w:style w:type="paragraph" w:customStyle="1" w:styleId="Correspondence">
    <w:name w:val="Correspondence"/>
    <w:pPr>
      <w:spacing w:line="200" w:lineRule="exact"/>
    </w:pPr>
    <w:rPr>
      <w:rFonts w:ascii="Times" w:hAnsi="Times"/>
      <w:sz w:val="16"/>
      <w:lang w:val="en-US" w:eastAsia="en-US"/>
    </w:rPr>
  </w:style>
  <w:style w:type="paragraph" w:customStyle="1" w:styleId="Columnheadfirst">
    <w:name w:val="Column head first"/>
    <w:basedOn w:val="Columnhead"/>
    <w:pPr>
      <w:jc w:val="left"/>
    </w:pPr>
  </w:style>
  <w:style w:type="character" w:customStyle="1" w:styleId="SprechblasentextZchn">
    <w:name w:val="Sprechblasentext Zchn"/>
    <w:basedOn w:val="Absatz-Standardschriftart"/>
    <w:link w:val="Sprechblasentext"/>
    <w:rsid w:val="00426D02"/>
    <w:rPr>
      <w:rFonts w:ascii="Tahoma" w:hAnsi="Tahoma" w:cs="Tahoma"/>
      <w:sz w:val="16"/>
      <w:szCs w:val="16"/>
      <w:lang w:val="en-US" w:eastAsia="en-US"/>
    </w:rPr>
  </w:style>
  <w:style w:type="table" w:styleId="Tabellenraster">
    <w:name w:val="Table Grid"/>
    <w:basedOn w:val="NormaleTabelle"/>
    <w:rsid w:val="00426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27A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customStyle="1" w:styleId="BibRef">
    <w:name w:val="Bib Ref"/>
    <w:basedOn w:val="Absatz-Standardschriftart"/>
    <w:rsid w:val="00527AF2"/>
    <w:rPr>
      <w:color w:val="FF00FF"/>
    </w:rPr>
  </w:style>
  <w:style w:type="character" w:styleId="Platzhaltertext">
    <w:name w:val="Placeholder Text"/>
    <w:basedOn w:val="Absatz-Standardschriftart"/>
    <w:uiPriority w:val="99"/>
    <w:semiHidden/>
    <w:rsid w:val="00627B94"/>
    <w:rPr>
      <w:color w:val="808080"/>
    </w:rPr>
  </w:style>
  <w:style w:type="character" w:customStyle="1" w:styleId="gt-card-ttl-txt">
    <w:name w:val="gt-card-ttl-txt"/>
    <w:basedOn w:val="Absatz-Standardschriftart"/>
    <w:rsid w:val="0039015B"/>
  </w:style>
  <w:style w:type="character" w:styleId="HTMLZitat">
    <w:name w:val="HTML Cite"/>
    <w:basedOn w:val="Absatz-Standardschriftart"/>
    <w:uiPriority w:val="99"/>
    <w:unhideWhenUsed/>
    <w:rsid w:val="00AF6E31"/>
    <w:rPr>
      <w:i/>
      <w:iCs/>
    </w:rPr>
  </w:style>
  <w:style w:type="character" w:customStyle="1" w:styleId="slug-pub-date">
    <w:name w:val="slug-pub-date"/>
    <w:basedOn w:val="Absatz-Standardschriftart"/>
    <w:rsid w:val="00AF6E31"/>
  </w:style>
  <w:style w:type="character" w:customStyle="1" w:styleId="slug-doi-wrapper">
    <w:name w:val="slug-doi-wrapper"/>
    <w:basedOn w:val="Absatz-Standardschriftart"/>
    <w:rsid w:val="00AF6E31"/>
  </w:style>
  <w:style w:type="character" w:customStyle="1" w:styleId="slug-doi">
    <w:name w:val="slug-doi"/>
    <w:basedOn w:val="Absatz-Standardschriftart"/>
    <w:rsid w:val="00AF6E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00" w:lineRule="exact"/>
    </w:pPr>
    <w:rPr>
      <w:rFonts w:ascii="Times" w:hAnsi="Times"/>
      <w:sz w:val="18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  <w:spacing w:after="80" w:line="160" w:lineRule="exact"/>
    </w:pPr>
    <w:rPr>
      <w:sz w:val="16"/>
    </w:rPr>
  </w:style>
  <w:style w:type="character" w:styleId="Zeilennummer">
    <w:name w:val="line number"/>
    <w:basedOn w:val="Absatz-Standardschriftart"/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</w:style>
  <w:style w:type="paragraph" w:customStyle="1" w:styleId="MTDisplayEquation">
    <w:name w:val="MTDisplayEquation"/>
    <w:basedOn w:val="Textkrper"/>
    <w:next w:val="Standard"/>
    <w:pPr>
      <w:tabs>
        <w:tab w:val="center" w:pos="4140"/>
        <w:tab w:val="right" w:pos="8280"/>
      </w:tabs>
    </w:pPr>
  </w:style>
  <w:style w:type="paragraph" w:customStyle="1" w:styleId="Articletitle">
    <w:name w:val="Article title"/>
    <w:pPr>
      <w:spacing w:before="522" w:line="280" w:lineRule="exact"/>
    </w:pPr>
    <w:rPr>
      <w:rFonts w:ascii="Times" w:hAnsi="Times"/>
      <w:b/>
      <w:caps/>
      <w:sz w:val="26"/>
      <w:lang w:val="en-US" w:eastAsia="en-US"/>
    </w:rPr>
  </w:style>
  <w:style w:type="paragraph" w:customStyle="1" w:styleId="Authorname">
    <w:name w:val="Author name"/>
    <w:pPr>
      <w:spacing w:before="70" w:line="200" w:lineRule="exact"/>
    </w:pPr>
    <w:rPr>
      <w:rFonts w:ascii="Times" w:hAnsi="Times"/>
      <w:sz w:val="18"/>
      <w:lang w:val="en-US" w:eastAsia="en-US"/>
    </w:rPr>
  </w:style>
  <w:style w:type="paragraph" w:customStyle="1" w:styleId="Affiliation">
    <w:name w:val="Affiliation"/>
    <w:pPr>
      <w:spacing w:line="200" w:lineRule="exact"/>
    </w:pPr>
    <w:rPr>
      <w:rFonts w:ascii="Times" w:hAnsi="Times"/>
      <w:sz w:val="18"/>
      <w:lang w:val="en-US" w:eastAsia="en-US"/>
    </w:rPr>
  </w:style>
  <w:style w:type="paragraph" w:customStyle="1" w:styleId="History">
    <w:name w:val="History"/>
    <w:pPr>
      <w:spacing w:before="340" w:line="180" w:lineRule="exact"/>
    </w:pPr>
    <w:rPr>
      <w:rFonts w:ascii="Times" w:hAnsi="Times"/>
      <w:i/>
      <w:sz w:val="18"/>
      <w:lang w:val="en-US" w:eastAsia="en-US"/>
    </w:rPr>
  </w:style>
  <w:style w:type="paragraph" w:customStyle="1" w:styleId="Abstract">
    <w:name w:val="Abstract"/>
    <w:pPr>
      <w:spacing w:before="180" w:after="308" w:line="180" w:lineRule="exact"/>
      <w:jc w:val="both"/>
    </w:pPr>
    <w:rPr>
      <w:rFonts w:ascii="Times" w:hAnsi="Times"/>
      <w:b/>
      <w:sz w:val="16"/>
      <w:lang w:val="en-US" w:eastAsia="en-US"/>
    </w:rPr>
  </w:style>
  <w:style w:type="paragraph" w:customStyle="1" w:styleId="Para">
    <w:name w:val="Para"/>
    <w:basedOn w:val="ParaNoInd"/>
    <w:pPr>
      <w:ind w:firstLine="200"/>
    </w:pPr>
  </w:style>
  <w:style w:type="paragraph" w:customStyle="1" w:styleId="AHead">
    <w:name w:val="A Head"/>
    <w:pPr>
      <w:spacing w:before="300" w:after="94"/>
    </w:pPr>
    <w:rPr>
      <w:rFonts w:ascii="Times" w:hAnsi="Times"/>
      <w:caps/>
      <w:sz w:val="18"/>
      <w:lang w:val="en-US" w:eastAsia="en-US"/>
    </w:rPr>
  </w:style>
  <w:style w:type="paragraph" w:customStyle="1" w:styleId="BHead">
    <w:name w:val="B Head"/>
    <w:basedOn w:val="AHead"/>
    <w:rPr>
      <w:b/>
      <w:caps w:val="0"/>
    </w:rPr>
  </w:style>
  <w:style w:type="paragraph" w:customStyle="1" w:styleId="CHead">
    <w:name w:val="C Head"/>
    <w:basedOn w:val="AHead"/>
    <w:rPr>
      <w:i/>
      <w:caps w:val="0"/>
    </w:rPr>
  </w:style>
  <w:style w:type="paragraph" w:styleId="Sprechblasentext">
    <w:name w:val="Balloon Text"/>
    <w:basedOn w:val="Standard"/>
    <w:link w:val="SprechblasentextZchn"/>
    <w:rsid w:val="00426D02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EqnDisp">
    <w:name w:val="EqnDisp"/>
    <w:pPr>
      <w:tabs>
        <w:tab w:val="left" w:pos="160"/>
        <w:tab w:val="right" w:pos="4037"/>
      </w:tabs>
      <w:spacing w:before="100" w:after="100"/>
    </w:pPr>
    <w:rPr>
      <w:rFonts w:ascii="Times" w:hAnsi="Times"/>
      <w:sz w:val="18"/>
      <w:lang w:val="en-US" w:eastAsia="en-US"/>
    </w:rPr>
  </w:style>
  <w:style w:type="paragraph" w:customStyle="1" w:styleId="ParaNoInd">
    <w:name w:val="Para NoInd"/>
    <w:pPr>
      <w:spacing w:line="200" w:lineRule="exact"/>
      <w:jc w:val="both"/>
    </w:pPr>
    <w:rPr>
      <w:rFonts w:ascii="Times" w:hAnsi="Times"/>
      <w:sz w:val="18"/>
      <w:lang w:val="en-US" w:eastAsia="en-US"/>
    </w:rPr>
  </w:style>
  <w:style w:type="paragraph" w:customStyle="1" w:styleId="ListBull">
    <w:name w:val="List Bull"/>
    <w:basedOn w:val="ParaNoInd"/>
    <w:pPr>
      <w:numPr>
        <w:numId w:val="2"/>
      </w:numPr>
      <w:tabs>
        <w:tab w:val="clear" w:pos="360"/>
      </w:tabs>
      <w:ind w:left="267" w:hanging="267"/>
      <w:jc w:val="left"/>
    </w:pPr>
  </w:style>
  <w:style w:type="paragraph" w:customStyle="1" w:styleId="ListNum">
    <w:name w:val="List Num"/>
    <w:basedOn w:val="ParaNoInd"/>
    <w:pPr>
      <w:numPr>
        <w:numId w:val="3"/>
      </w:numPr>
      <w:tabs>
        <w:tab w:val="clear" w:pos="357"/>
      </w:tabs>
      <w:ind w:left="301" w:hanging="301"/>
      <w:jc w:val="left"/>
    </w:pPr>
  </w:style>
  <w:style w:type="paragraph" w:customStyle="1" w:styleId="ListLetter">
    <w:name w:val="List Letter"/>
    <w:basedOn w:val="ParaNoInd"/>
    <w:pPr>
      <w:numPr>
        <w:numId w:val="4"/>
      </w:numPr>
      <w:tabs>
        <w:tab w:val="clear" w:pos="720"/>
      </w:tabs>
      <w:jc w:val="left"/>
    </w:pPr>
  </w:style>
  <w:style w:type="paragraph" w:customStyle="1" w:styleId="Extract">
    <w:name w:val="Extract"/>
    <w:basedOn w:val="ParaNoInd"/>
    <w:pPr>
      <w:spacing w:before="100" w:after="100"/>
      <w:ind w:left="200"/>
    </w:pPr>
  </w:style>
  <w:style w:type="paragraph" w:customStyle="1" w:styleId="FigureLegend">
    <w:name w:val="Figure Legend"/>
    <w:pPr>
      <w:spacing w:line="180" w:lineRule="exact"/>
      <w:jc w:val="both"/>
    </w:pPr>
    <w:rPr>
      <w:rFonts w:ascii="Times" w:hAnsi="Times"/>
      <w:sz w:val="16"/>
      <w:lang w:val="en-US" w:eastAsia="en-US"/>
    </w:rPr>
  </w:style>
  <w:style w:type="paragraph" w:customStyle="1" w:styleId="Reference">
    <w:name w:val="Reference"/>
    <w:pPr>
      <w:numPr>
        <w:numId w:val="5"/>
      </w:numPr>
      <w:spacing w:line="180" w:lineRule="exact"/>
      <w:jc w:val="both"/>
    </w:pPr>
    <w:rPr>
      <w:rFonts w:ascii="Times" w:hAnsi="Times"/>
      <w:sz w:val="16"/>
      <w:lang w:val="en-US" w:eastAsia="en-US"/>
    </w:rPr>
  </w:style>
  <w:style w:type="paragraph" w:customStyle="1" w:styleId="Tablecaption">
    <w:name w:val="Table caption"/>
    <w:pPr>
      <w:spacing w:after="76" w:line="180" w:lineRule="exact"/>
      <w:jc w:val="both"/>
    </w:pPr>
    <w:rPr>
      <w:rFonts w:ascii="Times" w:hAnsi="Times"/>
      <w:b/>
      <w:sz w:val="16"/>
      <w:lang w:val="en-US" w:eastAsia="en-US"/>
    </w:rPr>
  </w:style>
  <w:style w:type="paragraph" w:customStyle="1" w:styleId="Columnhead">
    <w:name w:val="Column head"/>
    <w:pPr>
      <w:spacing w:before="140" w:after="70" w:line="180" w:lineRule="exact"/>
      <w:jc w:val="center"/>
    </w:pPr>
    <w:rPr>
      <w:rFonts w:ascii="Times" w:hAnsi="Times"/>
      <w:sz w:val="16"/>
      <w:lang w:val="en-US" w:eastAsia="en-US"/>
    </w:rPr>
  </w:style>
  <w:style w:type="paragraph" w:customStyle="1" w:styleId="Tablebody">
    <w:name w:val="Table body"/>
    <w:pPr>
      <w:spacing w:line="180" w:lineRule="exact"/>
    </w:pPr>
    <w:rPr>
      <w:rFonts w:ascii="Times" w:hAnsi="Times"/>
      <w:sz w:val="16"/>
      <w:lang w:val="en-US" w:eastAsia="en-US"/>
    </w:rPr>
  </w:style>
  <w:style w:type="paragraph" w:customStyle="1" w:styleId="Tablebodyfirst">
    <w:name w:val="Table body first"/>
    <w:basedOn w:val="Tablebody"/>
    <w:pPr>
      <w:spacing w:before="140"/>
    </w:pPr>
  </w:style>
  <w:style w:type="paragraph" w:customStyle="1" w:styleId="Tablebodylast">
    <w:name w:val="Table body last"/>
    <w:basedOn w:val="Tablebody"/>
    <w:pPr>
      <w:spacing w:after="72"/>
    </w:pPr>
  </w:style>
  <w:style w:type="paragraph" w:customStyle="1" w:styleId="TableFootnote">
    <w:name w:val="Table Footnote"/>
    <w:pPr>
      <w:spacing w:before="140" w:line="180" w:lineRule="exact"/>
      <w:jc w:val="both"/>
    </w:pPr>
    <w:rPr>
      <w:rFonts w:ascii="Times" w:hAnsi="Times"/>
      <w:sz w:val="16"/>
      <w:lang w:val="en-US" w:eastAsia="en-US"/>
    </w:rPr>
  </w:style>
  <w:style w:type="paragraph" w:customStyle="1" w:styleId="Sectiontitle">
    <w:name w:val="Section title"/>
    <w:rPr>
      <w:rFonts w:ascii="Times" w:hAnsi="Times"/>
      <w:i/>
      <w:caps/>
      <w:lang w:val="en-US" w:eastAsia="en-US"/>
    </w:rPr>
  </w:style>
  <w:style w:type="paragraph" w:customStyle="1" w:styleId="Correspondence">
    <w:name w:val="Correspondence"/>
    <w:pPr>
      <w:spacing w:line="200" w:lineRule="exact"/>
    </w:pPr>
    <w:rPr>
      <w:rFonts w:ascii="Times" w:hAnsi="Times"/>
      <w:sz w:val="16"/>
      <w:lang w:val="en-US" w:eastAsia="en-US"/>
    </w:rPr>
  </w:style>
  <w:style w:type="paragraph" w:customStyle="1" w:styleId="Columnheadfirst">
    <w:name w:val="Column head first"/>
    <w:basedOn w:val="Columnhead"/>
    <w:pPr>
      <w:jc w:val="left"/>
    </w:pPr>
  </w:style>
  <w:style w:type="character" w:customStyle="1" w:styleId="SprechblasentextZchn">
    <w:name w:val="Sprechblasentext Zchn"/>
    <w:basedOn w:val="Absatz-Standardschriftart"/>
    <w:link w:val="Sprechblasentext"/>
    <w:rsid w:val="00426D02"/>
    <w:rPr>
      <w:rFonts w:ascii="Tahoma" w:hAnsi="Tahoma" w:cs="Tahoma"/>
      <w:sz w:val="16"/>
      <w:szCs w:val="16"/>
      <w:lang w:val="en-US" w:eastAsia="en-US"/>
    </w:rPr>
  </w:style>
  <w:style w:type="table" w:styleId="Tabellenraster">
    <w:name w:val="Table Grid"/>
    <w:basedOn w:val="NormaleTabelle"/>
    <w:rsid w:val="00426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27A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customStyle="1" w:styleId="BibRef">
    <w:name w:val="Bib Ref"/>
    <w:basedOn w:val="Absatz-Standardschriftart"/>
    <w:rsid w:val="00527AF2"/>
    <w:rPr>
      <w:color w:val="FF00FF"/>
    </w:rPr>
  </w:style>
  <w:style w:type="character" w:styleId="Platzhaltertext">
    <w:name w:val="Placeholder Text"/>
    <w:basedOn w:val="Absatz-Standardschriftart"/>
    <w:uiPriority w:val="99"/>
    <w:semiHidden/>
    <w:rsid w:val="00627B94"/>
    <w:rPr>
      <w:color w:val="808080"/>
    </w:rPr>
  </w:style>
  <w:style w:type="character" w:customStyle="1" w:styleId="gt-card-ttl-txt">
    <w:name w:val="gt-card-ttl-txt"/>
    <w:basedOn w:val="Absatz-Standardschriftart"/>
    <w:rsid w:val="0039015B"/>
  </w:style>
  <w:style w:type="character" w:styleId="HTMLZitat">
    <w:name w:val="HTML Cite"/>
    <w:basedOn w:val="Absatz-Standardschriftart"/>
    <w:uiPriority w:val="99"/>
    <w:unhideWhenUsed/>
    <w:rsid w:val="00AF6E31"/>
    <w:rPr>
      <w:i/>
      <w:iCs/>
    </w:rPr>
  </w:style>
  <w:style w:type="character" w:customStyle="1" w:styleId="slug-pub-date">
    <w:name w:val="slug-pub-date"/>
    <w:basedOn w:val="Absatz-Standardschriftart"/>
    <w:rsid w:val="00AF6E31"/>
  </w:style>
  <w:style w:type="character" w:customStyle="1" w:styleId="slug-doi-wrapper">
    <w:name w:val="slug-doi-wrapper"/>
    <w:basedOn w:val="Absatz-Standardschriftart"/>
    <w:rsid w:val="00AF6E31"/>
  </w:style>
  <w:style w:type="character" w:customStyle="1" w:styleId="slug-doi">
    <w:name w:val="slug-doi"/>
    <w:basedOn w:val="Absatz-Standardschriftart"/>
    <w:rsid w:val="00AF6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JNLS-DATA\Production\RADDOS\Information\Author%20templates\Rpd_word\RP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C964D-00C6-4474-8045-21092B27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RPD.dot</Template>
  <TotalTime>0</TotalTime>
  <Pages>12</Pages>
  <Words>3891</Words>
  <Characters>24515</Characters>
  <Application>Microsoft Office Word</Application>
  <DocSecurity>4</DocSecurity>
  <Lines>204</Lines>
  <Paragraphs>56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RPD</vt:lpstr>
      <vt:lpstr>RPD</vt:lpstr>
    </vt:vector>
  </TitlesOfParts>
  <Company>NISPL</Company>
  <LinksUpToDate>false</LinksUpToDate>
  <CharactersWithSpaces>28350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Spoonerp</dc:creator>
  <cp:lastModifiedBy>Katrin.rauner</cp:lastModifiedBy>
  <cp:revision>2</cp:revision>
  <cp:lastPrinted>2016-04-18T13:22:00Z</cp:lastPrinted>
  <dcterms:created xsi:type="dcterms:W3CDTF">2018-05-09T07:10:00Z</dcterms:created>
  <dcterms:modified xsi:type="dcterms:W3CDTF">2018-05-09T07:10:00Z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OUP</vt:lpwstr>
  </property>
  <property fmtid="{D5CDD505-2E9C-101B-9397-08002B2CF9AE}" pid="3" name="MTWinEqns">
    <vt:bool>true</vt:bool>
  </property>
  <property fmtid="{D5CDD505-2E9C-101B-9397-08002B2CF9AE}" pid="4" name="MTEquationNumber2">
    <vt:lpwstr>(#S1.#E1)</vt:lpwstr>
  </property>
  <property fmtid="{D5CDD505-2E9C-101B-9397-08002B2CF9AE}" pid="5" name="MTEquationSection">
    <vt:lpwstr>1</vt:lpwstr>
  </property>
</Properties>
</file>