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17F17" w14:textId="435F5404" w:rsidR="00847BE9" w:rsidRPr="00F63C3B" w:rsidRDefault="00F63C3B" w:rsidP="00F63C3B">
      <w:pPr>
        <w:spacing w:before="240" w:after="0" w:line="480" w:lineRule="auto"/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Pretreatment of anaerobic digester samples by hydrochloric acid for solution-state 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H and </w:t>
      </w:r>
      <w:r>
        <w:rPr>
          <w:rFonts w:asciiTheme="majorBidi" w:hAnsiTheme="majorBidi" w:cstheme="majorBidi"/>
          <w:b/>
          <w:bCs/>
          <w:iCs/>
          <w:sz w:val="24"/>
          <w:szCs w:val="24"/>
          <w:vertAlign w:val="superscript"/>
          <w:lang w:val="en-US"/>
        </w:rPr>
        <w:t>13</w:t>
      </w:r>
      <w:r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 xml:space="preserve">C NMR spectroscopic characterization of organic matter </w:t>
      </w:r>
      <w:r w:rsidR="00545A23" w:rsidRPr="00F63C3B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(</w:t>
      </w:r>
      <w:r w:rsidR="00062424" w:rsidRPr="00F63C3B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supplementary material</w:t>
      </w:r>
      <w:r w:rsidR="00545A23" w:rsidRPr="00F63C3B">
        <w:rPr>
          <w:rFonts w:asciiTheme="majorBidi" w:hAnsiTheme="majorBidi" w:cstheme="majorBidi"/>
          <w:b/>
          <w:bCs/>
          <w:iCs/>
          <w:sz w:val="24"/>
          <w:szCs w:val="24"/>
          <w:lang w:val="en-US"/>
        </w:rPr>
        <w:t>)</w:t>
      </w:r>
    </w:p>
    <w:p w14:paraId="33056EBF" w14:textId="77777777" w:rsidR="00847BE9" w:rsidRPr="009037E8" w:rsidRDefault="00847BE9" w:rsidP="00847BE9">
      <w:pPr>
        <w:spacing w:before="240" w:after="0" w:line="480" w:lineRule="auto"/>
        <w:rPr>
          <w:rFonts w:asciiTheme="majorBidi" w:hAnsiTheme="majorBidi" w:cstheme="majorBidi"/>
          <w:sz w:val="24"/>
          <w:szCs w:val="24"/>
        </w:rPr>
      </w:pPr>
      <w:r w:rsidRPr="009037E8">
        <w:rPr>
          <w:rFonts w:asciiTheme="majorBidi" w:hAnsiTheme="majorBidi" w:cstheme="majorBidi"/>
          <w:sz w:val="24"/>
          <w:szCs w:val="24"/>
        </w:rPr>
        <w:t>Sepehr Shakeri Yekta</w:t>
      </w:r>
      <w:r w:rsidRPr="009037E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9037E8">
        <w:rPr>
          <w:rFonts w:asciiTheme="majorBidi" w:hAnsiTheme="majorBidi" w:cstheme="majorBidi"/>
          <w:sz w:val="24"/>
          <w:szCs w:val="24"/>
        </w:rPr>
        <w:t>, Mattias Hedenström</w:t>
      </w:r>
      <w:r w:rsidRPr="009037E8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9037E8">
        <w:rPr>
          <w:rFonts w:asciiTheme="majorBidi" w:hAnsiTheme="majorBidi" w:cstheme="majorBidi"/>
          <w:sz w:val="24"/>
          <w:szCs w:val="24"/>
        </w:rPr>
        <w:t>, Jan Eric Stehr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9037E8">
        <w:rPr>
          <w:rFonts w:asciiTheme="majorBidi" w:hAnsiTheme="majorBidi" w:cstheme="majorBidi"/>
          <w:sz w:val="24"/>
          <w:szCs w:val="24"/>
        </w:rPr>
        <w:t>, Mårten Dario</w:t>
      </w:r>
      <w:r w:rsidRPr="009037E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9037E8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Norbert Hertkorn</w:t>
      </w:r>
      <w:r w:rsidRPr="00DE4121">
        <w:rPr>
          <w:rFonts w:asciiTheme="majorBidi" w:hAnsiTheme="majorBidi" w:cstheme="majorBidi"/>
          <w:sz w:val="24"/>
          <w:szCs w:val="24"/>
          <w:vertAlign w:val="superscript"/>
        </w:rPr>
        <w:t>4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9037E8">
        <w:rPr>
          <w:rFonts w:asciiTheme="majorBidi" w:hAnsiTheme="majorBidi" w:cstheme="majorBidi"/>
          <w:sz w:val="24"/>
          <w:szCs w:val="24"/>
        </w:rPr>
        <w:t>Annika Björn</w:t>
      </w:r>
      <w:r w:rsidRPr="009037E8">
        <w:rPr>
          <w:rFonts w:asciiTheme="majorBidi" w:hAnsiTheme="majorBidi" w:cstheme="majorBidi"/>
          <w:sz w:val="24"/>
          <w:szCs w:val="24"/>
          <w:vertAlign w:val="superscript"/>
        </w:rPr>
        <w:t>1</w:t>
      </w:r>
    </w:p>
    <w:p w14:paraId="7276639C" w14:textId="77777777" w:rsidR="00847BE9" w:rsidRPr="00EA4582" w:rsidRDefault="00847BE9" w:rsidP="00847BE9">
      <w:pPr>
        <w:spacing w:before="240" w:after="0" w:line="480" w:lineRule="auto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 w:rsidRPr="00EA4582">
        <w:rPr>
          <w:rFonts w:asciiTheme="majorBidi" w:eastAsia="Calibri" w:hAnsiTheme="majorBidi" w:cstheme="majorBidi"/>
          <w:i/>
          <w:iCs/>
          <w:sz w:val="24"/>
          <w:szCs w:val="24"/>
          <w:vertAlign w:val="superscript"/>
          <w:lang w:val="en-US"/>
        </w:rPr>
        <w:t>1</w:t>
      </w:r>
      <w:r w:rsidRPr="00EA4582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Department of Thematic Studies-Environmental Change</w:t>
      </w:r>
      <w:r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 xml:space="preserve"> and </w:t>
      </w:r>
      <w:r w:rsidRPr="00EA4582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Biogas Research Center, Linköping University, 581 83 Linköping, Sweden</w:t>
      </w:r>
    </w:p>
    <w:p w14:paraId="42D849CA" w14:textId="77777777" w:rsidR="00847BE9" w:rsidRPr="00EA4582" w:rsidRDefault="00847BE9" w:rsidP="00847BE9">
      <w:pPr>
        <w:spacing w:before="240" w:after="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EA4582"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2</w:t>
      </w:r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Department of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C</w:t>
      </w:r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hemistry, </w:t>
      </w:r>
      <w:proofErr w:type="spellStart"/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>Umeå</w:t>
      </w:r>
      <w:proofErr w:type="spellEnd"/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University, 901 87 </w:t>
      </w:r>
      <w:proofErr w:type="spellStart"/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>Umeå</w:t>
      </w:r>
      <w:proofErr w:type="spellEnd"/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>, Sweden</w:t>
      </w:r>
    </w:p>
    <w:p w14:paraId="7E93966E" w14:textId="77777777" w:rsidR="00847BE9" w:rsidRDefault="00847BE9" w:rsidP="00847BE9">
      <w:pPr>
        <w:spacing w:before="240" w:after="0" w:line="480" w:lineRule="auto"/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3</w:t>
      </w:r>
      <w:r w:rsidRPr="00EA458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Department of Physics, Chemistry and Biology, Linköping University, </w:t>
      </w:r>
      <w:r w:rsidRPr="00EA4582">
        <w:rPr>
          <w:rFonts w:asciiTheme="majorBidi" w:eastAsia="Calibri" w:hAnsiTheme="majorBidi" w:cstheme="majorBidi"/>
          <w:i/>
          <w:iCs/>
          <w:sz w:val="24"/>
          <w:szCs w:val="24"/>
          <w:lang w:val="en-US"/>
        </w:rPr>
        <w:t>581 83 Linköping, Sweden</w:t>
      </w:r>
    </w:p>
    <w:p w14:paraId="7EFF082C" w14:textId="77777777" w:rsidR="00847BE9" w:rsidRPr="007B0B75" w:rsidRDefault="00847BE9" w:rsidP="00847BE9">
      <w:pPr>
        <w:spacing w:before="240" w:after="0" w:line="480" w:lineRule="auto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vertAlign w:val="superscript"/>
          <w:lang w:val="en-US"/>
        </w:rPr>
        <w:t>4</w:t>
      </w:r>
      <w:r w:rsidRPr="00EA735B">
        <w:rPr>
          <w:rFonts w:asciiTheme="majorBidi" w:hAnsiTheme="majorBidi" w:cstheme="majorBidi"/>
          <w:i/>
          <w:iCs/>
          <w:sz w:val="24"/>
          <w:szCs w:val="24"/>
          <w:lang w:val="en-US"/>
        </w:rPr>
        <w:t>Helmholtz Cent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er</w:t>
      </w:r>
      <w:r w:rsidRPr="00EA73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Munich, German Research C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enter for Environmental Health</w:t>
      </w:r>
      <w:r w:rsidRPr="00EA735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Research Unit Analytical Biogeochemistry (BGC), </w:t>
      </w:r>
      <w:r w:rsidRPr="00206BC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85764 </w:t>
      </w:r>
      <w:proofErr w:type="spellStart"/>
      <w:r w:rsidRPr="00206BC7">
        <w:rPr>
          <w:rFonts w:asciiTheme="majorBidi" w:hAnsiTheme="majorBidi" w:cstheme="majorBidi"/>
          <w:i/>
          <w:iCs/>
          <w:sz w:val="24"/>
          <w:szCs w:val="24"/>
          <w:lang w:val="en-US"/>
        </w:rPr>
        <w:t>Neuherberg</w:t>
      </w:r>
      <w:proofErr w:type="spellEnd"/>
      <w:r w:rsidRPr="00206BC7">
        <w:rPr>
          <w:rFonts w:asciiTheme="majorBidi" w:hAnsiTheme="majorBidi" w:cstheme="majorBidi"/>
          <w:i/>
          <w:iCs/>
          <w:sz w:val="24"/>
          <w:szCs w:val="24"/>
          <w:lang w:val="en-US"/>
        </w:rPr>
        <w:t>, Germany</w:t>
      </w:r>
    </w:p>
    <w:p w14:paraId="18E976E6" w14:textId="77777777" w:rsidR="00847BE9" w:rsidRPr="001E08AF" w:rsidRDefault="00847BE9" w:rsidP="00847BE9">
      <w:pPr>
        <w:spacing w:before="240" w:after="0" w:line="48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US"/>
        </w:rPr>
      </w:pPr>
      <w:r w:rsidRPr="009B3146">
        <w:rPr>
          <w:rFonts w:asciiTheme="majorBidi" w:hAnsiTheme="majorBidi" w:cstheme="majorBidi"/>
          <w:i/>
          <w:iCs/>
          <w:sz w:val="24"/>
          <w:szCs w:val="24"/>
          <w:lang w:val="en-GB" w:eastAsia="sv-SE"/>
        </w:rPr>
        <w:t xml:space="preserve">*Corresponding author: </w:t>
      </w:r>
      <w:r w:rsidRPr="009B3146">
        <w:rPr>
          <w:rFonts w:asciiTheme="majorBidi" w:hAnsiTheme="majorBidi" w:cstheme="majorBidi"/>
          <w:i/>
          <w:iCs/>
          <w:sz w:val="24"/>
          <w:szCs w:val="24"/>
          <w:lang w:val="en-US" w:eastAsia="sv-SE"/>
        </w:rPr>
        <w:t>E-mail:</w:t>
      </w:r>
      <w:r>
        <w:rPr>
          <w:rFonts w:asciiTheme="majorBidi" w:hAnsiTheme="majorBidi" w:cstheme="majorBidi"/>
          <w:i/>
          <w:iCs/>
          <w:sz w:val="24"/>
          <w:szCs w:val="24"/>
          <w:lang w:val="en-US" w:eastAsia="sv-SE"/>
        </w:rPr>
        <w:t xml:space="preserve"> sepehr.shakeri.yekta@liu.se</w:t>
      </w:r>
      <w:r w:rsidRPr="009B3146">
        <w:rPr>
          <w:rFonts w:asciiTheme="majorBidi" w:hAnsiTheme="majorBidi" w:cstheme="majorBidi"/>
          <w:i/>
          <w:iCs/>
          <w:sz w:val="24"/>
          <w:szCs w:val="24"/>
          <w:lang w:val="en-US" w:eastAsia="sv-SE"/>
        </w:rPr>
        <w:t xml:space="preserve">, </w:t>
      </w:r>
      <w:r w:rsidRPr="009B314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Phone: +46 13282294, </w:t>
      </w:r>
      <w:proofErr w:type="gramStart"/>
      <w:r w:rsidRPr="009B3146">
        <w:rPr>
          <w:rFonts w:asciiTheme="majorBidi" w:hAnsiTheme="majorBidi" w:cstheme="majorBidi"/>
          <w:i/>
          <w:iCs/>
          <w:sz w:val="24"/>
          <w:szCs w:val="24"/>
          <w:lang w:val="en-US"/>
        </w:rPr>
        <w:t>Fax:</w:t>
      </w:r>
      <w:proofErr w:type="gramEnd"/>
      <w:r w:rsidRPr="009B3146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+46 13133630. </w:t>
      </w:r>
    </w:p>
    <w:p w14:paraId="449EC749" w14:textId="38DADAC4" w:rsidR="00445D7D" w:rsidRDefault="00445D7D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3F07723C" w14:textId="1BB64A41" w:rsidR="008C2CD6" w:rsidRDefault="008C2CD6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3B4B6D04" w14:textId="57A1FE48" w:rsidR="008C2CD6" w:rsidRDefault="008C2CD6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7CA4E319" w14:textId="5CA93935" w:rsidR="008C2CD6" w:rsidRDefault="008C2CD6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63047B4C" w14:textId="3DFAF2AB" w:rsidR="008C2CD6" w:rsidRDefault="008C2CD6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5F3C5EB7" w14:textId="2A0A6F18" w:rsidR="008C2CD6" w:rsidRDefault="008C2CD6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6D54B2AC" w14:textId="0F1C5D77" w:rsidR="008C2CD6" w:rsidRDefault="008C2CD6" w:rsidP="0004070B">
      <w:pPr>
        <w:spacing w:line="480" w:lineRule="auto"/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</w:pPr>
    </w:p>
    <w:p w14:paraId="4E3A5B4C" w14:textId="2D5EA8C8" w:rsidR="005D4836" w:rsidRPr="005D4836" w:rsidRDefault="005D4836" w:rsidP="00D668C5">
      <w:pPr>
        <w:spacing w:line="240" w:lineRule="auto"/>
        <w:jc w:val="both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  <w:r w:rsidRPr="005D4836"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  <w:lastRenderedPageBreak/>
        <w:t xml:space="preserve">Table S1. </w:t>
      </w:r>
      <w:r w:rsidRPr="005D4836">
        <w:rPr>
          <w:rFonts w:asciiTheme="majorBidi" w:hAnsiTheme="majorBidi" w:cstheme="majorBidi"/>
          <w:noProof/>
          <w:sz w:val="24"/>
          <w:szCs w:val="24"/>
          <w:lang w:val="en-US" w:eastAsia="sv-SE"/>
        </w:rPr>
        <w:t>T</w:t>
      </w:r>
      <w:r w:rsidR="00511AE7"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he overall charcteristics and </w:t>
      </w:r>
      <w:r w:rsidRPr="005D4836"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elemental compositions of the anaerobic sludge in substrate and digestate of </w:t>
      </w:r>
      <w:r w:rsidR="003367F5"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the </w:t>
      </w:r>
      <w:r w:rsidRPr="005D4836">
        <w:rPr>
          <w:rFonts w:asciiTheme="majorBidi" w:hAnsiTheme="majorBidi" w:cstheme="majorBidi"/>
          <w:noProof/>
          <w:sz w:val="24"/>
          <w:szCs w:val="24"/>
          <w:lang w:val="en-US" w:eastAsia="sv-SE"/>
        </w:rPr>
        <w:t>CD and SSD reactors.</w:t>
      </w:r>
      <w:r w:rsidRPr="005D483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5D4836">
        <w:rPr>
          <w:rFonts w:asciiTheme="majorBidi" w:hAnsiTheme="majorBidi" w:cstheme="majorBidi"/>
          <w:sz w:val="24"/>
          <w:szCs w:val="24"/>
          <w:lang w:val="en-US"/>
        </w:rPr>
        <w:t>The elemental analyses were performed</w:t>
      </w:r>
      <w:r w:rsidRPr="005D4836"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 by Eurofin Environment Testing AB (Lidköping, Sweden)</w:t>
      </w:r>
      <w:proofErr w:type="gramEnd"/>
      <w:r w:rsidRPr="005D4836"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 according to the Swedish standard method SS028150-2.</w:t>
      </w:r>
      <w:r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 </w:t>
      </w:r>
      <w:r w:rsidR="006D311B" w:rsidRPr="009C2126">
        <w:rPr>
          <w:rFonts w:asciiTheme="majorBidi" w:hAnsiTheme="majorBidi" w:cstheme="majorBidi"/>
          <w:sz w:val="24"/>
          <w:szCs w:val="24"/>
          <w:lang w:val="en-US"/>
        </w:rPr>
        <w:t xml:space="preserve">Total </w:t>
      </w:r>
      <w:r w:rsidR="006D311B">
        <w:rPr>
          <w:rFonts w:asciiTheme="majorBidi" w:hAnsiTheme="majorBidi" w:cstheme="majorBidi"/>
          <w:sz w:val="24"/>
          <w:szCs w:val="24"/>
          <w:lang w:val="en-US"/>
        </w:rPr>
        <w:t xml:space="preserve">and volatile </w:t>
      </w:r>
      <w:r w:rsidR="006D311B" w:rsidRPr="009C2126">
        <w:rPr>
          <w:rFonts w:asciiTheme="majorBidi" w:hAnsiTheme="majorBidi" w:cstheme="majorBidi"/>
          <w:sz w:val="24"/>
          <w:szCs w:val="24"/>
          <w:lang w:val="en-US"/>
        </w:rPr>
        <w:t xml:space="preserve">solid contents were determined according to the Swedish standard method SS028311. </w:t>
      </w:r>
      <w:r>
        <w:rPr>
          <w:rFonts w:asciiTheme="majorBidi" w:hAnsiTheme="majorBidi" w:cstheme="majorBidi"/>
          <w:noProof/>
          <w:sz w:val="24"/>
          <w:szCs w:val="24"/>
          <w:lang w:val="en-US" w:eastAsia="sv-SE"/>
        </w:rPr>
        <w:t>AU stands for analytical unc</w:t>
      </w:r>
      <w:r w:rsidR="003367F5">
        <w:rPr>
          <w:rFonts w:asciiTheme="majorBidi" w:hAnsiTheme="majorBidi" w:cstheme="majorBidi"/>
          <w:noProof/>
          <w:sz w:val="24"/>
          <w:szCs w:val="24"/>
          <w:lang w:val="en-US" w:eastAsia="sv-SE"/>
        </w:rPr>
        <w:t>e</w:t>
      </w:r>
      <w:r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rtainty (± % of measured value). </w:t>
      </w:r>
    </w:p>
    <w:tbl>
      <w:tblPr>
        <w:tblStyle w:val="Tabellrutnt"/>
        <w:tblW w:w="7404" w:type="dxa"/>
        <w:jc w:val="center"/>
        <w:tblLook w:val="04A0" w:firstRow="1" w:lastRow="0" w:firstColumn="1" w:lastColumn="0" w:noHBand="0" w:noVBand="1"/>
      </w:tblPr>
      <w:tblGrid>
        <w:gridCol w:w="1440"/>
        <w:gridCol w:w="1134"/>
        <w:gridCol w:w="1005"/>
        <w:gridCol w:w="1134"/>
        <w:gridCol w:w="1005"/>
        <w:gridCol w:w="993"/>
        <w:gridCol w:w="693"/>
      </w:tblGrid>
      <w:tr w:rsidR="00511AE7" w:rsidRPr="00C0242E" w14:paraId="3187659E" w14:textId="77777777" w:rsidTr="00511AE7">
        <w:trPr>
          <w:trHeight w:val="735"/>
          <w:jc w:val="center"/>
        </w:trPr>
        <w:tc>
          <w:tcPr>
            <w:tcW w:w="1440" w:type="dxa"/>
            <w:noWrap/>
            <w:hideMark/>
          </w:tcPr>
          <w:p w14:paraId="2E740200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noWrap/>
            <w:hideMark/>
          </w:tcPr>
          <w:p w14:paraId="337D9291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Unit</w:t>
            </w:r>
            <w:proofErr w:type="spellEnd"/>
          </w:p>
        </w:tc>
        <w:tc>
          <w:tcPr>
            <w:tcW w:w="1005" w:type="dxa"/>
            <w:noWrap/>
            <w:hideMark/>
          </w:tcPr>
          <w:p w14:paraId="736C92F9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CD </w:t>
            </w:r>
            <w:proofErr w:type="spellStart"/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substrate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74F538B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CD </w:t>
            </w:r>
            <w:proofErr w:type="spellStart"/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digestate</w:t>
            </w:r>
            <w:proofErr w:type="spellEnd"/>
          </w:p>
        </w:tc>
        <w:tc>
          <w:tcPr>
            <w:tcW w:w="1005" w:type="dxa"/>
            <w:noWrap/>
            <w:hideMark/>
          </w:tcPr>
          <w:p w14:paraId="2944C35B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SSD </w:t>
            </w:r>
            <w:proofErr w:type="spellStart"/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substrate</w:t>
            </w:r>
            <w:proofErr w:type="spellEnd"/>
          </w:p>
        </w:tc>
        <w:tc>
          <w:tcPr>
            <w:tcW w:w="993" w:type="dxa"/>
            <w:noWrap/>
            <w:hideMark/>
          </w:tcPr>
          <w:p w14:paraId="4E0734F4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SSD </w:t>
            </w:r>
            <w:proofErr w:type="spellStart"/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digestate</w:t>
            </w:r>
            <w:proofErr w:type="spellEnd"/>
          </w:p>
        </w:tc>
        <w:tc>
          <w:tcPr>
            <w:tcW w:w="693" w:type="dxa"/>
          </w:tcPr>
          <w:p w14:paraId="058745A4" w14:textId="77777777" w:rsidR="005D4836" w:rsidRPr="005D4836" w:rsidRDefault="005D4836" w:rsidP="0074488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483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</w:t>
            </w:r>
          </w:p>
        </w:tc>
      </w:tr>
      <w:tr w:rsidR="00511AE7" w:rsidRPr="00C0242E" w14:paraId="04FE3591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1555E414" w14:textId="36AEEB12" w:rsidR="005D4836" w:rsidRPr="00C0242E" w:rsidRDefault="00511AE7" w:rsidP="00511AE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Total solid </w:t>
            </w:r>
            <w:r w:rsidR="005D4836">
              <w:rPr>
                <w:rFonts w:asciiTheme="majorBidi" w:hAnsiTheme="majorBidi" w:cstheme="majorBidi"/>
                <w:sz w:val="20"/>
                <w:szCs w:val="20"/>
              </w:rPr>
              <w:t>(TS)</w:t>
            </w:r>
          </w:p>
        </w:tc>
        <w:tc>
          <w:tcPr>
            <w:tcW w:w="1134" w:type="dxa"/>
            <w:noWrap/>
            <w:hideMark/>
          </w:tcPr>
          <w:p w14:paraId="1B1B989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%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of total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wet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005" w:type="dxa"/>
            <w:noWrap/>
            <w:hideMark/>
          </w:tcPr>
          <w:p w14:paraId="0CB919EB" w14:textId="4687134F" w:rsidR="005D4836" w:rsidRPr="00C0242E" w:rsidRDefault="005D4836" w:rsidP="003367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3367F5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3424100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5,4</w:t>
            </w:r>
          </w:p>
        </w:tc>
        <w:tc>
          <w:tcPr>
            <w:tcW w:w="1005" w:type="dxa"/>
            <w:noWrap/>
            <w:hideMark/>
          </w:tcPr>
          <w:p w14:paraId="6687DD9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5,7</w:t>
            </w:r>
          </w:p>
        </w:tc>
        <w:tc>
          <w:tcPr>
            <w:tcW w:w="993" w:type="dxa"/>
            <w:noWrap/>
            <w:hideMark/>
          </w:tcPr>
          <w:p w14:paraId="054BFBA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3,6</w:t>
            </w:r>
          </w:p>
        </w:tc>
        <w:tc>
          <w:tcPr>
            <w:tcW w:w="693" w:type="dxa"/>
          </w:tcPr>
          <w:p w14:paraId="4F016EA3" w14:textId="3011631A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0706FEDD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47675CD" w14:textId="243CD295" w:rsidR="005D4836" w:rsidRPr="00C0242E" w:rsidRDefault="005D4836" w:rsidP="00511AE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Volatile solid </w:t>
            </w:r>
          </w:p>
        </w:tc>
        <w:tc>
          <w:tcPr>
            <w:tcW w:w="1134" w:type="dxa"/>
            <w:noWrap/>
            <w:hideMark/>
          </w:tcPr>
          <w:p w14:paraId="3F92089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 xml:space="preserve">%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of TS</w:t>
            </w:r>
          </w:p>
        </w:tc>
        <w:tc>
          <w:tcPr>
            <w:tcW w:w="1005" w:type="dxa"/>
            <w:noWrap/>
            <w:hideMark/>
          </w:tcPr>
          <w:p w14:paraId="6060A83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91</w:t>
            </w:r>
          </w:p>
        </w:tc>
        <w:tc>
          <w:tcPr>
            <w:tcW w:w="1134" w:type="dxa"/>
            <w:noWrap/>
            <w:hideMark/>
          </w:tcPr>
          <w:p w14:paraId="7722A052" w14:textId="5381026D" w:rsidR="005D4836" w:rsidRPr="00C0242E" w:rsidRDefault="005D4836" w:rsidP="003367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3367F5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hideMark/>
          </w:tcPr>
          <w:p w14:paraId="066D4F2C" w14:textId="1628A2DB" w:rsidR="005D4836" w:rsidRPr="00C0242E" w:rsidRDefault="005D4836" w:rsidP="003367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82</w:t>
            </w:r>
          </w:p>
        </w:tc>
        <w:tc>
          <w:tcPr>
            <w:tcW w:w="993" w:type="dxa"/>
            <w:noWrap/>
            <w:hideMark/>
          </w:tcPr>
          <w:p w14:paraId="2A82F552" w14:textId="74C74337" w:rsidR="005D4836" w:rsidRPr="00C0242E" w:rsidRDefault="005D4836" w:rsidP="003367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3367F5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93" w:type="dxa"/>
          </w:tcPr>
          <w:p w14:paraId="7D0A1650" w14:textId="6F7223BD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372FC4C7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26C2B3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Al</w:t>
            </w:r>
          </w:p>
        </w:tc>
        <w:tc>
          <w:tcPr>
            <w:tcW w:w="1134" w:type="dxa"/>
            <w:noWrap/>
            <w:hideMark/>
          </w:tcPr>
          <w:p w14:paraId="7AC3C3E2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mg 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kg</w:t>
            </w:r>
            <w:r w:rsidRPr="00637D62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433EB78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870</w:t>
            </w:r>
          </w:p>
        </w:tc>
        <w:tc>
          <w:tcPr>
            <w:tcW w:w="1134" w:type="dxa"/>
            <w:noWrap/>
            <w:hideMark/>
          </w:tcPr>
          <w:p w14:paraId="58147F3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2100</w:t>
            </w:r>
          </w:p>
        </w:tc>
        <w:tc>
          <w:tcPr>
            <w:tcW w:w="1005" w:type="dxa"/>
            <w:noWrap/>
            <w:hideMark/>
          </w:tcPr>
          <w:p w14:paraId="2560C5B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8900</w:t>
            </w:r>
          </w:p>
        </w:tc>
        <w:tc>
          <w:tcPr>
            <w:tcW w:w="993" w:type="dxa"/>
            <w:noWrap/>
            <w:hideMark/>
          </w:tcPr>
          <w:p w14:paraId="0C8D861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22000</w:t>
            </w:r>
          </w:p>
        </w:tc>
        <w:tc>
          <w:tcPr>
            <w:tcW w:w="693" w:type="dxa"/>
          </w:tcPr>
          <w:p w14:paraId="2C5E42A7" w14:textId="08D1F33D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1F768ED0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E9CE467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Sb</w:t>
            </w:r>
          </w:p>
        </w:tc>
        <w:tc>
          <w:tcPr>
            <w:tcW w:w="1134" w:type="dxa"/>
            <w:noWrap/>
            <w:hideMark/>
          </w:tcPr>
          <w:p w14:paraId="23F322A7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4185355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1,1</w:t>
            </w:r>
          </w:p>
        </w:tc>
        <w:tc>
          <w:tcPr>
            <w:tcW w:w="1134" w:type="dxa"/>
            <w:noWrap/>
            <w:hideMark/>
          </w:tcPr>
          <w:p w14:paraId="2E5C07D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0,98</w:t>
            </w:r>
          </w:p>
        </w:tc>
        <w:tc>
          <w:tcPr>
            <w:tcW w:w="1005" w:type="dxa"/>
            <w:noWrap/>
            <w:hideMark/>
          </w:tcPr>
          <w:p w14:paraId="1BA4EC7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&lt;0,95</w:t>
            </w:r>
          </w:p>
        </w:tc>
        <w:tc>
          <w:tcPr>
            <w:tcW w:w="993" w:type="dxa"/>
            <w:noWrap/>
            <w:hideMark/>
          </w:tcPr>
          <w:p w14:paraId="21115227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1,2</w:t>
            </w:r>
          </w:p>
        </w:tc>
        <w:tc>
          <w:tcPr>
            <w:tcW w:w="693" w:type="dxa"/>
          </w:tcPr>
          <w:p w14:paraId="3089545F" w14:textId="796D1C16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31458A50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2251944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As</w:t>
            </w:r>
          </w:p>
        </w:tc>
        <w:tc>
          <w:tcPr>
            <w:tcW w:w="1134" w:type="dxa"/>
            <w:noWrap/>
            <w:hideMark/>
          </w:tcPr>
          <w:p w14:paraId="2EB27C61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105A502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0,73</w:t>
            </w:r>
          </w:p>
        </w:tc>
        <w:tc>
          <w:tcPr>
            <w:tcW w:w="1134" w:type="dxa"/>
            <w:noWrap/>
            <w:hideMark/>
          </w:tcPr>
          <w:p w14:paraId="73C0F95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3,4</w:t>
            </w:r>
          </w:p>
        </w:tc>
        <w:tc>
          <w:tcPr>
            <w:tcW w:w="1005" w:type="dxa"/>
            <w:noWrap/>
            <w:hideMark/>
          </w:tcPr>
          <w:p w14:paraId="4D2AB2BC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1,5</w:t>
            </w:r>
          </w:p>
        </w:tc>
        <w:tc>
          <w:tcPr>
            <w:tcW w:w="993" w:type="dxa"/>
            <w:noWrap/>
            <w:hideMark/>
          </w:tcPr>
          <w:p w14:paraId="7A17A33F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3,4</w:t>
            </w:r>
          </w:p>
        </w:tc>
        <w:tc>
          <w:tcPr>
            <w:tcW w:w="693" w:type="dxa"/>
          </w:tcPr>
          <w:p w14:paraId="77DE96A1" w14:textId="69DB6948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2B9D84A6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53D7E13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Ba</w:t>
            </w:r>
          </w:p>
        </w:tc>
        <w:tc>
          <w:tcPr>
            <w:tcW w:w="1134" w:type="dxa"/>
            <w:noWrap/>
            <w:hideMark/>
          </w:tcPr>
          <w:p w14:paraId="1BE83076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3597CFCC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134" w:type="dxa"/>
            <w:noWrap/>
            <w:hideMark/>
          </w:tcPr>
          <w:p w14:paraId="1C0B900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  <w:tc>
          <w:tcPr>
            <w:tcW w:w="1005" w:type="dxa"/>
            <w:noWrap/>
            <w:hideMark/>
          </w:tcPr>
          <w:p w14:paraId="02A19BB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130</w:t>
            </w:r>
          </w:p>
        </w:tc>
        <w:tc>
          <w:tcPr>
            <w:tcW w:w="993" w:type="dxa"/>
            <w:noWrap/>
            <w:hideMark/>
          </w:tcPr>
          <w:p w14:paraId="0CDE706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  <w:tc>
          <w:tcPr>
            <w:tcW w:w="693" w:type="dxa"/>
          </w:tcPr>
          <w:p w14:paraId="4C8BD5FF" w14:textId="2162E193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3AEC60D3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54F6A9DF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242E">
              <w:rPr>
                <w:rFonts w:asciiTheme="majorBidi" w:hAnsiTheme="majorBidi" w:cstheme="majorBidi"/>
                <w:sz w:val="20"/>
                <w:szCs w:val="20"/>
              </w:rPr>
              <w:t>Pb</w:t>
            </w:r>
            <w:proofErr w:type="spellEnd"/>
          </w:p>
        </w:tc>
        <w:tc>
          <w:tcPr>
            <w:tcW w:w="1134" w:type="dxa"/>
            <w:noWrap/>
            <w:hideMark/>
          </w:tcPr>
          <w:p w14:paraId="15DFBA7D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4302052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3,2</w:t>
            </w:r>
          </w:p>
        </w:tc>
        <w:tc>
          <w:tcPr>
            <w:tcW w:w="1134" w:type="dxa"/>
            <w:noWrap/>
            <w:hideMark/>
          </w:tcPr>
          <w:p w14:paraId="3F8CAEC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5,1</w:t>
            </w:r>
          </w:p>
        </w:tc>
        <w:tc>
          <w:tcPr>
            <w:tcW w:w="1005" w:type="dxa"/>
            <w:noWrap/>
            <w:hideMark/>
          </w:tcPr>
          <w:p w14:paraId="131969E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5,3</w:t>
            </w:r>
          </w:p>
        </w:tc>
        <w:tc>
          <w:tcPr>
            <w:tcW w:w="993" w:type="dxa"/>
            <w:noWrap/>
            <w:hideMark/>
          </w:tcPr>
          <w:p w14:paraId="50FF7397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693" w:type="dxa"/>
          </w:tcPr>
          <w:p w14:paraId="7302510D" w14:textId="697485E3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70135A57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194B574C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134" w:type="dxa"/>
            <w:noWrap/>
            <w:hideMark/>
          </w:tcPr>
          <w:p w14:paraId="7A60AD83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69ED6F8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5,2</w:t>
            </w:r>
          </w:p>
        </w:tc>
        <w:tc>
          <w:tcPr>
            <w:tcW w:w="1134" w:type="dxa"/>
            <w:noWrap/>
            <w:hideMark/>
          </w:tcPr>
          <w:p w14:paraId="54DD62E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005" w:type="dxa"/>
            <w:noWrap/>
            <w:hideMark/>
          </w:tcPr>
          <w:p w14:paraId="4C27A98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7,4</w:t>
            </w:r>
          </w:p>
        </w:tc>
        <w:tc>
          <w:tcPr>
            <w:tcW w:w="993" w:type="dxa"/>
            <w:noWrap/>
            <w:hideMark/>
          </w:tcPr>
          <w:p w14:paraId="289FA50B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693" w:type="dxa"/>
          </w:tcPr>
          <w:p w14:paraId="0F8B5A49" w14:textId="36414C3A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0678F1F2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17DA1CF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 xml:space="preserve">P </w:t>
            </w:r>
          </w:p>
        </w:tc>
        <w:tc>
          <w:tcPr>
            <w:tcW w:w="1134" w:type="dxa"/>
            <w:noWrap/>
            <w:hideMark/>
          </w:tcPr>
          <w:p w14:paraId="3BB552BF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36344D5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5100</w:t>
            </w:r>
          </w:p>
        </w:tc>
        <w:tc>
          <w:tcPr>
            <w:tcW w:w="1134" w:type="dxa"/>
            <w:noWrap/>
            <w:hideMark/>
          </w:tcPr>
          <w:p w14:paraId="0F87E84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16000</w:t>
            </w:r>
          </w:p>
        </w:tc>
        <w:tc>
          <w:tcPr>
            <w:tcW w:w="1005" w:type="dxa"/>
            <w:noWrap/>
            <w:hideMark/>
          </w:tcPr>
          <w:p w14:paraId="6BE6FEA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21000</w:t>
            </w:r>
          </w:p>
        </w:tc>
        <w:tc>
          <w:tcPr>
            <w:tcW w:w="993" w:type="dxa"/>
            <w:noWrap/>
            <w:hideMark/>
          </w:tcPr>
          <w:p w14:paraId="17C4271C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38000</w:t>
            </w:r>
          </w:p>
        </w:tc>
        <w:tc>
          <w:tcPr>
            <w:tcW w:w="693" w:type="dxa"/>
          </w:tcPr>
          <w:p w14:paraId="5B1D19F0" w14:textId="02162318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7BEBE80C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68E677A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Cd</w:t>
            </w:r>
          </w:p>
        </w:tc>
        <w:tc>
          <w:tcPr>
            <w:tcW w:w="1134" w:type="dxa"/>
            <w:noWrap/>
            <w:hideMark/>
          </w:tcPr>
          <w:p w14:paraId="6C8917FC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626A01F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0,12</w:t>
            </w:r>
          </w:p>
        </w:tc>
        <w:tc>
          <w:tcPr>
            <w:tcW w:w="1134" w:type="dxa"/>
            <w:noWrap/>
            <w:hideMark/>
          </w:tcPr>
          <w:p w14:paraId="17DAAF2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0,8</w:t>
            </w:r>
          </w:p>
        </w:tc>
        <w:tc>
          <w:tcPr>
            <w:tcW w:w="1005" w:type="dxa"/>
            <w:noWrap/>
            <w:hideMark/>
          </w:tcPr>
          <w:p w14:paraId="3B7E7B7B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0,33</w:t>
            </w:r>
          </w:p>
        </w:tc>
        <w:tc>
          <w:tcPr>
            <w:tcW w:w="993" w:type="dxa"/>
            <w:noWrap/>
            <w:hideMark/>
          </w:tcPr>
          <w:p w14:paraId="7E53F16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0,67</w:t>
            </w:r>
          </w:p>
        </w:tc>
        <w:tc>
          <w:tcPr>
            <w:tcW w:w="693" w:type="dxa"/>
          </w:tcPr>
          <w:p w14:paraId="755FEBF4" w14:textId="264CF0EA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5D963D93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243210AB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Ca</w:t>
            </w:r>
          </w:p>
        </w:tc>
        <w:tc>
          <w:tcPr>
            <w:tcW w:w="1134" w:type="dxa"/>
            <w:noWrap/>
            <w:hideMark/>
          </w:tcPr>
          <w:p w14:paraId="2FB630C9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7B7A5F7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18000</w:t>
            </w:r>
          </w:p>
        </w:tc>
        <w:tc>
          <w:tcPr>
            <w:tcW w:w="1134" w:type="dxa"/>
            <w:noWrap/>
            <w:hideMark/>
          </w:tcPr>
          <w:p w14:paraId="20AE41C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43000</w:t>
            </w:r>
          </w:p>
        </w:tc>
        <w:tc>
          <w:tcPr>
            <w:tcW w:w="1005" w:type="dxa"/>
            <w:noWrap/>
            <w:hideMark/>
          </w:tcPr>
          <w:p w14:paraId="581D995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17000</w:t>
            </w:r>
          </w:p>
        </w:tc>
        <w:tc>
          <w:tcPr>
            <w:tcW w:w="993" w:type="dxa"/>
            <w:noWrap/>
            <w:hideMark/>
          </w:tcPr>
          <w:p w14:paraId="0290DE6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37000</w:t>
            </w:r>
          </w:p>
        </w:tc>
        <w:tc>
          <w:tcPr>
            <w:tcW w:w="693" w:type="dxa"/>
          </w:tcPr>
          <w:p w14:paraId="0AB1AF14" w14:textId="70C30664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1227BAAD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67C520C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K</w:t>
            </w:r>
          </w:p>
        </w:tc>
        <w:tc>
          <w:tcPr>
            <w:tcW w:w="1134" w:type="dxa"/>
            <w:noWrap/>
            <w:hideMark/>
          </w:tcPr>
          <w:p w14:paraId="10879B42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3D5BFD7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11000</w:t>
            </w:r>
          </w:p>
        </w:tc>
        <w:tc>
          <w:tcPr>
            <w:tcW w:w="1134" w:type="dxa"/>
            <w:noWrap/>
            <w:hideMark/>
          </w:tcPr>
          <w:p w14:paraId="0D173A1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37000</w:t>
            </w:r>
          </w:p>
        </w:tc>
        <w:tc>
          <w:tcPr>
            <w:tcW w:w="1005" w:type="dxa"/>
            <w:noWrap/>
            <w:hideMark/>
          </w:tcPr>
          <w:p w14:paraId="4F1D1E6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2300</w:t>
            </w:r>
          </w:p>
        </w:tc>
        <w:tc>
          <w:tcPr>
            <w:tcW w:w="993" w:type="dxa"/>
            <w:noWrap/>
            <w:hideMark/>
          </w:tcPr>
          <w:p w14:paraId="2B238A1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5200</w:t>
            </w:r>
          </w:p>
        </w:tc>
        <w:tc>
          <w:tcPr>
            <w:tcW w:w="693" w:type="dxa"/>
          </w:tcPr>
          <w:p w14:paraId="0D7665B0" w14:textId="04D922D1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29C05993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193138FF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Co</w:t>
            </w:r>
          </w:p>
        </w:tc>
        <w:tc>
          <w:tcPr>
            <w:tcW w:w="1134" w:type="dxa"/>
            <w:noWrap/>
            <w:hideMark/>
          </w:tcPr>
          <w:p w14:paraId="10644051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7104274F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4,8</w:t>
            </w:r>
          </w:p>
        </w:tc>
        <w:tc>
          <w:tcPr>
            <w:tcW w:w="1134" w:type="dxa"/>
            <w:noWrap/>
            <w:hideMark/>
          </w:tcPr>
          <w:p w14:paraId="4764F14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005" w:type="dxa"/>
            <w:noWrap/>
            <w:hideMark/>
          </w:tcPr>
          <w:p w14:paraId="0688A96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2,4</w:t>
            </w:r>
          </w:p>
        </w:tc>
        <w:tc>
          <w:tcPr>
            <w:tcW w:w="993" w:type="dxa"/>
            <w:noWrap/>
            <w:hideMark/>
          </w:tcPr>
          <w:p w14:paraId="43D6A26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4,2</w:t>
            </w:r>
          </w:p>
        </w:tc>
        <w:tc>
          <w:tcPr>
            <w:tcW w:w="693" w:type="dxa"/>
          </w:tcPr>
          <w:p w14:paraId="1C2099FE" w14:textId="1919626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21A27507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53392E0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Cu</w:t>
            </w:r>
          </w:p>
        </w:tc>
        <w:tc>
          <w:tcPr>
            <w:tcW w:w="1134" w:type="dxa"/>
            <w:noWrap/>
            <w:hideMark/>
          </w:tcPr>
          <w:p w14:paraId="53A6886C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36CC699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5AFB448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1005" w:type="dxa"/>
            <w:noWrap/>
            <w:hideMark/>
          </w:tcPr>
          <w:p w14:paraId="747FFEB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190</w:t>
            </w:r>
          </w:p>
        </w:tc>
        <w:tc>
          <w:tcPr>
            <w:tcW w:w="993" w:type="dxa"/>
            <w:noWrap/>
            <w:hideMark/>
          </w:tcPr>
          <w:p w14:paraId="6D5BF4B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360</w:t>
            </w:r>
          </w:p>
        </w:tc>
        <w:tc>
          <w:tcPr>
            <w:tcW w:w="693" w:type="dxa"/>
          </w:tcPr>
          <w:p w14:paraId="7BC7234F" w14:textId="7DE0BEEA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555078B4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7070539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242E">
              <w:rPr>
                <w:rFonts w:asciiTheme="majorBidi" w:hAnsiTheme="majorBidi" w:cstheme="majorBidi"/>
                <w:sz w:val="20"/>
                <w:szCs w:val="20"/>
              </w:rPr>
              <w:t>Cr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0440E6B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6DE9DFD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4,3</w:t>
            </w:r>
          </w:p>
        </w:tc>
        <w:tc>
          <w:tcPr>
            <w:tcW w:w="1134" w:type="dxa"/>
            <w:noWrap/>
            <w:hideMark/>
          </w:tcPr>
          <w:p w14:paraId="403CDAB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1005" w:type="dxa"/>
            <w:noWrap/>
            <w:hideMark/>
          </w:tcPr>
          <w:p w14:paraId="799FDE3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6,6</w:t>
            </w:r>
          </w:p>
        </w:tc>
        <w:tc>
          <w:tcPr>
            <w:tcW w:w="993" w:type="dxa"/>
            <w:noWrap/>
            <w:hideMark/>
          </w:tcPr>
          <w:p w14:paraId="051D039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693" w:type="dxa"/>
          </w:tcPr>
          <w:p w14:paraId="451F1AB5" w14:textId="32090B5F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67BFC5A3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0B33814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Mg</w:t>
            </w:r>
          </w:p>
        </w:tc>
        <w:tc>
          <w:tcPr>
            <w:tcW w:w="1134" w:type="dxa"/>
            <w:noWrap/>
            <w:hideMark/>
          </w:tcPr>
          <w:p w14:paraId="51F2A215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6440E90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1400</w:t>
            </w:r>
          </w:p>
        </w:tc>
        <w:tc>
          <w:tcPr>
            <w:tcW w:w="1134" w:type="dxa"/>
            <w:noWrap/>
            <w:hideMark/>
          </w:tcPr>
          <w:p w14:paraId="2939875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3900</w:t>
            </w:r>
          </w:p>
        </w:tc>
        <w:tc>
          <w:tcPr>
            <w:tcW w:w="1005" w:type="dxa"/>
            <w:noWrap/>
            <w:hideMark/>
          </w:tcPr>
          <w:p w14:paraId="1F0AED5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1600</w:t>
            </w:r>
          </w:p>
        </w:tc>
        <w:tc>
          <w:tcPr>
            <w:tcW w:w="993" w:type="dxa"/>
            <w:noWrap/>
            <w:hideMark/>
          </w:tcPr>
          <w:p w14:paraId="0140652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3400</w:t>
            </w:r>
          </w:p>
        </w:tc>
        <w:tc>
          <w:tcPr>
            <w:tcW w:w="693" w:type="dxa"/>
          </w:tcPr>
          <w:p w14:paraId="1E741E6C" w14:textId="200618CD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68D750F2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430DF09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242E">
              <w:rPr>
                <w:rFonts w:asciiTheme="majorBidi" w:hAnsiTheme="majorBidi" w:cstheme="majorBidi"/>
                <w:sz w:val="20"/>
                <w:szCs w:val="20"/>
              </w:rPr>
              <w:t>Mn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08D3C872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3FBD6CF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66</w:t>
            </w:r>
          </w:p>
        </w:tc>
        <w:tc>
          <w:tcPr>
            <w:tcW w:w="1134" w:type="dxa"/>
            <w:noWrap/>
            <w:hideMark/>
          </w:tcPr>
          <w:p w14:paraId="610B333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190</w:t>
            </w:r>
          </w:p>
        </w:tc>
        <w:tc>
          <w:tcPr>
            <w:tcW w:w="1005" w:type="dxa"/>
            <w:noWrap/>
            <w:hideMark/>
          </w:tcPr>
          <w:p w14:paraId="05B9019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160</w:t>
            </w:r>
          </w:p>
        </w:tc>
        <w:tc>
          <w:tcPr>
            <w:tcW w:w="993" w:type="dxa"/>
            <w:noWrap/>
            <w:hideMark/>
          </w:tcPr>
          <w:p w14:paraId="257E458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290</w:t>
            </w:r>
          </w:p>
        </w:tc>
        <w:tc>
          <w:tcPr>
            <w:tcW w:w="693" w:type="dxa"/>
          </w:tcPr>
          <w:p w14:paraId="783D75A6" w14:textId="24F2296C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49E97F86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274946A2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Mo</w:t>
            </w:r>
          </w:p>
        </w:tc>
        <w:tc>
          <w:tcPr>
            <w:tcW w:w="1134" w:type="dxa"/>
            <w:noWrap/>
            <w:hideMark/>
          </w:tcPr>
          <w:p w14:paraId="41276BD9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20614A1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1,1</w:t>
            </w:r>
          </w:p>
        </w:tc>
        <w:tc>
          <w:tcPr>
            <w:tcW w:w="1134" w:type="dxa"/>
            <w:noWrap/>
            <w:hideMark/>
          </w:tcPr>
          <w:p w14:paraId="4F64EBB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3,1</w:t>
            </w:r>
          </w:p>
        </w:tc>
        <w:tc>
          <w:tcPr>
            <w:tcW w:w="1005" w:type="dxa"/>
            <w:noWrap/>
            <w:hideMark/>
          </w:tcPr>
          <w:p w14:paraId="6DB29EC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3,7</w:t>
            </w:r>
          </w:p>
        </w:tc>
        <w:tc>
          <w:tcPr>
            <w:tcW w:w="993" w:type="dxa"/>
            <w:noWrap/>
            <w:hideMark/>
          </w:tcPr>
          <w:p w14:paraId="7881D19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6,9</w:t>
            </w:r>
          </w:p>
        </w:tc>
        <w:tc>
          <w:tcPr>
            <w:tcW w:w="693" w:type="dxa"/>
          </w:tcPr>
          <w:p w14:paraId="27538386" w14:textId="792BC981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5F117572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1DCE1B5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  <w:tc>
          <w:tcPr>
            <w:tcW w:w="1134" w:type="dxa"/>
            <w:noWrap/>
            <w:hideMark/>
          </w:tcPr>
          <w:p w14:paraId="06FB7C0D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78D2AEF9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7700</w:t>
            </w:r>
          </w:p>
        </w:tc>
        <w:tc>
          <w:tcPr>
            <w:tcW w:w="1134" w:type="dxa"/>
            <w:noWrap/>
            <w:hideMark/>
          </w:tcPr>
          <w:p w14:paraId="458F85C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29000</w:t>
            </w:r>
          </w:p>
        </w:tc>
        <w:tc>
          <w:tcPr>
            <w:tcW w:w="1005" w:type="dxa"/>
            <w:noWrap/>
            <w:hideMark/>
          </w:tcPr>
          <w:p w14:paraId="2E0B54B2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1200</w:t>
            </w:r>
          </w:p>
        </w:tc>
        <w:tc>
          <w:tcPr>
            <w:tcW w:w="993" w:type="dxa"/>
            <w:noWrap/>
            <w:hideMark/>
          </w:tcPr>
          <w:p w14:paraId="03BCF5C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2900</w:t>
            </w:r>
          </w:p>
        </w:tc>
        <w:tc>
          <w:tcPr>
            <w:tcW w:w="693" w:type="dxa"/>
          </w:tcPr>
          <w:p w14:paraId="032C8C5D" w14:textId="1FDE5FB0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559D013E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BD36FF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134" w:type="dxa"/>
            <w:noWrap/>
            <w:hideMark/>
          </w:tcPr>
          <w:p w14:paraId="397AD6CE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388F7DA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3,6</w:t>
            </w:r>
          </w:p>
        </w:tc>
        <w:tc>
          <w:tcPr>
            <w:tcW w:w="1134" w:type="dxa"/>
            <w:noWrap/>
            <w:hideMark/>
          </w:tcPr>
          <w:p w14:paraId="73D3F07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1005" w:type="dxa"/>
            <w:noWrap/>
            <w:hideMark/>
          </w:tcPr>
          <w:p w14:paraId="24BDEB8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993" w:type="dxa"/>
            <w:noWrap/>
            <w:hideMark/>
          </w:tcPr>
          <w:p w14:paraId="2501D7F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18</w:t>
            </w:r>
          </w:p>
        </w:tc>
        <w:tc>
          <w:tcPr>
            <w:tcW w:w="693" w:type="dxa"/>
          </w:tcPr>
          <w:p w14:paraId="52C7C9FE" w14:textId="3109A64D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4E461F18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03459DE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Se</w:t>
            </w:r>
          </w:p>
        </w:tc>
        <w:tc>
          <w:tcPr>
            <w:tcW w:w="1134" w:type="dxa"/>
            <w:noWrap/>
            <w:hideMark/>
          </w:tcPr>
          <w:p w14:paraId="20C7CD30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2C17603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1,1</w:t>
            </w:r>
          </w:p>
        </w:tc>
        <w:tc>
          <w:tcPr>
            <w:tcW w:w="1134" w:type="dxa"/>
            <w:noWrap/>
            <w:hideMark/>
          </w:tcPr>
          <w:p w14:paraId="17D3DEA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2,1</w:t>
            </w:r>
          </w:p>
        </w:tc>
        <w:tc>
          <w:tcPr>
            <w:tcW w:w="1005" w:type="dxa"/>
            <w:noWrap/>
            <w:hideMark/>
          </w:tcPr>
          <w:p w14:paraId="36125682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&lt;0,95</w:t>
            </w:r>
          </w:p>
        </w:tc>
        <w:tc>
          <w:tcPr>
            <w:tcW w:w="993" w:type="dxa"/>
            <w:noWrap/>
            <w:hideMark/>
          </w:tcPr>
          <w:p w14:paraId="788D93E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1,8</w:t>
            </w:r>
          </w:p>
        </w:tc>
        <w:tc>
          <w:tcPr>
            <w:tcW w:w="693" w:type="dxa"/>
          </w:tcPr>
          <w:p w14:paraId="6A6F636C" w14:textId="5A3D96C3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3A5DBBA8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7323B50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Ag</w:t>
            </w:r>
          </w:p>
        </w:tc>
        <w:tc>
          <w:tcPr>
            <w:tcW w:w="1134" w:type="dxa"/>
            <w:noWrap/>
            <w:hideMark/>
          </w:tcPr>
          <w:p w14:paraId="3BE4E187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56ACC7FE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1,1</w:t>
            </w:r>
          </w:p>
        </w:tc>
        <w:tc>
          <w:tcPr>
            <w:tcW w:w="1134" w:type="dxa"/>
            <w:noWrap/>
            <w:hideMark/>
          </w:tcPr>
          <w:p w14:paraId="3D812DD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0,98</w:t>
            </w:r>
          </w:p>
        </w:tc>
        <w:tc>
          <w:tcPr>
            <w:tcW w:w="1005" w:type="dxa"/>
            <w:noWrap/>
            <w:hideMark/>
          </w:tcPr>
          <w:p w14:paraId="1FC897C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&lt;0,95</w:t>
            </w:r>
          </w:p>
        </w:tc>
        <w:tc>
          <w:tcPr>
            <w:tcW w:w="993" w:type="dxa"/>
            <w:noWrap/>
            <w:hideMark/>
          </w:tcPr>
          <w:p w14:paraId="6D728A3F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1,1</w:t>
            </w:r>
          </w:p>
        </w:tc>
        <w:tc>
          <w:tcPr>
            <w:tcW w:w="693" w:type="dxa"/>
          </w:tcPr>
          <w:p w14:paraId="5E2E897F" w14:textId="07CD98ED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3EE577DA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8F4F2CD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S</w:t>
            </w:r>
          </w:p>
        </w:tc>
        <w:tc>
          <w:tcPr>
            <w:tcW w:w="1134" w:type="dxa"/>
            <w:noWrap/>
            <w:hideMark/>
          </w:tcPr>
          <w:p w14:paraId="281362FD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0AC94673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3600</w:t>
            </w:r>
          </w:p>
        </w:tc>
        <w:tc>
          <w:tcPr>
            <w:tcW w:w="1134" w:type="dxa"/>
            <w:noWrap/>
            <w:hideMark/>
          </w:tcPr>
          <w:p w14:paraId="66A068A4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11000</w:t>
            </w:r>
          </w:p>
        </w:tc>
        <w:tc>
          <w:tcPr>
            <w:tcW w:w="1005" w:type="dxa"/>
            <w:noWrap/>
            <w:hideMark/>
          </w:tcPr>
          <w:p w14:paraId="32DB44A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7700</w:t>
            </w:r>
          </w:p>
        </w:tc>
        <w:tc>
          <w:tcPr>
            <w:tcW w:w="993" w:type="dxa"/>
            <w:noWrap/>
            <w:hideMark/>
          </w:tcPr>
          <w:p w14:paraId="20E4A14B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14000</w:t>
            </w:r>
          </w:p>
        </w:tc>
        <w:tc>
          <w:tcPr>
            <w:tcW w:w="693" w:type="dxa"/>
          </w:tcPr>
          <w:p w14:paraId="7E0C74B0" w14:textId="757066A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1FF1B525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0433C00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Ti</w:t>
            </w:r>
          </w:p>
        </w:tc>
        <w:tc>
          <w:tcPr>
            <w:tcW w:w="1134" w:type="dxa"/>
            <w:noWrap/>
            <w:hideMark/>
          </w:tcPr>
          <w:p w14:paraId="505AEAF1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4AF3F8F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0CA203C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1005" w:type="dxa"/>
            <w:noWrap/>
            <w:hideMark/>
          </w:tcPr>
          <w:p w14:paraId="3E77B50C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140</w:t>
            </w:r>
          </w:p>
        </w:tc>
        <w:tc>
          <w:tcPr>
            <w:tcW w:w="993" w:type="dxa"/>
            <w:noWrap/>
            <w:hideMark/>
          </w:tcPr>
          <w:p w14:paraId="11695957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300</w:t>
            </w:r>
          </w:p>
        </w:tc>
        <w:tc>
          <w:tcPr>
            <w:tcW w:w="693" w:type="dxa"/>
          </w:tcPr>
          <w:p w14:paraId="11951921" w14:textId="741F1B76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7500B59E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16BF221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V</w:t>
            </w:r>
          </w:p>
        </w:tc>
        <w:tc>
          <w:tcPr>
            <w:tcW w:w="1134" w:type="dxa"/>
            <w:noWrap/>
            <w:hideMark/>
          </w:tcPr>
          <w:p w14:paraId="3D8B7112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297D9988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1,4</w:t>
            </w:r>
          </w:p>
        </w:tc>
        <w:tc>
          <w:tcPr>
            <w:tcW w:w="1134" w:type="dxa"/>
            <w:noWrap/>
            <w:hideMark/>
          </w:tcPr>
          <w:p w14:paraId="5277AFA7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4,4</w:t>
            </w:r>
          </w:p>
        </w:tc>
        <w:tc>
          <w:tcPr>
            <w:tcW w:w="1005" w:type="dxa"/>
            <w:noWrap/>
            <w:hideMark/>
          </w:tcPr>
          <w:p w14:paraId="549A6AD0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4,6</w:t>
            </w:r>
          </w:p>
        </w:tc>
        <w:tc>
          <w:tcPr>
            <w:tcW w:w="993" w:type="dxa"/>
            <w:noWrap/>
            <w:hideMark/>
          </w:tcPr>
          <w:p w14:paraId="4300A2E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693" w:type="dxa"/>
          </w:tcPr>
          <w:p w14:paraId="0A763CA1" w14:textId="686D7560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0C3AF27F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37445307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W</w:t>
            </w:r>
          </w:p>
        </w:tc>
        <w:tc>
          <w:tcPr>
            <w:tcW w:w="1134" w:type="dxa"/>
            <w:noWrap/>
            <w:hideMark/>
          </w:tcPr>
          <w:p w14:paraId="53320B48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41E7BDE5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 1,2</w:t>
            </w:r>
          </w:p>
        </w:tc>
        <w:tc>
          <w:tcPr>
            <w:tcW w:w="1134" w:type="dxa"/>
            <w:noWrap/>
            <w:hideMark/>
          </w:tcPr>
          <w:p w14:paraId="726CD3E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2,6</w:t>
            </w:r>
          </w:p>
        </w:tc>
        <w:tc>
          <w:tcPr>
            <w:tcW w:w="1005" w:type="dxa"/>
            <w:noWrap/>
            <w:hideMark/>
          </w:tcPr>
          <w:p w14:paraId="540948D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&lt;1,1</w:t>
            </w:r>
          </w:p>
        </w:tc>
        <w:tc>
          <w:tcPr>
            <w:tcW w:w="993" w:type="dxa"/>
            <w:noWrap/>
            <w:hideMark/>
          </w:tcPr>
          <w:p w14:paraId="033C1B61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1,2</w:t>
            </w:r>
          </w:p>
        </w:tc>
        <w:tc>
          <w:tcPr>
            <w:tcW w:w="693" w:type="dxa"/>
          </w:tcPr>
          <w:p w14:paraId="33F2FF5A" w14:textId="4A3CD94A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  <w:tr w:rsidR="00511AE7" w:rsidRPr="00C0242E" w14:paraId="4AFE49FB" w14:textId="77777777" w:rsidTr="00511AE7">
        <w:trPr>
          <w:trHeight w:val="315"/>
          <w:jc w:val="center"/>
        </w:trPr>
        <w:tc>
          <w:tcPr>
            <w:tcW w:w="1440" w:type="dxa"/>
            <w:hideMark/>
          </w:tcPr>
          <w:p w14:paraId="4C75B19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0242E">
              <w:rPr>
                <w:rFonts w:asciiTheme="majorBidi" w:hAnsiTheme="majorBidi" w:cstheme="majorBidi"/>
                <w:sz w:val="20"/>
                <w:szCs w:val="20"/>
              </w:rPr>
              <w:t>Zn</w:t>
            </w:r>
            <w:proofErr w:type="spellEnd"/>
          </w:p>
        </w:tc>
        <w:tc>
          <w:tcPr>
            <w:tcW w:w="1134" w:type="dxa"/>
            <w:noWrap/>
            <w:hideMark/>
          </w:tcPr>
          <w:p w14:paraId="5A2B3503" w14:textId="77777777" w:rsidR="005D4836" w:rsidRDefault="005D4836" w:rsidP="00744887">
            <w:r w:rsidRPr="000361C3">
              <w:rPr>
                <w:rFonts w:asciiTheme="majorBidi" w:hAnsiTheme="majorBidi" w:cstheme="majorBidi"/>
                <w:sz w:val="20"/>
                <w:szCs w:val="20"/>
              </w:rPr>
              <w:t>mg kg</w:t>
            </w:r>
            <w:r w:rsidRPr="000361C3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0361C3">
              <w:rPr>
                <w:rFonts w:asciiTheme="majorBidi" w:hAnsiTheme="majorBidi" w:cstheme="majorBidi"/>
                <w:sz w:val="20"/>
                <w:szCs w:val="20"/>
              </w:rPr>
              <w:t xml:space="preserve"> TS</w:t>
            </w:r>
          </w:p>
        </w:tc>
        <w:tc>
          <w:tcPr>
            <w:tcW w:w="1005" w:type="dxa"/>
            <w:noWrap/>
            <w:hideMark/>
          </w:tcPr>
          <w:p w14:paraId="469DACA6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71</w:t>
            </w:r>
          </w:p>
        </w:tc>
        <w:tc>
          <w:tcPr>
            <w:tcW w:w="1134" w:type="dxa"/>
            <w:noWrap/>
            <w:hideMark/>
          </w:tcPr>
          <w:p w14:paraId="29F5401C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230</w:t>
            </w:r>
          </w:p>
        </w:tc>
        <w:tc>
          <w:tcPr>
            <w:tcW w:w="1005" w:type="dxa"/>
            <w:noWrap/>
            <w:hideMark/>
          </w:tcPr>
          <w:p w14:paraId="40A949EA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340</w:t>
            </w:r>
          </w:p>
        </w:tc>
        <w:tc>
          <w:tcPr>
            <w:tcW w:w="993" w:type="dxa"/>
            <w:noWrap/>
            <w:hideMark/>
          </w:tcPr>
          <w:p w14:paraId="39856462" w14:textId="77777777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242E">
              <w:rPr>
                <w:rFonts w:asciiTheme="majorBidi" w:hAnsiTheme="majorBidi" w:cstheme="majorBidi"/>
                <w:sz w:val="20"/>
                <w:szCs w:val="20"/>
              </w:rPr>
              <w:t>660</w:t>
            </w:r>
          </w:p>
        </w:tc>
        <w:tc>
          <w:tcPr>
            <w:tcW w:w="693" w:type="dxa"/>
          </w:tcPr>
          <w:p w14:paraId="4D68DD4A" w14:textId="1B68B790" w:rsidR="005D4836" w:rsidRPr="00C0242E" w:rsidRDefault="005D4836" w:rsidP="00744887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±</w:t>
            </w:r>
            <w:r w:rsidRPr="00C0242E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</w:tr>
    </w:tbl>
    <w:p w14:paraId="59806A1F" w14:textId="77777777" w:rsidR="005D4836" w:rsidRPr="005D4836" w:rsidRDefault="005D4836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1950BB04" w14:textId="4891AFDF" w:rsidR="008D52A3" w:rsidRDefault="003367F5" w:rsidP="003367F5">
      <w:pPr>
        <w:spacing w:line="480" w:lineRule="auto"/>
        <w:jc w:val="center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  <w:r w:rsidRPr="003367F5">
        <w:rPr>
          <w:noProof/>
          <w:lang w:eastAsia="sv-SE"/>
        </w:rPr>
        <w:lastRenderedPageBreak/>
        <w:drawing>
          <wp:inline distT="0" distB="0" distL="0" distR="0" wp14:anchorId="1814E3D8" wp14:editId="7475832C">
            <wp:extent cx="4095238" cy="3057143"/>
            <wp:effectExtent l="0" t="0" r="63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238" cy="3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4F8F" w14:textId="482BD1C1" w:rsidR="008D52A3" w:rsidRDefault="008D52A3" w:rsidP="00FF08A6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8C2CD6">
        <w:rPr>
          <w:rFonts w:asciiTheme="majorBidi" w:hAnsiTheme="majorBidi" w:cstheme="majorBidi"/>
          <w:b/>
          <w:bCs/>
          <w:noProof/>
          <w:sz w:val="24"/>
          <w:szCs w:val="24"/>
          <w:lang w:val="en-US" w:eastAsia="sv-SE"/>
        </w:rPr>
        <w:t>Fig. S1.</w:t>
      </w:r>
      <w:r w:rsidRPr="003A1575">
        <w:rPr>
          <w:rFonts w:asciiTheme="majorBidi" w:hAnsiTheme="majorBidi" w:cstheme="majorBidi"/>
          <w:noProof/>
          <w:sz w:val="24"/>
          <w:szCs w:val="24"/>
          <w:lang w:val="en-US" w:eastAsia="sv-SE"/>
        </w:rPr>
        <w:t xml:space="preserve"> </w:t>
      </w:r>
      <w:r w:rsidR="00FF08A6">
        <w:rPr>
          <w:rFonts w:asciiTheme="majorBidi" w:hAnsiTheme="majorBidi" w:cstheme="majorBidi"/>
          <w:noProof/>
          <w:sz w:val="24"/>
          <w:szCs w:val="24"/>
          <w:lang w:val="en-US" w:eastAsia="sv-SE"/>
        </w:rPr>
        <w:t>S</w:t>
      </w:r>
      <w:proofErr w:type="spellStart"/>
      <w:r w:rsidR="00FF08A6">
        <w:rPr>
          <w:rFonts w:asciiTheme="majorBidi" w:hAnsiTheme="majorBidi" w:cstheme="majorBidi"/>
          <w:sz w:val="24"/>
          <w:szCs w:val="24"/>
          <w:lang w:val="en-US"/>
        </w:rPr>
        <w:t>chematic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picture of the </w:t>
      </w:r>
      <w:r w:rsidR="00FF08A6">
        <w:rPr>
          <w:rFonts w:asciiTheme="majorBidi" w:hAnsiTheme="majorBidi" w:cstheme="majorBidi"/>
          <w:sz w:val="24"/>
          <w:szCs w:val="24"/>
          <w:lang w:val="en-US"/>
        </w:rPr>
        <w:t>sample pretreatment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set up</w:t>
      </w:r>
      <w:r w:rsidR="007A5D8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AB0093F" w14:textId="048D1E61" w:rsidR="008D52A3" w:rsidRDefault="008D52A3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7E5FB017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37F36C60" w14:textId="38634B82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109168D5" w14:textId="0016D872" w:rsidR="0004070B" w:rsidRDefault="0004070B" w:rsidP="009A22A6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356F7192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0F64BEBD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26F62431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4BD722DF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1761B243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1A006160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1BA459B9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40192178" w14:textId="6E42516A" w:rsidR="003E3D3A" w:rsidRDefault="009727E3" w:rsidP="009727E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727E3">
        <w:rPr>
          <w:noProof/>
          <w:lang w:eastAsia="sv-SE"/>
        </w:rPr>
        <w:lastRenderedPageBreak/>
        <w:drawing>
          <wp:inline distT="0" distB="0" distL="0" distR="0" wp14:anchorId="013A37E3" wp14:editId="41FBA155">
            <wp:extent cx="5731510" cy="2065655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011A" w14:textId="1F25D07D" w:rsidR="008C2CD6" w:rsidRDefault="008C2CD6" w:rsidP="00B30B40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2CD6">
        <w:rPr>
          <w:rFonts w:asciiTheme="majorBidi" w:hAnsiTheme="majorBidi" w:cstheme="majorBidi"/>
          <w:b/>
          <w:bCs/>
          <w:sz w:val="24"/>
          <w:szCs w:val="24"/>
          <w:lang w:val="en-US"/>
        </w:rPr>
        <w:t>Fig. S2.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C2CD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0D231A">
        <w:rPr>
          <w:rFonts w:asciiTheme="majorBidi" w:hAnsiTheme="majorBidi" w:cstheme="majorBidi"/>
          <w:sz w:val="24"/>
          <w:szCs w:val="24"/>
          <w:lang w:val="en-US"/>
        </w:rPr>
        <w:t>H,</w:t>
      </w:r>
      <w:r w:rsidRPr="008C2CD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C 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HSQC NMR spectra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SSD </w:t>
      </w:r>
      <w:proofErr w:type="spellStart"/>
      <w:r w:rsidRPr="0004070B">
        <w:rPr>
          <w:rFonts w:asciiTheme="majorBidi" w:hAnsiTheme="majorBidi" w:cstheme="majorBidi"/>
          <w:sz w:val="24"/>
          <w:szCs w:val="24"/>
          <w:lang w:val="en-US"/>
        </w:rPr>
        <w:t>digestate</w:t>
      </w:r>
      <w:proofErr w:type="spellEnd"/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samples pretreated with 1</w:t>
      </w:r>
      <w:r w:rsidR="00232EC1">
        <w:rPr>
          <w:rFonts w:asciiTheme="majorBidi" w:hAnsiTheme="majorBidi" w:cstheme="majorBidi"/>
          <w:sz w:val="24"/>
          <w:szCs w:val="24"/>
          <w:lang w:val="en-US"/>
        </w:rPr>
        <w:t>.0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en-US"/>
        </w:rPr>
        <w:t>a), 2</w:t>
      </w:r>
      <w:r w:rsidR="00232EC1">
        <w:rPr>
          <w:rFonts w:asciiTheme="majorBidi" w:hAnsiTheme="majorBidi" w:cstheme="majorBidi"/>
          <w:sz w:val="24"/>
          <w:szCs w:val="24"/>
          <w:lang w:val="en-US"/>
        </w:rPr>
        <w:t>.0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>), and 3</w:t>
      </w:r>
      <w:r w:rsidR="00232EC1">
        <w:rPr>
          <w:rFonts w:asciiTheme="majorBidi" w:hAnsiTheme="majorBidi" w:cstheme="majorBidi"/>
          <w:sz w:val="24"/>
          <w:szCs w:val="24"/>
          <w:lang w:val="en-US"/>
        </w:rPr>
        <w:t>.0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32EC1" w:rsidRPr="0004070B">
        <w:rPr>
          <w:rFonts w:asciiTheme="majorBidi" w:hAnsiTheme="majorBidi" w:cstheme="majorBidi"/>
          <w:sz w:val="24"/>
          <w:szCs w:val="24"/>
          <w:lang w:val="en-US"/>
        </w:rPr>
        <w:t xml:space="preserve">(e)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Pr="008C2CD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4070B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. Green and black lines indicate the spectra from duplicate </w:t>
      </w:r>
      <w:r>
        <w:rPr>
          <w:rFonts w:asciiTheme="majorBidi" w:hAnsiTheme="majorBidi" w:cstheme="majorBidi"/>
          <w:sz w:val="24"/>
          <w:szCs w:val="24"/>
          <w:lang w:val="en-US"/>
        </w:rPr>
        <w:t>sample pre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>treatments.</w:t>
      </w:r>
      <w:bookmarkStart w:id="0" w:name="_GoBack"/>
      <w:bookmarkEnd w:id="0"/>
    </w:p>
    <w:p w14:paraId="0B12CA61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6AEA993E" w14:textId="77777777" w:rsidR="0004070B" w:rsidRDefault="0004070B" w:rsidP="0004070B">
      <w:pPr>
        <w:spacing w:line="480" w:lineRule="auto"/>
        <w:rPr>
          <w:rFonts w:asciiTheme="majorBidi" w:hAnsiTheme="majorBidi" w:cstheme="majorBidi"/>
          <w:noProof/>
          <w:sz w:val="24"/>
          <w:szCs w:val="24"/>
          <w:lang w:val="en-US" w:eastAsia="sv-SE"/>
        </w:rPr>
      </w:pPr>
    </w:p>
    <w:p w14:paraId="2CD64E3F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3484830E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AA48474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747A4435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1979EF1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00B9366E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C69DA3F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3E69D3E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212B5095" w14:textId="77777777" w:rsidR="0004070B" w:rsidRDefault="0004070B" w:rsidP="0004070B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15BF1DAD" w14:textId="41CF0840" w:rsidR="0004070B" w:rsidRPr="004F1B46" w:rsidRDefault="00060F1D" w:rsidP="00060F1D">
      <w:pPr>
        <w:spacing w:line="480" w:lineRule="auto"/>
        <w:jc w:val="center"/>
        <w:rPr>
          <w:lang w:val="en-US"/>
        </w:rPr>
      </w:pPr>
      <w:r w:rsidRPr="00060F1D">
        <w:rPr>
          <w:noProof/>
          <w:lang w:eastAsia="sv-SE"/>
        </w:rPr>
        <w:lastRenderedPageBreak/>
        <w:drawing>
          <wp:inline distT="0" distB="0" distL="0" distR="0" wp14:anchorId="3E7C538B" wp14:editId="17930A2C">
            <wp:extent cx="5731510" cy="2146935"/>
            <wp:effectExtent l="0" t="0" r="2540" b="571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05B8" w14:textId="6800AE1F" w:rsidR="00B06A18" w:rsidRDefault="008759D7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759D7">
        <w:rPr>
          <w:rFonts w:asciiTheme="majorBidi" w:hAnsiTheme="majorBidi" w:cstheme="majorBidi"/>
          <w:b/>
          <w:bCs/>
          <w:sz w:val="24"/>
          <w:szCs w:val="24"/>
          <w:lang w:val="en-US"/>
        </w:rPr>
        <w:t>Fig.</w:t>
      </w:r>
      <w:r w:rsidR="00AD7809" w:rsidRPr="008759D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16A4B" w:rsidRPr="008759D7">
        <w:rPr>
          <w:rFonts w:asciiTheme="majorBidi" w:hAnsiTheme="majorBidi" w:cstheme="majorBidi"/>
          <w:b/>
          <w:bCs/>
          <w:sz w:val="24"/>
          <w:szCs w:val="24"/>
          <w:lang w:val="en-US"/>
        </w:rPr>
        <w:t>S3</w:t>
      </w:r>
      <w:r w:rsidR="00AD7809" w:rsidRPr="008759D7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="00AD7809" w:rsidRPr="00516A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>a) 20 mg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 xml:space="preserve">pretreated 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>microcrystalline cellulose powder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 xml:space="preserve">s </w:t>
      </w:r>
      <w:proofErr w:type="gramStart"/>
      <w:r w:rsidR="009727E3">
        <w:rPr>
          <w:rFonts w:asciiTheme="majorBidi" w:hAnsiTheme="majorBidi" w:cstheme="majorBidi"/>
          <w:sz w:val="24"/>
          <w:szCs w:val="24"/>
          <w:lang w:val="en-US"/>
        </w:rPr>
        <w:t>were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 xml:space="preserve"> dissolved</w:t>
      </w:r>
      <w:proofErr w:type="gramEnd"/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 xml:space="preserve"> completely in 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 xml:space="preserve">0.6 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>ml DMSO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>-d</w:t>
      </w:r>
      <w:r w:rsidR="009727E3" w:rsidRPr="00CF74D9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6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 xml:space="preserve"> tube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 xml:space="preserve"> on the left hand side of the picture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>), while untreated microcrystalline cellulose did not dissolve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 xml:space="preserve"> (the tube on the right</w:t>
      </w:r>
      <w:r w:rsidR="009727E3" w:rsidRPr="008759D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>hand side of the picture)</w:t>
      </w:r>
      <w:r w:rsidR="009727E3" w:rsidRPr="00516A4B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60F1D">
        <w:rPr>
          <w:rFonts w:asciiTheme="majorBidi" w:hAnsiTheme="majorBidi" w:cstheme="majorBidi"/>
          <w:sz w:val="24"/>
          <w:szCs w:val="24"/>
          <w:lang w:val="en-US"/>
        </w:rPr>
        <w:t xml:space="preserve">It was not possible to acquire a meaningful NMR spectrum from untreated cellulose powder. </w:t>
      </w:r>
      <w:r w:rsidR="005620E1" w:rsidRPr="005620E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="000D231A">
        <w:rPr>
          <w:rFonts w:asciiTheme="majorBidi" w:hAnsiTheme="majorBidi" w:cstheme="majorBidi"/>
          <w:sz w:val="24"/>
          <w:szCs w:val="24"/>
          <w:lang w:val="en-US"/>
        </w:rPr>
        <w:t>H</w:t>
      </w:r>
      <w:proofErr w:type="gramStart"/>
      <w:r w:rsidR="000D231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620E1" w:rsidRPr="005620E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>
        <w:rPr>
          <w:rFonts w:asciiTheme="majorBidi" w:hAnsiTheme="majorBidi" w:cstheme="majorBidi"/>
          <w:sz w:val="24"/>
          <w:szCs w:val="24"/>
          <w:lang w:val="en-US"/>
        </w:rPr>
        <w:t>C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HSQC spectra acquired from </w:t>
      </w:r>
      <w:r w:rsidR="005620E1" w:rsidRPr="00516A4B">
        <w:rPr>
          <w:rFonts w:asciiTheme="majorBidi" w:hAnsiTheme="majorBidi" w:cstheme="majorBidi"/>
          <w:sz w:val="24"/>
          <w:szCs w:val="24"/>
          <w:lang w:val="en-US"/>
        </w:rPr>
        <w:t>mi</w:t>
      </w:r>
      <w:r w:rsidR="005620E1">
        <w:rPr>
          <w:rFonts w:asciiTheme="majorBidi" w:hAnsiTheme="majorBidi" w:cstheme="majorBidi"/>
          <w:sz w:val="24"/>
          <w:szCs w:val="24"/>
          <w:lang w:val="en-US"/>
        </w:rPr>
        <w:t>crocrystalline cellulose powder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and CD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digestate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samples</w:t>
      </w:r>
      <w:r w:rsidR="00756B7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9727E3">
        <w:rPr>
          <w:rFonts w:asciiTheme="majorBidi" w:hAnsiTheme="majorBidi" w:cstheme="majorBidi"/>
          <w:sz w:val="24"/>
          <w:szCs w:val="24"/>
          <w:lang w:val="en-US"/>
        </w:rPr>
        <w:t>c</w:t>
      </w:r>
      <w:r w:rsidR="00756B7F">
        <w:rPr>
          <w:rFonts w:asciiTheme="majorBidi" w:hAnsiTheme="majorBidi" w:cstheme="majorBidi"/>
          <w:sz w:val="24"/>
          <w:szCs w:val="24"/>
          <w:lang w:val="en-US"/>
        </w:rPr>
        <w:t>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pretreated with </w:t>
      </w:r>
      <w:r w:rsidRPr="00516A4B">
        <w:rPr>
          <w:rFonts w:asciiTheme="majorBidi" w:hAnsiTheme="majorBidi" w:cstheme="majorBidi"/>
          <w:sz w:val="24"/>
          <w:szCs w:val="24"/>
          <w:lang w:val="en-US"/>
        </w:rPr>
        <w:t xml:space="preserve">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Pr="005620E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516A4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16A4B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="005620E1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7D24C1D6" w14:textId="062D2223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C8341B4" w14:textId="227C5795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738A3A8" w14:textId="72EB242B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1D7720B" w14:textId="013EE38C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4AC1347" w14:textId="386C6515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16EB736" w14:textId="7F77719F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44EED41" w14:textId="02F0A046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4413FBF" w14:textId="36376392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5F3B913" w14:textId="720FC9FE" w:rsidR="00C87A29" w:rsidRDefault="00C87A29" w:rsidP="00060F1D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2C50909" w14:textId="585DE1B6" w:rsidR="00C87A29" w:rsidRDefault="002A3DED" w:rsidP="002A3DED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2A3DED">
        <w:rPr>
          <w:noProof/>
          <w:lang w:eastAsia="sv-SE"/>
        </w:rPr>
        <w:lastRenderedPageBreak/>
        <w:drawing>
          <wp:inline distT="0" distB="0" distL="0" distR="0" wp14:anchorId="24A8F35D" wp14:editId="0E26C882">
            <wp:extent cx="3180522" cy="3240815"/>
            <wp:effectExtent l="0" t="0" r="127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5336" cy="32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560F" w14:textId="2B3FAEDA" w:rsidR="00C87A29" w:rsidRPr="00E47CFC" w:rsidRDefault="00C87A29" w:rsidP="00E47CFC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A3DED">
        <w:rPr>
          <w:rFonts w:asciiTheme="majorBidi" w:hAnsiTheme="majorBidi" w:cstheme="majorBidi"/>
          <w:b/>
          <w:bCs/>
          <w:sz w:val="24"/>
          <w:szCs w:val="24"/>
          <w:lang w:val="en-US"/>
        </w:rPr>
        <w:t>Fig. S4.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C2CD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>H,</w:t>
      </w:r>
      <w:r w:rsidRPr="008C2CD6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13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C 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HSQC NMR spectra of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CD substrate (green) and CD </w:t>
      </w:r>
      <w:proofErr w:type="spellStart"/>
      <w:r w:rsidRPr="0004070B">
        <w:rPr>
          <w:rFonts w:asciiTheme="majorBidi" w:hAnsiTheme="majorBidi" w:cstheme="majorBidi"/>
          <w:sz w:val="24"/>
          <w:szCs w:val="24"/>
          <w:lang w:val="en-US"/>
        </w:rPr>
        <w:t>digestate</w:t>
      </w:r>
      <w:proofErr w:type="spellEnd"/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(black) samples both pretreated with 2.0</w:t>
      </w:r>
      <w:r w:rsidRPr="000407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A3DED">
        <w:rPr>
          <w:rFonts w:asciiTheme="majorBidi" w:hAnsiTheme="majorBidi" w:cstheme="majorBidi"/>
          <w:sz w:val="24"/>
          <w:szCs w:val="24"/>
          <w:lang w:val="en-US"/>
        </w:rPr>
        <w:t>mol</w:t>
      </w:r>
      <w:proofErr w:type="spellEnd"/>
      <w:r w:rsidRPr="002A3DED"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r w:rsidRPr="002A3DED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-1</w:t>
      </w:r>
      <w:r w:rsidRPr="002A3DE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A3DED">
        <w:rPr>
          <w:rFonts w:asciiTheme="majorBidi" w:hAnsiTheme="majorBidi" w:cstheme="majorBidi"/>
          <w:sz w:val="24"/>
          <w:szCs w:val="24"/>
          <w:lang w:val="en-US"/>
        </w:rPr>
        <w:t>HCl</w:t>
      </w:r>
      <w:proofErr w:type="spellEnd"/>
      <w:r w:rsidRPr="002A3DED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2A3DED" w:rsidRPr="002A3DED">
        <w:rPr>
          <w:rFonts w:asciiTheme="majorBidi" w:hAnsiTheme="majorBidi" w:cstheme="majorBidi"/>
          <w:lang w:val="en-US"/>
        </w:rPr>
        <w:t xml:space="preserve"> D</w:t>
      </w:r>
      <w:r w:rsidR="002A3DED" w:rsidRPr="002A3DED">
        <w:rPr>
          <w:rFonts w:asciiTheme="majorBidi" w:hAnsiTheme="majorBidi" w:cstheme="majorBidi"/>
          <w:sz w:val="24"/>
          <w:szCs w:val="24"/>
          <w:lang w:val="en-US"/>
        </w:rPr>
        <w:t xml:space="preserve">ifferences between NMR spectral patterns of pretreated </w:t>
      </w:r>
      <w:proofErr w:type="spellStart"/>
      <w:r w:rsidR="002A3DED" w:rsidRPr="002A3DED">
        <w:rPr>
          <w:rFonts w:asciiTheme="majorBidi" w:hAnsiTheme="majorBidi" w:cstheme="majorBidi"/>
          <w:sz w:val="24"/>
          <w:szCs w:val="24"/>
          <w:lang w:val="en-US"/>
        </w:rPr>
        <w:t>digestate</w:t>
      </w:r>
      <w:proofErr w:type="spellEnd"/>
      <w:r w:rsidR="002A3DED" w:rsidRPr="002A3DED">
        <w:rPr>
          <w:rFonts w:asciiTheme="majorBidi" w:hAnsiTheme="majorBidi" w:cstheme="majorBidi"/>
          <w:sz w:val="24"/>
          <w:szCs w:val="24"/>
          <w:lang w:val="en-US"/>
        </w:rPr>
        <w:t xml:space="preserve"> and substrate samples were </w:t>
      </w:r>
      <w:r w:rsidR="002A3DED" w:rsidRPr="00E47CFC">
        <w:rPr>
          <w:rFonts w:asciiTheme="majorBidi" w:hAnsiTheme="majorBidi" w:cstheme="majorBidi"/>
          <w:sz w:val="24"/>
          <w:szCs w:val="24"/>
          <w:lang w:val="en-US"/>
        </w:rPr>
        <w:t>discerned within the regions related to resonances of OCH and O</w:t>
      </w:r>
      <w:r w:rsidR="002A3DED" w:rsidRPr="00E47C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2A3DED" w:rsidRPr="00E47CFC">
        <w:rPr>
          <w:rFonts w:asciiTheme="majorBidi" w:hAnsiTheme="majorBidi" w:cstheme="majorBidi"/>
          <w:sz w:val="24"/>
          <w:szCs w:val="24"/>
          <w:lang w:val="en-US"/>
        </w:rPr>
        <w:t xml:space="preserve">CH in carbohydrates, </w:t>
      </w:r>
      <w:proofErr w:type="spellStart"/>
      <w:r w:rsidR="002A3DED" w:rsidRPr="00E47CFC">
        <w:rPr>
          <w:rFonts w:asciiTheme="majorBidi" w:hAnsiTheme="majorBidi" w:cstheme="majorBidi"/>
          <w:sz w:val="24"/>
          <w:szCs w:val="24"/>
          <w:lang w:val="en-US"/>
        </w:rPr>
        <w:t>olefinic</w:t>
      </w:r>
      <w:proofErr w:type="spellEnd"/>
      <w:r w:rsidR="002A3DED" w:rsidRPr="00E47CFC">
        <w:rPr>
          <w:rFonts w:asciiTheme="majorBidi" w:hAnsiTheme="majorBidi" w:cstheme="majorBidi"/>
          <w:sz w:val="24"/>
          <w:szCs w:val="24"/>
          <w:lang w:val="en-US"/>
        </w:rPr>
        <w:t xml:space="preserve"> CH, and aliphatic CH</w:t>
      </w:r>
      <w:r w:rsidR="002A3DED" w:rsidRPr="00E47CF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="002A3DED" w:rsidRPr="00E47CFC">
        <w:rPr>
          <w:rFonts w:asciiTheme="majorBidi" w:hAnsiTheme="majorBidi" w:cstheme="majorBidi"/>
          <w:sz w:val="24"/>
          <w:szCs w:val="24"/>
          <w:lang w:val="en-US"/>
        </w:rPr>
        <w:t xml:space="preserve"> (in proteins and lipids). </w:t>
      </w:r>
      <w:r w:rsidR="00E47CFC" w:rsidRPr="00E47CFC">
        <w:rPr>
          <w:rFonts w:asciiTheme="majorBidi" w:hAnsiTheme="majorBidi" w:cstheme="majorBidi"/>
          <w:sz w:val="24"/>
          <w:szCs w:val="24"/>
          <w:lang w:val="en-US"/>
        </w:rPr>
        <w:t xml:space="preserve">Resonances marked in the figure appeared with </w:t>
      </w:r>
      <w:r w:rsidR="00CD557C">
        <w:rPr>
          <w:rFonts w:asciiTheme="majorBidi" w:hAnsiTheme="majorBidi" w:cstheme="majorBidi"/>
          <w:sz w:val="24"/>
          <w:szCs w:val="24"/>
          <w:lang w:val="en-US"/>
        </w:rPr>
        <w:t xml:space="preserve">substantially </w:t>
      </w:r>
      <w:r w:rsidR="00E47CFC" w:rsidRPr="00E47CFC">
        <w:rPr>
          <w:rFonts w:asciiTheme="majorBidi" w:hAnsiTheme="majorBidi" w:cstheme="majorBidi"/>
          <w:sz w:val="24"/>
          <w:szCs w:val="24"/>
          <w:lang w:val="en-US"/>
        </w:rPr>
        <w:t xml:space="preserve">lower intensities or were entirely absent in spectra of </w:t>
      </w:r>
      <w:proofErr w:type="spellStart"/>
      <w:r w:rsidR="00E47CFC" w:rsidRPr="00E47CFC">
        <w:rPr>
          <w:rFonts w:asciiTheme="majorBidi" w:hAnsiTheme="majorBidi" w:cstheme="majorBidi"/>
          <w:sz w:val="24"/>
          <w:szCs w:val="24"/>
          <w:lang w:val="en-US"/>
        </w:rPr>
        <w:t>digestate</w:t>
      </w:r>
      <w:proofErr w:type="spellEnd"/>
      <w:r w:rsidR="00E47CFC" w:rsidRPr="00E47CFC">
        <w:rPr>
          <w:rFonts w:asciiTheme="majorBidi" w:hAnsiTheme="majorBidi" w:cstheme="majorBidi"/>
          <w:sz w:val="24"/>
          <w:szCs w:val="24"/>
          <w:lang w:val="en-US"/>
        </w:rPr>
        <w:t xml:space="preserve"> samples as compared to spectra of substrate samples. </w:t>
      </w:r>
    </w:p>
    <w:sectPr w:rsidR="00C87A29" w:rsidRPr="00E4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72"/>
    <w:rsid w:val="0004070B"/>
    <w:rsid w:val="00060F1D"/>
    <w:rsid w:val="00062424"/>
    <w:rsid w:val="0007421E"/>
    <w:rsid w:val="000920FF"/>
    <w:rsid w:val="000A7AED"/>
    <w:rsid w:val="000B6DBC"/>
    <w:rsid w:val="000D231A"/>
    <w:rsid w:val="000D2612"/>
    <w:rsid w:val="000E43CC"/>
    <w:rsid w:val="000E4C2D"/>
    <w:rsid w:val="0015784D"/>
    <w:rsid w:val="001644B2"/>
    <w:rsid w:val="0018468A"/>
    <w:rsid w:val="001A11D6"/>
    <w:rsid w:val="001D49A2"/>
    <w:rsid w:val="00232EC1"/>
    <w:rsid w:val="002A3DED"/>
    <w:rsid w:val="00306544"/>
    <w:rsid w:val="00324CAE"/>
    <w:rsid w:val="0032780A"/>
    <w:rsid w:val="00334EA2"/>
    <w:rsid w:val="003367F5"/>
    <w:rsid w:val="00381F00"/>
    <w:rsid w:val="003A17BC"/>
    <w:rsid w:val="003D3F72"/>
    <w:rsid w:val="003E3D3A"/>
    <w:rsid w:val="0041060D"/>
    <w:rsid w:val="00415D3E"/>
    <w:rsid w:val="00445D7D"/>
    <w:rsid w:val="0047017D"/>
    <w:rsid w:val="00486914"/>
    <w:rsid w:val="004A3811"/>
    <w:rsid w:val="004D5BF6"/>
    <w:rsid w:val="004F1B46"/>
    <w:rsid w:val="00511AE7"/>
    <w:rsid w:val="00516A4B"/>
    <w:rsid w:val="00545A23"/>
    <w:rsid w:val="005620E1"/>
    <w:rsid w:val="005D4836"/>
    <w:rsid w:val="006133E4"/>
    <w:rsid w:val="00626040"/>
    <w:rsid w:val="00651B42"/>
    <w:rsid w:val="006B7671"/>
    <w:rsid w:val="006D311B"/>
    <w:rsid w:val="00725D5E"/>
    <w:rsid w:val="00733657"/>
    <w:rsid w:val="00756B7F"/>
    <w:rsid w:val="00762EB9"/>
    <w:rsid w:val="00763ACB"/>
    <w:rsid w:val="007A5D85"/>
    <w:rsid w:val="007A7F18"/>
    <w:rsid w:val="00823C72"/>
    <w:rsid w:val="00847BE9"/>
    <w:rsid w:val="00861A3F"/>
    <w:rsid w:val="008759D7"/>
    <w:rsid w:val="008C2CD6"/>
    <w:rsid w:val="008D52A3"/>
    <w:rsid w:val="008F5F75"/>
    <w:rsid w:val="00915AD3"/>
    <w:rsid w:val="009228A2"/>
    <w:rsid w:val="0092465F"/>
    <w:rsid w:val="0094604D"/>
    <w:rsid w:val="00947FC4"/>
    <w:rsid w:val="00964028"/>
    <w:rsid w:val="009727E3"/>
    <w:rsid w:val="009A22A6"/>
    <w:rsid w:val="009A4273"/>
    <w:rsid w:val="009D5D28"/>
    <w:rsid w:val="00A351D0"/>
    <w:rsid w:val="00A8704D"/>
    <w:rsid w:val="00AB125C"/>
    <w:rsid w:val="00AD7809"/>
    <w:rsid w:val="00AF5255"/>
    <w:rsid w:val="00B06A18"/>
    <w:rsid w:val="00B078A7"/>
    <w:rsid w:val="00B2278A"/>
    <w:rsid w:val="00B30B40"/>
    <w:rsid w:val="00B95630"/>
    <w:rsid w:val="00C87A29"/>
    <w:rsid w:val="00CA02B5"/>
    <w:rsid w:val="00CB1649"/>
    <w:rsid w:val="00CC62E1"/>
    <w:rsid w:val="00CC6BA5"/>
    <w:rsid w:val="00CD557C"/>
    <w:rsid w:val="00CE02A1"/>
    <w:rsid w:val="00CF74D9"/>
    <w:rsid w:val="00D3332E"/>
    <w:rsid w:val="00D43F57"/>
    <w:rsid w:val="00D548D2"/>
    <w:rsid w:val="00D668C5"/>
    <w:rsid w:val="00D70193"/>
    <w:rsid w:val="00DA629E"/>
    <w:rsid w:val="00DE4226"/>
    <w:rsid w:val="00E47CFC"/>
    <w:rsid w:val="00EA0EEE"/>
    <w:rsid w:val="00ED2A94"/>
    <w:rsid w:val="00F63C3B"/>
    <w:rsid w:val="00F9420E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09DB7"/>
  <w15:docId w15:val="{493C50E8-FF02-43B6-AAEE-43D174E7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4070B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78A7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078A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078A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78A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78A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78A7"/>
    <w:rPr>
      <w:b/>
      <w:bCs/>
      <w:sz w:val="20"/>
      <w:szCs w:val="20"/>
    </w:rPr>
  </w:style>
  <w:style w:type="table" w:styleId="Tabellrutnt">
    <w:name w:val="Table Grid"/>
    <w:basedOn w:val="Normaltabell"/>
    <w:uiPriority w:val="39"/>
    <w:rsid w:val="005D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590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Linköpings universitet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Sepehr Shakeri Yekta</dc:creator>
  <cp:lastModifiedBy>Sepehr Shakeri Yekta</cp:lastModifiedBy>
  <cp:revision>16</cp:revision>
  <cp:lastPrinted>2017-11-02T11:59:00Z</cp:lastPrinted>
  <dcterms:created xsi:type="dcterms:W3CDTF">2017-11-08T17:33:00Z</dcterms:created>
  <dcterms:modified xsi:type="dcterms:W3CDTF">2018-02-02T09:47:00Z</dcterms:modified>
</cp:coreProperties>
</file>