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 = '1.0' encoding = 'UTF-8' standalone = 'yes'?>
<Relationships xmlns="http://schemas.openxmlformats.org/package/2006/relationships">
   <Relationship Id="rId1" Type="http://schemas.openxmlformats.org/officeDocument/2006/relationships/officeDocument" Target="word/document.xml"/>
   <Relationship Id="rId2" Type="http://schemas.openxmlformats.org/package/2006/relationships/metadata/core-properties" Target="docProps/core.xml"/>
 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D03" w:rsidRDefault="004A618B" w:rsidP="004A618B">
      <w:pPr>
        <w:spacing w:after="0" w:line="360" w:lineRule="auto"/>
        <w:jc w:val="both"/>
        <w:rPr>
          <w:b/>
        </w:rPr>
      </w:pPr>
      <w:r w:rsidRPr="0034259A">
        <w:rPr>
          <w:b/>
        </w:rPr>
        <w:t>Supplementary Figures</w:t>
      </w:r>
      <w:r>
        <w:rPr>
          <w:b/>
        </w:rPr>
        <w:t xml:space="preserve"> </w:t>
      </w:r>
    </w:p>
    <w:p w:rsidR="00365D03" w:rsidRDefault="00B43D72" w:rsidP="00B43D72">
      <w:pPr>
        <w:spacing w:after="0" w:line="360" w:lineRule="auto"/>
        <w:jc w:val="center"/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4966669" cy="224893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Fig S1.a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6118" cy="224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96B" w:rsidRDefault="004A618B" w:rsidP="00AB7C56">
      <w:pPr>
        <w:spacing w:after="0" w:line="360" w:lineRule="auto"/>
        <w:jc w:val="both"/>
      </w:pPr>
      <w:r w:rsidRPr="0034259A">
        <w:rPr>
          <w:b/>
        </w:rPr>
        <w:t xml:space="preserve">Figure S1. Expression of </w:t>
      </w:r>
      <w:r w:rsidRPr="0034259A">
        <w:rPr>
          <w:b/>
          <w:i/>
        </w:rPr>
        <w:t>lacZ</w:t>
      </w:r>
      <w:r w:rsidRPr="0034259A">
        <w:rPr>
          <w:b/>
        </w:rPr>
        <w:t xml:space="preserve"> and activity of </w:t>
      </w:r>
      <w:proofErr w:type="spellStart"/>
      <w:r w:rsidRPr="0034259A">
        <w:rPr>
          <w:b/>
          <w:i/>
        </w:rPr>
        <w:t>Cre</w:t>
      </w:r>
      <w:proofErr w:type="spellEnd"/>
      <w:r w:rsidRPr="0034259A">
        <w:rPr>
          <w:b/>
        </w:rPr>
        <w:t xml:space="preserve"> recombinase expressed from the </w:t>
      </w:r>
      <w:r w:rsidRPr="0034259A">
        <w:rPr>
          <w:b/>
          <w:i/>
        </w:rPr>
        <w:t>Grhl3</w:t>
      </w:r>
      <w:r w:rsidRPr="0034259A">
        <w:rPr>
          <w:b/>
        </w:rPr>
        <w:t xml:space="preserve"> locus. </w:t>
      </w:r>
      <w:r w:rsidRPr="0034259A">
        <w:t>(A-C) X-gal</w:t>
      </w:r>
      <w:r w:rsidRPr="0034259A">
        <w:rPr>
          <w:b/>
        </w:rPr>
        <w:t xml:space="preserve"> </w:t>
      </w:r>
      <w:r w:rsidRPr="0034259A">
        <w:t xml:space="preserve">staining shows expression of </w:t>
      </w:r>
      <w:r w:rsidRPr="0034259A">
        <w:rPr>
          <w:i/>
        </w:rPr>
        <w:t xml:space="preserve">lacZ </w:t>
      </w:r>
      <w:r w:rsidR="006A7822">
        <w:t>from</w:t>
      </w:r>
      <w:r w:rsidRPr="0034259A">
        <w:t xml:space="preserve"> the </w:t>
      </w:r>
      <w:r w:rsidRPr="0034259A">
        <w:rPr>
          <w:i/>
        </w:rPr>
        <w:t>Grhl3</w:t>
      </w:r>
      <w:r w:rsidRPr="0034259A">
        <w:t xml:space="preserve"> locus in </w:t>
      </w:r>
      <w:r w:rsidRPr="0034259A">
        <w:rPr>
          <w:i/>
        </w:rPr>
        <w:t>Grhl3</w:t>
      </w:r>
      <w:r w:rsidRPr="0034259A">
        <w:rPr>
          <w:i/>
          <w:vertAlign w:val="superscript"/>
        </w:rPr>
        <w:t>cre/+</w:t>
      </w:r>
      <w:r w:rsidRPr="0034259A">
        <w:t xml:space="preserve"> embryos at E9</w:t>
      </w:r>
      <w:r w:rsidR="00B43D72">
        <w:t>.5</w:t>
      </w:r>
      <w:r w:rsidRPr="0034259A">
        <w:t xml:space="preserve"> (16 somite stage), with </w:t>
      </w:r>
      <w:r w:rsidR="00DD3F4F">
        <w:t xml:space="preserve">β-galactosidase </w:t>
      </w:r>
      <w:r w:rsidRPr="0034259A">
        <w:t xml:space="preserve">staining in the surface ectoderm and scattered positive cells in the open neural </w:t>
      </w:r>
      <w:r w:rsidR="00141495">
        <w:t>plate</w:t>
      </w:r>
      <w:r w:rsidR="00141495" w:rsidRPr="0034259A">
        <w:t xml:space="preserve"> </w:t>
      </w:r>
      <w:r w:rsidRPr="0034259A">
        <w:t>(C) and closed neural tube (B).  Dotted line</w:t>
      </w:r>
      <w:r w:rsidR="00E34528">
        <w:t>s</w:t>
      </w:r>
      <w:r w:rsidRPr="0034259A">
        <w:t xml:space="preserve"> </w:t>
      </w:r>
      <w:r w:rsidR="00141495">
        <w:t xml:space="preserve">(A) </w:t>
      </w:r>
      <w:r w:rsidRPr="0034259A">
        <w:t xml:space="preserve">show level of sections in B and C; </w:t>
      </w:r>
      <w:r w:rsidR="00E502D2">
        <w:t xml:space="preserve">black </w:t>
      </w:r>
      <w:r w:rsidRPr="0034259A">
        <w:t>arrow shows</w:t>
      </w:r>
      <w:r w:rsidR="00141495">
        <w:t xml:space="preserve"> rostral extent of the posterior neuropore</w:t>
      </w:r>
      <w:r w:rsidRPr="0034259A">
        <w:t xml:space="preserve">. (D-H) YFP-positive cells in </w:t>
      </w:r>
      <w:r w:rsidRPr="0034259A">
        <w:rPr>
          <w:i/>
        </w:rPr>
        <w:t>Grhl3</w:t>
      </w:r>
      <w:r w:rsidRPr="0034259A">
        <w:rPr>
          <w:i/>
          <w:vertAlign w:val="superscript"/>
        </w:rPr>
        <w:t>cre/+</w:t>
      </w:r>
      <w:proofErr w:type="gramStart"/>
      <w:r w:rsidRPr="0034259A">
        <w:rPr>
          <w:i/>
        </w:rPr>
        <w:t>;R62R</w:t>
      </w:r>
      <w:proofErr w:type="gramEnd"/>
      <w:r w:rsidRPr="0034259A">
        <w:rPr>
          <w:i/>
        </w:rPr>
        <w:t>-YFP</w:t>
      </w:r>
      <w:r w:rsidRPr="0034259A">
        <w:t xml:space="preserve"> embryos</w:t>
      </w:r>
      <w:r w:rsidR="00141495">
        <w:t xml:space="preserve">, representing </w:t>
      </w:r>
      <w:r w:rsidRPr="0034259A">
        <w:t xml:space="preserve">cells or their descendants that expressed </w:t>
      </w:r>
      <w:proofErr w:type="spellStart"/>
      <w:r w:rsidRPr="0034259A">
        <w:t>cre</w:t>
      </w:r>
      <w:proofErr w:type="spellEnd"/>
      <w:r w:rsidRPr="0034259A">
        <w:t xml:space="preserve">-recombinase from the </w:t>
      </w:r>
      <w:r w:rsidRPr="0034259A">
        <w:rPr>
          <w:i/>
        </w:rPr>
        <w:t>Grhl3</w:t>
      </w:r>
      <w:r w:rsidRPr="0034259A">
        <w:t xml:space="preserve"> locus. </w:t>
      </w:r>
      <w:r w:rsidR="006A7822">
        <w:t xml:space="preserve">Lineage-traced </w:t>
      </w:r>
      <w:r w:rsidRPr="0034259A">
        <w:t>YFP-positive cells are observed in the surface ectoderm</w:t>
      </w:r>
      <w:r w:rsidR="00141495">
        <w:t xml:space="preserve"> (all cells positive),</w:t>
      </w:r>
      <w:r w:rsidRPr="0034259A">
        <w:t xml:space="preserve"> </w:t>
      </w:r>
      <w:r w:rsidR="00141495">
        <w:t xml:space="preserve">with mosaic expression also </w:t>
      </w:r>
      <w:r w:rsidRPr="0034259A">
        <w:t>in the neuroepithelium and mesoderm</w:t>
      </w:r>
      <w:r w:rsidR="00AB7C56">
        <w:t xml:space="preserve"> at E9.5 (D-E) and E8.5 (F-H). </w:t>
      </w:r>
      <w:r w:rsidR="00AB7C56" w:rsidRPr="00EC0191">
        <w:t xml:space="preserve">This is consistent with prior expression of </w:t>
      </w:r>
      <w:r w:rsidR="00AB7C56" w:rsidRPr="00EC0191">
        <w:rPr>
          <w:i/>
        </w:rPr>
        <w:t>Grhl3</w:t>
      </w:r>
      <w:r w:rsidR="00AB7C56" w:rsidRPr="00EC0191">
        <w:t xml:space="preserve"> in the region of the node-streak border where </w:t>
      </w:r>
      <w:proofErr w:type="spellStart"/>
      <w:r w:rsidR="00AB7C56" w:rsidRPr="00EC0191">
        <w:t>neuromesodermal</w:t>
      </w:r>
      <w:proofErr w:type="spellEnd"/>
      <w:r w:rsidR="00AB7C56" w:rsidRPr="00EC0191">
        <w:t xml:space="preserve"> </w:t>
      </w:r>
      <w:r w:rsidR="00EC0191" w:rsidRPr="00EC0191">
        <w:t>progenitors</w:t>
      </w:r>
      <w:r w:rsidR="00AB7C56" w:rsidRPr="00EC0191">
        <w:t xml:space="preserve"> arise.</w:t>
      </w:r>
    </w:p>
    <w:p w:rsidR="00BD196B" w:rsidRDefault="00BD196B">
      <w:r>
        <w:br w:type="page"/>
      </w:r>
    </w:p>
    <w:p w:rsidR="00BD196B" w:rsidRDefault="00BD196B" w:rsidP="00AB7C56">
      <w:pPr>
        <w:spacing w:after="0" w:line="360" w:lineRule="auto"/>
        <w:jc w:val="both"/>
      </w:pPr>
    </w:p>
    <w:p w:rsidR="00BD196B" w:rsidRDefault="00166A50" w:rsidP="00AB7C56">
      <w:pPr>
        <w:spacing w:after="0" w:line="360" w:lineRule="auto"/>
        <w:jc w:val="both"/>
      </w:pPr>
      <w:r>
        <w:rPr>
          <w:noProof/>
          <w:lang w:val="en-US"/>
        </w:rPr>
        <w:drawing>
          <wp:inline distT="0" distB="0" distL="0" distR="0">
            <wp:extent cx="4555648" cy="336103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fig supp PNP length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4177" cy="336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96B" w:rsidRPr="00BD196B" w:rsidRDefault="00BD196B" w:rsidP="00BD196B">
      <w:pPr>
        <w:spacing w:after="0" w:line="360" w:lineRule="auto"/>
        <w:rPr>
          <w:b/>
        </w:rPr>
      </w:pPr>
      <w:r w:rsidRPr="0034259A">
        <w:rPr>
          <w:b/>
        </w:rPr>
        <w:t>Figure S</w:t>
      </w:r>
      <w:r>
        <w:rPr>
          <w:b/>
        </w:rPr>
        <w:t>2</w:t>
      </w:r>
      <w:r w:rsidRPr="0034259A">
        <w:rPr>
          <w:b/>
        </w:rPr>
        <w:t xml:space="preserve">. </w:t>
      </w:r>
      <w:r>
        <w:rPr>
          <w:b/>
        </w:rPr>
        <w:t>Posterior neuropore</w:t>
      </w:r>
      <w:r w:rsidR="00C21745">
        <w:rPr>
          <w:b/>
        </w:rPr>
        <w:t xml:space="preserve"> (PNP)</w:t>
      </w:r>
      <w:r>
        <w:rPr>
          <w:b/>
        </w:rPr>
        <w:t xml:space="preserve"> length at E10-10.5 among offspring of </w:t>
      </w:r>
      <w:r>
        <w:rPr>
          <w:b/>
          <w:i/>
        </w:rPr>
        <w:t>Grhl3</w:t>
      </w:r>
      <w:r>
        <w:rPr>
          <w:b/>
          <w:i/>
          <w:vertAlign w:val="superscript"/>
        </w:rPr>
        <w:t>f/-</w:t>
      </w:r>
      <w:r>
        <w:rPr>
          <w:b/>
        </w:rPr>
        <w:t xml:space="preserve"> </w:t>
      </w:r>
      <w:proofErr w:type="spellStart"/>
      <w:r>
        <w:rPr>
          <w:b/>
        </w:rPr>
        <w:t>intercrossed</w:t>
      </w:r>
      <w:proofErr w:type="spellEnd"/>
      <w:r>
        <w:rPr>
          <w:b/>
        </w:rPr>
        <w:t xml:space="preserve"> with </w:t>
      </w:r>
      <w:r>
        <w:rPr>
          <w:b/>
          <w:i/>
        </w:rPr>
        <w:t>Grhl3</w:t>
      </w:r>
      <w:r>
        <w:rPr>
          <w:b/>
          <w:i/>
          <w:vertAlign w:val="superscript"/>
        </w:rPr>
        <w:t>f/-</w:t>
      </w:r>
      <w:r>
        <w:rPr>
          <w:b/>
        </w:rPr>
        <w:t xml:space="preserve">; </w:t>
      </w:r>
      <w:r>
        <w:rPr>
          <w:b/>
          <w:i/>
        </w:rPr>
        <w:t>Sox17</w:t>
      </w:r>
      <w:r>
        <w:rPr>
          <w:b/>
          <w:i/>
          <w:vertAlign w:val="superscript"/>
        </w:rPr>
        <w:t>+/</w:t>
      </w:r>
      <w:proofErr w:type="spellStart"/>
      <w:r>
        <w:rPr>
          <w:b/>
          <w:i/>
          <w:vertAlign w:val="superscript"/>
        </w:rPr>
        <w:t>cre</w:t>
      </w:r>
      <w:proofErr w:type="spellEnd"/>
      <w:r>
        <w:rPr>
          <w:b/>
        </w:rPr>
        <w:t>.</w:t>
      </w:r>
      <w:r w:rsidRPr="0034259A">
        <w:rPr>
          <w:b/>
        </w:rPr>
        <w:t xml:space="preserve"> </w:t>
      </w:r>
      <w:r>
        <w:t>The graph shows data for individual embryos. Mean ± SEM is indicated for each group (as shown in Fig. 3D)</w:t>
      </w:r>
      <w:r w:rsidR="00C21745">
        <w:t xml:space="preserve">; </w:t>
      </w:r>
      <w:r w:rsidR="00C21745" w:rsidRPr="00BA7C8A">
        <w:t xml:space="preserve"># indicates significant difference </w:t>
      </w:r>
      <w:r w:rsidR="00C21745">
        <w:t xml:space="preserve">compared </w:t>
      </w:r>
      <w:r w:rsidR="00C21745" w:rsidRPr="00BA7C8A">
        <w:t>to all other genotypes (p&lt;0.001; ANOVA)</w:t>
      </w:r>
      <w:r w:rsidR="00C21745">
        <w:t>.</w:t>
      </w:r>
      <w:r w:rsidR="00365D03">
        <w:br w:type="page"/>
      </w:r>
    </w:p>
    <w:p w:rsidR="004A618B" w:rsidRDefault="004A618B" w:rsidP="004A618B">
      <w:pPr>
        <w:spacing w:after="0" w:line="360" w:lineRule="auto"/>
        <w:jc w:val="both"/>
      </w:pPr>
    </w:p>
    <w:p w:rsidR="000C173E" w:rsidRDefault="000C173E" w:rsidP="000C173E">
      <w:pPr>
        <w:rPr>
          <w:b/>
        </w:rPr>
      </w:pPr>
    </w:p>
    <w:tbl>
      <w:tblPr>
        <w:tblStyle w:val="LightShading"/>
        <w:tblW w:w="4942" w:type="pct"/>
        <w:tblLook w:val="06A0" w:firstRow="1" w:lastRow="0" w:firstColumn="1" w:lastColumn="0" w:noHBand="1" w:noVBand="1"/>
      </w:tblPr>
      <w:tblGrid>
        <w:gridCol w:w="1387"/>
        <w:gridCol w:w="1132"/>
        <w:gridCol w:w="1558"/>
        <w:gridCol w:w="1418"/>
        <w:gridCol w:w="1702"/>
        <w:gridCol w:w="1136"/>
        <w:gridCol w:w="1132"/>
      </w:tblGrid>
      <w:tr w:rsidR="00B21DE3" w:rsidRPr="001F0197" w:rsidTr="00B21D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</w:tcPr>
          <w:p w:rsidR="00756EE8" w:rsidRPr="001F0197" w:rsidRDefault="00756EE8" w:rsidP="00317F42">
            <w:pPr>
              <w:rPr>
                <w:sz w:val="20"/>
                <w:szCs w:val="20"/>
              </w:rPr>
            </w:pPr>
            <w:r w:rsidRPr="001F0197">
              <w:rPr>
                <w:sz w:val="20"/>
                <w:szCs w:val="20"/>
              </w:rPr>
              <w:t>Genotype</w:t>
            </w:r>
          </w:p>
        </w:tc>
        <w:tc>
          <w:tcPr>
            <w:tcW w:w="598" w:type="pct"/>
          </w:tcPr>
          <w:p w:rsidR="00756EE8" w:rsidRDefault="00756EE8" w:rsidP="00317F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No. samples</w:t>
            </w:r>
          </w:p>
        </w:tc>
        <w:tc>
          <w:tcPr>
            <w:tcW w:w="823" w:type="pct"/>
          </w:tcPr>
          <w:p w:rsidR="00756EE8" w:rsidRDefault="00756EE8" w:rsidP="00317F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</w:rPr>
              <w:t>Grhl3</w:t>
            </w:r>
          </w:p>
        </w:tc>
        <w:tc>
          <w:tcPr>
            <w:tcW w:w="749" w:type="pct"/>
          </w:tcPr>
          <w:p w:rsidR="00756EE8" w:rsidRPr="001047F0" w:rsidRDefault="00756EE8" w:rsidP="00317F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D7849">
              <w:rPr>
                <w:i/>
              </w:rPr>
              <w:t>Trp63</w:t>
            </w:r>
            <w:r>
              <w:rPr>
                <w:i/>
              </w:rPr>
              <w:t xml:space="preserve"> </w:t>
            </w:r>
            <w:r>
              <w:t>(p63)</w:t>
            </w:r>
          </w:p>
        </w:tc>
        <w:tc>
          <w:tcPr>
            <w:tcW w:w="899" w:type="pct"/>
          </w:tcPr>
          <w:p w:rsidR="00756EE8" w:rsidRPr="001047F0" w:rsidRDefault="00756EE8" w:rsidP="00317F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</w:rPr>
              <w:t xml:space="preserve">Tfap2c </w:t>
            </w:r>
            <w:r>
              <w:t>(AP2</w:t>
            </w:r>
            <w:r>
              <w:sym w:font="Symbol" w:char="F067"/>
            </w:r>
            <w:r>
              <w:t>)</w:t>
            </w:r>
          </w:p>
        </w:tc>
        <w:tc>
          <w:tcPr>
            <w:tcW w:w="600" w:type="pct"/>
          </w:tcPr>
          <w:p w:rsidR="00756EE8" w:rsidRDefault="00756EE8" w:rsidP="00317F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Sox2</w:t>
            </w:r>
          </w:p>
        </w:tc>
        <w:tc>
          <w:tcPr>
            <w:tcW w:w="598" w:type="pct"/>
          </w:tcPr>
          <w:p w:rsidR="00756EE8" w:rsidRDefault="00756EE8" w:rsidP="00317F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Nkx1-2</w:t>
            </w:r>
          </w:p>
        </w:tc>
      </w:tr>
      <w:tr w:rsidR="00B21DE3" w:rsidTr="00B21D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tcBorders>
              <w:bottom w:val="nil"/>
            </w:tcBorders>
          </w:tcPr>
          <w:p w:rsidR="00756EE8" w:rsidRPr="001F0197" w:rsidRDefault="00756EE8" w:rsidP="00317F42">
            <w:pPr>
              <w:rPr>
                <w:i/>
                <w:vertAlign w:val="superscript"/>
              </w:rPr>
            </w:pPr>
            <w:r w:rsidRPr="001F0197">
              <w:rPr>
                <w:i/>
                <w:sz w:val="20"/>
                <w:szCs w:val="20"/>
              </w:rPr>
              <w:t>Grhl3</w:t>
            </w:r>
            <w:r w:rsidRPr="001F0197">
              <w:rPr>
                <w:i/>
                <w:vertAlign w:val="superscript"/>
              </w:rPr>
              <w:t xml:space="preserve">f/f </w:t>
            </w:r>
            <w:r w:rsidRPr="001F0197">
              <w:rPr>
                <w:vertAlign w:val="superscript"/>
              </w:rPr>
              <w:t xml:space="preserve">or </w:t>
            </w:r>
            <w:r w:rsidRPr="001F0197">
              <w:rPr>
                <w:i/>
                <w:vertAlign w:val="superscript"/>
              </w:rPr>
              <w:t>f/+</w:t>
            </w:r>
          </w:p>
        </w:tc>
        <w:tc>
          <w:tcPr>
            <w:tcW w:w="598" w:type="pct"/>
            <w:tcBorders>
              <w:bottom w:val="nil"/>
            </w:tcBorders>
          </w:tcPr>
          <w:p w:rsidR="00756EE8" w:rsidRDefault="00756EE8" w:rsidP="00317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5-7</w:t>
            </w:r>
          </w:p>
        </w:tc>
        <w:tc>
          <w:tcPr>
            <w:tcW w:w="823" w:type="pct"/>
            <w:tcBorders>
              <w:bottom w:val="nil"/>
            </w:tcBorders>
          </w:tcPr>
          <w:p w:rsidR="00756EE8" w:rsidRDefault="00756EE8" w:rsidP="00317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404040" w:themeColor="text1" w:themeTint="BF"/>
              </w:rPr>
              <w:t xml:space="preserve">0.95 </w:t>
            </w:r>
            <w:r w:rsidRPr="001E307E">
              <w:rPr>
                <w:color w:val="404040" w:themeColor="text1" w:themeTint="BF"/>
              </w:rPr>
              <w:t>±</w:t>
            </w:r>
            <w:r>
              <w:t xml:space="preserve"> </w:t>
            </w:r>
            <w:r>
              <w:rPr>
                <w:color w:val="404040" w:themeColor="text1" w:themeTint="BF"/>
              </w:rPr>
              <w:t>0.05</w:t>
            </w:r>
          </w:p>
        </w:tc>
        <w:tc>
          <w:tcPr>
            <w:tcW w:w="749" w:type="pct"/>
            <w:tcBorders>
              <w:bottom w:val="nil"/>
            </w:tcBorders>
          </w:tcPr>
          <w:p w:rsidR="00756EE8" w:rsidRPr="007D7849" w:rsidRDefault="00756EE8" w:rsidP="00317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7849">
              <w:rPr>
                <w:color w:val="404040" w:themeColor="text1" w:themeTint="BF"/>
              </w:rPr>
              <w:t>1.00±</w:t>
            </w:r>
            <w:r w:rsidRPr="007D7849">
              <w:t xml:space="preserve"> </w:t>
            </w:r>
            <w:r w:rsidRPr="007D7849">
              <w:rPr>
                <w:color w:val="404040" w:themeColor="text1" w:themeTint="BF"/>
              </w:rPr>
              <w:t>0.04</w:t>
            </w:r>
          </w:p>
        </w:tc>
        <w:tc>
          <w:tcPr>
            <w:tcW w:w="899" w:type="pct"/>
            <w:tcBorders>
              <w:bottom w:val="nil"/>
            </w:tcBorders>
          </w:tcPr>
          <w:p w:rsidR="00756EE8" w:rsidRPr="007D7849" w:rsidRDefault="00756EE8" w:rsidP="00317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7849">
              <w:rPr>
                <w:color w:val="404040" w:themeColor="text1" w:themeTint="BF"/>
              </w:rPr>
              <w:t>0.95 ±</w:t>
            </w:r>
            <w:r w:rsidRPr="007D7849">
              <w:t xml:space="preserve"> </w:t>
            </w:r>
            <w:r w:rsidRPr="007D7849">
              <w:rPr>
                <w:color w:val="404040" w:themeColor="text1" w:themeTint="BF"/>
              </w:rPr>
              <w:t>0.06</w:t>
            </w:r>
          </w:p>
        </w:tc>
        <w:tc>
          <w:tcPr>
            <w:tcW w:w="600" w:type="pct"/>
            <w:tcBorders>
              <w:bottom w:val="nil"/>
            </w:tcBorders>
          </w:tcPr>
          <w:p w:rsidR="00756EE8" w:rsidRPr="002C5CB2" w:rsidRDefault="00756EE8" w:rsidP="00317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1.1 ± 0.1</w:t>
            </w:r>
          </w:p>
        </w:tc>
        <w:tc>
          <w:tcPr>
            <w:tcW w:w="598" w:type="pct"/>
            <w:tcBorders>
              <w:bottom w:val="nil"/>
            </w:tcBorders>
          </w:tcPr>
          <w:p w:rsidR="00756EE8" w:rsidRDefault="00756EE8" w:rsidP="00317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1.1 ± 0.1</w:t>
            </w:r>
          </w:p>
        </w:tc>
      </w:tr>
      <w:tr w:rsidR="00B21DE3" w:rsidTr="00B21D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tcBorders>
              <w:top w:val="nil"/>
              <w:bottom w:val="single" w:sz="4" w:space="0" w:color="auto"/>
            </w:tcBorders>
          </w:tcPr>
          <w:p w:rsidR="00756EE8" w:rsidRPr="001F0197" w:rsidRDefault="00756EE8" w:rsidP="00317F42">
            <w:pPr>
              <w:rPr>
                <w:i/>
                <w:vertAlign w:val="superscript"/>
              </w:rPr>
            </w:pPr>
            <w:r w:rsidRPr="001F0197">
              <w:rPr>
                <w:i/>
                <w:sz w:val="20"/>
                <w:szCs w:val="20"/>
              </w:rPr>
              <w:t>Grhl3</w:t>
            </w:r>
            <w:r w:rsidRPr="001F0197">
              <w:rPr>
                <w:i/>
                <w:vertAlign w:val="superscript"/>
              </w:rPr>
              <w:t>-/-</w:t>
            </w:r>
          </w:p>
        </w:tc>
        <w:tc>
          <w:tcPr>
            <w:tcW w:w="598" w:type="pct"/>
            <w:tcBorders>
              <w:top w:val="nil"/>
              <w:bottom w:val="single" w:sz="4" w:space="0" w:color="auto"/>
            </w:tcBorders>
          </w:tcPr>
          <w:p w:rsidR="00756EE8" w:rsidRDefault="00756EE8" w:rsidP="00317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4-5</w:t>
            </w:r>
          </w:p>
        </w:tc>
        <w:tc>
          <w:tcPr>
            <w:tcW w:w="823" w:type="pct"/>
            <w:tcBorders>
              <w:top w:val="nil"/>
              <w:bottom w:val="single" w:sz="4" w:space="0" w:color="auto"/>
            </w:tcBorders>
          </w:tcPr>
          <w:p w:rsidR="00756EE8" w:rsidRPr="007E0243" w:rsidRDefault="00756EE8" w:rsidP="00317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243">
              <w:rPr>
                <w:b/>
                <w:color w:val="404040" w:themeColor="text1" w:themeTint="BF"/>
              </w:rPr>
              <w:t>0.05 ±</w:t>
            </w:r>
            <w:r w:rsidRPr="007E0243">
              <w:rPr>
                <w:b/>
              </w:rPr>
              <w:t xml:space="preserve"> </w:t>
            </w:r>
            <w:r w:rsidRPr="007E0243">
              <w:rPr>
                <w:b/>
                <w:color w:val="404040" w:themeColor="text1" w:themeTint="BF"/>
              </w:rPr>
              <w:t>0.02**</w:t>
            </w:r>
          </w:p>
        </w:tc>
        <w:tc>
          <w:tcPr>
            <w:tcW w:w="749" w:type="pct"/>
            <w:tcBorders>
              <w:top w:val="nil"/>
              <w:bottom w:val="single" w:sz="4" w:space="0" w:color="auto"/>
            </w:tcBorders>
          </w:tcPr>
          <w:p w:rsidR="00756EE8" w:rsidRPr="007E0243" w:rsidRDefault="00756EE8" w:rsidP="00317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243">
              <w:rPr>
                <w:b/>
                <w:color w:val="404040" w:themeColor="text1" w:themeTint="BF"/>
              </w:rPr>
              <w:t>0.66±</w:t>
            </w:r>
            <w:r w:rsidRPr="007E0243">
              <w:rPr>
                <w:b/>
              </w:rPr>
              <w:t xml:space="preserve"> </w:t>
            </w:r>
            <w:r w:rsidRPr="007E0243">
              <w:rPr>
                <w:b/>
                <w:color w:val="404040" w:themeColor="text1" w:themeTint="BF"/>
              </w:rPr>
              <w:t>0.06**</w:t>
            </w: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</w:tcPr>
          <w:p w:rsidR="00756EE8" w:rsidRPr="007E0243" w:rsidRDefault="00756EE8" w:rsidP="00317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243">
              <w:rPr>
                <w:b/>
                <w:color w:val="404040" w:themeColor="text1" w:themeTint="BF"/>
              </w:rPr>
              <w:t>0.50 ±</w:t>
            </w:r>
            <w:r w:rsidRPr="007E0243">
              <w:rPr>
                <w:b/>
              </w:rPr>
              <w:t xml:space="preserve"> </w:t>
            </w:r>
            <w:r w:rsidRPr="007E0243">
              <w:rPr>
                <w:b/>
                <w:color w:val="404040" w:themeColor="text1" w:themeTint="BF"/>
              </w:rPr>
              <w:t>0.01**</w:t>
            </w:r>
          </w:p>
        </w:tc>
        <w:tc>
          <w:tcPr>
            <w:tcW w:w="600" w:type="pct"/>
            <w:tcBorders>
              <w:top w:val="nil"/>
              <w:bottom w:val="single" w:sz="4" w:space="0" w:color="auto"/>
            </w:tcBorders>
          </w:tcPr>
          <w:p w:rsidR="00756EE8" w:rsidRPr="002C5CB2" w:rsidRDefault="00756EE8" w:rsidP="00317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1.1 ± 0.4</w:t>
            </w:r>
          </w:p>
        </w:tc>
        <w:tc>
          <w:tcPr>
            <w:tcW w:w="598" w:type="pct"/>
            <w:tcBorders>
              <w:top w:val="nil"/>
              <w:bottom w:val="single" w:sz="4" w:space="0" w:color="auto"/>
            </w:tcBorders>
          </w:tcPr>
          <w:p w:rsidR="00756EE8" w:rsidRDefault="00756EE8" w:rsidP="00317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1.1 ± 0.4</w:t>
            </w:r>
          </w:p>
        </w:tc>
      </w:tr>
    </w:tbl>
    <w:p w:rsidR="000C173E" w:rsidRDefault="000C173E" w:rsidP="000C173E">
      <w:pPr>
        <w:spacing w:after="0" w:line="240" w:lineRule="auto"/>
      </w:pPr>
    </w:p>
    <w:p w:rsidR="000C173E" w:rsidRPr="001A4860" w:rsidRDefault="000C173E" w:rsidP="000C173E">
      <w:pPr>
        <w:spacing w:after="0" w:line="240" w:lineRule="auto"/>
      </w:pPr>
      <w:r>
        <w:rPr>
          <w:b/>
        </w:rPr>
        <w:t>Table S1.</w:t>
      </w:r>
      <w:r w:rsidRPr="00AB0222">
        <w:rPr>
          <w:b/>
        </w:rPr>
        <w:t xml:space="preserve"> </w:t>
      </w:r>
      <w:proofErr w:type="gramStart"/>
      <w:r>
        <w:rPr>
          <w:b/>
        </w:rPr>
        <w:t xml:space="preserve">Expression of epithelial/epidermal markers in the caudal region of </w:t>
      </w:r>
      <w:r>
        <w:rPr>
          <w:b/>
          <w:i/>
        </w:rPr>
        <w:t>Grhl3</w:t>
      </w:r>
      <w:r>
        <w:rPr>
          <w:b/>
        </w:rPr>
        <w:t xml:space="preserve"> null embryos at E9.0-9.5.</w:t>
      </w:r>
      <w:proofErr w:type="gramEnd"/>
      <w:r>
        <w:rPr>
          <w:b/>
        </w:rPr>
        <w:t xml:space="preserve">  </w:t>
      </w:r>
      <w:proofErr w:type="gramStart"/>
      <w:r>
        <w:t>mRNA</w:t>
      </w:r>
      <w:proofErr w:type="gramEnd"/>
      <w:r>
        <w:t xml:space="preserve"> abun</w:t>
      </w:r>
      <w:r w:rsidRPr="001A4860">
        <w:t>dance was determined by qRT-PCR with data normalised to the control (</w:t>
      </w:r>
      <w:r w:rsidRPr="001A4860">
        <w:rPr>
          <w:i/>
        </w:rPr>
        <w:t>Grhl3</w:t>
      </w:r>
      <w:r w:rsidRPr="001A4860">
        <w:rPr>
          <w:i/>
          <w:vertAlign w:val="superscript"/>
        </w:rPr>
        <w:t>f/f</w:t>
      </w:r>
      <w:r w:rsidRPr="001A4860">
        <w:t xml:space="preserve"> or </w:t>
      </w:r>
      <w:r w:rsidRPr="001A4860">
        <w:rPr>
          <w:i/>
        </w:rPr>
        <w:t>Grhl3</w:t>
      </w:r>
      <w:r w:rsidRPr="001A4860">
        <w:rPr>
          <w:i/>
          <w:vertAlign w:val="superscript"/>
        </w:rPr>
        <w:t>ct/ct</w:t>
      </w:r>
      <w:r w:rsidRPr="001A4860">
        <w:t xml:space="preserve">) within each group. </w:t>
      </w:r>
      <w:r w:rsidR="001A4860" w:rsidRPr="001A4860">
        <w:t xml:space="preserve">Values represent mean ± </w:t>
      </w:r>
      <w:r w:rsidR="00E502D2">
        <w:t>SEM</w:t>
      </w:r>
      <w:r w:rsidR="001A4860" w:rsidRPr="001A4860">
        <w:t xml:space="preserve">. </w:t>
      </w:r>
      <w:r w:rsidRPr="001A4860">
        <w:t xml:space="preserve">**significant difference from control group (p&lt;0.005; ANOVA and pairwise comparison). </w:t>
      </w:r>
    </w:p>
    <w:p w:rsidR="000C173E" w:rsidRPr="001A4860" w:rsidRDefault="000C173E" w:rsidP="000C173E">
      <w:pPr>
        <w:spacing w:after="0" w:line="240" w:lineRule="auto"/>
      </w:pPr>
    </w:p>
    <w:p w:rsidR="000C173E" w:rsidRPr="001A4860" w:rsidRDefault="000C173E" w:rsidP="000C173E">
      <w:pPr>
        <w:spacing w:after="0" w:line="240" w:lineRule="auto"/>
      </w:pPr>
    </w:p>
    <w:p w:rsidR="000C173E" w:rsidRPr="001A4860" w:rsidRDefault="000C173E" w:rsidP="000C173E">
      <w:pPr>
        <w:spacing w:after="0" w:line="240" w:lineRule="auto"/>
      </w:pPr>
    </w:p>
    <w:tbl>
      <w:tblPr>
        <w:tblStyle w:val="LightShading"/>
        <w:tblW w:w="0" w:type="auto"/>
        <w:tblLook w:val="06A0" w:firstRow="1" w:lastRow="0" w:firstColumn="1" w:lastColumn="0" w:noHBand="1" w:noVBand="1"/>
      </w:tblPr>
      <w:tblGrid>
        <w:gridCol w:w="1149"/>
        <w:gridCol w:w="1086"/>
        <w:gridCol w:w="1417"/>
        <w:gridCol w:w="1139"/>
        <w:gridCol w:w="1091"/>
        <w:gridCol w:w="1181"/>
        <w:gridCol w:w="1332"/>
        <w:gridCol w:w="1181"/>
      </w:tblGrid>
      <w:tr w:rsidR="001A4860" w:rsidRPr="001A4860" w:rsidTr="00B21D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C173E" w:rsidRPr="001A4860" w:rsidRDefault="00CD5476" w:rsidP="003309C7">
            <w:pPr>
              <w:rPr>
                <w:noProof/>
                <w:color w:val="auto"/>
                <w:lang w:val="en-US"/>
              </w:rPr>
            </w:pPr>
            <w:r w:rsidRPr="001A4860">
              <w:rPr>
                <w:noProof/>
                <w:color w:val="auto"/>
                <w:lang w:val="en-US"/>
              </w:rPr>
              <w:br w:type="page"/>
            </w:r>
          </w:p>
          <w:p w:rsidR="000C173E" w:rsidRPr="001A4860" w:rsidRDefault="000C173E" w:rsidP="003309C7">
            <w:pPr>
              <w:rPr>
                <w:noProof/>
                <w:color w:val="auto"/>
                <w:lang w:val="en-US"/>
              </w:rPr>
            </w:pPr>
          </w:p>
          <w:p w:rsidR="000C173E" w:rsidRPr="001A4860" w:rsidRDefault="000C173E" w:rsidP="003309C7">
            <w:pPr>
              <w:rPr>
                <w:noProof/>
                <w:color w:val="auto"/>
                <w:lang w:val="en-US"/>
              </w:rPr>
            </w:pPr>
          </w:p>
          <w:p w:rsidR="00AA2A97" w:rsidRPr="001A4860" w:rsidRDefault="00AA2A97" w:rsidP="003309C7">
            <w:pPr>
              <w:rPr>
                <w:color w:val="auto"/>
                <w:sz w:val="20"/>
                <w:szCs w:val="20"/>
              </w:rPr>
            </w:pPr>
            <w:r w:rsidRPr="001A4860">
              <w:rPr>
                <w:color w:val="auto"/>
                <w:sz w:val="20"/>
                <w:szCs w:val="20"/>
              </w:rPr>
              <w:t>Genotype</w:t>
            </w:r>
          </w:p>
        </w:tc>
        <w:tc>
          <w:tcPr>
            <w:tcW w:w="1086" w:type="dxa"/>
          </w:tcPr>
          <w:p w:rsidR="00AA2A97" w:rsidRPr="001A4860" w:rsidRDefault="00AA2A97" w:rsidP="003309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1A4860">
              <w:rPr>
                <w:i/>
                <w:color w:val="auto"/>
              </w:rPr>
              <w:t>No. samples</w:t>
            </w:r>
          </w:p>
        </w:tc>
        <w:tc>
          <w:tcPr>
            <w:tcW w:w="1417" w:type="dxa"/>
          </w:tcPr>
          <w:p w:rsidR="00AA2A97" w:rsidRPr="001A4860" w:rsidRDefault="00AA2A97" w:rsidP="003309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A4860">
              <w:rPr>
                <w:i/>
                <w:color w:val="auto"/>
              </w:rPr>
              <w:t>Grhl3</w:t>
            </w:r>
          </w:p>
        </w:tc>
        <w:tc>
          <w:tcPr>
            <w:tcW w:w="1139" w:type="dxa"/>
          </w:tcPr>
          <w:p w:rsidR="00AA2A97" w:rsidRPr="001A4860" w:rsidRDefault="00AA2A97" w:rsidP="003309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1A4860">
              <w:rPr>
                <w:i/>
                <w:color w:val="auto"/>
              </w:rPr>
              <w:t>Krt8</w:t>
            </w:r>
          </w:p>
        </w:tc>
        <w:tc>
          <w:tcPr>
            <w:tcW w:w="0" w:type="auto"/>
          </w:tcPr>
          <w:p w:rsidR="00AA2A97" w:rsidRPr="001A4860" w:rsidRDefault="00AA2A97" w:rsidP="003309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1A4860">
              <w:rPr>
                <w:i/>
                <w:color w:val="auto"/>
              </w:rPr>
              <w:t>Krt18</w:t>
            </w:r>
          </w:p>
        </w:tc>
        <w:tc>
          <w:tcPr>
            <w:tcW w:w="0" w:type="auto"/>
          </w:tcPr>
          <w:p w:rsidR="00AA2A97" w:rsidRPr="001A4860" w:rsidRDefault="00AA2A97" w:rsidP="003309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1A4860">
              <w:rPr>
                <w:i/>
                <w:color w:val="auto"/>
              </w:rPr>
              <w:t>Krt5</w:t>
            </w:r>
          </w:p>
        </w:tc>
        <w:tc>
          <w:tcPr>
            <w:tcW w:w="0" w:type="auto"/>
            <w:shd w:val="clear" w:color="auto" w:fill="auto"/>
          </w:tcPr>
          <w:p w:rsidR="00AA2A97" w:rsidRPr="001A4860" w:rsidRDefault="00AA2A97" w:rsidP="003309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1A4860">
              <w:rPr>
                <w:i/>
                <w:color w:val="auto"/>
              </w:rPr>
              <w:t>Tgm1</w:t>
            </w:r>
          </w:p>
        </w:tc>
        <w:tc>
          <w:tcPr>
            <w:tcW w:w="0" w:type="auto"/>
          </w:tcPr>
          <w:p w:rsidR="00AA2A97" w:rsidRPr="001A4860" w:rsidRDefault="00AA2A97" w:rsidP="003309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1A4860">
              <w:rPr>
                <w:i/>
                <w:color w:val="auto"/>
              </w:rPr>
              <w:t>Cdh1</w:t>
            </w:r>
          </w:p>
        </w:tc>
      </w:tr>
      <w:tr w:rsidR="001A4860" w:rsidRPr="001A4860" w:rsidTr="00B21D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il"/>
            </w:tcBorders>
          </w:tcPr>
          <w:p w:rsidR="00AA2A97" w:rsidRPr="001A4860" w:rsidRDefault="00AA2A97" w:rsidP="003309C7">
            <w:pPr>
              <w:rPr>
                <w:i/>
                <w:color w:val="auto"/>
                <w:vertAlign w:val="superscript"/>
              </w:rPr>
            </w:pPr>
            <w:r w:rsidRPr="001A4860">
              <w:rPr>
                <w:i/>
                <w:color w:val="auto"/>
                <w:sz w:val="20"/>
                <w:szCs w:val="20"/>
              </w:rPr>
              <w:t>Grhl3</w:t>
            </w:r>
            <w:r w:rsidRPr="001A4860">
              <w:rPr>
                <w:i/>
                <w:color w:val="auto"/>
                <w:vertAlign w:val="superscript"/>
              </w:rPr>
              <w:t xml:space="preserve">f/f </w:t>
            </w:r>
            <w:r w:rsidRPr="001A4860">
              <w:rPr>
                <w:color w:val="auto"/>
                <w:vertAlign w:val="superscript"/>
              </w:rPr>
              <w:t xml:space="preserve">or </w:t>
            </w:r>
            <w:r w:rsidRPr="001A4860">
              <w:rPr>
                <w:i/>
                <w:color w:val="auto"/>
                <w:vertAlign w:val="superscript"/>
              </w:rPr>
              <w:t>f/+</w:t>
            </w:r>
          </w:p>
        </w:tc>
        <w:tc>
          <w:tcPr>
            <w:tcW w:w="1086" w:type="dxa"/>
            <w:tcBorders>
              <w:bottom w:val="nil"/>
            </w:tcBorders>
          </w:tcPr>
          <w:p w:rsidR="00AA2A97" w:rsidRPr="001A4860" w:rsidRDefault="00AA2A97" w:rsidP="003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A4860">
              <w:rPr>
                <w:color w:val="auto"/>
              </w:rPr>
              <w:t>3-7</w:t>
            </w:r>
          </w:p>
        </w:tc>
        <w:tc>
          <w:tcPr>
            <w:tcW w:w="1417" w:type="dxa"/>
            <w:tcBorders>
              <w:bottom w:val="nil"/>
            </w:tcBorders>
          </w:tcPr>
          <w:p w:rsidR="00AA2A97" w:rsidRPr="001A4860" w:rsidRDefault="00AA2A97" w:rsidP="003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0"/>
              </w:rPr>
            </w:pPr>
            <w:r w:rsidRPr="001A4860">
              <w:rPr>
                <w:color w:val="auto"/>
                <w:szCs w:val="20"/>
              </w:rPr>
              <w:t>1.02±0.07</w:t>
            </w:r>
          </w:p>
        </w:tc>
        <w:tc>
          <w:tcPr>
            <w:tcW w:w="1139" w:type="dxa"/>
            <w:tcBorders>
              <w:bottom w:val="nil"/>
            </w:tcBorders>
          </w:tcPr>
          <w:p w:rsidR="00AA2A97" w:rsidRPr="001A4860" w:rsidRDefault="00AA2A97" w:rsidP="003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0"/>
              </w:rPr>
            </w:pPr>
            <w:r w:rsidRPr="001A4860">
              <w:rPr>
                <w:color w:val="auto"/>
                <w:szCs w:val="20"/>
              </w:rPr>
              <w:t>0.89 ± 0.15</w:t>
            </w:r>
          </w:p>
        </w:tc>
        <w:tc>
          <w:tcPr>
            <w:tcW w:w="0" w:type="auto"/>
            <w:tcBorders>
              <w:bottom w:val="nil"/>
            </w:tcBorders>
          </w:tcPr>
          <w:p w:rsidR="00AA2A97" w:rsidRPr="001A4860" w:rsidRDefault="00AA2A97" w:rsidP="003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0"/>
              </w:rPr>
            </w:pPr>
            <w:r w:rsidRPr="001A4860">
              <w:rPr>
                <w:color w:val="auto"/>
                <w:szCs w:val="20"/>
              </w:rPr>
              <w:t>1.12 ± 0.12</w:t>
            </w:r>
          </w:p>
        </w:tc>
        <w:tc>
          <w:tcPr>
            <w:tcW w:w="0" w:type="auto"/>
            <w:tcBorders>
              <w:bottom w:val="nil"/>
            </w:tcBorders>
          </w:tcPr>
          <w:p w:rsidR="00AA2A97" w:rsidRPr="001A4860" w:rsidRDefault="00AA2A97" w:rsidP="003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0"/>
              </w:rPr>
            </w:pPr>
            <w:r w:rsidRPr="001A4860">
              <w:rPr>
                <w:color w:val="auto"/>
                <w:szCs w:val="20"/>
              </w:rPr>
              <w:t>1.02 ± 0.15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AA2A97" w:rsidRPr="001A4860" w:rsidRDefault="00AA2A97" w:rsidP="003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0"/>
              </w:rPr>
            </w:pPr>
            <w:r w:rsidRPr="001A4860">
              <w:rPr>
                <w:color w:val="auto"/>
                <w:szCs w:val="20"/>
              </w:rPr>
              <w:t>0.93±0.08</w:t>
            </w:r>
          </w:p>
        </w:tc>
        <w:tc>
          <w:tcPr>
            <w:tcW w:w="0" w:type="auto"/>
            <w:tcBorders>
              <w:bottom w:val="nil"/>
            </w:tcBorders>
          </w:tcPr>
          <w:p w:rsidR="00AA2A97" w:rsidRPr="001A4860" w:rsidRDefault="00AA2A97" w:rsidP="003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0"/>
              </w:rPr>
            </w:pPr>
            <w:r w:rsidRPr="001A4860">
              <w:rPr>
                <w:color w:val="auto"/>
                <w:szCs w:val="20"/>
              </w:rPr>
              <w:t>1.00 ± 0.0</w:t>
            </w:r>
          </w:p>
        </w:tc>
      </w:tr>
      <w:tr w:rsidR="001A4860" w:rsidRPr="001A4860" w:rsidTr="00B21D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4" w:space="0" w:color="auto"/>
            </w:tcBorders>
          </w:tcPr>
          <w:p w:rsidR="00AA2A97" w:rsidRPr="001A4860" w:rsidRDefault="00AA2A97" w:rsidP="003309C7">
            <w:pPr>
              <w:rPr>
                <w:i/>
                <w:color w:val="auto"/>
                <w:vertAlign w:val="superscript"/>
              </w:rPr>
            </w:pPr>
            <w:r w:rsidRPr="001A4860">
              <w:rPr>
                <w:i/>
                <w:color w:val="auto"/>
                <w:sz w:val="20"/>
                <w:szCs w:val="20"/>
              </w:rPr>
              <w:t>Grhl3</w:t>
            </w:r>
            <w:r w:rsidRPr="001A4860">
              <w:rPr>
                <w:i/>
                <w:color w:val="auto"/>
                <w:vertAlign w:val="superscript"/>
              </w:rPr>
              <w:t>-/-</w:t>
            </w:r>
          </w:p>
        </w:tc>
        <w:tc>
          <w:tcPr>
            <w:tcW w:w="1086" w:type="dxa"/>
            <w:tcBorders>
              <w:top w:val="nil"/>
              <w:bottom w:val="single" w:sz="4" w:space="0" w:color="auto"/>
            </w:tcBorders>
          </w:tcPr>
          <w:p w:rsidR="00AA2A97" w:rsidRPr="001A4860" w:rsidRDefault="00AA2A97" w:rsidP="003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A4860">
              <w:rPr>
                <w:color w:val="auto"/>
              </w:rPr>
              <w:t>4-8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A2A97" w:rsidRPr="001A4860" w:rsidRDefault="00AA2A97" w:rsidP="003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Cs w:val="20"/>
              </w:rPr>
            </w:pPr>
            <w:r w:rsidRPr="001A4860">
              <w:rPr>
                <w:b/>
                <w:color w:val="auto"/>
                <w:szCs w:val="20"/>
              </w:rPr>
              <w:t>0.02±0.02**</w:t>
            </w:r>
          </w:p>
        </w:tc>
        <w:tc>
          <w:tcPr>
            <w:tcW w:w="1139" w:type="dxa"/>
            <w:tcBorders>
              <w:top w:val="nil"/>
              <w:bottom w:val="single" w:sz="4" w:space="0" w:color="auto"/>
            </w:tcBorders>
          </w:tcPr>
          <w:p w:rsidR="00AA2A97" w:rsidRPr="001A4860" w:rsidRDefault="00AA2A97" w:rsidP="003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0"/>
              </w:rPr>
            </w:pPr>
            <w:r w:rsidRPr="001A4860">
              <w:rPr>
                <w:color w:val="auto"/>
                <w:szCs w:val="20"/>
              </w:rPr>
              <w:t>0.66 ± 0.07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AA2A97" w:rsidRPr="001A4860" w:rsidRDefault="00AA2A97" w:rsidP="003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0"/>
              </w:rPr>
            </w:pPr>
            <w:r w:rsidRPr="001A4860">
              <w:rPr>
                <w:color w:val="auto"/>
                <w:szCs w:val="20"/>
              </w:rPr>
              <w:t>0.97 ± 0.16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AA2A97" w:rsidRPr="001A4860" w:rsidRDefault="00AA2A97" w:rsidP="003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Cs w:val="20"/>
              </w:rPr>
            </w:pPr>
            <w:r w:rsidRPr="001A4860">
              <w:rPr>
                <w:b/>
                <w:color w:val="auto"/>
                <w:szCs w:val="20"/>
              </w:rPr>
              <w:t>0.56 ± 0.12*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2A97" w:rsidRPr="001A4860" w:rsidRDefault="00AA2A97" w:rsidP="003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Cs w:val="20"/>
              </w:rPr>
            </w:pPr>
            <w:r w:rsidRPr="001A4860">
              <w:rPr>
                <w:b/>
                <w:color w:val="auto"/>
                <w:szCs w:val="20"/>
              </w:rPr>
              <w:t>0.53±0.06**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AA2A97" w:rsidRPr="001A4860" w:rsidRDefault="00AA2A97" w:rsidP="003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Cs w:val="20"/>
              </w:rPr>
            </w:pPr>
            <w:r w:rsidRPr="001A4860">
              <w:rPr>
                <w:b/>
                <w:color w:val="auto"/>
                <w:szCs w:val="20"/>
              </w:rPr>
              <w:t>0.70 ± 0.05*</w:t>
            </w:r>
          </w:p>
        </w:tc>
      </w:tr>
    </w:tbl>
    <w:p w:rsidR="00AA2A97" w:rsidRPr="001A4860" w:rsidRDefault="00AA2A97" w:rsidP="00365D03">
      <w:pPr>
        <w:spacing w:after="0" w:line="240" w:lineRule="auto"/>
        <w:rPr>
          <w:b/>
        </w:rPr>
      </w:pPr>
    </w:p>
    <w:p w:rsidR="00365D03" w:rsidRPr="001A4860" w:rsidRDefault="00365D03" w:rsidP="00365D03">
      <w:pPr>
        <w:spacing w:after="0" w:line="240" w:lineRule="auto"/>
      </w:pPr>
      <w:r w:rsidRPr="001A4860">
        <w:rPr>
          <w:b/>
        </w:rPr>
        <w:t>Table S</w:t>
      </w:r>
      <w:r w:rsidR="000C173E" w:rsidRPr="001A4860">
        <w:rPr>
          <w:b/>
        </w:rPr>
        <w:t>2</w:t>
      </w:r>
      <w:r w:rsidRPr="001A4860">
        <w:rPr>
          <w:b/>
        </w:rPr>
        <w:t xml:space="preserve">. </w:t>
      </w:r>
      <w:proofErr w:type="gramStart"/>
      <w:r w:rsidRPr="001A4860">
        <w:rPr>
          <w:b/>
        </w:rPr>
        <w:t xml:space="preserve">Expression of </w:t>
      </w:r>
      <w:r w:rsidR="00236498" w:rsidRPr="001A4860">
        <w:rPr>
          <w:b/>
        </w:rPr>
        <w:t xml:space="preserve">known targets of </w:t>
      </w:r>
      <w:r w:rsidR="00236498" w:rsidRPr="001A4860">
        <w:rPr>
          <w:b/>
          <w:i/>
        </w:rPr>
        <w:t xml:space="preserve">Grhl3 </w:t>
      </w:r>
      <w:r w:rsidR="00236498" w:rsidRPr="001A4860">
        <w:rPr>
          <w:b/>
        </w:rPr>
        <w:t>in epithelia or epidermis</w:t>
      </w:r>
      <w:r w:rsidRPr="001A4860">
        <w:rPr>
          <w:b/>
        </w:rPr>
        <w:t xml:space="preserve"> in the caudal region of </w:t>
      </w:r>
      <w:r w:rsidRPr="001A4860">
        <w:rPr>
          <w:b/>
          <w:i/>
        </w:rPr>
        <w:t>Grhl3</w:t>
      </w:r>
      <w:r w:rsidRPr="001A4860">
        <w:rPr>
          <w:b/>
        </w:rPr>
        <w:t xml:space="preserve"> null </w:t>
      </w:r>
      <w:r w:rsidR="00236498" w:rsidRPr="001A4860">
        <w:rPr>
          <w:b/>
        </w:rPr>
        <w:t>embryos at E10.5.</w:t>
      </w:r>
      <w:proofErr w:type="gramEnd"/>
      <w:r w:rsidR="00236498" w:rsidRPr="001A4860">
        <w:rPr>
          <w:b/>
        </w:rPr>
        <w:t xml:space="preserve"> </w:t>
      </w:r>
      <w:r w:rsidR="00236498" w:rsidRPr="001A4860">
        <w:t>Genes encode keratins (</w:t>
      </w:r>
      <w:r w:rsidR="00236498" w:rsidRPr="001A4860">
        <w:rPr>
          <w:i/>
        </w:rPr>
        <w:t>Krt5</w:t>
      </w:r>
      <w:r w:rsidR="00236498" w:rsidRPr="001A4860">
        <w:t xml:space="preserve">, </w:t>
      </w:r>
      <w:r w:rsidR="00236498" w:rsidRPr="001A4860">
        <w:rPr>
          <w:i/>
        </w:rPr>
        <w:t>8</w:t>
      </w:r>
      <w:r w:rsidR="00236498" w:rsidRPr="001A4860">
        <w:t xml:space="preserve">, </w:t>
      </w:r>
      <w:r w:rsidR="00236498" w:rsidRPr="001A4860">
        <w:rPr>
          <w:i/>
        </w:rPr>
        <w:t>18</w:t>
      </w:r>
      <w:r w:rsidR="00236498" w:rsidRPr="001A4860">
        <w:t xml:space="preserve">), </w:t>
      </w:r>
      <w:proofErr w:type="spellStart"/>
      <w:r w:rsidR="00236498" w:rsidRPr="001A4860">
        <w:t>loricrin</w:t>
      </w:r>
      <w:proofErr w:type="spellEnd"/>
      <w:r w:rsidR="00236498" w:rsidRPr="001A4860">
        <w:t xml:space="preserve"> (</w:t>
      </w:r>
      <w:proofErr w:type="spellStart"/>
      <w:r w:rsidR="00236498" w:rsidRPr="001A4860">
        <w:rPr>
          <w:i/>
        </w:rPr>
        <w:t>Lor</w:t>
      </w:r>
      <w:proofErr w:type="spellEnd"/>
      <w:r w:rsidR="00236498" w:rsidRPr="001A4860">
        <w:t>), transglutaminase 1 (</w:t>
      </w:r>
      <w:r w:rsidR="00236498" w:rsidRPr="001A4860">
        <w:rPr>
          <w:i/>
        </w:rPr>
        <w:t>Tgm1</w:t>
      </w:r>
      <w:r w:rsidR="00236498" w:rsidRPr="001A4860">
        <w:t>) and E-cadherin (</w:t>
      </w:r>
      <w:r w:rsidR="00236498" w:rsidRPr="001A4860">
        <w:rPr>
          <w:i/>
        </w:rPr>
        <w:t>Cdh1</w:t>
      </w:r>
      <w:r w:rsidR="00236498" w:rsidRPr="001A4860">
        <w:t xml:space="preserve">). </w:t>
      </w:r>
      <w:proofErr w:type="gramStart"/>
      <w:r w:rsidRPr="001A4860">
        <w:t>mRNA</w:t>
      </w:r>
      <w:proofErr w:type="gramEnd"/>
      <w:r w:rsidRPr="001A4860">
        <w:t xml:space="preserve"> abundance was determined by qRT-PCR with data normalised to the control (</w:t>
      </w:r>
      <w:r w:rsidRPr="001A4860">
        <w:rPr>
          <w:i/>
        </w:rPr>
        <w:t>Grhl3</w:t>
      </w:r>
      <w:r w:rsidRPr="001A4860">
        <w:rPr>
          <w:i/>
          <w:vertAlign w:val="superscript"/>
        </w:rPr>
        <w:t>f/f</w:t>
      </w:r>
      <w:r w:rsidR="00AA2A97" w:rsidRPr="001A4860">
        <w:t xml:space="preserve"> </w:t>
      </w:r>
      <w:r w:rsidRPr="001A4860">
        <w:t xml:space="preserve">) within each group. </w:t>
      </w:r>
      <w:r w:rsidR="001A4860" w:rsidRPr="001A4860">
        <w:t>Values represent mean ± S</w:t>
      </w:r>
      <w:r w:rsidR="00E502D2">
        <w:t>EM</w:t>
      </w:r>
      <w:bookmarkStart w:id="0" w:name="_GoBack"/>
      <w:bookmarkEnd w:id="0"/>
      <w:r w:rsidR="001A4860" w:rsidRPr="001A4860">
        <w:t xml:space="preserve">. </w:t>
      </w:r>
      <w:r w:rsidRPr="001A4860">
        <w:t>Significant difference from control (</w:t>
      </w:r>
      <w:r w:rsidRPr="001A4860">
        <w:rPr>
          <w:i/>
        </w:rPr>
        <w:t>Grhl3</w:t>
      </w:r>
      <w:r w:rsidRPr="001A4860">
        <w:rPr>
          <w:i/>
          <w:vertAlign w:val="superscript"/>
        </w:rPr>
        <w:t>f/f</w:t>
      </w:r>
      <w:r w:rsidRPr="001A4860">
        <w:t>) within group (**p&lt;0.005, *p&lt;0.05; ANOVA). ND: not determined.</w:t>
      </w:r>
    </w:p>
    <w:p w:rsidR="0027417C" w:rsidRDefault="0027417C" w:rsidP="00365D03">
      <w:pPr>
        <w:spacing w:after="0" w:line="240" w:lineRule="auto"/>
      </w:pPr>
    </w:p>
    <w:sectPr w:rsidR="002741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331" w:rsidRDefault="00207331" w:rsidP="001C3ED5">
      <w:pPr>
        <w:spacing w:after="0" w:line="240" w:lineRule="auto"/>
      </w:pPr>
      <w:r>
        <w:separator/>
      </w:r>
    </w:p>
  </w:endnote>
  <w:endnote w:type="continuationSeparator" w:id="0">
    <w:p w:rsidR="00207331" w:rsidRDefault="00207331" w:rsidP="001C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331" w:rsidRDefault="00207331" w:rsidP="001C3ED5">
      <w:pPr>
        <w:spacing w:after="0" w:line="240" w:lineRule="auto"/>
      </w:pPr>
      <w:r>
        <w:separator/>
      </w:r>
    </w:p>
  </w:footnote>
  <w:footnote w:type="continuationSeparator" w:id="0">
    <w:p w:rsidR="00207331" w:rsidRDefault="00207331" w:rsidP="001C3E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18B"/>
    <w:rsid w:val="000C173E"/>
    <w:rsid w:val="000C2F2C"/>
    <w:rsid w:val="000E2B1B"/>
    <w:rsid w:val="00121902"/>
    <w:rsid w:val="00130111"/>
    <w:rsid w:val="00141495"/>
    <w:rsid w:val="00147B3F"/>
    <w:rsid w:val="00166A50"/>
    <w:rsid w:val="001A1FFC"/>
    <w:rsid w:val="001A2AD7"/>
    <w:rsid w:val="001A4860"/>
    <w:rsid w:val="001C3ED5"/>
    <w:rsid w:val="001C54A1"/>
    <w:rsid w:val="001F5350"/>
    <w:rsid w:val="00207331"/>
    <w:rsid w:val="00236498"/>
    <w:rsid w:val="0027417C"/>
    <w:rsid w:val="002A591B"/>
    <w:rsid w:val="002C0FAE"/>
    <w:rsid w:val="002C7406"/>
    <w:rsid w:val="00340071"/>
    <w:rsid w:val="00365D03"/>
    <w:rsid w:val="003A1F99"/>
    <w:rsid w:val="003F20BB"/>
    <w:rsid w:val="00450458"/>
    <w:rsid w:val="004A3628"/>
    <w:rsid w:val="004A618B"/>
    <w:rsid w:val="004B0D01"/>
    <w:rsid w:val="004C4AB1"/>
    <w:rsid w:val="00521B03"/>
    <w:rsid w:val="00547454"/>
    <w:rsid w:val="005A59DA"/>
    <w:rsid w:val="005D704F"/>
    <w:rsid w:val="006A3DD2"/>
    <w:rsid w:val="006A7822"/>
    <w:rsid w:val="006E5E1C"/>
    <w:rsid w:val="00756EE8"/>
    <w:rsid w:val="00783417"/>
    <w:rsid w:val="007B41A9"/>
    <w:rsid w:val="008B6F92"/>
    <w:rsid w:val="008E5336"/>
    <w:rsid w:val="00951794"/>
    <w:rsid w:val="00A126CE"/>
    <w:rsid w:val="00A55B1A"/>
    <w:rsid w:val="00A902D2"/>
    <w:rsid w:val="00AA2A97"/>
    <w:rsid w:val="00AB7C56"/>
    <w:rsid w:val="00AF54FB"/>
    <w:rsid w:val="00B12D8E"/>
    <w:rsid w:val="00B20845"/>
    <w:rsid w:val="00B21DE3"/>
    <w:rsid w:val="00B43D72"/>
    <w:rsid w:val="00B46950"/>
    <w:rsid w:val="00B525C6"/>
    <w:rsid w:val="00BB506F"/>
    <w:rsid w:val="00BC2D72"/>
    <w:rsid w:val="00BD196B"/>
    <w:rsid w:val="00BF5190"/>
    <w:rsid w:val="00BF66E1"/>
    <w:rsid w:val="00C21745"/>
    <w:rsid w:val="00C33CB3"/>
    <w:rsid w:val="00C3488D"/>
    <w:rsid w:val="00C47B1A"/>
    <w:rsid w:val="00C57E4E"/>
    <w:rsid w:val="00C86516"/>
    <w:rsid w:val="00C955CA"/>
    <w:rsid w:val="00CC01A3"/>
    <w:rsid w:val="00CD5476"/>
    <w:rsid w:val="00CE0B7F"/>
    <w:rsid w:val="00CE35FB"/>
    <w:rsid w:val="00CE4279"/>
    <w:rsid w:val="00CF1C95"/>
    <w:rsid w:val="00D03086"/>
    <w:rsid w:val="00D13C2E"/>
    <w:rsid w:val="00D22D49"/>
    <w:rsid w:val="00D7454F"/>
    <w:rsid w:val="00DD3F4F"/>
    <w:rsid w:val="00DD6090"/>
    <w:rsid w:val="00DF74CA"/>
    <w:rsid w:val="00E34528"/>
    <w:rsid w:val="00E47172"/>
    <w:rsid w:val="00E502D2"/>
    <w:rsid w:val="00EA1CAB"/>
    <w:rsid w:val="00EC0191"/>
    <w:rsid w:val="00EC0688"/>
    <w:rsid w:val="00ED276B"/>
    <w:rsid w:val="00ED4465"/>
    <w:rsid w:val="00ED5A5F"/>
    <w:rsid w:val="00ED6D6F"/>
    <w:rsid w:val="00EF2F50"/>
    <w:rsid w:val="00F40B7E"/>
    <w:rsid w:val="00F52015"/>
    <w:rsid w:val="00F57B79"/>
    <w:rsid w:val="00FC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18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D03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365D03"/>
    <w:pPr>
      <w:ind w:left="720"/>
      <w:contextualSpacing/>
    </w:pPr>
  </w:style>
  <w:style w:type="table" w:styleId="LightShading">
    <w:name w:val="Light Shading"/>
    <w:basedOn w:val="TableNormal"/>
    <w:uiPriority w:val="60"/>
    <w:rsid w:val="00365D03"/>
    <w:pPr>
      <w:spacing w:after="0" w:line="240" w:lineRule="auto"/>
    </w:pPr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ext">
    <w:name w:val="Text"/>
    <w:rsid w:val="00365D03"/>
    <w:rPr>
      <w:rFonts w:ascii="Arial" w:hAnsi="Arial"/>
      <w:b/>
      <w:sz w:val="24"/>
    </w:rPr>
  </w:style>
  <w:style w:type="character" w:styleId="Strong">
    <w:name w:val="Strong"/>
    <w:basedOn w:val="DefaultParagraphFont"/>
    <w:qFormat/>
    <w:rsid w:val="00365D03"/>
    <w:rPr>
      <w:b/>
      <w:bCs/>
    </w:rPr>
  </w:style>
  <w:style w:type="character" w:styleId="Emphasis">
    <w:name w:val="Emphasis"/>
    <w:basedOn w:val="DefaultParagraphFont"/>
    <w:uiPriority w:val="20"/>
    <w:qFormat/>
    <w:rsid w:val="00365D03"/>
    <w:rPr>
      <w:i/>
      <w:iCs/>
    </w:rPr>
  </w:style>
  <w:style w:type="table" w:styleId="TableGrid">
    <w:name w:val="Table Grid"/>
    <w:basedOn w:val="TableNormal"/>
    <w:uiPriority w:val="59"/>
    <w:rsid w:val="00C57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3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ED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C3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ED5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D6D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D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6D6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528"/>
    <w:rPr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18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D03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365D03"/>
    <w:pPr>
      <w:ind w:left="720"/>
      <w:contextualSpacing/>
    </w:pPr>
  </w:style>
  <w:style w:type="table" w:styleId="LightShading">
    <w:name w:val="Light Shading"/>
    <w:basedOn w:val="TableNormal"/>
    <w:uiPriority w:val="60"/>
    <w:rsid w:val="00365D03"/>
    <w:pPr>
      <w:spacing w:after="0" w:line="240" w:lineRule="auto"/>
    </w:pPr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ext">
    <w:name w:val="Text"/>
    <w:rsid w:val="00365D03"/>
    <w:rPr>
      <w:rFonts w:ascii="Arial" w:hAnsi="Arial"/>
      <w:b/>
      <w:sz w:val="24"/>
    </w:rPr>
  </w:style>
  <w:style w:type="character" w:styleId="Strong">
    <w:name w:val="Strong"/>
    <w:basedOn w:val="DefaultParagraphFont"/>
    <w:qFormat/>
    <w:rsid w:val="00365D03"/>
    <w:rPr>
      <w:b/>
      <w:bCs/>
    </w:rPr>
  </w:style>
  <w:style w:type="character" w:styleId="Emphasis">
    <w:name w:val="Emphasis"/>
    <w:basedOn w:val="DefaultParagraphFont"/>
    <w:uiPriority w:val="20"/>
    <w:qFormat/>
    <w:rsid w:val="00365D03"/>
    <w:rPr>
      <w:i/>
      <w:iCs/>
    </w:rPr>
  </w:style>
  <w:style w:type="table" w:styleId="TableGrid">
    <w:name w:val="Table Grid"/>
    <w:basedOn w:val="TableNormal"/>
    <w:uiPriority w:val="59"/>
    <w:rsid w:val="00C57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3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ED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C3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ED5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D6D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D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6D6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528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 = '1.0' encoding = 'UTF-8' standalone = 'yes'?>
<Relationships xmlns="http://schemas.openxmlformats.org/package/2006/relationships">
   <Relationship Id="rId1" Type="http://schemas.openxmlformats.org/officeDocument/2006/relationships/styles" Target="styles.xml"/>
   <Relationship Id="rId10" Type="http://schemas.openxmlformats.org/officeDocument/2006/relationships/theme" Target="theme/theme1.xml"/>
   <Relationship Id="rId2" Type="http://schemas.microsoft.com/office/2007/relationships/stylesWithEffects" Target="stylesWithEffects.xml"/>
   <Relationship Id="rId3" Type="http://schemas.openxmlformats.org/officeDocument/2006/relationships/settings" Target="settings.xml"/>
   <Relationship Id="rId4" Type="http://schemas.openxmlformats.org/officeDocument/2006/relationships/webSettings" Target="webSettings.xml"/>
   <Relationship Id="rId5" Type="http://schemas.openxmlformats.org/officeDocument/2006/relationships/footnotes" Target="footnotes.xml"/>
   <Relationship Id="rId6" Type="http://schemas.openxmlformats.org/officeDocument/2006/relationships/endnotes" Target="endnotes.xml"/>
   <Relationship Id="rId7" Type="http://schemas.openxmlformats.org/officeDocument/2006/relationships/image" Target="media/image1.jpg"/>
   <Relationship Id="rId8" Type="http://schemas.openxmlformats.org/officeDocument/2006/relationships/image" Target="media/image2.tiff"/>
   <Relationship Id="rId9" Type="http://schemas.openxmlformats.org/officeDocument/2006/relationships/fontTable" Target="fontTable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  <Manager/>
  <HyperlinkBas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