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A5521" w:rsidRDefault="00AA5521" w:rsidP="001234B5">
      <w:pPr>
        <w:pStyle w:val="Title"/>
        <w:spacing w:line="480" w:lineRule="auto"/>
        <w:jc w:val="both"/>
        <w:rPr>
          <w:rFonts w:ascii="Arial" w:hAnsi="Arial" w:cs="Arial"/>
          <w:sz w:val="44"/>
          <w:szCs w:val="44"/>
        </w:rPr>
      </w:pPr>
      <w:r w:rsidRPr="00676DB2">
        <w:rPr>
          <w:rFonts w:ascii="Arial" w:hAnsi="Arial" w:cs="Arial"/>
          <w:sz w:val="44"/>
          <w:szCs w:val="44"/>
        </w:rPr>
        <w:t xml:space="preserve">High </w:t>
      </w:r>
      <w:r>
        <w:rPr>
          <w:rFonts w:ascii="Arial" w:hAnsi="Arial" w:cs="Arial"/>
          <w:sz w:val="44"/>
          <w:szCs w:val="44"/>
        </w:rPr>
        <w:t xml:space="preserve">spatial </w:t>
      </w:r>
      <w:r w:rsidRPr="00676DB2">
        <w:rPr>
          <w:rFonts w:ascii="Arial" w:hAnsi="Arial" w:cs="Arial"/>
          <w:sz w:val="44"/>
          <w:szCs w:val="44"/>
        </w:rPr>
        <w:t xml:space="preserve">resolution LA-ICP-MS demonstrates massive liver copper depletion in Wilson disease rats upon </w:t>
      </w:r>
      <w:r>
        <w:rPr>
          <w:rFonts w:ascii="Arial" w:hAnsi="Arial" w:cs="Arial"/>
          <w:sz w:val="44"/>
          <w:szCs w:val="44"/>
        </w:rPr>
        <w:t>M</w:t>
      </w:r>
      <w:r w:rsidRPr="00676DB2">
        <w:rPr>
          <w:rFonts w:ascii="Arial" w:hAnsi="Arial" w:cs="Arial"/>
          <w:sz w:val="44"/>
          <w:szCs w:val="44"/>
        </w:rPr>
        <w:t>ethanobactin treatment</w:t>
      </w:r>
    </w:p>
    <w:p w:rsidR="00AA5521" w:rsidRPr="00E8618B" w:rsidRDefault="00AA5521" w:rsidP="00E8618B"/>
    <w:p w:rsidR="00AA5521" w:rsidRPr="00E70C26" w:rsidRDefault="00AA5521" w:rsidP="00C90566">
      <w:pPr>
        <w:spacing w:line="480" w:lineRule="auto"/>
        <w:jc w:val="both"/>
        <w:rPr>
          <w:rFonts w:ascii="Arial" w:hAnsi="Arial" w:cs="Arial"/>
          <w:sz w:val="24"/>
          <w:szCs w:val="24"/>
          <w:vertAlign w:val="superscript"/>
          <w:lang w:val="de-DE"/>
        </w:rPr>
      </w:pPr>
      <w:r w:rsidRPr="00E70C26">
        <w:rPr>
          <w:rFonts w:ascii="Arial" w:hAnsi="Arial" w:cs="Arial"/>
          <w:sz w:val="24"/>
          <w:szCs w:val="24"/>
          <w:lang w:val="de-DE"/>
        </w:rPr>
        <w:t>Jennifer-Christin Müller</w:t>
      </w:r>
      <w:r w:rsidRPr="00E70C26">
        <w:rPr>
          <w:rFonts w:ascii="Arial" w:hAnsi="Arial" w:cs="Arial"/>
          <w:sz w:val="24"/>
          <w:szCs w:val="24"/>
          <w:vertAlign w:val="superscript"/>
          <w:lang w:val="de-DE"/>
        </w:rPr>
        <w:t>a</w:t>
      </w:r>
      <w:r w:rsidRPr="00E70C26">
        <w:rPr>
          <w:rFonts w:ascii="Arial" w:hAnsi="Arial" w:cs="Arial"/>
          <w:sz w:val="24"/>
          <w:szCs w:val="24"/>
          <w:lang w:val="de-DE"/>
        </w:rPr>
        <w:t>, Josef Lichtmannegger</w:t>
      </w:r>
      <w:r w:rsidRPr="00E70C26">
        <w:rPr>
          <w:rFonts w:ascii="Arial" w:hAnsi="Arial" w:cs="Arial"/>
          <w:sz w:val="24"/>
          <w:szCs w:val="24"/>
          <w:vertAlign w:val="superscript"/>
          <w:lang w:val="de-DE"/>
        </w:rPr>
        <w:t>b</w:t>
      </w:r>
      <w:r w:rsidRPr="00E70C26">
        <w:rPr>
          <w:rFonts w:ascii="Arial" w:hAnsi="Arial" w:cs="Arial"/>
          <w:sz w:val="24"/>
          <w:szCs w:val="24"/>
          <w:lang w:val="de-DE"/>
        </w:rPr>
        <w:t xml:space="preserve">, Hans </w:t>
      </w:r>
      <w:r w:rsidRPr="003D38E0">
        <w:rPr>
          <w:rFonts w:ascii="Arial" w:hAnsi="Arial" w:cs="Arial"/>
          <w:sz w:val="24"/>
          <w:szCs w:val="24"/>
          <w:lang w:val="de-DE"/>
        </w:rPr>
        <w:t>Zischka</w:t>
      </w:r>
      <w:r w:rsidRPr="003D38E0">
        <w:rPr>
          <w:rFonts w:ascii="Arial" w:hAnsi="Arial" w:cs="Arial"/>
          <w:sz w:val="24"/>
          <w:szCs w:val="24"/>
          <w:vertAlign w:val="superscript"/>
          <w:lang w:val="de-DE"/>
        </w:rPr>
        <w:t>b,c</w:t>
      </w:r>
      <w:r w:rsidRPr="00E70C26">
        <w:rPr>
          <w:rFonts w:ascii="Arial" w:hAnsi="Arial" w:cs="Arial"/>
          <w:sz w:val="24"/>
          <w:szCs w:val="24"/>
          <w:lang w:val="de-DE"/>
        </w:rPr>
        <w:t>, Michael Sperling</w:t>
      </w:r>
      <w:r>
        <w:rPr>
          <w:rFonts w:ascii="Arial" w:hAnsi="Arial" w:cs="Arial"/>
          <w:sz w:val="24"/>
          <w:szCs w:val="24"/>
          <w:vertAlign w:val="superscript"/>
          <w:lang w:val="de-DE"/>
        </w:rPr>
        <w:t>a,d</w:t>
      </w:r>
      <w:r w:rsidRPr="00E70C26">
        <w:rPr>
          <w:rFonts w:ascii="Arial" w:hAnsi="Arial" w:cs="Arial"/>
          <w:sz w:val="24"/>
          <w:szCs w:val="24"/>
          <w:lang w:val="de-DE"/>
        </w:rPr>
        <w:t>, and Uwe Karst</w:t>
      </w:r>
      <w:r w:rsidRPr="00E70C26">
        <w:rPr>
          <w:rFonts w:ascii="Arial" w:hAnsi="Arial" w:cs="Arial"/>
          <w:sz w:val="24"/>
          <w:szCs w:val="24"/>
          <w:vertAlign w:val="superscript"/>
          <w:lang w:val="de-DE"/>
        </w:rPr>
        <w:t>a,</w:t>
      </w:r>
      <w:r w:rsidRPr="00E70C26">
        <w:rPr>
          <w:rFonts w:ascii="Arial" w:hAnsi="Arial" w:cs="Arial"/>
          <w:sz w:val="24"/>
          <w:szCs w:val="24"/>
          <w:lang w:val="de-DE"/>
        </w:rPr>
        <w:t>*</w:t>
      </w:r>
    </w:p>
    <w:p w:rsidR="00AA5521" w:rsidRPr="00E70C26" w:rsidRDefault="00AA5521" w:rsidP="00C90566">
      <w:pPr>
        <w:spacing w:line="480" w:lineRule="auto"/>
        <w:jc w:val="both"/>
        <w:rPr>
          <w:rFonts w:ascii="Arial" w:hAnsi="Arial" w:cs="Arial"/>
          <w:sz w:val="24"/>
          <w:szCs w:val="24"/>
          <w:vertAlign w:val="superscript"/>
          <w:lang w:val="de-DE"/>
        </w:rPr>
      </w:pPr>
    </w:p>
    <w:p w:rsidR="00AA5521" w:rsidRPr="00E70C26" w:rsidRDefault="00AA5521" w:rsidP="00C938C1">
      <w:pPr>
        <w:spacing w:line="480" w:lineRule="auto"/>
        <w:jc w:val="both"/>
        <w:rPr>
          <w:rFonts w:ascii="Arial" w:hAnsi="Arial" w:cs="Arial"/>
          <w:sz w:val="24"/>
          <w:szCs w:val="24"/>
        </w:rPr>
      </w:pPr>
      <w:r w:rsidRPr="00E70C26">
        <w:rPr>
          <w:rFonts w:ascii="Arial" w:hAnsi="Arial" w:cs="Arial"/>
          <w:sz w:val="24"/>
          <w:szCs w:val="24"/>
          <w:vertAlign w:val="superscript"/>
        </w:rPr>
        <w:t>a</w:t>
      </w:r>
      <w:r>
        <w:rPr>
          <w:rFonts w:ascii="Arial" w:hAnsi="Arial" w:cs="Arial"/>
          <w:sz w:val="24"/>
          <w:szCs w:val="24"/>
        </w:rPr>
        <w:t> </w:t>
      </w:r>
      <w:r w:rsidRPr="00E70C26">
        <w:rPr>
          <w:rFonts w:ascii="Arial" w:hAnsi="Arial" w:cs="Arial"/>
          <w:sz w:val="24"/>
          <w:szCs w:val="24"/>
        </w:rPr>
        <w:t>University of Münster, Institute of Inorganic and Analytical Chemistry, Corrensstraße 30, 48149 Münster, Germany</w:t>
      </w:r>
    </w:p>
    <w:p w:rsidR="00AA5521" w:rsidRPr="003D38E0" w:rsidRDefault="00AA5521" w:rsidP="00C938C1">
      <w:pPr>
        <w:spacing w:line="480" w:lineRule="auto"/>
        <w:jc w:val="both"/>
        <w:rPr>
          <w:rFonts w:ascii="Arial" w:hAnsi="Arial" w:cs="Arial"/>
          <w:sz w:val="24"/>
          <w:szCs w:val="24"/>
          <w:lang w:val="en-GB"/>
        </w:rPr>
      </w:pPr>
      <w:r w:rsidRPr="003D38E0">
        <w:rPr>
          <w:rFonts w:ascii="Arial" w:hAnsi="Arial" w:cs="Arial"/>
          <w:sz w:val="24"/>
          <w:szCs w:val="24"/>
          <w:vertAlign w:val="superscript"/>
        </w:rPr>
        <w:t xml:space="preserve">b </w:t>
      </w:r>
      <w:r w:rsidRPr="003D38E0">
        <w:rPr>
          <w:rFonts w:ascii="Arial" w:hAnsi="Arial" w:cs="Arial"/>
          <w:sz w:val="24"/>
          <w:szCs w:val="24"/>
        </w:rPr>
        <w:t xml:space="preserve">Institute of Molecular Toxicology and Pharmacology, Helmholtz Center Munich, German Research Center for Environmental Health, 85764 Neuherberg, </w:t>
      </w:r>
      <w:r>
        <w:rPr>
          <w:rFonts w:ascii="Arial" w:hAnsi="Arial" w:cs="Arial"/>
          <w:sz w:val="24"/>
          <w:szCs w:val="24"/>
          <w:lang w:val="en-GB"/>
        </w:rPr>
        <w:t>Germany</w:t>
      </w:r>
    </w:p>
    <w:p w:rsidR="00AA5521" w:rsidRPr="003D38E0" w:rsidRDefault="00AA5521" w:rsidP="00C938C1">
      <w:pPr>
        <w:spacing w:line="480" w:lineRule="auto"/>
        <w:jc w:val="both"/>
        <w:rPr>
          <w:rFonts w:ascii="Arial" w:hAnsi="Arial" w:cs="Arial"/>
          <w:sz w:val="24"/>
          <w:szCs w:val="24"/>
          <w:lang w:val="en-GB"/>
        </w:rPr>
      </w:pPr>
      <w:r w:rsidRPr="003D38E0">
        <w:rPr>
          <w:rFonts w:ascii="Arial" w:hAnsi="Arial" w:cs="Arial"/>
          <w:sz w:val="24"/>
          <w:szCs w:val="24"/>
          <w:vertAlign w:val="superscript"/>
          <w:lang w:val="en-GB"/>
        </w:rPr>
        <w:t xml:space="preserve">c </w:t>
      </w:r>
      <w:r w:rsidRPr="003D38E0">
        <w:rPr>
          <w:rFonts w:ascii="Arial" w:hAnsi="Arial" w:cs="Arial"/>
          <w:sz w:val="24"/>
          <w:szCs w:val="24"/>
        </w:rPr>
        <w:t xml:space="preserve">Institute of Toxicology and Environmental Hygiene, Technical University Munich, </w:t>
      </w:r>
      <w:r>
        <w:rPr>
          <w:rFonts w:ascii="Arial" w:hAnsi="Arial" w:cs="Arial"/>
          <w:sz w:val="24"/>
          <w:szCs w:val="24"/>
          <w:lang w:val="en-GB"/>
        </w:rPr>
        <w:t>80802 Munich, Germany</w:t>
      </w:r>
    </w:p>
    <w:p w:rsidR="00AA5521" w:rsidRPr="00E70C26" w:rsidRDefault="00AA5521" w:rsidP="00C938C1">
      <w:pPr>
        <w:spacing w:line="480" w:lineRule="auto"/>
        <w:jc w:val="both"/>
        <w:rPr>
          <w:rFonts w:ascii="Arial" w:hAnsi="Arial" w:cs="Arial"/>
          <w:sz w:val="24"/>
          <w:szCs w:val="24"/>
        </w:rPr>
      </w:pPr>
      <w:r>
        <w:rPr>
          <w:rFonts w:ascii="Arial" w:hAnsi="Arial" w:cs="Arial"/>
          <w:sz w:val="24"/>
          <w:szCs w:val="24"/>
          <w:vertAlign w:val="superscript"/>
        </w:rPr>
        <w:t>d</w:t>
      </w:r>
      <w:r>
        <w:rPr>
          <w:rFonts w:ascii="Arial" w:hAnsi="Arial" w:cs="Arial"/>
          <w:sz w:val="24"/>
          <w:szCs w:val="24"/>
        </w:rPr>
        <w:t> </w:t>
      </w:r>
      <w:r w:rsidRPr="00E70C26">
        <w:rPr>
          <w:rFonts w:ascii="Arial" w:hAnsi="Arial" w:cs="Arial"/>
          <w:sz w:val="24"/>
          <w:szCs w:val="24"/>
        </w:rPr>
        <w:t>European Virtual Institute for Speciation Analysis (EVISA), Mendelstraße 11, 48149 Münster, Germany</w:t>
      </w:r>
    </w:p>
    <w:p w:rsidR="00AA5521" w:rsidRPr="00E70C26" w:rsidRDefault="00AA5521" w:rsidP="00C90566">
      <w:pPr>
        <w:spacing w:line="480" w:lineRule="auto"/>
        <w:jc w:val="both"/>
        <w:rPr>
          <w:rFonts w:ascii="Arial" w:hAnsi="Arial" w:cs="Arial"/>
          <w:sz w:val="24"/>
          <w:szCs w:val="24"/>
        </w:rPr>
      </w:pPr>
    </w:p>
    <w:p w:rsidR="00AA5521" w:rsidRPr="00E70C26" w:rsidRDefault="00AA5521" w:rsidP="00C90566">
      <w:pPr>
        <w:spacing w:line="480" w:lineRule="auto"/>
        <w:jc w:val="both"/>
        <w:rPr>
          <w:rFonts w:ascii="Arial" w:hAnsi="Arial" w:cs="Arial"/>
          <w:sz w:val="24"/>
          <w:szCs w:val="24"/>
        </w:rPr>
      </w:pPr>
      <w:r>
        <w:rPr>
          <w:rFonts w:ascii="Arial" w:hAnsi="Arial" w:cs="Arial"/>
          <w:sz w:val="24"/>
          <w:szCs w:val="24"/>
        </w:rPr>
        <w:t>* </w:t>
      </w:r>
      <w:r w:rsidRPr="00E70C26">
        <w:rPr>
          <w:rFonts w:ascii="Arial" w:hAnsi="Arial" w:cs="Arial"/>
          <w:sz w:val="24"/>
          <w:szCs w:val="24"/>
        </w:rPr>
        <w:t>Corresponding author: Uwe Karst, uk@uni-muenster.de, phone +49 251/83-33141, fax +49 251/83-36013</w:t>
      </w:r>
    </w:p>
    <w:p w:rsidR="00AA5521" w:rsidRPr="00E70C26" w:rsidRDefault="00AA5521" w:rsidP="00AB50DD">
      <w:pPr>
        <w:jc w:val="both"/>
        <w:rPr>
          <w:rFonts w:ascii="Arial" w:hAnsi="Arial" w:cs="Arial"/>
          <w:sz w:val="24"/>
          <w:szCs w:val="24"/>
        </w:rPr>
      </w:pPr>
      <w:r w:rsidRPr="00E70C26">
        <w:rPr>
          <w:rFonts w:ascii="Arial" w:hAnsi="Arial" w:cs="Arial"/>
          <w:sz w:val="24"/>
          <w:szCs w:val="24"/>
        </w:rPr>
        <w:br w:type="page"/>
      </w:r>
    </w:p>
    <w:p w:rsidR="00AA5521" w:rsidRPr="00E70C26" w:rsidRDefault="00AA5521" w:rsidP="00C90566">
      <w:pPr>
        <w:spacing w:line="480" w:lineRule="auto"/>
        <w:jc w:val="both"/>
        <w:rPr>
          <w:rFonts w:ascii="Arial" w:hAnsi="Arial" w:cs="Arial"/>
          <w:b/>
          <w:sz w:val="24"/>
          <w:szCs w:val="24"/>
        </w:rPr>
      </w:pPr>
      <w:r w:rsidRPr="00E70C26">
        <w:rPr>
          <w:rFonts w:ascii="Arial" w:hAnsi="Arial" w:cs="Arial"/>
          <w:b/>
          <w:sz w:val="24"/>
          <w:szCs w:val="24"/>
        </w:rPr>
        <w:t>Abbreviations</w:t>
      </w:r>
    </w:p>
    <w:p w:rsidR="00AA5521" w:rsidRPr="00E70C26" w:rsidRDefault="00AA5521" w:rsidP="00C90566">
      <w:pPr>
        <w:spacing w:line="480" w:lineRule="auto"/>
        <w:jc w:val="both"/>
        <w:rPr>
          <w:rFonts w:ascii="Arial" w:hAnsi="Arial" w:cs="Arial"/>
          <w:sz w:val="24"/>
          <w:szCs w:val="24"/>
          <w:u w:val="words"/>
        </w:rPr>
      </w:pPr>
      <w:r w:rsidRPr="00676DB2">
        <w:rPr>
          <w:rFonts w:ascii="Arial" w:hAnsi="Arial" w:cs="Arial"/>
          <w:caps/>
          <w:sz w:val="24"/>
          <w:szCs w:val="24"/>
        </w:rPr>
        <w:t>d</w:t>
      </w:r>
      <w:r w:rsidRPr="00E70C26">
        <w:rPr>
          <w:rFonts w:ascii="Arial" w:hAnsi="Arial" w:cs="Arial"/>
          <w:sz w:val="24"/>
          <w:szCs w:val="24"/>
        </w:rPr>
        <w:t xml:space="preserve">-PA, </w:t>
      </w:r>
      <w:r>
        <w:rPr>
          <w:rFonts w:ascii="Arial" w:hAnsi="Arial" w:cs="Arial"/>
          <w:sz w:val="24"/>
          <w:szCs w:val="24"/>
        </w:rPr>
        <w:t>D</w:t>
      </w:r>
      <w:r w:rsidRPr="00E70C26">
        <w:rPr>
          <w:rFonts w:ascii="Arial" w:hAnsi="Arial" w:cs="Arial"/>
          <w:sz w:val="24"/>
          <w:szCs w:val="24"/>
        </w:rPr>
        <w:t>-penicillamin; ICP-OES, inductively coupled plasma-optical emission spectroscopy; LA-ICP-MS, laser ablation-inductively c</w:t>
      </w:r>
      <w:r>
        <w:rPr>
          <w:rFonts w:ascii="Arial" w:hAnsi="Arial" w:cs="Arial"/>
          <w:sz w:val="24"/>
          <w:szCs w:val="24"/>
        </w:rPr>
        <w:t>oupled plasma-mass spectrometry; MB, Methanobactin; WD, Wilson</w:t>
      </w:r>
      <w:r w:rsidRPr="00E70C26">
        <w:rPr>
          <w:rFonts w:ascii="Arial" w:hAnsi="Arial" w:cs="Arial"/>
          <w:sz w:val="24"/>
          <w:szCs w:val="24"/>
        </w:rPr>
        <w:t xml:space="preserve"> disease</w:t>
      </w:r>
    </w:p>
    <w:p w:rsidR="00AA5521" w:rsidRPr="00E70C26" w:rsidRDefault="00AA5521" w:rsidP="00C90566">
      <w:pPr>
        <w:spacing w:line="480" w:lineRule="auto"/>
        <w:jc w:val="both"/>
        <w:rPr>
          <w:rFonts w:ascii="Arial" w:hAnsi="Arial" w:cs="Arial"/>
          <w:b/>
          <w:sz w:val="24"/>
          <w:szCs w:val="24"/>
        </w:rPr>
      </w:pPr>
      <w:r w:rsidRPr="00E70C26">
        <w:rPr>
          <w:rFonts w:ascii="Arial" w:hAnsi="Arial" w:cs="Arial"/>
          <w:b/>
          <w:sz w:val="24"/>
          <w:szCs w:val="24"/>
        </w:rPr>
        <w:t>Abstract</w:t>
      </w:r>
    </w:p>
    <w:p w:rsidR="00AA5521" w:rsidRPr="00676DB2" w:rsidRDefault="00AA5521" w:rsidP="00C90566">
      <w:pPr>
        <w:spacing w:line="480" w:lineRule="auto"/>
        <w:jc w:val="both"/>
        <w:rPr>
          <w:rFonts w:ascii="Arial" w:hAnsi="Arial" w:cs="Arial"/>
          <w:sz w:val="24"/>
          <w:szCs w:val="24"/>
        </w:rPr>
      </w:pPr>
      <w:r>
        <w:rPr>
          <w:rFonts w:ascii="Arial" w:hAnsi="Arial" w:cs="Arial"/>
          <w:sz w:val="24"/>
          <w:szCs w:val="24"/>
        </w:rPr>
        <w:t>Wilson</w:t>
      </w:r>
      <w:r w:rsidRPr="00E70C26">
        <w:rPr>
          <w:rFonts w:ascii="Arial" w:hAnsi="Arial" w:cs="Arial"/>
          <w:sz w:val="24"/>
          <w:szCs w:val="24"/>
        </w:rPr>
        <w:t xml:space="preserve"> disease</w:t>
      </w:r>
      <w:r>
        <w:rPr>
          <w:rFonts w:ascii="Arial" w:hAnsi="Arial" w:cs="Arial"/>
          <w:sz w:val="24"/>
          <w:szCs w:val="24"/>
        </w:rPr>
        <w:t xml:space="preserve"> (WD)</w:t>
      </w:r>
      <w:r w:rsidRPr="00E70C26">
        <w:rPr>
          <w:rFonts w:ascii="Arial" w:hAnsi="Arial" w:cs="Arial"/>
          <w:sz w:val="24"/>
          <w:szCs w:val="24"/>
        </w:rPr>
        <w:t xml:space="preserve"> is a rare genetic disorder of the copper metabolism leading to </w:t>
      </w:r>
      <w:r w:rsidRPr="00676DB2">
        <w:rPr>
          <w:rFonts w:ascii="Arial" w:hAnsi="Arial" w:cs="Arial"/>
          <w:sz w:val="24"/>
          <w:szCs w:val="24"/>
        </w:rPr>
        <w:t xml:space="preserve">systemic copper accumulation, predominantly in the liver. The therapeutic approach in WD patients is the generation of a negative copper balance and the maintenance of copper homeostasis, currently by the use of copper chelators such as </w:t>
      </w:r>
      <w:r w:rsidRPr="00676DB2">
        <w:rPr>
          <w:rFonts w:ascii="Arial" w:hAnsi="Arial" w:cs="Arial"/>
          <w:caps/>
          <w:sz w:val="24"/>
          <w:szCs w:val="24"/>
        </w:rPr>
        <w:t>d</w:t>
      </w:r>
      <w:r w:rsidRPr="00676DB2">
        <w:rPr>
          <w:rFonts w:ascii="Arial" w:hAnsi="Arial" w:cs="Arial"/>
          <w:sz w:val="24"/>
          <w:szCs w:val="24"/>
        </w:rPr>
        <w:t>-penicillamine (D-PA). However, in circumstances of delayed diagnosis, poor treatment compliance, or treatment failure, mortality is almost certain without hepatic transplantation. Moreover, even after years of D-PA treatment, high liver copper levels are present in WD patients.</w:t>
      </w:r>
    </w:p>
    <w:p w:rsidR="00AA5521" w:rsidRPr="00676DB2" w:rsidRDefault="00AA5521" w:rsidP="00C90566">
      <w:pPr>
        <w:spacing w:line="480" w:lineRule="auto"/>
        <w:jc w:val="both"/>
        <w:rPr>
          <w:rFonts w:ascii="Arial" w:hAnsi="Arial" w:cs="Arial"/>
          <w:sz w:val="24"/>
          <w:szCs w:val="24"/>
        </w:rPr>
      </w:pPr>
      <w:r w:rsidRPr="00676DB2">
        <w:rPr>
          <w:rFonts w:ascii="Arial" w:hAnsi="Arial" w:cs="Arial"/>
          <w:sz w:val="24"/>
          <w:szCs w:val="24"/>
        </w:rPr>
        <w:t>We have recently suggested th</w:t>
      </w:r>
      <w:r>
        <w:rPr>
          <w:rFonts w:ascii="Arial" w:hAnsi="Arial" w:cs="Arial"/>
          <w:sz w:val="24"/>
          <w:szCs w:val="24"/>
        </w:rPr>
        <w:t>e use of the bacterial peptide M</w:t>
      </w:r>
      <w:r w:rsidRPr="00676DB2">
        <w:rPr>
          <w:rFonts w:ascii="Arial" w:hAnsi="Arial" w:cs="Arial"/>
          <w:sz w:val="24"/>
          <w:szCs w:val="24"/>
        </w:rPr>
        <w:t xml:space="preserve">ethanobactin (MB), which has an outstanding binding affinity for copper, as potentially efficient and patient-friendly remedy against copper damage in WD. Here we substantiate these findings considerably, by demonstrating a significant removal of copper from liver samples of WD rats upon short, one week only, MB treatments. Using laser ablation-inductively coupled plasma-mass spectrometry with a spatial resolution down to 4 µm, we demonstrate that only small copper hotspots remain in MB treated animal livers. We further demonstrate in WD rat livers, seven weeks after the stopped MB treatment, a lower liver copper concentration as compared to untreated </w:t>
      </w:r>
      <w:r>
        <w:rPr>
          <w:rFonts w:ascii="Arial" w:hAnsi="Arial" w:cs="Arial"/>
          <w:sz w:val="24"/>
          <w:szCs w:val="24"/>
        </w:rPr>
        <w:t xml:space="preserve">control </w:t>
      </w:r>
      <w:r w:rsidRPr="00676DB2">
        <w:rPr>
          <w:rFonts w:ascii="Arial" w:hAnsi="Arial" w:cs="Arial"/>
          <w:sz w:val="24"/>
          <w:szCs w:val="24"/>
        </w:rPr>
        <w:t>animal</w:t>
      </w:r>
      <w:r>
        <w:rPr>
          <w:rFonts w:ascii="Arial" w:hAnsi="Arial" w:cs="Arial"/>
          <w:sz w:val="24"/>
          <w:szCs w:val="24"/>
        </w:rPr>
        <w:t>s</w:t>
      </w:r>
      <w:r w:rsidRPr="00676DB2">
        <w:rPr>
          <w:rFonts w:ascii="Arial" w:hAnsi="Arial" w:cs="Arial"/>
          <w:sz w:val="24"/>
          <w:szCs w:val="24"/>
        </w:rPr>
        <w:t xml:space="preserve">. Thus, MB highly efficiently depletes liver copper overload with a sustained therapeutic effect. </w:t>
      </w:r>
    </w:p>
    <w:p w:rsidR="00AA5521" w:rsidRPr="00E70C26" w:rsidRDefault="00AA5521" w:rsidP="00C90566">
      <w:pPr>
        <w:spacing w:line="480" w:lineRule="auto"/>
        <w:jc w:val="both"/>
        <w:rPr>
          <w:rFonts w:ascii="Arial" w:hAnsi="Arial" w:cs="Arial"/>
          <w:b/>
          <w:sz w:val="24"/>
          <w:szCs w:val="24"/>
        </w:rPr>
      </w:pPr>
      <w:r>
        <w:rPr>
          <w:rFonts w:ascii="Arial" w:hAnsi="Arial" w:cs="Arial"/>
          <w:b/>
          <w:color w:val="FF0000"/>
          <w:sz w:val="24"/>
          <w:szCs w:val="24"/>
        </w:rPr>
        <w:br w:type="column"/>
      </w:r>
      <w:r w:rsidRPr="00E70C26">
        <w:rPr>
          <w:rFonts w:ascii="Arial" w:hAnsi="Arial" w:cs="Arial"/>
          <w:b/>
          <w:sz w:val="24"/>
          <w:szCs w:val="24"/>
        </w:rPr>
        <w:t>Keywords</w:t>
      </w:r>
    </w:p>
    <w:p w:rsidR="00AA5521" w:rsidRPr="00E70C26" w:rsidRDefault="00AA5521" w:rsidP="00C90566">
      <w:pPr>
        <w:spacing w:after="0" w:line="480" w:lineRule="auto"/>
        <w:jc w:val="both"/>
        <w:rPr>
          <w:rFonts w:ascii="Arial" w:hAnsi="Arial" w:cs="Arial"/>
          <w:sz w:val="24"/>
          <w:szCs w:val="24"/>
        </w:rPr>
      </w:pPr>
      <w:r w:rsidRPr="00E70C26">
        <w:rPr>
          <w:rFonts w:ascii="Arial" w:hAnsi="Arial" w:cs="Arial"/>
          <w:sz w:val="24"/>
          <w:szCs w:val="24"/>
        </w:rPr>
        <w:t>Elemental bioimaging</w:t>
      </w:r>
    </w:p>
    <w:p w:rsidR="00AA5521" w:rsidRPr="00E70C26" w:rsidRDefault="00AA5521" w:rsidP="00C90566">
      <w:pPr>
        <w:spacing w:after="0" w:line="480" w:lineRule="auto"/>
        <w:jc w:val="both"/>
        <w:rPr>
          <w:rFonts w:ascii="Arial" w:hAnsi="Arial" w:cs="Arial"/>
          <w:sz w:val="24"/>
          <w:szCs w:val="24"/>
        </w:rPr>
      </w:pPr>
      <w:r w:rsidRPr="00E70C26">
        <w:rPr>
          <w:rFonts w:ascii="Arial" w:hAnsi="Arial" w:cs="Arial"/>
          <w:sz w:val="24"/>
          <w:szCs w:val="24"/>
        </w:rPr>
        <w:t>Laser ablation-inductively coupled plasma-mass spectrometry (LA-ICP-MS)</w:t>
      </w:r>
    </w:p>
    <w:p w:rsidR="00AA5521" w:rsidRPr="00E70C26" w:rsidRDefault="00AA5521" w:rsidP="00C90566">
      <w:pPr>
        <w:spacing w:after="0" w:line="480" w:lineRule="auto"/>
        <w:jc w:val="both"/>
        <w:rPr>
          <w:rFonts w:ascii="Arial" w:hAnsi="Arial" w:cs="Arial"/>
          <w:sz w:val="24"/>
          <w:szCs w:val="24"/>
        </w:rPr>
      </w:pPr>
      <w:r>
        <w:rPr>
          <w:rFonts w:ascii="Arial" w:hAnsi="Arial" w:cs="Arial"/>
          <w:sz w:val="24"/>
          <w:szCs w:val="24"/>
        </w:rPr>
        <w:t>Wilson</w:t>
      </w:r>
      <w:r w:rsidRPr="00E70C26">
        <w:rPr>
          <w:rFonts w:ascii="Arial" w:hAnsi="Arial" w:cs="Arial"/>
          <w:sz w:val="24"/>
          <w:szCs w:val="24"/>
        </w:rPr>
        <w:t xml:space="preserve"> disease</w:t>
      </w:r>
    </w:p>
    <w:p w:rsidR="00AA5521" w:rsidRPr="00E70C26" w:rsidRDefault="00AA5521" w:rsidP="00C90566">
      <w:pPr>
        <w:spacing w:after="0" w:line="480" w:lineRule="auto"/>
        <w:jc w:val="both"/>
        <w:rPr>
          <w:rFonts w:ascii="Arial" w:hAnsi="Arial" w:cs="Arial"/>
          <w:sz w:val="24"/>
          <w:szCs w:val="24"/>
        </w:rPr>
      </w:pPr>
      <w:r w:rsidRPr="00E70C26">
        <w:rPr>
          <w:rFonts w:ascii="Arial" w:hAnsi="Arial" w:cs="Arial"/>
          <w:sz w:val="24"/>
          <w:szCs w:val="24"/>
        </w:rPr>
        <w:t>Methanobactin</w:t>
      </w:r>
    </w:p>
    <w:p w:rsidR="00AA5521" w:rsidRPr="00E70C26" w:rsidRDefault="00AA5521" w:rsidP="00C90566">
      <w:pPr>
        <w:spacing w:after="0" w:line="480" w:lineRule="auto"/>
        <w:jc w:val="both"/>
        <w:rPr>
          <w:rFonts w:ascii="Arial" w:hAnsi="Arial" w:cs="Arial"/>
          <w:sz w:val="24"/>
          <w:szCs w:val="24"/>
        </w:rPr>
      </w:pPr>
      <w:r w:rsidRPr="00E70C26">
        <w:rPr>
          <w:rFonts w:ascii="Arial" w:hAnsi="Arial" w:cs="Arial"/>
          <w:sz w:val="24"/>
          <w:szCs w:val="24"/>
        </w:rPr>
        <w:t>Chelation therapy</w:t>
      </w:r>
    </w:p>
    <w:p w:rsidR="00AA5521" w:rsidRPr="00E70C26" w:rsidRDefault="00AA5521" w:rsidP="00C90566">
      <w:pPr>
        <w:spacing w:after="0" w:line="480" w:lineRule="auto"/>
        <w:jc w:val="both"/>
        <w:rPr>
          <w:rFonts w:ascii="Arial" w:hAnsi="Arial" w:cs="Arial"/>
          <w:sz w:val="24"/>
          <w:szCs w:val="24"/>
        </w:rPr>
      </w:pPr>
      <w:r w:rsidRPr="00E70C26">
        <w:rPr>
          <w:rFonts w:ascii="Arial" w:hAnsi="Arial" w:cs="Arial"/>
          <w:sz w:val="24"/>
          <w:szCs w:val="24"/>
        </w:rPr>
        <w:t>Copper</w:t>
      </w:r>
    </w:p>
    <w:p w:rsidR="00AA5521" w:rsidRPr="00E70C26" w:rsidRDefault="00AA5521" w:rsidP="00C90566">
      <w:pPr>
        <w:spacing w:after="0" w:line="480" w:lineRule="auto"/>
        <w:jc w:val="both"/>
        <w:rPr>
          <w:rFonts w:ascii="Arial" w:hAnsi="Arial" w:cs="Arial"/>
          <w:sz w:val="24"/>
          <w:szCs w:val="24"/>
        </w:rPr>
      </w:pPr>
    </w:p>
    <w:p w:rsidR="00AA5521" w:rsidRPr="00E70C26" w:rsidRDefault="00AA5521" w:rsidP="00C90566">
      <w:pPr>
        <w:spacing w:line="480" w:lineRule="auto"/>
        <w:jc w:val="both"/>
        <w:rPr>
          <w:rFonts w:ascii="Arial" w:hAnsi="Arial" w:cs="Arial"/>
          <w:b/>
          <w:sz w:val="24"/>
          <w:szCs w:val="24"/>
        </w:rPr>
      </w:pPr>
      <w:r w:rsidRPr="00E70C26">
        <w:rPr>
          <w:rFonts w:ascii="Arial" w:hAnsi="Arial" w:cs="Arial"/>
          <w:b/>
          <w:sz w:val="24"/>
          <w:szCs w:val="24"/>
        </w:rPr>
        <w:t xml:space="preserve">Highlights </w:t>
      </w:r>
    </w:p>
    <w:p w:rsidR="00AA5521" w:rsidRPr="00E70C26" w:rsidRDefault="00AA5521" w:rsidP="00C90566">
      <w:pPr>
        <w:pStyle w:val="ListParagraph"/>
        <w:numPr>
          <w:ilvl w:val="0"/>
          <w:numId w:val="1"/>
        </w:numPr>
        <w:spacing w:line="480" w:lineRule="auto"/>
        <w:jc w:val="both"/>
        <w:rPr>
          <w:rFonts w:ascii="Arial" w:hAnsi="Arial" w:cs="Arial"/>
          <w:sz w:val="24"/>
          <w:szCs w:val="24"/>
        </w:rPr>
      </w:pPr>
      <w:r w:rsidRPr="00E70C26">
        <w:rPr>
          <w:rFonts w:ascii="Arial" w:hAnsi="Arial" w:cs="Arial"/>
          <w:sz w:val="24"/>
          <w:szCs w:val="24"/>
        </w:rPr>
        <w:t>Spatial resolution of 4 µm was achieved with LA-ICP-MS for liver tissue.</w:t>
      </w:r>
    </w:p>
    <w:p w:rsidR="00AA5521" w:rsidRPr="00E70C26" w:rsidRDefault="00AA5521" w:rsidP="00C90566">
      <w:pPr>
        <w:pStyle w:val="ListParagraph"/>
        <w:numPr>
          <w:ilvl w:val="0"/>
          <w:numId w:val="1"/>
        </w:numPr>
        <w:spacing w:line="480" w:lineRule="auto"/>
        <w:jc w:val="both"/>
        <w:rPr>
          <w:rFonts w:ascii="Arial" w:hAnsi="Arial" w:cs="Arial"/>
          <w:sz w:val="24"/>
          <w:szCs w:val="24"/>
        </w:rPr>
      </w:pPr>
      <w:r w:rsidRPr="00E70C26">
        <w:rPr>
          <w:rFonts w:ascii="Arial" w:hAnsi="Arial" w:cs="Arial"/>
          <w:sz w:val="24"/>
          <w:szCs w:val="24"/>
        </w:rPr>
        <w:t xml:space="preserve">LA-ICP-MS shows </w:t>
      </w:r>
      <w:r>
        <w:rPr>
          <w:rFonts w:ascii="Arial" w:hAnsi="Arial" w:cs="Arial"/>
          <w:sz w:val="24"/>
          <w:szCs w:val="24"/>
        </w:rPr>
        <w:t>the copper removal capacity of M</w:t>
      </w:r>
      <w:r w:rsidRPr="00E70C26">
        <w:rPr>
          <w:rFonts w:ascii="Arial" w:hAnsi="Arial" w:cs="Arial"/>
          <w:sz w:val="24"/>
          <w:szCs w:val="24"/>
        </w:rPr>
        <w:t>ethanobactin treatment.</w:t>
      </w:r>
    </w:p>
    <w:p w:rsidR="00AA5521" w:rsidRPr="00E70C26" w:rsidRDefault="00AA5521" w:rsidP="00C90566">
      <w:pPr>
        <w:pStyle w:val="ListParagraph"/>
        <w:numPr>
          <w:ilvl w:val="0"/>
          <w:numId w:val="1"/>
        </w:numPr>
        <w:spacing w:line="480" w:lineRule="auto"/>
        <w:jc w:val="both"/>
        <w:rPr>
          <w:rFonts w:ascii="Arial" w:hAnsi="Arial" w:cs="Arial"/>
          <w:sz w:val="24"/>
          <w:szCs w:val="24"/>
        </w:rPr>
      </w:pPr>
      <w:r w:rsidRPr="00E70C26">
        <w:rPr>
          <w:rFonts w:ascii="Arial" w:hAnsi="Arial" w:cs="Arial"/>
          <w:sz w:val="24"/>
          <w:szCs w:val="24"/>
        </w:rPr>
        <w:t>Small copper hotspots were observed after the treatment.</w:t>
      </w:r>
    </w:p>
    <w:p w:rsidR="00AA5521" w:rsidRPr="00E70C26" w:rsidRDefault="00AA5521" w:rsidP="00C90566">
      <w:pPr>
        <w:pStyle w:val="ListParagraph"/>
        <w:numPr>
          <w:ilvl w:val="0"/>
          <w:numId w:val="1"/>
        </w:numPr>
        <w:spacing w:line="480" w:lineRule="auto"/>
        <w:jc w:val="both"/>
        <w:rPr>
          <w:rFonts w:ascii="Arial" w:hAnsi="Arial" w:cs="Arial"/>
          <w:sz w:val="24"/>
          <w:szCs w:val="24"/>
        </w:rPr>
      </w:pPr>
      <w:r w:rsidRPr="00E70C26">
        <w:rPr>
          <w:rFonts w:ascii="Arial" w:hAnsi="Arial" w:cs="Arial"/>
          <w:sz w:val="24"/>
          <w:szCs w:val="24"/>
        </w:rPr>
        <w:t xml:space="preserve">Copper reaccumulation takes place after seven weeks of </w:t>
      </w:r>
      <w:r w:rsidRPr="00283B4A">
        <w:rPr>
          <w:rFonts w:ascii="Arial" w:hAnsi="Arial" w:cs="Arial"/>
          <w:sz w:val="24"/>
          <w:szCs w:val="24"/>
        </w:rPr>
        <w:t>treatment stop.</w:t>
      </w:r>
    </w:p>
    <w:p w:rsidR="00AA5521" w:rsidRPr="00E70C26" w:rsidRDefault="00AA5521" w:rsidP="00C90566">
      <w:pPr>
        <w:spacing w:line="480" w:lineRule="auto"/>
        <w:jc w:val="both"/>
        <w:rPr>
          <w:rFonts w:ascii="Arial" w:hAnsi="Arial" w:cs="Arial"/>
          <w:b/>
          <w:sz w:val="24"/>
          <w:szCs w:val="24"/>
        </w:rPr>
      </w:pPr>
      <w:r w:rsidRPr="00E70C26">
        <w:rPr>
          <w:rFonts w:ascii="Arial" w:hAnsi="Arial" w:cs="Arial"/>
          <w:b/>
          <w:sz w:val="24"/>
          <w:szCs w:val="24"/>
        </w:rPr>
        <w:br w:type="column"/>
        <w:t>Introduction</w:t>
      </w:r>
    </w:p>
    <w:p w:rsidR="00AA5521" w:rsidRPr="00E70C26" w:rsidRDefault="00AA5521" w:rsidP="00C90566">
      <w:pPr>
        <w:spacing w:line="480" w:lineRule="auto"/>
        <w:jc w:val="both"/>
        <w:rPr>
          <w:rFonts w:ascii="Arial" w:hAnsi="Arial" w:cs="Arial"/>
          <w:sz w:val="24"/>
          <w:szCs w:val="24"/>
        </w:rPr>
      </w:pPr>
      <w:r w:rsidRPr="00E70C26">
        <w:rPr>
          <w:rFonts w:ascii="Arial" w:hAnsi="Arial" w:cs="Arial"/>
          <w:sz w:val="24"/>
          <w:szCs w:val="24"/>
        </w:rPr>
        <w:t>Copper is an essential trace element for humans and animals, which is needed as cofactor for enzymes</w:t>
      </w:r>
      <w:r>
        <w:rPr>
          <w:rFonts w:ascii="Arial" w:hAnsi="Arial" w:cs="Arial"/>
          <w:sz w:val="24"/>
          <w:szCs w:val="24"/>
        </w:rPr>
        <w:t>,</w:t>
      </w:r>
      <w:r w:rsidRPr="00E70C26">
        <w:rPr>
          <w:rFonts w:ascii="Arial" w:hAnsi="Arial" w:cs="Arial"/>
          <w:sz w:val="24"/>
          <w:szCs w:val="24"/>
        </w:rPr>
        <w:t xml:space="preserve"> taking part in cell metabolism or blood coagulation for example.</w:t>
      </w:r>
      <w:r>
        <w:rPr>
          <w:rFonts w:ascii="Arial" w:hAnsi="Arial" w:cs="Arial"/>
          <w:sz w:val="24"/>
          <w:szCs w:val="24"/>
        </w:rPr>
        <w:fldChar w:fldCharType="begin" w:fldLock="1"/>
      </w:r>
      <w:r>
        <w:rPr>
          <w:rFonts w:ascii="Arial" w:hAnsi="Arial" w:cs="Arial"/>
          <w:sz w:val="24"/>
          <w:szCs w:val="24"/>
        </w:rPr>
        <w:instrText>ADDIN CSL_CITATION { "citationItems" : [ { "id" : "ITEM-1", "itemData" : { "DOI" : "10.1038/nchembio.72", "ISBN" : "1552-4469 (Electronic)\\r1552-4450 (Linking)", "ISSN" : "1552-4469", "PMID" : "18277979", "abstract" : "Copper (Cu) is a redox-active metal ion essential for most aerobic organisms. Cu serves as a catalytic and structural cofactor for enzymes that function in energy generation, iron acquisition, oxygen transport, cellular metabolism, peptide hormone maturation, blood clotting, signal transduction and a host of other processes. The inability to control Cu balance is associated with genetic diseases of overload and deficiency and has recently been tied to neurodegenerative disorders and fungal virulence. The essential nature of Cu, the existence of human genetic disorders of Cu metabolism and the potential impact of Cu deposition in the environment have been driving forces for detailed investigations in microbial and eukaryotic model systems. Here we review recent advances in the identification and function of cellular and systemic molecules that drive Cu accumulation, distribution and sensing.", "author" : [ { "dropping-particle" : "", "family" : "Kim", "given" : "Byung-Eun", "non-dropping-particle" : "", "parse-names" : false, "suffix" : "" }, { "dropping-particle" : "", "family" : "Nevitt", "given" : "Tracy", "non-dropping-particle" : "", "parse-names" : false, "suffix" : "" }, { "dropping-particle" : "", "family" : "Thiele", "given" : "Dennis J", "non-dropping-particle" : "", "parse-names" : false, "suffix" : "" } ], "container-title" : "Nature chemical biology", "id" : "ITEM-1", "issue" : "3", "issued" : { "date-parts" : [ [ "2008" ] ] }, "note" : "function of Cu in body\nCu-homeostasis\n90% of serum Cu bound to ceruloplasmin", "page" : "176-185", "title" : "Mechanisms for copper acquisition, distribution and regulation.", "type" : "article-journal", "volume" : "4" }, "uris" : [ "http://www.mendeley.com/documents/?uuid=c9f25980-fb20-4ea1-ad77-6b4585b23ef2" ] } ], "mendeley" : { "formattedCitation" : "[1]", "plainTextFormattedCitation" : "[1]", "previouslyFormattedCitation" : "[1]" }, "properties" : {  }, "schema" : "https://github.com/citation-style-language/schema/raw/master/csl-citation.json" }</w:instrText>
      </w:r>
      <w:r>
        <w:rPr>
          <w:rFonts w:ascii="Arial" w:hAnsi="Arial" w:cs="Arial"/>
          <w:sz w:val="24"/>
          <w:szCs w:val="24"/>
        </w:rPr>
        <w:fldChar w:fldCharType="separate"/>
      </w:r>
      <w:r w:rsidRPr="00E70C26">
        <w:rPr>
          <w:rFonts w:ascii="Arial" w:hAnsi="Arial" w:cs="Arial"/>
          <w:noProof/>
          <w:sz w:val="24"/>
          <w:szCs w:val="24"/>
        </w:rPr>
        <w:t>[1]</w:t>
      </w:r>
      <w:r>
        <w:rPr>
          <w:rFonts w:ascii="Arial" w:hAnsi="Arial" w:cs="Arial"/>
          <w:sz w:val="24"/>
          <w:szCs w:val="24"/>
        </w:rPr>
        <w:fldChar w:fldCharType="end"/>
      </w:r>
      <w:r w:rsidRPr="00E70C26">
        <w:rPr>
          <w:rFonts w:ascii="Arial" w:hAnsi="Arial" w:cs="Arial"/>
          <w:sz w:val="24"/>
          <w:szCs w:val="24"/>
        </w:rPr>
        <w:t xml:space="preserve"> Especially in mitochondria, copper is used to control oxidative stress and for oxygen utilization.</w:t>
      </w:r>
      <w:r>
        <w:rPr>
          <w:rFonts w:ascii="Arial" w:hAnsi="Arial" w:cs="Arial"/>
          <w:sz w:val="24"/>
          <w:szCs w:val="24"/>
        </w:rPr>
        <w:fldChar w:fldCharType="begin" w:fldLock="1"/>
      </w:r>
      <w:r>
        <w:rPr>
          <w:rFonts w:ascii="Arial" w:hAnsi="Arial" w:cs="Arial"/>
          <w:sz w:val="24"/>
          <w:szCs w:val="24"/>
        </w:rPr>
        <w:instrText>ADDIN CSL_CITATION { "citationItems" : [ { "id" : "ITEM-1", "itemData" : { "DOI" : "10.1016/j.bbamcr.2008.05.002", "ISBN" : "0167-4889", "ISSN" : "01674889", "PMID" : "18522804", "abstract" : "Mitochondria contain two enzymes, Cu,Zn superoxide dismutase (Sod1) and cytochrome c oxidase (CcO), that require copper as a cofactor for their biological activity. The copper used for their metallation originates from a conserved, bioactive pool contained within the mitochondrial matrix, the size of which changes in response to either genetic or pharmacological manipulation of cellular copper status. Its dynamic nature implies molecular mechanisms exist that functionally couple mitochondrial copper handling with other, extramitochondrial copper trafficking pathways. The recent finding that mitochondrial proteins with established roles in CcO assembly can also effect changes in cellular copper levels by modulating copper efflux from the cell supports a mechanistic link between organellar and cellular copper metabolism. However, the proteins and molecular mechanisms that link trafficking of copper to and from the organelle with other cellular copper trafficking pathways are unknown. This review documents our current understanding of copper trafficking to, and within, the mitochondrion for metallation of CcO and Sod1; the pathways by which the two copper centers in CcO are formed; and, the interconnections between mitochondrial function and the regulation of cellular copper homeostasis. ?? 2008 Elsevier B.V. All rights reserved.", "author" : [ { "dropping-particle" : "", "family" : "Leary", "given" : "Scot C.", "non-dropping-particle" : "", "parse-names" : false, "suffix" : "" }, { "dropping-particle" : "", "family" : "Winge", "given" : "Dennis R.", "non-dropping-particle" : "", "parse-names" : false, "suffix" : "" }, { "dropping-particle" : "", "family" : "Cobine", "given" : "Paul A.", "non-dropping-particle" : "", "parse-names" : false, "suffix" : "" } ], "container-title" : "Biochimica et Biophysica Acta", "id" : "ITEM-1", "issue" : "1", "issued" : { "date-parts" : [ [ "2009" ] ] }, "page" : "146-153", "publisher" : "Elsevier B.V.", "title" : "\"Pulling the plug\" on cellular copper: The role of mitochondria in copper export", "type" : "article-journal", "volume" : "1793" }, "uris" : [ "http://www.mendeley.com/documents/?uuid=7cce1ede-92ba-4270-b9b6-71edf9c8ec6e" ] } ], "mendeley" : { "formattedCitation" : "[2]", "plainTextFormattedCitation" : "[2]", "previouslyFormattedCitation" : "[2]" }, "properties" : {  }, "schema" : "https://github.com/citation-style-language/schema/raw/master/csl-citation.json" }</w:instrText>
      </w:r>
      <w:r>
        <w:rPr>
          <w:rFonts w:ascii="Arial" w:hAnsi="Arial" w:cs="Arial"/>
          <w:sz w:val="24"/>
          <w:szCs w:val="24"/>
        </w:rPr>
        <w:fldChar w:fldCharType="separate"/>
      </w:r>
      <w:r w:rsidRPr="00E70C26">
        <w:rPr>
          <w:rFonts w:ascii="Arial" w:hAnsi="Arial" w:cs="Arial"/>
          <w:noProof/>
          <w:sz w:val="24"/>
          <w:szCs w:val="24"/>
        </w:rPr>
        <w:t>[2]</w:t>
      </w:r>
      <w:r>
        <w:rPr>
          <w:rFonts w:ascii="Arial" w:hAnsi="Arial" w:cs="Arial"/>
          <w:sz w:val="24"/>
          <w:szCs w:val="24"/>
        </w:rPr>
        <w:fldChar w:fldCharType="end"/>
      </w:r>
      <w:r w:rsidRPr="00E70C26">
        <w:rPr>
          <w:rFonts w:ascii="Arial" w:hAnsi="Arial" w:cs="Arial"/>
          <w:sz w:val="24"/>
          <w:szCs w:val="24"/>
        </w:rPr>
        <w:t xml:space="preserve"> In the autosomal-recessive disorder </w:t>
      </w:r>
      <w:r>
        <w:rPr>
          <w:rFonts w:ascii="Arial" w:hAnsi="Arial" w:cs="Arial"/>
          <w:sz w:val="24"/>
          <w:szCs w:val="24"/>
        </w:rPr>
        <w:t>Wilson</w:t>
      </w:r>
      <w:r w:rsidRPr="00E70C26">
        <w:rPr>
          <w:rFonts w:ascii="Arial" w:hAnsi="Arial" w:cs="Arial"/>
          <w:sz w:val="24"/>
          <w:szCs w:val="24"/>
        </w:rPr>
        <w:t xml:space="preserve"> disease (WD), the copper metabolism is impaired leading to copper accumulation, especially in liver and brain. Patients with WD show various mutations of the gene </w:t>
      </w:r>
      <w:r w:rsidRPr="00E70C26">
        <w:rPr>
          <w:rFonts w:ascii="Arial" w:hAnsi="Arial" w:cs="Arial"/>
          <w:i/>
          <w:sz w:val="24"/>
          <w:szCs w:val="24"/>
        </w:rPr>
        <w:t>A</w:t>
      </w:r>
      <w:r>
        <w:rPr>
          <w:rFonts w:ascii="Arial" w:hAnsi="Arial" w:cs="Arial"/>
          <w:i/>
          <w:sz w:val="24"/>
          <w:szCs w:val="24"/>
        </w:rPr>
        <w:t>tp7b</w:t>
      </w:r>
      <w:r w:rsidRPr="00E70C26">
        <w:rPr>
          <w:rFonts w:ascii="Arial" w:hAnsi="Arial" w:cs="Arial"/>
          <w:sz w:val="24"/>
          <w:szCs w:val="24"/>
        </w:rPr>
        <w:t>. The disease leads to a wide variety of symptoms, including neurologic, psychologic and hepatic abnormalities.</w:t>
      </w:r>
      <w:r>
        <w:rPr>
          <w:rFonts w:ascii="Arial" w:hAnsi="Arial" w:cs="Arial"/>
          <w:sz w:val="24"/>
          <w:szCs w:val="24"/>
        </w:rPr>
        <w:fldChar w:fldCharType="begin" w:fldLock="1"/>
      </w:r>
      <w:r>
        <w:rPr>
          <w:rFonts w:ascii="Arial" w:hAnsi="Arial" w:cs="Arial"/>
          <w:sz w:val="24"/>
          <w:szCs w:val="24"/>
        </w:rPr>
        <w:instrText>ADDIN CSL_CITATION { "citationItems" : [ { "id" : "ITEM-1", "itemData" : { "DOI" : "10.1136/jmg.2007.052746", "ISBN" : "1468-6244 (Electronic)\\n0022-2593 (Linking)", "ISSN" : "1468-6244", "PMID" : "17717039", "abstract" : "The trace metal copper is essential for a variety of biological processes, but extremely toxic when present in excessive amounts. Therefore, concentrations of this metal in the body are kept under tight control. Central regulators of cellular copper metabolism are the copper-transporting P-type ATPases ATP7A and ATP7B. Mutations in ATP7A or ATP7B disrupt the homeostatic copper balance, resulting in copper deficiency (Menkes disease) or copper overload (Wilson disease), respectively. ATP7A and ATP7B exert their functions in copper transport through a variety of interdependent mechanisms and regulatory events, including their catalytic ATPase activity, copper-induced trafficking, post-translational modifications and protein-protein interactions. This paper reviews the extensive efforts that have been undertaken over the past few years to dissect and characterise these mechanisms, and how these are affected in Menkes and Wilson disease. As both disorders are characterised by an extensive clinical heterogeneity, we will discus how the underlying genetic defects correlate with the molecular functions of ATP7A and ATP7B and with the clinical expression of these disorders.", "author" : [ { "dropping-particle" : "", "family" : "Bie", "given" : "P", "non-dropping-particle" : "de", "parse-names" : false, "suffix" : "" }, { "dropping-particle" : "", "family" : "Muller", "given" : "P", "non-dropping-particle" : "", "parse-names" : false, "suffix" : "" }, { "dropping-particle" : "", "family" : "Wijmenga", "given" : "C", "non-dropping-particle" : "", "parse-names" : false, "suffix" : "" }, { "dropping-particle" : "", "family" : "Klomp", "given" : "L W J", "non-dropping-particle" : "", "parse-names" : false, "suffix" : "" } ], "container-title" : "Journal of medical genetics", "id" : "ITEM-1", "issue" : "11", "issued" : { "date-parts" : [ [ "2007" ] ] }, "note" : "functions of copper in body \nexcess copper faciliates prodution of ROS (Ref 2)\nRef45: W\u00b4keit f\u00fcr WD, Symptome\nRef 50: D-PA und trientine\nRef 59: 300 different mutations for WD (Database)", "page" : "673-688", "title" : "Molecular pathogenesis of Wilson and Menkes disease: correlation of mutations with molecular defects and disease phenotypes.", "type" : "article-journal", "volume" : "44" }, "uris" : [ "http://www.mendeley.com/documents/?uuid=69aba430-5e33-47c2-a2c4-b5cea5ea563f" ] } ], "mendeley" : { "formattedCitation" : "[3]", "plainTextFormattedCitation" : "[3]", "previouslyFormattedCitation" : "[3]" }, "properties" : {  }, "schema" : "https://github.com/citation-style-language/schema/raw/master/csl-citation.json" }</w:instrText>
      </w:r>
      <w:r>
        <w:rPr>
          <w:rFonts w:ascii="Arial" w:hAnsi="Arial" w:cs="Arial"/>
          <w:sz w:val="24"/>
          <w:szCs w:val="24"/>
        </w:rPr>
        <w:fldChar w:fldCharType="separate"/>
      </w:r>
      <w:r w:rsidRPr="00E70C26">
        <w:rPr>
          <w:rFonts w:ascii="Arial" w:hAnsi="Arial" w:cs="Arial"/>
          <w:noProof/>
          <w:sz w:val="24"/>
          <w:szCs w:val="24"/>
        </w:rPr>
        <w:t>[3]</w:t>
      </w:r>
      <w:r>
        <w:rPr>
          <w:rFonts w:ascii="Arial" w:hAnsi="Arial" w:cs="Arial"/>
          <w:sz w:val="24"/>
          <w:szCs w:val="24"/>
        </w:rPr>
        <w:fldChar w:fldCharType="end"/>
      </w:r>
      <w:r w:rsidRPr="00E70C26">
        <w:rPr>
          <w:rFonts w:ascii="Arial" w:hAnsi="Arial" w:cs="Arial"/>
          <w:sz w:val="24"/>
          <w:szCs w:val="24"/>
        </w:rPr>
        <w:t xml:space="preserve"> WD affects between one in 30,000 and one in 100,000 patients and ends fatal without treatment.</w:t>
      </w:r>
      <w:r>
        <w:rPr>
          <w:rFonts w:ascii="Arial" w:hAnsi="Arial" w:cs="Arial"/>
          <w:sz w:val="24"/>
          <w:szCs w:val="24"/>
        </w:rPr>
        <w:fldChar w:fldCharType="begin" w:fldLock="1"/>
      </w:r>
      <w:r>
        <w:rPr>
          <w:rFonts w:ascii="Arial" w:hAnsi="Arial" w:cs="Arial"/>
          <w:sz w:val="24"/>
          <w:szCs w:val="24"/>
        </w:rPr>
        <w:instrText>ADDIN CSL_CITATION { "citationItems" : [ { "id" : "ITEM-1", "itemData" : { "DOI" : "10.1016/S0140-6736(07)60196-2", "ISBN" : "1474-547X (Electronic)\\r0140-6736 (Linking)", "ISSN" : "1474-547X", "PMID" : "17276780", "abstract" : "Progressive hepatolenticular degeneration, or Wilson's disease, is a genetic disorder of copper metabolism. Knowledge of the clinical presentations and treatment of the disease are important both to the generalist and to specialists in gastroenterology and hepatology, neurology, psychiatry, and paediatrics. Wilson's disease invariably results in severe disability and death if untreated. The diagnosis is easily overlooked but if discovered early, effective treatments are available that will prevent or reverse many manifestations of this disorder. Studies have identified the role of copper in disease pathogenesis and clinical, biochemical, and genetic markers that can be useful in diagnosis. There are several chelating agents and zinc salts for medical therapy. Liver transplantation corrects the underlying pathophysiology and can be lifesaving. The discovery of the Wilson's disease gene has opened up a new molecular diagnostic approach, and could form the basis of future gene therapy.", "author" : [ { "dropping-particle" : "", "family" : "Ala", "given" : "Aftab", "non-dropping-particle" : "", "parse-names" : false, "suffix" : "" }, { "dropping-particle" : "", "family" : "Walker", "given" : "Ann P", "non-dropping-particle" : "", "parse-names" : false, "suffix" : "" }, { "dropping-particle" : "", "family" : "Ashkan", "given" : "Keyoumars", "non-dropping-particle" : "", "parse-names" : false, "suffix" : "" }, { "dropping-particle" : "", "family" : "Dooley", "given" : "James S", "non-dropping-particle" : "", "parse-names" : false, "suffix" : "" }, { "dropping-particle" : "", "family" : "Schilsky", "given" : "Michael L", "non-dropping-particle" : "", "parse-names" : false, "suffix" : "" } ], "container-title" : "Lancet", "id" : "ITEM-1", "issue" : "9559", "issued" : { "date-parts" : [ [ "2007" ] ] }, "note" : "wie viele Erkrankte (1:30000 - 1:100000)\nsymptome\nentdecker\n\nDiagnosis\nTherapy\n1956 Penicillamine\n1969 Trientine\nTTM f\u00fcr Tiere bei Cu-Vergiftung\nearly 1960 Zink (presymptomatic, after chelator)\n\nMonitoring of Treatment", "page" : "397-408", "title" : "Wilson's disease", "type" : "article-journal", "volume" : "369" }, "uris" : [ "http://www.mendeley.com/documents/?uuid=679a690d-4f2b-404b-9cd5-f60b65165ece" ] } ], "mendeley" : { "formattedCitation" : "[4]", "plainTextFormattedCitation" : "[4]", "previouslyFormattedCitation" : "[4]" }, "properties" : {  }, "schema" : "https://github.com/citation-style-language/schema/raw/master/csl-citation.json" }</w:instrText>
      </w:r>
      <w:r>
        <w:rPr>
          <w:rFonts w:ascii="Arial" w:hAnsi="Arial" w:cs="Arial"/>
          <w:sz w:val="24"/>
          <w:szCs w:val="24"/>
        </w:rPr>
        <w:fldChar w:fldCharType="separate"/>
      </w:r>
      <w:r w:rsidRPr="00E70C26">
        <w:rPr>
          <w:rFonts w:ascii="Arial" w:hAnsi="Arial" w:cs="Arial"/>
          <w:noProof/>
          <w:sz w:val="24"/>
          <w:szCs w:val="24"/>
        </w:rPr>
        <w:t>[4]</w:t>
      </w:r>
      <w:r>
        <w:rPr>
          <w:rFonts w:ascii="Arial" w:hAnsi="Arial" w:cs="Arial"/>
          <w:sz w:val="24"/>
          <w:szCs w:val="24"/>
        </w:rPr>
        <w:fldChar w:fldCharType="end"/>
      </w:r>
      <w:r w:rsidRPr="00E70C26">
        <w:rPr>
          <w:rFonts w:ascii="Arial" w:hAnsi="Arial" w:cs="Arial"/>
          <w:sz w:val="24"/>
          <w:szCs w:val="24"/>
        </w:rPr>
        <w:t xml:space="preserve"> </w:t>
      </w:r>
    </w:p>
    <w:p w:rsidR="00AA5521" w:rsidRPr="00E70C26" w:rsidRDefault="00AA5521" w:rsidP="00F37603">
      <w:pPr>
        <w:spacing w:line="480" w:lineRule="auto"/>
        <w:jc w:val="both"/>
        <w:rPr>
          <w:rFonts w:ascii="Arial" w:hAnsi="Arial" w:cs="Arial"/>
          <w:sz w:val="24"/>
          <w:szCs w:val="24"/>
        </w:rPr>
      </w:pPr>
      <w:r w:rsidRPr="00E70C26">
        <w:rPr>
          <w:rFonts w:ascii="Arial" w:hAnsi="Arial" w:cs="Arial"/>
          <w:sz w:val="24"/>
          <w:szCs w:val="24"/>
        </w:rPr>
        <w:t xml:space="preserve">The treatment of WD is based on an increase of copper excretion by administration of copper chelators, such as </w:t>
      </w:r>
      <w:r w:rsidRPr="00152EA1">
        <w:rPr>
          <w:rFonts w:ascii="Arial" w:hAnsi="Arial" w:cs="Arial"/>
          <w:caps/>
          <w:sz w:val="24"/>
          <w:szCs w:val="24"/>
        </w:rPr>
        <w:t>d</w:t>
      </w:r>
      <w:r w:rsidRPr="00E70C26">
        <w:rPr>
          <w:rFonts w:ascii="Arial" w:hAnsi="Arial" w:cs="Arial"/>
          <w:sz w:val="24"/>
          <w:szCs w:val="24"/>
        </w:rPr>
        <w:t>-penicillamin (</w:t>
      </w:r>
      <w:r w:rsidRPr="00676DB2">
        <w:rPr>
          <w:rFonts w:ascii="Arial" w:hAnsi="Arial" w:cs="Arial"/>
          <w:caps/>
          <w:sz w:val="24"/>
          <w:szCs w:val="24"/>
        </w:rPr>
        <w:t>d</w:t>
      </w:r>
      <w:r w:rsidRPr="00E70C26">
        <w:rPr>
          <w:rFonts w:ascii="Arial" w:hAnsi="Arial" w:cs="Arial"/>
          <w:sz w:val="24"/>
          <w:szCs w:val="24"/>
        </w:rPr>
        <w:t>-PA) or trientine. In addition to that, zinc therapy can be used to reduce the absorption of copper from food.</w:t>
      </w:r>
      <w:r>
        <w:rPr>
          <w:rFonts w:ascii="Arial" w:hAnsi="Arial" w:cs="Arial"/>
          <w:sz w:val="24"/>
          <w:szCs w:val="24"/>
        </w:rPr>
        <w:fldChar w:fldCharType="begin" w:fldLock="1"/>
      </w:r>
      <w:r>
        <w:rPr>
          <w:rFonts w:ascii="Arial" w:hAnsi="Arial" w:cs="Arial"/>
          <w:sz w:val="24"/>
          <w:szCs w:val="24"/>
        </w:rPr>
        <w:instrText>ADDIN CSL_CITATION { "citationItems" : [ { "id" : "ITEM-1", "itemData" : { "DOI" : "10.3184/003685013X13587771579987", "ISBN" : "0036-8504 (Print)\\r0036-8504", "ISSN" : "00368504", "PMID" : "23738435", "abstract" : "Wilson's disease is a rare autosomal recessive disease characterised by the deposition of copper in the brain, liver; cornea, and other organs. The overload of copper inevitably leads to progressive liver and neurological dysfunction. Copper overload in patients with Wilson's disease is caused by impairment to the biliary route for excretion of dietary copper A combination of neurological, psychiatric and hepatic symptoms can make the diagnosis of Wilson's disease challenging. Most symptoms appear in the second and third decades of life. The disease affects between one in 30,000 and one in 100,000 individuals, and is fatal if left untreated. Five drugs are currently available to treat Wilson's disease: British Anti-Lewisite; D-penicillamine; trientine; zinc sulfate or acetate; and ammonium tetrathiomolybdate. Each drug can reduce copper levels and/or transform copper into a metabolically inert and unavailable form in the patient. The discovery and introduction of these five drugs owes more to the inspiration of a few dedicated physicians and agricultural scientists than to the resources of the pharmaceutical industry.", "author" : [ { "dropping-particle" : "", "family" : "Purchase", "given" : "Rupert", "non-dropping-particle" : "", "parse-names" : false, "suffix" : "" } ], "container-title" : "Science Progress", "id" : "ITEM-1", "issue" : "1", "issued" : { "date-parts" : [ [ "2013" ] ] }, "note" : "development and the mechanisms of action of the drugs used to treat\nWilson\u2019s disease are described\nbiological antagonism between copper and molybdenum\nWirkweise MoS4\nRef 62, 64: Cu-Mo Komplex XRay Analysis\nnovel agents Ref 67-69", "page" : "19-32", "title" : "The treatment of Wilson's disease, a rare genetic disorder of copper metabolism", "type" : "article-journal", "volume" : "96" }, "uris" : [ "http://www.mendeley.com/documents/?uuid=f852c12d-d044-489f-8358-43a6eb51ddbf" ] } ], "mendeley" : { "formattedCitation" : "[5]", "plainTextFormattedCitation" : "[5]", "previouslyFormattedCitation" : "[5]" }, "properties" : {  }, "schema" : "https://github.com/citation-style-language/schema/raw/master/csl-citation.json" }</w:instrText>
      </w:r>
      <w:r>
        <w:rPr>
          <w:rFonts w:ascii="Arial" w:hAnsi="Arial" w:cs="Arial"/>
          <w:sz w:val="24"/>
          <w:szCs w:val="24"/>
        </w:rPr>
        <w:fldChar w:fldCharType="separate"/>
      </w:r>
      <w:r w:rsidRPr="00E70C26">
        <w:rPr>
          <w:rFonts w:ascii="Arial" w:hAnsi="Arial" w:cs="Arial"/>
          <w:noProof/>
          <w:sz w:val="24"/>
          <w:szCs w:val="24"/>
        </w:rPr>
        <w:t>[5]</w:t>
      </w:r>
      <w:r>
        <w:rPr>
          <w:rFonts w:ascii="Arial" w:hAnsi="Arial" w:cs="Arial"/>
          <w:sz w:val="24"/>
          <w:szCs w:val="24"/>
        </w:rPr>
        <w:fldChar w:fldCharType="end"/>
      </w:r>
      <w:r w:rsidRPr="00E70C26">
        <w:rPr>
          <w:rFonts w:ascii="Arial" w:hAnsi="Arial" w:cs="Arial"/>
          <w:sz w:val="24"/>
          <w:szCs w:val="24"/>
        </w:rPr>
        <w:t xml:space="preserve"> However, these </w:t>
      </w:r>
      <w:r w:rsidRPr="00283B4A">
        <w:rPr>
          <w:rFonts w:ascii="Arial" w:hAnsi="Arial" w:cs="Arial"/>
          <w:sz w:val="24"/>
          <w:szCs w:val="24"/>
        </w:rPr>
        <w:t xml:space="preserve">clinically used </w:t>
      </w:r>
      <w:r w:rsidRPr="00E70C26">
        <w:rPr>
          <w:rFonts w:ascii="Arial" w:hAnsi="Arial" w:cs="Arial"/>
          <w:sz w:val="24"/>
          <w:szCs w:val="24"/>
        </w:rPr>
        <w:t xml:space="preserve">drugs </w:t>
      </w:r>
      <w:r>
        <w:rPr>
          <w:rFonts w:ascii="Arial" w:hAnsi="Arial" w:cs="Arial"/>
          <w:sz w:val="24"/>
          <w:szCs w:val="24"/>
        </w:rPr>
        <w:t>have</w:t>
      </w:r>
      <w:r w:rsidRPr="00E70C26">
        <w:rPr>
          <w:rFonts w:ascii="Arial" w:hAnsi="Arial" w:cs="Arial"/>
          <w:sz w:val="24"/>
          <w:szCs w:val="24"/>
        </w:rPr>
        <w:t xml:space="preserve"> severe side effects. These include bone marrow and nephron toxicity as well as triggering of autoimmune diseases. In addition, </w:t>
      </w:r>
      <w:r w:rsidRPr="00676DB2">
        <w:rPr>
          <w:rFonts w:ascii="Arial" w:hAnsi="Arial" w:cs="Arial"/>
          <w:caps/>
          <w:sz w:val="24"/>
          <w:szCs w:val="24"/>
        </w:rPr>
        <w:t>d</w:t>
      </w:r>
      <w:r w:rsidRPr="00E70C26">
        <w:rPr>
          <w:rFonts w:ascii="Arial" w:hAnsi="Arial" w:cs="Arial"/>
          <w:smallCaps/>
          <w:sz w:val="24"/>
          <w:szCs w:val="24"/>
        </w:rPr>
        <w:t xml:space="preserve">-PA </w:t>
      </w:r>
      <w:r w:rsidRPr="00E70C26">
        <w:rPr>
          <w:rFonts w:ascii="Arial" w:hAnsi="Arial" w:cs="Arial"/>
          <w:sz w:val="24"/>
          <w:szCs w:val="24"/>
        </w:rPr>
        <w:t xml:space="preserve">treatment </w:t>
      </w:r>
      <w:r w:rsidRPr="00283B4A">
        <w:rPr>
          <w:rFonts w:ascii="Arial" w:hAnsi="Arial" w:cs="Arial"/>
          <w:sz w:val="24"/>
          <w:szCs w:val="24"/>
        </w:rPr>
        <w:t xml:space="preserve">may lead to deterioration </w:t>
      </w:r>
      <w:r w:rsidRPr="00E70C26">
        <w:rPr>
          <w:rFonts w:ascii="Arial" w:hAnsi="Arial" w:cs="Arial"/>
          <w:sz w:val="24"/>
          <w:szCs w:val="24"/>
        </w:rPr>
        <w:t>of neurological symptoms in 10-20% of patients with initial neurological manifestation.</w:t>
      </w:r>
      <w:r>
        <w:rPr>
          <w:rFonts w:ascii="Arial" w:hAnsi="Arial" w:cs="Arial"/>
          <w:sz w:val="24"/>
          <w:szCs w:val="24"/>
        </w:rPr>
        <w:fldChar w:fldCharType="begin" w:fldLock="1"/>
      </w:r>
      <w:r>
        <w:rPr>
          <w:rFonts w:ascii="Arial" w:hAnsi="Arial" w:cs="Arial"/>
          <w:sz w:val="24"/>
          <w:szCs w:val="24"/>
        </w:rPr>
        <w:instrText>ADDIN CSL_CITATION { "citationItems" : [ { "id" : "ITEM-1", "itemData" : { "DOI" : "10.1002/hep.22261", "ISBN" : "1527-3350 (Electronic)\\r0270-9139 (Linking)", "ISSN" : "02709139", "PMID" : "18506894", "abstract" : "This guideline has been approved by the American Asso-ciation for the Study of Liver Diseases (AASLD) and rep-resents the position of the association. Preamble These recommendations provide a data-supported ap-proach to the diagnosis and treatment of patients with Wilson disease. They are based on the following: (1) for-mal review and analysis of the recently-published world literature on the topic including Medline search; (2) American College of Physicians Manual for Assessing Health Practices and Designing Practice Guidelines 1 ; (3) guideline policies, including the AASLD Policy on the Development and Use of Practice Guidelines and the American Gastroenterological Association Policy State-ment on Guidelines 2 ; (4) the experience of the authors in the specified topic. A significant problem with the litera-ture on Wilson disease is that patients are sufficiently rare to preclude large cohort studies or randomized controlled trials; moreover, most treatment modalities were devel-oped at a time when conventions for drug assessment were less stringent than at present. Intended for use by physicians, these recommenda-tions suggest preferred approaches to the diagnostic, ther-apeutic, and preventive aspects of care. They are intended to be flexible, in contrast to standards of care, which are inflexible policies to be followed in every case. Specific recommendations are based on relevant published infor-mation. To characterize more fully the quality of evidence supporting recommendations, the Practice Guidelines Committee of the AASLD requires a class (reflecting ben-efit versus risk) and level (assessing strength or certainty) of evidence to be assigned and reported with each recom-mendation (Table 1, adapted from the American College of Cardiology and the American Heart Association Prac-tice Guidelines 3,4).", "author" : [ { "dropping-particle" : "", "family" : "Roberts", "given" : "Eve A.", "non-dropping-particle" : "", "parse-names" : false, "suffix" : "" }, { "dropping-particle" : "", "family" : "Schilsky", "given" : "Michael L.", "non-dropping-particle" : "", "parse-names" : false, "suffix" : "" } ], "container-title" : "Hepatology", "id" : "ITEM-1", "issue" : "6", "issued" : { "date-parts" : [ [ "2008" ] ] }, "note" : "Nebenwirkungen der Medikamente", "page" : "2089-2111", "title" : "Diagnosis and treatment of Wilson disease: An update", "type" : "article-journal", "volume" : "47" }, "uris" : [ "http://www.mendeley.com/documents/?uuid=1c4f3558-b2ea-42ef-832b-0449ffef7af1" ] } ], "mendeley" : { "formattedCitation" : "[6]", "plainTextFormattedCitation" : "[6]", "previouslyFormattedCitation" : "[6]" }, "properties" : {  }, "schema" : "https://github.com/citation-style-language/schema/raw/master/csl-citation.json" }</w:instrText>
      </w:r>
      <w:r>
        <w:rPr>
          <w:rFonts w:ascii="Arial" w:hAnsi="Arial" w:cs="Arial"/>
          <w:sz w:val="24"/>
          <w:szCs w:val="24"/>
        </w:rPr>
        <w:fldChar w:fldCharType="separate"/>
      </w:r>
      <w:r w:rsidRPr="00E70C26">
        <w:rPr>
          <w:rFonts w:ascii="Arial" w:hAnsi="Arial" w:cs="Arial"/>
          <w:noProof/>
          <w:sz w:val="24"/>
          <w:szCs w:val="24"/>
        </w:rPr>
        <w:t>[6]</w:t>
      </w:r>
      <w:r>
        <w:rPr>
          <w:rFonts w:ascii="Arial" w:hAnsi="Arial" w:cs="Arial"/>
          <w:sz w:val="24"/>
          <w:szCs w:val="24"/>
        </w:rPr>
        <w:fldChar w:fldCharType="end"/>
      </w:r>
      <w:r w:rsidRPr="00E70C26">
        <w:rPr>
          <w:rFonts w:ascii="Arial" w:hAnsi="Arial" w:cs="Arial"/>
          <w:sz w:val="24"/>
          <w:szCs w:val="24"/>
        </w:rPr>
        <w:t xml:space="preserve"> </w:t>
      </w:r>
      <w:r>
        <w:rPr>
          <w:rFonts w:ascii="Arial" w:hAnsi="Arial" w:cs="Arial"/>
          <w:sz w:val="24"/>
          <w:szCs w:val="24"/>
        </w:rPr>
        <w:t xml:space="preserve">Moreover, even after years of </w:t>
      </w:r>
      <w:r w:rsidRPr="00676DB2">
        <w:rPr>
          <w:rFonts w:ascii="Arial" w:hAnsi="Arial" w:cs="Arial"/>
          <w:caps/>
          <w:sz w:val="24"/>
          <w:szCs w:val="24"/>
        </w:rPr>
        <w:t>d</w:t>
      </w:r>
      <w:r w:rsidRPr="00E70C26">
        <w:rPr>
          <w:rFonts w:ascii="Arial" w:hAnsi="Arial" w:cs="Arial"/>
          <w:smallCaps/>
          <w:sz w:val="24"/>
          <w:szCs w:val="24"/>
        </w:rPr>
        <w:t xml:space="preserve">-PA </w:t>
      </w:r>
      <w:r>
        <w:rPr>
          <w:rFonts w:ascii="Arial" w:hAnsi="Arial" w:cs="Arial"/>
          <w:sz w:val="24"/>
          <w:szCs w:val="24"/>
        </w:rPr>
        <w:t xml:space="preserve">administration, WD livers contain a massive copper load due to an insufficient capacity of </w:t>
      </w:r>
      <w:r w:rsidRPr="00676DB2">
        <w:rPr>
          <w:rFonts w:ascii="Arial" w:hAnsi="Arial" w:cs="Arial"/>
          <w:caps/>
          <w:sz w:val="24"/>
          <w:szCs w:val="24"/>
        </w:rPr>
        <w:t>d</w:t>
      </w:r>
      <w:r w:rsidRPr="00E70C26">
        <w:rPr>
          <w:rFonts w:ascii="Arial" w:hAnsi="Arial" w:cs="Arial"/>
          <w:smallCaps/>
          <w:sz w:val="24"/>
          <w:szCs w:val="24"/>
        </w:rPr>
        <w:t>-PA</w:t>
      </w:r>
      <w:r>
        <w:rPr>
          <w:rFonts w:ascii="Arial" w:hAnsi="Arial" w:cs="Arial"/>
          <w:sz w:val="24"/>
          <w:szCs w:val="24"/>
        </w:rPr>
        <w:t xml:space="preserve"> to deplete the excess copper</w:t>
      </w:r>
      <w:r w:rsidRPr="002040D6">
        <w:rPr>
          <w:rFonts w:ascii="Arial" w:hAnsi="Arial" w:cs="Arial"/>
          <w:sz w:val="24"/>
          <w:szCs w:val="24"/>
          <w:lang w:val="de-DE"/>
        </w:rPr>
        <w:t>.</w:t>
      </w:r>
      <w:r>
        <w:rPr>
          <w:rFonts w:ascii="Arial" w:hAnsi="Arial" w:cs="Arial"/>
          <w:sz w:val="24"/>
          <w:szCs w:val="24"/>
          <w:lang w:val="de-DE"/>
        </w:rPr>
        <w:fldChar w:fldCharType="begin" w:fldLock="1"/>
      </w:r>
      <w:r>
        <w:rPr>
          <w:rFonts w:ascii="Arial" w:hAnsi="Arial" w:cs="Arial"/>
          <w:sz w:val="24"/>
          <w:szCs w:val="24"/>
          <w:lang w:val="de-DE"/>
        </w:rPr>
        <w:instrText>ADDIN CSL_CITATION { "citationItems" : [ { "id" : "ITEM-1", "itemData" : { "DOI" : "10.1016/S0140-6736(87)92753-X", "author" : [ { "dropping-particle" : "", "family" : "Scheinberg", "given" : "I. H.", "non-dropping-particle" : "", "parse-names" : false, "suffix" : "" }, { "dropping-particle" : "", "family" : "Sternlieb", "given" : "I.", "non-dropping-particle" : "", "parse-names" : false, "suffix" : "" }, { "dropping-particle" : "", "family" : "Schilsky", "given" : "M.", "non-dropping-particle" : "", "parse-names" : false, "suffix" : "" }, { "dropping-particle" : "", "family" : "Stockert", "given" : "R.J.", "non-dropping-particle" : "", "parse-names" : false, "suffix" : "" } ], "container-title" : "The Lancet", "id" : "ITEM-1", "issue" : "8550", "issued" : { "date-parts" : [ [ "1987" ] ] }, "page" : "95", "title" : "Penicillamine may detoxify copper in Wilson's disease", "type" : "article-journal", "volume" : "330" }, "uris" : [ "http://www.mendeley.com/documents/?uuid=7de0bd23-abbf-40c7-b3bf-6acd8d1c2e93" ] } ], "mendeley" : { "formattedCitation" : "[7]", "plainTextFormattedCitation" : "[7]", "previouslyFormattedCitation" : "[7]" }, "properties" : {  }, "schema" : "https://github.com/citation-style-language/schema/raw/master/csl-citation.json" }</w:instrText>
      </w:r>
      <w:r>
        <w:rPr>
          <w:rFonts w:ascii="Arial" w:hAnsi="Arial" w:cs="Arial"/>
          <w:sz w:val="24"/>
          <w:szCs w:val="24"/>
          <w:lang w:val="de-DE"/>
        </w:rPr>
        <w:fldChar w:fldCharType="separate"/>
      </w:r>
      <w:r w:rsidRPr="00283B4A">
        <w:rPr>
          <w:rFonts w:ascii="Arial" w:hAnsi="Arial" w:cs="Arial"/>
          <w:noProof/>
          <w:sz w:val="24"/>
          <w:szCs w:val="24"/>
          <w:lang w:val="de-DE"/>
        </w:rPr>
        <w:t>[7]</w:t>
      </w:r>
      <w:r>
        <w:rPr>
          <w:rFonts w:ascii="Arial" w:hAnsi="Arial" w:cs="Arial"/>
          <w:sz w:val="24"/>
          <w:szCs w:val="24"/>
          <w:lang w:val="de-DE"/>
        </w:rPr>
        <w:fldChar w:fldCharType="end"/>
      </w:r>
      <w:r w:rsidRPr="002040D6">
        <w:rPr>
          <w:rFonts w:ascii="Arial" w:hAnsi="Arial" w:cs="Arial"/>
          <w:sz w:val="24"/>
          <w:szCs w:val="24"/>
          <w:lang w:val="de-DE"/>
        </w:rPr>
        <w:t xml:space="preserve"> </w:t>
      </w:r>
      <w:r>
        <w:rPr>
          <w:rFonts w:ascii="Arial" w:hAnsi="Arial" w:cs="Arial"/>
          <w:sz w:val="24"/>
          <w:szCs w:val="24"/>
        </w:rPr>
        <w:t>Finally, a</w:t>
      </w:r>
      <w:r w:rsidRPr="00E70C26">
        <w:rPr>
          <w:rFonts w:ascii="Arial" w:hAnsi="Arial" w:cs="Arial"/>
          <w:sz w:val="24"/>
          <w:szCs w:val="24"/>
        </w:rPr>
        <w:t xml:space="preserve">cute liver failure in </w:t>
      </w:r>
      <w:r>
        <w:rPr>
          <w:rFonts w:ascii="Arial" w:hAnsi="Arial" w:cs="Arial"/>
          <w:sz w:val="24"/>
          <w:szCs w:val="24"/>
        </w:rPr>
        <w:t xml:space="preserve">WD </w:t>
      </w:r>
      <w:r w:rsidRPr="00E70C26">
        <w:rPr>
          <w:rFonts w:ascii="Arial" w:hAnsi="Arial" w:cs="Arial"/>
          <w:sz w:val="24"/>
          <w:szCs w:val="24"/>
        </w:rPr>
        <w:t>patients cannot be treated using the established dru</w:t>
      </w:r>
      <w:r w:rsidRPr="00283B4A">
        <w:rPr>
          <w:rFonts w:ascii="Arial" w:hAnsi="Arial" w:cs="Arial"/>
          <w:sz w:val="24"/>
          <w:szCs w:val="24"/>
        </w:rPr>
        <w:t>gs and liver transplantation is the only option to avoid death.</w:t>
      </w:r>
      <w:r>
        <w:rPr>
          <w:rFonts w:ascii="Arial" w:hAnsi="Arial" w:cs="Arial"/>
          <w:sz w:val="24"/>
          <w:szCs w:val="24"/>
        </w:rPr>
        <w:fldChar w:fldCharType="begin" w:fldLock="1"/>
      </w:r>
      <w:r>
        <w:rPr>
          <w:rFonts w:ascii="Arial" w:hAnsi="Arial" w:cs="Arial"/>
          <w:sz w:val="24"/>
          <w:szCs w:val="24"/>
        </w:rPr>
        <w:instrText>ADDIN CSL_CITATION { "citationItems" : [ { "id" : "ITEM-1", "itemData" : { "DOI" : "0041-1337/01/7207-1232/0", "ISBN" : "0041-1337", "ISSN" : "0041-1337", "PMID" : "11602847", "abstract" : "BACKGROUND: Wilson's disease is an inherited disorder of copper metabolism characterized by reduced biliary copper excretion, which results in copper accumulation in tissues with liver injury and failure. Orthotopic liver transplantation (OLT) can be lifesaving for patients with Wilson's disease who present with fulminant liver failure and for patients unresponsive to medical therapy. The aim of this study is to review our experience with OLT for patients with Wilson's disease. METHODS: Between 1988 and 2000, 21 OLTs were performed in 17 patients with Wilson's disease. Patient demographics, pre-OLT laboratory data, operative data, and early and late postoperative complications were reviewed retrospectively. One-year patient and graft survival was calculated. RESULTS: Eleven patients had fulminant Wilson's disease; in six patients the presentation was chronic. Mean patient age at presentation was 28 years (range 4-51 years); mean follow-up was 5.27 years (range 0.4-11.4 years). Neurologic features of Wilson's disease were not prominent preoperatively and did not develop post-OLT except in one patient who developed acute neuropsychiatric illness and seizure. Renal failure, present in 45% of patients with fulminant Wilson's disease, resolved post-OLT with supportive care. One-year patient and graft survivals were 87.5% and 62.5%, respectively. Fifteen survivors have remained well with normal liver function and no disease recurrence. CONCLUSION: Liver transplantation for hepatic complications of Wilson's disease cures and corrects the underlying metabolic defect and leads to long-term survival in patients who present with either acute or chronic liver disease. Acute renal failure develops frequently in patients with fulminant Wilsonian hepatitis and typically resolves postoperatively.", "author" : [ { "dropping-particle" : "", "family" : "Emre", "given" : "S", "non-dropping-particle" : "", "parse-names" : false, "suffix" : "" }, { "dropping-particle" : "", "family" : "Atillasoy", "given" : "E O", "non-dropping-particle" : "", "parse-names" : false, "suffix" : "" }, { "dropping-particle" : "", "family" : "Ozdemir", "given" : "S", "non-dropping-particle" : "", "parse-names" : false, "suffix" : "" }, { "dropping-particle" : "", "family" : "Schilsky", "given" : "M", "non-dropping-particle" : "", "parse-names" : false, "suffix" : "" }, { "dropping-particle" : "V", "family" : "Rathna Varma", "given" : "C", "non-dropping-particle" : "", "parse-names" : false, "suffix" : "" }, { "dropping-particle" : "", "family" : "Thung", "given" : "S N", "non-dropping-particle" : "", "parse-names" : false, "suffix" : "" }, { "dropping-particle" : "", "family" : "Sternlieb", "given" : "I", "non-dropping-particle" : "", "parse-names" : false, "suffix" : "" }, { "dropping-particle" : "", "family" : "Guy", "given" : "S R", "non-dropping-particle" : "", "parse-names" : false, "suffix" : "" }, { "dropping-particle" : "", "family" : "Sheiner", "given" : "P A", "non-dropping-particle" : "", "parse-names" : false, "suffix" : "" }, { "dropping-particle" : "", "family" : "Schwartz", "given" : "M E", "non-dropping-particle" : "", "parse-names" : false, "suffix" : "" }, { "dropping-particle" : "", "family" : "Miller", "given" : "C M", "non-dropping-particle" : "", "parse-names" : false, "suffix" : "" } ], "container-title" : "Transplantation", "id" : "ITEM-1", "issue" : "7", "issued" : { "date-parts" : [ [ "2001" ] ] }, "note" : "liver transplantation", "page" : "1232-1236", "title" : "Orthotopic liver transplantation for Wilson's disease: a single-center experience.", "type" : "article-journal", "volume" : "72" }, "uris" : [ "http://www.mendeley.com/documents/?uuid=088b5301-c2b3-48d4-921f-2600cba3ed50" ] } ], "mendeley" : { "formattedCitation" : "[8]", "plainTextFormattedCitation" : "[8]", "previouslyFormattedCitation" : "[8]" }, "properties" : {  }, "schema" : "https://github.com/citation-style-language/schema/raw/master/csl-citation.json" }</w:instrText>
      </w:r>
      <w:r>
        <w:rPr>
          <w:rFonts w:ascii="Arial" w:hAnsi="Arial" w:cs="Arial"/>
          <w:sz w:val="24"/>
          <w:szCs w:val="24"/>
        </w:rPr>
        <w:fldChar w:fldCharType="separate"/>
      </w:r>
      <w:r w:rsidRPr="00283B4A">
        <w:rPr>
          <w:rFonts w:ascii="Arial" w:hAnsi="Arial" w:cs="Arial"/>
          <w:noProof/>
          <w:sz w:val="24"/>
          <w:szCs w:val="24"/>
        </w:rPr>
        <w:t>[8]</w:t>
      </w:r>
      <w:r>
        <w:rPr>
          <w:rFonts w:ascii="Arial" w:hAnsi="Arial" w:cs="Arial"/>
          <w:sz w:val="24"/>
          <w:szCs w:val="24"/>
        </w:rPr>
        <w:fldChar w:fldCharType="end"/>
      </w:r>
      <w:r w:rsidRPr="00E70C26">
        <w:rPr>
          <w:rFonts w:ascii="Arial" w:hAnsi="Arial" w:cs="Arial"/>
          <w:sz w:val="24"/>
          <w:szCs w:val="24"/>
        </w:rPr>
        <w:t xml:space="preserve"> </w:t>
      </w:r>
    </w:p>
    <w:p w:rsidR="00AA5521" w:rsidRPr="00E70C26" w:rsidRDefault="00AA5521" w:rsidP="00C90566">
      <w:pPr>
        <w:spacing w:line="480" w:lineRule="auto"/>
        <w:jc w:val="both"/>
        <w:rPr>
          <w:rFonts w:ascii="Arial" w:hAnsi="Arial" w:cs="Arial"/>
          <w:sz w:val="24"/>
          <w:szCs w:val="24"/>
        </w:rPr>
      </w:pPr>
      <w:r>
        <w:rPr>
          <w:rFonts w:ascii="Arial" w:hAnsi="Arial" w:cs="Arial"/>
          <w:sz w:val="24"/>
          <w:szCs w:val="24"/>
        </w:rPr>
        <w:t xml:space="preserve">To </w:t>
      </w:r>
      <w:r w:rsidRPr="00283B4A">
        <w:rPr>
          <w:rFonts w:ascii="Arial" w:hAnsi="Arial" w:cs="Arial"/>
          <w:sz w:val="24"/>
          <w:szCs w:val="24"/>
        </w:rPr>
        <w:t>overcome these disadvantages</w:t>
      </w:r>
      <w:r w:rsidRPr="00E70C26">
        <w:rPr>
          <w:rFonts w:ascii="Arial" w:hAnsi="Arial" w:cs="Arial"/>
          <w:sz w:val="24"/>
          <w:szCs w:val="24"/>
        </w:rPr>
        <w:t xml:space="preserve">, new therapeutic approaches are urgently needed. One alternative to the aforementioned </w:t>
      </w:r>
      <w:r w:rsidRPr="00283B4A">
        <w:rPr>
          <w:rFonts w:ascii="Arial" w:hAnsi="Arial" w:cs="Arial"/>
          <w:sz w:val="24"/>
          <w:szCs w:val="24"/>
        </w:rPr>
        <w:t xml:space="preserve">drugs may be </w:t>
      </w:r>
      <w:r>
        <w:rPr>
          <w:rFonts w:ascii="Arial" w:hAnsi="Arial" w:cs="Arial"/>
          <w:sz w:val="24"/>
          <w:szCs w:val="24"/>
        </w:rPr>
        <w:t>M</w:t>
      </w:r>
      <w:r w:rsidRPr="00E70C26">
        <w:rPr>
          <w:rFonts w:ascii="Arial" w:hAnsi="Arial" w:cs="Arial"/>
          <w:sz w:val="24"/>
          <w:szCs w:val="24"/>
        </w:rPr>
        <w:t>ethanobactin (MB), a peptide isolated from bacteria.</w:t>
      </w:r>
      <w:r>
        <w:rPr>
          <w:rFonts w:ascii="Arial" w:hAnsi="Arial" w:cs="Arial"/>
          <w:sz w:val="24"/>
          <w:szCs w:val="24"/>
        </w:rPr>
        <w:fldChar w:fldCharType="begin" w:fldLock="1"/>
      </w:r>
      <w:r>
        <w:rPr>
          <w:rFonts w:ascii="Arial" w:hAnsi="Arial" w:cs="Arial"/>
          <w:sz w:val="24"/>
          <w:szCs w:val="24"/>
        </w:rPr>
        <w:instrText>ADDIN CSL_CITATION { "citationItems" : [ { "id" : "ITEM-1", "itemData" : { "DOI" : "10.1074/jbc.TM117.000185", "ISSN" : "0021-9258", "author" : [ { "dropping-particle" : "", "family" : "Kenney", "given" : "Grace E.", "non-dropping-particle" : "", "parse-names" : false, "suffix" : "" }, { "dropping-particle" : "", "family" : "Rosenzweig", "given" : "Amy C.", "non-dropping-particle" : "", "parse-names" : false, "suffix" : "" } ], "container-title" : "Journal of Biological Chemistry", "id" : "ITEM-1", "issue" : "18", "issued" : { "date-parts" : [ [ "2018" ] ] }, "page" : "jbc.TM117.000185", "title" : "Methanobactins: maintaining copper homeostasis in methanotrophs and beyond", "type" : "article-journal" }, "uris" : [ "http://www.mendeley.com/documents/?uuid=d82695a4-9fa3-49ba-baa9-e72c0ff7a030" ] } ], "mendeley" : { "formattedCitation" : "[9]", "plainTextFormattedCitation" : "[9]", "previouslyFormattedCitation" : "[9]" }, "properties" : {  }, "schema" : "https://github.com/citation-style-language/schema/raw/master/csl-citation.json" }</w:instrText>
      </w:r>
      <w:r>
        <w:rPr>
          <w:rFonts w:ascii="Arial" w:hAnsi="Arial" w:cs="Arial"/>
          <w:sz w:val="24"/>
          <w:szCs w:val="24"/>
        </w:rPr>
        <w:fldChar w:fldCharType="separate"/>
      </w:r>
      <w:r w:rsidRPr="00283B4A">
        <w:rPr>
          <w:rFonts w:ascii="Arial" w:hAnsi="Arial" w:cs="Arial"/>
          <w:noProof/>
          <w:sz w:val="24"/>
          <w:szCs w:val="24"/>
        </w:rPr>
        <w:t>[9]</w:t>
      </w:r>
      <w:r>
        <w:rPr>
          <w:rFonts w:ascii="Arial" w:hAnsi="Arial" w:cs="Arial"/>
          <w:sz w:val="24"/>
          <w:szCs w:val="24"/>
        </w:rPr>
        <w:fldChar w:fldCharType="end"/>
      </w:r>
      <w:r w:rsidRPr="00E70C26">
        <w:rPr>
          <w:rFonts w:ascii="Arial" w:hAnsi="Arial" w:cs="Arial"/>
          <w:sz w:val="24"/>
          <w:szCs w:val="24"/>
        </w:rPr>
        <w:t xml:space="preserve"> In recent studies, MB was able to reverse acute liver failure </w:t>
      </w:r>
      <w:r w:rsidRPr="00283B4A">
        <w:rPr>
          <w:rFonts w:ascii="Arial" w:hAnsi="Arial" w:cs="Arial"/>
          <w:sz w:val="24"/>
          <w:szCs w:val="24"/>
        </w:rPr>
        <w:t>in LPP rats</w:t>
      </w:r>
      <w:r w:rsidRPr="00E70C26">
        <w:rPr>
          <w:rFonts w:ascii="Arial" w:hAnsi="Arial" w:cs="Arial"/>
          <w:sz w:val="24"/>
          <w:szCs w:val="24"/>
        </w:rPr>
        <w:t xml:space="preserve">, a WD animal model </w:t>
      </w:r>
      <w:r>
        <w:rPr>
          <w:rFonts w:ascii="Arial" w:hAnsi="Arial" w:cs="Arial"/>
          <w:sz w:val="24"/>
          <w:szCs w:val="24"/>
        </w:rPr>
        <w:t>that mirrors the liver phenotype in WD patients</w:t>
      </w:r>
      <w:r w:rsidRPr="00E70C26">
        <w:rPr>
          <w:rFonts w:ascii="Arial" w:hAnsi="Arial" w:cs="Arial"/>
          <w:sz w:val="24"/>
          <w:szCs w:val="24"/>
        </w:rPr>
        <w:t>.</w:t>
      </w:r>
      <w:r>
        <w:rPr>
          <w:rFonts w:ascii="Arial" w:hAnsi="Arial" w:cs="Arial"/>
          <w:sz w:val="24"/>
          <w:szCs w:val="24"/>
        </w:rPr>
        <w:fldChar w:fldCharType="begin" w:fldLock="1"/>
      </w:r>
      <w:r>
        <w:rPr>
          <w:rFonts w:ascii="Arial" w:hAnsi="Arial" w:cs="Arial"/>
          <w:sz w:val="24"/>
          <w:szCs w:val="24"/>
        </w:rPr>
        <w:instrText>ADDIN CSL_CITATION { "citationItems" : [ { "id" : "ITEM-1", "itemData" : { "DOI" : "10.1172/JCI85226", "ISBN" : "1558-8238 (Electronic)\\r0021-9738 (Linking)", "ISSN" : "15588238", "PMID" : "27322060", "abstract" : "In Wilson disease (WD), functional loss of ATPase copper-transporting \u03b2 (ATP7B) impairs biliary copper excretion, leading to excessive copper accumulation in the liver and fulminant hepatitis. Current US Food and Drug Administration- and European Medicines Agency-approved pharmacological treatments usually fail to restore copper homeostasis in patients with WD who have progressed to acute liver failure, leaving liver transplantation as the only viable treatment option. Here, we investigated the therapeutic utility of methanobactin (MB), a peptide produced by Methylosinus trichosporium OB3b, which has an exceptionally high affinity for copper. We demonstrated that ATP7B-deficient rats recapitulate WD-associated phenotypes, including hepatic copper accumulation, liver damage, and mitochondrial impairment. Short-term treatment of these rats with MB efficiently reversed mitochondrial impairment and liver damage in the acute stages of liver copper accumulation compared with that seen in untreated ATP7B-deficient rats. This beneficial effect was associated with depletion of copper from hepatocyte mitochondria. Moreover, MB treatment prevented hepatocyte death, subsequent liver failure, and death in the rodent model. These results suggest that MB has potential as a therapeutic agent for the treatment of acute WD.", "author" : [ { "dropping-particle" : "", "family" : "Lichtmannegger", "given" : "Josef", "non-dropping-particle" : "", "parse-names" : false, "suffix" : "" }, { "dropping-particle" : "", "family" : "Leitzinger", "given" : "Christin", "non-dropping-particle" : "", "parse-names" : false, "suffix" : "" }, { "dropping-particle" : "", "family" : "Wimmer", "given" : "Ralf", "non-dropping-particle" : "", "parse-names" : false, "suffix" : "" }, { "dropping-particle" : "", "family" : "Schmitt", "given" : "Sabine", "non-dropping-particle" : "", "parse-names" : false, "suffix" : "" }, { "dropping-particle" : "", "family" : "Schulz", "given" : "Sabine", "non-dropping-particle" : "", "parse-names" : false, "suffix" : "" }, { "dropping-particle" : "", "family" : "Kabiri", "given" : "Yaschar", "non-dropping-particle" : "", "parse-names" : false, "suffix" : "" }, { "dropping-particle" : "", "family" : "Eberhagen", "given" : "Carola", "non-dropping-particle" : "", "parse-names" : false, "suffix" : "" }, { "dropping-particle" : "", "family" : "Rieder", "given" : "Tamara", "non-dropping-particle" : "", "parse-names" : false, "suffix" : "" }, { "dropping-particle" : "", "family" : "Janik", "given" : "Dirk", "non-dropping-particle" : "", "parse-names" : false, "suffix" : "" }, { "dropping-particle" : "", "family" : "Neff", "given" : "Frauke", "non-dropping-particle" : "", "parse-names" : false, "suffix" : "" }, { "dropping-particle" : "", "family" : "Straub", "given" : "Beate K.", "non-dropping-particle" : "", "parse-names" : false, "suffix" : "" }, { "dropping-particle" : "", "family" : "Schirmacher", "given" : "Peter", "non-dropping-particle" : "", "parse-names" : false, "suffix" : "" }, { "dropping-particle" : "", "family" : "Spirito", "given" : "Alan A.", "non-dropping-particle" : "Di", "parse-names" : false, "suffix" : "" }, { "dropping-particle" : "", "family" : "Bandow", "given" : "Nathan", "non-dropping-particle" : "", "parse-names" : false, "suffix" : "" }, { "dropping-particle" : "", "family" : "Baral", "given" : "Bipin S.", "non-dropping-particle" : "", "parse-names" : false, "suffix" : "" }, { "dropping-particle" : "", "family" : "Flatley", "given" : "Andrew", "non-dropping-particle" : "", "parse-names" : false, "suffix" : "" }, { "dropping-particle" : "", "family" : "Kremmer", "given" : "Elisabeth", "non-dropping-particle" : "", "parse-names" : false, "suffix" : "" }, { "dropping-particle" : "", "family" : "Denk", "given" : "Gerald", "non-dropping-particle" : "", "parse-names" : false, "suffix" : "" }, { "dropping-particle" : "", "family" : "Reiter", "given" : "Florian P.", "non-dropping-particle" : "", "parse-names" : false, "suffix" : "" }, { "dropping-particle" : "", "family" : "Hohenester", "given" : "Simon", "non-dropping-particle" : "", "parse-names" : false, "suffix" : "" }, { "dropping-particle" : "", "family" : "Eckardt-Schupp", "given" : "Friedericke", "non-dropping-particle" : "", "parse-names" : false, "suffix" : "" }, { "dropping-particle" : "", "family" : "Dencher", "given" : "Norbert A.", "non-dropping-particle" : "", "parse-names" : false, "suffix" : "" }, { "dropping-particle" : "", "family" : "Adamski", "given" : "Jerzy", "non-dropping-particle" : "", "parse-names" : false, "suffix" : "" }, { "dropping-particle" : "", "family" : "Sauer", "given" : "Vanessa", "non-dropping-particle" : "", "parse-names" : false, "suffix" : "" }, { "dropping-particle" : "", "family" : "Niemietz", "given" : "Christoph", "non-dropping-particle" : "", "parse-names" : false, "suffix" : "" }, { "dropping-particle" : "", "family" : "Schmidt", "given" : "Hartmut H J", "non-dropping-particle" : "", "parse-names" : false, "suffix" : "" }, { "dropping-particle" : "", "family" : "Merle", "given" : "Uta", "non-dropping-particle" : "", "parse-names" : false, "suffix" : "" }, { "dropping-particle" : "", "family" : "Gotthardt", "given" : "Daniel Nils", "non-dropping-particle" : "", "parse-names" : false, "suffix" : "" }, { "dropping-particle" : "", "family" : "Kroemer", "given" : "Guido", "non-dropping-particle" : "", "parse-names" : false, "suffix" : "" }, { "dropping-particle" : "", "family" : "Weiss", "given" : "Karl Heinz", "non-dropping-particle" : "", "parse-names" : false, "suffix" : "" }, { "dropping-particle" : "", "family" : "Zischka", "given" : "Hans", "non-dropping-particle" : "", "parse-names" : false, "suffix" : "" } ], "container-title" : "Journal of Clinical Investigation", "id" : "ITEM-1", "issue" : "7", "issued" : { "date-parts" : [ [ "2016" ] ] }, "note" : "https://www.jci.org/articles/view/85226/sd/1\nSupplemental Info Figure 2A --&amp;gt; Strukur von MB\n\nGesamtgehalt Bestimmung mittels ICP-OES", "page" : "2721-2735", "title" : "Methanobactin reverses acute liver failure in a rat model of Wilson disease", "type" : "article-journal", "volume" : "126" }, "uris" : [ "http://www.mendeley.com/documents/?uuid=99dd46a4-ccd8-4a33-93f4-f5cde576fead" ] } ], "mendeley" : { "formattedCitation" : "[10]", "plainTextFormattedCitation" : "[10]", "previouslyFormattedCitation" : "[10]" }, "properties" : {  }, "schema" : "https://github.com/citation-style-language/schema/raw/master/csl-citation.json" }</w:instrText>
      </w:r>
      <w:r>
        <w:rPr>
          <w:rFonts w:ascii="Arial" w:hAnsi="Arial" w:cs="Arial"/>
          <w:sz w:val="24"/>
          <w:szCs w:val="24"/>
        </w:rPr>
        <w:fldChar w:fldCharType="separate"/>
      </w:r>
      <w:r w:rsidRPr="00283B4A">
        <w:rPr>
          <w:rFonts w:ascii="Arial" w:hAnsi="Arial" w:cs="Arial"/>
          <w:noProof/>
          <w:sz w:val="24"/>
          <w:szCs w:val="24"/>
        </w:rPr>
        <w:t>[10]</w:t>
      </w:r>
      <w:r>
        <w:rPr>
          <w:rFonts w:ascii="Arial" w:hAnsi="Arial" w:cs="Arial"/>
          <w:sz w:val="24"/>
          <w:szCs w:val="24"/>
        </w:rPr>
        <w:fldChar w:fldCharType="end"/>
      </w:r>
      <w:r w:rsidRPr="00E70C26">
        <w:rPr>
          <w:rFonts w:ascii="Arial" w:hAnsi="Arial" w:cs="Arial"/>
          <w:sz w:val="24"/>
          <w:szCs w:val="24"/>
        </w:rPr>
        <w:t xml:space="preserve"> </w:t>
      </w:r>
      <w:r>
        <w:rPr>
          <w:rFonts w:ascii="Arial" w:hAnsi="Arial" w:cs="Arial"/>
          <w:sz w:val="24"/>
          <w:szCs w:val="24"/>
        </w:rPr>
        <w:t>As shown previously</w:t>
      </w:r>
      <w:r w:rsidRPr="00E70C26">
        <w:rPr>
          <w:rFonts w:ascii="Arial" w:hAnsi="Arial" w:cs="Arial"/>
          <w:sz w:val="24"/>
          <w:szCs w:val="24"/>
        </w:rPr>
        <w:t>, laser ablation-inductively coupled plasma-mass spectrometry (LA-ICP-MS) is a useful imaging tool to analyze the copper concentration and distribution, as well as the distribution of other trace elements, in WD liver tissue.</w:t>
      </w:r>
      <w:r>
        <w:rPr>
          <w:rFonts w:ascii="Arial" w:hAnsi="Arial" w:cs="Arial"/>
          <w:sz w:val="24"/>
          <w:szCs w:val="24"/>
        </w:rPr>
        <w:fldChar w:fldCharType="begin" w:fldLock="1"/>
      </w:r>
      <w:r>
        <w:rPr>
          <w:rFonts w:ascii="Arial" w:hAnsi="Arial" w:cs="Arial"/>
          <w:sz w:val="24"/>
          <w:szCs w:val="24"/>
        </w:rPr>
        <w:instrText>ADDIN CSL_CITATION { "citationItems" : [ { "id" : "ITEM-1", "itemData" : { "DOI" : "10.1016/j.jtemb.2016.02.001", "ISSN" : "18783252", "PMID" : "27049132", "abstract" : "A laser ablation-inductively coupled plasma-mass spectrometry (LA-ICP-MS) method is developed and applied for the analysis of paraffin-embedded liver needle biopsy specimens of patients with Wilson's disease (WD), a rare autosomal recessive disorder of the copper metabolism causing various hepatic, neurological and psychiatric symptoms due to a copper accumulation in the liver and the central nervous system. The sample set includes two WD liver samples and one negative control sample. The imaging analysis was performed with a spatial resolution of 10 ??m. Besides copper, iron was monitored because an elevated iron concentration in the liver is known for WD. In addition to this, both elements were quantified using an external calibration based on matrix-matched gelatine standards. The presented method offers low limits of detection of 1 and 5 ??g/g for copper and iron, respectively. The high detection power and good spatial resolution allow the analysis of small needle biopsy specimen using this method. The two analyzed WD samples can be well differentiated from the control sample due to their inhomogeneous copper distribution and high copper concentrations of up to 1200 ??g/g. Interestingly, the WD samples show an inverse correlation of regions with elevated copper concentrations and regions with high iron concentrations.", "author" : [ { "dropping-particle" : "", "family" : "Hachm\u00f6ller", "given" : "Oliver", "non-dropping-particle" : "", "parse-names" : false, "suffix" : "" }, { "dropping-particle" : "", "family" : "Aichler", "given" : "Michaela", "non-dropping-particle" : "", "parse-names" : false, "suffix" : "" }, { "dropping-particle" : "", "family" : "Schwamborn", "given" : "Kristina", "non-dropping-particle" : "", "parse-names" : false, "suffix" : "" }, { "dropping-particle" : "", "family" : "Lutz", "given" : "Lisa", "non-dropping-particle" : "", "parse-names" : false, "suffix" : "" }, { "dropping-particle" : "", "family" : "Werner", "given" : "Martin", "non-dropping-particle" : "", "parse-names" : false, "suffix" : "" }, { "dropping-particle" : "", "family" : "Sperling", "given" : "Michael", "non-dropping-particle" : "", "parse-names" : false, "suffix" : "" }, { "dropping-particle" : "", "family" : "Walch", "given" : "Axel", "non-dropping-particle" : "", "parse-names" : false, "suffix" : "" }, { "dropping-particle" : "", "family" : "Karst", "given" : "Uwe", "non-dropping-particle" : "", "parse-names" : false, "suffix" : "" } ], "container-title" : "Journal of Trace Elements in Medicine and Biology", "id" : "ITEM-1", "issued" : { "date-parts" : [ [ "2016" ] ] }, "note" : "LA-ICP-MS\nhuman liver samples untreated\n\nprocedure for gelatine standards\n+ Gegenquantifizierung\n\nRef 22 und 23", "page" : "97-102", "publisher" : "Elsevier GmbH.", "title" : "Element bioimaging of liver needle biopsy specimens from patients with Wilson's disease by laser ablation-inductively coupled plasma-mass spectrometry", "type" : "article-journal", "volume" : "35" }, "uris" : [ "http://www.mendeley.com/documents/?uuid=a07e23f8-6b21-478c-afc7-dcd1d79d7a5b" ] }, { "id" : "ITEM-2", "itemData" : { "DOI" : "10.1016/j.jtemb.2017.05.008", "ISSN" : "18783252", "abstract" : "At present, the copper chelator D-penicillamine (DPA) is the first-line therapy of Wilson's disease (WD), which is characterized by an excessive copper overload. Lifelong DPA treatments aim to reduce the amount of detrimental excess copper retention in the liver and other organs. Although DPA shows beneficial effect in many patients, it may cause severe adverse effects. Despite several years of copper chelation therapy, discontinuation of DPA therapy can be linked to a rapidly progressing liver failure, indicating a high residual liver copper load. In order to investigate the spatial distribution of remaining copper and additional elements, such as zinc and iron, in rat and human liver samples after DPA treatment, a high resolution (spotsize of 10\u00a0\u03bcm) laser ablation-inductively coupled plasma-mass spectrometry (LA\u2010ICP\u2010MS) imaging method was applied. Untreated LPP\u2010/\u2212 rats, an established animal model for WD, appeared with a high overall copper concentration and a copper distribution of hotspots distributed over the liver tissue. In contrast, a low (&gt;2-fold decreased) overall copper concentration was detected in liver of DPA treated animals. Importantly, however, copper distribution was highly inhomogeneous with lowest concentrations in direct proximity to blood vessels, as observed using novel zonal analysis. A human liver needle biopsy of a DPA treated WD patient substantiated the finding of an inhomogeneous copper deposition upon chelation therapy. In contrast, comparatively homogenous distributions of zinc and iron were observed. Our study indicates that a high resolution LA\u2010ICP\u2010MS analysis of liver samples is excellently suited to follow efficacy of chelator therapy in WD patients.", "author" : [ { "dropping-particle" : "", "family" : "Hachm\u00f6ller", "given" : "Oliver", "non-dropping-particle" : "", "parse-names" : false, "suffix" : "" }, { "dropping-particle" : "", "family" : "Zibert", "given" : "Andree", "non-dropping-particle" : "", "parse-names" : false, "suffix" : "" }, { "dropping-particle" : "", "family" : "Zischka", "given" : "Hans", "non-dropping-particle" : "", "parse-names" : false, "suffix" : "" }, { "dropping-particle" : "", "family" : "Sperling", "given" : "Michael", "non-dropping-particle" : "", "parse-names" : false, "suffix" : "" }, { "dropping-particle" : "", "family" : "Groba", "given" : "Sara Reinartz", "non-dropping-particle" : "", "parse-names" : false, "suffix" : "" }, { "dropping-particle" : "", "family" : "Gr\u00fcnewald", "given" : "Inga", "non-dropping-particle" : "", "parse-names" : false, "suffix" : "" }, { "dropping-particle" : "", "family" : "Wardelmann", "given" : "Eva", "non-dropping-particle" : "", "parse-names" : false, "suffix" : "" }, { "dropping-particle" : "", "family" : "Schmidt", "given" : "H. H.J.", "non-dropping-particle" : "", "parse-names" : false, "suffix" : "" }, { "dropping-particle" : "", "family" : "Hartmut", "given" : "H. J.", "non-dropping-particle" : "", "parse-names" : false, "suffix" : "" } ], "container-title" : "Journal of Trace Elements in Medicine and Biology", "id" : "ITEM-2", "issue" : "May", "issued" : { "date-parts" : [ [ "2017" ] ] }, "page" : "26-31", "publisher" : "Elsevier", "title" : "Spatial investigation of the elemental distribution in Wilson's disease liver after D-penicillamine treatment by LA-ICP-MS", "type" : "article-journal", "volume" : "44" }, "uris" : [ "http://www.mendeley.com/documents/?uuid=26d37340-6f2b-4a9f-9889-a9ffde5c1675" ] }, { "id" : "ITEM-3", "itemData" : { "DOI" : "10.1016/j.jtemb.2017.06.002", "ISSN" : "18783252", "abstract" : "The influence of rhodanine and haematoxylin and eosin (HE) staining on the copper distribution and concentration in liver needle biopsy samples originating from patients with Wilson's disease (WD), a rare autosomal recessive inherited disorder of the copper metabolism, is investigated. In contemporary diagnostic of WD, rhodanine staining is used for histopathology, since rhodanine and copper are forming a red to orange-red complex, which can be recognized in the liver tissue using a microscope. In this paper, a laser ablation-inductively coupled plasma-mass spectrometry (LA-ICP-MS) method is applied for the analysis of eight different WD liver samples. Apart from a spatially resolved elemental detection as qualitative information, this LA-ICP-MS method offers also quantitative information by external calibration with matrix-matched gelatine standards. The sample set of this work included an unstained and a rhodanine stained section of each WD liver sample. While unstained sections of WD liver samples showed very distinct structures of the copper distribution with high copper concentrations, rhodanine stained sections revealed a blurred copper distribution with significant decreased concentrations in a range from 20 to more than 90%. This implies a copper removal from the liver tissue by complexation during the rhodanine staining. In contrast to this, a further HE stained sample of one WD liver sample did not show a significant decrease in the copper concentration and influence on the copper distribution in comparison to the unstained section. Therefore, HE staining can be combined with the analysis by means of LA-ICP-MS in two successive steps from one thin section of a biopsy specimen. This allows further information to be gained on the elemental distribution by LA-ICP-MS additional to results obtained by histological staining.", "author" : [ { "dropping-particle" : "", "family" : "Hachm\u00f6ller", "given" : "Oliver", "non-dropping-particle" : "", "parse-names" : false, "suffix" : "" }, { "dropping-particle" : "", "family" : "Aichler", "given" : "Michaela", "non-dropping-particle" : "", "parse-names" : false, "suffix" : "" }, { "dropping-particle" : "", "family" : "Schwamborn", "given" : "Kristina", "non-dropping-particle" : "", "parse-names" : false, "suffix" : "" }, { "dropping-particle" : "", "family" : "Lutz", "given" : "Lisa", "non-dropping-particle" : "", "parse-names" : false, "suffix" : "" }, { "dropping-particle" : "", "family" : "Werner", "given" : "Martin", "non-dropping-particle" : "", "parse-names" : false, "suffix" : "" }, { "dropping-particle" : "", "family" : "Sperling", "given" : "Michael", "non-dropping-particle" : "", "parse-names" : false, "suffix" : "" }, { "dropping-particle" : "", "family" : "Walch", "given" : "Axel", "non-dropping-particle" : "", "parse-names" : false, "suffix" : "" }, { "dropping-particle" : "", "family" : "Karst", "given" : "Uwe", "non-dropping-particle" : "", "parse-names" : false, "suffix" : "" } ], "container-title" : "Journal of Trace Elements in Medicine and Biology", "id" : "ITEM-3", "issue" : "May", "issued" : { "date-parts" : [ [ "2017" ] ] }, "page" : "71-75", "publisher" : "Elsevier", "title" : "Investigating the influence of standard staining procedures on the copper distribution and concentration in Wilson's disease liver samples by laser ablation-inductively coupled plasma-mass spectrometry", "type" : "article-journal", "volume" : "44" }, "uris" : [ "http://www.mendeley.com/documents/?uuid=2223b61f-d252-4198-8085-c1ae9a9fc079" ] } ], "mendeley" : { "formattedCitation" : "[11\u201313]", "plainTextFormattedCitation" : "[11\u201313]", "previouslyFormattedCitation" : "[11\u201313]" }, "properties" : {  }, "schema" : "https://github.com/citation-style-language/schema/raw/master/csl-citation.json" }</w:instrText>
      </w:r>
      <w:r>
        <w:rPr>
          <w:rFonts w:ascii="Arial" w:hAnsi="Arial" w:cs="Arial"/>
          <w:sz w:val="24"/>
          <w:szCs w:val="24"/>
        </w:rPr>
        <w:fldChar w:fldCharType="separate"/>
      </w:r>
      <w:r w:rsidRPr="00283B4A">
        <w:rPr>
          <w:rFonts w:ascii="Arial" w:hAnsi="Arial" w:cs="Arial"/>
          <w:noProof/>
          <w:sz w:val="24"/>
          <w:szCs w:val="24"/>
        </w:rPr>
        <w:t>[11–13]</w:t>
      </w:r>
      <w:r>
        <w:rPr>
          <w:rFonts w:ascii="Arial" w:hAnsi="Arial" w:cs="Arial"/>
          <w:sz w:val="24"/>
          <w:szCs w:val="24"/>
        </w:rPr>
        <w:fldChar w:fldCharType="end"/>
      </w:r>
      <w:r w:rsidRPr="00E70C26">
        <w:rPr>
          <w:rFonts w:ascii="Arial" w:hAnsi="Arial" w:cs="Arial"/>
          <w:sz w:val="24"/>
          <w:szCs w:val="24"/>
        </w:rPr>
        <w:t xml:space="preserve"> Especially information about the elemental distribution in addition to the information about the concentration can help to understand the effect mechanism of MB in more detail. In this paper, the copper removal efficiency of the new drug MB is investigated with a spatial resolution down to 4 µm. </w:t>
      </w:r>
    </w:p>
    <w:p w:rsidR="00AA5521" w:rsidRPr="00E70C26" w:rsidRDefault="00AA5521" w:rsidP="00C90566">
      <w:pPr>
        <w:spacing w:line="480" w:lineRule="auto"/>
        <w:jc w:val="both"/>
        <w:rPr>
          <w:rFonts w:ascii="Arial" w:hAnsi="Arial" w:cs="Arial"/>
          <w:b/>
          <w:sz w:val="24"/>
          <w:szCs w:val="24"/>
        </w:rPr>
      </w:pPr>
      <w:r>
        <w:rPr>
          <w:rFonts w:ascii="Arial" w:hAnsi="Arial" w:cs="Arial"/>
          <w:b/>
          <w:sz w:val="24"/>
          <w:szCs w:val="24"/>
        </w:rPr>
        <w:br w:type="column"/>
      </w:r>
      <w:r w:rsidRPr="00E70C26">
        <w:rPr>
          <w:rFonts w:ascii="Arial" w:hAnsi="Arial" w:cs="Arial"/>
          <w:b/>
          <w:sz w:val="24"/>
          <w:szCs w:val="24"/>
        </w:rPr>
        <w:t>Materials and methods</w:t>
      </w:r>
    </w:p>
    <w:p w:rsidR="00AA5521" w:rsidRPr="00E70C26" w:rsidRDefault="00AA5521" w:rsidP="00C90566">
      <w:pPr>
        <w:spacing w:line="480" w:lineRule="auto"/>
        <w:jc w:val="both"/>
        <w:rPr>
          <w:rFonts w:ascii="Arial" w:hAnsi="Arial" w:cs="Arial"/>
          <w:i/>
          <w:sz w:val="24"/>
          <w:szCs w:val="24"/>
        </w:rPr>
      </w:pPr>
      <w:r w:rsidRPr="00E70C26">
        <w:rPr>
          <w:rFonts w:ascii="Arial" w:hAnsi="Arial" w:cs="Arial"/>
          <w:i/>
          <w:sz w:val="24"/>
          <w:szCs w:val="24"/>
        </w:rPr>
        <w:t xml:space="preserve">Chemicals </w:t>
      </w:r>
    </w:p>
    <w:p w:rsidR="00AA5521" w:rsidRPr="00E70C26" w:rsidRDefault="00AA5521" w:rsidP="00C90566">
      <w:pPr>
        <w:spacing w:line="480" w:lineRule="auto"/>
        <w:jc w:val="both"/>
        <w:rPr>
          <w:rFonts w:ascii="Arial" w:hAnsi="Arial" w:cs="Arial"/>
          <w:sz w:val="24"/>
          <w:szCs w:val="24"/>
        </w:rPr>
      </w:pPr>
      <w:r w:rsidRPr="00E70C26">
        <w:rPr>
          <w:rFonts w:ascii="Arial" w:hAnsi="Arial" w:cs="Arial"/>
          <w:sz w:val="24"/>
          <w:szCs w:val="24"/>
        </w:rPr>
        <w:t>All chemicals were used in the highest purity available. Gelatin was purchased from Grüssing (Filsum, Germany). Iron(II) sulfate heptahydrate was obtained from VWR Chemicals (Haasrode, Belgium). Zinc(II) chloride was purchased from Alfa Aesar (Karlsruhe, Germany). Nitric acid (65%, Suprapur), multi-element standard IV (1000 mg/l), copper(II) sulfate pentahydrate, ethanol and xylene were obtained from Merck (Darmstadt, Germany). Rhodium (1000 mg/l) ICP standard solution was purchased from SCP Science (Baie D’Urfé, Canada). Doubly distilled water was prepared using an Aquatron Water Still purification system model A4000D (Barloworld Scientific, Nemours Cedex, France).</w:t>
      </w:r>
    </w:p>
    <w:p w:rsidR="00AA5521" w:rsidRDefault="00AA5521" w:rsidP="00C90566">
      <w:pPr>
        <w:spacing w:line="480" w:lineRule="auto"/>
        <w:jc w:val="both"/>
        <w:rPr>
          <w:rFonts w:ascii="Arial" w:hAnsi="Arial" w:cs="Arial"/>
          <w:i/>
          <w:sz w:val="24"/>
          <w:szCs w:val="24"/>
        </w:rPr>
      </w:pPr>
      <w:r>
        <w:rPr>
          <w:rFonts w:ascii="Arial" w:hAnsi="Arial" w:cs="Arial"/>
          <w:i/>
          <w:sz w:val="24"/>
          <w:szCs w:val="24"/>
        </w:rPr>
        <w:t>Animals</w:t>
      </w:r>
    </w:p>
    <w:p w:rsidR="00AA5521" w:rsidRDefault="00AA5521" w:rsidP="00C90566">
      <w:pPr>
        <w:spacing w:line="480" w:lineRule="auto"/>
        <w:jc w:val="both"/>
        <w:rPr>
          <w:rFonts w:ascii="Arial" w:hAnsi="Arial" w:cs="Arial"/>
          <w:sz w:val="24"/>
          <w:szCs w:val="24"/>
        </w:rPr>
      </w:pPr>
      <w:r w:rsidRPr="008B6927">
        <w:rPr>
          <w:rFonts w:ascii="Arial" w:hAnsi="Arial" w:cs="Arial"/>
          <w:sz w:val="24"/>
          <w:szCs w:val="24"/>
        </w:rPr>
        <w:t>The LPP rat strain was provided by Jimo Borjigin, Universit</w:t>
      </w:r>
      <w:r>
        <w:rPr>
          <w:rFonts w:ascii="Arial" w:hAnsi="Arial" w:cs="Arial"/>
          <w:sz w:val="24"/>
          <w:szCs w:val="24"/>
        </w:rPr>
        <w:t>y of Michigan, Ann Arbor, USA.</w:t>
      </w:r>
      <w:r>
        <w:rPr>
          <w:rFonts w:ascii="Arial" w:hAnsi="Arial" w:cs="Arial"/>
          <w:sz w:val="24"/>
          <w:szCs w:val="24"/>
        </w:rPr>
        <w:fldChar w:fldCharType="begin" w:fldLock="1"/>
      </w:r>
      <w:r>
        <w:rPr>
          <w:rFonts w:ascii="Arial" w:hAnsi="Arial" w:cs="Arial"/>
          <w:sz w:val="24"/>
          <w:szCs w:val="24"/>
        </w:rPr>
        <w:instrText>ADDIN CSL_CITATION { "citationItems" : [ { "id" : "ITEM-1", "itemData" : { "DOI" : "10.1016/j.molbrainres.2005.02.025", "ISBN" : "0169-328X (Print)\\r0169-328X (Linking)", "ISSN" : "0169328X", "PMID" : "15950762", "abstract" : "Long Evans cinnamon (LEC) rat is an animal model for human Wilson disease (WD) due to a deletion in Atp7b, the copper transporter defective in WD patients. Previously, we have demonstrated presence of an alternative product termed PIneal Night-specific ATPase (PINA) generated by an intronic promoter in Atp7b gene. Analysis of LEC rat in this study demonstrates that PINA is absent in the LEC pineal establishing its usefulness for investigating PINA function. Studies of the LEC pineal, however, revealed an additional defect in serotonin N-acetyltransferase (NAT), the key enzyme in melatonin production. Linkage studies confirm that the NAT phenotype is entirely independent of PINA mutation in the pineal gland of LEC rats, and sequence analysis demonstrates that NAT defect is due to a point mutation in NAT coding region. In addition, we demonstrate that the cinnamon coat color of the LEC rat is unlinked to PINA and NAT deficiencies in these animals. To facilitate further functional analysis of PINA in pineal physiology, we crossed LEC rats with PVG rats that are wildtype for PINA, NAT and coat color, and obtained rats that are defective only in PINA/Atp7b locus (termed LPP rats) and normal for NAT activity and coat color. Furthermore, we have identified the deletion breakpoint of Atp7b gene in LPP rats, which allows simplified genotyping of mutant animals. The separation of PINA mutation from both NAT and coat color mutations in the new LPP rats will permit better functional studies of PINA in pineal circadian physiology. \u00a9 2005 Elsevier B.V. All rights reserved.", "author" : [ { "dropping-particle" : "", "family" : "Ahmed", "given" : "Samreen", "non-dropping-particle" : "", "parse-names" : false, "suffix" : "" }, { "dropping-particle" : "", "family" : "Deng", "given" : "Jie", "non-dropping-particle" : "", "parse-names" : false, "suffix" : "" }, { "dropping-particle" : "", "family" : "Borjigin", "given" : "Jimo", "non-dropping-particle" : "", "parse-names" : false, "suffix" : "" } ], "container-title" : "Molecular Brain Research", "id" : "ITEM-1", "issue" : "1-2", "issued" : { "date-parts" : [ [ "2005" ] ] }, "page" : "63-69", "title" : "A new strain of rat for functional analysis of PINA", "type" : "article-journal", "volume" : "137" }, "uris" : [ "http://www.mendeley.com/documents/?uuid=b2e220f3-c884-42ca-90f2-506c7b16637c" ] } ], "mendeley" : { "formattedCitation" : "[14]", "plainTextFormattedCitation" : "[14]", "previouslyFormattedCitation" : "[14]" }, "properties" : {  }, "schema" : "https://github.com/citation-style-language/schema/raw/master/csl-citation.json" }</w:instrText>
      </w:r>
      <w:r>
        <w:rPr>
          <w:rFonts w:ascii="Arial" w:hAnsi="Arial" w:cs="Arial"/>
          <w:sz w:val="24"/>
          <w:szCs w:val="24"/>
        </w:rPr>
        <w:fldChar w:fldCharType="separate"/>
      </w:r>
      <w:r w:rsidRPr="00B838B8">
        <w:rPr>
          <w:rFonts w:ascii="Arial" w:hAnsi="Arial" w:cs="Arial"/>
          <w:noProof/>
          <w:sz w:val="24"/>
          <w:szCs w:val="24"/>
        </w:rPr>
        <w:t>[14]</w:t>
      </w:r>
      <w:r>
        <w:rPr>
          <w:rFonts w:ascii="Arial" w:hAnsi="Arial" w:cs="Arial"/>
          <w:sz w:val="24"/>
          <w:szCs w:val="24"/>
        </w:rPr>
        <w:fldChar w:fldCharType="end"/>
      </w:r>
      <w:r>
        <w:rPr>
          <w:rFonts w:ascii="Arial" w:hAnsi="Arial" w:cs="Arial"/>
          <w:sz w:val="24"/>
          <w:szCs w:val="24"/>
        </w:rPr>
        <w:t xml:space="preserve"> </w:t>
      </w:r>
      <w:r w:rsidRPr="008B6927">
        <w:rPr>
          <w:rFonts w:ascii="Arial" w:hAnsi="Arial" w:cs="Arial"/>
          <w:sz w:val="24"/>
          <w:szCs w:val="24"/>
        </w:rPr>
        <w:t>Rats were maintained ad lib on standard diet with a copper content of 13</w:t>
      </w:r>
      <w:r>
        <w:rPr>
          <w:rFonts w:ascii="Arial" w:hAnsi="Arial" w:cs="Arial"/>
          <w:sz w:val="24"/>
          <w:szCs w:val="24"/>
        </w:rPr>
        <w:t> </w:t>
      </w:r>
      <w:r w:rsidRPr="008B6927">
        <w:rPr>
          <w:rFonts w:ascii="Arial" w:hAnsi="Arial" w:cs="Arial"/>
          <w:sz w:val="24"/>
          <w:szCs w:val="24"/>
        </w:rPr>
        <w:t>mg/kg (Altromin Spezialfutter GmbH, Seelenkamp, Germany) and tap water. All animals were treated under the guidelines for the care and use of laboratory animals of the Helmholtz Center Munich. Animal experiments were approved by the government authorities of the Regierung von Oberbayern, Munich, Germany.</w:t>
      </w:r>
    </w:p>
    <w:p w:rsidR="00AA5521" w:rsidRDefault="00AA5521" w:rsidP="00C90566">
      <w:pPr>
        <w:spacing w:line="480" w:lineRule="auto"/>
        <w:jc w:val="both"/>
        <w:rPr>
          <w:rFonts w:ascii="Arial" w:hAnsi="Arial" w:cs="Arial"/>
          <w:i/>
          <w:sz w:val="24"/>
          <w:szCs w:val="24"/>
        </w:rPr>
      </w:pPr>
      <w:r w:rsidRPr="008E3BFB">
        <w:rPr>
          <w:rFonts w:ascii="Arial" w:hAnsi="Arial" w:cs="Arial"/>
          <w:i/>
          <w:sz w:val="24"/>
          <w:szCs w:val="24"/>
        </w:rPr>
        <w:t>Animal treatments</w:t>
      </w:r>
    </w:p>
    <w:p w:rsidR="00AA5521" w:rsidRDefault="00AA5521" w:rsidP="008E3BFB">
      <w:pPr>
        <w:spacing w:line="480" w:lineRule="auto"/>
        <w:jc w:val="both"/>
        <w:rPr>
          <w:rFonts w:ascii="Arial" w:hAnsi="Arial" w:cs="Arial"/>
          <w:sz w:val="24"/>
          <w:szCs w:val="24"/>
        </w:rPr>
      </w:pPr>
      <w:r w:rsidRPr="008E3BFB">
        <w:rPr>
          <w:rFonts w:ascii="Arial" w:hAnsi="Arial" w:cs="Arial"/>
          <w:sz w:val="24"/>
          <w:szCs w:val="24"/>
        </w:rPr>
        <w:t xml:space="preserve">LPP </w:t>
      </w:r>
      <w:r w:rsidRPr="008E3BFB">
        <w:rPr>
          <w:rFonts w:ascii="Arial" w:hAnsi="Arial" w:cs="Arial"/>
          <w:i/>
          <w:sz w:val="24"/>
          <w:szCs w:val="24"/>
        </w:rPr>
        <w:t>Atp7b</w:t>
      </w:r>
      <w:r w:rsidRPr="008E3BFB">
        <w:rPr>
          <w:rFonts w:ascii="Arial" w:hAnsi="Arial" w:cs="Arial"/>
          <w:i/>
          <w:sz w:val="24"/>
          <w:szCs w:val="24"/>
          <w:vertAlign w:val="superscript"/>
        </w:rPr>
        <w:t>-/-</w:t>
      </w:r>
      <w:r w:rsidRPr="008E3BFB">
        <w:rPr>
          <w:rFonts w:ascii="Arial" w:hAnsi="Arial" w:cs="Arial"/>
          <w:sz w:val="24"/>
          <w:szCs w:val="24"/>
        </w:rPr>
        <w:t xml:space="preserve"> rats were treated </w:t>
      </w:r>
      <w:r>
        <w:rPr>
          <w:rFonts w:ascii="Arial" w:hAnsi="Arial" w:cs="Arial"/>
          <w:sz w:val="24"/>
          <w:szCs w:val="24"/>
        </w:rPr>
        <w:t>either for five</w:t>
      </w:r>
      <w:r w:rsidRPr="008E3BFB">
        <w:rPr>
          <w:rFonts w:ascii="Arial" w:hAnsi="Arial" w:cs="Arial"/>
          <w:sz w:val="24"/>
          <w:szCs w:val="24"/>
        </w:rPr>
        <w:t xml:space="preserve"> weeks with Methanobactin OB3b (MB, kindly provided by Prof. Alan A Dispirito, Iowa State University, USA) by i.p. injections at a dose of 62.5 mg/kg </w:t>
      </w:r>
      <w:r>
        <w:rPr>
          <w:rFonts w:ascii="Arial" w:hAnsi="Arial" w:cs="Arial"/>
          <w:sz w:val="24"/>
          <w:szCs w:val="24"/>
        </w:rPr>
        <w:t>bodyweight three</w:t>
      </w:r>
      <w:r w:rsidRPr="008E3BFB">
        <w:rPr>
          <w:rFonts w:ascii="Arial" w:hAnsi="Arial" w:cs="Arial"/>
          <w:sz w:val="24"/>
          <w:szCs w:val="24"/>
        </w:rPr>
        <w:t xml:space="preserve"> times per week (16 treatments in total), or by twice daily MB </w:t>
      </w:r>
      <w:r>
        <w:rPr>
          <w:rFonts w:ascii="Arial" w:hAnsi="Arial" w:cs="Arial"/>
          <w:sz w:val="24"/>
          <w:szCs w:val="24"/>
        </w:rPr>
        <w:t>i.p. injections for eight</w:t>
      </w:r>
      <w:r w:rsidRPr="008E3BFB">
        <w:rPr>
          <w:rFonts w:ascii="Arial" w:hAnsi="Arial" w:cs="Arial"/>
          <w:sz w:val="24"/>
          <w:szCs w:val="24"/>
        </w:rPr>
        <w:t xml:space="preserve"> consecuti</w:t>
      </w:r>
      <w:r>
        <w:rPr>
          <w:rFonts w:ascii="Arial" w:hAnsi="Arial" w:cs="Arial"/>
          <w:sz w:val="24"/>
          <w:szCs w:val="24"/>
        </w:rPr>
        <w:t>ve days at a dose of 150 mg/kg bodyweight</w:t>
      </w:r>
      <w:r w:rsidRPr="008E3BFB">
        <w:rPr>
          <w:rFonts w:ascii="Arial" w:hAnsi="Arial" w:cs="Arial"/>
          <w:sz w:val="24"/>
          <w:szCs w:val="24"/>
        </w:rPr>
        <w:t xml:space="preserve">. One LPP </w:t>
      </w:r>
      <w:r w:rsidRPr="008E3BFB">
        <w:rPr>
          <w:rFonts w:ascii="Arial" w:hAnsi="Arial" w:cs="Arial"/>
          <w:i/>
          <w:sz w:val="24"/>
          <w:szCs w:val="24"/>
        </w:rPr>
        <w:t>Atp7b</w:t>
      </w:r>
      <w:r w:rsidRPr="008E3BFB">
        <w:rPr>
          <w:rFonts w:ascii="Arial" w:hAnsi="Arial" w:cs="Arial"/>
          <w:i/>
          <w:sz w:val="24"/>
          <w:szCs w:val="24"/>
          <w:vertAlign w:val="superscript"/>
        </w:rPr>
        <w:t>-/-</w:t>
      </w:r>
      <w:r>
        <w:rPr>
          <w:rFonts w:ascii="Arial" w:hAnsi="Arial" w:cs="Arial"/>
          <w:sz w:val="24"/>
          <w:szCs w:val="24"/>
        </w:rPr>
        <w:t xml:space="preserve"> rat</w:t>
      </w:r>
      <w:r w:rsidRPr="008E3BFB">
        <w:rPr>
          <w:rFonts w:ascii="Arial" w:hAnsi="Arial" w:cs="Arial"/>
          <w:sz w:val="24"/>
          <w:szCs w:val="24"/>
        </w:rPr>
        <w:t xml:space="preserve"> was subjected to two treatment cycles, each consisting of three daily MB injections (i.p.) for five days with an intermediate non-treatment period of three weeks and a subsequent observation period (“drug holiday”) of seven weeks.</w:t>
      </w:r>
    </w:p>
    <w:p w:rsidR="00AA5521" w:rsidRDefault="00AA5521" w:rsidP="008E3BFB">
      <w:pPr>
        <w:spacing w:line="480" w:lineRule="auto"/>
        <w:jc w:val="both"/>
        <w:rPr>
          <w:rFonts w:ascii="Arial" w:hAnsi="Arial" w:cs="Arial"/>
          <w:i/>
          <w:sz w:val="24"/>
          <w:szCs w:val="24"/>
        </w:rPr>
      </w:pPr>
      <w:r>
        <w:rPr>
          <w:rFonts w:ascii="Arial" w:hAnsi="Arial" w:cs="Arial"/>
          <w:i/>
          <w:sz w:val="24"/>
          <w:szCs w:val="24"/>
        </w:rPr>
        <w:t>Metal content determination</w:t>
      </w:r>
    </w:p>
    <w:p w:rsidR="00AA5521" w:rsidRPr="006D505B" w:rsidRDefault="00AA5521" w:rsidP="008E3BFB">
      <w:pPr>
        <w:spacing w:line="480" w:lineRule="auto"/>
        <w:jc w:val="both"/>
        <w:rPr>
          <w:rFonts w:ascii="Arial" w:hAnsi="Arial" w:cs="Arial"/>
          <w:sz w:val="24"/>
          <w:szCs w:val="24"/>
        </w:rPr>
      </w:pPr>
      <w:r>
        <w:rPr>
          <w:rFonts w:ascii="Arial" w:hAnsi="Arial" w:cs="Arial"/>
          <w:sz w:val="24"/>
          <w:szCs w:val="24"/>
        </w:rPr>
        <w:t>The copper content in liver homogenate was analyzed by ICP-OES (Ciros Vision, SPECTRO Analytical Instruments GmbH, Kleve, Germany) after wet ashing of samples with 65% nitric acid.</w:t>
      </w:r>
      <w:r>
        <w:rPr>
          <w:rFonts w:ascii="Arial" w:hAnsi="Arial" w:cs="Arial"/>
          <w:sz w:val="24"/>
          <w:szCs w:val="24"/>
        </w:rPr>
        <w:fldChar w:fldCharType="begin" w:fldLock="1"/>
      </w:r>
      <w:r>
        <w:rPr>
          <w:rFonts w:ascii="Arial" w:hAnsi="Arial" w:cs="Arial"/>
          <w:sz w:val="24"/>
          <w:szCs w:val="24"/>
        </w:rPr>
        <w:instrText>ADDIN CSL_CITATION { "citationItems" : [ { "id" : "ITEM-1", "itemData" : { "DOI" : "10.1172/JCI45401", "ISBN" : "1558-8238 (Electronic)\\r0021-9738 (Linking)", "ISSN" : "00219738", "PMID" : "21364284", "abstract" : "Wilson disease (WD) is a rare hereditary condition that is caused by a genetic defect in the copper-transporting ATPase ATP7B that results in hepatic copper accumulation and lethal liver failure. The present study focuses on the structural mitochondrial alterations that precede clinical symptoms in the livers of rats lacking Atp7b, an animal model for WD. Liver mitochondria from these Atp7b\u2013/\u2013 rats contained enlarged cristae and widened intermembrane spaces, which coincided with a massive mitochondrial accumulation of copper. These changes, however, preceded detectable deficits in oxidative phosphorylation and biochemical signs of oxidative damage, suggesting that the ultrastructural modifications were not the result of oxidative stress imposed by copper- dependent Fenton chemistry. In a cell-free system containing a reducing dithiol agent, isolated mitochondria exposed to copper underwent modifications that were closely related to those observed in vivo. In this cell-free system, copper induced thiol modifications of three abundant mitochondrial membrane proteins, and this correlated with reversible intramitochondrial membrane crosslinking, which was also observed in liver mitochondria from Atp7b\u2013/\u2013 rats. In vivo, copper-chelating agents reversed mitochondrial accumulation of copper, as well as signs of intra-mitochondrial membrane crosslinking, thereby preserving the functional and structural integrity of mitochondria. Together, these findings suggest that the mitochondrion constitutes a pivotal target of copper in WD.", "author" : [ { "dropping-particle" : "", "family" : "Zischka", "given" : "Hans", "non-dropping-particle" : "", "parse-names" : false, "suffix" : "" }, { "dropping-particle" : "", "family" : "Lichtmannegger", "given" : "Josef", "non-dropping-particle" : "", "parse-names" : false, "suffix" : "" }, { "dropping-particle" : "", "family" : "Schmitt", "given" : "Sabine", "non-dropping-particle" : "", "parse-names" : false, "suffix" : "" }, { "dropping-particle" : "", "family" : "J\u00e4gemann", "given" : "Nora", "non-dropping-particle" : "", "parse-names" : false, "suffix" : "" }, { "dropping-particle" : "", "family" : "Schulz", "given" : "Sabine", "non-dropping-particle" : "", "parse-names" : false, "suffix" : "" }, { "dropping-particle" : "", "family" : "Wartini", "given" : "Daniela", "non-dropping-particle" : "", "parse-names" : false, "suffix" : "" }, { "dropping-particle" : "", "family" : "Jennen", "given" : "Luise", "non-dropping-particle" : "", "parse-names" : false, "suffix" : "" }, { "dropping-particle" : "", "family" : "Rust", "given" : "Christian", "non-dropping-particle" : "", "parse-names" : false, "suffix" : "" }, { "dropping-particle" : "", "family" : "Larochette", "given" : "Nathanael", "non-dropping-particle" : "", "parse-names" : false, "suffix" : "" }, { "dropping-particle" : "", "family" : "Galluzzi", "given" : "Lorenzo", "non-dropping-particle" : "", "parse-names" : false, "suffix" : "" }, { "dropping-particle" : "", "family" : "Chajes", "given" : "Veronique", "non-dropping-particle" : "", "parse-names" : false, "suffix" : "" }, { "dropping-particle" : "", "family" : "Bandow", "given" : "Nathan", "non-dropping-particle" : "", "parse-names" : false, "suffix" : "" }, { "dropping-particle" : "", "family" : "Gilles", "given" : "Val\u00e9rie S.", "non-dropping-particle" : "", "parse-names" : false, "suffix" : "" }, { "dropping-particle" : "", "family" : "DiSpirito", "given" : "Alan A.", "non-dropping-particle" : "", "parse-names" : false, "suffix" : "" }, { "dropping-particle" : "", "family" : "Esposito", "given" : "Irene", "non-dropping-particle" : "", "parse-names" : false, "suffix" : "" }, { "dropping-particle" : "", "family" : "Goettlicher", "given" : "Martin", "non-dropping-particle" : "", "parse-names" : false, "suffix" : "" }, { "dropping-particle" : "", "family" : "Summer", "given" : "Karl H.", "non-dropping-particle" : "", "parse-names" : false, "suffix" : "" }, { "dropping-particle" : "", "family" : "Kroemer", "given" : "Guido", "non-dropping-particle" : "", "parse-names" : false, "suffix" : "" } ], "container-title" : "Journal of Clinical Investigation", "id" : "ITEM-1", "issue" : "4", "issued" : { "date-parts" : [ [ "2011" ] ] }, "note" : "increased mitochondrial copper in -/- rats\nprogressive alterations of mitochondrial structure\nstructure can be reversed with chelat therapy \nwhen it starts before liver damage\n\nRef f\u00fcrtox. Wirkweise von Cu --&amp;gt; ROS", "page" : "1508-1518", "title" : "Liver mitochondrial membrane crosslinking and destruction in a rat model of Wilson disease", "type" : "article-journal", "volume" : "121" }, "uris" : [ "http://www.mendeley.com/documents/?uuid=9e108713-2556-407d-b6cd-2e02d84beef8" ] } ], "mendeley" : { "formattedCitation" : "[15]", "plainTextFormattedCitation" : "[15]", "previouslyFormattedCitation" : "[15]" }, "properties" : {  }, "schema" : "https://github.com/citation-style-language/schema/raw/master/csl-citation.json" }</w:instrText>
      </w:r>
      <w:r>
        <w:rPr>
          <w:rFonts w:ascii="Arial" w:hAnsi="Arial" w:cs="Arial"/>
          <w:sz w:val="24"/>
          <w:szCs w:val="24"/>
        </w:rPr>
        <w:fldChar w:fldCharType="separate"/>
      </w:r>
      <w:r w:rsidRPr="00B838B8">
        <w:rPr>
          <w:rFonts w:ascii="Arial" w:hAnsi="Arial" w:cs="Arial"/>
          <w:noProof/>
          <w:sz w:val="24"/>
          <w:szCs w:val="24"/>
        </w:rPr>
        <w:t>[15]</w:t>
      </w:r>
      <w:r>
        <w:rPr>
          <w:rFonts w:ascii="Arial" w:hAnsi="Arial" w:cs="Arial"/>
          <w:sz w:val="24"/>
          <w:szCs w:val="24"/>
        </w:rPr>
        <w:fldChar w:fldCharType="end"/>
      </w:r>
    </w:p>
    <w:p w:rsidR="00AA5521" w:rsidRPr="00E70C26" w:rsidRDefault="00AA5521" w:rsidP="00C90566">
      <w:pPr>
        <w:spacing w:line="480" w:lineRule="auto"/>
        <w:jc w:val="both"/>
        <w:rPr>
          <w:rFonts w:ascii="Arial" w:hAnsi="Arial" w:cs="Arial"/>
          <w:i/>
          <w:sz w:val="24"/>
          <w:szCs w:val="24"/>
        </w:rPr>
      </w:pPr>
      <w:r w:rsidRPr="00E70C26">
        <w:rPr>
          <w:rFonts w:ascii="Arial" w:hAnsi="Arial" w:cs="Arial"/>
          <w:i/>
          <w:sz w:val="24"/>
          <w:szCs w:val="24"/>
        </w:rPr>
        <w:t>Liver sample preparation</w:t>
      </w:r>
    </w:p>
    <w:p w:rsidR="00AA5521" w:rsidRPr="00E70C26" w:rsidRDefault="00AA5521" w:rsidP="00C90566">
      <w:pPr>
        <w:spacing w:line="480" w:lineRule="auto"/>
        <w:jc w:val="both"/>
        <w:rPr>
          <w:rFonts w:ascii="Arial" w:hAnsi="Arial" w:cs="Arial"/>
          <w:sz w:val="24"/>
          <w:szCs w:val="24"/>
        </w:rPr>
      </w:pPr>
      <w:r w:rsidRPr="00E70C26">
        <w:rPr>
          <w:rFonts w:ascii="Arial" w:hAnsi="Arial" w:cs="Arial"/>
          <w:sz w:val="24"/>
          <w:szCs w:val="24"/>
        </w:rPr>
        <w:t xml:space="preserve">For laser ablation-inductively coupled plasma-mass spectrometry (LA-ICP-MS) analysis, tissue sections of </w:t>
      </w:r>
      <w:r w:rsidRPr="00676DB2">
        <w:rPr>
          <w:rFonts w:ascii="Arial" w:hAnsi="Arial" w:cs="Arial"/>
          <w:sz w:val="24"/>
          <w:szCs w:val="24"/>
        </w:rPr>
        <w:t xml:space="preserve">LPP </w:t>
      </w:r>
      <w:r w:rsidRPr="00E70C26">
        <w:rPr>
          <w:rFonts w:ascii="Arial" w:hAnsi="Arial" w:cs="Arial"/>
          <w:sz w:val="24"/>
          <w:szCs w:val="24"/>
        </w:rPr>
        <w:t>rat liver samples embedded in paraffin were prepared with a thickness of 5 µm using a microtome HM 355S (Thermo Scientific, Bremen Germany). The tissue samples were deparaffinated by washing with xylene, ethanol and water. Afterwards, bright field microscopic images were captured with a BZ-9000 microscope (Keyence, Osaka, Japan).</w:t>
      </w:r>
    </w:p>
    <w:p w:rsidR="00AA5521" w:rsidRPr="00E70C26" w:rsidRDefault="00AA5521" w:rsidP="00C90566">
      <w:pPr>
        <w:spacing w:line="480" w:lineRule="auto"/>
        <w:jc w:val="both"/>
        <w:rPr>
          <w:rFonts w:ascii="Arial" w:hAnsi="Arial" w:cs="Arial"/>
          <w:i/>
          <w:sz w:val="24"/>
          <w:szCs w:val="24"/>
        </w:rPr>
      </w:pPr>
      <w:r w:rsidRPr="00E70C26">
        <w:rPr>
          <w:rFonts w:ascii="Arial" w:hAnsi="Arial" w:cs="Arial"/>
          <w:i/>
          <w:sz w:val="24"/>
          <w:szCs w:val="24"/>
        </w:rPr>
        <w:t>Preparation of matrix-matched standards</w:t>
      </w:r>
    </w:p>
    <w:p w:rsidR="00AA5521" w:rsidRPr="00E70C26" w:rsidRDefault="00AA5521" w:rsidP="00C90566">
      <w:pPr>
        <w:spacing w:line="480" w:lineRule="auto"/>
        <w:jc w:val="both"/>
        <w:rPr>
          <w:rFonts w:ascii="Arial" w:hAnsi="Arial" w:cs="Arial"/>
          <w:sz w:val="24"/>
          <w:szCs w:val="24"/>
        </w:rPr>
      </w:pPr>
      <w:r w:rsidRPr="00E70C26">
        <w:rPr>
          <w:rFonts w:ascii="Arial" w:hAnsi="Arial" w:cs="Arial"/>
          <w:sz w:val="24"/>
          <w:szCs w:val="24"/>
        </w:rPr>
        <w:t xml:space="preserve">To quantify the copper, iron and zinc concentration in the tissue samples, external calibration with matrix-matched standards was applied. Calibration standards based on 10% gelatin (w/w) were prepared by spiking gelatin with aqueous solutions of copper(II) sulfate pentahydrate, iron(II) sulfate heptahydrate and zinc(II) chloride, respectively. The mixtures were then homogenized at 40 °C. Copper and iron standards in a concentration range from 10 to 1000 µg/g and zinc standards with concentrations between 10 and 500 µg/g were used. Standards for different elements were prepared separately to avoid degradation of the gelatin and to ensure a homogeneous distribution. Sections with a thickness of 5 µm were prepared using a cryomicrotome (Cryostar NX70, Thermo Scientific) to match the thickness of the liver samples. The standards were analyzed via LA-ICP-MS using the same measurement parameters as for the tissue samples. To validate the standard concentrations, bulk analysis after digestion with nitric acid was used. Therefore, 1 ml nitric acid was added to precisely 100 mg standard and the mixture was filled to 50 ml with doubly distilled water. Further dilution was carried out using nitric acid (2%(w/v)) to obtain an identical matrix for all samples. As internal standard, a rhodium solution was used. 100 µl </w:t>
      </w:r>
      <w:r>
        <w:rPr>
          <w:rFonts w:ascii="Arial" w:hAnsi="Arial" w:cs="Arial"/>
          <w:sz w:val="24"/>
          <w:szCs w:val="24"/>
        </w:rPr>
        <w:t xml:space="preserve">of a </w:t>
      </w:r>
      <w:r w:rsidRPr="00E70C26">
        <w:rPr>
          <w:rFonts w:ascii="Arial" w:hAnsi="Arial" w:cs="Arial"/>
          <w:sz w:val="24"/>
          <w:szCs w:val="24"/>
        </w:rPr>
        <w:t xml:space="preserve">rhodium </w:t>
      </w:r>
      <w:r>
        <w:rPr>
          <w:rFonts w:ascii="Arial" w:hAnsi="Arial" w:cs="Arial"/>
          <w:sz w:val="24"/>
          <w:szCs w:val="24"/>
        </w:rPr>
        <w:t>ICP standard</w:t>
      </w:r>
      <w:r w:rsidRPr="00E70C26">
        <w:rPr>
          <w:rFonts w:ascii="Arial" w:hAnsi="Arial" w:cs="Arial"/>
          <w:sz w:val="24"/>
          <w:szCs w:val="24"/>
        </w:rPr>
        <w:t xml:space="preserve"> was added to the gelatin sample before digestion, resulting in a final concentration of 1 ng/g for the internal standard in each sample. The copper, iron and zinc concentrations in the sample were determined using an external calibration in a concentration range from 1 to 25 µg/g</w:t>
      </w:r>
      <w:r w:rsidRPr="00E70C26">
        <w:rPr>
          <w:rFonts w:ascii="Arial" w:hAnsi="Arial" w:cs="Arial"/>
          <w:sz w:val="24"/>
          <w:szCs w:val="24"/>
          <w:vertAlign w:val="superscript"/>
        </w:rPr>
        <w:t xml:space="preserve"> </w:t>
      </w:r>
      <w:r w:rsidRPr="00E70C26">
        <w:rPr>
          <w:rFonts w:ascii="Arial" w:hAnsi="Arial" w:cs="Arial"/>
          <w:sz w:val="24"/>
          <w:szCs w:val="24"/>
        </w:rPr>
        <w:t>with a multi-elemental standard solution.</w:t>
      </w:r>
    </w:p>
    <w:p w:rsidR="00AA5521" w:rsidRPr="00E70C26" w:rsidRDefault="00AA5521" w:rsidP="00C90566">
      <w:pPr>
        <w:spacing w:line="480" w:lineRule="auto"/>
        <w:jc w:val="both"/>
        <w:rPr>
          <w:rFonts w:ascii="Arial" w:hAnsi="Arial" w:cs="Arial"/>
          <w:i/>
          <w:sz w:val="24"/>
          <w:szCs w:val="24"/>
        </w:rPr>
      </w:pPr>
      <w:r>
        <w:rPr>
          <w:rFonts w:ascii="Arial" w:hAnsi="Arial" w:cs="Arial"/>
          <w:i/>
          <w:sz w:val="24"/>
          <w:szCs w:val="24"/>
        </w:rPr>
        <w:t>LA-ICP-MS instrumentation</w:t>
      </w:r>
    </w:p>
    <w:p w:rsidR="00AA5521" w:rsidRPr="00E70C26" w:rsidRDefault="00AA5521" w:rsidP="00C90566">
      <w:pPr>
        <w:spacing w:line="480" w:lineRule="auto"/>
        <w:jc w:val="both"/>
        <w:rPr>
          <w:rFonts w:ascii="Arial" w:hAnsi="Arial" w:cs="Arial"/>
          <w:sz w:val="24"/>
          <w:szCs w:val="24"/>
        </w:rPr>
      </w:pPr>
      <w:r w:rsidRPr="00E70C26">
        <w:rPr>
          <w:rFonts w:ascii="Arial" w:hAnsi="Arial" w:cs="Arial"/>
          <w:sz w:val="24"/>
          <w:szCs w:val="24"/>
        </w:rPr>
        <w:t>A laser ablation system LSX-213 G2</w:t>
      </w:r>
      <w:r w:rsidRPr="00E70C26">
        <w:rPr>
          <w:rFonts w:ascii="Arial" w:hAnsi="Arial" w:cs="Arial"/>
          <w:sz w:val="24"/>
          <w:szCs w:val="24"/>
          <w:vertAlign w:val="superscript"/>
        </w:rPr>
        <w:t>+</w:t>
      </w:r>
      <w:r w:rsidRPr="00E70C26">
        <w:rPr>
          <w:rFonts w:ascii="Arial" w:hAnsi="Arial" w:cs="Arial"/>
          <w:sz w:val="24"/>
          <w:szCs w:val="24"/>
        </w:rPr>
        <w:t xml:space="preserve"> (Teledyne CETAC Technologies, Omaha, USA) was used</w:t>
      </w:r>
      <w:r>
        <w:rPr>
          <w:rFonts w:ascii="Arial" w:hAnsi="Arial" w:cs="Arial"/>
          <w:sz w:val="24"/>
          <w:szCs w:val="24"/>
        </w:rPr>
        <w:t xml:space="preserve"> for the LA-ICP-MS measurements</w:t>
      </w:r>
      <w:r w:rsidRPr="00E70C26">
        <w:rPr>
          <w:rFonts w:ascii="Arial" w:hAnsi="Arial" w:cs="Arial"/>
          <w:sz w:val="24"/>
          <w:szCs w:val="24"/>
        </w:rPr>
        <w:t>. The system was equipped with a Nd-YAG laser operating at a wavelength of 213 nm and a HelEx Active 2-Volume Cell (Teledyne CETAC Technologies). ICP-MS detection was carried out with a quadrupole-based iCAP TQ (Thermo Fisher Scientific). The laser ablation and ICP-MS were connected with Tygon tubing. The samples were completely ablated line-by-line. For overview images, a laser spot size of 25 µm and a scan rate of 50 µm/s were chosen to achieve a compromise between spatial resolution and analysis time. For a more detailed analysis, a laser spot size of 4 µm with a scan rate of 8 µm/s was used. The laser was operated with a frequency of 20 Hz and the ablation chamber was flushed with a helium gas flow of 0.8 l/min. After the ablation chamber, an additional argon gas flow (~ 0.9 l/min, daily tuned) was added to the aerosol stream via T-piece. For sample introduction, a quartz injector pipe with an inner diameter of 3.5 mm was used. The ICP-MS was operated with nickel sampler and skimmer cones in the single quadrupole kinetic energy discrimination mode (</w:t>
      </w:r>
      <w:r>
        <w:rPr>
          <w:rFonts w:ascii="Arial" w:hAnsi="Arial" w:cs="Arial"/>
          <w:sz w:val="24"/>
          <w:szCs w:val="24"/>
        </w:rPr>
        <w:t>SQ-</w:t>
      </w:r>
      <w:r w:rsidRPr="00E70C26">
        <w:rPr>
          <w:rFonts w:ascii="Arial" w:hAnsi="Arial" w:cs="Arial"/>
          <w:sz w:val="24"/>
          <w:szCs w:val="24"/>
        </w:rPr>
        <w:t xml:space="preserve">KED) with helium as collision gas. The isotopes </w:t>
      </w:r>
      <w:r w:rsidRPr="00E70C26">
        <w:rPr>
          <w:rFonts w:ascii="Arial" w:hAnsi="Arial" w:cs="Arial"/>
          <w:sz w:val="24"/>
          <w:szCs w:val="24"/>
          <w:vertAlign w:val="superscript"/>
        </w:rPr>
        <w:t>31</w:t>
      </w:r>
      <w:r w:rsidRPr="00E70C26">
        <w:rPr>
          <w:rFonts w:ascii="Arial" w:hAnsi="Arial" w:cs="Arial"/>
          <w:sz w:val="24"/>
          <w:szCs w:val="24"/>
        </w:rPr>
        <w:t xml:space="preserve">P, </w:t>
      </w:r>
      <w:r w:rsidRPr="00E70C26">
        <w:rPr>
          <w:rFonts w:ascii="Arial" w:hAnsi="Arial" w:cs="Arial"/>
          <w:sz w:val="24"/>
          <w:szCs w:val="24"/>
          <w:vertAlign w:val="superscript"/>
        </w:rPr>
        <w:t>57</w:t>
      </w:r>
      <w:r w:rsidRPr="00E70C26">
        <w:rPr>
          <w:rFonts w:ascii="Arial" w:hAnsi="Arial" w:cs="Arial"/>
          <w:sz w:val="24"/>
          <w:szCs w:val="24"/>
        </w:rPr>
        <w:t xml:space="preserve">Fe, </w:t>
      </w:r>
      <w:r w:rsidRPr="00E70C26">
        <w:rPr>
          <w:rFonts w:ascii="Arial" w:hAnsi="Arial" w:cs="Arial"/>
          <w:sz w:val="24"/>
          <w:szCs w:val="24"/>
          <w:vertAlign w:val="superscript"/>
        </w:rPr>
        <w:t>63</w:t>
      </w:r>
      <w:r w:rsidRPr="00E70C26">
        <w:rPr>
          <w:rFonts w:ascii="Arial" w:hAnsi="Arial" w:cs="Arial"/>
          <w:sz w:val="24"/>
          <w:szCs w:val="24"/>
        </w:rPr>
        <w:t xml:space="preserve">Cu, </w:t>
      </w:r>
      <w:r w:rsidRPr="00E70C26">
        <w:rPr>
          <w:rFonts w:ascii="Arial" w:hAnsi="Arial" w:cs="Arial"/>
          <w:sz w:val="24"/>
          <w:szCs w:val="24"/>
          <w:vertAlign w:val="superscript"/>
        </w:rPr>
        <w:t>65</w:t>
      </w:r>
      <w:r w:rsidRPr="00E70C26">
        <w:rPr>
          <w:rFonts w:ascii="Arial" w:hAnsi="Arial" w:cs="Arial"/>
          <w:sz w:val="24"/>
          <w:szCs w:val="24"/>
        </w:rPr>
        <w:t xml:space="preserve">Cu and </w:t>
      </w:r>
      <w:r w:rsidRPr="00E70C26">
        <w:rPr>
          <w:rFonts w:ascii="Arial" w:hAnsi="Arial" w:cs="Arial"/>
          <w:sz w:val="24"/>
          <w:szCs w:val="24"/>
          <w:vertAlign w:val="superscript"/>
        </w:rPr>
        <w:t>66</w:t>
      </w:r>
      <w:r w:rsidRPr="00E70C26">
        <w:rPr>
          <w:rFonts w:ascii="Arial" w:hAnsi="Arial" w:cs="Arial"/>
          <w:sz w:val="24"/>
          <w:szCs w:val="24"/>
        </w:rPr>
        <w:t>Zn were monitored with a dwell time of 0.1 s each. The following ICP-MS parameter</w:t>
      </w:r>
      <w:r>
        <w:rPr>
          <w:rFonts w:ascii="Arial" w:hAnsi="Arial" w:cs="Arial"/>
          <w:sz w:val="24"/>
          <w:szCs w:val="24"/>
        </w:rPr>
        <w:t>s</w:t>
      </w:r>
      <w:r w:rsidRPr="00E70C26">
        <w:rPr>
          <w:rFonts w:ascii="Arial" w:hAnsi="Arial" w:cs="Arial"/>
          <w:sz w:val="24"/>
          <w:szCs w:val="24"/>
        </w:rPr>
        <w:t xml:space="preserve"> were applied for all measurements: rf power</w:t>
      </w:r>
      <w:r>
        <w:rPr>
          <w:rFonts w:ascii="Arial" w:hAnsi="Arial" w:cs="Arial"/>
          <w:sz w:val="24"/>
          <w:szCs w:val="24"/>
        </w:rPr>
        <w:t>,</w:t>
      </w:r>
      <w:r w:rsidRPr="00E70C26">
        <w:rPr>
          <w:rFonts w:ascii="Arial" w:hAnsi="Arial" w:cs="Arial"/>
          <w:sz w:val="24"/>
          <w:szCs w:val="24"/>
        </w:rPr>
        <w:t xml:space="preserve"> 1550 W</w:t>
      </w:r>
      <w:r>
        <w:rPr>
          <w:rFonts w:ascii="Arial" w:hAnsi="Arial" w:cs="Arial"/>
          <w:sz w:val="24"/>
          <w:szCs w:val="24"/>
        </w:rPr>
        <w:t>;</w:t>
      </w:r>
      <w:r w:rsidRPr="00E70C26">
        <w:rPr>
          <w:rFonts w:ascii="Arial" w:hAnsi="Arial" w:cs="Arial"/>
          <w:sz w:val="24"/>
          <w:szCs w:val="24"/>
        </w:rPr>
        <w:t xml:space="preserve"> cool gas flow</w:t>
      </w:r>
      <w:r>
        <w:rPr>
          <w:rFonts w:ascii="Arial" w:hAnsi="Arial" w:cs="Arial"/>
          <w:sz w:val="24"/>
          <w:szCs w:val="24"/>
        </w:rPr>
        <w:t>,</w:t>
      </w:r>
      <w:r w:rsidRPr="00E70C26">
        <w:rPr>
          <w:rFonts w:ascii="Arial" w:hAnsi="Arial" w:cs="Arial"/>
          <w:sz w:val="24"/>
          <w:szCs w:val="24"/>
        </w:rPr>
        <w:t xml:space="preserve"> 14 l/min</w:t>
      </w:r>
      <w:r>
        <w:rPr>
          <w:rFonts w:ascii="Arial" w:hAnsi="Arial" w:cs="Arial"/>
          <w:sz w:val="24"/>
          <w:szCs w:val="24"/>
        </w:rPr>
        <w:t>;</w:t>
      </w:r>
      <w:r w:rsidRPr="00E70C26">
        <w:rPr>
          <w:rFonts w:ascii="Arial" w:hAnsi="Arial" w:cs="Arial"/>
          <w:sz w:val="24"/>
          <w:szCs w:val="24"/>
        </w:rPr>
        <w:t xml:space="preserve"> auxiliary gas flow</w:t>
      </w:r>
      <w:r>
        <w:rPr>
          <w:rFonts w:ascii="Arial" w:hAnsi="Arial" w:cs="Arial"/>
          <w:sz w:val="24"/>
          <w:szCs w:val="24"/>
        </w:rPr>
        <w:t>,</w:t>
      </w:r>
      <w:r w:rsidRPr="00E70C26">
        <w:rPr>
          <w:rFonts w:ascii="Arial" w:hAnsi="Arial" w:cs="Arial"/>
          <w:sz w:val="24"/>
          <w:szCs w:val="24"/>
        </w:rPr>
        <w:t xml:space="preserve"> 0.8 l/min.</w:t>
      </w:r>
    </w:p>
    <w:p w:rsidR="00AA5521" w:rsidRPr="00E70C26" w:rsidRDefault="00AA5521" w:rsidP="00C90566">
      <w:pPr>
        <w:spacing w:line="480" w:lineRule="auto"/>
        <w:jc w:val="both"/>
        <w:rPr>
          <w:rFonts w:ascii="Arial" w:hAnsi="Arial" w:cs="Arial"/>
          <w:sz w:val="24"/>
          <w:szCs w:val="24"/>
        </w:rPr>
      </w:pPr>
      <w:r w:rsidRPr="00E70C26">
        <w:rPr>
          <w:rFonts w:ascii="Arial" w:hAnsi="Arial" w:cs="Arial"/>
          <w:sz w:val="24"/>
          <w:szCs w:val="24"/>
        </w:rPr>
        <w:t xml:space="preserve">The determination of the bulk copper, iron and zinc concentration in the gelatin standards was carried out using an iCAP Q ICP-MS instrument (Thermo </w:t>
      </w:r>
      <w:r>
        <w:rPr>
          <w:rFonts w:ascii="Arial" w:hAnsi="Arial" w:cs="Arial"/>
          <w:sz w:val="24"/>
          <w:szCs w:val="24"/>
        </w:rPr>
        <w:t>Fisher</w:t>
      </w:r>
      <w:r w:rsidRPr="00E70C26">
        <w:rPr>
          <w:rFonts w:ascii="Arial" w:hAnsi="Arial" w:cs="Arial"/>
          <w:sz w:val="24"/>
          <w:szCs w:val="24"/>
        </w:rPr>
        <w:t xml:space="preserve"> Scientific) and an ASX-560 autosampler (Teledyne CETAC Technologies). Again, the instrument was operated in the KED mode and the isotopes </w:t>
      </w:r>
      <w:r w:rsidRPr="00E70C26">
        <w:rPr>
          <w:rFonts w:ascii="Arial" w:hAnsi="Arial" w:cs="Arial"/>
          <w:sz w:val="24"/>
          <w:szCs w:val="24"/>
          <w:vertAlign w:val="superscript"/>
        </w:rPr>
        <w:t>57</w:t>
      </w:r>
      <w:r w:rsidRPr="00E70C26">
        <w:rPr>
          <w:rFonts w:ascii="Arial" w:hAnsi="Arial" w:cs="Arial"/>
          <w:sz w:val="24"/>
          <w:szCs w:val="24"/>
        </w:rPr>
        <w:t xml:space="preserve">Fe, </w:t>
      </w:r>
      <w:r w:rsidRPr="00E70C26">
        <w:rPr>
          <w:rFonts w:ascii="Arial" w:hAnsi="Arial" w:cs="Arial"/>
          <w:sz w:val="24"/>
          <w:szCs w:val="24"/>
          <w:vertAlign w:val="superscript"/>
        </w:rPr>
        <w:t>63</w:t>
      </w:r>
      <w:r w:rsidRPr="00E70C26">
        <w:rPr>
          <w:rFonts w:ascii="Arial" w:hAnsi="Arial" w:cs="Arial"/>
          <w:sz w:val="24"/>
          <w:szCs w:val="24"/>
        </w:rPr>
        <w:t xml:space="preserve">Cu, </w:t>
      </w:r>
      <w:r w:rsidRPr="00E70C26">
        <w:rPr>
          <w:rFonts w:ascii="Arial" w:hAnsi="Arial" w:cs="Arial"/>
          <w:sz w:val="24"/>
          <w:szCs w:val="24"/>
          <w:vertAlign w:val="superscript"/>
        </w:rPr>
        <w:t>65</w:t>
      </w:r>
      <w:r w:rsidRPr="00E70C26">
        <w:rPr>
          <w:rFonts w:ascii="Arial" w:hAnsi="Arial" w:cs="Arial"/>
          <w:sz w:val="24"/>
          <w:szCs w:val="24"/>
        </w:rPr>
        <w:t xml:space="preserve">Cu, </w:t>
      </w:r>
      <w:r w:rsidRPr="00E70C26">
        <w:rPr>
          <w:rFonts w:ascii="Arial" w:hAnsi="Arial" w:cs="Arial"/>
          <w:sz w:val="24"/>
          <w:szCs w:val="24"/>
          <w:vertAlign w:val="superscript"/>
        </w:rPr>
        <w:t>66</w:t>
      </w:r>
      <w:r w:rsidRPr="00E70C26">
        <w:rPr>
          <w:rFonts w:ascii="Arial" w:hAnsi="Arial" w:cs="Arial"/>
          <w:sz w:val="24"/>
          <w:szCs w:val="24"/>
        </w:rPr>
        <w:t xml:space="preserve">Zn and </w:t>
      </w:r>
      <w:r w:rsidRPr="00E70C26">
        <w:rPr>
          <w:rFonts w:ascii="Arial" w:hAnsi="Arial" w:cs="Arial"/>
          <w:sz w:val="24"/>
          <w:szCs w:val="24"/>
          <w:vertAlign w:val="superscript"/>
        </w:rPr>
        <w:t>103</w:t>
      </w:r>
      <w:r w:rsidRPr="00E70C26">
        <w:rPr>
          <w:rFonts w:ascii="Arial" w:hAnsi="Arial" w:cs="Arial"/>
          <w:sz w:val="24"/>
          <w:szCs w:val="24"/>
        </w:rPr>
        <w:t xml:space="preserve">Rh were monitored with a dwell time of 0.1 s each. All other parameters were kept the same. </w:t>
      </w:r>
    </w:p>
    <w:p w:rsidR="00AA5521" w:rsidRPr="00E70C26" w:rsidRDefault="00AA5521" w:rsidP="00C90566">
      <w:pPr>
        <w:spacing w:line="480" w:lineRule="auto"/>
        <w:jc w:val="both"/>
        <w:rPr>
          <w:rFonts w:ascii="Arial" w:hAnsi="Arial" w:cs="Arial"/>
          <w:i/>
          <w:sz w:val="24"/>
          <w:szCs w:val="24"/>
        </w:rPr>
      </w:pPr>
      <w:r w:rsidRPr="00E70C26">
        <w:rPr>
          <w:rFonts w:ascii="Arial" w:hAnsi="Arial" w:cs="Arial"/>
          <w:i/>
          <w:sz w:val="24"/>
          <w:szCs w:val="24"/>
        </w:rPr>
        <w:t>Data analysis</w:t>
      </w:r>
    </w:p>
    <w:p w:rsidR="00AA5521" w:rsidRPr="00E70C26" w:rsidRDefault="00AA5521" w:rsidP="00C90566">
      <w:pPr>
        <w:spacing w:line="480" w:lineRule="auto"/>
        <w:jc w:val="both"/>
        <w:rPr>
          <w:rFonts w:ascii="Arial" w:hAnsi="Arial" w:cs="Arial"/>
          <w:sz w:val="24"/>
          <w:szCs w:val="24"/>
        </w:rPr>
      </w:pPr>
      <w:r w:rsidRPr="00E70C26">
        <w:rPr>
          <w:rFonts w:ascii="Arial" w:hAnsi="Arial" w:cs="Arial"/>
          <w:sz w:val="24"/>
          <w:szCs w:val="24"/>
        </w:rPr>
        <w:t>An in-house developed software was used to convert the LA-ICP-MS data into two-dimensional images.</w:t>
      </w:r>
      <w:r>
        <w:rPr>
          <w:rFonts w:ascii="Arial" w:hAnsi="Arial" w:cs="Arial"/>
          <w:sz w:val="24"/>
          <w:szCs w:val="24"/>
        </w:rPr>
        <w:t xml:space="preserve"> To obtain even better signal-to-noise ratios for copper and to account for variations in the natural isotopic ratios, the sum images of the two copper isotopes </w:t>
      </w:r>
      <w:r w:rsidRPr="00F21AB3">
        <w:rPr>
          <w:rFonts w:ascii="Arial" w:hAnsi="Arial" w:cs="Arial"/>
          <w:sz w:val="24"/>
          <w:szCs w:val="24"/>
          <w:vertAlign w:val="superscript"/>
        </w:rPr>
        <w:t>63</w:t>
      </w:r>
      <w:r>
        <w:rPr>
          <w:rFonts w:ascii="Arial" w:hAnsi="Arial" w:cs="Arial"/>
          <w:sz w:val="24"/>
          <w:szCs w:val="24"/>
        </w:rPr>
        <w:t xml:space="preserve">Cu and </w:t>
      </w:r>
      <w:r w:rsidRPr="00F21AB3">
        <w:rPr>
          <w:rFonts w:ascii="Arial" w:hAnsi="Arial" w:cs="Arial"/>
          <w:sz w:val="24"/>
          <w:szCs w:val="24"/>
          <w:vertAlign w:val="superscript"/>
        </w:rPr>
        <w:t>65</w:t>
      </w:r>
      <w:r>
        <w:rPr>
          <w:rFonts w:ascii="Arial" w:hAnsi="Arial" w:cs="Arial"/>
          <w:sz w:val="24"/>
          <w:szCs w:val="24"/>
        </w:rPr>
        <w:t xml:space="preserve">Cu are shown. </w:t>
      </w:r>
      <w:r w:rsidRPr="00E70C26">
        <w:rPr>
          <w:rFonts w:ascii="Arial" w:hAnsi="Arial" w:cs="Arial"/>
          <w:sz w:val="24"/>
          <w:szCs w:val="24"/>
        </w:rPr>
        <w:t xml:space="preserve">To determine average concentrations for the ablated areas, only data points with a phosphorus signal higher than the phosphorus background intensity were used. Therefore, data points, which do not represent the tissue, such as blood vessels, were excluded from the calculation. The copper, iron and zinc concentrations were calculated using a linear calibration function derived from the average signal intensities for each standard using Microsoft Excel 2016 (Microsoft Corp, Redmond, USA). Statistical comparison of </w:t>
      </w:r>
      <w:r>
        <w:rPr>
          <w:rFonts w:ascii="Arial" w:hAnsi="Arial" w:cs="Arial"/>
          <w:sz w:val="24"/>
          <w:szCs w:val="24"/>
        </w:rPr>
        <w:t>copper hotspots</w:t>
      </w:r>
      <w:r w:rsidRPr="00E70C26">
        <w:rPr>
          <w:rFonts w:ascii="Arial" w:hAnsi="Arial" w:cs="Arial"/>
          <w:sz w:val="24"/>
          <w:szCs w:val="24"/>
        </w:rPr>
        <w:t xml:space="preserve"> was performed using two-tailed, unpaired </w:t>
      </w:r>
      <w:r w:rsidRPr="00E70C26">
        <w:rPr>
          <w:rFonts w:ascii="Arial" w:hAnsi="Arial" w:cs="Arial"/>
          <w:i/>
          <w:sz w:val="24"/>
          <w:szCs w:val="24"/>
        </w:rPr>
        <w:t>t</w:t>
      </w:r>
      <w:r>
        <w:rPr>
          <w:rFonts w:ascii="Arial" w:hAnsi="Arial" w:cs="Arial"/>
          <w:sz w:val="24"/>
          <w:szCs w:val="24"/>
        </w:rPr>
        <w:t>-test</w:t>
      </w:r>
      <w:r w:rsidRPr="00E70C26">
        <w:rPr>
          <w:rFonts w:ascii="Arial" w:hAnsi="Arial" w:cs="Arial"/>
          <w:sz w:val="24"/>
          <w:szCs w:val="24"/>
        </w:rPr>
        <w:t xml:space="preserve">. </w:t>
      </w:r>
    </w:p>
    <w:p w:rsidR="00AA5521" w:rsidRPr="00E70C26" w:rsidRDefault="00AA5521" w:rsidP="00C90566">
      <w:pPr>
        <w:spacing w:line="480" w:lineRule="auto"/>
        <w:jc w:val="both"/>
        <w:rPr>
          <w:rFonts w:ascii="Arial" w:hAnsi="Arial" w:cs="Arial"/>
          <w:b/>
          <w:sz w:val="24"/>
          <w:szCs w:val="24"/>
        </w:rPr>
      </w:pPr>
      <w:r w:rsidRPr="00E70C26">
        <w:rPr>
          <w:rFonts w:ascii="Arial" w:hAnsi="Arial" w:cs="Arial"/>
          <w:b/>
          <w:sz w:val="24"/>
          <w:szCs w:val="24"/>
        </w:rPr>
        <w:br w:type="column"/>
        <w:t>3. Results and discussion</w:t>
      </w:r>
    </w:p>
    <w:p w:rsidR="00AA5521" w:rsidRPr="00E70C26" w:rsidRDefault="00AA5521" w:rsidP="00C90566">
      <w:pPr>
        <w:spacing w:line="480" w:lineRule="auto"/>
        <w:jc w:val="both"/>
        <w:rPr>
          <w:rFonts w:ascii="Arial" w:hAnsi="Arial" w:cs="Arial"/>
          <w:i/>
          <w:sz w:val="24"/>
          <w:szCs w:val="24"/>
        </w:rPr>
      </w:pPr>
      <w:r w:rsidRPr="00E70C26">
        <w:rPr>
          <w:rFonts w:ascii="Arial" w:hAnsi="Arial" w:cs="Arial"/>
          <w:i/>
          <w:sz w:val="24"/>
          <w:szCs w:val="24"/>
        </w:rPr>
        <w:t>3.1 Calibration by means of matrix-matched standards</w:t>
      </w:r>
    </w:p>
    <w:p w:rsidR="00AA5521" w:rsidRPr="00E70C26" w:rsidRDefault="00AA5521" w:rsidP="00C90566">
      <w:pPr>
        <w:spacing w:line="480" w:lineRule="auto"/>
        <w:jc w:val="both"/>
        <w:rPr>
          <w:rFonts w:ascii="Arial" w:hAnsi="Arial" w:cs="Arial"/>
          <w:sz w:val="24"/>
          <w:szCs w:val="24"/>
        </w:rPr>
      </w:pPr>
      <w:r w:rsidRPr="00E70C26">
        <w:rPr>
          <w:rFonts w:ascii="Arial" w:hAnsi="Arial" w:cs="Arial"/>
          <w:sz w:val="24"/>
          <w:szCs w:val="24"/>
        </w:rPr>
        <w:t>To quantify the copper, iron and zinc concentration in the liver tissue samples, gelatin-based standards for the three elements were used. Iron standards could be prepared in concentrations above 500 µg/g without denaturation of the gelatin by using iron(II) sulfate instead of iron(III) chloride, as described previously.</w:t>
      </w:r>
      <w:r>
        <w:rPr>
          <w:rFonts w:ascii="Arial" w:hAnsi="Arial" w:cs="Arial"/>
          <w:sz w:val="24"/>
          <w:szCs w:val="24"/>
        </w:rPr>
        <w:fldChar w:fldCharType="begin" w:fldLock="1"/>
      </w:r>
      <w:r>
        <w:rPr>
          <w:rFonts w:ascii="Arial" w:hAnsi="Arial" w:cs="Arial"/>
          <w:sz w:val="24"/>
          <w:szCs w:val="24"/>
        </w:rPr>
        <w:instrText>ADDIN CSL_CITATION { "citationItems" : [ { "id" : "ITEM-1", "itemData" : { "DOI" : "10.1016/j.jtemb.2016.02.001", "ISSN" : "18783252", "PMID" : "27049132", "abstract" : "A laser ablation-inductively coupled plasma-mass spectrometry (LA-ICP-MS) method is developed and applied for the analysis of paraffin-embedded liver needle biopsy specimens of patients with Wilson's disease (WD), a rare autosomal recessive disorder of the copper metabolism causing various hepatic, neurological and psychiatric symptoms due to a copper accumulation in the liver and the central nervous system. The sample set includes two WD liver samples and one negative control sample. The imaging analysis was performed with a spatial resolution of 10 ??m. Besides copper, iron was monitored because an elevated iron concentration in the liver is known for WD. In addition to this, both elements were quantified using an external calibration based on matrix-matched gelatine standards. The presented method offers low limits of detection of 1 and 5 ??g/g for copper and iron, respectively. The high detection power and good spatial resolution allow the analysis of small needle biopsy specimen using this method. The two analyzed WD samples can be well differentiated from the control sample due to their inhomogeneous copper distribution and high copper concentrations of up to 1200 ??g/g. Interestingly, the WD samples show an inverse correlation of regions with elevated copper concentrations and regions with high iron concentrations.", "author" : [ { "dropping-particle" : "", "family" : "Hachm\u00f6ller", "given" : "Oliver", "non-dropping-particle" : "", "parse-names" : false, "suffix" : "" }, { "dropping-particle" : "", "family" : "Aichler", "given" : "Michaela", "non-dropping-particle" : "", "parse-names" : false, "suffix" : "" }, { "dropping-particle" : "", "family" : "Schwamborn", "given" : "Kristina", "non-dropping-particle" : "", "parse-names" : false, "suffix" : "" }, { "dropping-particle" : "", "family" : "Lutz", "given" : "Lisa", "non-dropping-particle" : "", "parse-names" : false, "suffix" : "" }, { "dropping-particle" : "", "family" : "Werner", "given" : "Martin", "non-dropping-particle" : "", "parse-names" : false, "suffix" : "" }, { "dropping-particle" : "", "family" : "Sperling", "given" : "Michael", "non-dropping-particle" : "", "parse-names" : false, "suffix" : "" }, { "dropping-particle" : "", "family" : "Walch", "given" : "Axel", "non-dropping-particle" : "", "parse-names" : false, "suffix" : "" }, { "dropping-particle" : "", "family" : "Karst", "given" : "Uwe", "non-dropping-particle" : "", "parse-names" : false, "suffix" : "" } ], "container-title" : "Journal of Trace Elements in Medicine and Biology", "id" : "ITEM-1", "issued" : { "date-parts" : [ [ "2016" ] ] }, "note" : "LA-ICP-MS\nhuman liver samples untreated\n\nprocedure for gelatine standards\n+ Gegenquantifizierung\n\nRef 22 und 23", "page" : "97-102", "publisher" : "Elsevier GmbH.", "title" : "Element bioimaging of liver needle biopsy specimens from patients with Wilson's disease by laser ablation-inductively coupled plasma-mass spectrometry", "type" : "article-journal", "volume" : "35" }, "uris" : [ "http://www.mendeley.com/documents/?uuid=a07e23f8-6b21-478c-afc7-dcd1d79d7a5b" ] } ], "mendeley" : { "formattedCitation" : "[11]", "plainTextFormattedCitation" : "[11]", "previouslyFormattedCitation" : "[11]" }, "properties" : {  }, "schema" : "https://github.com/citation-style-language/schema/raw/master/csl-citation.json" }</w:instrText>
      </w:r>
      <w:r>
        <w:rPr>
          <w:rFonts w:ascii="Arial" w:hAnsi="Arial" w:cs="Arial"/>
          <w:sz w:val="24"/>
          <w:szCs w:val="24"/>
        </w:rPr>
        <w:fldChar w:fldCharType="separate"/>
      </w:r>
      <w:r w:rsidRPr="00283B4A">
        <w:rPr>
          <w:rFonts w:ascii="Arial" w:hAnsi="Arial" w:cs="Arial"/>
          <w:noProof/>
          <w:sz w:val="24"/>
          <w:szCs w:val="24"/>
        </w:rPr>
        <w:t>[11]</w:t>
      </w:r>
      <w:r>
        <w:rPr>
          <w:rFonts w:ascii="Arial" w:hAnsi="Arial" w:cs="Arial"/>
          <w:sz w:val="24"/>
          <w:szCs w:val="24"/>
        </w:rPr>
        <w:fldChar w:fldCharType="end"/>
      </w:r>
      <w:r w:rsidRPr="00E70C26">
        <w:rPr>
          <w:rFonts w:ascii="Arial" w:hAnsi="Arial" w:cs="Arial"/>
          <w:sz w:val="24"/>
          <w:szCs w:val="24"/>
        </w:rPr>
        <w:t xml:space="preserve"> With this calibration approach, the tissue matrix is sufficiently simulated with respect to potential matrix effects influencing the ablation or atomization behavior. The calibration shows low</w:t>
      </w:r>
      <w:r>
        <w:rPr>
          <w:rFonts w:ascii="Arial" w:hAnsi="Arial" w:cs="Arial"/>
          <w:sz w:val="24"/>
          <w:szCs w:val="24"/>
        </w:rPr>
        <w:t xml:space="preserve"> relative standard deviations</w:t>
      </w:r>
      <w:r w:rsidRPr="00FB2EB8">
        <w:rPr>
          <w:rFonts w:ascii="Arial" w:hAnsi="Arial" w:cs="Arial"/>
          <w:color w:val="FF0000"/>
          <w:sz w:val="24"/>
          <w:szCs w:val="24"/>
        </w:rPr>
        <w:t xml:space="preserve"> </w:t>
      </w:r>
      <w:r w:rsidRPr="00E70C26">
        <w:rPr>
          <w:rFonts w:ascii="Arial" w:hAnsi="Arial" w:cs="Arial"/>
          <w:sz w:val="24"/>
          <w:szCs w:val="24"/>
        </w:rPr>
        <w:t xml:space="preserve">and a good linearity over a wide concentration range, which is required for analyzing positive as well as negative control samples. Limits of detection and </w:t>
      </w:r>
      <w:r>
        <w:rPr>
          <w:rFonts w:ascii="Arial" w:hAnsi="Arial" w:cs="Arial"/>
          <w:sz w:val="24"/>
          <w:szCs w:val="24"/>
        </w:rPr>
        <w:t xml:space="preserve">limits of </w:t>
      </w:r>
      <w:r w:rsidRPr="00E70C26">
        <w:rPr>
          <w:rFonts w:ascii="Arial" w:hAnsi="Arial" w:cs="Arial"/>
          <w:sz w:val="24"/>
          <w:szCs w:val="24"/>
        </w:rPr>
        <w:t xml:space="preserve">quantification for analysis with a laser spot size of 25 µm of approximately 25 ng/g and 83 ng/g for </w:t>
      </w:r>
      <w:r w:rsidRPr="00E70C26">
        <w:rPr>
          <w:rFonts w:ascii="Arial" w:hAnsi="Arial" w:cs="Arial"/>
          <w:sz w:val="24"/>
          <w:szCs w:val="24"/>
          <w:vertAlign w:val="superscript"/>
        </w:rPr>
        <w:t>63</w:t>
      </w:r>
      <w:r w:rsidRPr="00E70C26">
        <w:rPr>
          <w:rFonts w:ascii="Arial" w:hAnsi="Arial" w:cs="Arial"/>
          <w:sz w:val="24"/>
          <w:szCs w:val="24"/>
        </w:rPr>
        <w:t>Cu</w:t>
      </w:r>
      <w:r>
        <w:rPr>
          <w:rFonts w:ascii="Arial" w:hAnsi="Arial" w:cs="Arial"/>
          <w:sz w:val="24"/>
          <w:szCs w:val="24"/>
        </w:rPr>
        <w:t xml:space="preserve">, 13 ng/g and 44 ng/g for </w:t>
      </w:r>
      <w:r>
        <w:rPr>
          <w:rFonts w:ascii="Arial" w:hAnsi="Arial" w:cs="Arial"/>
          <w:sz w:val="24"/>
          <w:szCs w:val="24"/>
          <w:vertAlign w:val="superscript"/>
        </w:rPr>
        <w:t>65</w:t>
      </w:r>
      <w:r>
        <w:rPr>
          <w:rFonts w:ascii="Arial" w:hAnsi="Arial" w:cs="Arial"/>
          <w:sz w:val="24"/>
          <w:szCs w:val="24"/>
        </w:rPr>
        <w:t>Cu</w:t>
      </w:r>
      <w:r w:rsidRPr="00E70C26">
        <w:rPr>
          <w:rFonts w:ascii="Arial" w:hAnsi="Arial" w:cs="Arial"/>
          <w:sz w:val="24"/>
          <w:szCs w:val="24"/>
        </w:rPr>
        <w:t xml:space="preserve">, 200 ng/g and 600 ng/g for </w:t>
      </w:r>
      <w:r w:rsidRPr="00E70C26">
        <w:rPr>
          <w:rFonts w:ascii="Arial" w:hAnsi="Arial" w:cs="Arial"/>
          <w:sz w:val="24"/>
          <w:szCs w:val="24"/>
          <w:vertAlign w:val="superscript"/>
        </w:rPr>
        <w:t>57</w:t>
      </w:r>
      <w:r w:rsidRPr="00E70C26">
        <w:rPr>
          <w:rFonts w:ascii="Arial" w:hAnsi="Arial" w:cs="Arial"/>
          <w:sz w:val="24"/>
          <w:szCs w:val="24"/>
        </w:rPr>
        <w:t xml:space="preserve">Fe, as well as 50 ng/g and 167 ng/g for </w:t>
      </w:r>
      <w:r w:rsidRPr="00E70C26">
        <w:rPr>
          <w:rFonts w:ascii="Arial" w:hAnsi="Arial" w:cs="Arial"/>
          <w:sz w:val="24"/>
          <w:szCs w:val="24"/>
          <w:vertAlign w:val="superscript"/>
        </w:rPr>
        <w:t>66</w:t>
      </w:r>
      <w:r w:rsidRPr="00E70C26">
        <w:rPr>
          <w:rFonts w:ascii="Arial" w:hAnsi="Arial" w:cs="Arial"/>
          <w:sz w:val="24"/>
          <w:szCs w:val="24"/>
        </w:rPr>
        <w:t xml:space="preserve">Zn were achieved. </w:t>
      </w:r>
    </w:p>
    <w:p w:rsidR="00AA5521" w:rsidRPr="00E70C26" w:rsidRDefault="00AA5521" w:rsidP="00C90566">
      <w:pPr>
        <w:spacing w:line="480" w:lineRule="auto"/>
        <w:jc w:val="both"/>
        <w:rPr>
          <w:rFonts w:ascii="Arial" w:hAnsi="Arial" w:cs="Arial"/>
          <w:i/>
          <w:sz w:val="24"/>
          <w:szCs w:val="24"/>
        </w:rPr>
      </w:pPr>
      <w:r w:rsidRPr="00E70C26">
        <w:rPr>
          <w:rFonts w:ascii="Arial" w:hAnsi="Arial" w:cs="Arial"/>
          <w:i/>
          <w:sz w:val="24"/>
          <w:szCs w:val="24"/>
        </w:rPr>
        <w:t>3.2</w:t>
      </w:r>
      <w:r w:rsidRPr="00E70C26">
        <w:rPr>
          <w:rFonts w:ascii="Arial" w:hAnsi="Arial" w:cs="Arial"/>
          <w:sz w:val="24"/>
          <w:szCs w:val="24"/>
        </w:rPr>
        <w:t xml:space="preserve"> </w:t>
      </w:r>
      <w:r w:rsidRPr="00E70C26">
        <w:rPr>
          <w:rFonts w:ascii="Arial" w:hAnsi="Arial" w:cs="Arial"/>
          <w:i/>
          <w:sz w:val="24"/>
          <w:szCs w:val="24"/>
        </w:rPr>
        <w:t>Total copper content of liver samples</w:t>
      </w:r>
    </w:p>
    <w:p w:rsidR="00AA5521" w:rsidRPr="008E6396" w:rsidRDefault="00AA5521" w:rsidP="00C90566">
      <w:pPr>
        <w:spacing w:line="480" w:lineRule="auto"/>
        <w:jc w:val="both"/>
        <w:rPr>
          <w:rFonts w:ascii="Arial" w:hAnsi="Arial" w:cs="Arial"/>
          <w:sz w:val="24"/>
          <w:szCs w:val="24"/>
        </w:rPr>
      </w:pPr>
      <w:r w:rsidRPr="008E6396">
        <w:rPr>
          <w:rFonts w:ascii="Arial" w:hAnsi="Arial" w:cs="Arial"/>
          <w:sz w:val="24"/>
          <w:szCs w:val="24"/>
        </w:rPr>
        <w:t xml:space="preserve">To analyze the copper removal efficiency of MB, non-affected heterozygous </w:t>
      </w:r>
      <w:r w:rsidRPr="008E6396">
        <w:rPr>
          <w:rFonts w:ascii="Arial" w:hAnsi="Arial" w:cs="Arial"/>
          <w:i/>
          <w:sz w:val="24"/>
          <w:szCs w:val="24"/>
        </w:rPr>
        <w:t>Atp7b</w:t>
      </w:r>
      <w:r w:rsidRPr="008E6396">
        <w:rPr>
          <w:rFonts w:ascii="Arial" w:hAnsi="Arial" w:cs="Arial"/>
          <w:i/>
          <w:sz w:val="24"/>
          <w:szCs w:val="24"/>
          <w:vertAlign w:val="superscript"/>
        </w:rPr>
        <w:t>+/-</w:t>
      </w:r>
      <w:r w:rsidRPr="008E6396">
        <w:rPr>
          <w:rFonts w:ascii="Arial" w:hAnsi="Arial" w:cs="Arial"/>
          <w:sz w:val="24"/>
          <w:szCs w:val="24"/>
        </w:rPr>
        <w:t xml:space="preserve"> controls and affected </w:t>
      </w:r>
      <w:r w:rsidRPr="008E6396">
        <w:rPr>
          <w:rFonts w:ascii="Arial" w:hAnsi="Arial" w:cs="Arial"/>
          <w:i/>
          <w:sz w:val="24"/>
          <w:szCs w:val="24"/>
        </w:rPr>
        <w:t>Atp7b</w:t>
      </w:r>
      <w:r w:rsidRPr="008E6396">
        <w:rPr>
          <w:rFonts w:ascii="Arial" w:hAnsi="Arial" w:cs="Arial"/>
          <w:i/>
          <w:sz w:val="24"/>
          <w:szCs w:val="24"/>
          <w:vertAlign w:val="superscript"/>
        </w:rPr>
        <w:t>-/-</w:t>
      </w:r>
      <w:r w:rsidRPr="008E6396">
        <w:rPr>
          <w:rFonts w:ascii="Arial" w:hAnsi="Arial" w:cs="Arial"/>
          <w:sz w:val="24"/>
          <w:szCs w:val="24"/>
        </w:rPr>
        <w:t xml:space="preserve"> LPP rats were used as model animals for WD. The study includes </w:t>
      </w:r>
      <w:r w:rsidRPr="008E6396">
        <w:rPr>
          <w:rFonts w:ascii="Arial" w:hAnsi="Arial" w:cs="Arial"/>
          <w:i/>
          <w:sz w:val="24"/>
          <w:szCs w:val="24"/>
        </w:rPr>
        <w:t>Atp7b</w:t>
      </w:r>
      <w:r w:rsidRPr="008E6396">
        <w:rPr>
          <w:rFonts w:ascii="Arial" w:hAnsi="Arial" w:cs="Arial"/>
          <w:i/>
          <w:sz w:val="24"/>
          <w:szCs w:val="24"/>
          <w:vertAlign w:val="superscript"/>
        </w:rPr>
        <w:t>-/-</w:t>
      </w:r>
      <w:r w:rsidRPr="008E6396">
        <w:rPr>
          <w:rFonts w:ascii="Arial" w:hAnsi="Arial" w:cs="Arial"/>
          <w:sz w:val="24"/>
          <w:szCs w:val="24"/>
        </w:rPr>
        <w:t xml:space="preserve"> animals treated with two different MB doses of 62.5 mg/kg bodyweight (low dose) and 150 mg/kg bodyweight (high dose). In addition to the continuous treatment, one animal experienced a so-called drug holiday phase, a drug free phase after treatment periods. The rat was treated with the higher dose of MB for 5 days, followed by a drug free phase of three weeks, again five days of MB treatment and a seven-week drug free re-accumulation period. Untreated non-affected heterozygous </w:t>
      </w:r>
      <w:r w:rsidRPr="008E6396">
        <w:rPr>
          <w:rFonts w:ascii="Arial" w:hAnsi="Arial" w:cs="Arial"/>
          <w:i/>
          <w:sz w:val="24"/>
          <w:szCs w:val="24"/>
        </w:rPr>
        <w:t>Atp7b</w:t>
      </w:r>
      <w:r w:rsidRPr="008E6396">
        <w:rPr>
          <w:rFonts w:ascii="Arial" w:hAnsi="Arial" w:cs="Arial"/>
          <w:i/>
          <w:sz w:val="24"/>
          <w:szCs w:val="24"/>
          <w:vertAlign w:val="superscript"/>
        </w:rPr>
        <w:t>+/-</w:t>
      </w:r>
      <w:r w:rsidRPr="008E6396">
        <w:rPr>
          <w:rFonts w:ascii="Arial" w:hAnsi="Arial" w:cs="Arial"/>
          <w:sz w:val="24"/>
          <w:szCs w:val="24"/>
        </w:rPr>
        <w:t xml:space="preserve"> and affected </w:t>
      </w:r>
      <w:r w:rsidRPr="008E6396">
        <w:rPr>
          <w:rFonts w:ascii="Arial" w:hAnsi="Arial" w:cs="Arial"/>
          <w:i/>
          <w:sz w:val="24"/>
          <w:szCs w:val="24"/>
        </w:rPr>
        <w:t>Atp7b</w:t>
      </w:r>
      <w:r w:rsidRPr="008E6396">
        <w:rPr>
          <w:rFonts w:ascii="Arial" w:hAnsi="Arial" w:cs="Arial"/>
          <w:i/>
          <w:sz w:val="24"/>
          <w:szCs w:val="24"/>
          <w:vertAlign w:val="superscript"/>
        </w:rPr>
        <w:t>-/-</w:t>
      </w:r>
      <w:r w:rsidRPr="008E6396">
        <w:rPr>
          <w:rFonts w:ascii="Arial" w:hAnsi="Arial" w:cs="Arial"/>
          <w:sz w:val="24"/>
          <w:szCs w:val="24"/>
        </w:rPr>
        <w:t xml:space="preserve"> LPP rats were used as further controls. Table 1 summarizes the total copper concentrations in the liver of all shown samples, as determined by ICP-OES. </w:t>
      </w:r>
    </w:p>
    <w:p w:rsidR="00AA5521" w:rsidRPr="00E70C26" w:rsidRDefault="00AA5521" w:rsidP="00C90566">
      <w:pPr>
        <w:pStyle w:val="Caption"/>
        <w:keepNext/>
        <w:spacing w:line="480" w:lineRule="auto"/>
        <w:jc w:val="both"/>
        <w:rPr>
          <w:rFonts w:ascii="Arial" w:hAnsi="Arial" w:cs="Arial"/>
          <w:color w:val="000000"/>
          <w:sz w:val="24"/>
          <w:szCs w:val="24"/>
        </w:rPr>
      </w:pPr>
      <w:r w:rsidRPr="00E70C26">
        <w:rPr>
          <w:rFonts w:ascii="Arial" w:hAnsi="Arial" w:cs="Arial"/>
          <w:color w:val="000000"/>
          <w:sz w:val="24"/>
          <w:szCs w:val="24"/>
        </w:rPr>
        <w:t xml:space="preserve">Table </w:t>
      </w:r>
      <w:r w:rsidRPr="00E70C26">
        <w:rPr>
          <w:rFonts w:ascii="Arial" w:hAnsi="Arial" w:cs="Arial"/>
          <w:color w:val="000000"/>
          <w:sz w:val="24"/>
          <w:szCs w:val="24"/>
        </w:rPr>
        <w:fldChar w:fldCharType="begin"/>
      </w:r>
      <w:r w:rsidRPr="00E70C26">
        <w:rPr>
          <w:rFonts w:ascii="Arial" w:hAnsi="Arial" w:cs="Arial"/>
          <w:color w:val="000000"/>
          <w:sz w:val="24"/>
          <w:szCs w:val="24"/>
        </w:rPr>
        <w:instrText xml:space="preserve"> SEQ Table \* ARABIC </w:instrText>
      </w:r>
      <w:r w:rsidRPr="00E70C26">
        <w:rPr>
          <w:rFonts w:ascii="Arial" w:hAnsi="Arial" w:cs="Arial"/>
          <w:color w:val="000000"/>
          <w:sz w:val="24"/>
          <w:szCs w:val="24"/>
        </w:rPr>
        <w:fldChar w:fldCharType="separate"/>
      </w:r>
      <w:r>
        <w:rPr>
          <w:rFonts w:ascii="Arial" w:hAnsi="Arial" w:cs="Arial"/>
          <w:noProof/>
          <w:color w:val="000000"/>
          <w:sz w:val="24"/>
          <w:szCs w:val="24"/>
        </w:rPr>
        <w:t>1</w:t>
      </w:r>
      <w:r w:rsidRPr="00E70C26">
        <w:rPr>
          <w:rFonts w:ascii="Arial" w:hAnsi="Arial" w:cs="Arial"/>
          <w:color w:val="000000"/>
          <w:sz w:val="24"/>
          <w:szCs w:val="24"/>
        </w:rPr>
        <w:fldChar w:fldCharType="end"/>
      </w:r>
      <w:r w:rsidRPr="00E70C26">
        <w:rPr>
          <w:rFonts w:ascii="Arial" w:hAnsi="Arial" w:cs="Arial"/>
          <w:color w:val="000000"/>
          <w:sz w:val="24"/>
          <w:szCs w:val="24"/>
        </w:rPr>
        <w:t>: Treatment and total copper content of analyzed liver samples determined using ICP-OES.</w:t>
      </w: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9493"/>
      </w:tblGrid>
      <w:tr w:rsidR="00AA5521" w:rsidRPr="00044EF4" w:rsidTr="00044EF4">
        <w:tc>
          <w:tcPr>
            <w:tcW w:w="9493" w:type="dxa"/>
          </w:tcPr>
          <w:p w:rsidR="00AA5521" w:rsidRPr="00044EF4" w:rsidRDefault="00AA5521" w:rsidP="00044EF4">
            <w:pPr>
              <w:tabs>
                <w:tab w:val="left" w:pos="2159"/>
                <w:tab w:val="left" w:pos="4853"/>
              </w:tabs>
              <w:spacing w:after="0" w:line="480" w:lineRule="auto"/>
              <w:jc w:val="both"/>
              <w:rPr>
                <w:rFonts w:ascii="Arial" w:hAnsi="Arial" w:cs="Arial"/>
                <w:color w:val="000000"/>
                <w:sz w:val="24"/>
                <w:szCs w:val="24"/>
                <w:vertAlign w:val="superscript"/>
              </w:rPr>
            </w:pPr>
            <w:r w:rsidRPr="00044EF4">
              <w:rPr>
                <w:rFonts w:ascii="Arial" w:hAnsi="Arial" w:cs="Arial"/>
                <w:sz w:val="24"/>
                <w:szCs w:val="24"/>
              </w:rPr>
              <w:t xml:space="preserve">Sample number </w:t>
            </w:r>
            <w:r w:rsidRPr="00044EF4">
              <w:rPr>
                <w:rFonts w:ascii="Arial" w:hAnsi="Arial" w:cs="Arial"/>
                <w:sz w:val="24"/>
                <w:szCs w:val="24"/>
              </w:rPr>
              <w:tab/>
              <w:t>age of sacrifice / days</w:t>
            </w:r>
            <w:r w:rsidRPr="00044EF4">
              <w:rPr>
                <w:rFonts w:ascii="Arial" w:hAnsi="Arial" w:cs="Arial"/>
                <w:sz w:val="24"/>
                <w:szCs w:val="24"/>
              </w:rPr>
              <w:tab/>
              <w:t xml:space="preserve">treatment       </w:t>
            </w:r>
            <w:r w:rsidRPr="00044EF4">
              <w:rPr>
                <w:rFonts w:ascii="Arial" w:hAnsi="Arial" w:cs="Arial"/>
                <w:color w:val="000000"/>
                <w:sz w:val="24"/>
                <w:szCs w:val="24"/>
              </w:rPr>
              <w:t>copper concentration/µg∙g</w:t>
            </w:r>
            <w:r w:rsidRPr="00044EF4">
              <w:rPr>
                <w:rFonts w:ascii="Arial" w:hAnsi="Arial" w:cs="Arial"/>
                <w:color w:val="000000"/>
                <w:sz w:val="24"/>
                <w:szCs w:val="24"/>
                <w:vertAlign w:val="superscript"/>
              </w:rPr>
              <w:t>-1</w:t>
            </w:r>
          </w:p>
          <w:p w:rsidR="00AA5521" w:rsidRPr="00044EF4" w:rsidRDefault="00AA5521" w:rsidP="00044EF4">
            <w:pPr>
              <w:tabs>
                <w:tab w:val="left" w:pos="2159"/>
                <w:tab w:val="left" w:pos="4286"/>
                <w:tab w:val="left" w:pos="7971"/>
              </w:tabs>
              <w:spacing w:after="0" w:line="480" w:lineRule="auto"/>
              <w:jc w:val="both"/>
              <w:rPr>
                <w:rFonts w:ascii="Arial" w:hAnsi="Arial" w:cs="Arial"/>
                <w:sz w:val="24"/>
                <w:szCs w:val="24"/>
              </w:rPr>
            </w:pPr>
            <w:r w:rsidRPr="00044EF4">
              <w:rPr>
                <w:rFonts w:ascii="Arial" w:hAnsi="Arial" w:cs="Arial"/>
                <w:color w:val="000000"/>
                <w:sz w:val="24"/>
                <w:szCs w:val="24"/>
              </w:rPr>
              <w:t>1a</w:t>
            </w:r>
            <w:r w:rsidRPr="00044EF4">
              <w:rPr>
                <w:rFonts w:ascii="Arial" w:hAnsi="Arial" w:cs="Arial"/>
                <w:color w:val="000000"/>
                <w:sz w:val="24"/>
                <w:szCs w:val="24"/>
              </w:rPr>
              <w:tab/>
              <w:t>91</w:t>
            </w:r>
            <w:r w:rsidRPr="00044EF4">
              <w:rPr>
                <w:rFonts w:ascii="Arial" w:hAnsi="Arial" w:cs="Arial"/>
                <w:color w:val="000000"/>
                <w:sz w:val="24"/>
                <w:szCs w:val="24"/>
              </w:rPr>
              <w:tab/>
            </w:r>
            <w:r w:rsidRPr="00044EF4">
              <w:rPr>
                <w:rFonts w:ascii="Arial" w:hAnsi="Arial" w:cs="Arial"/>
                <w:i/>
                <w:sz w:val="24"/>
                <w:szCs w:val="24"/>
              </w:rPr>
              <w:t>Atp7b</w:t>
            </w:r>
            <w:r w:rsidRPr="00044EF4">
              <w:rPr>
                <w:rFonts w:ascii="Arial" w:hAnsi="Arial" w:cs="Arial"/>
                <w:i/>
                <w:sz w:val="24"/>
                <w:szCs w:val="24"/>
                <w:vertAlign w:val="superscript"/>
              </w:rPr>
              <w:t>+/-</w:t>
            </w:r>
            <w:r w:rsidRPr="00044EF4">
              <w:rPr>
                <w:rFonts w:ascii="Arial" w:hAnsi="Arial" w:cs="Arial"/>
                <w:sz w:val="24"/>
                <w:szCs w:val="24"/>
              </w:rPr>
              <w:t xml:space="preserve"> healthy control</w:t>
            </w:r>
            <w:r w:rsidRPr="00044EF4">
              <w:rPr>
                <w:rFonts w:ascii="Arial" w:hAnsi="Arial" w:cs="Arial"/>
                <w:sz w:val="24"/>
                <w:szCs w:val="24"/>
              </w:rPr>
              <w:tab/>
              <w:t xml:space="preserve">7.3 </w:t>
            </w:r>
          </w:p>
          <w:p w:rsidR="00AA5521" w:rsidRPr="00044EF4" w:rsidRDefault="00AA5521" w:rsidP="00044EF4">
            <w:pPr>
              <w:tabs>
                <w:tab w:val="left" w:pos="2159"/>
                <w:tab w:val="left" w:pos="4286"/>
                <w:tab w:val="left" w:pos="7971"/>
              </w:tabs>
              <w:spacing w:after="0" w:line="480" w:lineRule="auto"/>
              <w:jc w:val="both"/>
              <w:rPr>
                <w:rFonts w:ascii="Arial" w:hAnsi="Arial" w:cs="Arial"/>
                <w:sz w:val="24"/>
                <w:szCs w:val="24"/>
              </w:rPr>
            </w:pPr>
            <w:r w:rsidRPr="00044EF4">
              <w:rPr>
                <w:rFonts w:ascii="Arial" w:hAnsi="Arial" w:cs="Arial"/>
                <w:sz w:val="24"/>
                <w:szCs w:val="24"/>
              </w:rPr>
              <w:t>1b</w:t>
            </w:r>
            <w:r w:rsidRPr="00044EF4">
              <w:rPr>
                <w:rFonts w:ascii="Arial" w:hAnsi="Arial" w:cs="Arial"/>
                <w:sz w:val="24"/>
                <w:szCs w:val="24"/>
              </w:rPr>
              <w:tab/>
              <w:t>84</w:t>
            </w:r>
            <w:r w:rsidRPr="00044EF4">
              <w:rPr>
                <w:rFonts w:ascii="Arial" w:hAnsi="Arial" w:cs="Arial"/>
                <w:sz w:val="24"/>
                <w:szCs w:val="24"/>
              </w:rPr>
              <w:tab/>
            </w:r>
            <w:r w:rsidRPr="00044EF4">
              <w:rPr>
                <w:rFonts w:ascii="Arial" w:hAnsi="Arial" w:cs="Arial"/>
                <w:i/>
                <w:sz w:val="24"/>
                <w:szCs w:val="24"/>
              </w:rPr>
              <w:t>Atp7b</w:t>
            </w:r>
            <w:r w:rsidRPr="00044EF4">
              <w:rPr>
                <w:rFonts w:ascii="Arial" w:hAnsi="Arial" w:cs="Arial"/>
                <w:i/>
                <w:sz w:val="24"/>
                <w:szCs w:val="24"/>
                <w:vertAlign w:val="superscript"/>
              </w:rPr>
              <w:t xml:space="preserve">+/- </w:t>
            </w:r>
            <w:r w:rsidRPr="00044EF4">
              <w:rPr>
                <w:rFonts w:ascii="Arial" w:hAnsi="Arial" w:cs="Arial"/>
                <w:sz w:val="24"/>
                <w:szCs w:val="24"/>
              </w:rPr>
              <w:t>healthy control</w:t>
            </w:r>
            <w:r w:rsidRPr="00044EF4">
              <w:rPr>
                <w:rFonts w:ascii="Arial" w:hAnsi="Arial" w:cs="Arial"/>
                <w:sz w:val="24"/>
                <w:szCs w:val="24"/>
              </w:rPr>
              <w:tab/>
              <w:t xml:space="preserve">7.0 </w:t>
            </w:r>
          </w:p>
          <w:p w:rsidR="00AA5521" w:rsidRPr="00044EF4" w:rsidRDefault="00AA5521" w:rsidP="00044EF4">
            <w:pPr>
              <w:tabs>
                <w:tab w:val="left" w:pos="2159"/>
                <w:tab w:val="left" w:pos="4286"/>
                <w:tab w:val="left" w:pos="8001"/>
              </w:tabs>
              <w:spacing w:after="0" w:line="480" w:lineRule="auto"/>
              <w:jc w:val="both"/>
              <w:rPr>
                <w:rFonts w:ascii="Arial" w:hAnsi="Arial" w:cs="Arial"/>
                <w:sz w:val="24"/>
                <w:szCs w:val="24"/>
              </w:rPr>
            </w:pPr>
            <w:r w:rsidRPr="00044EF4">
              <w:rPr>
                <w:rFonts w:ascii="Arial" w:hAnsi="Arial" w:cs="Arial"/>
                <w:sz w:val="24"/>
                <w:szCs w:val="24"/>
              </w:rPr>
              <w:t>2a</w:t>
            </w:r>
            <w:r w:rsidRPr="00044EF4">
              <w:rPr>
                <w:rFonts w:ascii="Arial" w:hAnsi="Arial" w:cs="Arial"/>
                <w:sz w:val="24"/>
                <w:szCs w:val="24"/>
              </w:rPr>
              <w:tab/>
              <w:t>94</w:t>
            </w:r>
            <w:r w:rsidRPr="00044EF4">
              <w:rPr>
                <w:rFonts w:ascii="Arial" w:hAnsi="Arial" w:cs="Arial"/>
                <w:sz w:val="24"/>
                <w:szCs w:val="24"/>
              </w:rPr>
              <w:tab/>
            </w:r>
            <w:r w:rsidRPr="00044EF4">
              <w:rPr>
                <w:rFonts w:ascii="Arial" w:hAnsi="Arial" w:cs="Arial"/>
                <w:i/>
                <w:sz w:val="24"/>
                <w:szCs w:val="24"/>
              </w:rPr>
              <w:t>Atp7b</w:t>
            </w:r>
            <w:r w:rsidRPr="00044EF4">
              <w:rPr>
                <w:rFonts w:ascii="Arial" w:hAnsi="Arial" w:cs="Arial"/>
                <w:i/>
                <w:sz w:val="24"/>
                <w:szCs w:val="24"/>
                <w:vertAlign w:val="superscript"/>
              </w:rPr>
              <w:t>-/-</w:t>
            </w:r>
            <w:r w:rsidRPr="00044EF4">
              <w:rPr>
                <w:rFonts w:ascii="Arial" w:hAnsi="Arial" w:cs="Arial"/>
                <w:sz w:val="24"/>
                <w:szCs w:val="24"/>
              </w:rPr>
              <w:t xml:space="preserve"> diseased control</w:t>
            </w:r>
            <w:r w:rsidRPr="00044EF4">
              <w:rPr>
                <w:rFonts w:ascii="Arial" w:hAnsi="Arial" w:cs="Arial"/>
                <w:sz w:val="24"/>
                <w:szCs w:val="24"/>
              </w:rPr>
              <w:tab/>
              <w:t>411</w:t>
            </w:r>
          </w:p>
          <w:p w:rsidR="00AA5521" w:rsidRPr="00044EF4" w:rsidRDefault="00AA5521" w:rsidP="00044EF4">
            <w:pPr>
              <w:tabs>
                <w:tab w:val="left" w:pos="2159"/>
                <w:tab w:val="left" w:pos="4286"/>
                <w:tab w:val="left" w:pos="7971"/>
              </w:tabs>
              <w:spacing w:after="0" w:line="480" w:lineRule="auto"/>
              <w:jc w:val="both"/>
              <w:rPr>
                <w:rFonts w:ascii="Arial" w:hAnsi="Arial" w:cs="Arial"/>
                <w:sz w:val="24"/>
                <w:szCs w:val="24"/>
              </w:rPr>
            </w:pPr>
            <w:r w:rsidRPr="00044EF4">
              <w:rPr>
                <w:rFonts w:ascii="Arial" w:hAnsi="Arial" w:cs="Arial"/>
                <w:sz w:val="24"/>
                <w:szCs w:val="24"/>
              </w:rPr>
              <w:t>2b</w:t>
            </w:r>
            <w:r w:rsidRPr="00044EF4">
              <w:rPr>
                <w:rFonts w:ascii="Arial" w:hAnsi="Arial" w:cs="Arial"/>
                <w:sz w:val="24"/>
                <w:szCs w:val="24"/>
              </w:rPr>
              <w:tab/>
              <w:t>94</w:t>
            </w:r>
            <w:r w:rsidRPr="00044EF4">
              <w:rPr>
                <w:rFonts w:ascii="Arial" w:hAnsi="Arial" w:cs="Arial"/>
                <w:sz w:val="24"/>
                <w:szCs w:val="24"/>
              </w:rPr>
              <w:tab/>
            </w:r>
            <w:r w:rsidRPr="00044EF4">
              <w:rPr>
                <w:rFonts w:ascii="Arial" w:hAnsi="Arial" w:cs="Arial"/>
                <w:i/>
                <w:sz w:val="24"/>
                <w:szCs w:val="24"/>
              </w:rPr>
              <w:t>Atp7b</w:t>
            </w:r>
            <w:r w:rsidRPr="00044EF4">
              <w:rPr>
                <w:rFonts w:ascii="Arial" w:hAnsi="Arial" w:cs="Arial"/>
                <w:i/>
                <w:sz w:val="24"/>
                <w:szCs w:val="24"/>
                <w:vertAlign w:val="superscript"/>
              </w:rPr>
              <w:t>-/-</w:t>
            </w:r>
            <w:r w:rsidRPr="00044EF4">
              <w:rPr>
                <w:rFonts w:ascii="Arial" w:hAnsi="Arial" w:cs="Arial"/>
                <w:sz w:val="24"/>
                <w:szCs w:val="24"/>
              </w:rPr>
              <w:t xml:space="preserve"> diseased control</w:t>
            </w:r>
            <w:r w:rsidRPr="00044EF4">
              <w:rPr>
                <w:rFonts w:ascii="Arial" w:hAnsi="Arial" w:cs="Arial"/>
                <w:sz w:val="24"/>
                <w:szCs w:val="24"/>
              </w:rPr>
              <w:tab/>
              <w:t>454</w:t>
            </w:r>
          </w:p>
          <w:p w:rsidR="00AA5521" w:rsidRPr="00044EF4" w:rsidRDefault="00AA5521" w:rsidP="00044EF4">
            <w:pPr>
              <w:tabs>
                <w:tab w:val="left" w:pos="2159"/>
                <w:tab w:val="left" w:pos="4286"/>
                <w:tab w:val="left" w:pos="7971"/>
              </w:tabs>
              <w:spacing w:after="0" w:line="480" w:lineRule="auto"/>
              <w:jc w:val="both"/>
              <w:rPr>
                <w:rFonts w:ascii="Arial" w:hAnsi="Arial" w:cs="Arial"/>
                <w:sz w:val="24"/>
                <w:szCs w:val="24"/>
              </w:rPr>
            </w:pPr>
            <w:r w:rsidRPr="00044EF4">
              <w:rPr>
                <w:rFonts w:ascii="Arial" w:hAnsi="Arial" w:cs="Arial"/>
                <w:sz w:val="24"/>
                <w:szCs w:val="24"/>
              </w:rPr>
              <w:t>3a</w:t>
            </w:r>
            <w:r w:rsidRPr="00044EF4">
              <w:rPr>
                <w:rFonts w:ascii="Arial" w:hAnsi="Arial" w:cs="Arial"/>
                <w:sz w:val="24"/>
                <w:szCs w:val="24"/>
              </w:rPr>
              <w:tab/>
              <w:t>121</w:t>
            </w:r>
            <w:r w:rsidRPr="00044EF4">
              <w:rPr>
                <w:rFonts w:ascii="Arial" w:hAnsi="Arial" w:cs="Arial"/>
                <w:sz w:val="24"/>
                <w:szCs w:val="24"/>
              </w:rPr>
              <w:tab/>
            </w:r>
            <w:r w:rsidRPr="00044EF4">
              <w:rPr>
                <w:rFonts w:ascii="Arial" w:hAnsi="Arial" w:cs="Arial"/>
                <w:i/>
                <w:sz w:val="24"/>
                <w:szCs w:val="24"/>
              </w:rPr>
              <w:t>Atp7b</w:t>
            </w:r>
            <w:r w:rsidRPr="00044EF4">
              <w:rPr>
                <w:rFonts w:ascii="Arial" w:hAnsi="Arial" w:cs="Arial"/>
                <w:i/>
                <w:sz w:val="24"/>
                <w:szCs w:val="24"/>
                <w:vertAlign w:val="superscript"/>
              </w:rPr>
              <w:t>-/-</w:t>
            </w:r>
            <w:r w:rsidRPr="00044EF4">
              <w:rPr>
                <w:rFonts w:ascii="Arial" w:hAnsi="Arial" w:cs="Arial"/>
                <w:sz w:val="24"/>
                <w:szCs w:val="24"/>
              </w:rPr>
              <w:t xml:space="preserve"> low MB dose </w:t>
            </w:r>
            <w:r w:rsidRPr="00044EF4">
              <w:rPr>
                <w:rFonts w:ascii="Arial" w:hAnsi="Arial" w:cs="Arial"/>
                <w:sz w:val="24"/>
                <w:szCs w:val="24"/>
              </w:rPr>
              <w:tab/>
              <w:t>181</w:t>
            </w:r>
          </w:p>
          <w:p w:rsidR="00AA5521" w:rsidRPr="00044EF4" w:rsidRDefault="00AA5521" w:rsidP="00044EF4">
            <w:pPr>
              <w:tabs>
                <w:tab w:val="left" w:pos="2159"/>
                <w:tab w:val="left" w:pos="4286"/>
                <w:tab w:val="left" w:pos="7987"/>
              </w:tabs>
              <w:spacing w:after="0" w:line="480" w:lineRule="auto"/>
              <w:jc w:val="both"/>
              <w:rPr>
                <w:rFonts w:ascii="Arial" w:hAnsi="Arial" w:cs="Arial"/>
                <w:sz w:val="24"/>
                <w:szCs w:val="24"/>
              </w:rPr>
            </w:pPr>
            <w:r w:rsidRPr="00044EF4">
              <w:rPr>
                <w:rFonts w:ascii="Arial" w:hAnsi="Arial" w:cs="Arial"/>
                <w:sz w:val="24"/>
                <w:szCs w:val="24"/>
              </w:rPr>
              <w:t>3b</w:t>
            </w:r>
            <w:r w:rsidRPr="00044EF4">
              <w:rPr>
                <w:rFonts w:ascii="Arial" w:hAnsi="Arial" w:cs="Arial"/>
                <w:sz w:val="24"/>
                <w:szCs w:val="24"/>
              </w:rPr>
              <w:tab/>
              <w:t>120</w:t>
            </w:r>
            <w:r w:rsidRPr="00044EF4">
              <w:rPr>
                <w:rFonts w:ascii="Arial" w:hAnsi="Arial" w:cs="Arial"/>
                <w:sz w:val="24"/>
                <w:szCs w:val="24"/>
              </w:rPr>
              <w:tab/>
            </w:r>
            <w:r w:rsidRPr="00044EF4">
              <w:rPr>
                <w:rFonts w:ascii="Arial" w:hAnsi="Arial" w:cs="Arial"/>
                <w:i/>
                <w:sz w:val="24"/>
                <w:szCs w:val="24"/>
              </w:rPr>
              <w:t>Atp7b</w:t>
            </w:r>
            <w:r w:rsidRPr="00044EF4">
              <w:rPr>
                <w:rFonts w:ascii="Arial" w:hAnsi="Arial" w:cs="Arial"/>
                <w:i/>
                <w:sz w:val="24"/>
                <w:szCs w:val="24"/>
                <w:vertAlign w:val="superscript"/>
              </w:rPr>
              <w:t>-/-</w:t>
            </w:r>
            <w:r w:rsidRPr="00044EF4">
              <w:rPr>
                <w:rFonts w:ascii="Arial" w:hAnsi="Arial" w:cs="Arial"/>
                <w:sz w:val="24"/>
                <w:szCs w:val="24"/>
              </w:rPr>
              <w:t xml:space="preserve"> low MB dose </w:t>
            </w:r>
            <w:r w:rsidRPr="00044EF4">
              <w:rPr>
                <w:rFonts w:ascii="Arial" w:hAnsi="Arial" w:cs="Arial"/>
                <w:sz w:val="24"/>
                <w:szCs w:val="24"/>
              </w:rPr>
              <w:tab/>
              <w:t>204</w:t>
            </w:r>
          </w:p>
          <w:p w:rsidR="00AA5521" w:rsidRPr="00044EF4" w:rsidRDefault="00AA5521" w:rsidP="00044EF4">
            <w:pPr>
              <w:tabs>
                <w:tab w:val="left" w:pos="2160"/>
                <w:tab w:val="left" w:pos="4286"/>
                <w:tab w:val="left" w:pos="7960"/>
              </w:tabs>
              <w:spacing w:after="0" w:line="480" w:lineRule="auto"/>
              <w:jc w:val="both"/>
              <w:rPr>
                <w:rFonts w:ascii="Arial" w:hAnsi="Arial" w:cs="Arial"/>
                <w:sz w:val="24"/>
                <w:szCs w:val="24"/>
              </w:rPr>
            </w:pPr>
            <w:r w:rsidRPr="00044EF4">
              <w:rPr>
                <w:rFonts w:ascii="Arial" w:hAnsi="Arial" w:cs="Arial"/>
                <w:sz w:val="24"/>
                <w:szCs w:val="24"/>
              </w:rPr>
              <w:t>4a</w:t>
            </w:r>
            <w:r w:rsidRPr="00044EF4">
              <w:rPr>
                <w:rFonts w:ascii="Arial" w:hAnsi="Arial" w:cs="Arial"/>
                <w:sz w:val="24"/>
                <w:szCs w:val="24"/>
              </w:rPr>
              <w:tab/>
              <w:t>89</w:t>
            </w:r>
            <w:r w:rsidRPr="00044EF4">
              <w:rPr>
                <w:rFonts w:ascii="Arial" w:hAnsi="Arial" w:cs="Arial"/>
                <w:sz w:val="24"/>
                <w:szCs w:val="24"/>
              </w:rPr>
              <w:tab/>
            </w:r>
            <w:r w:rsidRPr="00044EF4">
              <w:rPr>
                <w:rFonts w:ascii="Arial" w:hAnsi="Arial" w:cs="Arial"/>
                <w:i/>
                <w:sz w:val="24"/>
                <w:szCs w:val="24"/>
              </w:rPr>
              <w:t>Atp7b</w:t>
            </w:r>
            <w:r w:rsidRPr="00044EF4">
              <w:rPr>
                <w:rFonts w:ascii="Arial" w:hAnsi="Arial" w:cs="Arial"/>
                <w:i/>
                <w:sz w:val="24"/>
                <w:szCs w:val="24"/>
                <w:vertAlign w:val="superscript"/>
              </w:rPr>
              <w:t>-/-</w:t>
            </w:r>
            <w:r w:rsidRPr="00044EF4">
              <w:rPr>
                <w:rFonts w:ascii="Arial" w:hAnsi="Arial" w:cs="Arial"/>
                <w:sz w:val="24"/>
                <w:szCs w:val="24"/>
              </w:rPr>
              <w:t xml:space="preserve"> high MB dose</w:t>
            </w:r>
            <w:r w:rsidRPr="00044EF4">
              <w:rPr>
                <w:rFonts w:ascii="Arial" w:hAnsi="Arial" w:cs="Arial"/>
                <w:sz w:val="24"/>
                <w:szCs w:val="24"/>
              </w:rPr>
              <w:tab/>
              <w:t>188</w:t>
            </w:r>
          </w:p>
          <w:p w:rsidR="00AA5521" w:rsidRPr="00044EF4" w:rsidRDefault="00AA5521" w:rsidP="00044EF4">
            <w:pPr>
              <w:tabs>
                <w:tab w:val="left" w:pos="2173"/>
                <w:tab w:val="left" w:pos="4286"/>
                <w:tab w:val="left" w:pos="7971"/>
              </w:tabs>
              <w:spacing w:after="0" w:line="480" w:lineRule="auto"/>
              <w:jc w:val="both"/>
              <w:rPr>
                <w:rFonts w:ascii="Arial" w:hAnsi="Arial" w:cs="Arial"/>
                <w:color w:val="000000"/>
                <w:sz w:val="24"/>
                <w:szCs w:val="24"/>
              </w:rPr>
            </w:pPr>
            <w:r w:rsidRPr="00044EF4">
              <w:rPr>
                <w:rFonts w:ascii="Arial" w:hAnsi="Arial" w:cs="Arial"/>
                <w:sz w:val="24"/>
                <w:szCs w:val="24"/>
              </w:rPr>
              <w:t>5a</w:t>
            </w:r>
            <w:r w:rsidRPr="00044EF4">
              <w:rPr>
                <w:rFonts w:ascii="Arial" w:hAnsi="Arial" w:cs="Arial"/>
                <w:sz w:val="24"/>
                <w:szCs w:val="24"/>
              </w:rPr>
              <w:tab/>
              <w:t>166</w:t>
            </w:r>
            <w:r w:rsidRPr="00044EF4">
              <w:rPr>
                <w:rFonts w:ascii="Arial" w:hAnsi="Arial" w:cs="Arial"/>
                <w:sz w:val="24"/>
                <w:szCs w:val="24"/>
              </w:rPr>
              <w:tab/>
            </w:r>
            <w:r w:rsidRPr="00044EF4">
              <w:rPr>
                <w:rFonts w:ascii="Arial" w:hAnsi="Arial" w:cs="Arial"/>
                <w:i/>
                <w:sz w:val="24"/>
                <w:szCs w:val="24"/>
              </w:rPr>
              <w:t>Atp7b</w:t>
            </w:r>
            <w:r w:rsidRPr="00044EF4">
              <w:rPr>
                <w:rFonts w:ascii="Arial" w:hAnsi="Arial" w:cs="Arial"/>
                <w:i/>
                <w:sz w:val="24"/>
                <w:szCs w:val="24"/>
                <w:vertAlign w:val="superscript"/>
              </w:rPr>
              <w:t>-/-</w:t>
            </w:r>
            <w:r w:rsidRPr="00044EF4">
              <w:rPr>
                <w:rFonts w:ascii="Arial" w:hAnsi="Arial" w:cs="Arial"/>
                <w:sz w:val="24"/>
                <w:szCs w:val="24"/>
              </w:rPr>
              <w:t xml:space="preserve"> </w:t>
            </w:r>
            <w:r w:rsidRPr="00044EF4">
              <w:rPr>
                <w:rFonts w:ascii="Arial" w:hAnsi="Arial" w:cs="Arial"/>
                <w:color w:val="000000"/>
                <w:sz w:val="24"/>
                <w:szCs w:val="24"/>
              </w:rPr>
              <w:t xml:space="preserve">drug holiday </w:t>
            </w:r>
            <w:r w:rsidRPr="00044EF4">
              <w:rPr>
                <w:rFonts w:ascii="Arial" w:hAnsi="Arial" w:cs="Arial"/>
                <w:color w:val="000000"/>
                <w:sz w:val="24"/>
                <w:szCs w:val="24"/>
              </w:rPr>
              <w:tab/>
              <w:t>351</w:t>
            </w:r>
          </w:p>
        </w:tc>
      </w:tr>
    </w:tbl>
    <w:p w:rsidR="00AA5521" w:rsidRPr="00E70C26" w:rsidRDefault="00AA5521" w:rsidP="00C90566">
      <w:pPr>
        <w:spacing w:line="480" w:lineRule="auto"/>
        <w:jc w:val="both"/>
        <w:rPr>
          <w:rFonts w:ascii="Arial" w:hAnsi="Arial" w:cs="Arial"/>
          <w:sz w:val="24"/>
          <w:szCs w:val="24"/>
          <w:highlight w:val="yellow"/>
        </w:rPr>
      </w:pPr>
    </w:p>
    <w:p w:rsidR="00AA5521" w:rsidRPr="00E70C26" w:rsidRDefault="00AA5521" w:rsidP="00C90566">
      <w:pPr>
        <w:spacing w:line="480" w:lineRule="auto"/>
        <w:jc w:val="both"/>
        <w:rPr>
          <w:rFonts w:ascii="Arial" w:hAnsi="Arial" w:cs="Arial"/>
          <w:sz w:val="24"/>
          <w:szCs w:val="24"/>
        </w:rPr>
      </w:pPr>
      <w:r w:rsidRPr="00E70C26">
        <w:rPr>
          <w:rFonts w:ascii="Arial" w:hAnsi="Arial" w:cs="Arial"/>
          <w:sz w:val="24"/>
          <w:szCs w:val="24"/>
        </w:rPr>
        <w:t xml:space="preserve">The bulk liver analysis shows a highly increased copper concentration for the </w:t>
      </w:r>
      <w:r w:rsidRPr="00FD1410">
        <w:rPr>
          <w:rFonts w:ascii="Arial" w:hAnsi="Arial" w:cs="Arial"/>
          <w:i/>
          <w:sz w:val="24"/>
          <w:szCs w:val="24"/>
        </w:rPr>
        <w:t>Atp7b</w:t>
      </w:r>
      <w:r w:rsidRPr="00FD1410">
        <w:rPr>
          <w:rFonts w:ascii="Arial" w:hAnsi="Arial" w:cs="Arial"/>
          <w:i/>
          <w:sz w:val="24"/>
          <w:szCs w:val="24"/>
          <w:vertAlign w:val="superscript"/>
        </w:rPr>
        <w:t>-/-</w:t>
      </w:r>
      <w:r w:rsidRPr="00FD1410">
        <w:rPr>
          <w:rFonts w:ascii="Arial" w:hAnsi="Arial" w:cs="Arial"/>
          <w:sz w:val="24"/>
          <w:szCs w:val="24"/>
        </w:rPr>
        <w:t xml:space="preserve"> animals in comparison to </w:t>
      </w:r>
      <w:r w:rsidRPr="00FD1410">
        <w:rPr>
          <w:rFonts w:ascii="Arial" w:hAnsi="Arial" w:cs="Arial"/>
          <w:i/>
          <w:sz w:val="24"/>
          <w:szCs w:val="24"/>
        </w:rPr>
        <w:t>Atp7b</w:t>
      </w:r>
      <w:r w:rsidRPr="00FD1410">
        <w:rPr>
          <w:rFonts w:ascii="Arial" w:hAnsi="Arial" w:cs="Arial"/>
          <w:i/>
          <w:sz w:val="24"/>
          <w:szCs w:val="24"/>
          <w:vertAlign w:val="superscript"/>
        </w:rPr>
        <w:t>+/-</w:t>
      </w:r>
      <w:r w:rsidRPr="00FD1410">
        <w:rPr>
          <w:rFonts w:ascii="Arial" w:hAnsi="Arial" w:cs="Arial"/>
          <w:sz w:val="24"/>
          <w:szCs w:val="24"/>
        </w:rPr>
        <w:t xml:space="preserve"> </w:t>
      </w:r>
      <w:r w:rsidRPr="008E6396">
        <w:rPr>
          <w:rFonts w:ascii="Arial" w:hAnsi="Arial" w:cs="Arial"/>
          <w:sz w:val="24"/>
          <w:szCs w:val="24"/>
        </w:rPr>
        <w:t xml:space="preserve">rats, as expected from the disturbed copper metabolism of the diseased </w:t>
      </w:r>
      <w:r w:rsidRPr="008E6396">
        <w:rPr>
          <w:rFonts w:ascii="Arial" w:hAnsi="Arial" w:cs="Arial"/>
          <w:i/>
          <w:sz w:val="24"/>
          <w:szCs w:val="24"/>
        </w:rPr>
        <w:t>Atp7b</w:t>
      </w:r>
      <w:r w:rsidRPr="008E6396">
        <w:rPr>
          <w:rFonts w:ascii="Arial" w:hAnsi="Arial" w:cs="Arial"/>
          <w:i/>
          <w:sz w:val="24"/>
          <w:szCs w:val="24"/>
          <w:vertAlign w:val="superscript"/>
        </w:rPr>
        <w:t>-/-</w:t>
      </w:r>
      <w:r w:rsidRPr="008E6396">
        <w:rPr>
          <w:rFonts w:ascii="Arial" w:hAnsi="Arial" w:cs="Arial"/>
          <w:sz w:val="24"/>
          <w:szCs w:val="24"/>
        </w:rPr>
        <w:t xml:space="preserve"> animals. The MB treatment of eight consecutive days leads to a decrease in the copper </w:t>
      </w:r>
      <w:r w:rsidRPr="00E70C26">
        <w:rPr>
          <w:rFonts w:ascii="Arial" w:hAnsi="Arial" w:cs="Arial"/>
          <w:sz w:val="24"/>
          <w:szCs w:val="24"/>
        </w:rPr>
        <w:t xml:space="preserve">content with concentrations less than half of those of untreated rats, as overserved before by Lichtmannegger </w:t>
      </w:r>
      <w:r w:rsidRPr="00E70C26">
        <w:rPr>
          <w:rFonts w:ascii="Arial" w:hAnsi="Arial" w:cs="Arial"/>
          <w:i/>
          <w:sz w:val="24"/>
          <w:szCs w:val="24"/>
        </w:rPr>
        <w:t>et al.</w:t>
      </w:r>
      <w:r>
        <w:rPr>
          <w:rFonts w:ascii="Arial" w:hAnsi="Arial" w:cs="Arial"/>
          <w:sz w:val="24"/>
          <w:szCs w:val="24"/>
          <w:vertAlign w:val="superscript"/>
        </w:rPr>
        <w:fldChar w:fldCharType="begin" w:fldLock="1"/>
      </w:r>
      <w:r>
        <w:rPr>
          <w:rFonts w:ascii="Arial" w:hAnsi="Arial" w:cs="Arial"/>
          <w:sz w:val="24"/>
          <w:szCs w:val="24"/>
          <w:vertAlign w:val="superscript"/>
        </w:rPr>
        <w:instrText>ADDIN CSL_CITATION { "citationItems" : [ { "id" : "ITEM-1", "itemData" : { "DOI" : "10.1172/JCI85226", "ISBN" : "1558-8238 (Electronic)\\r0021-9738 (Linking)", "ISSN" : "15588238", "PMID" : "27322060", "abstract" : "In Wilson disease (WD), functional loss of ATPase copper-transporting \u03b2 (ATP7B) impairs biliary copper excretion, leading to excessive copper accumulation in the liver and fulminant hepatitis. Current US Food and Drug Administration- and European Medicines Agency-approved pharmacological treatments usually fail to restore copper homeostasis in patients with WD who have progressed to acute liver failure, leaving liver transplantation as the only viable treatment option. Here, we investigated the therapeutic utility of methanobactin (MB), a peptide produced by Methylosinus trichosporium OB3b, which has an exceptionally high affinity for copper. We demonstrated that ATP7B-deficient rats recapitulate WD-associated phenotypes, including hepatic copper accumulation, liver damage, and mitochondrial impairment. Short-term treatment of these rats with MB efficiently reversed mitochondrial impairment and liver damage in the acute stages of liver copper accumulation compared with that seen in untreated ATP7B-deficient rats. This beneficial effect was associated with depletion of copper from hepatocyte mitochondria. Moreover, MB treatment prevented hepatocyte death, subsequent liver failure, and death in the rodent model. These results suggest that MB has potential as a therapeutic agent for the treatment of acute WD.", "author" : [ { "dropping-particle" : "", "family" : "Lichtmannegger", "given" : "Josef", "non-dropping-particle" : "", "parse-names" : false, "suffix" : "" }, { "dropping-particle" : "", "family" : "Leitzinger", "given" : "Christin", "non-dropping-particle" : "", "parse-names" : false, "suffix" : "" }, { "dropping-particle" : "", "family" : "Wimmer", "given" : "Ralf", "non-dropping-particle" : "", "parse-names" : false, "suffix" : "" }, { "dropping-particle" : "", "family" : "Schmitt", "given" : "Sabine", "non-dropping-particle" : "", "parse-names" : false, "suffix" : "" }, { "dropping-particle" : "", "family" : "Schulz", "given" : "Sabine", "non-dropping-particle" : "", "parse-names" : false, "suffix" : "" }, { "dropping-particle" : "", "family" : "Kabiri", "given" : "Yaschar", "non-dropping-particle" : "", "parse-names" : false, "suffix" : "" }, { "dropping-particle" : "", "family" : "Eberhagen", "given" : "Carola", "non-dropping-particle" : "", "parse-names" : false, "suffix" : "" }, { "dropping-particle" : "", "family" : "Rieder", "given" : "Tamara", "non-dropping-particle" : "", "parse-names" : false, "suffix" : "" }, { "dropping-particle" : "", "family" : "Janik", "given" : "Dirk", "non-dropping-particle" : "", "parse-names" : false, "suffix" : "" }, { "dropping-particle" : "", "family" : "Neff", "given" : "Frauke", "non-dropping-particle" : "", "parse-names" : false, "suffix" : "" }, { "dropping-particle" : "", "family" : "Straub", "given" : "Beate K.", "non-dropping-particle" : "", "parse-names" : false, "suffix" : "" }, { "dropping-particle" : "", "family" : "Schirmacher", "given" : "Peter", "non-dropping-particle" : "", "parse-names" : false, "suffix" : "" }, { "dropping-particle" : "", "family" : "Spirito", "given" : "Alan A.", "non-dropping-particle" : "Di", "parse-names" : false, "suffix" : "" }, { "dropping-particle" : "", "family" : "Bandow", "given" : "Nathan", "non-dropping-particle" : "", "parse-names" : false, "suffix" : "" }, { "dropping-particle" : "", "family" : "Baral", "given" : "Bipin S.", "non-dropping-particle" : "", "parse-names" : false, "suffix" : "" }, { "dropping-particle" : "", "family" : "Flatley", "given" : "Andrew", "non-dropping-particle" : "", "parse-names" : false, "suffix" : "" }, { "dropping-particle" : "", "family" : "Kremmer", "given" : "Elisabeth", "non-dropping-particle" : "", "parse-names" : false, "suffix" : "" }, { "dropping-particle" : "", "family" : "Denk", "given" : "Gerald", "non-dropping-particle" : "", "parse-names" : false, "suffix" : "" }, { "dropping-particle" : "", "family" : "Reiter", "given" : "Florian P.", "non-dropping-particle" : "", "parse-names" : false, "suffix" : "" }, { "dropping-particle" : "", "family" : "Hohenester", "given" : "Simon", "non-dropping-particle" : "", "parse-names" : false, "suffix" : "" }, { "dropping-particle" : "", "family" : "Eckardt-Schupp", "given" : "Friedericke", "non-dropping-particle" : "", "parse-names" : false, "suffix" : "" }, { "dropping-particle" : "", "family" : "Dencher", "given" : "Norbert A.", "non-dropping-particle" : "", "parse-names" : false, "suffix" : "" }, { "dropping-particle" : "", "family" : "Adamski", "given" : "Jerzy", "non-dropping-particle" : "", "parse-names" : false, "suffix" : "" }, { "dropping-particle" : "", "family" : "Sauer", "given" : "Vanessa", "non-dropping-particle" : "", "parse-names" : false, "suffix" : "" }, { "dropping-particle" : "", "family" : "Niemietz", "given" : "Christoph", "non-dropping-particle" : "", "parse-names" : false, "suffix" : "" }, { "dropping-particle" : "", "family" : "Schmidt", "given" : "Hartmut H J", "non-dropping-particle" : "", "parse-names" : false, "suffix" : "" }, { "dropping-particle" : "", "family" : "Merle", "given" : "Uta", "non-dropping-particle" : "", "parse-names" : false, "suffix" : "" }, { "dropping-particle" : "", "family" : "Gotthardt", "given" : "Daniel Nils", "non-dropping-particle" : "", "parse-names" : false, "suffix" : "" }, { "dropping-particle" : "", "family" : "Kroemer", "given" : "Guido", "non-dropping-particle" : "", "parse-names" : false, "suffix" : "" }, { "dropping-particle" : "", "family" : "Weiss", "given" : "Karl Heinz", "non-dropping-particle" : "", "parse-names" : false, "suffix" : "" }, { "dropping-particle" : "", "family" : "Zischka", "given" : "Hans", "non-dropping-particle" : "", "parse-names" : false, "suffix" : "" } ], "container-title" : "Journal of Clinical Investigation", "id" : "ITEM-1", "issue" : "7", "issued" : { "date-parts" : [ [ "2016" ] ] }, "note" : "https://www.jci.org/articles/view/85226/sd/1\nSupplemental Info Figure 2A --&amp;gt; Strukur von MB\n\nGesamtgehalt Bestimmung mittels ICP-OES", "page" : "2721-2735", "title" : "Methanobactin reverses acute liver failure in a rat model of Wilson disease", "type" : "article-journal", "volume" : "126" }, "uris" : [ "http://www.mendeley.com/documents/?uuid=99dd46a4-ccd8-4a33-93f4-f5cde576fead" ] } ], "mendeley" : { "formattedCitation" : "[10]", "plainTextFormattedCitation" : "[10]", "previouslyFormattedCitation" : "[10]" }, "properties" : {  }, "schema" : "https://github.com/citation-style-language/schema/raw/master/csl-citation.json" }</w:instrText>
      </w:r>
      <w:r>
        <w:rPr>
          <w:rFonts w:ascii="Arial" w:hAnsi="Arial" w:cs="Arial"/>
          <w:sz w:val="24"/>
          <w:szCs w:val="24"/>
          <w:vertAlign w:val="superscript"/>
        </w:rPr>
        <w:fldChar w:fldCharType="separate"/>
      </w:r>
      <w:r w:rsidRPr="00283B4A">
        <w:rPr>
          <w:rFonts w:ascii="Arial" w:hAnsi="Arial" w:cs="Arial"/>
          <w:noProof/>
          <w:sz w:val="24"/>
          <w:szCs w:val="24"/>
        </w:rPr>
        <w:t>[10]</w:t>
      </w:r>
      <w:r>
        <w:rPr>
          <w:rFonts w:ascii="Arial" w:hAnsi="Arial" w:cs="Arial"/>
          <w:sz w:val="24"/>
          <w:szCs w:val="24"/>
          <w:vertAlign w:val="superscript"/>
        </w:rPr>
        <w:fldChar w:fldCharType="end"/>
      </w:r>
      <w:r w:rsidRPr="00E70C26">
        <w:rPr>
          <w:rFonts w:ascii="Arial" w:hAnsi="Arial" w:cs="Arial"/>
          <w:sz w:val="24"/>
          <w:szCs w:val="24"/>
        </w:rPr>
        <w:t xml:space="preserve"> </w:t>
      </w:r>
    </w:p>
    <w:p w:rsidR="00AA5521" w:rsidRPr="00E70C26" w:rsidRDefault="00AA5521" w:rsidP="00C90566">
      <w:pPr>
        <w:spacing w:line="480" w:lineRule="auto"/>
        <w:jc w:val="both"/>
        <w:rPr>
          <w:rFonts w:ascii="Arial" w:hAnsi="Arial" w:cs="Arial"/>
          <w:i/>
          <w:sz w:val="24"/>
          <w:szCs w:val="24"/>
        </w:rPr>
      </w:pPr>
      <w:r w:rsidRPr="00E70C26">
        <w:rPr>
          <w:rFonts w:ascii="Arial" w:hAnsi="Arial" w:cs="Arial"/>
          <w:i/>
          <w:sz w:val="24"/>
          <w:szCs w:val="24"/>
        </w:rPr>
        <w:t xml:space="preserve">3.3 </w:t>
      </w:r>
      <w:r>
        <w:rPr>
          <w:rFonts w:ascii="Arial" w:hAnsi="Arial" w:cs="Arial"/>
          <w:i/>
          <w:sz w:val="24"/>
          <w:szCs w:val="24"/>
        </w:rPr>
        <w:t>Bioimaging of Cu, Fe and Zn in</w:t>
      </w:r>
      <w:r w:rsidRPr="00E70C26">
        <w:rPr>
          <w:rFonts w:ascii="Arial" w:hAnsi="Arial" w:cs="Arial"/>
          <w:i/>
          <w:sz w:val="24"/>
          <w:szCs w:val="24"/>
        </w:rPr>
        <w:t xml:space="preserve"> </w:t>
      </w:r>
      <w:r>
        <w:rPr>
          <w:rFonts w:ascii="Arial" w:hAnsi="Arial" w:cs="Arial"/>
          <w:i/>
          <w:sz w:val="24"/>
          <w:szCs w:val="24"/>
        </w:rPr>
        <w:t>rat liver tissue</w:t>
      </w:r>
    </w:p>
    <w:p w:rsidR="00AA5521" w:rsidRPr="00E70C26" w:rsidRDefault="00AA5521" w:rsidP="00C90566">
      <w:pPr>
        <w:spacing w:line="480" w:lineRule="auto"/>
        <w:jc w:val="both"/>
        <w:rPr>
          <w:rFonts w:ascii="Arial" w:hAnsi="Arial" w:cs="Arial"/>
          <w:sz w:val="24"/>
          <w:szCs w:val="24"/>
        </w:rPr>
      </w:pPr>
      <w:r w:rsidRPr="00E70C26">
        <w:rPr>
          <w:rFonts w:ascii="Arial" w:hAnsi="Arial" w:cs="Arial"/>
          <w:sz w:val="24"/>
          <w:szCs w:val="24"/>
        </w:rPr>
        <w:t>Whereas the chelation and excretion of copper is the desired therapeutic activity of the chelation therapy, the homeostasis of other elements should not be affected by the WD treatment. To observe the influence of the MB treatment on other trace elements present in the liver, the elements iron and zinc were quantified as well. In the following, the results of single sections for samples 1-5a are shown</w:t>
      </w:r>
      <w:r>
        <w:rPr>
          <w:rFonts w:ascii="Arial" w:hAnsi="Arial" w:cs="Arial"/>
          <w:sz w:val="24"/>
          <w:szCs w:val="24"/>
        </w:rPr>
        <w:t>:</w:t>
      </w:r>
      <w:r w:rsidRPr="00E70C26">
        <w:rPr>
          <w:rFonts w:ascii="Arial" w:hAnsi="Arial" w:cs="Arial"/>
          <w:sz w:val="24"/>
          <w:szCs w:val="24"/>
        </w:rPr>
        <w:t xml:space="preserve"> </w:t>
      </w:r>
      <w:r>
        <w:rPr>
          <w:rFonts w:ascii="Arial" w:hAnsi="Arial" w:cs="Arial"/>
          <w:sz w:val="24"/>
          <w:szCs w:val="24"/>
        </w:rPr>
        <w:t>T</w:t>
      </w:r>
      <w:r w:rsidRPr="00E70C26">
        <w:rPr>
          <w:rFonts w:ascii="Arial" w:hAnsi="Arial" w:cs="Arial"/>
          <w:sz w:val="24"/>
          <w:szCs w:val="24"/>
        </w:rPr>
        <w:t xml:space="preserve">he other </w:t>
      </w:r>
      <w:r>
        <w:rPr>
          <w:rFonts w:ascii="Arial" w:hAnsi="Arial" w:cs="Arial"/>
          <w:sz w:val="24"/>
          <w:szCs w:val="24"/>
        </w:rPr>
        <w:t>analyzed</w:t>
      </w:r>
      <w:r w:rsidRPr="00E70C26">
        <w:rPr>
          <w:rFonts w:ascii="Arial" w:hAnsi="Arial" w:cs="Arial"/>
          <w:sz w:val="24"/>
          <w:szCs w:val="24"/>
        </w:rPr>
        <w:t xml:space="preserve"> sections and the images of samples 1-3b showed similar results and are summarized in appendix A in the supplementary material. </w:t>
      </w:r>
    </w:p>
    <w:p w:rsidR="00AA5521" w:rsidRPr="00FD1410" w:rsidRDefault="00AA5521" w:rsidP="00C90566">
      <w:pPr>
        <w:spacing w:line="480" w:lineRule="auto"/>
        <w:jc w:val="both"/>
        <w:rPr>
          <w:rFonts w:ascii="Arial" w:hAnsi="Arial" w:cs="Arial"/>
          <w:sz w:val="24"/>
          <w:szCs w:val="24"/>
        </w:rPr>
      </w:pPr>
      <w:r w:rsidRPr="00FD1410">
        <w:rPr>
          <w:rFonts w:ascii="Arial" w:hAnsi="Arial" w:cs="Arial"/>
          <w:sz w:val="24"/>
          <w:szCs w:val="24"/>
        </w:rPr>
        <w:t>To obtain an estimate of the copper, iron and zinc distribution in the liver samples, LA-ICP-MS analysis with a laser spot size of 25 µm was carried out. This spot size provides a satisfactory compromise between spatial resolution and analysis time. Because of the destructive nature of this imaging technique, only one half of each sample was ablated with the larger spot size. The other sample half was used for analysis with a high</w:t>
      </w:r>
      <w:r>
        <w:rPr>
          <w:rFonts w:ascii="Arial" w:hAnsi="Arial" w:cs="Arial"/>
          <w:sz w:val="24"/>
          <w:szCs w:val="24"/>
        </w:rPr>
        <w:t>er</w:t>
      </w:r>
      <w:r w:rsidRPr="00FD1410">
        <w:rPr>
          <w:rFonts w:ascii="Arial" w:hAnsi="Arial" w:cs="Arial"/>
          <w:sz w:val="24"/>
          <w:szCs w:val="24"/>
        </w:rPr>
        <w:t xml:space="preserve"> spatial resolution of 4 µm. </w:t>
      </w:r>
    </w:p>
    <w:p w:rsidR="00AA5521" w:rsidRPr="00E70C26" w:rsidRDefault="00AA5521" w:rsidP="00C90566">
      <w:pPr>
        <w:spacing w:line="480" w:lineRule="auto"/>
        <w:jc w:val="both"/>
        <w:rPr>
          <w:rFonts w:ascii="Arial" w:hAnsi="Arial" w:cs="Arial"/>
          <w:sz w:val="24"/>
          <w:szCs w:val="24"/>
        </w:rPr>
      </w:pPr>
      <w:r w:rsidRPr="00E70C26">
        <w:rPr>
          <w:rFonts w:ascii="Arial" w:hAnsi="Arial" w:cs="Arial"/>
          <w:sz w:val="24"/>
          <w:szCs w:val="24"/>
        </w:rPr>
        <w:t xml:space="preserve">Figure 1 shows the iron, copper and zinc distribution of a </w:t>
      </w:r>
      <w:r w:rsidRPr="00FD1410">
        <w:rPr>
          <w:rFonts w:ascii="Arial" w:hAnsi="Arial" w:cs="Arial"/>
          <w:sz w:val="24"/>
          <w:szCs w:val="24"/>
        </w:rPr>
        <w:t xml:space="preserve">healthy </w:t>
      </w:r>
      <w:r w:rsidRPr="00FD1410">
        <w:rPr>
          <w:rFonts w:ascii="Arial" w:hAnsi="Arial" w:cs="Arial"/>
          <w:i/>
          <w:sz w:val="24"/>
          <w:szCs w:val="24"/>
        </w:rPr>
        <w:t>Atp7b</w:t>
      </w:r>
      <w:r w:rsidRPr="00FD1410">
        <w:rPr>
          <w:rFonts w:ascii="Arial" w:hAnsi="Arial" w:cs="Arial"/>
          <w:i/>
          <w:sz w:val="24"/>
          <w:szCs w:val="24"/>
          <w:vertAlign w:val="superscript"/>
        </w:rPr>
        <w:t>+/-</w:t>
      </w:r>
      <w:r w:rsidRPr="00FD1410">
        <w:rPr>
          <w:rFonts w:ascii="Arial" w:hAnsi="Arial" w:cs="Arial"/>
          <w:sz w:val="24"/>
          <w:szCs w:val="24"/>
        </w:rPr>
        <w:t xml:space="preserve"> control liver (sample 1a) as well as an untreated, diseased </w:t>
      </w:r>
      <w:r w:rsidRPr="00FD1410">
        <w:rPr>
          <w:rFonts w:ascii="Arial" w:hAnsi="Arial" w:cs="Arial"/>
          <w:i/>
          <w:sz w:val="24"/>
          <w:szCs w:val="24"/>
        </w:rPr>
        <w:t>Atp7b</w:t>
      </w:r>
      <w:r w:rsidRPr="00FD1410">
        <w:rPr>
          <w:rFonts w:ascii="Arial" w:hAnsi="Arial" w:cs="Arial"/>
          <w:i/>
          <w:sz w:val="24"/>
          <w:szCs w:val="24"/>
          <w:vertAlign w:val="superscript"/>
        </w:rPr>
        <w:t>-/-</w:t>
      </w:r>
      <w:r w:rsidRPr="00FD1410">
        <w:rPr>
          <w:rFonts w:ascii="Arial" w:hAnsi="Arial" w:cs="Arial"/>
          <w:sz w:val="24"/>
          <w:szCs w:val="24"/>
        </w:rPr>
        <w:t xml:space="preserve"> sample</w:t>
      </w:r>
      <w:r w:rsidRPr="00E70C26">
        <w:rPr>
          <w:rFonts w:ascii="Arial" w:hAnsi="Arial" w:cs="Arial"/>
          <w:sz w:val="24"/>
          <w:szCs w:val="24"/>
        </w:rPr>
        <w:t xml:space="preserve"> (sample 2a). The copper distribution for the healthy control is very homogenous with an average concentration of 14 µg/g. For the diseased animal, the average copper concentration is 702 µg/g with many hotspots all over the tissue sample. </w:t>
      </w:r>
      <w:r w:rsidRPr="00FD1410">
        <w:rPr>
          <w:rFonts w:ascii="Arial" w:hAnsi="Arial" w:cs="Arial"/>
          <w:sz w:val="24"/>
          <w:szCs w:val="24"/>
        </w:rPr>
        <w:t>WD is typically diagnosed in humans, if a liver copper content above 250 µg/g is found. Copper concentrations below 55 µg/g are considered norma</w:t>
      </w:r>
      <w:r w:rsidRPr="00E70C26">
        <w:rPr>
          <w:rFonts w:ascii="Arial" w:hAnsi="Arial" w:cs="Arial"/>
          <w:sz w:val="24"/>
          <w:szCs w:val="24"/>
        </w:rPr>
        <w:t>l.</w:t>
      </w:r>
      <w:r>
        <w:rPr>
          <w:rFonts w:ascii="Arial" w:hAnsi="Arial" w:cs="Arial"/>
          <w:sz w:val="24"/>
          <w:szCs w:val="24"/>
        </w:rPr>
        <w:fldChar w:fldCharType="begin" w:fldLock="1"/>
      </w:r>
      <w:r>
        <w:rPr>
          <w:rFonts w:ascii="Arial" w:hAnsi="Arial" w:cs="Arial"/>
          <w:sz w:val="24"/>
          <w:szCs w:val="24"/>
        </w:rPr>
        <w:instrText>ADDIN CSL_CITATION { "citationItems" : [ { "id" : "ITEM-1", "itemData" : { "DOI" : "10.1016/S0140-6736(07)60196-2", "ISBN" : "1474-547X (Electronic)\\r0140-6736 (Linking)", "ISSN" : "1474-547X", "PMID" : "17276780", "abstract" : "Progressive hepatolenticular degeneration, or Wilson's disease, is a genetic disorder of copper metabolism. Knowledge of the clinical presentations and treatment of the disease are important both to the generalist and to specialists in gastroenterology and hepatology, neurology, psychiatry, and paediatrics. Wilson's disease invariably results in severe disability and death if untreated. The diagnosis is easily overlooked but if discovered early, effective treatments are available that will prevent or reverse many manifestations of this disorder. Studies have identified the role of copper in disease pathogenesis and clinical, biochemical, and genetic markers that can be useful in diagnosis. There are several chelating agents and zinc salts for medical therapy. Liver transplantation corrects the underlying pathophysiology and can be lifesaving. The discovery of the Wilson's disease gene has opened up a new molecular diagnostic approach, and could form the basis of future gene therapy.", "author" : [ { "dropping-particle" : "", "family" : "Ala", "given" : "Aftab", "non-dropping-particle" : "", "parse-names" : false, "suffix" : "" }, { "dropping-particle" : "", "family" : "Walker", "given" : "Ann P", "non-dropping-particle" : "", "parse-names" : false, "suffix" : "" }, { "dropping-particle" : "", "family" : "Ashkan", "given" : "Keyoumars", "non-dropping-particle" : "", "parse-names" : false, "suffix" : "" }, { "dropping-particle" : "", "family" : "Dooley", "given" : "James S", "non-dropping-particle" : "", "parse-names" : false, "suffix" : "" }, { "dropping-particle" : "", "family" : "Schilsky", "given" : "Michael L", "non-dropping-particle" : "", "parse-names" : false, "suffix" : "" } ], "container-title" : "Lancet", "id" : "ITEM-1", "issue" : "9559", "issued" : { "date-parts" : [ [ "2007" ] ] }, "note" : "wie viele Erkrankte (1:30000 - 1:100000)\nsymptome\nentdecker\n\nDiagnosis\nTherapy\n1956 Penicillamine\n1969 Trientine\nTTM f\u00fcr Tiere bei Cu-Vergiftung\nearly 1960 Zink (presymptomatic, after chelator)\n\nMonitoring of Treatment", "page" : "397-408", "title" : "Wilson's disease", "type" : "article-journal", "volume" : "369" }, "uris" : [ "http://www.mendeley.com/documents/?uuid=679a690d-4f2b-404b-9cd5-f60b65165ece" ] } ], "mendeley" : { "formattedCitation" : "[4]", "plainTextFormattedCitation" : "[4]", "previouslyFormattedCitation" : "[4]" }, "properties" : {  }, "schema" : "https://github.com/citation-style-language/schema/raw/master/csl-citation.json" }</w:instrText>
      </w:r>
      <w:r>
        <w:rPr>
          <w:rFonts w:ascii="Arial" w:hAnsi="Arial" w:cs="Arial"/>
          <w:sz w:val="24"/>
          <w:szCs w:val="24"/>
        </w:rPr>
        <w:fldChar w:fldCharType="separate"/>
      </w:r>
      <w:r w:rsidRPr="00E70C26">
        <w:rPr>
          <w:rFonts w:ascii="Arial" w:hAnsi="Arial" w:cs="Arial"/>
          <w:noProof/>
          <w:sz w:val="24"/>
          <w:szCs w:val="24"/>
        </w:rPr>
        <w:t>[4]</w:t>
      </w:r>
      <w:r>
        <w:rPr>
          <w:rFonts w:ascii="Arial" w:hAnsi="Arial" w:cs="Arial"/>
          <w:sz w:val="24"/>
          <w:szCs w:val="24"/>
        </w:rPr>
        <w:fldChar w:fldCharType="end"/>
      </w:r>
      <w:r w:rsidRPr="00E70C26">
        <w:rPr>
          <w:rFonts w:ascii="Arial" w:hAnsi="Arial" w:cs="Arial"/>
          <w:sz w:val="24"/>
          <w:szCs w:val="24"/>
        </w:rPr>
        <w:t xml:space="preserve"> Therefore, both control animals can be classified correctly as healthy and diseased, </w:t>
      </w:r>
      <w:r w:rsidRPr="00FD1410">
        <w:rPr>
          <w:rFonts w:ascii="Arial" w:hAnsi="Arial" w:cs="Arial"/>
          <w:sz w:val="24"/>
          <w:szCs w:val="24"/>
        </w:rPr>
        <w:t xml:space="preserve">respectively, which demonstrates </w:t>
      </w:r>
      <w:r w:rsidRPr="00E70C26">
        <w:rPr>
          <w:rFonts w:ascii="Arial" w:hAnsi="Arial" w:cs="Arial"/>
          <w:sz w:val="24"/>
          <w:szCs w:val="24"/>
        </w:rPr>
        <w:t>the applicability of the developed LA-ICP-MS method for the analysis of WD tissue samples.</w:t>
      </w:r>
    </w:p>
    <w:p w:rsidR="00AA5521" w:rsidRPr="00E70C26" w:rsidRDefault="00AA5521" w:rsidP="00D34579">
      <w:pPr>
        <w:spacing w:line="480" w:lineRule="auto"/>
        <w:jc w:val="both"/>
        <w:rPr>
          <w:rFonts w:ascii="Arial" w:hAnsi="Arial" w:cs="Arial"/>
          <w:sz w:val="24"/>
          <w:szCs w:val="24"/>
        </w:rPr>
      </w:pPr>
      <w:r w:rsidRPr="00E70C26">
        <w:rPr>
          <w:rFonts w:ascii="Arial" w:hAnsi="Arial" w:cs="Arial"/>
          <w:sz w:val="24"/>
          <w:szCs w:val="24"/>
        </w:rPr>
        <w:t xml:space="preserve">For the healthy </w:t>
      </w:r>
      <w:r w:rsidRPr="00FD1410">
        <w:rPr>
          <w:rFonts w:ascii="Arial" w:hAnsi="Arial" w:cs="Arial"/>
          <w:i/>
          <w:sz w:val="24"/>
          <w:szCs w:val="24"/>
        </w:rPr>
        <w:t>Atp7b</w:t>
      </w:r>
      <w:r w:rsidRPr="00FD1410">
        <w:rPr>
          <w:rFonts w:ascii="Arial" w:hAnsi="Arial" w:cs="Arial"/>
          <w:i/>
          <w:sz w:val="24"/>
          <w:szCs w:val="24"/>
          <w:vertAlign w:val="superscript"/>
        </w:rPr>
        <w:t>+/-</w:t>
      </w:r>
      <w:r w:rsidRPr="00FD1410">
        <w:rPr>
          <w:rFonts w:ascii="Arial" w:hAnsi="Arial" w:cs="Arial"/>
          <w:sz w:val="24"/>
          <w:szCs w:val="24"/>
        </w:rPr>
        <w:t xml:space="preserve"> </w:t>
      </w:r>
      <w:r w:rsidRPr="00E70C26">
        <w:rPr>
          <w:rFonts w:ascii="Arial" w:hAnsi="Arial" w:cs="Arial"/>
          <w:sz w:val="24"/>
          <w:szCs w:val="24"/>
        </w:rPr>
        <w:t>control, iron concentrations up to 500 µg/g can be found with higher concentrations next to blood vessels</w:t>
      </w:r>
      <w:r w:rsidRPr="00FD1410">
        <w:rPr>
          <w:rFonts w:ascii="Arial" w:hAnsi="Arial" w:cs="Arial"/>
          <w:sz w:val="24"/>
          <w:szCs w:val="24"/>
        </w:rPr>
        <w:t xml:space="preserve">. This finding may be explained </w:t>
      </w:r>
      <w:r w:rsidRPr="00E70C26">
        <w:rPr>
          <w:rFonts w:ascii="Arial" w:hAnsi="Arial" w:cs="Arial"/>
          <w:sz w:val="24"/>
          <w:szCs w:val="24"/>
        </w:rPr>
        <w:t xml:space="preserve">by remaining blood cells containing hemoglobin in these areas. In contrast, </w:t>
      </w:r>
      <w:r>
        <w:rPr>
          <w:rFonts w:ascii="Arial" w:hAnsi="Arial" w:cs="Arial"/>
          <w:sz w:val="24"/>
          <w:szCs w:val="24"/>
        </w:rPr>
        <w:t xml:space="preserve">an elevated </w:t>
      </w:r>
      <w:r w:rsidRPr="00E70C26">
        <w:rPr>
          <w:rFonts w:ascii="Arial" w:hAnsi="Arial" w:cs="Arial"/>
          <w:sz w:val="24"/>
          <w:szCs w:val="24"/>
        </w:rPr>
        <w:t xml:space="preserve">liver iron level of the untreated, </w:t>
      </w:r>
      <w:r w:rsidRPr="00327C70">
        <w:rPr>
          <w:rFonts w:ascii="Arial" w:hAnsi="Arial" w:cs="Arial"/>
          <w:sz w:val="24"/>
          <w:szCs w:val="24"/>
        </w:rPr>
        <w:t xml:space="preserve">diseased </w:t>
      </w:r>
      <w:r w:rsidRPr="00327C70">
        <w:rPr>
          <w:rFonts w:ascii="Arial" w:hAnsi="Arial" w:cs="Arial"/>
          <w:i/>
          <w:sz w:val="24"/>
          <w:szCs w:val="24"/>
        </w:rPr>
        <w:t>Atp7b</w:t>
      </w:r>
      <w:r w:rsidRPr="00327C70">
        <w:rPr>
          <w:rFonts w:ascii="Arial" w:hAnsi="Arial" w:cs="Arial"/>
          <w:i/>
          <w:sz w:val="24"/>
          <w:szCs w:val="24"/>
          <w:vertAlign w:val="superscript"/>
        </w:rPr>
        <w:t>-/-</w:t>
      </w:r>
      <w:r w:rsidRPr="00327C70">
        <w:rPr>
          <w:rFonts w:ascii="Arial" w:hAnsi="Arial" w:cs="Arial"/>
          <w:sz w:val="24"/>
          <w:szCs w:val="24"/>
        </w:rPr>
        <w:t xml:space="preserve"> animal </w:t>
      </w:r>
      <w:r w:rsidRPr="00E70C26">
        <w:rPr>
          <w:rFonts w:ascii="Arial" w:hAnsi="Arial" w:cs="Arial"/>
          <w:sz w:val="24"/>
          <w:szCs w:val="24"/>
        </w:rPr>
        <w:t>with concentrations up to 1000 µg/g</w:t>
      </w:r>
      <w:r>
        <w:rPr>
          <w:rFonts w:ascii="Arial" w:hAnsi="Arial" w:cs="Arial"/>
          <w:sz w:val="24"/>
          <w:szCs w:val="24"/>
        </w:rPr>
        <w:t xml:space="preserve"> was observed</w:t>
      </w:r>
      <w:r w:rsidRPr="00E70C26">
        <w:rPr>
          <w:rFonts w:ascii="Arial" w:hAnsi="Arial" w:cs="Arial"/>
          <w:sz w:val="24"/>
          <w:szCs w:val="24"/>
        </w:rPr>
        <w:t xml:space="preserve">. </w:t>
      </w:r>
    </w:p>
    <w:p w:rsidR="00AA5521" w:rsidRPr="00327C70" w:rsidRDefault="00AA5521" w:rsidP="00C90566">
      <w:pPr>
        <w:spacing w:line="480" w:lineRule="auto"/>
        <w:jc w:val="both"/>
        <w:rPr>
          <w:rFonts w:ascii="Arial" w:hAnsi="Arial" w:cs="Arial"/>
          <w:sz w:val="24"/>
          <w:szCs w:val="24"/>
        </w:rPr>
      </w:pPr>
      <w:r w:rsidRPr="00E70C26">
        <w:rPr>
          <w:rFonts w:ascii="Arial" w:hAnsi="Arial" w:cs="Arial"/>
          <w:sz w:val="24"/>
          <w:szCs w:val="24"/>
        </w:rPr>
        <w:t xml:space="preserve">The zinc images show a uniform distribution for both control samples, but lower concentrations around the edges of the tissue samples can be </w:t>
      </w:r>
      <w:r w:rsidRPr="00327C70">
        <w:rPr>
          <w:rFonts w:ascii="Arial" w:hAnsi="Arial" w:cs="Arial"/>
          <w:sz w:val="24"/>
          <w:szCs w:val="24"/>
        </w:rPr>
        <w:t>found. This indicates a possible washout effect of this element during sample preparation steps in these edge areas. However, this phenomenon was not observed with respect to the iron and copper distributions. A</w:t>
      </w:r>
      <w:r>
        <w:rPr>
          <w:rFonts w:ascii="Arial" w:hAnsi="Arial" w:cs="Arial"/>
          <w:sz w:val="24"/>
          <w:szCs w:val="24"/>
        </w:rPr>
        <w:t xml:space="preserve"> plausible</w:t>
      </w:r>
      <w:r w:rsidRPr="00327C70">
        <w:rPr>
          <w:rFonts w:ascii="Arial" w:hAnsi="Arial" w:cs="Arial"/>
          <w:sz w:val="24"/>
          <w:szCs w:val="24"/>
        </w:rPr>
        <w:t xml:space="preserve"> explanation may be a possible binding of iron and copper ions to insoluble proteins, whereas zinc could be either present as free ion or bound in water- or alcohol-soluble complexes. To avoid the washout of zinc, cryo samples instead of paraffinated samples could be used.</w:t>
      </w:r>
    </w:p>
    <w:p w:rsidR="00AA5521" w:rsidRPr="00E70C26" w:rsidRDefault="00AA5521" w:rsidP="00C90566">
      <w:pPr>
        <w:spacing w:line="480" w:lineRule="auto"/>
        <w:jc w:val="both"/>
        <w:rPr>
          <w:rFonts w:ascii="Arial" w:hAnsi="Arial" w:cs="Arial"/>
          <w:sz w:val="24"/>
          <w:szCs w:val="24"/>
        </w:rPr>
      </w:pPr>
      <w:r w:rsidRPr="00E70C26">
        <w:rPr>
          <w:rFonts w:ascii="Arial" w:hAnsi="Arial" w:cs="Arial"/>
          <w:sz w:val="24"/>
          <w:szCs w:val="24"/>
        </w:rPr>
        <w:t xml:space="preserve">Figure 2 shows the comparison of the iron, copper and zinc distributions for the animals treated with different MB concentration as well as the drug holiday animal. For all three samples, the iron and zinc distributions look similar to the </w:t>
      </w:r>
      <w:r>
        <w:rPr>
          <w:rFonts w:ascii="Arial" w:hAnsi="Arial" w:cs="Arial"/>
          <w:sz w:val="24"/>
          <w:szCs w:val="24"/>
        </w:rPr>
        <w:t xml:space="preserve">untreated </w:t>
      </w:r>
      <w:r w:rsidRPr="00327C70">
        <w:rPr>
          <w:rFonts w:ascii="Arial" w:hAnsi="Arial" w:cs="Arial"/>
          <w:i/>
          <w:sz w:val="24"/>
          <w:szCs w:val="24"/>
        </w:rPr>
        <w:t>Atp7b</w:t>
      </w:r>
      <w:r w:rsidRPr="00327C70">
        <w:rPr>
          <w:rFonts w:ascii="Arial" w:hAnsi="Arial" w:cs="Arial"/>
          <w:i/>
          <w:sz w:val="24"/>
          <w:szCs w:val="24"/>
          <w:vertAlign w:val="superscript"/>
        </w:rPr>
        <w:t>-/-</w:t>
      </w:r>
      <w:r w:rsidRPr="00327C70">
        <w:rPr>
          <w:rFonts w:ascii="Arial" w:hAnsi="Arial" w:cs="Arial"/>
          <w:sz w:val="24"/>
          <w:szCs w:val="24"/>
        </w:rPr>
        <w:t xml:space="preserve"> control samples </w:t>
      </w:r>
      <w:r w:rsidRPr="00E70C26">
        <w:rPr>
          <w:rFonts w:ascii="Arial" w:hAnsi="Arial" w:cs="Arial"/>
          <w:sz w:val="24"/>
          <w:szCs w:val="24"/>
        </w:rPr>
        <w:t>and the concentrations are in the same range up to 1000 µg/g for iron and up to 75 µg/g for zinc. The washout effect observed before is differently pronounced</w:t>
      </w:r>
      <w:r>
        <w:rPr>
          <w:rFonts w:ascii="Arial" w:hAnsi="Arial" w:cs="Arial"/>
          <w:sz w:val="24"/>
          <w:szCs w:val="24"/>
        </w:rPr>
        <w:t>,</w:t>
      </w:r>
      <w:r w:rsidRPr="00E70C26">
        <w:rPr>
          <w:rFonts w:ascii="Arial" w:hAnsi="Arial" w:cs="Arial"/>
          <w:sz w:val="24"/>
          <w:szCs w:val="24"/>
        </w:rPr>
        <w:t xml:space="preserve"> but observable in the high MB dose and the drug holiday sample</w:t>
      </w:r>
      <w:r w:rsidRPr="001510CA">
        <w:rPr>
          <w:rFonts w:ascii="Arial" w:hAnsi="Arial" w:cs="Arial"/>
          <w:sz w:val="24"/>
          <w:szCs w:val="24"/>
        </w:rPr>
        <w:t>. These results show</w:t>
      </w:r>
      <w:r w:rsidRPr="00E70C26">
        <w:rPr>
          <w:rFonts w:ascii="Arial" w:hAnsi="Arial" w:cs="Arial"/>
          <w:sz w:val="24"/>
          <w:szCs w:val="24"/>
        </w:rPr>
        <w:t xml:space="preserve"> that the MB treatment does not affect the </w:t>
      </w:r>
      <w:r>
        <w:rPr>
          <w:rFonts w:ascii="Arial" w:hAnsi="Arial" w:cs="Arial"/>
          <w:sz w:val="24"/>
          <w:szCs w:val="24"/>
        </w:rPr>
        <w:t xml:space="preserve">iron and zinc </w:t>
      </w:r>
      <w:r w:rsidRPr="00E70C26">
        <w:rPr>
          <w:rFonts w:ascii="Arial" w:hAnsi="Arial" w:cs="Arial"/>
          <w:sz w:val="24"/>
          <w:szCs w:val="24"/>
        </w:rPr>
        <w:t xml:space="preserve">concentration and distribution in the liver. For the animal treated with the lower MB dose of 62.5 mg/kg bodyweight, copper concentrations up to 600 µg/g with an average concentration of 318 µg/g can be found, which is a significant decrease in comparison </w:t>
      </w:r>
      <w:r>
        <w:rPr>
          <w:rFonts w:ascii="Arial" w:hAnsi="Arial" w:cs="Arial"/>
          <w:sz w:val="24"/>
          <w:szCs w:val="24"/>
        </w:rPr>
        <w:t>to</w:t>
      </w:r>
      <w:r w:rsidRPr="00E70C26">
        <w:rPr>
          <w:rFonts w:ascii="Arial" w:hAnsi="Arial" w:cs="Arial"/>
          <w:sz w:val="24"/>
          <w:szCs w:val="24"/>
        </w:rPr>
        <w:t xml:space="preserve"> the untreated </w:t>
      </w:r>
      <w:r w:rsidRPr="001510CA">
        <w:rPr>
          <w:rFonts w:ascii="Arial" w:hAnsi="Arial" w:cs="Arial"/>
          <w:i/>
          <w:sz w:val="24"/>
          <w:szCs w:val="24"/>
        </w:rPr>
        <w:t>Atp7b</w:t>
      </w:r>
      <w:r w:rsidRPr="001510CA">
        <w:rPr>
          <w:rFonts w:ascii="Arial" w:hAnsi="Arial" w:cs="Arial"/>
          <w:i/>
          <w:sz w:val="24"/>
          <w:szCs w:val="24"/>
          <w:vertAlign w:val="superscript"/>
        </w:rPr>
        <w:t>-/-</w:t>
      </w:r>
      <w:r w:rsidRPr="001510CA">
        <w:rPr>
          <w:rFonts w:ascii="Arial" w:hAnsi="Arial" w:cs="Arial"/>
          <w:sz w:val="24"/>
          <w:szCs w:val="24"/>
        </w:rPr>
        <w:t xml:space="preserve"> </w:t>
      </w:r>
      <w:r w:rsidRPr="00E70C26">
        <w:rPr>
          <w:rFonts w:ascii="Arial" w:hAnsi="Arial" w:cs="Arial"/>
          <w:sz w:val="24"/>
          <w:szCs w:val="24"/>
        </w:rPr>
        <w:t xml:space="preserve">animal. </w:t>
      </w:r>
      <w:r w:rsidRPr="00E855C1">
        <w:rPr>
          <w:rFonts w:ascii="Arial" w:hAnsi="Arial" w:cs="Arial"/>
          <w:sz w:val="24"/>
          <w:szCs w:val="24"/>
        </w:rPr>
        <w:t xml:space="preserve">Interestingly, a non-homogenous copper distribution was observed in the MB treated livers with various small copper hotspots. A similar </w:t>
      </w:r>
      <w:r w:rsidRPr="00E70C26">
        <w:rPr>
          <w:rFonts w:ascii="Arial" w:hAnsi="Arial" w:cs="Arial"/>
          <w:sz w:val="24"/>
          <w:szCs w:val="24"/>
        </w:rPr>
        <w:t xml:space="preserve">observation can </w:t>
      </w:r>
      <w:r>
        <w:rPr>
          <w:rFonts w:ascii="Arial" w:hAnsi="Arial" w:cs="Arial"/>
          <w:sz w:val="24"/>
          <w:szCs w:val="24"/>
        </w:rPr>
        <w:t xml:space="preserve">be </w:t>
      </w:r>
      <w:r w:rsidRPr="00E70C26">
        <w:rPr>
          <w:rFonts w:ascii="Arial" w:hAnsi="Arial" w:cs="Arial"/>
          <w:sz w:val="24"/>
          <w:szCs w:val="24"/>
        </w:rPr>
        <w:t xml:space="preserve">made for the animal treated with the higher MB dose of 150 mg/kg bodyweight. Copper </w:t>
      </w:r>
      <w:r w:rsidRPr="00E855C1">
        <w:rPr>
          <w:rFonts w:ascii="Arial" w:hAnsi="Arial" w:cs="Arial"/>
          <w:sz w:val="24"/>
          <w:szCs w:val="24"/>
        </w:rPr>
        <w:t xml:space="preserve">concentrations up to 300 µg/g with an average of 98 µg/g were found for this tissue sample, demonstrating an even more profound copper depletion as compared to the lower MB dose treated animal liver. The </w:t>
      </w:r>
      <w:r w:rsidRPr="00E70C26">
        <w:rPr>
          <w:rFonts w:ascii="Arial" w:hAnsi="Arial" w:cs="Arial"/>
          <w:sz w:val="24"/>
          <w:szCs w:val="24"/>
        </w:rPr>
        <w:t xml:space="preserve">observed copper distribution is inhomogeneous here as well with </w:t>
      </w:r>
      <w:r>
        <w:rPr>
          <w:rFonts w:ascii="Arial" w:hAnsi="Arial" w:cs="Arial"/>
          <w:sz w:val="24"/>
          <w:szCs w:val="24"/>
        </w:rPr>
        <w:t xml:space="preserve">the </w:t>
      </w:r>
      <w:r w:rsidRPr="00E855C1">
        <w:rPr>
          <w:rFonts w:ascii="Arial" w:hAnsi="Arial" w:cs="Arial"/>
          <w:sz w:val="24"/>
          <w:szCs w:val="24"/>
        </w:rPr>
        <w:t xml:space="preserve">lowest </w:t>
      </w:r>
      <w:r w:rsidRPr="00E70C26">
        <w:rPr>
          <w:rFonts w:ascii="Arial" w:hAnsi="Arial" w:cs="Arial"/>
          <w:sz w:val="24"/>
          <w:szCs w:val="24"/>
        </w:rPr>
        <w:t xml:space="preserve">concentrations directly next to blood vessels, </w:t>
      </w:r>
      <w:r w:rsidRPr="00E855C1">
        <w:rPr>
          <w:rFonts w:ascii="Arial" w:hAnsi="Arial" w:cs="Arial"/>
          <w:sz w:val="24"/>
          <w:szCs w:val="24"/>
        </w:rPr>
        <w:t xml:space="preserve">possibly </w:t>
      </w:r>
      <w:r w:rsidRPr="00E70C26">
        <w:rPr>
          <w:rFonts w:ascii="Arial" w:hAnsi="Arial" w:cs="Arial"/>
          <w:sz w:val="24"/>
          <w:szCs w:val="24"/>
        </w:rPr>
        <w:t>indicating a</w:t>
      </w:r>
      <w:r>
        <w:rPr>
          <w:rFonts w:ascii="Arial" w:hAnsi="Arial" w:cs="Arial"/>
          <w:sz w:val="24"/>
          <w:szCs w:val="24"/>
        </w:rPr>
        <w:t xml:space="preserve"> copper </w:t>
      </w:r>
      <w:r w:rsidRPr="00E70C26">
        <w:rPr>
          <w:rFonts w:ascii="Arial" w:hAnsi="Arial" w:cs="Arial"/>
          <w:sz w:val="24"/>
          <w:szCs w:val="24"/>
        </w:rPr>
        <w:t xml:space="preserve">extraction effect through MB containing blood. This phenomenon was already observed for the treatment with the established drug </w:t>
      </w:r>
      <w:r w:rsidRPr="00676DB2">
        <w:rPr>
          <w:rFonts w:ascii="Arial" w:hAnsi="Arial" w:cs="Arial"/>
          <w:caps/>
          <w:sz w:val="24"/>
          <w:szCs w:val="24"/>
        </w:rPr>
        <w:t>d</w:t>
      </w:r>
      <w:r w:rsidRPr="00E70C26">
        <w:rPr>
          <w:rFonts w:ascii="Arial" w:hAnsi="Arial" w:cs="Arial"/>
          <w:sz w:val="24"/>
          <w:szCs w:val="24"/>
        </w:rPr>
        <w:t>-PA.</w:t>
      </w:r>
      <w:r>
        <w:rPr>
          <w:rFonts w:ascii="Arial" w:hAnsi="Arial" w:cs="Arial"/>
          <w:sz w:val="24"/>
          <w:szCs w:val="24"/>
        </w:rPr>
        <w:fldChar w:fldCharType="begin" w:fldLock="1"/>
      </w:r>
      <w:r>
        <w:rPr>
          <w:rFonts w:ascii="Arial" w:hAnsi="Arial" w:cs="Arial"/>
          <w:sz w:val="24"/>
          <w:szCs w:val="24"/>
        </w:rPr>
        <w:instrText>ADDIN CSL_CITATION { "citationItems" : [ { "id" : "ITEM-1", "itemData" : { "DOI" : "10.1016/j.jtemb.2017.05.008", "ISSN" : "18783252", "abstract" : "At present, the copper chelator D-penicillamine (DPA) is the first-line therapy of Wilson's disease (WD), which is characterized by an excessive copper overload. Lifelong DPA treatments aim to reduce the amount of detrimental excess copper retention in the liver and other organs. Although DPA shows beneficial effect in many patients, it may cause severe adverse effects. Despite several years of copper chelation therapy, discontinuation of DPA therapy can be linked to a rapidly progressing liver failure, indicating a high residual liver copper load. In order to investigate the spatial distribution of remaining copper and additional elements, such as zinc and iron, in rat and human liver samples after DPA treatment, a high resolution (spotsize of 10\u00a0\u03bcm) laser ablation-inductively coupled plasma-mass spectrometry (LA\u2010ICP\u2010MS) imaging method was applied. Untreated LPP\u2010/\u2212 rats, an established animal model for WD, appeared with a high overall copper concentration and a copper distribution of hotspots distributed over the liver tissue. In contrast, a low (&gt;2-fold decreased) overall copper concentration was detected in liver of DPA treated animals. Importantly, however, copper distribution was highly inhomogeneous with lowest concentrations in direct proximity to blood vessels, as observed using novel zonal analysis. A human liver needle biopsy of a DPA treated WD patient substantiated the finding of an inhomogeneous copper deposition upon chelation therapy. In contrast, comparatively homogenous distributions of zinc and iron were observed. Our study indicates that a high resolution LA\u2010ICP\u2010MS analysis of liver samples is excellently suited to follow efficacy of chelator therapy in WD patients.", "author" : [ { "dropping-particle" : "", "family" : "Hachm\u00f6ller", "given" : "Oliver", "non-dropping-particle" : "", "parse-names" : false, "suffix" : "" }, { "dropping-particle" : "", "family" : "Zibert", "given" : "Andree", "non-dropping-particle" : "", "parse-names" : false, "suffix" : "" }, { "dropping-particle" : "", "family" : "Zischka", "given" : "Hans", "non-dropping-particle" : "", "parse-names" : false, "suffix" : "" }, { "dropping-particle" : "", "family" : "Sperling", "given" : "Michael", "non-dropping-particle" : "", "parse-names" : false, "suffix" : "" }, { "dropping-particle" : "", "family" : "Groba", "given" : "Sara Reinartz", "non-dropping-particle" : "", "parse-names" : false, "suffix" : "" }, { "dropping-particle" : "", "family" : "Gr\u00fcnewald", "given" : "Inga", "non-dropping-particle" : "", "parse-names" : false, "suffix" : "" }, { "dropping-particle" : "", "family" : "Wardelmann", "given" : "Eva", "non-dropping-particle" : "", "parse-names" : false, "suffix" : "" }, { "dropping-particle" : "", "family" : "Schmidt", "given" : "H. H.J.", "non-dropping-particle" : "", "parse-names" : false, "suffix" : "" }, { "dropping-particle" : "", "family" : "Hartmut", "given" : "H. J.", "non-dropping-particle" : "", "parse-names" : false, "suffix" : "" } ], "container-title" : "Journal of Trace Elements in Medicine and Biology", "id" : "ITEM-1", "issue" : "May", "issued" : { "date-parts" : [ [ "2017" ] ] }, "page" : "26-31", "publisher" : "Elsevier", "title" : "Spatial investigation of the elemental distribution in Wilson's disease liver after D-penicillamine treatment by LA-ICP-MS", "type" : "article-journal", "volume" : "44" }, "uris" : [ "http://www.mendeley.com/documents/?uuid=26d37340-6f2b-4a9f-9889-a9ffde5c1675" ] } ], "mendeley" : { "formattedCitation" : "[12]", "plainTextFormattedCitation" : "[12]", "previouslyFormattedCitation" : "[12]" }, "properties" : {  }, "schema" : "https://github.com/citation-style-language/schema/raw/master/csl-citation.json" }</w:instrText>
      </w:r>
      <w:r>
        <w:rPr>
          <w:rFonts w:ascii="Arial" w:hAnsi="Arial" w:cs="Arial"/>
          <w:sz w:val="24"/>
          <w:szCs w:val="24"/>
        </w:rPr>
        <w:fldChar w:fldCharType="separate"/>
      </w:r>
      <w:r w:rsidRPr="00283B4A">
        <w:rPr>
          <w:rFonts w:ascii="Arial" w:hAnsi="Arial" w:cs="Arial"/>
          <w:noProof/>
          <w:sz w:val="24"/>
          <w:szCs w:val="24"/>
        </w:rPr>
        <w:t>[12]</w:t>
      </w:r>
      <w:r>
        <w:rPr>
          <w:rFonts w:ascii="Arial" w:hAnsi="Arial" w:cs="Arial"/>
          <w:sz w:val="24"/>
          <w:szCs w:val="24"/>
        </w:rPr>
        <w:fldChar w:fldCharType="end"/>
      </w:r>
      <w:r w:rsidRPr="00E70C26">
        <w:rPr>
          <w:rFonts w:ascii="Arial" w:hAnsi="Arial" w:cs="Arial"/>
          <w:sz w:val="24"/>
          <w:szCs w:val="24"/>
        </w:rPr>
        <w:t xml:space="preserve"> </w:t>
      </w:r>
      <w:r>
        <w:rPr>
          <w:rFonts w:ascii="Arial" w:hAnsi="Arial" w:cs="Arial"/>
          <w:sz w:val="24"/>
          <w:szCs w:val="24"/>
        </w:rPr>
        <w:t xml:space="preserve">Importantly, in comparison </w:t>
      </w:r>
      <w:r w:rsidRPr="00E70C26">
        <w:rPr>
          <w:rFonts w:ascii="Arial" w:hAnsi="Arial" w:cs="Arial"/>
          <w:sz w:val="24"/>
          <w:szCs w:val="24"/>
        </w:rPr>
        <w:t xml:space="preserve">to the established treatment with </w:t>
      </w:r>
      <w:r w:rsidRPr="00676DB2">
        <w:rPr>
          <w:rFonts w:ascii="Arial" w:hAnsi="Arial" w:cs="Arial"/>
          <w:caps/>
          <w:sz w:val="24"/>
          <w:szCs w:val="24"/>
        </w:rPr>
        <w:t>d</w:t>
      </w:r>
      <w:r w:rsidRPr="00E70C26">
        <w:rPr>
          <w:rFonts w:ascii="Arial" w:hAnsi="Arial" w:cs="Arial"/>
          <w:smallCaps/>
          <w:sz w:val="24"/>
          <w:szCs w:val="24"/>
        </w:rPr>
        <w:t>-</w:t>
      </w:r>
      <w:r w:rsidRPr="00B73EE3">
        <w:rPr>
          <w:rFonts w:ascii="Arial" w:hAnsi="Arial" w:cs="Arial"/>
          <w:sz w:val="24"/>
          <w:szCs w:val="24"/>
        </w:rPr>
        <w:t xml:space="preserve">PA, which led to an average copper concentration </w:t>
      </w:r>
      <w:r>
        <w:rPr>
          <w:rFonts w:ascii="Arial" w:hAnsi="Arial" w:cs="Arial"/>
          <w:sz w:val="24"/>
          <w:szCs w:val="24"/>
        </w:rPr>
        <w:t>b</w:t>
      </w:r>
      <w:r w:rsidRPr="00B73EE3">
        <w:rPr>
          <w:rFonts w:ascii="Arial" w:hAnsi="Arial" w:cs="Arial"/>
          <w:sz w:val="24"/>
          <w:szCs w:val="24"/>
        </w:rPr>
        <w:t>etween 170 and 190 µg/g</w:t>
      </w:r>
      <w:r w:rsidRPr="00E70C26">
        <w:rPr>
          <w:rFonts w:ascii="Arial" w:hAnsi="Arial" w:cs="Arial"/>
          <w:sz w:val="24"/>
          <w:szCs w:val="24"/>
        </w:rPr>
        <w:t xml:space="preserve">, </w:t>
      </w:r>
      <w:r>
        <w:rPr>
          <w:rFonts w:ascii="Arial" w:hAnsi="Arial" w:cs="Arial"/>
          <w:sz w:val="24"/>
          <w:szCs w:val="24"/>
        </w:rPr>
        <w:t xml:space="preserve">a lower </w:t>
      </w:r>
      <w:r w:rsidRPr="00E70C26">
        <w:rPr>
          <w:rFonts w:ascii="Arial" w:hAnsi="Arial" w:cs="Arial"/>
          <w:sz w:val="24"/>
          <w:szCs w:val="24"/>
        </w:rPr>
        <w:t xml:space="preserve">liver copper concentration after the high dose </w:t>
      </w:r>
      <w:r w:rsidRPr="006F6C78">
        <w:rPr>
          <w:rFonts w:ascii="Arial" w:hAnsi="Arial" w:cs="Arial"/>
          <w:sz w:val="24"/>
          <w:szCs w:val="24"/>
        </w:rPr>
        <w:t xml:space="preserve">treatment was found. </w:t>
      </w:r>
      <w:r>
        <w:rPr>
          <w:rFonts w:ascii="Arial" w:hAnsi="Arial" w:cs="Arial"/>
          <w:sz w:val="24"/>
          <w:szCs w:val="24"/>
        </w:rPr>
        <w:t>This increased MB induced decoppering was observed de</w:t>
      </w:r>
      <w:r w:rsidRPr="006F6C78">
        <w:rPr>
          <w:rFonts w:ascii="Arial" w:hAnsi="Arial" w:cs="Arial"/>
          <w:sz w:val="24"/>
          <w:szCs w:val="24"/>
        </w:rPr>
        <w:t>sp</w:t>
      </w:r>
      <w:r>
        <w:rPr>
          <w:rFonts w:ascii="Arial" w:hAnsi="Arial" w:cs="Arial"/>
          <w:sz w:val="24"/>
          <w:szCs w:val="24"/>
        </w:rPr>
        <w:t>ite the fact that</w:t>
      </w:r>
      <w:r w:rsidRPr="00E70C26">
        <w:rPr>
          <w:rFonts w:ascii="Arial" w:hAnsi="Arial" w:cs="Arial"/>
          <w:sz w:val="24"/>
          <w:szCs w:val="24"/>
        </w:rPr>
        <w:t xml:space="preserve"> the </w:t>
      </w:r>
      <w:r w:rsidRPr="00676DB2">
        <w:rPr>
          <w:rFonts w:ascii="Arial" w:hAnsi="Arial" w:cs="Arial"/>
          <w:caps/>
          <w:sz w:val="24"/>
          <w:szCs w:val="24"/>
        </w:rPr>
        <w:t>d-</w:t>
      </w:r>
      <w:r w:rsidRPr="00E70C26">
        <w:rPr>
          <w:rFonts w:ascii="Arial" w:hAnsi="Arial" w:cs="Arial"/>
          <w:smallCaps/>
          <w:sz w:val="24"/>
          <w:szCs w:val="24"/>
        </w:rPr>
        <w:t>PA</w:t>
      </w:r>
      <w:r w:rsidRPr="00E70C26">
        <w:rPr>
          <w:rFonts w:ascii="Arial" w:hAnsi="Arial" w:cs="Arial"/>
          <w:sz w:val="24"/>
          <w:szCs w:val="24"/>
        </w:rPr>
        <w:t xml:space="preserve"> treatment of </w:t>
      </w:r>
      <w:r>
        <w:rPr>
          <w:rFonts w:ascii="Arial" w:hAnsi="Arial" w:cs="Arial"/>
          <w:i/>
          <w:sz w:val="24"/>
          <w:szCs w:val="24"/>
        </w:rPr>
        <w:t>Atp7b</w:t>
      </w:r>
      <w:r w:rsidRPr="006F6C78">
        <w:rPr>
          <w:rFonts w:ascii="Arial" w:hAnsi="Arial" w:cs="Arial"/>
          <w:i/>
          <w:sz w:val="24"/>
          <w:szCs w:val="24"/>
          <w:vertAlign w:val="superscript"/>
        </w:rPr>
        <w:noBreakHyphen/>
        <w:t>/</w:t>
      </w:r>
      <w:r w:rsidRPr="006F6C78">
        <w:rPr>
          <w:rFonts w:ascii="Arial" w:hAnsi="Arial" w:cs="Arial"/>
          <w:i/>
          <w:sz w:val="24"/>
          <w:szCs w:val="24"/>
          <w:vertAlign w:val="superscript"/>
        </w:rPr>
        <w:noBreakHyphen/>
      </w:r>
      <w:r w:rsidRPr="008C18E8">
        <w:rPr>
          <w:rFonts w:ascii="Arial" w:hAnsi="Arial" w:cs="Arial"/>
          <w:sz w:val="24"/>
          <w:szCs w:val="24"/>
        </w:rPr>
        <w:t xml:space="preserve"> rats</w:t>
      </w:r>
      <w:r w:rsidRPr="00E70C26">
        <w:rPr>
          <w:rFonts w:ascii="Arial" w:hAnsi="Arial" w:cs="Arial"/>
          <w:sz w:val="24"/>
          <w:szCs w:val="24"/>
        </w:rPr>
        <w:t xml:space="preserve"> </w:t>
      </w:r>
      <w:r>
        <w:rPr>
          <w:rFonts w:ascii="Arial" w:hAnsi="Arial" w:cs="Arial"/>
          <w:sz w:val="24"/>
          <w:szCs w:val="24"/>
        </w:rPr>
        <w:t>lasted</w:t>
      </w:r>
      <w:r w:rsidRPr="00E70C26">
        <w:rPr>
          <w:rFonts w:ascii="Arial" w:hAnsi="Arial" w:cs="Arial"/>
          <w:sz w:val="24"/>
          <w:szCs w:val="24"/>
        </w:rPr>
        <w:t xml:space="preserve"> 36 and 37 days,</w:t>
      </w:r>
      <w:r>
        <w:rPr>
          <w:rFonts w:ascii="Arial" w:hAnsi="Arial" w:cs="Arial"/>
          <w:sz w:val="24"/>
          <w:szCs w:val="24"/>
        </w:rPr>
        <w:fldChar w:fldCharType="begin" w:fldLock="1"/>
      </w:r>
      <w:r>
        <w:rPr>
          <w:rFonts w:ascii="Arial" w:hAnsi="Arial" w:cs="Arial"/>
          <w:sz w:val="24"/>
          <w:szCs w:val="24"/>
        </w:rPr>
        <w:instrText>ADDIN CSL_CITATION { "citationItems" : [ { "id" : "ITEM-1", "itemData" : { "DOI" : "10.1016/j.jtemb.2017.05.008", "ISSN" : "18783252", "abstract" : "At present, the copper chelator D-penicillamine (DPA) is the first-line therapy of Wilson's disease (WD), which is characterized by an excessive copper overload. Lifelong DPA treatments aim to reduce the amount of detrimental excess copper retention in the liver and other organs. Although DPA shows beneficial effect in many patients, it may cause severe adverse effects. Despite several years of copper chelation therapy, discontinuation of DPA therapy can be linked to a rapidly progressing liver failure, indicating a high residual liver copper load. In order to investigate the spatial distribution of remaining copper and additional elements, such as zinc and iron, in rat and human liver samples after DPA treatment, a high resolution (spotsize of 10\u00a0\u03bcm) laser ablation-inductively coupled plasma-mass spectrometry (LA\u2010ICP\u2010MS) imaging method was applied. Untreated LPP\u2010/\u2212 rats, an established animal model for WD, appeared with a high overall copper concentration and a copper distribution of hotspots distributed over the liver tissue. In contrast, a low (&gt;2-fold decreased) overall copper concentration was detected in liver of DPA treated animals. Importantly, however, copper distribution was highly inhomogeneous with lowest concentrations in direct proximity to blood vessels, as observed using novel zonal analysis. A human liver needle biopsy of a DPA treated WD patient substantiated the finding of an inhomogeneous copper deposition upon chelation therapy. In contrast, comparatively homogenous distributions of zinc and iron were observed. Our study indicates that a high resolution LA\u2010ICP\u2010MS analysis of liver samples is excellently suited to follow efficacy of chelator therapy in WD patients.", "author" : [ { "dropping-particle" : "", "family" : "Hachm\u00f6ller", "given" : "Oliver", "non-dropping-particle" : "", "parse-names" : false, "suffix" : "" }, { "dropping-particle" : "", "family" : "Zibert", "given" : "Andree", "non-dropping-particle" : "", "parse-names" : false, "suffix" : "" }, { "dropping-particle" : "", "family" : "Zischka", "given" : "Hans", "non-dropping-particle" : "", "parse-names" : false, "suffix" : "" }, { "dropping-particle" : "", "family" : "Sperling", "given" : "Michael", "non-dropping-particle" : "", "parse-names" : false, "suffix" : "" }, { "dropping-particle" : "", "family" : "Groba", "given" : "Sara Reinartz", "non-dropping-particle" : "", "parse-names" : false, "suffix" : "" }, { "dropping-particle" : "", "family" : "Gr\u00fcnewald", "given" : "Inga", "non-dropping-particle" : "", "parse-names" : false, "suffix" : "" }, { "dropping-particle" : "", "family" : "Wardelmann", "given" : "Eva", "non-dropping-particle" : "", "parse-names" : false, "suffix" : "" }, { "dropping-particle" : "", "family" : "Schmidt", "given" : "H. H.J.", "non-dropping-particle" : "", "parse-names" : false, "suffix" : "" }, { "dropping-particle" : "", "family" : "Hartmut", "given" : "H. J.", "non-dropping-particle" : "", "parse-names" : false, "suffix" : "" } ], "container-title" : "Journal of Trace Elements in Medicine and Biology", "id" : "ITEM-1", "issue" : "May", "issued" : { "date-parts" : [ [ "2017" ] ] }, "page" : "26-31", "publisher" : "Elsevier", "title" : "Spatial investigation of the elemental distribution in Wilson's disease liver after D-penicillamine treatment by LA-ICP-MS", "type" : "article-journal", "volume" : "44" }, "uris" : [ "http://www.mendeley.com/documents/?uuid=26d37340-6f2b-4a9f-9889-a9ffde5c1675" ] } ], "mendeley" : { "formattedCitation" : "[12]", "plainTextFormattedCitation" : "[12]", "previouslyFormattedCitation" : "[12]" }, "properties" : {  }, "schema" : "https://github.com/citation-style-language/schema/raw/master/csl-citation.json" }</w:instrText>
      </w:r>
      <w:r>
        <w:rPr>
          <w:rFonts w:ascii="Arial" w:hAnsi="Arial" w:cs="Arial"/>
          <w:sz w:val="24"/>
          <w:szCs w:val="24"/>
        </w:rPr>
        <w:fldChar w:fldCharType="separate"/>
      </w:r>
      <w:r w:rsidRPr="00283B4A">
        <w:rPr>
          <w:rFonts w:ascii="Arial" w:hAnsi="Arial" w:cs="Arial"/>
          <w:noProof/>
          <w:sz w:val="24"/>
          <w:szCs w:val="24"/>
        </w:rPr>
        <w:t>[12]</w:t>
      </w:r>
      <w:r>
        <w:rPr>
          <w:rFonts w:ascii="Arial" w:hAnsi="Arial" w:cs="Arial"/>
          <w:sz w:val="24"/>
          <w:szCs w:val="24"/>
        </w:rPr>
        <w:fldChar w:fldCharType="end"/>
      </w:r>
      <w:r w:rsidRPr="00E70C26">
        <w:rPr>
          <w:rFonts w:ascii="Arial" w:hAnsi="Arial" w:cs="Arial"/>
          <w:sz w:val="24"/>
          <w:szCs w:val="24"/>
        </w:rPr>
        <w:t xml:space="preserve"> respectively</w:t>
      </w:r>
      <w:r w:rsidRPr="008C18E8">
        <w:rPr>
          <w:rFonts w:ascii="Arial" w:hAnsi="Arial" w:cs="Arial"/>
          <w:sz w:val="24"/>
          <w:szCs w:val="24"/>
        </w:rPr>
        <w:t xml:space="preserve">, whereas the </w:t>
      </w:r>
      <w:r>
        <w:rPr>
          <w:rFonts w:ascii="Arial" w:hAnsi="Arial" w:cs="Arial"/>
          <w:sz w:val="24"/>
          <w:szCs w:val="24"/>
        </w:rPr>
        <w:t xml:space="preserve">high dose </w:t>
      </w:r>
      <w:r w:rsidRPr="008C18E8">
        <w:rPr>
          <w:rFonts w:ascii="Arial" w:hAnsi="Arial" w:cs="Arial"/>
          <w:sz w:val="24"/>
          <w:szCs w:val="24"/>
        </w:rPr>
        <w:t xml:space="preserve">MB treatment period was only </w:t>
      </w:r>
      <w:r>
        <w:rPr>
          <w:rFonts w:ascii="Arial" w:hAnsi="Arial" w:cs="Arial"/>
          <w:sz w:val="24"/>
          <w:szCs w:val="24"/>
        </w:rPr>
        <w:t>eight days</w:t>
      </w:r>
      <w:r w:rsidRPr="008C18E8">
        <w:rPr>
          <w:rFonts w:ascii="Arial" w:hAnsi="Arial" w:cs="Arial"/>
          <w:sz w:val="24"/>
          <w:szCs w:val="24"/>
        </w:rPr>
        <w:t xml:space="preserve">. Therefore, both drugs remove </w:t>
      </w:r>
      <w:r w:rsidRPr="00E70C26">
        <w:rPr>
          <w:rFonts w:ascii="Arial" w:hAnsi="Arial" w:cs="Arial"/>
          <w:sz w:val="24"/>
          <w:szCs w:val="24"/>
        </w:rPr>
        <w:t xml:space="preserve">copper </w:t>
      </w:r>
      <w:r>
        <w:rPr>
          <w:rFonts w:ascii="Arial" w:hAnsi="Arial" w:cs="Arial"/>
          <w:sz w:val="24"/>
          <w:szCs w:val="24"/>
        </w:rPr>
        <w:t xml:space="preserve">from liver tissue, but, </w:t>
      </w:r>
      <w:r w:rsidRPr="00E70C26">
        <w:rPr>
          <w:rFonts w:ascii="Arial" w:hAnsi="Arial" w:cs="Arial"/>
          <w:sz w:val="24"/>
          <w:szCs w:val="24"/>
        </w:rPr>
        <w:t xml:space="preserve">with a 4.5 times lower treatment </w:t>
      </w:r>
      <w:r w:rsidRPr="008C18E8">
        <w:rPr>
          <w:rFonts w:ascii="Arial" w:hAnsi="Arial" w:cs="Arial"/>
          <w:sz w:val="24"/>
          <w:szCs w:val="24"/>
        </w:rPr>
        <w:t xml:space="preserve">duration, MB does so with an unmet efficiency. </w:t>
      </w:r>
    </w:p>
    <w:p w:rsidR="00AA5521" w:rsidRDefault="00AA5521" w:rsidP="00C90566">
      <w:pPr>
        <w:spacing w:line="480" w:lineRule="auto"/>
        <w:jc w:val="both"/>
        <w:rPr>
          <w:rFonts w:ascii="Arial" w:hAnsi="Arial" w:cs="Arial"/>
          <w:sz w:val="24"/>
          <w:szCs w:val="24"/>
        </w:rPr>
      </w:pPr>
      <w:r w:rsidRPr="008C18E8">
        <w:rPr>
          <w:rFonts w:ascii="Arial" w:hAnsi="Arial" w:cs="Arial"/>
          <w:sz w:val="24"/>
          <w:szCs w:val="24"/>
        </w:rPr>
        <w:t xml:space="preserve">In order to study the perdurability of the </w:t>
      </w:r>
      <w:r>
        <w:rPr>
          <w:rFonts w:ascii="Arial" w:hAnsi="Arial" w:cs="Arial"/>
          <w:sz w:val="24"/>
          <w:szCs w:val="24"/>
        </w:rPr>
        <w:t>MB induced liver copper depletion, a</w:t>
      </w:r>
      <w:r w:rsidRPr="00E70C26">
        <w:rPr>
          <w:rFonts w:ascii="Arial" w:hAnsi="Arial" w:cs="Arial"/>
          <w:sz w:val="24"/>
          <w:szCs w:val="24"/>
        </w:rPr>
        <w:t xml:space="preserve"> so-called drug holiday animal, which had two drug free periods of three and seven weeks after two treatment periods with the higher MB dose of 150 mg/kg bodyweight</w:t>
      </w:r>
      <w:r>
        <w:rPr>
          <w:rFonts w:ascii="Arial" w:hAnsi="Arial" w:cs="Arial"/>
          <w:sz w:val="24"/>
          <w:szCs w:val="24"/>
        </w:rPr>
        <w:t>, was analyzed (Figure 2c)</w:t>
      </w:r>
      <w:r w:rsidRPr="00E70C26">
        <w:rPr>
          <w:rFonts w:ascii="Arial" w:hAnsi="Arial" w:cs="Arial"/>
          <w:sz w:val="24"/>
          <w:szCs w:val="24"/>
        </w:rPr>
        <w:t xml:space="preserve">. For this sample, copper concentrations up to 600 µg/g with an average concentration of </w:t>
      </w:r>
      <w:r w:rsidRPr="003D38E0">
        <w:rPr>
          <w:rFonts w:ascii="Arial" w:hAnsi="Arial" w:cs="Arial"/>
          <w:sz w:val="24"/>
          <w:szCs w:val="24"/>
        </w:rPr>
        <w:t>245 µg/g were observed, similar to values of animals treated with the lower MB dose. Thus, copper re-accumulation up to levels of untreated animals was not reached by a seven week lasting treatment stop. This demonstrates the sustained therapeutic effect of the MB treatment. Furthermore</w:t>
      </w:r>
      <w:r w:rsidRPr="00E70C26">
        <w:rPr>
          <w:rFonts w:ascii="Arial" w:hAnsi="Arial" w:cs="Arial"/>
          <w:sz w:val="24"/>
          <w:szCs w:val="24"/>
        </w:rPr>
        <w:t xml:space="preserve">, an inhomogeneous copper distribution can be observed showing no correlation with blood vessels or other elements measured </w:t>
      </w:r>
      <w:r w:rsidRPr="003D38E0">
        <w:rPr>
          <w:rFonts w:ascii="Arial" w:hAnsi="Arial" w:cs="Arial"/>
          <w:sz w:val="24"/>
          <w:szCs w:val="24"/>
        </w:rPr>
        <w:t xml:space="preserve">here. </w:t>
      </w:r>
    </w:p>
    <w:p w:rsidR="00AA5521" w:rsidRPr="007C282B" w:rsidRDefault="00AA5521" w:rsidP="00C90566">
      <w:pPr>
        <w:spacing w:line="480" w:lineRule="auto"/>
        <w:jc w:val="both"/>
        <w:rPr>
          <w:rFonts w:ascii="Arial" w:hAnsi="Arial" w:cs="Arial"/>
          <w:i/>
          <w:sz w:val="24"/>
          <w:szCs w:val="24"/>
        </w:rPr>
      </w:pPr>
      <w:r w:rsidRPr="007C282B">
        <w:rPr>
          <w:rFonts w:ascii="Arial" w:hAnsi="Arial" w:cs="Arial"/>
          <w:i/>
          <w:sz w:val="24"/>
          <w:szCs w:val="24"/>
        </w:rPr>
        <w:t xml:space="preserve">3.4 High spatial resolution imaging of rat liver tissue </w:t>
      </w:r>
    </w:p>
    <w:p w:rsidR="00AA5521" w:rsidRDefault="00AA5521" w:rsidP="00C90566">
      <w:pPr>
        <w:spacing w:line="480" w:lineRule="auto"/>
        <w:jc w:val="both"/>
        <w:rPr>
          <w:rFonts w:ascii="Arial" w:hAnsi="Arial" w:cs="Arial"/>
          <w:sz w:val="24"/>
          <w:szCs w:val="24"/>
        </w:rPr>
      </w:pPr>
      <w:r w:rsidRPr="007C282B">
        <w:rPr>
          <w:rFonts w:ascii="Arial" w:hAnsi="Arial" w:cs="Arial"/>
          <w:sz w:val="24"/>
          <w:szCs w:val="24"/>
        </w:rPr>
        <w:t>To further investigate the copper hotspots observed in the samples treated with MB, sections of the same samples</w:t>
      </w:r>
      <w:r w:rsidRPr="00E70C26">
        <w:rPr>
          <w:rFonts w:ascii="Arial" w:hAnsi="Arial" w:cs="Arial"/>
          <w:sz w:val="24"/>
          <w:szCs w:val="24"/>
        </w:rPr>
        <w:t xml:space="preserve"> were analyzed with a laser spot size of 4 µm to obtain a better spatial resolution. Again, copper, iron and zinc were quantified, but the iron and zinc distributions did not lead to any further </w:t>
      </w:r>
      <w:r w:rsidRPr="00B838B8">
        <w:rPr>
          <w:rFonts w:ascii="Arial" w:hAnsi="Arial" w:cs="Arial"/>
          <w:sz w:val="24"/>
          <w:szCs w:val="24"/>
        </w:rPr>
        <w:t>information</w:t>
      </w:r>
      <w:r w:rsidRPr="00E70C26">
        <w:rPr>
          <w:rFonts w:ascii="Arial" w:hAnsi="Arial" w:cs="Arial"/>
          <w:sz w:val="24"/>
          <w:szCs w:val="24"/>
        </w:rPr>
        <w:t>. Therefore, only the images of the copper distribution are shown here. Figure 3 shows the copper distribution for both, the healthy</w:t>
      </w:r>
      <w:r>
        <w:rPr>
          <w:rFonts w:ascii="Arial" w:hAnsi="Arial" w:cs="Arial"/>
          <w:sz w:val="24"/>
          <w:szCs w:val="24"/>
        </w:rPr>
        <w:t xml:space="preserve"> </w:t>
      </w:r>
      <w:r>
        <w:rPr>
          <w:rFonts w:ascii="Arial" w:hAnsi="Arial" w:cs="Arial"/>
          <w:i/>
          <w:sz w:val="24"/>
          <w:szCs w:val="24"/>
        </w:rPr>
        <w:t>Atp7b</w:t>
      </w:r>
      <w:r>
        <w:rPr>
          <w:rFonts w:ascii="Arial" w:hAnsi="Arial" w:cs="Arial"/>
          <w:i/>
          <w:sz w:val="24"/>
          <w:szCs w:val="24"/>
          <w:vertAlign w:val="superscript"/>
        </w:rPr>
        <w:t>+/-</w:t>
      </w:r>
      <w:r w:rsidRPr="00C5773A">
        <w:rPr>
          <w:rFonts w:ascii="Arial" w:hAnsi="Arial" w:cs="Arial"/>
          <w:sz w:val="24"/>
          <w:szCs w:val="24"/>
        </w:rPr>
        <w:t xml:space="preserve"> </w:t>
      </w:r>
      <w:r>
        <w:rPr>
          <w:rFonts w:ascii="Arial" w:hAnsi="Arial" w:cs="Arial"/>
          <w:sz w:val="24"/>
          <w:szCs w:val="24"/>
        </w:rPr>
        <w:t xml:space="preserve">and the untreated </w:t>
      </w:r>
      <w:r>
        <w:rPr>
          <w:rFonts w:ascii="Arial" w:hAnsi="Arial" w:cs="Arial"/>
          <w:i/>
          <w:sz w:val="24"/>
          <w:szCs w:val="24"/>
        </w:rPr>
        <w:t>Atp7b</w:t>
      </w:r>
      <w:r>
        <w:rPr>
          <w:rFonts w:ascii="Arial" w:hAnsi="Arial" w:cs="Arial"/>
          <w:i/>
          <w:sz w:val="24"/>
          <w:szCs w:val="24"/>
          <w:vertAlign w:val="superscript"/>
        </w:rPr>
        <w:t>-/-</w:t>
      </w:r>
      <w:r w:rsidRPr="00E70C26">
        <w:rPr>
          <w:rFonts w:ascii="Arial" w:hAnsi="Arial" w:cs="Arial"/>
          <w:sz w:val="24"/>
          <w:szCs w:val="24"/>
        </w:rPr>
        <w:t xml:space="preserve"> animal. Both images have the same concentration scale with concentrations up to 1000 µg/g to better visualize the differences. The </w:t>
      </w:r>
      <w:r>
        <w:rPr>
          <w:rFonts w:ascii="Arial" w:hAnsi="Arial" w:cs="Arial"/>
          <w:sz w:val="24"/>
          <w:szCs w:val="24"/>
        </w:rPr>
        <w:t>copper</w:t>
      </w:r>
      <w:r w:rsidRPr="00E70C26">
        <w:rPr>
          <w:rFonts w:ascii="Arial" w:hAnsi="Arial" w:cs="Arial"/>
          <w:sz w:val="24"/>
          <w:szCs w:val="24"/>
        </w:rPr>
        <w:t xml:space="preserve"> distribution for the healthy </w:t>
      </w:r>
      <w:r w:rsidRPr="003D38E0">
        <w:rPr>
          <w:rFonts w:ascii="Arial" w:hAnsi="Arial" w:cs="Arial"/>
          <w:sz w:val="24"/>
          <w:szCs w:val="24"/>
        </w:rPr>
        <w:t xml:space="preserve">animal is low </w:t>
      </w:r>
      <w:r>
        <w:rPr>
          <w:rFonts w:ascii="Arial" w:hAnsi="Arial" w:cs="Arial"/>
          <w:sz w:val="24"/>
          <w:szCs w:val="24"/>
        </w:rPr>
        <w:t xml:space="preserve">and </w:t>
      </w:r>
      <w:r w:rsidRPr="00E70C26">
        <w:rPr>
          <w:rFonts w:ascii="Arial" w:hAnsi="Arial" w:cs="Arial"/>
          <w:sz w:val="24"/>
          <w:szCs w:val="24"/>
        </w:rPr>
        <w:t xml:space="preserve">very homogenous, whereas the diseased animal shows many hotspots with concentrations </w:t>
      </w:r>
      <w:r>
        <w:rPr>
          <w:rFonts w:ascii="Arial" w:hAnsi="Arial" w:cs="Arial"/>
          <w:sz w:val="24"/>
          <w:szCs w:val="24"/>
        </w:rPr>
        <w:t>above</w:t>
      </w:r>
      <w:r w:rsidRPr="00E70C26">
        <w:rPr>
          <w:rFonts w:ascii="Arial" w:hAnsi="Arial" w:cs="Arial"/>
          <w:sz w:val="24"/>
          <w:szCs w:val="24"/>
        </w:rPr>
        <w:t xml:space="preserve"> 1000 µg/g </w:t>
      </w:r>
      <w:r w:rsidRPr="003D38E0">
        <w:rPr>
          <w:rFonts w:ascii="Arial" w:hAnsi="Arial" w:cs="Arial"/>
          <w:sz w:val="24"/>
          <w:szCs w:val="24"/>
        </w:rPr>
        <w:t xml:space="preserve">and high copper </w:t>
      </w:r>
      <w:r>
        <w:rPr>
          <w:rFonts w:ascii="Arial" w:hAnsi="Arial" w:cs="Arial"/>
          <w:sz w:val="24"/>
          <w:szCs w:val="24"/>
        </w:rPr>
        <w:t>levels</w:t>
      </w:r>
      <w:r w:rsidRPr="003D38E0">
        <w:rPr>
          <w:rFonts w:ascii="Arial" w:hAnsi="Arial" w:cs="Arial"/>
          <w:sz w:val="24"/>
          <w:szCs w:val="24"/>
        </w:rPr>
        <w:t xml:space="preserve"> all over the tissue sample. The liver sample</w:t>
      </w:r>
      <w:r w:rsidRPr="00E70C26">
        <w:rPr>
          <w:rFonts w:ascii="Arial" w:hAnsi="Arial" w:cs="Arial"/>
          <w:sz w:val="24"/>
          <w:szCs w:val="24"/>
        </w:rPr>
        <w:t xml:space="preserve">s of the MB treated animals are also shown in Figure 3. In contrast to the measurements with a laser spot size of 25 µm, the concentration range shown here is up to 1000 µg/g. This can be explained with a </w:t>
      </w:r>
      <w:r>
        <w:rPr>
          <w:rFonts w:ascii="Arial" w:hAnsi="Arial" w:cs="Arial"/>
          <w:sz w:val="24"/>
          <w:szCs w:val="24"/>
        </w:rPr>
        <w:t>lower</w:t>
      </w:r>
      <w:r w:rsidRPr="00E70C26">
        <w:rPr>
          <w:rFonts w:ascii="Arial" w:hAnsi="Arial" w:cs="Arial"/>
          <w:sz w:val="24"/>
          <w:szCs w:val="24"/>
        </w:rPr>
        <w:t xml:space="preserve"> averaging effect when a smaller spot size is used. Nevertheless, the </w:t>
      </w:r>
      <w:r>
        <w:rPr>
          <w:rFonts w:ascii="Arial" w:hAnsi="Arial" w:cs="Arial"/>
          <w:sz w:val="24"/>
          <w:szCs w:val="24"/>
        </w:rPr>
        <w:t xml:space="preserve">calculated </w:t>
      </w:r>
      <w:r w:rsidRPr="00E70C26">
        <w:rPr>
          <w:rFonts w:ascii="Arial" w:hAnsi="Arial" w:cs="Arial"/>
          <w:sz w:val="24"/>
          <w:szCs w:val="24"/>
        </w:rPr>
        <w:t xml:space="preserve">average concentrations for both samples </w:t>
      </w:r>
      <w:r>
        <w:rPr>
          <w:rFonts w:ascii="Arial" w:hAnsi="Arial" w:cs="Arial"/>
          <w:sz w:val="24"/>
          <w:szCs w:val="24"/>
        </w:rPr>
        <w:t>remain very similar</w:t>
      </w:r>
      <w:r w:rsidRPr="00E70C26">
        <w:rPr>
          <w:rFonts w:ascii="Arial" w:hAnsi="Arial" w:cs="Arial"/>
          <w:sz w:val="24"/>
          <w:szCs w:val="24"/>
        </w:rPr>
        <w:t xml:space="preserve">. With the spatial resolution of 4 µm, the removal of copper near blood vessels can be seen for both samples. Moreover, the inhomogeneous copper distribution </w:t>
      </w:r>
      <w:r w:rsidRPr="003D38E0">
        <w:rPr>
          <w:rFonts w:ascii="Arial" w:hAnsi="Arial" w:cs="Arial"/>
          <w:sz w:val="24"/>
          <w:szCs w:val="24"/>
        </w:rPr>
        <w:t xml:space="preserve">becomes excellently </w:t>
      </w:r>
      <w:r w:rsidRPr="00E70C26">
        <w:rPr>
          <w:rFonts w:ascii="Arial" w:hAnsi="Arial" w:cs="Arial"/>
          <w:sz w:val="24"/>
          <w:szCs w:val="24"/>
        </w:rPr>
        <w:t xml:space="preserve">visible for both MB doses. </w:t>
      </w:r>
    </w:p>
    <w:p w:rsidR="00AA5521" w:rsidRDefault="00AA5521" w:rsidP="00C5773A">
      <w:pPr>
        <w:spacing w:line="480" w:lineRule="auto"/>
        <w:jc w:val="both"/>
        <w:rPr>
          <w:rFonts w:ascii="Arial" w:hAnsi="Arial" w:cs="Arial"/>
          <w:sz w:val="24"/>
          <w:szCs w:val="24"/>
        </w:rPr>
      </w:pPr>
      <w:r>
        <w:rPr>
          <w:rFonts w:ascii="Arial" w:hAnsi="Arial" w:cs="Arial"/>
          <w:sz w:val="24"/>
          <w:szCs w:val="24"/>
        </w:rPr>
        <w:t xml:space="preserve">The advantages of the high spatial resolution of 4 vs. 25 µm can be demonstrated by a more profound analysis of the observed copper hotspots. </w:t>
      </w:r>
      <w:r w:rsidRPr="00E70C26">
        <w:rPr>
          <w:rFonts w:ascii="Arial" w:hAnsi="Arial" w:cs="Arial"/>
          <w:sz w:val="24"/>
          <w:szCs w:val="24"/>
        </w:rPr>
        <w:t xml:space="preserve">Figure </w:t>
      </w:r>
      <w:r>
        <w:rPr>
          <w:rFonts w:ascii="Arial" w:hAnsi="Arial" w:cs="Arial"/>
          <w:sz w:val="24"/>
          <w:szCs w:val="24"/>
        </w:rPr>
        <w:t>4</w:t>
      </w:r>
      <w:r w:rsidRPr="00E70C26">
        <w:rPr>
          <w:rFonts w:ascii="Arial" w:hAnsi="Arial" w:cs="Arial"/>
          <w:sz w:val="24"/>
          <w:szCs w:val="24"/>
        </w:rPr>
        <w:t xml:space="preserve"> illustrates the concentration differences between the hotspots and the MB extracted regions for the animal treated with the lower MB dose of 62.5 mg/kg bodyweight. For better visualization of the copper concentration, the image for the sample treated with the lower MB dose is depicted with a monochromatic concentration scale in the same concentration range as shown before. Thereby, the copper hotspots can be seen as white pixels. Three hotspot regions (green circles), three areas directly next to blood vessels (blue circles) as well as three reference areas (grey circles) were selected to demonstrate the concentration differences. With the in-house developed imaging software, the average concentration for 15 pixels in each selected area was calculated. The bar chart on the right hand side shows the mean concentrations for the three hotspots, the three areas near blood vessels, as well as the average concentration of the reference areas and the overall concentration determined by ICP-OES as summarized in Table 1. The copper concentration in the hotspots is around 3.5 times higher than in the average tissue sample, whereas the concentration near the blood vessels is only half as high. The two tailed, unpaired </w:t>
      </w:r>
      <w:r w:rsidRPr="00E70C26">
        <w:rPr>
          <w:rFonts w:ascii="Arial" w:hAnsi="Arial" w:cs="Arial"/>
          <w:i/>
          <w:sz w:val="24"/>
          <w:szCs w:val="24"/>
        </w:rPr>
        <w:t>t-</w:t>
      </w:r>
      <w:r w:rsidRPr="00E70C26">
        <w:rPr>
          <w:rFonts w:ascii="Arial" w:hAnsi="Arial" w:cs="Arial"/>
          <w:sz w:val="24"/>
          <w:szCs w:val="24"/>
        </w:rPr>
        <w:t>test results in p&lt;0.001 for the copper hotspots in comparison to the reference areas and p&lt;0.02 for the areas near blood vessels compared to the reference areas (n=4), indicating a significant difference between those areas.</w:t>
      </w:r>
    </w:p>
    <w:p w:rsidR="00AA5521" w:rsidRPr="00E70C26" w:rsidRDefault="00AA5521" w:rsidP="002F77A3">
      <w:pPr>
        <w:spacing w:line="480" w:lineRule="auto"/>
        <w:jc w:val="both"/>
        <w:rPr>
          <w:rFonts w:ascii="Arial" w:hAnsi="Arial" w:cs="Arial"/>
          <w:sz w:val="24"/>
          <w:szCs w:val="24"/>
        </w:rPr>
      </w:pPr>
      <w:r>
        <w:rPr>
          <w:rFonts w:ascii="Arial" w:hAnsi="Arial" w:cs="Arial"/>
          <w:sz w:val="24"/>
          <w:szCs w:val="24"/>
        </w:rPr>
        <w:t xml:space="preserve">In addition to that, two high spatial resolution areas for the diseased </w:t>
      </w:r>
      <w:r>
        <w:rPr>
          <w:rFonts w:ascii="Arial" w:hAnsi="Arial" w:cs="Arial"/>
          <w:i/>
          <w:sz w:val="24"/>
          <w:szCs w:val="24"/>
        </w:rPr>
        <w:t>Atp7b</w:t>
      </w:r>
      <w:r>
        <w:rPr>
          <w:rFonts w:ascii="Arial" w:hAnsi="Arial" w:cs="Arial"/>
          <w:i/>
          <w:sz w:val="24"/>
          <w:szCs w:val="24"/>
          <w:vertAlign w:val="superscript"/>
        </w:rPr>
        <w:t>-/-</w:t>
      </w:r>
      <w:r>
        <w:rPr>
          <w:rFonts w:ascii="Arial" w:hAnsi="Arial" w:cs="Arial"/>
          <w:sz w:val="24"/>
          <w:szCs w:val="24"/>
        </w:rPr>
        <w:t xml:space="preserve"> control animal and the animal treated with the lower MB dose of 62.5 mg/kg bodyweight were analyzed regarding the observed copper hotspots. Figure 5</w:t>
      </w:r>
      <w:r w:rsidRPr="00EA75F7">
        <w:rPr>
          <w:rFonts w:ascii="Arial" w:hAnsi="Arial" w:cs="Arial"/>
          <w:sz w:val="24"/>
          <w:szCs w:val="24"/>
        </w:rPr>
        <w:t xml:space="preserve"> visualizes the effects of the MB treatment on </w:t>
      </w:r>
      <w:r>
        <w:rPr>
          <w:rFonts w:ascii="Arial" w:hAnsi="Arial" w:cs="Arial"/>
          <w:sz w:val="24"/>
          <w:szCs w:val="24"/>
        </w:rPr>
        <w:t>those</w:t>
      </w:r>
      <w:r w:rsidRPr="00EA75F7">
        <w:rPr>
          <w:rFonts w:ascii="Arial" w:hAnsi="Arial" w:cs="Arial"/>
          <w:sz w:val="24"/>
          <w:szCs w:val="24"/>
        </w:rPr>
        <w:t xml:space="preserve"> </w:t>
      </w:r>
      <w:r>
        <w:rPr>
          <w:rFonts w:ascii="Arial" w:hAnsi="Arial" w:cs="Arial"/>
          <w:sz w:val="24"/>
          <w:szCs w:val="24"/>
        </w:rPr>
        <w:t>regions of interest</w:t>
      </w:r>
      <w:r w:rsidRPr="00EA75F7">
        <w:rPr>
          <w:rFonts w:ascii="Arial" w:hAnsi="Arial" w:cs="Arial"/>
          <w:sz w:val="24"/>
          <w:szCs w:val="24"/>
        </w:rPr>
        <w:t xml:space="preserve">. The LA-ICP-MS images with the modified concentration </w:t>
      </w:r>
      <w:r w:rsidRPr="00B67936">
        <w:rPr>
          <w:rFonts w:ascii="Arial" w:hAnsi="Arial" w:cs="Arial"/>
          <w:sz w:val="24"/>
          <w:szCs w:val="24"/>
        </w:rPr>
        <w:t xml:space="preserve">scales, in which all pixels </w:t>
      </w:r>
      <w:r w:rsidRPr="00EA75F7">
        <w:rPr>
          <w:rFonts w:ascii="Arial" w:hAnsi="Arial" w:cs="Arial"/>
          <w:sz w:val="24"/>
          <w:szCs w:val="24"/>
        </w:rPr>
        <w:t>with copper concentrations</w:t>
      </w:r>
      <w:r w:rsidRPr="00E70C26">
        <w:rPr>
          <w:rFonts w:ascii="Arial" w:hAnsi="Arial" w:cs="Arial"/>
          <w:sz w:val="24"/>
          <w:szCs w:val="24"/>
        </w:rPr>
        <w:t xml:space="preserve"> below 750 µg/g are depicted in grey scales, emphasizes the drastic decrease in the number of hotspots after the treatment with the lower MB dose. For the diseased control animal, 12% of the pixels in the ablated area show copper concentrations of 750 µg/g or higher, whereas only 0.5% of the pixels for the MB treated animal have such high copper concentrations. For the untreated animal, 54 hotspots were identified in an ablated area of around 5 mm², while only 12 hotspots were identified in the same area of the treated animal. The box plot diagram in Figure 4c illustrates the size difference of the hotspots in both samples. The average sizes of the individual copper accumulations for the diseased an</w:t>
      </w:r>
      <w:r>
        <w:rPr>
          <w:rFonts w:ascii="Arial" w:hAnsi="Arial" w:cs="Arial"/>
          <w:sz w:val="24"/>
          <w:szCs w:val="24"/>
        </w:rPr>
        <w:t>d the MB treated animal are 230 </w:t>
      </w:r>
      <w:r w:rsidRPr="00E70C26">
        <w:rPr>
          <w:rFonts w:ascii="Arial" w:hAnsi="Arial" w:cs="Arial"/>
          <w:sz w:val="24"/>
          <w:szCs w:val="24"/>
        </w:rPr>
        <w:t xml:space="preserve">µm² and 123 µm², respectively. In addition to that, the average copper concentrations for the identified hotspots in each selected area was calculated </w:t>
      </w:r>
      <w:r w:rsidRPr="003D38E0">
        <w:rPr>
          <w:rFonts w:ascii="Arial" w:hAnsi="Arial" w:cs="Arial"/>
          <w:sz w:val="24"/>
          <w:szCs w:val="24"/>
        </w:rPr>
        <w:t xml:space="preserve">with an </w:t>
      </w:r>
      <w:r w:rsidRPr="00E70C26">
        <w:rPr>
          <w:rFonts w:ascii="Arial" w:hAnsi="Arial" w:cs="Arial"/>
          <w:sz w:val="24"/>
          <w:szCs w:val="24"/>
        </w:rPr>
        <w:t xml:space="preserve">in-house developed imaging software. The </w:t>
      </w:r>
      <w:r>
        <w:rPr>
          <w:rFonts w:ascii="Arial" w:hAnsi="Arial" w:cs="Arial"/>
          <w:sz w:val="24"/>
          <w:szCs w:val="24"/>
        </w:rPr>
        <w:t xml:space="preserve">extrapolated </w:t>
      </w:r>
      <w:r w:rsidRPr="00E70C26">
        <w:rPr>
          <w:rFonts w:ascii="Arial" w:hAnsi="Arial" w:cs="Arial"/>
          <w:sz w:val="24"/>
          <w:szCs w:val="24"/>
        </w:rPr>
        <w:t xml:space="preserve">concentrations are significantly different with </w:t>
      </w:r>
      <w:r>
        <w:rPr>
          <w:rFonts w:ascii="Arial" w:hAnsi="Arial" w:cs="Arial"/>
          <w:sz w:val="24"/>
          <w:szCs w:val="24"/>
        </w:rPr>
        <w:t xml:space="preserve">an average of </w:t>
      </w:r>
      <w:r w:rsidRPr="00E70C26">
        <w:rPr>
          <w:rFonts w:ascii="Arial" w:hAnsi="Arial" w:cs="Arial"/>
          <w:sz w:val="24"/>
          <w:szCs w:val="24"/>
        </w:rPr>
        <w:t xml:space="preserve">approx. 1428 µg/g for the diseased and 1031 µg/g for the treated animal (Figure 4d). The two tailed, unpaired </w:t>
      </w:r>
      <w:r w:rsidRPr="00E70C26">
        <w:rPr>
          <w:rFonts w:ascii="Arial" w:hAnsi="Arial" w:cs="Arial"/>
          <w:i/>
          <w:sz w:val="24"/>
          <w:szCs w:val="24"/>
        </w:rPr>
        <w:t>t-</w:t>
      </w:r>
      <w:r w:rsidRPr="00E70C26">
        <w:rPr>
          <w:rFonts w:ascii="Arial" w:hAnsi="Arial" w:cs="Arial"/>
          <w:sz w:val="24"/>
          <w:szCs w:val="24"/>
        </w:rPr>
        <w:t xml:space="preserve">test results in p&lt;0.002 for the comparison of the copper concentration in hotspots for both samples. </w:t>
      </w:r>
      <w:r>
        <w:rPr>
          <w:rFonts w:ascii="Arial" w:hAnsi="Arial" w:cs="Arial"/>
          <w:sz w:val="24"/>
          <w:szCs w:val="24"/>
        </w:rPr>
        <w:t>Therefore, the number of hotspots per area as well as the average hotspot size and the copper concentration in the hotspots decreases significantly by the MB treatment, which can only be analyzed with the high spatial resolution of 4 µm.</w:t>
      </w:r>
    </w:p>
    <w:p w:rsidR="00AA5521" w:rsidRDefault="00AA5521" w:rsidP="00C90566">
      <w:pPr>
        <w:spacing w:line="480" w:lineRule="auto"/>
        <w:jc w:val="both"/>
        <w:rPr>
          <w:rFonts w:ascii="Arial" w:hAnsi="Arial" w:cs="Arial"/>
          <w:sz w:val="24"/>
          <w:szCs w:val="24"/>
        </w:rPr>
      </w:pPr>
      <w:r w:rsidRPr="003D38E0">
        <w:rPr>
          <w:rFonts w:ascii="Arial" w:hAnsi="Arial" w:cs="Arial"/>
          <w:sz w:val="24"/>
          <w:szCs w:val="24"/>
        </w:rPr>
        <w:t xml:space="preserve">These findings demonstrate that </w:t>
      </w:r>
      <w:r w:rsidRPr="00E70C26">
        <w:rPr>
          <w:rFonts w:ascii="Arial" w:hAnsi="Arial" w:cs="Arial"/>
          <w:sz w:val="24"/>
          <w:szCs w:val="24"/>
        </w:rPr>
        <w:t xml:space="preserve">a </w:t>
      </w:r>
      <w:r>
        <w:rPr>
          <w:rFonts w:ascii="Arial" w:hAnsi="Arial" w:cs="Arial"/>
          <w:sz w:val="24"/>
          <w:szCs w:val="24"/>
        </w:rPr>
        <w:t xml:space="preserve">highly </w:t>
      </w:r>
      <w:r w:rsidRPr="00E70C26">
        <w:rPr>
          <w:rFonts w:ascii="Arial" w:hAnsi="Arial" w:cs="Arial"/>
          <w:sz w:val="24"/>
          <w:szCs w:val="24"/>
        </w:rPr>
        <w:t>spatial</w:t>
      </w:r>
      <w:r>
        <w:rPr>
          <w:rFonts w:ascii="Arial" w:hAnsi="Arial" w:cs="Arial"/>
          <w:sz w:val="24"/>
          <w:szCs w:val="24"/>
        </w:rPr>
        <w:t>ly</w:t>
      </w:r>
      <w:r w:rsidRPr="00E70C26">
        <w:rPr>
          <w:rFonts w:ascii="Arial" w:hAnsi="Arial" w:cs="Arial"/>
          <w:sz w:val="24"/>
          <w:szCs w:val="24"/>
        </w:rPr>
        <w:t xml:space="preserve"> resolved analysis of the copper concentration in WD tissue samples is </w:t>
      </w:r>
      <w:r>
        <w:rPr>
          <w:rFonts w:ascii="Arial" w:hAnsi="Arial" w:cs="Arial"/>
          <w:sz w:val="24"/>
          <w:szCs w:val="24"/>
        </w:rPr>
        <w:t>very</w:t>
      </w:r>
      <w:r w:rsidRPr="00E70C26">
        <w:rPr>
          <w:rFonts w:ascii="Arial" w:hAnsi="Arial" w:cs="Arial"/>
          <w:sz w:val="24"/>
          <w:szCs w:val="24"/>
        </w:rPr>
        <w:t xml:space="preserve"> useful when evaluating the copper removal efficiency of novel therapeutic approaches. Bulk liver analysis of the copper content is not able to account for the hotspots observed with LA-ICP-MS, which should be recognized to evaluate the </w:t>
      </w:r>
      <w:r w:rsidRPr="00401D05">
        <w:rPr>
          <w:rFonts w:ascii="Arial" w:hAnsi="Arial" w:cs="Arial"/>
          <w:sz w:val="24"/>
          <w:szCs w:val="24"/>
        </w:rPr>
        <w:t xml:space="preserve">treatment success. </w:t>
      </w:r>
      <w:r>
        <w:rPr>
          <w:rFonts w:ascii="Arial" w:hAnsi="Arial" w:cs="Arial"/>
          <w:sz w:val="24"/>
          <w:szCs w:val="24"/>
        </w:rPr>
        <w:t>It could be shown that the short MB treatment is superior to the significantly longer D-PA treatment, which led to equal results regarding the copper removal efficiency.</w:t>
      </w:r>
    </w:p>
    <w:p w:rsidR="00AA5521" w:rsidRPr="00E70C26" w:rsidRDefault="00AA5521" w:rsidP="00C90566">
      <w:pPr>
        <w:spacing w:line="480" w:lineRule="auto"/>
        <w:jc w:val="both"/>
        <w:rPr>
          <w:rFonts w:ascii="Arial" w:hAnsi="Arial" w:cs="Arial"/>
          <w:sz w:val="24"/>
          <w:szCs w:val="24"/>
        </w:rPr>
      </w:pPr>
      <w:r w:rsidRPr="00F67A70">
        <w:rPr>
          <w:rFonts w:ascii="Arial" w:hAnsi="Arial" w:cs="Arial"/>
          <w:sz w:val="24"/>
          <w:szCs w:val="24"/>
        </w:rPr>
        <w:t xml:space="preserve">The high spatial resolution images of the drug holiday animal can be found in Figure </w:t>
      </w:r>
      <w:r w:rsidRPr="003D38E0">
        <w:rPr>
          <w:rFonts w:ascii="Arial" w:hAnsi="Arial" w:cs="Arial"/>
          <w:sz w:val="24"/>
          <w:szCs w:val="24"/>
        </w:rPr>
        <w:t xml:space="preserve">A.6. In this animal liver, the </w:t>
      </w:r>
      <w:r>
        <w:rPr>
          <w:rFonts w:ascii="Arial" w:hAnsi="Arial" w:cs="Arial"/>
          <w:sz w:val="24"/>
          <w:szCs w:val="24"/>
        </w:rPr>
        <w:t>copper distribution is very inhomogeneous. As illustrated by the LA-ICP-MS with a laser spot size of 25 µm, the copper is re-accumulated in some areas in the liver, whereas other regions are not loaded with copper. Because of the high resolution used here, only small areas of the sample were investigated. Therefore, some measured areas show average concentrations of 235 </w:t>
      </w:r>
      <w:r w:rsidRPr="00957005">
        <w:rPr>
          <w:rFonts w:ascii="Arial" w:hAnsi="Arial" w:cs="Arial"/>
          <w:sz w:val="24"/>
          <w:szCs w:val="24"/>
        </w:rPr>
        <w:t>µg/g</w:t>
      </w:r>
      <w:r>
        <w:rPr>
          <w:rFonts w:ascii="Arial" w:hAnsi="Arial" w:cs="Arial"/>
          <w:sz w:val="24"/>
          <w:szCs w:val="24"/>
        </w:rPr>
        <w:t xml:space="preserve"> (Figure A.6a) and 260 µg/g (Figure A.6b)</w:t>
      </w:r>
      <w:r w:rsidRPr="00957005">
        <w:rPr>
          <w:rFonts w:ascii="Arial" w:hAnsi="Arial" w:cs="Arial"/>
          <w:sz w:val="24"/>
          <w:szCs w:val="24"/>
        </w:rPr>
        <w:t>,</w:t>
      </w:r>
      <w:r>
        <w:rPr>
          <w:rFonts w:ascii="Arial" w:hAnsi="Arial" w:cs="Arial"/>
          <w:sz w:val="24"/>
          <w:szCs w:val="24"/>
        </w:rPr>
        <w:t xml:space="preserve"> while the copper concentration in other areas is up to 890 µg/g (Figure A.6c). Furthermore, no defined copper hotspots can be observed, which is in accordance to the images with a spot size of 25 µm. The re-accumulated copper seems to be located in broader tissue regions compared to the copper accumulated in the untreated </w:t>
      </w:r>
      <w:r>
        <w:rPr>
          <w:rFonts w:ascii="Arial" w:hAnsi="Arial" w:cs="Arial"/>
          <w:i/>
          <w:sz w:val="24"/>
          <w:szCs w:val="24"/>
        </w:rPr>
        <w:t>Atp7b</w:t>
      </w:r>
      <w:r w:rsidRPr="006F6C78">
        <w:rPr>
          <w:rFonts w:ascii="Arial" w:hAnsi="Arial" w:cs="Arial"/>
          <w:i/>
          <w:sz w:val="24"/>
          <w:szCs w:val="24"/>
          <w:vertAlign w:val="superscript"/>
        </w:rPr>
        <w:noBreakHyphen/>
        <w:t>/</w:t>
      </w:r>
      <w:r w:rsidRPr="006F6C78">
        <w:rPr>
          <w:rFonts w:ascii="Arial" w:hAnsi="Arial" w:cs="Arial"/>
          <w:i/>
          <w:sz w:val="24"/>
          <w:szCs w:val="24"/>
          <w:vertAlign w:val="superscript"/>
        </w:rPr>
        <w:noBreakHyphen/>
      </w:r>
      <w:r w:rsidRPr="008C18E8">
        <w:rPr>
          <w:rFonts w:ascii="Arial" w:hAnsi="Arial" w:cs="Arial"/>
          <w:sz w:val="24"/>
          <w:szCs w:val="24"/>
        </w:rPr>
        <w:t xml:space="preserve"> </w:t>
      </w:r>
      <w:r>
        <w:rPr>
          <w:rFonts w:ascii="Arial" w:hAnsi="Arial" w:cs="Arial"/>
          <w:sz w:val="24"/>
          <w:szCs w:val="24"/>
        </w:rPr>
        <w:t>rats, where smaller, high concentration hotspots can be found. This phenomenon could be explained by a redistribution of copper over time and could influence the accessibility of the copper in subsequent treatment periods. However, more samples with different treatment-free periods should be analyzed to confirm this hypothesis.</w:t>
      </w:r>
    </w:p>
    <w:p w:rsidR="00AA5521" w:rsidRPr="00E70C26" w:rsidRDefault="00AA5521" w:rsidP="00C90566">
      <w:pPr>
        <w:spacing w:line="480" w:lineRule="auto"/>
        <w:jc w:val="both"/>
        <w:rPr>
          <w:rFonts w:ascii="Arial" w:hAnsi="Arial" w:cs="Arial"/>
          <w:b/>
          <w:sz w:val="24"/>
          <w:szCs w:val="24"/>
        </w:rPr>
      </w:pPr>
      <w:r>
        <w:rPr>
          <w:rFonts w:ascii="Arial" w:hAnsi="Arial" w:cs="Arial"/>
          <w:b/>
          <w:sz w:val="24"/>
          <w:szCs w:val="24"/>
        </w:rPr>
        <w:br w:type="column"/>
      </w:r>
      <w:r w:rsidRPr="00E70C26">
        <w:rPr>
          <w:rFonts w:ascii="Arial" w:hAnsi="Arial" w:cs="Arial"/>
          <w:b/>
          <w:sz w:val="24"/>
          <w:szCs w:val="24"/>
        </w:rPr>
        <w:t xml:space="preserve">Conclusion </w:t>
      </w:r>
    </w:p>
    <w:p w:rsidR="00AA5521" w:rsidRPr="00E70C26" w:rsidRDefault="00AA5521" w:rsidP="00C90566">
      <w:pPr>
        <w:spacing w:line="480" w:lineRule="auto"/>
        <w:jc w:val="both"/>
        <w:rPr>
          <w:rFonts w:ascii="Arial" w:hAnsi="Arial" w:cs="Arial"/>
          <w:sz w:val="24"/>
          <w:szCs w:val="24"/>
        </w:rPr>
      </w:pPr>
      <w:r>
        <w:rPr>
          <w:rFonts w:ascii="Arial" w:hAnsi="Arial" w:cs="Arial"/>
          <w:sz w:val="24"/>
          <w:szCs w:val="24"/>
        </w:rPr>
        <w:t xml:space="preserve">It is demonstrated </w:t>
      </w:r>
      <w:r w:rsidRPr="003D38E0">
        <w:rPr>
          <w:rFonts w:ascii="Arial" w:hAnsi="Arial" w:cs="Arial"/>
          <w:sz w:val="24"/>
          <w:szCs w:val="24"/>
        </w:rPr>
        <w:t xml:space="preserve">here that LA-ICP-MS is a highly informative method to investigate </w:t>
      </w:r>
      <w:r w:rsidRPr="00E70C26">
        <w:rPr>
          <w:rFonts w:ascii="Arial" w:hAnsi="Arial" w:cs="Arial"/>
          <w:sz w:val="24"/>
          <w:szCs w:val="24"/>
        </w:rPr>
        <w:t>the copper removal efficiency of novel therapies for the treatment of WD.</w:t>
      </w:r>
      <w:r>
        <w:rPr>
          <w:rFonts w:ascii="Arial" w:hAnsi="Arial" w:cs="Arial"/>
          <w:sz w:val="24"/>
          <w:szCs w:val="24"/>
        </w:rPr>
        <w:t xml:space="preserve"> T</w:t>
      </w:r>
      <w:r w:rsidRPr="00E70C26">
        <w:rPr>
          <w:rFonts w:ascii="Arial" w:hAnsi="Arial" w:cs="Arial"/>
          <w:sz w:val="24"/>
          <w:szCs w:val="24"/>
        </w:rPr>
        <w:t>he drug MB was investigated with a spatial resolution down to 4 µm</w:t>
      </w:r>
      <w:r w:rsidRPr="003D38E0">
        <w:rPr>
          <w:rFonts w:ascii="Arial" w:hAnsi="Arial" w:cs="Arial"/>
          <w:sz w:val="24"/>
          <w:szCs w:val="24"/>
        </w:rPr>
        <w:t>, revealing an unmet copper removal efficiency in a reduced treatment period of only 8 days</w:t>
      </w:r>
      <w:r w:rsidRPr="00E70C26">
        <w:rPr>
          <w:rFonts w:ascii="Arial" w:hAnsi="Arial" w:cs="Arial"/>
          <w:sz w:val="24"/>
          <w:szCs w:val="24"/>
        </w:rPr>
        <w:t xml:space="preserve">. </w:t>
      </w:r>
      <w:r w:rsidRPr="00F67A70">
        <w:rPr>
          <w:rFonts w:ascii="Arial" w:hAnsi="Arial" w:cs="Arial"/>
          <w:sz w:val="24"/>
          <w:szCs w:val="24"/>
        </w:rPr>
        <w:t xml:space="preserve">The remaining copper hotspots in the liver tissue after the MB treatment are smaller, </w:t>
      </w:r>
      <w:r w:rsidRPr="003D38E0">
        <w:rPr>
          <w:rFonts w:ascii="Arial" w:hAnsi="Arial" w:cs="Arial"/>
          <w:sz w:val="24"/>
          <w:szCs w:val="24"/>
        </w:rPr>
        <w:t xml:space="preserve">much </w:t>
      </w:r>
      <w:r w:rsidRPr="00F67A70">
        <w:rPr>
          <w:rFonts w:ascii="Arial" w:hAnsi="Arial" w:cs="Arial"/>
          <w:sz w:val="24"/>
          <w:szCs w:val="24"/>
        </w:rPr>
        <w:t xml:space="preserve">less frequent and have lower average </w:t>
      </w:r>
      <w:r w:rsidRPr="003D38E0">
        <w:rPr>
          <w:rFonts w:ascii="Arial" w:hAnsi="Arial" w:cs="Arial"/>
          <w:sz w:val="24"/>
          <w:szCs w:val="24"/>
        </w:rPr>
        <w:t xml:space="preserve">copper </w:t>
      </w:r>
      <w:r w:rsidRPr="00F67A70">
        <w:rPr>
          <w:rFonts w:ascii="Arial" w:hAnsi="Arial" w:cs="Arial"/>
          <w:sz w:val="24"/>
          <w:szCs w:val="24"/>
        </w:rPr>
        <w:t xml:space="preserve">concentrations compared to the hotspots observed in the untreated control sample. </w:t>
      </w:r>
    </w:p>
    <w:p w:rsidR="00AA5521" w:rsidRPr="00E70C26" w:rsidRDefault="00AA5521" w:rsidP="00C90566">
      <w:pPr>
        <w:spacing w:line="480" w:lineRule="auto"/>
        <w:jc w:val="both"/>
        <w:rPr>
          <w:rFonts w:ascii="Arial" w:hAnsi="Arial" w:cs="Arial"/>
          <w:sz w:val="24"/>
          <w:szCs w:val="24"/>
        </w:rPr>
      </w:pPr>
      <w:r w:rsidRPr="00E70C26">
        <w:rPr>
          <w:rFonts w:ascii="Arial" w:hAnsi="Arial" w:cs="Arial"/>
          <w:sz w:val="24"/>
          <w:szCs w:val="24"/>
        </w:rPr>
        <w:t xml:space="preserve">Moreover, a copper reaccumulation after a drug free phase of seven weeks was </w:t>
      </w:r>
      <w:r w:rsidRPr="003D38E0">
        <w:rPr>
          <w:rFonts w:ascii="Arial" w:hAnsi="Arial" w:cs="Arial"/>
          <w:sz w:val="24"/>
          <w:szCs w:val="24"/>
        </w:rPr>
        <w:t>observed, but the copper content in the liver of untreated animals was not reached. Thus, the MB induced copper depletion did present with a sustainable therapeutic effect. In addition</w:t>
      </w:r>
      <w:r>
        <w:rPr>
          <w:rFonts w:ascii="Arial" w:hAnsi="Arial" w:cs="Arial"/>
          <w:sz w:val="24"/>
          <w:szCs w:val="24"/>
        </w:rPr>
        <w:t xml:space="preserve">, a possible redistribution of copper over time was observed, when comparing the high spatial resolution images of the animal that experienced a drug-free phase with the untreated animal. </w:t>
      </w:r>
    </w:p>
    <w:p w:rsidR="00AA5521" w:rsidRPr="00E70C26" w:rsidRDefault="00AA5521" w:rsidP="00C90566">
      <w:pPr>
        <w:spacing w:line="480" w:lineRule="auto"/>
        <w:jc w:val="both"/>
        <w:rPr>
          <w:rFonts w:ascii="Arial" w:hAnsi="Arial" w:cs="Arial"/>
          <w:sz w:val="24"/>
          <w:szCs w:val="24"/>
        </w:rPr>
      </w:pPr>
      <w:r w:rsidRPr="00E70C26">
        <w:rPr>
          <w:rFonts w:ascii="Arial" w:hAnsi="Arial" w:cs="Arial"/>
          <w:sz w:val="24"/>
          <w:szCs w:val="24"/>
        </w:rPr>
        <w:t>The iron concentration and distribution was not significantly affected by the MB treatment. It was not possible to draw a final conclusion regarding the concentration and distribution of zinc in the liver tissue, due to the observed washout effects during the sample preparation steps. However, no immense alterations were observed after the treatment. This is in accordance with the binding selectivity of MB as investigated by McCabe et al.</w:t>
      </w:r>
      <w:r>
        <w:rPr>
          <w:rFonts w:ascii="Arial" w:hAnsi="Arial" w:cs="Arial"/>
          <w:sz w:val="24"/>
          <w:szCs w:val="24"/>
        </w:rPr>
        <w:fldChar w:fldCharType="begin" w:fldLock="1"/>
      </w:r>
      <w:r>
        <w:rPr>
          <w:rFonts w:ascii="Arial" w:hAnsi="Arial" w:cs="Arial"/>
          <w:sz w:val="24"/>
          <w:szCs w:val="24"/>
        </w:rPr>
        <w:instrText>ADDIN CSL_CITATION { "citationItems" : [ { "id" : "ITEM-1", "itemData" : { "DOI" : "10.1007/s13361-017-1778-9", "ISBN" : "1336101717", "ISSN" : "18791123", "abstract" : "Methanobactin (Mb) from Methylosinus trichosporium OB3b is a member of a class of metal binding peptides identified in methanotrophic bacteria. Mb will selectively bind and reduceCu(II) toCu(I), and is thought tomediate the acquisition of the copper cofactor for the enzymemethane monooxygenase. These copper chelat- ing properties of Mb make it potentially useful as a chelating agent for treatment of diseases where copper plays a role including Wilson\u2019s disease, cancers, and neuro- degenerative diseases. Utilizing traveling wave ion mobility-mass spectrometry (TWIMS), the competition for the Mb copper binding site from Ag(I), Pb(II), Co(II), Fe(II),Mn(II), Ni(II), and Zn(II) has been determined by a series ofmetal ion titrations, pH titrations, and metal ion displacement titrations. The TWIMS analyses allowed for the explicit identification and quantification of all the individual Mb species present during the titrations and measured their collision cross-sections and collision-induced dissociation patterns. The results showedAg(I) and Ni(II) could irreversibly bind to Mb and not be effectively displaced by Cu(I), whereas Ag(I) could also partially displace Cu(I) from the Mb complex. At pH \u2248 6.5, the Mb binding selectivity follows the order Ag(I)\u2248Cu(I)&gt;Ni(II)\u2248Zn(II)&gt;Co(II)&gt;&gt;Mn(II)\u2248Pb(II)&gt;Fe(II), and at pH 7.5 to 10.4 the order is Ag(I)&gt;Cu(I)&gt;Ni(II)&gt;Co(II)&gt;Zn(II)&gt;Mn(II)\u2248Pb(II)&gt;Fe(II). Breakdown curves of the disulfide reduced Cu(I) and Ag(I) complexes showed a correlation existed between their relative stability and their compact folded structure indicated by their CCS. Fluorescence spectroscopy, which allowed the determination of the binding constant, compared well with the TWIMS analyses, with the exception of the Ni(II) complex.", "author" : [ { "dropping-particle" : "", "family" : "McCabe", "given" : "Jacob W.", "non-dropping-particle" : "", "parse-names" : false, "suffix" : "" }, { "dropping-particle" : "", "family" : "Vangala", "given" : "Rajpal", "non-dropping-particle" : "", "parse-names" : false, "suffix" : "" }, { "dropping-particle" : "", "family" : "Angel", "given" : "Laurence A.", "non-dropping-particle" : "", "parse-names" : false, "suffix" : "" } ], "container-title" : "Journal of the American Society for Mass Spectrometry", "id" : "ITEM-1", "issue" : "12", "issued" : { "date-parts" : [ [ "2017" ] ] }, "page" : "2588-2601", "publisher" : "Journal of The American Society for Mass Spectrometry", "title" : "Binding Selectivity of Methanobactin from Methylosinus trichosporium OB3b for Copper(I), Silver(I), Zinc(II), Nickel(II), Cobalt(II), Manganese(II), Lead(II), and Iron(II)", "type" : "article-journal", "volume" : "28" }, "uris" : [ "http://www.mendeley.com/documents/?uuid=23520768-8ce8-433e-9d88-8e6534a233f7" ] } ], "mendeley" : { "formattedCitation" : "[16]", "plainTextFormattedCitation" : "[16]", "previouslyFormattedCitation" : "[16]" }, "properties" : {  }, "schema" : "https://github.com/citation-style-language/schema/raw/master/csl-citation.json" }</w:instrText>
      </w:r>
      <w:r>
        <w:rPr>
          <w:rFonts w:ascii="Arial" w:hAnsi="Arial" w:cs="Arial"/>
          <w:sz w:val="24"/>
          <w:szCs w:val="24"/>
        </w:rPr>
        <w:fldChar w:fldCharType="separate"/>
      </w:r>
      <w:r w:rsidRPr="00B838B8">
        <w:rPr>
          <w:rFonts w:ascii="Arial" w:hAnsi="Arial" w:cs="Arial"/>
          <w:noProof/>
          <w:sz w:val="24"/>
          <w:szCs w:val="24"/>
        </w:rPr>
        <w:t>[16]</w:t>
      </w:r>
      <w:r>
        <w:rPr>
          <w:rFonts w:ascii="Arial" w:hAnsi="Arial" w:cs="Arial"/>
          <w:sz w:val="24"/>
          <w:szCs w:val="24"/>
        </w:rPr>
        <w:fldChar w:fldCharType="end"/>
      </w:r>
      <w:r w:rsidRPr="00E70C26">
        <w:rPr>
          <w:rFonts w:ascii="Arial" w:hAnsi="Arial" w:cs="Arial"/>
          <w:sz w:val="24"/>
          <w:szCs w:val="24"/>
        </w:rPr>
        <w:t xml:space="preserve"> </w:t>
      </w:r>
    </w:p>
    <w:p w:rsidR="00AA5521" w:rsidRPr="00E70C26" w:rsidRDefault="00AA5521" w:rsidP="00C90566">
      <w:pPr>
        <w:spacing w:line="480" w:lineRule="auto"/>
        <w:jc w:val="both"/>
        <w:rPr>
          <w:rFonts w:ascii="Arial" w:hAnsi="Arial" w:cs="Arial"/>
          <w:b/>
          <w:sz w:val="24"/>
          <w:szCs w:val="24"/>
        </w:rPr>
      </w:pPr>
      <w:r w:rsidRPr="00E70C26">
        <w:rPr>
          <w:rFonts w:ascii="Arial" w:hAnsi="Arial" w:cs="Arial"/>
          <w:b/>
          <w:sz w:val="24"/>
          <w:szCs w:val="24"/>
        </w:rPr>
        <w:br w:type="column"/>
        <w:t>Conflict of interest</w:t>
      </w:r>
    </w:p>
    <w:p w:rsidR="00AA5521" w:rsidRPr="00E70C26" w:rsidRDefault="00AA5521" w:rsidP="00C90566">
      <w:pPr>
        <w:spacing w:line="480" w:lineRule="auto"/>
        <w:jc w:val="both"/>
        <w:rPr>
          <w:rFonts w:ascii="Arial" w:hAnsi="Arial" w:cs="Arial"/>
          <w:sz w:val="24"/>
          <w:szCs w:val="24"/>
        </w:rPr>
      </w:pPr>
      <w:r w:rsidRPr="00E70C26">
        <w:rPr>
          <w:rFonts w:ascii="Arial" w:hAnsi="Arial" w:cs="Arial"/>
          <w:sz w:val="24"/>
          <w:szCs w:val="24"/>
        </w:rPr>
        <w:t>All authors declare that there are no conflicts of interest associated with this manuscript.</w:t>
      </w:r>
    </w:p>
    <w:p w:rsidR="00AA5521" w:rsidRPr="00E70C26" w:rsidRDefault="00AA5521" w:rsidP="00C90566">
      <w:pPr>
        <w:spacing w:line="480" w:lineRule="auto"/>
        <w:jc w:val="both"/>
        <w:rPr>
          <w:rFonts w:ascii="Arial" w:hAnsi="Arial" w:cs="Arial"/>
          <w:b/>
          <w:sz w:val="24"/>
          <w:szCs w:val="24"/>
        </w:rPr>
      </w:pPr>
      <w:r w:rsidRPr="00E70C26">
        <w:rPr>
          <w:rFonts w:ascii="Arial" w:hAnsi="Arial" w:cs="Arial"/>
          <w:b/>
          <w:sz w:val="24"/>
          <w:szCs w:val="24"/>
        </w:rPr>
        <w:t>Acknowledgements</w:t>
      </w:r>
    </w:p>
    <w:p w:rsidR="00AA5521" w:rsidRPr="00E70C26" w:rsidRDefault="00AA5521" w:rsidP="00C90566">
      <w:pPr>
        <w:spacing w:line="480" w:lineRule="auto"/>
        <w:jc w:val="both"/>
        <w:rPr>
          <w:rFonts w:ascii="Arial" w:hAnsi="Arial" w:cs="Arial"/>
          <w:sz w:val="24"/>
          <w:szCs w:val="24"/>
        </w:rPr>
      </w:pPr>
      <w:r w:rsidRPr="00E70C26">
        <w:rPr>
          <w:rFonts w:ascii="Arial" w:hAnsi="Arial" w:cs="Arial"/>
          <w:sz w:val="24"/>
          <w:szCs w:val="24"/>
        </w:rPr>
        <w:t xml:space="preserve">The authors would like to thank Robin Schmid for development of and support with the image processing software. </w:t>
      </w:r>
      <w:r w:rsidRPr="00E81B6A">
        <w:rPr>
          <w:rFonts w:ascii="Arial" w:hAnsi="Arial" w:cs="Arial"/>
          <w:sz w:val="24"/>
          <w:szCs w:val="24"/>
        </w:rPr>
        <w:t>We would especially like to thank Alan A Dispirito (Iowa State University, USA) for the kind provision of Methanobactin.</w:t>
      </w:r>
    </w:p>
    <w:p w:rsidR="00AA5521" w:rsidRPr="00E70C26" w:rsidRDefault="00AA5521" w:rsidP="00C90566">
      <w:pPr>
        <w:spacing w:line="480" w:lineRule="auto"/>
        <w:jc w:val="both"/>
        <w:rPr>
          <w:rFonts w:ascii="Arial" w:hAnsi="Arial" w:cs="Arial"/>
          <w:b/>
          <w:sz w:val="24"/>
          <w:szCs w:val="24"/>
        </w:rPr>
      </w:pPr>
      <w:r w:rsidRPr="00E70C26">
        <w:rPr>
          <w:rFonts w:ascii="Arial" w:hAnsi="Arial" w:cs="Arial"/>
          <w:b/>
          <w:sz w:val="24"/>
          <w:szCs w:val="24"/>
        </w:rPr>
        <w:t>References</w:t>
      </w:r>
    </w:p>
    <w:p w:rsidR="00AA5521" w:rsidRPr="005D2152" w:rsidRDefault="00AA5521" w:rsidP="005D2152">
      <w:pPr>
        <w:widowControl w:val="0"/>
        <w:autoSpaceDE w:val="0"/>
        <w:autoSpaceDN w:val="0"/>
        <w:adjustRightInd w:val="0"/>
        <w:spacing w:line="480" w:lineRule="auto"/>
        <w:ind w:left="640" w:hanging="640"/>
        <w:rPr>
          <w:rFonts w:ascii="Arial" w:hAnsi="Arial" w:cs="Arial"/>
          <w:noProof/>
          <w:sz w:val="24"/>
          <w:szCs w:val="24"/>
        </w:rPr>
      </w:pPr>
      <w:r w:rsidRPr="00E70C26">
        <w:rPr>
          <w:rFonts w:ascii="Arial" w:hAnsi="Arial" w:cs="Arial"/>
          <w:noProof/>
          <w:sz w:val="24"/>
          <w:szCs w:val="24"/>
        </w:rPr>
        <w:fldChar w:fldCharType="begin" w:fldLock="1"/>
      </w:r>
      <w:r w:rsidRPr="00E70C26">
        <w:rPr>
          <w:rFonts w:ascii="Arial" w:hAnsi="Arial" w:cs="Arial"/>
          <w:noProof/>
          <w:sz w:val="24"/>
          <w:szCs w:val="24"/>
        </w:rPr>
        <w:instrText xml:space="preserve">ADDIN Mendeley Bibliography CSL_BIBLIOGRAPHY </w:instrText>
      </w:r>
      <w:r w:rsidRPr="00E70C26">
        <w:rPr>
          <w:rFonts w:ascii="Arial" w:hAnsi="Arial" w:cs="Arial"/>
          <w:noProof/>
          <w:sz w:val="24"/>
          <w:szCs w:val="24"/>
        </w:rPr>
        <w:fldChar w:fldCharType="separate"/>
      </w:r>
      <w:r w:rsidRPr="005D2152">
        <w:rPr>
          <w:rFonts w:ascii="Arial" w:hAnsi="Arial" w:cs="Arial"/>
          <w:noProof/>
          <w:sz w:val="24"/>
          <w:szCs w:val="24"/>
        </w:rPr>
        <w:t>[1]</w:t>
      </w:r>
      <w:r w:rsidRPr="005D2152">
        <w:rPr>
          <w:rFonts w:ascii="Arial" w:hAnsi="Arial" w:cs="Arial"/>
          <w:noProof/>
          <w:sz w:val="24"/>
          <w:szCs w:val="24"/>
        </w:rPr>
        <w:tab/>
        <w:t>B.-E. Kim, T. Nevitt, D.J. Thiele, Mechanisms for copper acquisition, distribution and regulation., Nat. Chem. Biol. 4 (2008) 176–185. doi:10.1038/nchembio.72.</w:t>
      </w:r>
    </w:p>
    <w:p w:rsidR="00AA5521" w:rsidRPr="005D2152" w:rsidRDefault="00AA5521" w:rsidP="005D2152">
      <w:pPr>
        <w:widowControl w:val="0"/>
        <w:autoSpaceDE w:val="0"/>
        <w:autoSpaceDN w:val="0"/>
        <w:adjustRightInd w:val="0"/>
        <w:spacing w:line="480" w:lineRule="auto"/>
        <w:ind w:left="640" w:hanging="640"/>
        <w:rPr>
          <w:rFonts w:ascii="Arial" w:hAnsi="Arial" w:cs="Arial"/>
          <w:noProof/>
          <w:sz w:val="24"/>
          <w:szCs w:val="24"/>
        </w:rPr>
      </w:pPr>
      <w:r w:rsidRPr="005D2152">
        <w:rPr>
          <w:rFonts w:ascii="Arial" w:hAnsi="Arial" w:cs="Arial"/>
          <w:noProof/>
          <w:sz w:val="24"/>
          <w:szCs w:val="24"/>
        </w:rPr>
        <w:t>[2]</w:t>
      </w:r>
      <w:r w:rsidRPr="005D2152">
        <w:rPr>
          <w:rFonts w:ascii="Arial" w:hAnsi="Arial" w:cs="Arial"/>
          <w:noProof/>
          <w:sz w:val="24"/>
          <w:szCs w:val="24"/>
        </w:rPr>
        <w:tab/>
        <w:t>S.C. Leary, D.R. Winge, P.A. Cobine, “Pulling the plug” on cellular copper: The role of mitochondria in copper export, Biochim. Biophys. Acta. 1793 (2009) 146–153. doi:10.1016/j.bbamcr.2008.05.002.</w:t>
      </w:r>
    </w:p>
    <w:p w:rsidR="00AA5521" w:rsidRPr="005D2152" w:rsidRDefault="00AA5521" w:rsidP="005D2152">
      <w:pPr>
        <w:widowControl w:val="0"/>
        <w:autoSpaceDE w:val="0"/>
        <w:autoSpaceDN w:val="0"/>
        <w:adjustRightInd w:val="0"/>
        <w:spacing w:line="480" w:lineRule="auto"/>
        <w:ind w:left="640" w:hanging="640"/>
        <w:rPr>
          <w:rFonts w:ascii="Arial" w:hAnsi="Arial" w:cs="Arial"/>
          <w:noProof/>
          <w:sz w:val="24"/>
          <w:szCs w:val="24"/>
        </w:rPr>
      </w:pPr>
      <w:r w:rsidRPr="005D2152">
        <w:rPr>
          <w:rFonts w:ascii="Arial" w:hAnsi="Arial" w:cs="Arial"/>
          <w:noProof/>
          <w:sz w:val="24"/>
          <w:szCs w:val="24"/>
        </w:rPr>
        <w:t>[3]</w:t>
      </w:r>
      <w:r w:rsidRPr="005D2152">
        <w:rPr>
          <w:rFonts w:ascii="Arial" w:hAnsi="Arial" w:cs="Arial"/>
          <w:noProof/>
          <w:sz w:val="24"/>
          <w:szCs w:val="24"/>
        </w:rPr>
        <w:tab/>
        <w:t>P. de Bie, P. Muller, C. Wijmenga, L.W.J. Klomp, Molecular pathogenesis of Wilson and Menkes disease: correlation of mutations with molecular defects and disease phenotypes., J. Med. Genet. 44 (2007) 673–688. doi:10.1136/jmg.2007.052746.</w:t>
      </w:r>
    </w:p>
    <w:p w:rsidR="00AA5521" w:rsidRPr="005D2152" w:rsidRDefault="00AA5521" w:rsidP="005D2152">
      <w:pPr>
        <w:widowControl w:val="0"/>
        <w:autoSpaceDE w:val="0"/>
        <w:autoSpaceDN w:val="0"/>
        <w:adjustRightInd w:val="0"/>
        <w:spacing w:line="480" w:lineRule="auto"/>
        <w:ind w:left="640" w:hanging="640"/>
        <w:rPr>
          <w:rFonts w:ascii="Arial" w:hAnsi="Arial" w:cs="Arial"/>
          <w:noProof/>
          <w:sz w:val="24"/>
          <w:szCs w:val="24"/>
        </w:rPr>
      </w:pPr>
      <w:r w:rsidRPr="005D2152">
        <w:rPr>
          <w:rFonts w:ascii="Arial" w:hAnsi="Arial" w:cs="Arial"/>
          <w:noProof/>
          <w:sz w:val="24"/>
          <w:szCs w:val="24"/>
        </w:rPr>
        <w:t>[4]</w:t>
      </w:r>
      <w:r w:rsidRPr="005D2152">
        <w:rPr>
          <w:rFonts w:ascii="Arial" w:hAnsi="Arial" w:cs="Arial"/>
          <w:noProof/>
          <w:sz w:val="24"/>
          <w:szCs w:val="24"/>
        </w:rPr>
        <w:tab/>
        <w:t>A. Ala, A.P. Walker, K. Ashkan, J.S. Dooley, M.L. Schilsky, Wilson’s disease, Lancet. 369 (2007) 397–408. doi:10.1016/S0140-6736(07)60196-2.</w:t>
      </w:r>
    </w:p>
    <w:p w:rsidR="00AA5521" w:rsidRPr="005D2152" w:rsidRDefault="00AA5521" w:rsidP="005D2152">
      <w:pPr>
        <w:widowControl w:val="0"/>
        <w:autoSpaceDE w:val="0"/>
        <w:autoSpaceDN w:val="0"/>
        <w:adjustRightInd w:val="0"/>
        <w:spacing w:line="480" w:lineRule="auto"/>
        <w:ind w:left="640" w:hanging="640"/>
        <w:rPr>
          <w:rFonts w:ascii="Arial" w:hAnsi="Arial" w:cs="Arial"/>
          <w:noProof/>
          <w:sz w:val="24"/>
          <w:szCs w:val="24"/>
        </w:rPr>
      </w:pPr>
      <w:r w:rsidRPr="005D2152">
        <w:rPr>
          <w:rFonts w:ascii="Arial" w:hAnsi="Arial" w:cs="Arial"/>
          <w:noProof/>
          <w:sz w:val="24"/>
          <w:szCs w:val="24"/>
        </w:rPr>
        <w:t>[5]</w:t>
      </w:r>
      <w:r w:rsidRPr="005D2152">
        <w:rPr>
          <w:rFonts w:ascii="Arial" w:hAnsi="Arial" w:cs="Arial"/>
          <w:noProof/>
          <w:sz w:val="24"/>
          <w:szCs w:val="24"/>
        </w:rPr>
        <w:tab/>
        <w:t>R. Purchase, The treatment of Wilson’s disease, a rare genetic disorder of copper metabolism, Sci. Prog. 96 (2013) 19–32. doi:10.3184/003685013X13587771579987.</w:t>
      </w:r>
    </w:p>
    <w:p w:rsidR="00AA5521" w:rsidRPr="005D2152" w:rsidRDefault="00AA5521" w:rsidP="005D2152">
      <w:pPr>
        <w:widowControl w:val="0"/>
        <w:autoSpaceDE w:val="0"/>
        <w:autoSpaceDN w:val="0"/>
        <w:adjustRightInd w:val="0"/>
        <w:spacing w:line="480" w:lineRule="auto"/>
        <w:ind w:left="640" w:hanging="640"/>
        <w:rPr>
          <w:rFonts w:ascii="Arial" w:hAnsi="Arial" w:cs="Arial"/>
          <w:noProof/>
          <w:sz w:val="24"/>
          <w:szCs w:val="24"/>
        </w:rPr>
      </w:pPr>
      <w:r w:rsidRPr="005D2152">
        <w:rPr>
          <w:rFonts w:ascii="Arial" w:hAnsi="Arial" w:cs="Arial"/>
          <w:noProof/>
          <w:sz w:val="24"/>
          <w:szCs w:val="24"/>
        </w:rPr>
        <w:t>[6]</w:t>
      </w:r>
      <w:r w:rsidRPr="005D2152">
        <w:rPr>
          <w:rFonts w:ascii="Arial" w:hAnsi="Arial" w:cs="Arial"/>
          <w:noProof/>
          <w:sz w:val="24"/>
          <w:szCs w:val="24"/>
        </w:rPr>
        <w:tab/>
        <w:t>E.A. Roberts, M.L. Schilsky, Diagnosis and treatment of Wilson disease: An update, Hepatology. 47 (2008) 2089–2111. doi:10.1002/hep.22261.</w:t>
      </w:r>
    </w:p>
    <w:p w:rsidR="00AA5521" w:rsidRPr="005D2152" w:rsidRDefault="00AA5521" w:rsidP="005D2152">
      <w:pPr>
        <w:widowControl w:val="0"/>
        <w:autoSpaceDE w:val="0"/>
        <w:autoSpaceDN w:val="0"/>
        <w:adjustRightInd w:val="0"/>
        <w:spacing w:line="480" w:lineRule="auto"/>
        <w:ind w:left="640" w:hanging="640"/>
        <w:rPr>
          <w:rFonts w:ascii="Arial" w:hAnsi="Arial" w:cs="Arial"/>
          <w:noProof/>
          <w:sz w:val="24"/>
          <w:szCs w:val="24"/>
        </w:rPr>
      </w:pPr>
      <w:r w:rsidRPr="005D2152">
        <w:rPr>
          <w:rFonts w:ascii="Arial" w:hAnsi="Arial" w:cs="Arial"/>
          <w:noProof/>
          <w:sz w:val="24"/>
          <w:szCs w:val="24"/>
        </w:rPr>
        <w:t>[7]</w:t>
      </w:r>
      <w:r w:rsidRPr="005D2152">
        <w:rPr>
          <w:rFonts w:ascii="Arial" w:hAnsi="Arial" w:cs="Arial"/>
          <w:noProof/>
          <w:sz w:val="24"/>
          <w:szCs w:val="24"/>
        </w:rPr>
        <w:tab/>
        <w:t>I.H. Scheinberg, I. Sternlieb, M. Schilsky, R.J. Stockert, Penicillamine may detoxify copper in Wilson’s disease, Lancet. 330 (1987) 95. doi:10.1016/S0140-6736(87)92753-X.</w:t>
      </w:r>
    </w:p>
    <w:p w:rsidR="00AA5521" w:rsidRPr="005D2152" w:rsidRDefault="00AA5521" w:rsidP="005D2152">
      <w:pPr>
        <w:widowControl w:val="0"/>
        <w:autoSpaceDE w:val="0"/>
        <w:autoSpaceDN w:val="0"/>
        <w:adjustRightInd w:val="0"/>
        <w:spacing w:line="480" w:lineRule="auto"/>
        <w:ind w:left="640" w:hanging="640"/>
        <w:rPr>
          <w:rFonts w:ascii="Arial" w:hAnsi="Arial" w:cs="Arial"/>
          <w:noProof/>
          <w:sz w:val="24"/>
          <w:szCs w:val="24"/>
        </w:rPr>
      </w:pPr>
      <w:r w:rsidRPr="005D2152">
        <w:rPr>
          <w:rFonts w:ascii="Arial" w:hAnsi="Arial" w:cs="Arial"/>
          <w:noProof/>
          <w:sz w:val="24"/>
          <w:szCs w:val="24"/>
        </w:rPr>
        <w:t>[8]</w:t>
      </w:r>
      <w:r w:rsidRPr="005D2152">
        <w:rPr>
          <w:rFonts w:ascii="Arial" w:hAnsi="Arial" w:cs="Arial"/>
          <w:noProof/>
          <w:sz w:val="24"/>
          <w:szCs w:val="24"/>
        </w:rPr>
        <w:tab/>
        <w:t>S. Emre, E.O. Atillasoy, S. Ozdemir, M. Schilsky, C. V Rathna Varma, S.N. Thung, I. Sternlieb, S.R. Guy, P.A. Sheiner, M.E. Schwartz, C.M. Miller, Orthotopic liver transplantation for Wilson’s disease: a single-center experience., Transplantation. 72 (2001) 1232–1236. doi:0041-1337/01/7207-1232/0.</w:t>
      </w:r>
    </w:p>
    <w:p w:rsidR="00AA5521" w:rsidRPr="005D2152" w:rsidRDefault="00AA5521" w:rsidP="005D2152">
      <w:pPr>
        <w:widowControl w:val="0"/>
        <w:autoSpaceDE w:val="0"/>
        <w:autoSpaceDN w:val="0"/>
        <w:adjustRightInd w:val="0"/>
        <w:spacing w:line="480" w:lineRule="auto"/>
        <w:ind w:left="640" w:hanging="640"/>
        <w:rPr>
          <w:rFonts w:ascii="Arial" w:hAnsi="Arial" w:cs="Arial"/>
          <w:noProof/>
          <w:sz w:val="24"/>
          <w:szCs w:val="24"/>
        </w:rPr>
      </w:pPr>
      <w:r w:rsidRPr="005D2152">
        <w:rPr>
          <w:rFonts w:ascii="Arial" w:hAnsi="Arial" w:cs="Arial"/>
          <w:noProof/>
          <w:sz w:val="24"/>
          <w:szCs w:val="24"/>
        </w:rPr>
        <w:t>[9]</w:t>
      </w:r>
      <w:r w:rsidRPr="005D2152">
        <w:rPr>
          <w:rFonts w:ascii="Arial" w:hAnsi="Arial" w:cs="Arial"/>
          <w:noProof/>
          <w:sz w:val="24"/>
          <w:szCs w:val="24"/>
        </w:rPr>
        <w:tab/>
        <w:t>G.E. Kenney, A.C. Rosenzweig, Methanobactins: maintaining copper homeostasis in methanotrophs and beyond, J. Biol. Chem. (2018) jbc.TM117.000185. doi:10.1074/jbc.TM117.000185.</w:t>
      </w:r>
    </w:p>
    <w:p w:rsidR="00AA5521" w:rsidRPr="005D2152" w:rsidRDefault="00AA5521" w:rsidP="005D2152">
      <w:pPr>
        <w:widowControl w:val="0"/>
        <w:autoSpaceDE w:val="0"/>
        <w:autoSpaceDN w:val="0"/>
        <w:adjustRightInd w:val="0"/>
        <w:spacing w:line="480" w:lineRule="auto"/>
        <w:ind w:left="640" w:hanging="640"/>
        <w:rPr>
          <w:rFonts w:ascii="Arial" w:hAnsi="Arial" w:cs="Arial"/>
          <w:noProof/>
          <w:sz w:val="24"/>
          <w:szCs w:val="24"/>
        </w:rPr>
      </w:pPr>
      <w:r w:rsidRPr="005D2152">
        <w:rPr>
          <w:rFonts w:ascii="Arial" w:hAnsi="Arial" w:cs="Arial"/>
          <w:noProof/>
          <w:sz w:val="24"/>
          <w:szCs w:val="24"/>
        </w:rPr>
        <w:t>[10]</w:t>
      </w:r>
      <w:r w:rsidRPr="005D2152">
        <w:rPr>
          <w:rFonts w:ascii="Arial" w:hAnsi="Arial" w:cs="Arial"/>
          <w:noProof/>
          <w:sz w:val="24"/>
          <w:szCs w:val="24"/>
        </w:rPr>
        <w:tab/>
        <w:t>J. Lichtmannegger, C. Leitzinger, R. Wimmer, S. Schmitt, S. Schulz, Y. Kabiri, C. Eberhagen, T. Rieder, D. Janik, F. Neff, B.K. Straub, P. Schirmacher, A.A. Di Spirito, N. Bandow, B.S. Baral, A. Flatley, E. Kremmer, G. Denk, F.P. Reiter, S. Hohenester, F. Eckardt-Schupp, N.A. Dencher, J. Adamski, V. Sauer, C. Niemietz, H.H.J. Schmidt, U. Merle, D.N. Gotthardt, G. Kroemer, K.H. Weiss, H. Zischka, Methanobactin reverses acute liver failure in a rat model of Wilson disease, J. Clin. Invest. 126 (2016) 2721–2735. doi:10.1172/JCI85226.</w:t>
      </w:r>
    </w:p>
    <w:p w:rsidR="00AA5521" w:rsidRPr="005D2152" w:rsidRDefault="00AA5521" w:rsidP="005D2152">
      <w:pPr>
        <w:widowControl w:val="0"/>
        <w:autoSpaceDE w:val="0"/>
        <w:autoSpaceDN w:val="0"/>
        <w:adjustRightInd w:val="0"/>
        <w:spacing w:line="480" w:lineRule="auto"/>
        <w:ind w:left="640" w:hanging="640"/>
        <w:rPr>
          <w:rFonts w:ascii="Arial" w:hAnsi="Arial" w:cs="Arial"/>
          <w:noProof/>
          <w:sz w:val="24"/>
          <w:szCs w:val="24"/>
        </w:rPr>
      </w:pPr>
      <w:r w:rsidRPr="005D2152">
        <w:rPr>
          <w:rFonts w:ascii="Arial" w:hAnsi="Arial" w:cs="Arial"/>
          <w:noProof/>
          <w:sz w:val="24"/>
          <w:szCs w:val="24"/>
        </w:rPr>
        <w:t>[11]</w:t>
      </w:r>
      <w:r w:rsidRPr="005D2152">
        <w:rPr>
          <w:rFonts w:ascii="Arial" w:hAnsi="Arial" w:cs="Arial"/>
          <w:noProof/>
          <w:sz w:val="24"/>
          <w:szCs w:val="24"/>
        </w:rPr>
        <w:tab/>
        <w:t>O. Hachmöller, M. Aichler, K. Schwamborn, L. Lutz, M. Werner, M. Sperling, A. Walch, U. Karst, Element bioimaging of liver needle biopsy specimens from patients with Wilson’s disease by laser ablation-inductively coupled plasma-mass spectrometry, J. Trace Elem. Med. Biol. 35 (2016) 97–102. doi:10.1016/j.jtemb.2016.02.001.</w:t>
      </w:r>
    </w:p>
    <w:p w:rsidR="00AA5521" w:rsidRPr="005D2152" w:rsidRDefault="00AA5521" w:rsidP="005D2152">
      <w:pPr>
        <w:widowControl w:val="0"/>
        <w:autoSpaceDE w:val="0"/>
        <w:autoSpaceDN w:val="0"/>
        <w:adjustRightInd w:val="0"/>
        <w:spacing w:line="480" w:lineRule="auto"/>
        <w:ind w:left="640" w:hanging="640"/>
        <w:rPr>
          <w:rFonts w:ascii="Arial" w:hAnsi="Arial" w:cs="Arial"/>
          <w:noProof/>
          <w:sz w:val="24"/>
          <w:szCs w:val="24"/>
        </w:rPr>
      </w:pPr>
      <w:r w:rsidRPr="005D2152">
        <w:rPr>
          <w:rFonts w:ascii="Arial" w:hAnsi="Arial" w:cs="Arial"/>
          <w:noProof/>
          <w:sz w:val="24"/>
          <w:szCs w:val="24"/>
        </w:rPr>
        <w:t>[12]</w:t>
      </w:r>
      <w:r w:rsidRPr="005D2152">
        <w:rPr>
          <w:rFonts w:ascii="Arial" w:hAnsi="Arial" w:cs="Arial"/>
          <w:noProof/>
          <w:sz w:val="24"/>
          <w:szCs w:val="24"/>
        </w:rPr>
        <w:tab/>
        <w:t>O. Hachmöller, A. Zibert, H. Zischka, M. Sperling, S.</w:t>
      </w:r>
      <w:r>
        <w:rPr>
          <w:rFonts w:ascii="Arial" w:hAnsi="Arial" w:cs="Arial"/>
          <w:noProof/>
          <w:sz w:val="24"/>
          <w:szCs w:val="24"/>
        </w:rPr>
        <w:t xml:space="preserve"> </w:t>
      </w:r>
      <w:r w:rsidRPr="005D2152">
        <w:rPr>
          <w:rFonts w:ascii="Arial" w:hAnsi="Arial" w:cs="Arial"/>
          <w:noProof/>
          <w:sz w:val="24"/>
          <w:szCs w:val="24"/>
        </w:rPr>
        <w:t>R</w:t>
      </w:r>
      <w:r>
        <w:rPr>
          <w:rFonts w:ascii="Arial" w:hAnsi="Arial" w:cs="Arial"/>
          <w:noProof/>
          <w:sz w:val="24"/>
          <w:szCs w:val="24"/>
        </w:rPr>
        <w:t>einartz</w:t>
      </w:r>
      <w:r w:rsidRPr="005D2152">
        <w:rPr>
          <w:rFonts w:ascii="Arial" w:hAnsi="Arial" w:cs="Arial"/>
          <w:noProof/>
          <w:sz w:val="24"/>
          <w:szCs w:val="24"/>
        </w:rPr>
        <w:t xml:space="preserve"> Groba, I. Grünewald, E. Wardelmann, H.H.J. Schmidt, </w:t>
      </w:r>
      <w:r>
        <w:rPr>
          <w:rFonts w:ascii="Arial" w:hAnsi="Arial" w:cs="Arial"/>
          <w:noProof/>
          <w:sz w:val="24"/>
          <w:szCs w:val="24"/>
        </w:rPr>
        <w:t>U. Karst</w:t>
      </w:r>
      <w:r w:rsidRPr="005D2152">
        <w:rPr>
          <w:rFonts w:ascii="Arial" w:hAnsi="Arial" w:cs="Arial"/>
          <w:noProof/>
          <w:sz w:val="24"/>
          <w:szCs w:val="24"/>
        </w:rPr>
        <w:t>, Spatial investigation of the elemental distribution in Wilson’s disease liver after D-penicillamine treatment by LA-ICP-MS, J. Trace Elem. Med. Biol. 44 (2017) 26–31. doi:10.1016/j.jtemb.2017.05.008.</w:t>
      </w:r>
    </w:p>
    <w:p w:rsidR="00AA5521" w:rsidRPr="005D2152" w:rsidRDefault="00AA5521" w:rsidP="005D2152">
      <w:pPr>
        <w:widowControl w:val="0"/>
        <w:autoSpaceDE w:val="0"/>
        <w:autoSpaceDN w:val="0"/>
        <w:adjustRightInd w:val="0"/>
        <w:spacing w:line="480" w:lineRule="auto"/>
        <w:ind w:left="640" w:hanging="640"/>
        <w:rPr>
          <w:rFonts w:ascii="Arial" w:hAnsi="Arial" w:cs="Arial"/>
          <w:noProof/>
          <w:sz w:val="24"/>
          <w:szCs w:val="24"/>
        </w:rPr>
      </w:pPr>
      <w:r w:rsidRPr="005D2152">
        <w:rPr>
          <w:rFonts w:ascii="Arial" w:hAnsi="Arial" w:cs="Arial"/>
          <w:noProof/>
          <w:sz w:val="24"/>
          <w:szCs w:val="24"/>
        </w:rPr>
        <w:t>[13]</w:t>
      </w:r>
      <w:r w:rsidRPr="005D2152">
        <w:rPr>
          <w:rFonts w:ascii="Arial" w:hAnsi="Arial" w:cs="Arial"/>
          <w:noProof/>
          <w:sz w:val="24"/>
          <w:szCs w:val="24"/>
        </w:rPr>
        <w:tab/>
        <w:t>O. Hachmöller, M. Aichler, K. Schwamborn, L. Lutz, M. Werner, M. Sperling, A. Walch, U. Karst, Investigating the influence of standard staining procedures on the copper distribution and concentration in Wilson’s disease liver samples by laser ablation-inductively coupled plasma-mass spectrometry, J. Trace Elem. Med. Biol. 44 (2017) 71–75. doi:10.1016/j.jtemb.2017.06.002.</w:t>
      </w:r>
    </w:p>
    <w:p w:rsidR="00AA5521" w:rsidRPr="005D2152" w:rsidRDefault="00AA5521" w:rsidP="005D2152">
      <w:pPr>
        <w:widowControl w:val="0"/>
        <w:autoSpaceDE w:val="0"/>
        <w:autoSpaceDN w:val="0"/>
        <w:adjustRightInd w:val="0"/>
        <w:spacing w:line="480" w:lineRule="auto"/>
        <w:ind w:left="640" w:hanging="640"/>
        <w:rPr>
          <w:rFonts w:ascii="Arial" w:hAnsi="Arial" w:cs="Arial"/>
          <w:noProof/>
          <w:sz w:val="24"/>
          <w:szCs w:val="24"/>
        </w:rPr>
      </w:pPr>
      <w:r w:rsidRPr="005D2152">
        <w:rPr>
          <w:rFonts w:ascii="Arial" w:hAnsi="Arial" w:cs="Arial"/>
          <w:noProof/>
          <w:sz w:val="24"/>
          <w:szCs w:val="24"/>
        </w:rPr>
        <w:t>[14]</w:t>
      </w:r>
      <w:r w:rsidRPr="005D2152">
        <w:rPr>
          <w:rFonts w:ascii="Arial" w:hAnsi="Arial" w:cs="Arial"/>
          <w:noProof/>
          <w:sz w:val="24"/>
          <w:szCs w:val="24"/>
        </w:rPr>
        <w:tab/>
        <w:t>S. Ahmed, J. Deng, J. Borjigin, A new strain of rat for functional analysis of PINA, Mol. Brain Res. 137 (2005) 63–69. doi:10.1016/j.molbrainres.2005.02.025.</w:t>
      </w:r>
    </w:p>
    <w:p w:rsidR="00AA5521" w:rsidRPr="005D2152" w:rsidRDefault="00AA5521" w:rsidP="005D2152">
      <w:pPr>
        <w:widowControl w:val="0"/>
        <w:autoSpaceDE w:val="0"/>
        <w:autoSpaceDN w:val="0"/>
        <w:adjustRightInd w:val="0"/>
        <w:spacing w:line="480" w:lineRule="auto"/>
        <w:ind w:left="640" w:hanging="640"/>
        <w:rPr>
          <w:rFonts w:ascii="Arial" w:hAnsi="Arial" w:cs="Arial"/>
          <w:noProof/>
          <w:sz w:val="24"/>
          <w:szCs w:val="24"/>
        </w:rPr>
      </w:pPr>
      <w:r w:rsidRPr="005D2152">
        <w:rPr>
          <w:rFonts w:ascii="Arial" w:hAnsi="Arial" w:cs="Arial"/>
          <w:noProof/>
          <w:sz w:val="24"/>
          <w:szCs w:val="24"/>
        </w:rPr>
        <w:t>[15]</w:t>
      </w:r>
      <w:r w:rsidRPr="005D2152">
        <w:rPr>
          <w:rFonts w:ascii="Arial" w:hAnsi="Arial" w:cs="Arial"/>
          <w:noProof/>
          <w:sz w:val="24"/>
          <w:szCs w:val="24"/>
        </w:rPr>
        <w:tab/>
        <w:t>H. Zischka, J. Lichtmannegger, S. Schmitt, N. Jägemann, S. Schulz, D. Wartini, L. Jennen, C. Rust, N. Larochette, L. Galluzzi, V. Chajes, N. Bandow, V.S. Gilles, A.A. DiSpirito, I. Esposito, M. Goettlicher, K.H. Summer, G. Kroemer, Liver mitochondrial membrane crosslinking and destruction in a rat model of Wilson disease, J. Clin. Invest. 121 (2011) 1508–1518. doi:10.1172/JCI45401.</w:t>
      </w:r>
    </w:p>
    <w:p w:rsidR="00AA5521" w:rsidRPr="005D2152" w:rsidRDefault="00AA5521" w:rsidP="005D2152">
      <w:pPr>
        <w:widowControl w:val="0"/>
        <w:autoSpaceDE w:val="0"/>
        <w:autoSpaceDN w:val="0"/>
        <w:adjustRightInd w:val="0"/>
        <w:spacing w:line="480" w:lineRule="auto"/>
        <w:ind w:left="640" w:hanging="640"/>
        <w:rPr>
          <w:rFonts w:ascii="Arial" w:hAnsi="Arial" w:cs="Arial"/>
          <w:noProof/>
          <w:sz w:val="24"/>
        </w:rPr>
      </w:pPr>
      <w:r w:rsidRPr="005D2152">
        <w:rPr>
          <w:rFonts w:ascii="Arial" w:hAnsi="Arial" w:cs="Arial"/>
          <w:noProof/>
          <w:sz w:val="24"/>
          <w:szCs w:val="24"/>
        </w:rPr>
        <w:t>[16]</w:t>
      </w:r>
      <w:r w:rsidRPr="005D2152">
        <w:rPr>
          <w:rFonts w:ascii="Arial" w:hAnsi="Arial" w:cs="Arial"/>
          <w:noProof/>
          <w:sz w:val="24"/>
          <w:szCs w:val="24"/>
        </w:rPr>
        <w:tab/>
        <w:t>J.W. McCabe, R. Vangala, L.A. Angel, Binding Selectivity of Methanobactin from Methylosinus trichosporium OB3b for Copper(I), Silver(I), Zinc(II), Nickel(II), Cobalt(II), Manganese(II), Lead(II), and Iron(II), J. Am. Soc. Mass Spectrom. 28 (2017) 2588–2601. doi:10.1007/s13361-017-1778-9.</w:t>
      </w:r>
    </w:p>
    <w:p w:rsidR="00AA5521" w:rsidRPr="00E70C26" w:rsidRDefault="00AA5521" w:rsidP="00C90566">
      <w:pPr>
        <w:spacing w:line="480" w:lineRule="auto"/>
        <w:jc w:val="both"/>
        <w:rPr>
          <w:rFonts w:ascii="Arial" w:hAnsi="Arial" w:cs="Arial"/>
          <w:b/>
          <w:sz w:val="24"/>
          <w:szCs w:val="24"/>
        </w:rPr>
      </w:pPr>
      <w:r w:rsidRPr="00E70C26">
        <w:rPr>
          <w:rFonts w:ascii="Arial" w:hAnsi="Arial" w:cs="Arial"/>
          <w:noProof/>
          <w:sz w:val="24"/>
          <w:szCs w:val="24"/>
        </w:rPr>
        <w:fldChar w:fldCharType="end"/>
      </w:r>
      <w:r w:rsidRPr="00E70C26">
        <w:rPr>
          <w:rFonts w:ascii="Arial" w:hAnsi="Arial" w:cs="Arial"/>
          <w:b/>
          <w:sz w:val="24"/>
          <w:szCs w:val="24"/>
        </w:rPr>
        <w:br w:type="column"/>
        <w:t>Figure captions</w:t>
      </w:r>
    </w:p>
    <w:p w:rsidR="00AA5521" w:rsidRPr="00E70C26" w:rsidRDefault="00AA5521" w:rsidP="00961F92">
      <w:pPr>
        <w:spacing w:line="480" w:lineRule="auto"/>
        <w:jc w:val="both"/>
        <w:rPr>
          <w:rFonts w:ascii="Arial" w:hAnsi="Arial" w:cs="Arial"/>
          <w:sz w:val="24"/>
          <w:szCs w:val="24"/>
        </w:rPr>
      </w:pPr>
      <w:r w:rsidRPr="00E70C26">
        <w:rPr>
          <w:rFonts w:ascii="Arial" w:hAnsi="Arial" w:cs="Arial"/>
          <w:sz w:val="24"/>
          <w:szCs w:val="24"/>
        </w:rPr>
        <w:t xml:space="preserve">Figure 1: Comparison of a) a healthy and b) a diseased control rat liver sample. The bright field microscopic images (left) as well as the iron, copper and zinc distributions obtained by LA-ICP-MS </w:t>
      </w:r>
      <w:r>
        <w:rPr>
          <w:rFonts w:ascii="Arial" w:hAnsi="Arial" w:cs="Arial"/>
          <w:sz w:val="24"/>
          <w:szCs w:val="24"/>
        </w:rPr>
        <w:t>analysis</w:t>
      </w:r>
      <w:r w:rsidRPr="00E70C26">
        <w:rPr>
          <w:rFonts w:ascii="Arial" w:hAnsi="Arial" w:cs="Arial"/>
          <w:sz w:val="24"/>
          <w:szCs w:val="24"/>
        </w:rPr>
        <w:t xml:space="preserve"> with a laser spot size of 25 µm are shown.</w:t>
      </w:r>
    </w:p>
    <w:p w:rsidR="00AA5521" w:rsidRPr="00E70C26" w:rsidRDefault="00AA5521" w:rsidP="00961F92">
      <w:pPr>
        <w:spacing w:line="480" w:lineRule="auto"/>
        <w:jc w:val="both"/>
        <w:rPr>
          <w:rFonts w:ascii="Arial" w:hAnsi="Arial" w:cs="Arial"/>
          <w:sz w:val="24"/>
          <w:szCs w:val="24"/>
        </w:rPr>
      </w:pPr>
      <w:r w:rsidRPr="00E70C26">
        <w:rPr>
          <w:rFonts w:ascii="Arial" w:hAnsi="Arial" w:cs="Arial"/>
          <w:sz w:val="24"/>
          <w:szCs w:val="24"/>
        </w:rPr>
        <w:t xml:space="preserve">Figure 2: Comparison of the liver tissue of a) an animal treated with the lower MB dose of 62.5 mg/kg bodyweight, b) an animal treated with the higher MB dose of 150 mg/kg bodyweight and c) an animal, which experienced two drug-free phases after two treatment periods. The bright field microscopic images (left) as well as the LA-ICP-MS images (25 µm laser spot size) of </w:t>
      </w:r>
      <w:r>
        <w:rPr>
          <w:rFonts w:ascii="Arial" w:hAnsi="Arial" w:cs="Arial"/>
          <w:sz w:val="24"/>
          <w:szCs w:val="24"/>
        </w:rPr>
        <w:t>iron, copper and zinc</w:t>
      </w:r>
      <w:r w:rsidRPr="00E70C26">
        <w:rPr>
          <w:rFonts w:ascii="Arial" w:hAnsi="Arial" w:cs="Arial"/>
          <w:sz w:val="24"/>
          <w:szCs w:val="24"/>
        </w:rPr>
        <w:t xml:space="preserve"> are shown.</w:t>
      </w:r>
    </w:p>
    <w:p w:rsidR="00AA5521" w:rsidRPr="00E70C26" w:rsidRDefault="00AA5521" w:rsidP="00961F92">
      <w:pPr>
        <w:spacing w:line="480" w:lineRule="auto"/>
        <w:jc w:val="both"/>
        <w:rPr>
          <w:rFonts w:ascii="Arial" w:hAnsi="Arial" w:cs="Arial"/>
          <w:sz w:val="24"/>
          <w:szCs w:val="24"/>
        </w:rPr>
      </w:pPr>
      <w:r w:rsidRPr="00E70C26">
        <w:rPr>
          <w:rFonts w:ascii="Arial" w:hAnsi="Arial" w:cs="Arial"/>
          <w:sz w:val="24"/>
          <w:szCs w:val="24"/>
        </w:rPr>
        <w:t>Figure 3: Bright field microscopic images (upper row) and high spatial resolution LA-ICP-MS images (4 µm laser spot size, lower row) of Cu. The images for a) the healthy control liver tissue, b) the diseased control liver tissue, c) the animal treated with the lower MB dose of 62.5 mg/kg bodyweight and d) the animal treated with the higher MB dose of 150 mg/kg bodyweight are shown. The copper concentration scale refers to all images; the white scale bar indicates 100 µm.</w:t>
      </w:r>
    </w:p>
    <w:p w:rsidR="00AA5521" w:rsidRDefault="00AA5521" w:rsidP="00961F92">
      <w:pPr>
        <w:spacing w:line="480" w:lineRule="auto"/>
        <w:jc w:val="both"/>
        <w:rPr>
          <w:rFonts w:ascii="Arial" w:hAnsi="Arial" w:cs="Arial"/>
          <w:sz w:val="24"/>
          <w:szCs w:val="24"/>
        </w:rPr>
      </w:pPr>
      <w:r>
        <w:rPr>
          <w:rFonts w:ascii="Arial" w:hAnsi="Arial" w:cs="Arial"/>
          <w:sz w:val="24"/>
          <w:szCs w:val="24"/>
        </w:rPr>
        <w:t>Figure 4</w:t>
      </w:r>
      <w:r w:rsidRPr="00E70C26">
        <w:rPr>
          <w:rFonts w:ascii="Arial" w:hAnsi="Arial" w:cs="Arial"/>
          <w:sz w:val="24"/>
          <w:szCs w:val="24"/>
        </w:rPr>
        <w:t>: Monochromatic LA-ICP-MS image (4 µm laser spot size) of the Cu distribution of the animal treated with the lower MB dose of 62.5 mg/kg bodyweight as shown in Figure 4 (sample 3a). The average copper concentrations of three hotspots (green circles), three areas near blood vessels (blue circles) and three reference areas (grey circles) are plotted on the right side (n=3). The average copper concentration in the tissue was determined by means of ICP-OES.</w:t>
      </w:r>
    </w:p>
    <w:p w:rsidR="00AA5521" w:rsidRPr="00E70C26" w:rsidRDefault="00AA5521" w:rsidP="00961F92">
      <w:pPr>
        <w:spacing w:line="480" w:lineRule="auto"/>
        <w:jc w:val="both"/>
        <w:rPr>
          <w:rFonts w:ascii="Arial" w:hAnsi="Arial" w:cs="Arial"/>
          <w:sz w:val="24"/>
          <w:szCs w:val="24"/>
        </w:rPr>
      </w:pPr>
      <w:r>
        <w:rPr>
          <w:rFonts w:ascii="Arial" w:hAnsi="Arial" w:cs="Arial"/>
          <w:sz w:val="24"/>
          <w:szCs w:val="24"/>
        </w:rPr>
        <w:t>Figure 5</w:t>
      </w:r>
      <w:r w:rsidRPr="00E70C26">
        <w:rPr>
          <w:rFonts w:ascii="Arial" w:hAnsi="Arial" w:cs="Arial"/>
          <w:sz w:val="24"/>
          <w:szCs w:val="24"/>
        </w:rPr>
        <w:t>: Cu distribution maps (LA-ICP-MS, 4 µm spot size) with modified concentration scale to visualize the hotspot regions for a) the diseased control sample and b) the sample treated with the lower MB dose of 62.5 mg/kg bodyweight (see also Figure 3). Diagram c) shows the size distributions of the hotspots in the ablated areas of the diseased control sample (n=54) and the MB treated animal (n=12), d) shows the corresponding copper concentration in the hotspots.</w:t>
      </w:r>
    </w:p>
    <w:p w:rsidR="00AA5521" w:rsidRDefault="00AA5521" w:rsidP="00961F92">
      <w:pPr>
        <w:spacing w:line="480" w:lineRule="auto"/>
        <w:jc w:val="both"/>
        <w:rPr>
          <w:rFonts w:ascii="Arial" w:hAnsi="Arial" w:cs="Arial"/>
          <w:sz w:val="24"/>
          <w:szCs w:val="24"/>
        </w:rPr>
      </w:pPr>
    </w:p>
    <w:p w:rsidR="00AA5521" w:rsidRPr="00E70C26" w:rsidRDefault="00AA5521" w:rsidP="00961F92">
      <w:pPr>
        <w:spacing w:line="480" w:lineRule="auto"/>
        <w:jc w:val="both"/>
        <w:rPr>
          <w:rFonts w:ascii="Arial" w:hAnsi="Arial" w:cs="Arial"/>
          <w:sz w:val="24"/>
          <w:szCs w:val="24"/>
        </w:rPr>
      </w:pPr>
      <w:r>
        <w:rPr>
          <w:rFonts w:ascii="Arial" w:hAnsi="Arial" w:cs="Arial"/>
          <w:sz w:val="24"/>
          <w:szCs w:val="24"/>
        </w:rPr>
        <w:t>Figure A.1</w:t>
      </w:r>
      <w:r w:rsidRPr="00E70C26">
        <w:rPr>
          <w:rFonts w:ascii="Arial" w:hAnsi="Arial" w:cs="Arial"/>
          <w:sz w:val="24"/>
          <w:szCs w:val="24"/>
        </w:rPr>
        <w:t>: Additional bright field microscopic images (upper row) and high spatial resolution LA-ICP-MS images (4 µm laser spot size, lower row) of Cu for a) the healthy control sample 1a and b) the healthy control sample 1b (two sections). The copper concentration scale refers to all images; the white scale bar indicates 100 µm.</w:t>
      </w:r>
    </w:p>
    <w:p w:rsidR="00AA5521" w:rsidRPr="00E70C26" w:rsidRDefault="00AA5521" w:rsidP="00961F92">
      <w:pPr>
        <w:spacing w:line="480" w:lineRule="auto"/>
        <w:jc w:val="both"/>
        <w:rPr>
          <w:rFonts w:ascii="Arial" w:hAnsi="Arial" w:cs="Arial"/>
          <w:sz w:val="24"/>
          <w:szCs w:val="24"/>
        </w:rPr>
      </w:pPr>
      <w:r>
        <w:rPr>
          <w:rFonts w:ascii="Arial" w:hAnsi="Arial" w:cs="Arial"/>
          <w:sz w:val="24"/>
          <w:szCs w:val="24"/>
        </w:rPr>
        <w:t>Figure A.2</w:t>
      </w:r>
      <w:r w:rsidRPr="00E70C26">
        <w:rPr>
          <w:rFonts w:ascii="Arial" w:hAnsi="Arial" w:cs="Arial"/>
          <w:sz w:val="24"/>
          <w:szCs w:val="24"/>
        </w:rPr>
        <w:t>: Additional bright field microscopic images (upper row) and high spatial resolution LA-ICP-MS images (4 µm laser spot size, lower row) of Cu for a) the diseased control sample 2a and b) the diseased control sample 2b. The copper concentration scale refers to all images; the white scale bar indicates 100 µm.</w:t>
      </w:r>
    </w:p>
    <w:p w:rsidR="00AA5521" w:rsidRPr="00E70C26" w:rsidRDefault="00AA5521" w:rsidP="00961F92">
      <w:pPr>
        <w:spacing w:line="480" w:lineRule="auto"/>
        <w:jc w:val="both"/>
        <w:rPr>
          <w:rFonts w:ascii="Arial" w:hAnsi="Arial" w:cs="Arial"/>
          <w:sz w:val="24"/>
          <w:szCs w:val="24"/>
        </w:rPr>
      </w:pPr>
      <w:r>
        <w:rPr>
          <w:rFonts w:ascii="Arial" w:hAnsi="Arial" w:cs="Arial"/>
          <w:sz w:val="24"/>
          <w:szCs w:val="24"/>
        </w:rPr>
        <w:t>Figure A.3</w:t>
      </w:r>
      <w:r w:rsidRPr="00E70C26">
        <w:rPr>
          <w:rFonts w:ascii="Arial" w:hAnsi="Arial" w:cs="Arial"/>
          <w:sz w:val="24"/>
          <w:szCs w:val="24"/>
        </w:rPr>
        <w:t>: Additional bright field microscopic images (upper row) and high spatial resolution LA-ICP-MS images (4 µm laser spot size, lower row) of Cu for a) sample 3a, b) sample 3b, both treated with the lower MB dose of 62.5 mg/kg bodyweight and c) sample 4a treated with the higher MB dose of 150 mg/kg bodyweight. The copper concentration scale refers to all images; the white scale bar indicates 100 µm.</w:t>
      </w:r>
    </w:p>
    <w:p w:rsidR="00AA5521" w:rsidRDefault="00AA5521" w:rsidP="00961F92">
      <w:pPr>
        <w:spacing w:line="480" w:lineRule="auto"/>
        <w:jc w:val="both"/>
        <w:rPr>
          <w:rFonts w:ascii="Arial" w:hAnsi="Arial" w:cs="Arial"/>
          <w:sz w:val="24"/>
          <w:szCs w:val="24"/>
        </w:rPr>
      </w:pPr>
      <w:r>
        <w:rPr>
          <w:rFonts w:ascii="Arial" w:hAnsi="Arial" w:cs="Arial"/>
          <w:sz w:val="24"/>
          <w:szCs w:val="24"/>
        </w:rPr>
        <w:t>Figure A.4</w:t>
      </w:r>
      <w:r w:rsidRPr="00E70C26">
        <w:rPr>
          <w:rFonts w:ascii="Arial" w:hAnsi="Arial" w:cs="Arial"/>
          <w:sz w:val="24"/>
          <w:szCs w:val="24"/>
        </w:rPr>
        <w:t>: Additional bright field microscopic images (uppe</w:t>
      </w:r>
      <w:r>
        <w:rPr>
          <w:rFonts w:ascii="Arial" w:hAnsi="Arial" w:cs="Arial"/>
          <w:sz w:val="24"/>
          <w:szCs w:val="24"/>
        </w:rPr>
        <w:t>r row) and LA-ICP-MS images (25 </w:t>
      </w:r>
      <w:r w:rsidRPr="00E70C26">
        <w:rPr>
          <w:rFonts w:ascii="Arial" w:hAnsi="Arial" w:cs="Arial"/>
          <w:sz w:val="24"/>
          <w:szCs w:val="24"/>
        </w:rPr>
        <w:t xml:space="preserve">µm laser spot size, lower row) of </w:t>
      </w:r>
      <w:r>
        <w:rPr>
          <w:rFonts w:ascii="Arial" w:hAnsi="Arial" w:cs="Arial"/>
          <w:sz w:val="24"/>
          <w:szCs w:val="24"/>
        </w:rPr>
        <w:t>Cu for the drug holiday sample 5</w:t>
      </w:r>
      <w:r w:rsidRPr="00E70C26">
        <w:rPr>
          <w:rFonts w:ascii="Arial" w:hAnsi="Arial" w:cs="Arial"/>
          <w:sz w:val="24"/>
          <w:szCs w:val="24"/>
        </w:rPr>
        <w:t>a. The copper concentration scale refers to both images.</w:t>
      </w:r>
    </w:p>
    <w:p w:rsidR="00AA5521" w:rsidRPr="00E70C26" w:rsidRDefault="00AA5521" w:rsidP="00961F92">
      <w:pPr>
        <w:spacing w:line="480" w:lineRule="auto"/>
        <w:jc w:val="both"/>
        <w:rPr>
          <w:rFonts w:ascii="Arial" w:hAnsi="Arial" w:cs="Arial"/>
          <w:sz w:val="24"/>
          <w:szCs w:val="24"/>
        </w:rPr>
      </w:pPr>
      <w:r>
        <w:rPr>
          <w:rFonts w:ascii="Arial" w:hAnsi="Arial" w:cs="Arial"/>
          <w:sz w:val="24"/>
          <w:szCs w:val="24"/>
        </w:rPr>
        <w:t>Figure A.5</w:t>
      </w:r>
      <w:r w:rsidRPr="00661075">
        <w:rPr>
          <w:rFonts w:ascii="Arial" w:hAnsi="Arial" w:cs="Arial"/>
          <w:sz w:val="24"/>
          <w:szCs w:val="24"/>
        </w:rPr>
        <w:t xml:space="preserve">: </w:t>
      </w:r>
      <w:r>
        <w:rPr>
          <w:rFonts w:ascii="Arial" w:hAnsi="Arial" w:cs="Arial"/>
          <w:sz w:val="24"/>
          <w:szCs w:val="24"/>
        </w:rPr>
        <w:t>B</w:t>
      </w:r>
      <w:r w:rsidRPr="00661075">
        <w:rPr>
          <w:rFonts w:ascii="Arial" w:hAnsi="Arial" w:cs="Arial"/>
          <w:sz w:val="24"/>
          <w:szCs w:val="24"/>
        </w:rPr>
        <w:t>right field microscopic images (upper row) and high spatial resolution LA-ICP-MS images (4</w:t>
      </w:r>
      <w:r>
        <w:rPr>
          <w:rFonts w:ascii="Arial" w:hAnsi="Arial" w:cs="Arial"/>
          <w:sz w:val="24"/>
          <w:szCs w:val="24"/>
        </w:rPr>
        <w:t> </w:t>
      </w:r>
      <w:r w:rsidRPr="00661075">
        <w:rPr>
          <w:rFonts w:ascii="Arial" w:hAnsi="Arial" w:cs="Arial"/>
          <w:sz w:val="24"/>
          <w:szCs w:val="24"/>
        </w:rPr>
        <w:t>µm laser spot size, lower row) of Cu from different regions (a, b and c) of the drug holiday sample 5a. The copper concentration scale refers to all images; the white scale bar indicates 100</w:t>
      </w:r>
      <w:r>
        <w:rPr>
          <w:rFonts w:ascii="Arial" w:hAnsi="Arial" w:cs="Arial"/>
          <w:sz w:val="24"/>
          <w:szCs w:val="24"/>
        </w:rPr>
        <w:t> </w:t>
      </w:r>
      <w:r w:rsidRPr="00661075">
        <w:rPr>
          <w:rFonts w:ascii="Arial" w:hAnsi="Arial" w:cs="Arial"/>
          <w:sz w:val="24"/>
          <w:szCs w:val="24"/>
        </w:rPr>
        <w:t>µm.</w:t>
      </w:r>
    </w:p>
    <w:p w:rsidR="00AA5521" w:rsidRPr="00E70C26" w:rsidRDefault="00AA5521" w:rsidP="00961F92">
      <w:pPr>
        <w:spacing w:line="480" w:lineRule="auto"/>
        <w:jc w:val="both"/>
        <w:rPr>
          <w:rFonts w:ascii="Arial" w:hAnsi="Arial" w:cs="Arial"/>
          <w:b/>
          <w:sz w:val="24"/>
          <w:szCs w:val="24"/>
        </w:rPr>
      </w:pPr>
      <w:r w:rsidRPr="00E70C26">
        <w:rPr>
          <w:rFonts w:ascii="Arial" w:hAnsi="Arial" w:cs="Arial"/>
          <w:sz w:val="24"/>
          <w:szCs w:val="24"/>
        </w:rPr>
        <w:br w:type="column"/>
      </w:r>
      <w:r>
        <w:rPr>
          <w:noProof/>
          <w:lang w:val="de-DE" w:eastAsia="de-DE"/>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6" o:spid="_x0000_s1026" type="#_x0000_t75" style="position:absolute;left:0;text-align:left;margin-left:0;margin-top:38.55pt;width:453.6pt;height:222.5pt;z-index:251653120;visibility:visible;mso-position-horizontal:center;mso-position-horizontal-relative:margin">
            <v:imagedata r:id="rId5" o:title=""/>
            <w10:wrap type="topAndBottom" anchorx="margin"/>
          </v:shape>
        </w:pict>
      </w:r>
      <w:r w:rsidRPr="00E70C26">
        <w:rPr>
          <w:rFonts w:ascii="Arial" w:hAnsi="Arial" w:cs="Arial"/>
          <w:b/>
          <w:sz w:val="24"/>
          <w:szCs w:val="24"/>
        </w:rPr>
        <w:t>Figures</w:t>
      </w:r>
    </w:p>
    <w:p w:rsidR="00AA5521" w:rsidRDefault="00AA5521" w:rsidP="00961F92">
      <w:pPr>
        <w:spacing w:line="480" w:lineRule="auto"/>
        <w:jc w:val="both"/>
        <w:rPr>
          <w:rFonts w:ascii="Arial" w:hAnsi="Arial" w:cs="Arial"/>
          <w:sz w:val="24"/>
          <w:szCs w:val="24"/>
        </w:rPr>
      </w:pPr>
    </w:p>
    <w:p w:rsidR="00AA5521" w:rsidRPr="00E70C26" w:rsidRDefault="00AA5521" w:rsidP="00961F92">
      <w:pPr>
        <w:spacing w:line="480" w:lineRule="auto"/>
        <w:jc w:val="both"/>
        <w:rPr>
          <w:rFonts w:ascii="Arial" w:hAnsi="Arial" w:cs="Arial"/>
          <w:sz w:val="24"/>
          <w:szCs w:val="24"/>
        </w:rPr>
      </w:pPr>
      <w:r w:rsidRPr="00E70C26">
        <w:rPr>
          <w:rFonts w:ascii="Arial" w:hAnsi="Arial" w:cs="Arial"/>
          <w:sz w:val="24"/>
          <w:szCs w:val="24"/>
        </w:rPr>
        <w:t>Figure 1</w:t>
      </w:r>
    </w:p>
    <w:p w:rsidR="00AA5521" w:rsidRPr="00E70C26" w:rsidRDefault="00AA5521" w:rsidP="00C90566">
      <w:pPr>
        <w:spacing w:line="480" w:lineRule="auto"/>
        <w:jc w:val="both"/>
        <w:rPr>
          <w:rFonts w:ascii="Arial" w:hAnsi="Arial" w:cs="Arial"/>
          <w:b/>
          <w:sz w:val="24"/>
          <w:szCs w:val="24"/>
        </w:rPr>
      </w:pPr>
      <w:r w:rsidRPr="00E70C26">
        <w:rPr>
          <w:rFonts w:ascii="Arial" w:hAnsi="Arial" w:cs="Arial"/>
          <w:b/>
          <w:sz w:val="24"/>
          <w:szCs w:val="24"/>
        </w:rPr>
        <w:br w:type="column"/>
      </w:r>
      <w:r>
        <w:rPr>
          <w:noProof/>
          <w:lang w:val="de-DE" w:eastAsia="de-DE"/>
        </w:rPr>
        <w:pict>
          <v:shape id="Grafik 12" o:spid="_x0000_s1027" type="#_x0000_t75" style="position:absolute;left:0;text-align:left;margin-left:0;margin-top:0;width:453.6pt;height:578.25pt;z-index:251654144;visibility:visible;mso-position-horizontal:center;mso-position-horizontal-relative:margin;mso-position-vertical:top;mso-position-vertical-relative:margin">
            <v:imagedata r:id="rId6" o:title=""/>
            <w10:wrap type="square" anchorx="margin" anchory="margin"/>
          </v:shape>
        </w:pict>
      </w:r>
    </w:p>
    <w:p w:rsidR="00AA5521" w:rsidRPr="00E70C26" w:rsidRDefault="00AA5521" w:rsidP="00C90566">
      <w:pPr>
        <w:spacing w:line="480" w:lineRule="auto"/>
        <w:jc w:val="both"/>
        <w:rPr>
          <w:rFonts w:ascii="Arial" w:hAnsi="Arial" w:cs="Arial"/>
          <w:sz w:val="24"/>
          <w:szCs w:val="24"/>
        </w:rPr>
      </w:pPr>
      <w:r w:rsidRPr="00E70C26">
        <w:rPr>
          <w:rFonts w:ascii="Arial" w:hAnsi="Arial" w:cs="Arial"/>
          <w:sz w:val="24"/>
          <w:szCs w:val="24"/>
        </w:rPr>
        <w:t>Figure 2</w:t>
      </w:r>
    </w:p>
    <w:p w:rsidR="00AA5521" w:rsidRPr="00E70C26" w:rsidRDefault="00AA5521" w:rsidP="00C90566">
      <w:pPr>
        <w:spacing w:line="480" w:lineRule="auto"/>
        <w:jc w:val="both"/>
        <w:rPr>
          <w:rFonts w:ascii="Arial" w:hAnsi="Arial" w:cs="Arial"/>
          <w:b/>
          <w:sz w:val="24"/>
          <w:szCs w:val="24"/>
        </w:rPr>
      </w:pPr>
      <w:r w:rsidRPr="00E70C26">
        <w:rPr>
          <w:rFonts w:ascii="Arial" w:hAnsi="Arial" w:cs="Arial"/>
          <w:b/>
          <w:sz w:val="24"/>
          <w:szCs w:val="24"/>
        </w:rPr>
        <w:br w:type="column"/>
      </w:r>
      <w:r>
        <w:rPr>
          <w:noProof/>
          <w:lang w:val="de-DE" w:eastAsia="de-DE"/>
        </w:rPr>
        <w:pict>
          <v:shape id="Grafik 13" o:spid="_x0000_s1028" type="#_x0000_t75" style="position:absolute;left:0;text-align:left;margin-left:0;margin-top:0;width:453.6pt;height:328.85pt;z-index:251655168;visibility:visible;mso-position-horizontal:center;mso-position-horizontal-relative:margin;mso-position-vertical:top;mso-position-vertical-relative:margin">
            <v:imagedata r:id="rId7" o:title=""/>
            <w10:wrap type="square" anchorx="margin" anchory="margin"/>
          </v:shape>
        </w:pict>
      </w:r>
    </w:p>
    <w:p w:rsidR="00AA5521" w:rsidRPr="00E70C26" w:rsidRDefault="00AA5521" w:rsidP="00C90566">
      <w:pPr>
        <w:spacing w:line="480" w:lineRule="auto"/>
        <w:jc w:val="both"/>
        <w:rPr>
          <w:rFonts w:ascii="Arial" w:hAnsi="Arial" w:cs="Arial"/>
          <w:sz w:val="24"/>
          <w:szCs w:val="24"/>
        </w:rPr>
      </w:pPr>
      <w:r w:rsidRPr="00E70C26">
        <w:rPr>
          <w:rFonts w:ascii="Arial" w:hAnsi="Arial" w:cs="Arial"/>
          <w:sz w:val="24"/>
          <w:szCs w:val="24"/>
        </w:rPr>
        <w:t>Figure 3</w:t>
      </w:r>
    </w:p>
    <w:p w:rsidR="00AA5521" w:rsidRPr="00E70C26" w:rsidRDefault="00AA5521" w:rsidP="00C90566">
      <w:pPr>
        <w:spacing w:line="480" w:lineRule="auto"/>
        <w:jc w:val="both"/>
        <w:rPr>
          <w:rFonts w:ascii="Arial" w:hAnsi="Arial" w:cs="Arial"/>
          <w:b/>
          <w:sz w:val="24"/>
          <w:szCs w:val="24"/>
        </w:rPr>
      </w:pPr>
      <w:r w:rsidRPr="00E70C26">
        <w:rPr>
          <w:rFonts w:ascii="Arial" w:hAnsi="Arial" w:cs="Arial"/>
          <w:b/>
          <w:sz w:val="24"/>
          <w:szCs w:val="24"/>
        </w:rPr>
        <w:br w:type="column"/>
      </w:r>
      <w:r>
        <w:rPr>
          <w:noProof/>
          <w:lang w:val="de-DE" w:eastAsia="de-DE"/>
        </w:rPr>
        <w:pict>
          <v:shape id="Grafik 15" o:spid="_x0000_s1029" type="#_x0000_t75" style="position:absolute;left:0;text-align:left;margin-left:0;margin-top:0;width:453.6pt;height:243.8pt;z-index:251657216;visibility:visible;mso-position-horizontal:center;mso-position-horizontal-relative:margin;mso-position-vertical:top;mso-position-vertical-relative:margin">
            <v:imagedata r:id="rId8" o:title=""/>
            <w10:wrap type="square" anchorx="margin" anchory="margin"/>
          </v:shape>
        </w:pict>
      </w:r>
    </w:p>
    <w:p w:rsidR="00AA5521" w:rsidRPr="00C9190F" w:rsidRDefault="00AA5521" w:rsidP="00C90566">
      <w:pPr>
        <w:spacing w:line="480" w:lineRule="auto"/>
        <w:jc w:val="both"/>
        <w:rPr>
          <w:rFonts w:ascii="Arial" w:hAnsi="Arial" w:cs="Arial"/>
          <w:sz w:val="24"/>
          <w:szCs w:val="24"/>
        </w:rPr>
      </w:pPr>
      <w:r>
        <w:rPr>
          <w:rFonts w:ascii="Arial" w:hAnsi="Arial" w:cs="Arial"/>
          <w:sz w:val="24"/>
          <w:szCs w:val="24"/>
        </w:rPr>
        <w:t>Figure 4</w:t>
      </w:r>
    </w:p>
    <w:p w:rsidR="00AA5521" w:rsidRPr="00E70C26" w:rsidRDefault="00AA5521" w:rsidP="00C90566">
      <w:pPr>
        <w:spacing w:line="480" w:lineRule="auto"/>
        <w:jc w:val="both"/>
        <w:rPr>
          <w:rFonts w:ascii="Arial" w:hAnsi="Arial" w:cs="Arial"/>
          <w:b/>
          <w:sz w:val="24"/>
          <w:szCs w:val="24"/>
        </w:rPr>
      </w:pPr>
      <w:r w:rsidRPr="00E70C26">
        <w:rPr>
          <w:rFonts w:ascii="Arial" w:hAnsi="Arial" w:cs="Arial"/>
          <w:b/>
          <w:sz w:val="24"/>
          <w:szCs w:val="24"/>
        </w:rPr>
        <w:br w:type="column"/>
      </w:r>
      <w:r>
        <w:rPr>
          <w:noProof/>
          <w:lang w:val="de-DE" w:eastAsia="de-DE"/>
        </w:rPr>
        <w:pict>
          <v:shape id="Grafik 14" o:spid="_x0000_s1030" type="#_x0000_t75" style="position:absolute;left:0;text-align:left;margin-left:0;margin-top:0;width:453.6pt;height:381.2pt;z-index:251656192;visibility:visible;mso-position-horizontal:center;mso-position-horizontal-relative:margin;mso-position-vertical:top;mso-position-vertical-relative:margin">
            <v:imagedata r:id="rId9" o:title=""/>
            <w10:wrap type="square" anchorx="margin" anchory="margin"/>
          </v:shape>
        </w:pict>
      </w:r>
    </w:p>
    <w:p w:rsidR="00AA5521" w:rsidRPr="00E70C26" w:rsidRDefault="00AA5521" w:rsidP="00C90566">
      <w:pPr>
        <w:spacing w:line="480" w:lineRule="auto"/>
        <w:jc w:val="both"/>
        <w:rPr>
          <w:rFonts w:ascii="Arial" w:hAnsi="Arial" w:cs="Arial"/>
          <w:sz w:val="24"/>
          <w:szCs w:val="24"/>
        </w:rPr>
      </w:pPr>
      <w:r>
        <w:rPr>
          <w:rFonts w:ascii="Arial" w:hAnsi="Arial" w:cs="Arial"/>
          <w:sz w:val="24"/>
          <w:szCs w:val="24"/>
        </w:rPr>
        <w:t>Figure 5</w:t>
      </w:r>
    </w:p>
    <w:p w:rsidR="00AA5521" w:rsidRPr="00E70C26" w:rsidRDefault="00AA5521" w:rsidP="00C90566">
      <w:pPr>
        <w:spacing w:line="480" w:lineRule="auto"/>
        <w:jc w:val="both"/>
        <w:rPr>
          <w:rFonts w:ascii="Arial" w:hAnsi="Arial" w:cs="Arial"/>
          <w:b/>
          <w:sz w:val="24"/>
          <w:szCs w:val="24"/>
        </w:rPr>
      </w:pPr>
      <w:r w:rsidRPr="00E70C26">
        <w:rPr>
          <w:rFonts w:ascii="Arial" w:hAnsi="Arial" w:cs="Arial"/>
          <w:b/>
          <w:sz w:val="24"/>
          <w:szCs w:val="24"/>
        </w:rPr>
        <w:br w:type="column"/>
      </w:r>
      <w:r>
        <w:rPr>
          <w:noProof/>
          <w:lang w:val="de-DE" w:eastAsia="de-DE"/>
        </w:rPr>
        <w:pict>
          <v:shape id="Grafik 16" o:spid="_x0000_s1031" type="#_x0000_t75" style="position:absolute;left:0;text-align:left;margin-left:0;margin-top:17.05pt;width:319.25pt;height:381.15pt;z-index:251658240;visibility:visible;mso-position-horizontal:center;mso-position-horizontal-relative:margin;mso-position-vertical-relative:margin">
            <v:imagedata r:id="rId10" o:title=""/>
            <w10:wrap type="topAndBottom" anchorx="margin" anchory="margin"/>
          </v:shape>
        </w:pict>
      </w:r>
      <w:r w:rsidRPr="00E70C26">
        <w:rPr>
          <w:rFonts w:ascii="Arial" w:hAnsi="Arial" w:cs="Arial"/>
          <w:b/>
          <w:sz w:val="24"/>
          <w:szCs w:val="24"/>
        </w:rPr>
        <w:t>Supplementary material</w:t>
      </w:r>
    </w:p>
    <w:p w:rsidR="00AA5521" w:rsidRPr="00E70C26" w:rsidRDefault="00AA5521" w:rsidP="00C90566">
      <w:pPr>
        <w:spacing w:line="480" w:lineRule="auto"/>
        <w:jc w:val="both"/>
        <w:rPr>
          <w:rFonts w:ascii="Arial" w:hAnsi="Arial" w:cs="Arial"/>
          <w:b/>
          <w:sz w:val="24"/>
          <w:szCs w:val="24"/>
        </w:rPr>
      </w:pPr>
    </w:p>
    <w:p w:rsidR="00AA5521" w:rsidRPr="00E70C26" w:rsidRDefault="00AA5521" w:rsidP="00C90566">
      <w:pPr>
        <w:spacing w:line="480" w:lineRule="auto"/>
        <w:jc w:val="both"/>
        <w:rPr>
          <w:rFonts w:ascii="Arial" w:hAnsi="Arial" w:cs="Arial"/>
          <w:sz w:val="24"/>
          <w:szCs w:val="24"/>
        </w:rPr>
      </w:pPr>
      <w:r>
        <w:rPr>
          <w:rFonts w:ascii="Arial" w:hAnsi="Arial" w:cs="Arial"/>
          <w:sz w:val="24"/>
          <w:szCs w:val="24"/>
        </w:rPr>
        <w:t>Figure A.1</w:t>
      </w:r>
    </w:p>
    <w:p w:rsidR="00AA5521" w:rsidRPr="00E70C26" w:rsidRDefault="00AA5521" w:rsidP="00C90566">
      <w:pPr>
        <w:spacing w:line="480" w:lineRule="auto"/>
        <w:jc w:val="both"/>
        <w:rPr>
          <w:rFonts w:ascii="Arial" w:hAnsi="Arial" w:cs="Arial"/>
          <w:sz w:val="24"/>
          <w:szCs w:val="24"/>
        </w:rPr>
      </w:pPr>
      <w:r w:rsidRPr="00E70C26">
        <w:rPr>
          <w:rFonts w:ascii="Arial" w:hAnsi="Arial" w:cs="Arial"/>
          <w:b/>
          <w:sz w:val="24"/>
          <w:szCs w:val="24"/>
        </w:rPr>
        <w:br w:type="column"/>
      </w:r>
      <w:r>
        <w:rPr>
          <w:noProof/>
          <w:lang w:val="de-DE" w:eastAsia="de-DE"/>
        </w:rPr>
        <w:pict>
          <v:shape id="Grafik 17" o:spid="_x0000_s1032" type="#_x0000_t75" style="position:absolute;left:0;text-align:left;margin-left:0;margin-top:0;width:434.4pt;height:377.3pt;z-index:251659264;visibility:visible;mso-position-horizontal:center;mso-position-horizontal-relative:margin;mso-position-vertical:top;mso-position-vertical-relative:margin">
            <v:imagedata r:id="rId11" o:title=""/>
            <w10:wrap type="square" anchorx="margin" anchory="margin"/>
          </v:shape>
        </w:pict>
      </w:r>
    </w:p>
    <w:p w:rsidR="00AA5521" w:rsidRPr="00E70C26" w:rsidRDefault="00AA5521" w:rsidP="00C90566">
      <w:pPr>
        <w:spacing w:line="480" w:lineRule="auto"/>
        <w:jc w:val="both"/>
        <w:rPr>
          <w:rFonts w:ascii="Arial" w:hAnsi="Arial" w:cs="Arial"/>
          <w:sz w:val="24"/>
          <w:szCs w:val="24"/>
        </w:rPr>
      </w:pPr>
      <w:r>
        <w:rPr>
          <w:rFonts w:ascii="Arial" w:hAnsi="Arial" w:cs="Arial"/>
          <w:sz w:val="24"/>
          <w:szCs w:val="24"/>
        </w:rPr>
        <w:t>Figure A.2</w:t>
      </w:r>
    </w:p>
    <w:p w:rsidR="00AA5521" w:rsidRPr="00E70C26" w:rsidRDefault="00AA5521" w:rsidP="00C90566">
      <w:pPr>
        <w:spacing w:line="480" w:lineRule="auto"/>
        <w:jc w:val="both"/>
        <w:rPr>
          <w:rFonts w:ascii="Arial" w:hAnsi="Arial" w:cs="Arial"/>
          <w:b/>
          <w:sz w:val="24"/>
          <w:szCs w:val="24"/>
        </w:rPr>
      </w:pPr>
      <w:r w:rsidRPr="00E70C26">
        <w:rPr>
          <w:rFonts w:ascii="Arial" w:hAnsi="Arial" w:cs="Arial"/>
          <w:b/>
          <w:sz w:val="24"/>
          <w:szCs w:val="24"/>
        </w:rPr>
        <w:br w:type="column"/>
      </w:r>
      <w:r>
        <w:rPr>
          <w:noProof/>
          <w:lang w:val="de-DE" w:eastAsia="de-DE"/>
        </w:rPr>
        <w:pict>
          <v:shape id="Grafik 18" o:spid="_x0000_s1033" type="#_x0000_t75" style="position:absolute;left:0;text-align:left;margin-left:0;margin-top:0;width:401.75pt;height:602.9pt;z-index:251660288;visibility:visible;mso-position-horizontal:center;mso-position-horizontal-relative:margin;mso-position-vertical:top;mso-position-vertical-relative:margin">
            <v:imagedata r:id="rId12" o:title=""/>
            <w10:wrap type="square" anchorx="margin" anchory="margin"/>
          </v:shape>
        </w:pict>
      </w:r>
    </w:p>
    <w:p w:rsidR="00AA5521" w:rsidRPr="00E70C26" w:rsidRDefault="00AA5521" w:rsidP="00C90566">
      <w:pPr>
        <w:spacing w:line="480" w:lineRule="auto"/>
        <w:jc w:val="both"/>
        <w:rPr>
          <w:rFonts w:ascii="Arial" w:hAnsi="Arial" w:cs="Arial"/>
          <w:sz w:val="24"/>
          <w:szCs w:val="24"/>
        </w:rPr>
      </w:pPr>
      <w:r>
        <w:rPr>
          <w:rFonts w:ascii="Arial" w:hAnsi="Arial" w:cs="Arial"/>
          <w:sz w:val="24"/>
          <w:szCs w:val="24"/>
        </w:rPr>
        <w:t>Figure A.3</w:t>
      </w:r>
    </w:p>
    <w:p w:rsidR="00AA5521" w:rsidRPr="00E70C26" w:rsidRDefault="00AA5521" w:rsidP="00C90566">
      <w:pPr>
        <w:spacing w:line="480" w:lineRule="auto"/>
        <w:jc w:val="both"/>
        <w:rPr>
          <w:rFonts w:ascii="Arial" w:hAnsi="Arial" w:cs="Arial"/>
          <w:sz w:val="24"/>
          <w:szCs w:val="24"/>
        </w:rPr>
      </w:pPr>
      <w:r w:rsidRPr="00E70C26">
        <w:rPr>
          <w:rFonts w:ascii="Arial" w:hAnsi="Arial" w:cs="Arial"/>
          <w:sz w:val="24"/>
          <w:szCs w:val="24"/>
        </w:rPr>
        <w:br w:type="column"/>
      </w:r>
      <w:r>
        <w:rPr>
          <w:noProof/>
          <w:lang w:val="de-DE" w:eastAsia="de-DE"/>
        </w:rPr>
        <w:pict>
          <v:shape id="Grafik 19" o:spid="_x0000_s1034" type="#_x0000_t75" style="position:absolute;left:0;text-align:left;margin-left:0;margin-top:0;width:367.7pt;height:260.65pt;z-index:251661312;visibility:visible;mso-position-horizontal:center;mso-position-horizontal-relative:margin;mso-position-vertical:top;mso-position-vertical-relative:margin">
            <v:imagedata r:id="rId13" o:title=""/>
            <w10:wrap type="topAndBottom" anchorx="margin" anchory="margin"/>
          </v:shape>
        </w:pict>
      </w:r>
    </w:p>
    <w:p w:rsidR="00AA5521" w:rsidRPr="00E70C26" w:rsidRDefault="00AA5521" w:rsidP="00C90566">
      <w:pPr>
        <w:spacing w:line="480" w:lineRule="auto"/>
        <w:jc w:val="both"/>
        <w:rPr>
          <w:rFonts w:ascii="Arial" w:hAnsi="Arial" w:cs="Arial"/>
          <w:sz w:val="24"/>
          <w:szCs w:val="24"/>
        </w:rPr>
      </w:pPr>
      <w:r>
        <w:rPr>
          <w:rFonts w:ascii="Arial" w:hAnsi="Arial" w:cs="Arial"/>
          <w:sz w:val="24"/>
          <w:szCs w:val="24"/>
        </w:rPr>
        <w:t>Figure A.4</w:t>
      </w:r>
    </w:p>
    <w:p w:rsidR="00AA5521" w:rsidRDefault="00AA5521" w:rsidP="00C90566">
      <w:pPr>
        <w:spacing w:line="480" w:lineRule="auto"/>
        <w:jc w:val="both"/>
        <w:rPr>
          <w:rFonts w:ascii="Arial" w:hAnsi="Arial" w:cs="Arial"/>
          <w:b/>
          <w:sz w:val="24"/>
          <w:szCs w:val="24"/>
        </w:rPr>
      </w:pPr>
      <w:r>
        <w:rPr>
          <w:rFonts w:ascii="Arial" w:hAnsi="Arial" w:cs="Arial"/>
          <w:b/>
          <w:sz w:val="24"/>
          <w:szCs w:val="24"/>
        </w:rPr>
        <w:br w:type="column"/>
      </w:r>
      <w:r>
        <w:rPr>
          <w:noProof/>
          <w:lang w:val="de-DE" w:eastAsia="de-DE"/>
        </w:rPr>
        <w:pict>
          <v:shape id="Grafik 20" o:spid="_x0000_s1035" type="#_x0000_t75" style="position:absolute;left:0;text-align:left;margin-left:0;margin-top:0;width:453.6pt;height:504.4pt;z-index:251662336;visibility:visible;mso-position-horizontal:center;mso-position-horizontal-relative:margin;mso-position-vertical:top;mso-position-vertical-relative:margin">
            <v:imagedata r:id="rId14" o:title=""/>
            <w10:wrap type="square" anchorx="margin" anchory="margin"/>
          </v:shape>
        </w:pict>
      </w:r>
    </w:p>
    <w:p w:rsidR="00AA5521" w:rsidRPr="00661075" w:rsidRDefault="00AA5521" w:rsidP="00C90566">
      <w:pPr>
        <w:spacing w:line="480" w:lineRule="auto"/>
        <w:jc w:val="both"/>
        <w:rPr>
          <w:rFonts w:ascii="Arial" w:hAnsi="Arial" w:cs="Arial"/>
          <w:sz w:val="24"/>
          <w:szCs w:val="24"/>
        </w:rPr>
      </w:pPr>
      <w:bookmarkStart w:id="0" w:name="_GoBack"/>
      <w:bookmarkEnd w:id="0"/>
      <w:r>
        <w:rPr>
          <w:rFonts w:ascii="Arial" w:hAnsi="Arial" w:cs="Arial"/>
          <w:sz w:val="24"/>
          <w:szCs w:val="24"/>
        </w:rPr>
        <w:t>Figure A.5</w:t>
      </w:r>
    </w:p>
    <w:sectPr w:rsidR="00AA5521" w:rsidRPr="00661075" w:rsidSect="00724BEB">
      <w:pgSz w:w="11906" w:h="16838"/>
      <w:pgMar w:top="1417" w:right="1417" w:bottom="1134"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libri Light">
    <w:panose1 w:val="00000000000000000000"/>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00022FF" w:usb1="C000205B" w:usb2="00000009" w:usb3="00000000" w:csb0="000001D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5085691"/>
    <w:multiLevelType w:val="hybridMultilevel"/>
    <w:tmpl w:val="8294F8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2944F5"/>
    <w:rsid w:val="00013C17"/>
    <w:rsid w:val="00043212"/>
    <w:rsid w:val="00044EF4"/>
    <w:rsid w:val="00045312"/>
    <w:rsid w:val="00072141"/>
    <w:rsid w:val="000A3BE7"/>
    <w:rsid w:val="000A6273"/>
    <w:rsid w:val="000E43F7"/>
    <w:rsid w:val="000F1D7C"/>
    <w:rsid w:val="000F5571"/>
    <w:rsid w:val="00105EF8"/>
    <w:rsid w:val="0011475C"/>
    <w:rsid w:val="001234B5"/>
    <w:rsid w:val="001510CA"/>
    <w:rsid w:val="0015122D"/>
    <w:rsid w:val="00152EA1"/>
    <w:rsid w:val="0015354F"/>
    <w:rsid w:val="001637FF"/>
    <w:rsid w:val="001704B1"/>
    <w:rsid w:val="00171D48"/>
    <w:rsid w:val="001802D4"/>
    <w:rsid w:val="001810D5"/>
    <w:rsid w:val="00194A65"/>
    <w:rsid w:val="001A5588"/>
    <w:rsid w:val="001B3C5C"/>
    <w:rsid w:val="001E0F87"/>
    <w:rsid w:val="001E7945"/>
    <w:rsid w:val="002040D6"/>
    <w:rsid w:val="0020573B"/>
    <w:rsid w:val="00230C53"/>
    <w:rsid w:val="00232879"/>
    <w:rsid w:val="00241EE6"/>
    <w:rsid w:val="002447D2"/>
    <w:rsid w:val="002473E9"/>
    <w:rsid w:val="0026139A"/>
    <w:rsid w:val="00272685"/>
    <w:rsid w:val="00272D5F"/>
    <w:rsid w:val="00283B4A"/>
    <w:rsid w:val="00286268"/>
    <w:rsid w:val="00286C17"/>
    <w:rsid w:val="00287760"/>
    <w:rsid w:val="00294302"/>
    <w:rsid w:val="002944F5"/>
    <w:rsid w:val="002951C9"/>
    <w:rsid w:val="002A0ABC"/>
    <w:rsid w:val="002B6689"/>
    <w:rsid w:val="002C1E9A"/>
    <w:rsid w:val="002C3C58"/>
    <w:rsid w:val="002C67FF"/>
    <w:rsid w:val="002D033F"/>
    <w:rsid w:val="002F77A3"/>
    <w:rsid w:val="0031231C"/>
    <w:rsid w:val="00327C70"/>
    <w:rsid w:val="00332A16"/>
    <w:rsid w:val="00332D1A"/>
    <w:rsid w:val="00337D26"/>
    <w:rsid w:val="0034462B"/>
    <w:rsid w:val="00364940"/>
    <w:rsid w:val="0038769F"/>
    <w:rsid w:val="00392FC6"/>
    <w:rsid w:val="00397F28"/>
    <w:rsid w:val="003B1B71"/>
    <w:rsid w:val="003D38E0"/>
    <w:rsid w:val="003D4AFF"/>
    <w:rsid w:val="003D5455"/>
    <w:rsid w:val="003E246D"/>
    <w:rsid w:val="003E6046"/>
    <w:rsid w:val="003F0459"/>
    <w:rsid w:val="00401D05"/>
    <w:rsid w:val="00405163"/>
    <w:rsid w:val="00407085"/>
    <w:rsid w:val="00432ED8"/>
    <w:rsid w:val="00467B00"/>
    <w:rsid w:val="00490F1A"/>
    <w:rsid w:val="00497384"/>
    <w:rsid w:val="004A32C1"/>
    <w:rsid w:val="004B2C61"/>
    <w:rsid w:val="004C075B"/>
    <w:rsid w:val="004C3815"/>
    <w:rsid w:val="004E764A"/>
    <w:rsid w:val="004F4E1A"/>
    <w:rsid w:val="00504B41"/>
    <w:rsid w:val="00530A45"/>
    <w:rsid w:val="00531C3E"/>
    <w:rsid w:val="00534051"/>
    <w:rsid w:val="0054047F"/>
    <w:rsid w:val="005444E6"/>
    <w:rsid w:val="005521FB"/>
    <w:rsid w:val="005756BC"/>
    <w:rsid w:val="0058725E"/>
    <w:rsid w:val="00593C64"/>
    <w:rsid w:val="005A52B9"/>
    <w:rsid w:val="005B31B1"/>
    <w:rsid w:val="005C544C"/>
    <w:rsid w:val="005D2152"/>
    <w:rsid w:val="005F0972"/>
    <w:rsid w:val="005F6370"/>
    <w:rsid w:val="0064549D"/>
    <w:rsid w:val="00661075"/>
    <w:rsid w:val="00664460"/>
    <w:rsid w:val="006717A2"/>
    <w:rsid w:val="00676DB2"/>
    <w:rsid w:val="006847E4"/>
    <w:rsid w:val="006A0DC4"/>
    <w:rsid w:val="006A3F1D"/>
    <w:rsid w:val="006B70E2"/>
    <w:rsid w:val="006D505B"/>
    <w:rsid w:val="006D6F92"/>
    <w:rsid w:val="006D6FC3"/>
    <w:rsid w:val="006E01B2"/>
    <w:rsid w:val="006F4AB9"/>
    <w:rsid w:val="006F6C78"/>
    <w:rsid w:val="0071135C"/>
    <w:rsid w:val="00714550"/>
    <w:rsid w:val="00724BEB"/>
    <w:rsid w:val="00764DD0"/>
    <w:rsid w:val="0077042A"/>
    <w:rsid w:val="00793299"/>
    <w:rsid w:val="007A38E4"/>
    <w:rsid w:val="007A46F6"/>
    <w:rsid w:val="007B7C21"/>
    <w:rsid w:val="007C282B"/>
    <w:rsid w:val="007C49A4"/>
    <w:rsid w:val="007C5096"/>
    <w:rsid w:val="007D2E86"/>
    <w:rsid w:val="007D65ED"/>
    <w:rsid w:val="008008C4"/>
    <w:rsid w:val="00851DDB"/>
    <w:rsid w:val="00881928"/>
    <w:rsid w:val="00883855"/>
    <w:rsid w:val="008B6927"/>
    <w:rsid w:val="008B6D97"/>
    <w:rsid w:val="008C18E8"/>
    <w:rsid w:val="008C71BB"/>
    <w:rsid w:val="008E3BFB"/>
    <w:rsid w:val="008E6396"/>
    <w:rsid w:val="00905CDA"/>
    <w:rsid w:val="00932C63"/>
    <w:rsid w:val="00951117"/>
    <w:rsid w:val="00952727"/>
    <w:rsid w:val="00957005"/>
    <w:rsid w:val="00961F92"/>
    <w:rsid w:val="00970051"/>
    <w:rsid w:val="00977697"/>
    <w:rsid w:val="00977AD6"/>
    <w:rsid w:val="00981BC7"/>
    <w:rsid w:val="00981DCB"/>
    <w:rsid w:val="009B421C"/>
    <w:rsid w:val="009D17C3"/>
    <w:rsid w:val="009D2525"/>
    <w:rsid w:val="009E1227"/>
    <w:rsid w:val="009F2ABC"/>
    <w:rsid w:val="009F4A17"/>
    <w:rsid w:val="00A242BA"/>
    <w:rsid w:val="00A55A0B"/>
    <w:rsid w:val="00A73538"/>
    <w:rsid w:val="00A91120"/>
    <w:rsid w:val="00A93CD9"/>
    <w:rsid w:val="00AA5521"/>
    <w:rsid w:val="00AB50DD"/>
    <w:rsid w:val="00AC0A4A"/>
    <w:rsid w:val="00AC2202"/>
    <w:rsid w:val="00AC3653"/>
    <w:rsid w:val="00AF2570"/>
    <w:rsid w:val="00B0497B"/>
    <w:rsid w:val="00B10E6B"/>
    <w:rsid w:val="00B15E82"/>
    <w:rsid w:val="00B16A9D"/>
    <w:rsid w:val="00B25F0D"/>
    <w:rsid w:val="00B37FE1"/>
    <w:rsid w:val="00B625C1"/>
    <w:rsid w:val="00B6397F"/>
    <w:rsid w:val="00B67936"/>
    <w:rsid w:val="00B72DB4"/>
    <w:rsid w:val="00B73EE3"/>
    <w:rsid w:val="00B838B8"/>
    <w:rsid w:val="00BC2135"/>
    <w:rsid w:val="00BD0D3A"/>
    <w:rsid w:val="00BD230E"/>
    <w:rsid w:val="00C04692"/>
    <w:rsid w:val="00C3600B"/>
    <w:rsid w:val="00C5000E"/>
    <w:rsid w:val="00C55468"/>
    <w:rsid w:val="00C5773A"/>
    <w:rsid w:val="00C737AA"/>
    <w:rsid w:val="00C863A4"/>
    <w:rsid w:val="00C90566"/>
    <w:rsid w:val="00C9190F"/>
    <w:rsid w:val="00C938C1"/>
    <w:rsid w:val="00CA3D61"/>
    <w:rsid w:val="00CC4E22"/>
    <w:rsid w:val="00CE37C7"/>
    <w:rsid w:val="00CE4118"/>
    <w:rsid w:val="00CF5C2B"/>
    <w:rsid w:val="00D03F1A"/>
    <w:rsid w:val="00D10162"/>
    <w:rsid w:val="00D25249"/>
    <w:rsid w:val="00D34579"/>
    <w:rsid w:val="00D44DD8"/>
    <w:rsid w:val="00D4605A"/>
    <w:rsid w:val="00D67374"/>
    <w:rsid w:val="00D75A08"/>
    <w:rsid w:val="00D85270"/>
    <w:rsid w:val="00DB2FCB"/>
    <w:rsid w:val="00DC42C1"/>
    <w:rsid w:val="00DE0A49"/>
    <w:rsid w:val="00E01A6D"/>
    <w:rsid w:val="00E139C9"/>
    <w:rsid w:val="00E333BB"/>
    <w:rsid w:val="00E35C86"/>
    <w:rsid w:val="00E40C61"/>
    <w:rsid w:val="00E60791"/>
    <w:rsid w:val="00E70C26"/>
    <w:rsid w:val="00E70ECC"/>
    <w:rsid w:val="00E72072"/>
    <w:rsid w:val="00E81B6A"/>
    <w:rsid w:val="00E855C1"/>
    <w:rsid w:val="00E8618B"/>
    <w:rsid w:val="00EA75F7"/>
    <w:rsid w:val="00EB113D"/>
    <w:rsid w:val="00ED6640"/>
    <w:rsid w:val="00F00922"/>
    <w:rsid w:val="00F1075A"/>
    <w:rsid w:val="00F17AFD"/>
    <w:rsid w:val="00F21AB3"/>
    <w:rsid w:val="00F22D77"/>
    <w:rsid w:val="00F3437A"/>
    <w:rsid w:val="00F37603"/>
    <w:rsid w:val="00F410DF"/>
    <w:rsid w:val="00F67A70"/>
    <w:rsid w:val="00F730A7"/>
    <w:rsid w:val="00F875F7"/>
    <w:rsid w:val="00FB0B42"/>
    <w:rsid w:val="00FB2EB8"/>
    <w:rsid w:val="00FB5909"/>
    <w:rsid w:val="00FB79C8"/>
    <w:rsid w:val="00FC1532"/>
    <w:rsid w:val="00FC487B"/>
    <w:rsid w:val="00FD04D1"/>
    <w:rsid w:val="00FD1410"/>
    <w:rsid w:val="00FD2209"/>
    <w:rsid w:val="00FD7602"/>
    <w:rsid w:val="00FE25A3"/>
    <w:rsid w:val="00FF0DA7"/>
  </w:rsids>
  <m:mathPr>
    <m:mathFont m:val="Cambria Math"/>
    <m:brkBin m:val="before"/>
    <m:brkBinSub m:val="--"/>
    <m:smallFrac m:val="off"/>
    <m:dispDef/>
    <m:lMargin m:val="0"/>
    <m:rMargin m:val="0"/>
    <m:defJc m:val="centerGroup"/>
    <m:wrapIndent m:val="1440"/>
    <m:intLim m:val="subSup"/>
    <m:naryLim m:val="undOvr"/>
  </m:mathPr>
  <w:uiCompat97To2003/>
  <w:themeFontLang w:val="de-D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3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de-DE" w:eastAsia="de-DE"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semiHidden="0" w:uiPriority="0" w:unhideWhenUsed="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24BEB"/>
    <w:pPr>
      <w:spacing w:after="160" w:line="259" w:lineRule="auto"/>
    </w:pPr>
    <w:rPr>
      <w:lang w:val="en-US"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99"/>
    <w:qFormat/>
    <w:rsid w:val="002944F5"/>
    <w:pPr>
      <w:spacing w:after="0" w:line="240" w:lineRule="auto"/>
      <w:contextualSpacing/>
    </w:pPr>
    <w:rPr>
      <w:rFonts w:ascii="Calibri Light" w:eastAsia="Times New Roman" w:hAnsi="Calibri Light"/>
      <w:spacing w:val="-10"/>
      <w:kern w:val="28"/>
      <w:sz w:val="56"/>
      <w:szCs w:val="56"/>
    </w:rPr>
  </w:style>
  <w:style w:type="character" w:customStyle="1" w:styleId="TitleChar">
    <w:name w:val="Title Char"/>
    <w:basedOn w:val="DefaultParagraphFont"/>
    <w:link w:val="Title"/>
    <w:uiPriority w:val="99"/>
    <w:locked/>
    <w:rsid w:val="002944F5"/>
    <w:rPr>
      <w:rFonts w:ascii="Calibri Light" w:hAnsi="Calibri Light" w:cs="Times New Roman"/>
      <w:spacing w:val="-10"/>
      <w:kern w:val="28"/>
      <w:sz w:val="56"/>
      <w:szCs w:val="56"/>
      <w:lang w:val="en-US"/>
    </w:rPr>
  </w:style>
  <w:style w:type="character" w:styleId="Hyperlink">
    <w:name w:val="Hyperlink"/>
    <w:basedOn w:val="DefaultParagraphFont"/>
    <w:uiPriority w:val="99"/>
    <w:rsid w:val="00977AD6"/>
    <w:rPr>
      <w:rFonts w:cs="Times New Roman"/>
      <w:color w:val="0563C1"/>
      <w:u w:val="single"/>
    </w:rPr>
  </w:style>
  <w:style w:type="table" w:styleId="TableGrid">
    <w:name w:val="Table Grid"/>
    <w:basedOn w:val="TableNormal"/>
    <w:uiPriority w:val="99"/>
    <w:rsid w:val="00B6397F"/>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aption">
    <w:name w:val="caption"/>
    <w:basedOn w:val="Normal"/>
    <w:next w:val="Normal"/>
    <w:uiPriority w:val="99"/>
    <w:qFormat/>
    <w:rsid w:val="00B6397F"/>
    <w:pPr>
      <w:spacing w:after="200" w:line="240" w:lineRule="auto"/>
    </w:pPr>
    <w:rPr>
      <w:i/>
      <w:iCs/>
      <w:color w:val="44546A"/>
      <w:sz w:val="18"/>
      <w:szCs w:val="18"/>
    </w:rPr>
  </w:style>
  <w:style w:type="paragraph" w:styleId="ListParagraph">
    <w:name w:val="List Paragraph"/>
    <w:basedOn w:val="Normal"/>
    <w:uiPriority w:val="99"/>
    <w:qFormat/>
    <w:rsid w:val="00CE4118"/>
    <w:pPr>
      <w:ind w:left="720"/>
      <w:contextualSpacing/>
    </w:pPr>
  </w:style>
  <w:style w:type="paragraph" w:styleId="BalloonText">
    <w:name w:val="Balloon Text"/>
    <w:basedOn w:val="Normal"/>
    <w:link w:val="BalloonTextChar"/>
    <w:uiPriority w:val="99"/>
    <w:semiHidden/>
    <w:rsid w:val="0054047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locked/>
    <w:rsid w:val="0054047F"/>
    <w:rPr>
      <w:rFonts w:ascii="Segoe UI" w:hAnsi="Segoe UI" w:cs="Segoe UI"/>
      <w:sz w:val="18"/>
      <w:szCs w:val="18"/>
      <w:lang w:val="en-US"/>
    </w:rPr>
  </w:style>
  <w:style w:type="paragraph" w:styleId="Revision">
    <w:name w:val="Revision"/>
    <w:hidden/>
    <w:uiPriority w:val="99"/>
    <w:semiHidden/>
    <w:rsid w:val="00D10162"/>
    <w:rPr>
      <w:lang w:val="en-US" w:eastAsia="en-US"/>
    </w:rPr>
  </w:style>
  <w:style w:type="character" w:styleId="CommentReference">
    <w:name w:val="annotation reference"/>
    <w:basedOn w:val="DefaultParagraphFont"/>
    <w:uiPriority w:val="99"/>
    <w:semiHidden/>
    <w:rsid w:val="00FB2EB8"/>
    <w:rPr>
      <w:rFonts w:cs="Times New Roman"/>
      <w:sz w:val="16"/>
      <w:szCs w:val="16"/>
    </w:rPr>
  </w:style>
  <w:style w:type="paragraph" w:styleId="CommentText">
    <w:name w:val="annotation text"/>
    <w:basedOn w:val="Normal"/>
    <w:link w:val="CommentTextChar"/>
    <w:uiPriority w:val="99"/>
    <w:semiHidden/>
    <w:rsid w:val="00FB2EB8"/>
    <w:pPr>
      <w:spacing w:line="240" w:lineRule="auto"/>
    </w:pPr>
    <w:rPr>
      <w:sz w:val="20"/>
      <w:szCs w:val="20"/>
    </w:rPr>
  </w:style>
  <w:style w:type="character" w:customStyle="1" w:styleId="CommentTextChar">
    <w:name w:val="Comment Text Char"/>
    <w:basedOn w:val="DefaultParagraphFont"/>
    <w:link w:val="CommentText"/>
    <w:uiPriority w:val="99"/>
    <w:semiHidden/>
    <w:locked/>
    <w:rsid w:val="00FB2EB8"/>
    <w:rPr>
      <w:rFonts w:cs="Times New Roman"/>
      <w:sz w:val="20"/>
      <w:szCs w:val="20"/>
      <w:lang w:val="en-US"/>
    </w:rPr>
  </w:style>
  <w:style w:type="paragraph" w:styleId="CommentSubject">
    <w:name w:val="annotation subject"/>
    <w:basedOn w:val="CommentText"/>
    <w:next w:val="CommentText"/>
    <w:link w:val="CommentSubjectChar"/>
    <w:uiPriority w:val="99"/>
    <w:semiHidden/>
    <w:rsid w:val="00FB2EB8"/>
    <w:rPr>
      <w:b/>
      <w:bCs/>
    </w:rPr>
  </w:style>
  <w:style w:type="character" w:customStyle="1" w:styleId="CommentSubjectChar">
    <w:name w:val="Comment Subject Char"/>
    <w:basedOn w:val="CommentTextChar"/>
    <w:link w:val="CommentSubject"/>
    <w:uiPriority w:val="99"/>
    <w:semiHidden/>
    <w:locked/>
    <w:rsid w:val="00FB2EB8"/>
    <w:rPr>
      <w:b/>
      <w:bCs/>
    </w:rPr>
  </w:style>
</w:styles>
</file>

<file path=word/webSettings.xml><?xml version="1.0" encoding="utf-8"?>
<w:webSettings xmlns:r="http://schemas.openxmlformats.org/officeDocument/2006/relationships" xmlns:w="http://schemas.openxmlformats.org/wordprocessingml/2006/main">
  <w:divs>
    <w:div w:id="182670072">
      <w:marLeft w:val="0"/>
      <w:marRight w:val="0"/>
      <w:marTop w:val="0"/>
      <w:marBottom w:val="0"/>
      <w:divBdr>
        <w:top w:val="none" w:sz="0" w:space="0" w:color="auto"/>
        <w:left w:val="none" w:sz="0" w:space="0" w:color="auto"/>
        <w:bottom w:val="none" w:sz="0" w:space="0" w:color="auto"/>
        <w:right w:val="none" w:sz="0" w:space="0" w:color="auto"/>
      </w:divBdr>
    </w:div>
    <w:div w:id="182670074">
      <w:marLeft w:val="0"/>
      <w:marRight w:val="0"/>
      <w:marTop w:val="0"/>
      <w:marBottom w:val="0"/>
      <w:divBdr>
        <w:top w:val="none" w:sz="0" w:space="0" w:color="auto"/>
        <w:left w:val="none" w:sz="0" w:space="0" w:color="auto"/>
        <w:bottom w:val="none" w:sz="0" w:space="0" w:color="auto"/>
        <w:right w:val="none" w:sz="0" w:space="0" w:color="auto"/>
      </w:divBdr>
      <w:divsChild>
        <w:div w:id="182670073">
          <w:marLeft w:val="0"/>
          <w:marRight w:val="0"/>
          <w:marTop w:val="0"/>
          <w:marBottom w:val="0"/>
          <w:divBdr>
            <w:top w:val="none" w:sz="0" w:space="0" w:color="auto"/>
            <w:left w:val="none" w:sz="0" w:space="0" w:color="auto"/>
            <w:bottom w:val="none" w:sz="0" w:space="0" w:color="auto"/>
            <w:right w:val="none" w:sz="0" w:space="0" w:color="auto"/>
          </w:divBdr>
        </w:div>
      </w:divsChild>
    </w:div>
    <w:div w:id="182670075">
      <w:marLeft w:val="0"/>
      <w:marRight w:val="0"/>
      <w:marTop w:val="0"/>
      <w:marBottom w:val="0"/>
      <w:divBdr>
        <w:top w:val="none" w:sz="0" w:space="0" w:color="auto"/>
        <w:left w:val="none" w:sz="0" w:space="0" w:color="auto"/>
        <w:bottom w:val="none" w:sz="0" w:space="0" w:color="auto"/>
        <w:right w:val="none" w:sz="0" w:space="0" w:color="auto"/>
      </w:divBdr>
    </w:div>
    <w:div w:id="182670076">
      <w:marLeft w:val="0"/>
      <w:marRight w:val="0"/>
      <w:marTop w:val="0"/>
      <w:marBottom w:val="0"/>
      <w:divBdr>
        <w:top w:val="none" w:sz="0" w:space="0" w:color="auto"/>
        <w:left w:val="none" w:sz="0" w:space="0" w:color="auto"/>
        <w:bottom w:val="none" w:sz="0" w:space="0" w:color="auto"/>
        <w:right w:val="none" w:sz="0" w:space="0" w:color="auto"/>
      </w:divBdr>
    </w:div>
    <w:div w:id="182670077">
      <w:marLeft w:val="0"/>
      <w:marRight w:val="0"/>
      <w:marTop w:val="0"/>
      <w:marBottom w:val="0"/>
      <w:divBdr>
        <w:top w:val="none" w:sz="0" w:space="0" w:color="auto"/>
        <w:left w:val="none" w:sz="0" w:space="0" w:color="auto"/>
        <w:bottom w:val="none" w:sz="0" w:space="0" w:color="auto"/>
        <w:right w:val="none" w:sz="0" w:space="0" w:color="auto"/>
      </w:divBdr>
    </w:div>
    <w:div w:id="182670078">
      <w:marLeft w:val="0"/>
      <w:marRight w:val="0"/>
      <w:marTop w:val="0"/>
      <w:marBottom w:val="0"/>
      <w:divBdr>
        <w:top w:val="none" w:sz="0" w:space="0" w:color="auto"/>
        <w:left w:val="none" w:sz="0" w:space="0" w:color="auto"/>
        <w:bottom w:val="none" w:sz="0" w:space="0" w:color="auto"/>
        <w:right w:val="none" w:sz="0" w:space="0" w:color="auto"/>
      </w:divBdr>
    </w:div>
    <w:div w:id="182670079">
      <w:marLeft w:val="0"/>
      <w:marRight w:val="0"/>
      <w:marTop w:val="0"/>
      <w:marBottom w:val="0"/>
      <w:divBdr>
        <w:top w:val="none" w:sz="0" w:space="0" w:color="auto"/>
        <w:left w:val="none" w:sz="0" w:space="0" w:color="auto"/>
        <w:bottom w:val="none" w:sz="0" w:space="0" w:color="auto"/>
        <w:right w:val="none" w:sz="0" w:space="0" w:color="auto"/>
      </w:divBdr>
    </w:div>
    <w:div w:id="182670080">
      <w:marLeft w:val="0"/>
      <w:marRight w:val="0"/>
      <w:marTop w:val="0"/>
      <w:marBottom w:val="0"/>
      <w:divBdr>
        <w:top w:val="none" w:sz="0" w:space="0" w:color="auto"/>
        <w:left w:val="none" w:sz="0" w:space="0" w:color="auto"/>
        <w:bottom w:val="none" w:sz="0" w:space="0" w:color="auto"/>
        <w:right w:val="none" w:sz="0" w:space="0" w:color="auto"/>
      </w:divBdr>
    </w:div>
    <w:div w:id="182670081">
      <w:marLeft w:val="0"/>
      <w:marRight w:val="0"/>
      <w:marTop w:val="0"/>
      <w:marBottom w:val="0"/>
      <w:divBdr>
        <w:top w:val="none" w:sz="0" w:space="0" w:color="auto"/>
        <w:left w:val="none" w:sz="0" w:space="0" w:color="auto"/>
        <w:bottom w:val="none" w:sz="0" w:space="0" w:color="auto"/>
        <w:right w:val="none" w:sz="0" w:space="0" w:color="auto"/>
      </w:divBdr>
    </w:div>
    <w:div w:id="182670082">
      <w:marLeft w:val="0"/>
      <w:marRight w:val="0"/>
      <w:marTop w:val="0"/>
      <w:marBottom w:val="0"/>
      <w:divBdr>
        <w:top w:val="none" w:sz="0" w:space="0" w:color="auto"/>
        <w:left w:val="none" w:sz="0" w:space="0" w:color="auto"/>
        <w:bottom w:val="none" w:sz="0" w:space="0" w:color="auto"/>
        <w:right w:val="none" w:sz="0" w:space="0" w:color="auto"/>
      </w:divBdr>
    </w:div>
    <w:div w:id="182670083">
      <w:marLeft w:val="0"/>
      <w:marRight w:val="0"/>
      <w:marTop w:val="0"/>
      <w:marBottom w:val="0"/>
      <w:divBdr>
        <w:top w:val="none" w:sz="0" w:space="0" w:color="auto"/>
        <w:left w:val="none" w:sz="0" w:space="0" w:color="auto"/>
        <w:bottom w:val="none" w:sz="0" w:space="0" w:color="auto"/>
        <w:right w:val="none" w:sz="0" w:space="0" w:color="auto"/>
      </w:divBdr>
    </w:div>
    <w:div w:id="182670084">
      <w:marLeft w:val="0"/>
      <w:marRight w:val="0"/>
      <w:marTop w:val="0"/>
      <w:marBottom w:val="0"/>
      <w:divBdr>
        <w:top w:val="none" w:sz="0" w:space="0" w:color="auto"/>
        <w:left w:val="none" w:sz="0" w:space="0" w:color="auto"/>
        <w:bottom w:val="none" w:sz="0" w:space="0" w:color="auto"/>
        <w:right w:val="none" w:sz="0" w:space="0" w:color="auto"/>
      </w:divBdr>
    </w:div>
    <w:div w:id="182670085">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image" Target="media/image8.pn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5" Type="http://schemas.openxmlformats.org/officeDocument/2006/relationships/fontTable" Target="fontTable.xml"/><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1</TotalTime>
  <Pages>34</Pages>
  <Words>16339</Words>
  <Characters>-32766</Characters>
  <Application>Microsoft Office Outlook</Application>
  <DocSecurity>0</DocSecurity>
  <Lines>0</Lines>
  <Paragraphs>0</Paragraphs>
  <ScaleCrop>false</ScaleCrop>
  <Company>WWU Münster - IAAC</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High spatial resolution LA-ICP-MS demonstrates massive liver copper depletion in Wilson disease rats upon Methanobactin treatment</dc:title>
  <dc:subject/>
  <dc:creator>Jennifer-Christin Müller</dc:creator>
  <cp:keywords/>
  <dc:description/>
  <cp:lastModifiedBy>adm.briel</cp:lastModifiedBy>
  <cp:revision>2</cp:revision>
  <cp:lastPrinted>2018-03-12T10:15:00Z</cp:lastPrinted>
  <dcterms:created xsi:type="dcterms:W3CDTF">2018-03-13T09:33:00Z</dcterms:created>
  <dcterms:modified xsi:type="dcterms:W3CDTF">2018-03-13T09:33:00Z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281e4d7c-3621-3e33-844c-17399b855e7e</vt:lpwstr>
  </property>
  <property fmtid="{D5CDD505-2E9C-101B-9397-08002B2CF9AE}" pid="4" name="Mendeley Citation Style_1">
    <vt:lpwstr>http://www.zotero.org/styles/journal-of-trace-elements-in-medicine-and-biology</vt:lpwstr>
  </property>
  <property fmtid="{D5CDD505-2E9C-101B-9397-08002B2CF9AE}" pid="5" name="Mendeley Recent Style Id 0_1">
    <vt:lpwstr>http://www.zotero.org/styles/american-political-science-association</vt:lpwstr>
  </property>
  <property fmtid="{D5CDD505-2E9C-101B-9397-08002B2CF9AE}" pid="6" name="Mendeley Recent Style Name 0_1">
    <vt:lpwstr>American Political Science Association</vt:lpwstr>
  </property>
  <property fmtid="{D5CDD505-2E9C-101B-9397-08002B2CF9AE}" pid="7" name="Mendeley Recent Style Id 1_1">
    <vt:lpwstr>http://www.zotero.org/styles/analytical-chemistry</vt:lpwstr>
  </property>
  <property fmtid="{D5CDD505-2E9C-101B-9397-08002B2CF9AE}" pid="8" name="Mendeley Recent Style Name 1_1">
    <vt:lpwstr>Analytical Chemistry</vt:lpwstr>
  </property>
  <property fmtid="{D5CDD505-2E9C-101B-9397-08002B2CF9AE}" pid="9" name="Mendeley Recent Style Id 2_1">
    <vt:lpwstr>http://www.zotero.org/styles/angewandte-chemie</vt:lpwstr>
  </property>
  <property fmtid="{D5CDD505-2E9C-101B-9397-08002B2CF9AE}" pid="10" name="Mendeley Recent Style Name 2_1">
    <vt:lpwstr>Angewandte Chemie International Edition</vt:lpwstr>
  </property>
  <property fmtid="{D5CDD505-2E9C-101B-9397-08002B2CF9AE}" pid="11" name="Mendeley Recent Style Id 3_1">
    <vt:lpwstr>http://www.zotero.org/styles/applied-spectroscopy</vt:lpwstr>
  </property>
  <property fmtid="{D5CDD505-2E9C-101B-9397-08002B2CF9AE}" pid="12" name="Mendeley Recent Style Name 3_1">
    <vt:lpwstr>Applied Spectroscopy</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16th edition (author-date)</vt:lpwstr>
  </property>
  <property fmtid="{D5CDD505-2E9C-101B-9397-08002B2CF9AE}" pid="15" name="Mendeley Recent Style Id 5_1">
    <vt:lpwstr>http://www.zotero.org/styles/elsevier-harvard</vt:lpwstr>
  </property>
  <property fmtid="{D5CDD505-2E9C-101B-9397-08002B2CF9AE}" pid="16" name="Mendeley Recent Style Name 5_1">
    <vt:lpwstr>Elsevier - Harvard (with titles)</vt:lpwstr>
  </property>
  <property fmtid="{D5CDD505-2E9C-101B-9397-08002B2CF9AE}" pid="17" name="Mendeley Recent Style Id 6_1">
    <vt:lpwstr>http://www.zotero.org/styles/harvard1</vt:lpwstr>
  </property>
  <property fmtid="{D5CDD505-2E9C-101B-9397-08002B2CF9AE}" pid="18" name="Mendeley Recent Style Name 6_1">
    <vt:lpwstr>Harvard Reference format 1 (author-date)</vt:lpwstr>
  </property>
  <property fmtid="{D5CDD505-2E9C-101B-9397-08002B2CF9AE}" pid="19" name="Mendeley Recent Style Id 7_1">
    <vt:lpwstr>http://www.zotero.org/styles/ieee</vt:lpwstr>
  </property>
  <property fmtid="{D5CDD505-2E9C-101B-9397-08002B2CF9AE}" pid="20" name="Mendeley Recent Style Name 7_1">
    <vt:lpwstr>IEEE</vt:lpwstr>
  </property>
  <property fmtid="{D5CDD505-2E9C-101B-9397-08002B2CF9AE}" pid="21" name="Mendeley Recent Style Id 8_1">
    <vt:lpwstr>http://www.zotero.org/styles/journal-of-trace-elements-in-medicine-and-biology</vt:lpwstr>
  </property>
  <property fmtid="{D5CDD505-2E9C-101B-9397-08002B2CF9AE}" pid="22" name="Mendeley Recent Style Name 8_1">
    <vt:lpwstr>Journal of Trace Elements in Medicine and Biology</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