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E224CE" w14:textId="77777777" w:rsidR="0074079A" w:rsidRDefault="0074079A" w:rsidP="004B5C66">
      <w:pPr>
        <w:pStyle w:val="StandardWeb"/>
        <w:spacing w:before="0" w:beforeAutospacing="0" w:after="0" w:afterAutospacing="0"/>
      </w:pPr>
    </w:p>
    <w:p w14:paraId="18AAE148" w14:textId="77777777" w:rsidR="0074079A" w:rsidRDefault="0074079A" w:rsidP="004B5C66">
      <w:pPr>
        <w:pStyle w:val="StandardWeb"/>
        <w:spacing w:before="0" w:beforeAutospacing="0" w:after="0" w:afterAutospacing="0"/>
      </w:pPr>
    </w:p>
    <w:p w14:paraId="6E9156F4" w14:textId="5190D13E" w:rsidR="004B5C66" w:rsidRPr="004923A7" w:rsidRDefault="00361EF5" w:rsidP="00895BAF">
      <w:pPr>
        <w:pStyle w:val="StandardWeb"/>
        <w:spacing w:before="0" w:beforeAutospacing="0" w:after="0" w:afterAutospacing="0"/>
        <w:jc w:val="center"/>
      </w:pPr>
      <w:r w:rsidRPr="004923A7">
        <w:t xml:space="preserve">Assessing the </w:t>
      </w:r>
      <w:r w:rsidR="00E52C86" w:rsidRPr="004923A7">
        <w:t xml:space="preserve">Recent Estimates of the </w:t>
      </w:r>
      <w:r w:rsidR="00895BAF" w:rsidRPr="004923A7">
        <w:t xml:space="preserve">Global Burden of Disease for </w:t>
      </w:r>
      <w:r w:rsidR="003C4634">
        <w:t>Ambient</w:t>
      </w:r>
      <w:r w:rsidR="00895BAF" w:rsidRPr="004923A7">
        <w:t xml:space="preserve"> Air Pollution</w:t>
      </w:r>
      <w:r w:rsidR="00257630">
        <w:t xml:space="preserve">:  </w:t>
      </w:r>
      <w:r w:rsidR="00715088">
        <w:t xml:space="preserve">Methodological Changes and </w:t>
      </w:r>
      <w:r w:rsidR="00257630">
        <w:t>Implications for Low</w:t>
      </w:r>
      <w:r w:rsidR="00301656">
        <w:t>- and Middle-</w:t>
      </w:r>
      <w:r w:rsidR="00257630">
        <w:t>Income Countries</w:t>
      </w:r>
    </w:p>
    <w:p w14:paraId="58C1B9A3" w14:textId="77777777" w:rsidR="00905CD6" w:rsidRDefault="00905CD6" w:rsidP="004B5C66">
      <w:pPr>
        <w:pStyle w:val="StandardWeb"/>
        <w:spacing w:before="0" w:beforeAutospacing="0" w:after="0" w:afterAutospacing="0"/>
        <w:jc w:val="center"/>
      </w:pPr>
    </w:p>
    <w:p w14:paraId="3F065D69" w14:textId="77777777" w:rsidR="00905CD6" w:rsidRDefault="00905CD6" w:rsidP="004B5C66">
      <w:pPr>
        <w:pStyle w:val="StandardWeb"/>
        <w:spacing w:before="0" w:beforeAutospacing="0" w:after="0" w:afterAutospacing="0"/>
        <w:jc w:val="center"/>
      </w:pPr>
    </w:p>
    <w:p w14:paraId="723A5C6F" w14:textId="77777777" w:rsidR="00F040B5" w:rsidRDefault="00F040B5" w:rsidP="004B5C66">
      <w:pPr>
        <w:pStyle w:val="StandardWeb"/>
        <w:spacing w:before="0" w:beforeAutospacing="0" w:after="0" w:afterAutospacing="0"/>
        <w:jc w:val="center"/>
      </w:pPr>
      <w:bookmarkStart w:id="0" w:name="_GoBack"/>
      <w:bookmarkEnd w:id="0"/>
    </w:p>
    <w:p w14:paraId="43F8FF9E" w14:textId="77777777" w:rsidR="006121B2" w:rsidRDefault="006121B2" w:rsidP="006121B2">
      <w:pPr>
        <w:pStyle w:val="StandardWeb"/>
        <w:spacing w:before="0" w:beforeAutospacing="0" w:after="0" w:afterAutospacing="0"/>
      </w:pPr>
    </w:p>
    <w:p w14:paraId="42731C73" w14:textId="77777777" w:rsidR="004B5C66" w:rsidRDefault="004B5C66" w:rsidP="006121B2">
      <w:pPr>
        <w:pStyle w:val="StandardWeb"/>
        <w:spacing w:before="0" w:beforeAutospacing="0" w:after="0" w:afterAutospacing="0"/>
      </w:pPr>
    </w:p>
    <w:p w14:paraId="55174FA1" w14:textId="77777777" w:rsidR="004B5C66" w:rsidRDefault="004B5C66" w:rsidP="006121B2">
      <w:pPr>
        <w:pStyle w:val="StandardWeb"/>
        <w:spacing w:before="0" w:beforeAutospacing="0" w:after="0" w:afterAutospacing="0"/>
      </w:pPr>
    </w:p>
    <w:p w14:paraId="7A56A3E2" w14:textId="77777777" w:rsidR="004B5C66" w:rsidRDefault="004B5C66" w:rsidP="006121B2">
      <w:pPr>
        <w:pStyle w:val="StandardWeb"/>
        <w:spacing w:before="0" w:beforeAutospacing="0" w:after="0" w:afterAutospacing="0"/>
      </w:pPr>
    </w:p>
    <w:p w14:paraId="68DA117B" w14:textId="77777777" w:rsidR="004B5C66" w:rsidRDefault="004B5C66" w:rsidP="006121B2">
      <w:pPr>
        <w:pStyle w:val="StandardWeb"/>
        <w:spacing w:before="0" w:beforeAutospacing="0" w:after="0" w:afterAutospacing="0"/>
      </w:pPr>
    </w:p>
    <w:p w14:paraId="10DD899B" w14:textId="77777777" w:rsidR="004B5C66" w:rsidRPr="00D226BC" w:rsidRDefault="004B5C66" w:rsidP="006121B2">
      <w:pPr>
        <w:pStyle w:val="StandardWeb"/>
        <w:spacing w:before="0" w:beforeAutospacing="0" w:after="0" w:afterAutospacing="0"/>
      </w:pPr>
    </w:p>
    <w:p w14:paraId="1DF4C4B2" w14:textId="77777777" w:rsidR="004B5C66" w:rsidRPr="00920BC2" w:rsidRDefault="004B5C66" w:rsidP="006121B2">
      <w:pPr>
        <w:pStyle w:val="StandardWeb"/>
        <w:spacing w:before="0" w:beforeAutospacing="0" w:after="0" w:afterAutospacing="0"/>
      </w:pPr>
    </w:p>
    <w:p w14:paraId="522A9BC8" w14:textId="77777777" w:rsidR="004B5C66" w:rsidRPr="00920BC2" w:rsidRDefault="004B5C66" w:rsidP="006121B2">
      <w:pPr>
        <w:pStyle w:val="StandardWeb"/>
        <w:spacing w:before="0" w:beforeAutospacing="0" w:after="0" w:afterAutospacing="0"/>
      </w:pPr>
    </w:p>
    <w:p w14:paraId="47A72D8F" w14:textId="578A0371" w:rsidR="006121B2" w:rsidRPr="00920BC2" w:rsidRDefault="006121B2" w:rsidP="006121B2">
      <w:pPr>
        <w:pStyle w:val="StandardWeb"/>
        <w:spacing w:before="0" w:beforeAutospacing="0" w:after="0" w:afterAutospacing="0"/>
      </w:pPr>
      <w:r w:rsidRPr="00920BC2">
        <w:t xml:space="preserve">Bart </w:t>
      </w:r>
      <w:proofErr w:type="spellStart"/>
      <w:r w:rsidRPr="00920BC2">
        <w:t>Ostro</w:t>
      </w:r>
      <w:proofErr w:type="spellEnd"/>
    </w:p>
    <w:p w14:paraId="738BA1FC" w14:textId="77777777" w:rsidR="004B5C66" w:rsidRPr="00920BC2" w:rsidRDefault="004B5C66" w:rsidP="006121B2">
      <w:pPr>
        <w:pStyle w:val="StandardWeb"/>
        <w:spacing w:before="0" w:beforeAutospacing="0" w:after="0" w:afterAutospacing="0"/>
      </w:pPr>
      <w:r w:rsidRPr="00920BC2">
        <w:t>University of California, Davis</w:t>
      </w:r>
    </w:p>
    <w:p w14:paraId="4ED234FC" w14:textId="77777777" w:rsidR="004B5C66" w:rsidRPr="00920BC2" w:rsidRDefault="004B5C66" w:rsidP="006121B2">
      <w:pPr>
        <w:pStyle w:val="StandardWeb"/>
        <w:spacing w:before="0" w:beforeAutospacing="0" w:after="0" w:afterAutospacing="0"/>
      </w:pPr>
    </w:p>
    <w:p w14:paraId="71478BE0" w14:textId="4B1180E1" w:rsidR="004923A7" w:rsidRPr="00920BC2" w:rsidRDefault="004923A7" w:rsidP="006121B2">
      <w:pPr>
        <w:pStyle w:val="StandardWeb"/>
        <w:spacing w:before="0" w:beforeAutospacing="0" w:after="0" w:afterAutospacing="0"/>
      </w:pPr>
      <w:r w:rsidRPr="00920BC2">
        <w:t xml:space="preserve">Joseph </w:t>
      </w:r>
      <w:r w:rsidR="00655A22">
        <w:t xml:space="preserve">V. </w:t>
      </w:r>
      <w:proofErr w:type="spellStart"/>
      <w:r w:rsidRPr="00920BC2">
        <w:t>Spadaro</w:t>
      </w:r>
      <w:proofErr w:type="spellEnd"/>
    </w:p>
    <w:p w14:paraId="49E077A8" w14:textId="460F1A09" w:rsidR="00BC3080" w:rsidRDefault="00BC3080" w:rsidP="00A00D23">
      <w:pPr>
        <w:pStyle w:val="StandardWeb"/>
        <w:spacing w:before="0" w:beforeAutospacing="0" w:after="0" w:afterAutospacing="0"/>
      </w:pPr>
      <w:proofErr w:type="spellStart"/>
      <w:r>
        <w:t>Spadaro</w:t>
      </w:r>
      <w:proofErr w:type="spellEnd"/>
      <w:r>
        <w:t xml:space="preserve"> Environmental Research Consultants</w:t>
      </w:r>
    </w:p>
    <w:p w14:paraId="606F1978" w14:textId="435B36DB" w:rsidR="00920BC2" w:rsidRPr="00920BC2" w:rsidRDefault="00BC3080" w:rsidP="00A00D23">
      <w:pPr>
        <w:pStyle w:val="StandardWeb"/>
        <w:spacing w:before="0" w:beforeAutospacing="0" w:after="0" w:afterAutospacing="0"/>
      </w:pPr>
      <w:r w:rsidRPr="00920BC2" w:rsidDel="00BC3080">
        <w:t xml:space="preserve"> </w:t>
      </w:r>
    </w:p>
    <w:p w14:paraId="6D6D6CAF" w14:textId="08E1786A" w:rsidR="00920BC2" w:rsidRPr="00920BC2" w:rsidRDefault="00920BC2" w:rsidP="00A00D23">
      <w:pPr>
        <w:pStyle w:val="StandardWeb"/>
        <w:spacing w:before="0" w:beforeAutospacing="0" w:after="0" w:afterAutospacing="0"/>
      </w:pPr>
      <w:r w:rsidRPr="00920BC2">
        <w:t xml:space="preserve">Sophie </w:t>
      </w:r>
      <w:proofErr w:type="spellStart"/>
      <w:r w:rsidRPr="00920BC2">
        <w:t>Gumy</w:t>
      </w:r>
      <w:proofErr w:type="spellEnd"/>
    </w:p>
    <w:p w14:paraId="0E3C1672" w14:textId="5549BCEB" w:rsidR="00920BC2" w:rsidRPr="00920BC2" w:rsidRDefault="00920BC2" w:rsidP="00A00D23">
      <w:pPr>
        <w:pStyle w:val="StandardWeb"/>
        <w:spacing w:before="0" w:beforeAutospacing="0" w:after="0" w:afterAutospacing="0"/>
      </w:pPr>
      <w:bookmarkStart w:id="1" w:name="_Hlk498195828"/>
      <w:r w:rsidRPr="00920BC2">
        <w:t>World Health Organization</w:t>
      </w:r>
    </w:p>
    <w:bookmarkEnd w:id="1"/>
    <w:p w14:paraId="4CD52358" w14:textId="77777777" w:rsidR="00920BC2" w:rsidRPr="00920BC2" w:rsidRDefault="00920BC2" w:rsidP="00A00D23">
      <w:pPr>
        <w:pStyle w:val="StandardWeb"/>
        <w:spacing w:before="0" w:beforeAutospacing="0" w:after="0" w:afterAutospacing="0"/>
      </w:pPr>
    </w:p>
    <w:p w14:paraId="48A20C9C" w14:textId="5D1A24CC" w:rsidR="005703DC" w:rsidRDefault="00920BC2" w:rsidP="00640055">
      <w:pPr>
        <w:pStyle w:val="StandardWeb"/>
        <w:spacing w:before="0" w:beforeAutospacing="0" w:after="0" w:afterAutospacing="0"/>
      </w:pPr>
      <w:proofErr w:type="spellStart"/>
      <w:r w:rsidRPr="00920BC2">
        <w:t>Pierpaolo</w:t>
      </w:r>
      <w:proofErr w:type="spellEnd"/>
      <w:r w:rsidRPr="00920BC2">
        <w:t xml:space="preserve"> </w:t>
      </w:r>
      <w:proofErr w:type="spellStart"/>
      <w:r w:rsidRPr="00920BC2">
        <w:t>Mu</w:t>
      </w:r>
      <w:r w:rsidR="005703DC">
        <w:t>d</w:t>
      </w:r>
      <w:r w:rsidRPr="00920BC2">
        <w:t>u</w:t>
      </w:r>
      <w:proofErr w:type="spellEnd"/>
    </w:p>
    <w:p w14:paraId="381772C2" w14:textId="1A36F001" w:rsidR="005703DC" w:rsidRPr="005703DC" w:rsidRDefault="005703DC" w:rsidP="00640055">
      <w:pPr>
        <w:pStyle w:val="StandardWeb"/>
        <w:spacing w:before="0" w:beforeAutospacing="0" w:after="0" w:afterAutospacing="0"/>
      </w:pPr>
      <w:r w:rsidRPr="005703DC">
        <w:t>World Health Organization</w:t>
      </w:r>
    </w:p>
    <w:p w14:paraId="370B8841" w14:textId="77777777" w:rsidR="003B160B" w:rsidRDefault="003B160B" w:rsidP="00A00D23">
      <w:pPr>
        <w:pStyle w:val="StandardWeb"/>
        <w:spacing w:before="0" w:beforeAutospacing="0" w:after="0" w:afterAutospacing="0"/>
        <w:rPr>
          <w:color w:val="333333"/>
          <w:shd w:val="clear" w:color="auto" w:fill="FFFFFF"/>
        </w:rPr>
      </w:pPr>
    </w:p>
    <w:p w14:paraId="4091DAAB" w14:textId="36697917" w:rsidR="003B160B" w:rsidRDefault="003B160B" w:rsidP="00A00D23">
      <w:pPr>
        <w:pStyle w:val="StandardWeb"/>
        <w:spacing w:before="0" w:beforeAutospacing="0" w:after="0" w:afterAutospacing="0"/>
        <w:rPr>
          <w:color w:val="333333"/>
          <w:shd w:val="clear" w:color="auto" w:fill="FFFFFF"/>
        </w:rPr>
      </w:pPr>
      <w:proofErr w:type="spellStart"/>
      <w:r>
        <w:rPr>
          <w:color w:val="333333"/>
          <w:shd w:val="clear" w:color="auto" w:fill="FFFFFF"/>
        </w:rPr>
        <w:t>Yewande</w:t>
      </w:r>
      <w:proofErr w:type="spellEnd"/>
      <w:r>
        <w:rPr>
          <w:color w:val="333333"/>
          <w:shd w:val="clear" w:color="auto" w:fill="FFFFFF"/>
        </w:rPr>
        <w:t xml:space="preserve"> Awe</w:t>
      </w:r>
    </w:p>
    <w:p w14:paraId="367EB819" w14:textId="07573150" w:rsidR="003B160B" w:rsidRPr="00920BC2" w:rsidRDefault="003B160B" w:rsidP="00A00D23">
      <w:pPr>
        <w:pStyle w:val="StandardWeb"/>
        <w:spacing w:before="0" w:beforeAutospacing="0" w:after="0" w:afterAutospacing="0"/>
      </w:pPr>
      <w:r>
        <w:rPr>
          <w:color w:val="333333"/>
          <w:shd w:val="clear" w:color="auto" w:fill="FFFFFF"/>
        </w:rPr>
        <w:t>World Bank</w:t>
      </w:r>
    </w:p>
    <w:p w14:paraId="57DE2372" w14:textId="77777777" w:rsidR="004923A7" w:rsidRPr="00920BC2" w:rsidRDefault="004923A7" w:rsidP="006121B2">
      <w:pPr>
        <w:pStyle w:val="StandardWeb"/>
        <w:spacing w:before="0" w:beforeAutospacing="0" w:after="0" w:afterAutospacing="0"/>
      </w:pPr>
    </w:p>
    <w:p w14:paraId="0002B6AB" w14:textId="7245AF68" w:rsidR="004923A7" w:rsidRDefault="004923A7" w:rsidP="006121B2">
      <w:pPr>
        <w:pStyle w:val="StandardWeb"/>
        <w:spacing w:before="0" w:beforeAutospacing="0" w:after="0" w:afterAutospacing="0"/>
        <w:rPr>
          <w:color w:val="333333"/>
          <w:shd w:val="clear" w:color="auto" w:fill="FFFFFF"/>
        </w:rPr>
      </w:pPr>
      <w:r w:rsidRPr="00640055">
        <w:rPr>
          <w:color w:val="333333"/>
          <w:shd w:val="clear" w:color="auto" w:fill="FFFFFF"/>
        </w:rPr>
        <w:t xml:space="preserve">Francesco </w:t>
      </w:r>
      <w:proofErr w:type="spellStart"/>
      <w:r w:rsidRPr="00640055">
        <w:rPr>
          <w:color w:val="333333"/>
          <w:shd w:val="clear" w:color="auto" w:fill="FFFFFF"/>
        </w:rPr>
        <w:t>Forastiere</w:t>
      </w:r>
      <w:proofErr w:type="spellEnd"/>
    </w:p>
    <w:p w14:paraId="766717D2" w14:textId="3CFAE6A1" w:rsidR="00C32634" w:rsidRPr="00640055" w:rsidRDefault="00C32634" w:rsidP="006121B2">
      <w:pPr>
        <w:pStyle w:val="StandardWeb"/>
        <w:spacing w:before="0" w:beforeAutospacing="0" w:after="0" w:afterAutospacing="0"/>
        <w:rPr>
          <w:color w:val="333333"/>
          <w:shd w:val="clear" w:color="auto" w:fill="FFFFFF"/>
        </w:rPr>
      </w:pPr>
      <w:proofErr w:type="gramStart"/>
      <w:r>
        <w:rPr>
          <w:color w:val="333333"/>
          <w:shd w:val="clear" w:color="auto" w:fill="FFFFFF"/>
        </w:rPr>
        <w:t>Department of Epidemiology, Lazio Regional Health Service, Rome, Italy.</w:t>
      </w:r>
      <w:proofErr w:type="gramEnd"/>
    </w:p>
    <w:p w14:paraId="61AD39D7" w14:textId="77777777" w:rsidR="004B5C66" w:rsidRDefault="004B5C66" w:rsidP="006121B2">
      <w:pPr>
        <w:pStyle w:val="StandardWeb"/>
        <w:spacing w:before="0" w:beforeAutospacing="0" w:after="0" w:afterAutospacing="0"/>
      </w:pPr>
    </w:p>
    <w:p w14:paraId="62568B7F" w14:textId="77777777" w:rsidR="00640055" w:rsidRPr="00920BC2" w:rsidRDefault="00640055" w:rsidP="00640055">
      <w:pPr>
        <w:pStyle w:val="StandardWeb"/>
        <w:spacing w:before="0" w:beforeAutospacing="0" w:after="0" w:afterAutospacing="0"/>
      </w:pPr>
      <w:r w:rsidRPr="00920BC2">
        <w:t>Annette Peters</w:t>
      </w:r>
    </w:p>
    <w:p w14:paraId="2D326C37" w14:textId="0C26F7B4" w:rsidR="00640055" w:rsidRDefault="00640055" w:rsidP="00640055">
      <w:pPr>
        <w:pStyle w:val="StandardWeb"/>
        <w:spacing w:before="0" w:beforeAutospacing="0" w:after="0" w:afterAutospacing="0"/>
        <w:rPr>
          <w:color w:val="333333"/>
          <w:shd w:val="clear" w:color="auto" w:fill="FFFFFF"/>
        </w:rPr>
      </w:pPr>
      <w:r w:rsidRPr="00003CD4">
        <w:rPr>
          <w:color w:val="333333"/>
          <w:shd w:val="clear" w:color="auto" w:fill="FFFFFF"/>
        </w:rPr>
        <w:t xml:space="preserve">Helmholtz </w:t>
      </w:r>
      <w:proofErr w:type="spellStart"/>
      <w:r w:rsidRPr="00003CD4">
        <w:rPr>
          <w:color w:val="333333"/>
          <w:shd w:val="clear" w:color="auto" w:fill="FFFFFF"/>
        </w:rPr>
        <w:t>Zentrum</w:t>
      </w:r>
      <w:proofErr w:type="spellEnd"/>
      <w:r w:rsidRPr="00003CD4">
        <w:rPr>
          <w:color w:val="333333"/>
          <w:shd w:val="clear" w:color="auto" w:fill="FFFFFF"/>
        </w:rPr>
        <w:t xml:space="preserve"> </w:t>
      </w:r>
      <w:proofErr w:type="spellStart"/>
      <w:r w:rsidRPr="00003CD4">
        <w:rPr>
          <w:color w:val="333333"/>
          <w:shd w:val="clear" w:color="auto" w:fill="FFFFFF"/>
        </w:rPr>
        <w:t>München</w:t>
      </w:r>
      <w:proofErr w:type="spellEnd"/>
      <w:r>
        <w:rPr>
          <w:color w:val="333333"/>
          <w:shd w:val="clear" w:color="auto" w:fill="FFFFFF"/>
        </w:rPr>
        <w:t xml:space="preserve"> - </w:t>
      </w:r>
      <w:r w:rsidRPr="00920BC2">
        <w:rPr>
          <w:color w:val="333333"/>
          <w:shd w:val="clear" w:color="auto" w:fill="FFFFFF"/>
        </w:rPr>
        <w:t>German Research Center for Environmental Health</w:t>
      </w:r>
      <w:r>
        <w:rPr>
          <w:color w:val="333333"/>
          <w:shd w:val="clear" w:color="auto" w:fill="FFFFFF"/>
        </w:rPr>
        <w:t>, Institute of Epidemiology</w:t>
      </w:r>
    </w:p>
    <w:p w14:paraId="4D90D1CF" w14:textId="77777777" w:rsidR="00AB2C76" w:rsidRPr="00B57339" w:rsidRDefault="004B5C66" w:rsidP="00AB2C76">
      <w:pPr>
        <w:rPr>
          <w:b/>
        </w:rPr>
      </w:pPr>
      <w:r>
        <w:br w:type="column"/>
      </w:r>
      <w:r w:rsidR="00FE7CAD">
        <w:rPr>
          <w:b/>
        </w:rPr>
        <w:lastRenderedPageBreak/>
        <w:t>Abstract</w:t>
      </w:r>
    </w:p>
    <w:p w14:paraId="47CDD0D5" w14:textId="6BE8E4AC" w:rsidR="00AB2C76" w:rsidRDefault="006118C9" w:rsidP="002F2C7E">
      <w:pPr>
        <w:tabs>
          <w:tab w:val="left" w:pos="7560"/>
        </w:tabs>
        <w:spacing w:before="120" w:after="240" w:line="360" w:lineRule="auto"/>
      </w:pPr>
      <w:r w:rsidRPr="006118C9">
        <w:t>The G</w:t>
      </w:r>
      <w:r w:rsidR="00E03658">
        <w:t xml:space="preserve">lobal </w:t>
      </w:r>
      <w:r w:rsidRPr="006118C9">
        <w:t>B</w:t>
      </w:r>
      <w:r w:rsidR="00E03658">
        <w:t xml:space="preserve">urden of </w:t>
      </w:r>
      <w:r w:rsidR="00E03658" w:rsidRPr="006118C9">
        <w:t>D</w:t>
      </w:r>
      <w:r w:rsidR="00E03658">
        <w:t>isease (GBD)</w:t>
      </w:r>
      <w:r w:rsidRPr="006118C9">
        <w:t xml:space="preserve"> is a comparative assessment of the</w:t>
      </w:r>
      <w:r w:rsidR="007159F8">
        <w:t xml:space="preserve"> health</w:t>
      </w:r>
      <w:r w:rsidRPr="006118C9">
        <w:t xml:space="preserve"> impact of </w:t>
      </w:r>
      <w:r w:rsidR="001D3B67">
        <w:t xml:space="preserve">the major and </w:t>
      </w:r>
      <w:r w:rsidR="007921CF">
        <w:t>well-</w:t>
      </w:r>
      <w:r w:rsidR="001D3B67">
        <w:t xml:space="preserve">established </w:t>
      </w:r>
      <w:r w:rsidRPr="006118C9">
        <w:t>risk factors</w:t>
      </w:r>
      <w:r w:rsidR="00E03658">
        <w:t>,</w:t>
      </w:r>
      <w:r w:rsidRPr="006118C9">
        <w:t xml:space="preserve"> including </w:t>
      </w:r>
      <w:r w:rsidR="003C4634">
        <w:t>ambient</w:t>
      </w:r>
      <w:r w:rsidR="003C4634" w:rsidRPr="006118C9">
        <w:t xml:space="preserve"> </w:t>
      </w:r>
      <w:r w:rsidRPr="006118C9">
        <w:t>air pollution (</w:t>
      </w:r>
      <w:r w:rsidR="00920BC2">
        <w:t>AAP</w:t>
      </w:r>
      <w:r w:rsidRPr="006118C9">
        <w:t xml:space="preserve">) </w:t>
      </w:r>
      <w:r w:rsidR="00257630">
        <w:t>assessed</w:t>
      </w:r>
      <w:r w:rsidRPr="006118C9">
        <w:t xml:space="preserve"> by</w:t>
      </w:r>
      <w:r w:rsidR="00DA5701">
        <w:t xml:space="preserve"> concentrations of</w:t>
      </w:r>
      <w:r w:rsidRPr="006118C9">
        <w:t xml:space="preserve"> PM2.5 (particles less than 2.5 microns)</w:t>
      </w:r>
      <w:r w:rsidR="007159F8">
        <w:t xml:space="preserve"> and </w:t>
      </w:r>
      <w:r w:rsidR="003C4634">
        <w:t>o</w:t>
      </w:r>
      <w:r w:rsidR="007159F8">
        <w:t>zone</w:t>
      </w:r>
      <w:r w:rsidRPr="006118C9">
        <w:t>.  Over the last two decades, there ha</w:t>
      </w:r>
      <w:r>
        <w:t>s been considerable improvement</w:t>
      </w:r>
      <w:r w:rsidRPr="006118C9">
        <w:t xml:space="preserve"> in </w:t>
      </w:r>
      <w:r>
        <w:t>two important inputs in the</w:t>
      </w:r>
      <w:r w:rsidRPr="006118C9">
        <w:t xml:space="preserve"> methodology for estimating the impacts of PM2.5</w:t>
      </w:r>
      <w:r>
        <w:t xml:space="preserve">.  </w:t>
      </w:r>
      <w:r w:rsidRPr="006118C9">
        <w:t xml:space="preserve">The first </w:t>
      </w:r>
      <w:r w:rsidR="001C36B8" w:rsidRPr="006118C9">
        <w:t xml:space="preserve">is the assessment of </w:t>
      </w:r>
      <w:r w:rsidR="001C36B8">
        <w:t xml:space="preserve">global </w:t>
      </w:r>
      <w:r w:rsidR="001C36B8" w:rsidRPr="006118C9">
        <w:t>exposure</w:t>
      </w:r>
      <w:r w:rsidR="001C36B8">
        <w:t xml:space="preserve"> to PM2.5 while the second i</w:t>
      </w:r>
      <w:r w:rsidRPr="006118C9">
        <w:t xml:space="preserve">s the development of </w:t>
      </w:r>
      <w:r w:rsidR="00DA4A63">
        <w:t xml:space="preserve">integrated exposure risk </w:t>
      </w:r>
      <w:r w:rsidR="003A1D9A">
        <w:t>models (</w:t>
      </w:r>
      <w:r w:rsidR="00DA4A63">
        <w:t xml:space="preserve">IERs) </w:t>
      </w:r>
      <w:r w:rsidR="003A1D9A">
        <w:t>that</w:t>
      </w:r>
      <w:r w:rsidRPr="006118C9">
        <w:t xml:space="preserve"> </w:t>
      </w:r>
      <w:r w:rsidR="005107F7">
        <w:t xml:space="preserve">relate </w:t>
      </w:r>
      <w:r w:rsidR="009A3BAD">
        <w:t xml:space="preserve">the entire range of exposures to </w:t>
      </w:r>
      <w:r w:rsidR="009A3BAD" w:rsidRPr="006118C9">
        <w:t>PM2.5</w:t>
      </w:r>
      <w:r w:rsidR="009A3BAD">
        <w:t xml:space="preserve"> </w:t>
      </w:r>
      <w:r w:rsidR="003667B6">
        <w:t xml:space="preserve">(based on both air pollution and smoking studies) </w:t>
      </w:r>
      <w:r w:rsidR="009A3BAD">
        <w:t xml:space="preserve">to </w:t>
      </w:r>
      <w:r w:rsidR="005107F7">
        <w:t>cause</w:t>
      </w:r>
      <w:r w:rsidR="00920BC2">
        <w:t>-</w:t>
      </w:r>
      <w:r w:rsidR="005107F7">
        <w:t xml:space="preserve">specific </w:t>
      </w:r>
      <w:r w:rsidR="005107F7" w:rsidRPr="006118C9">
        <w:t>mortality risks</w:t>
      </w:r>
      <w:r w:rsidR="005107F7">
        <w:t>.</w:t>
      </w:r>
      <w:r w:rsidRPr="006118C9">
        <w:t xml:space="preserve"> </w:t>
      </w:r>
      <w:r w:rsidR="007C583B" w:rsidRPr="006118C9">
        <w:t xml:space="preserve"> </w:t>
      </w:r>
      <w:r>
        <w:t xml:space="preserve">As a result, the </w:t>
      </w:r>
      <w:r w:rsidR="007159F8">
        <w:t xml:space="preserve">estimated </w:t>
      </w:r>
      <w:r>
        <w:t xml:space="preserve">annual mortality attributed to </w:t>
      </w:r>
      <w:r w:rsidR="00920BC2">
        <w:t>AAP</w:t>
      </w:r>
      <w:r>
        <w:t xml:space="preserve"> increased from </w:t>
      </w:r>
      <w:r w:rsidR="00F72E05">
        <w:t xml:space="preserve">less than 1 million in 2000 in the first round of estimates by </w:t>
      </w:r>
      <w:r w:rsidR="005107F7">
        <w:t>the World Health Organization and World Bank</w:t>
      </w:r>
      <w:r w:rsidR="00F72E05">
        <w:t xml:space="preserve">, to </w:t>
      </w:r>
      <w:r w:rsidR="00DA4A63">
        <w:t xml:space="preserve">roughly 3 million </w:t>
      </w:r>
      <w:r w:rsidR="003A1D9A">
        <w:t>for</w:t>
      </w:r>
      <w:r w:rsidR="00DA4A63">
        <w:t xml:space="preserve"> GBD </w:t>
      </w:r>
      <w:r w:rsidR="005107F7">
        <w:t xml:space="preserve">in years </w:t>
      </w:r>
      <w:r w:rsidR="00DA4A63">
        <w:t xml:space="preserve">2010 and 2013 </w:t>
      </w:r>
      <w:r>
        <w:t xml:space="preserve">to 4.2 million </w:t>
      </w:r>
      <w:r w:rsidR="00DA4A63">
        <w:t>for GBD</w:t>
      </w:r>
      <w:r>
        <w:t xml:space="preserve"> 2015.  However, the magnitude of the change and uncertainty regarding the reasons for </w:t>
      </w:r>
      <w:r w:rsidR="007159F8">
        <w:t>such a variation</w:t>
      </w:r>
      <w:r w:rsidR="009727EE">
        <w:t xml:space="preserve"> </w:t>
      </w:r>
      <w:r w:rsidR="00F72E05">
        <w:t xml:space="preserve">in the recent estimates </w:t>
      </w:r>
      <w:r>
        <w:t>h</w:t>
      </w:r>
      <w:r w:rsidR="003A1D9A">
        <w:t>ave</w:t>
      </w:r>
      <w:r>
        <w:t xml:space="preserve"> resulted</w:t>
      </w:r>
      <w:r w:rsidR="009727EE">
        <w:t xml:space="preserve">, in some cases, in </w:t>
      </w:r>
      <w:r w:rsidR="00374664">
        <w:t xml:space="preserve">skepticism and </w:t>
      </w:r>
      <w:r w:rsidR="009727EE">
        <w:t xml:space="preserve">reduced </w:t>
      </w:r>
      <w:r w:rsidR="00C03C32">
        <w:t>confidence in the</w:t>
      </w:r>
      <w:r>
        <w:t xml:space="preserve"> overall </w:t>
      </w:r>
      <w:r w:rsidR="00C03C32">
        <w:t>estimates</w:t>
      </w:r>
      <w:r w:rsidR="009727EE">
        <w:t xml:space="preserve">.  </w:t>
      </w:r>
      <w:r w:rsidR="003A1D9A">
        <w:t>T</w:t>
      </w:r>
      <w:r w:rsidR="009727EE">
        <w:t xml:space="preserve">o understand the </w:t>
      </w:r>
      <w:r w:rsidR="005107F7">
        <w:t xml:space="preserve">underlying reasons </w:t>
      </w:r>
      <w:r w:rsidR="009727EE">
        <w:t xml:space="preserve">for the change in mortality, we </w:t>
      </w:r>
      <w:r w:rsidR="00B87802">
        <w:t>focused on the</w:t>
      </w:r>
      <w:r w:rsidR="00583DFD">
        <w:t xml:space="preserve"> </w:t>
      </w:r>
      <w:r w:rsidR="00B87802">
        <w:t xml:space="preserve">estimates for </w:t>
      </w:r>
      <w:r w:rsidR="00583DFD">
        <w:t xml:space="preserve">the years </w:t>
      </w:r>
      <w:r w:rsidR="00B87802">
        <w:t>2013 and 2015</w:t>
      </w:r>
      <w:r w:rsidR="00003CD4">
        <w:t xml:space="preserve"> for</w:t>
      </w:r>
      <w:r w:rsidR="009A3BAD">
        <w:t xml:space="preserve"> which</w:t>
      </w:r>
      <w:r w:rsidR="00003CD4">
        <w:t xml:space="preserve"> a difference of </w:t>
      </w:r>
      <w:r w:rsidR="00BC3080">
        <w:t>one million deaths</w:t>
      </w:r>
      <w:r w:rsidR="00003CD4">
        <w:t xml:space="preserve"> observed</w:t>
      </w:r>
      <w:r w:rsidR="009727EE">
        <w:t xml:space="preserve">.  </w:t>
      </w:r>
      <w:r w:rsidR="009A3BAD">
        <w:t>W</w:t>
      </w:r>
      <w:r w:rsidR="009727EE">
        <w:t>e examined the quantitative implications of alternative model input assumptions</w:t>
      </w:r>
      <w:r>
        <w:t xml:space="preserve">.  </w:t>
      </w:r>
      <w:r w:rsidR="00DA4A63">
        <w:t xml:space="preserve">We calculated that the year 2013 estimates increased by 8% after applying the </w:t>
      </w:r>
      <w:r w:rsidR="00583DFD">
        <w:t xml:space="preserve">updated </w:t>
      </w:r>
      <w:r w:rsidR="00DA4A63">
        <w:t xml:space="preserve">exposure </w:t>
      </w:r>
      <w:r w:rsidR="00583DFD">
        <w:t xml:space="preserve">data </w:t>
      </w:r>
      <w:r w:rsidR="00DA4A63">
        <w:t>used in GBD 2015</w:t>
      </w:r>
      <w:r w:rsidR="00E56B5A">
        <w:t>,</w:t>
      </w:r>
      <w:r w:rsidR="00E03658">
        <w:t xml:space="preserve"> and</w:t>
      </w:r>
      <w:r w:rsidR="00DA4A63">
        <w:t xml:space="preserve"> increased by 23% with the application of the </w:t>
      </w:r>
      <w:r w:rsidR="00583DFD">
        <w:t xml:space="preserve">updated IERs as used for the </w:t>
      </w:r>
      <w:r w:rsidR="00DA4A63">
        <w:t xml:space="preserve">GBD 2015.  The application of both upgraded methodologies together increased the GBD 2013 estimates by 35%, </w:t>
      </w:r>
      <w:r w:rsidR="00416343">
        <w:t xml:space="preserve">to </w:t>
      </w:r>
      <w:r w:rsidR="002B4051">
        <w:t>a</w:t>
      </w:r>
      <w:r w:rsidR="005107F7">
        <w:t>lmost 4.2</w:t>
      </w:r>
      <w:r w:rsidR="00DA4A63">
        <w:t xml:space="preserve"> million deaths.  </w:t>
      </w:r>
      <w:r w:rsidR="00416343">
        <w:t>We also found that 75%</w:t>
      </w:r>
      <w:r w:rsidR="003A1D9A">
        <w:t xml:space="preserve"> of the remaining difference of 200,000 deaths</w:t>
      </w:r>
      <w:r w:rsidR="00416343">
        <w:t xml:space="preserve"> between 2013 and 2015 was due to demographics (i.e., population growth, aging and the disease mixture)</w:t>
      </w:r>
      <w:r w:rsidR="009A3BAD">
        <w:t xml:space="preserve">, </w:t>
      </w:r>
      <w:r w:rsidR="00416343" w:rsidRPr="00355A20">
        <w:t>with China and India contributing nearly half of this change.  The remaining incremental burden</w:t>
      </w:r>
      <w:r w:rsidR="00416343">
        <w:t xml:space="preserve"> was</w:t>
      </w:r>
      <w:r w:rsidR="00416343" w:rsidRPr="00355A20">
        <w:t xml:space="preserve"> due to </w:t>
      </w:r>
      <w:r w:rsidR="00416343">
        <w:t>changes</w:t>
      </w:r>
      <w:r w:rsidR="00416343" w:rsidRPr="00355A20">
        <w:t xml:space="preserve"> in population exposure</w:t>
      </w:r>
      <w:r w:rsidR="003A1D9A">
        <w:t xml:space="preserve">. Improvements in the </w:t>
      </w:r>
      <w:r w:rsidR="00861C6E">
        <w:t>methods</w:t>
      </w:r>
      <w:r w:rsidR="003A1D9A">
        <w:t xml:space="preserve"> over time will continue to change the global estimates</w:t>
      </w:r>
      <w:r w:rsidR="005107F7">
        <w:t xml:space="preserve"> </w:t>
      </w:r>
      <w:r w:rsidR="009A3BAD">
        <w:t xml:space="preserve">of air pollution-related deaths </w:t>
      </w:r>
      <w:r w:rsidR="005107F7">
        <w:t>and</w:t>
      </w:r>
      <w:r w:rsidR="00317B2D">
        <w:t xml:space="preserve"> </w:t>
      </w:r>
      <w:r w:rsidR="00861C6E">
        <w:t xml:space="preserve">a clear documentation of the </w:t>
      </w:r>
      <w:r w:rsidR="00374664">
        <w:t>changes in the metho</w:t>
      </w:r>
      <w:r w:rsidR="002B4051">
        <w:t>do</w:t>
      </w:r>
      <w:r w:rsidR="00374664">
        <w:t>logy</w:t>
      </w:r>
      <w:r w:rsidR="00861C6E">
        <w:t xml:space="preserve"> is necessary to maintain confidence in the overall process. </w:t>
      </w:r>
      <w:r w:rsidR="003A1D9A">
        <w:t xml:space="preserve">   </w:t>
      </w:r>
    </w:p>
    <w:p w14:paraId="3DD16507" w14:textId="77777777" w:rsidR="00AB2C76" w:rsidRDefault="00AB2C76" w:rsidP="00AB2C76">
      <w:pPr>
        <w:pStyle w:val="Listenabsatz"/>
        <w:ind w:left="360"/>
      </w:pPr>
    </w:p>
    <w:p w14:paraId="251D9BBB" w14:textId="77777777" w:rsidR="00580004" w:rsidRDefault="00580004" w:rsidP="0073430D">
      <w:pPr>
        <w:pStyle w:val="StandardWeb"/>
        <w:spacing w:before="0" w:beforeAutospacing="0" w:after="0" w:afterAutospacing="0" w:line="480" w:lineRule="auto"/>
        <w:rPr>
          <w:b/>
        </w:rPr>
      </w:pPr>
    </w:p>
    <w:p w14:paraId="7BEC14C5" w14:textId="77777777" w:rsidR="00E1490B" w:rsidRPr="00BC3080" w:rsidRDefault="00580004" w:rsidP="0073430D">
      <w:pPr>
        <w:pStyle w:val="StandardWeb"/>
        <w:spacing w:before="0" w:beforeAutospacing="0" w:after="0" w:afterAutospacing="0" w:line="480" w:lineRule="auto"/>
        <w:rPr>
          <w:b/>
          <w:lang w:val="fr-FR"/>
        </w:rPr>
      </w:pPr>
      <w:r w:rsidRPr="00BC3080">
        <w:rPr>
          <w:b/>
          <w:lang w:val="fr-FR"/>
        </w:rPr>
        <w:br w:type="column"/>
      </w:r>
      <w:proofErr w:type="spellStart"/>
      <w:r w:rsidR="00E1490B" w:rsidRPr="00BC3080">
        <w:rPr>
          <w:b/>
          <w:lang w:val="fr-FR"/>
        </w:rPr>
        <w:lastRenderedPageBreak/>
        <w:t>Abbreviations</w:t>
      </w:r>
      <w:proofErr w:type="spellEnd"/>
    </w:p>
    <w:p w14:paraId="2AE5C07B" w14:textId="1932427F" w:rsidR="00821113" w:rsidRPr="00BC3080" w:rsidRDefault="00821113" w:rsidP="00355A20">
      <w:pPr>
        <w:pStyle w:val="StandardWeb"/>
        <w:spacing w:before="0" w:beforeAutospacing="0" w:after="0" w:afterAutospacing="0"/>
        <w:rPr>
          <w:lang w:val="fr-FR"/>
        </w:rPr>
      </w:pPr>
      <w:r w:rsidRPr="00BC3080">
        <w:rPr>
          <w:lang w:val="fr-FR"/>
        </w:rPr>
        <w:t>AAP: Ambient air pollution</w:t>
      </w:r>
    </w:p>
    <w:p w14:paraId="4B15EC59" w14:textId="77777777" w:rsidR="00E1490B" w:rsidRPr="00BC3080" w:rsidRDefault="00E1490B" w:rsidP="00355A20">
      <w:pPr>
        <w:pStyle w:val="StandardWeb"/>
        <w:spacing w:before="0" w:beforeAutospacing="0" w:after="0" w:afterAutospacing="0"/>
        <w:rPr>
          <w:lang w:val="fr-FR"/>
        </w:rPr>
      </w:pPr>
      <w:r w:rsidRPr="00BC3080">
        <w:rPr>
          <w:lang w:val="fr-FR"/>
        </w:rPr>
        <w:t xml:space="preserve">AOD: </w:t>
      </w:r>
      <w:proofErr w:type="spellStart"/>
      <w:r w:rsidRPr="00BC3080">
        <w:rPr>
          <w:lang w:val="fr-FR"/>
        </w:rPr>
        <w:t>Aerosol</w:t>
      </w:r>
      <w:proofErr w:type="spellEnd"/>
      <w:r w:rsidRPr="00BC3080">
        <w:rPr>
          <w:lang w:val="fr-FR"/>
        </w:rPr>
        <w:t xml:space="preserve"> </w:t>
      </w:r>
      <w:proofErr w:type="spellStart"/>
      <w:r w:rsidRPr="00BC3080">
        <w:rPr>
          <w:lang w:val="fr-FR"/>
        </w:rPr>
        <w:t>optical</w:t>
      </w:r>
      <w:proofErr w:type="spellEnd"/>
      <w:r w:rsidRPr="00BC3080">
        <w:rPr>
          <w:lang w:val="fr-FR"/>
        </w:rPr>
        <w:t xml:space="preserve"> </w:t>
      </w:r>
      <w:proofErr w:type="spellStart"/>
      <w:r w:rsidRPr="00BC3080">
        <w:rPr>
          <w:lang w:val="fr-FR"/>
        </w:rPr>
        <w:t>depth</w:t>
      </w:r>
      <w:proofErr w:type="spellEnd"/>
    </w:p>
    <w:p w14:paraId="10FAA533" w14:textId="77777777" w:rsidR="00E1490B" w:rsidRDefault="00E1490B" w:rsidP="00355A20">
      <w:pPr>
        <w:pStyle w:val="StandardWeb"/>
        <w:spacing w:before="0" w:beforeAutospacing="0" w:after="0" w:afterAutospacing="0"/>
      </w:pPr>
      <w:r>
        <w:t>COPD: Chronic obstructive pulmonary disease</w:t>
      </w:r>
    </w:p>
    <w:p w14:paraId="7AA049F9" w14:textId="77777777" w:rsidR="00E1490B" w:rsidRDefault="00E1490B" w:rsidP="00355A20">
      <w:pPr>
        <w:pStyle w:val="StandardWeb"/>
        <w:spacing w:before="0" w:beforeAutospacing="0" w:after="0" w:afterAutospacing="0"/>
      </w:pPr>
      <w:r>
        <w:t>CRF: Concentration-response function</w:t>
      </w:r>
    </w:p>
    <w:p w14:paraId="7242DB5A" w14:textId="77777777" w:rsidR="006A675F" w:rsidRDefault="006A675F" w:rsidP="00355A20">
      <w:pPr>
        <w:pStyle w:val="StandardWeb"/>
        <w:spacing w:before="0" w:beforeAutospacing="0" w:after="0" w:afterAutospacing="0"/>
      </w:pPr>
      <w:r>
        <w:t>CTM: Chemical Transport Model</w:t>
      </w:r>
    </w:p>
    <w:p w14:paraId="09E5FC51" w14:textId="77777777" w:rsidR="00E1490B" w:rsidRDefault="00E1490B" w:rsidP="00355A20">
      <w:pPr>
        <w:pStyle w:val="StandardWeb"/>
        <w:spacing w:before="0" w:beforeAutospacing="0" w:after="0" w:afterAutospacing="0"/>
      </w:pPr>
      <w:r>
        <w:t>GBD: Global Burden of Disease</w:t>
      </w:r>
    </w:p>
    <w:p w14:paraId="570D6333" w14:textId="77777777" w:rsidR="00E1490B" w:rsidRDefault="00E1490B" w:rsidP="00355A20">
      <w:pPr>
        <w:pStyle w:val="StandardWeb"/>
        <w:spacing w:before="0" w:beforeAutospacing="0" w:after="0" w:afterAutospacing="0"/>
      </w:pPr>
      <w:r>
        <w:t>IER: Integrated Exposure Risk</w:t>
      </w:r>
    </w:p>
    <w:p w14:paraId="37A38913" w14:textId="77777777" w:rsidR="00E1490B" w:rsidRDefault="00E1490B" w:rsidP="00355A20">
      <w:pPr>
        <w:pStyle w:val="StandardWeb"/>
        <w:spacing w:before="0" w:beforeAutospacing="0" w:after="0" w:afterAutospacing="0"/>
      </w:pPr>
      <w:r>
        <w:t>IHD: Ischemic heart disease</w:t>
      </w:r>
    </w:p>
    <w:p w14:paraId="17CE66CF" w14:textId="77777777" w:rsidR="00524F16" w:rsidRDefault="00E1490B" w:rsidP="00355A20">
      <w:pPr>
        <w:pStyle w:val="StandardWeb"/>
        <w:spacing w:before="0" w:beforeAutospacing="0" w:after="0" w:afterAutospacing="0"/>
      </w:pPr>
      <w:r>
        <w:t>IH</w:t>
      </w:r>
      <w:r w:rsidR="00966E4C">
        <w:t>M</w:t>
      </w:r>
      <w:r>
        <w:t xml:space="preserve">E: Institute for </w:t>
      </w:r>
      <w:r w:rsidR="00524F16">
        <w:t xml:space="preserve">Health </w:t>
      </w:r>
      <w:r>
        <w:t>Metric</w:t>
      </w:r>
      <w:r w:rsidR="00524F16">
        <w:t xml:space="preserve">s </w:t>
      </w:r>
      <w:r>
        <w:t>and Evaluation</w:t>
      </w:r>
    </w:p>
    <w:p w14:paraId="644AE2EC" w14:textId="77777777" w:rsidR="00FD515E" w:rsidRDefault="00FD515E" w:rsidP="00355A20">
      <w:pPr>
        <w:pStyle w:val="StandardWeb"/>
        <w:spacing w:before="0" w:beforeAutospacing="0" w:after="0" w:afterAutospacing="0"/>
      </w:pPr>
      <w:r>
        <w:t>LMIC: Low- and Middle-Income Countries</w:t>
      </w:r>
    </w:p>
    <w:p w14:paraId="27F05BC4" w14:textId="77777777" w:rsidR="00524F16" w:rsidRDefault="00524F16" w:rsidP="00355A20">
      <w:pPr>
        <w:pStyle w:val="StandardWeb"/>
        <w:spacing w:before="0" w:beforeAutospacing="0" w:after="0" w:afterAutospacing="0"/>
      </w:pPr>
      <w:r>
        <w:t>LRI: Lower respiratory infections</w:t>
      </w:r>
    </w:p>
    <w:p w14:paraId="6ED3616B" w14:textId="0520C495" w:rsidR="00044A9D" w:rsidRDefault="00044A9D" w:rsidP="00355A20">
      <w:pPr>
        <w:pStyle w:val="StandardWeb"/>
        <w:spacing w:before="0" w:beforeAutospacing="0" w:after="0" w:afterAutospacing="0"/>
      </w:pPr>
      <w:r>
        <w:t>PM2.5: Particles less than 2.5 microns</w:t>
      </w:r>
    </w:p>
    <w:p w14:paraId="3E4D470C" w14:textId="37B0846E" w:rsidR="00044A9D" w:rsidRDefault="00044A9D" w:rsidP="00355A20">
      <w:pPr>
        <w:pStyle w:val="StandardWeb"/>
        <w:spacing w:before="0" w:beforeAutospacing="0" w:after="0" w:afterAutospacing="0"/>
      </w:pPr>
      <w:r>
        <w:t>PM10: Particles less than 10 microns</w:t>
      </w:r>
    </w:p>
    <w:p w14:paraId="35AB76E5" w14:textId="77777777" w:rsidR="001E240D" w:rsidRDefault="00524F16" w:rsidP="00355A20">
      <w:pPr>
        <w:pStyle w:val="StandardWeb"/>
        <w:spacing w:before="0" w:beforeAutospacing="0" w:after="0" w:afterAutospacing="0"/>
      </w:pPr>
      <w:r>
        <w:t>RMSE: Root mean s</w:t>
      </w:r>
      <w:r w:rsidR="0032608E">
        <w:t>quare</w:t>
      </w:r>
      <w:r>
        <w:t xml:space="preserve"> error</w:t>
      </w:r>
    </w:p>
    <w:p w14:paraId="0DFCF960" w14:textId="7FF29B06" w:rsidR="00B53E25" w:rsidRDefault="00B53E25" w:rsidP="00355A20">
      <w:pPr>
        <w:pStyle w:val="StandardWeb"/>
        <w:spacing w:before="0" w:beforeAutospacing="0" w:after="0" w:afterAutospacing="0"/>
      </w:pPr>
      <w:r>
        <w:t>WB: World Bank</w:t>
      </w:r>
    </w:p>
    <w:p w14:paraId="3CF7849C" w14:textId="77777777" w:rsidR="00596B00" w:rsidRDefault="00596B00" w:rsidP="00355A20">
      <w:pPr>
        <w:pStyle w:val="StandardWeb"/>
        <w:spacing w:before="0" w:beforeAutospacing="0" w:after="0" w:afterAutospacing="0"/>
      </w:pPr>
      <w:r>
        <w:t>WHO: World Health Organization</w:t>
      </w:r>
    </w:p>
    <w:p w14:paraId="7EA71901" w14:textId="77777777" w:rsidR="001E240D" w:rsidRDefault="001E240D" w:rsidP="0073430D">
      <w:pPr>
        <w:pStyle w:val="StandardWeb"/>
        <w:spacing w:before="0" w:beforeAutospacing="0" w:after="0" w:afterAutospacing="0" w:line="480" w:lineRule="auto"/>
      </w:pPr>
    </w:p>
    <w:p w14:paraId="6B772E60" w14:textId="4457E932" w:rsidR="004B5C66" w:rsidRDefault="00487465" w:rsidP="0073430D">
      <w:pPr>
        <w:pStyle w:val="StandardWeb"/>
        <w:spacing w:before="0" w:beforeAutospacing="0" w:after="0" w:afterAutospacing="0" w:line="480" w:lineRule="auto"/>
        <w:rPr>
          <w:b/>
        </w:rPr>
      </w:pPr>
      <w:r>
        <w:rPr>
          <w:b/>
        </w:rPr>
        <w:t>Keywor</w:t>
      </w:r>
      <w:r w:rsidR="00BC3080">
        <w:rPr>
          <w:b/>
        </w:rPr>
        <w:t>d</w:t>
      </w:r>
      <w:r>
        <w:rPr>
          <w:b/>
        </w:rPr>
        <w:t>s:</w:t>
      </w:r>
    </w:p>
    <w:p w14:paraId="3DCF9F5A" w14:textId="4A84D4FB" w:rsidR="00487465" w:rsidRPr="00BC3080" w:rsidRDefault="00487465" w:rsidP="00BC3080">
      <w:pPr>
        <w:pStyle w:val="StandardWeb"/>
        <w:spacing w:before="0" w:beforeAutospacing="0" w:after="0" w:afterAutospacing="0"/>
      </w:pPr>
      <w:proofErr w:type="gramStart"/>
      <w:r w:rsidRPr="00BC3080">
        <w:t>air</w:t>
      </w:r>
      <w:proofErr w:type="gramEnd"/>
      <w:r w:rsidRPr="00BC3080">
        <w:t xml:space="preserve"> pollution; health impacts; fine particles; PM2.5; Global Burden of Disease; mortality</w:t>
      </w:r>
    </w:p>
    <w:p w14:paraId="54059295" w14:textId="77777777" w:rsidR="00487465" w:rsidRDefault="00487465" w:rsidP="0073430D">
      <w:pPr>
        <w:pStyle w:val="StandardWeb"/>
        <w:spacing w:before="0" w:beforeAutospacing="0" w:after="0" w:afterAutospacing="0" w:line="480" w:lineRule="auto"/>
        <w:rPr>
          <w:b/>
        </w:rPr>
      </w:pPr>
      <w:r>
        <w:rPr>
          <w:b/>
        </w:rPr>
        <w:br/>
      </w:r>
    </w:p>
    <w:p w14:paraId="563B122F" w14:textId="74D552B7" w:rsidR="001E240D" w:rsidRPr="00317B2D" w:rsidRDefault="00487465" w:rsidP="0073430D">
      <w:pPr>
        <w:pStyle w:val="StandardWeb"/>
        <w:spacing w:before="0" w:beforeAutospacing="0" w:after="0" w:afterAutospacing="0" w:line="480" w:lineRule="auto"/>
        <w:rPr>
          <w:b/>
        </w:rPr>
      </w:pPr>
      <w:r>
        <w:rPr>
          <w:b/>
        </w:rPr>
        <w:br w:type="column"/>
      </w:r>
      <w:r w:rsidR="001E240D" w:rsidRPr="00317B2D">
        <w:rPr>
          <w:b/>
        </w:rPr>
        <w:lastRenderedPageBreak/>
        <w:t>Acknowledgements</w:t>
      </w:r>
    </w:p>
    <w:p w14:paraId="48C31676" w14:textId="02935301" w:rsidR="00257630" w:rsidRPr="00DA5701" w:rsidRDefault="00257630" w:rsidP="00DA5701">
      <w:pPr>
        <w:spacing w:line="360" w:lineRule="auto"/>
      </w:pPr>
      <w:r w:rsidRPr="00DA5701">
        <w:t xml:space="preserve">The authors would like to thank Rick Burnett and Michael </w:t>
      </w:r>
      <w:proofErr w:type="spellStart"/>
      <w:r w:rsidRPr="00DA5701">
        <w:t>Brauer</w:t>
      </w:r>
      <w:proofErr w:type="spellEnd"/>
      <w:r w:rsidRPr="00DA5701">
        <w:t xml:space="preserve"> for providing data and information about the GBD process and </w:t>
      </w:r>
      <w:proofErr w:type="spellStart"/>
      <w:r w:rsidRPr="00DA5701">
        <w:t>Jordana</w:t>
      </w:r>
      <w:proofErr w:type="spellEnd"/>
      <w:r w:rsidRPr="00DA5701">
        <w:t xml:space="preserve"> </w:t>
      </w:r>
      <w:proofErr w:type="spellStart"/>
      <w:r w:rsidRPr="00DA5701">
        <w:t>Hemberg</w:t>
      </w:r>
      <w:proofErr w:type="spellEnd"/>
      <w:r w:rsidRPr="00DA5701">
        <w:t xml:space="preserve"> for analytical support. The financial support of the World Bank-administered Pollution Management and Environmental Health multi</w:t>
      </w:r>
      <w:r w:rsidR="00DA5701" w:rsidRPr="00DA5701">
        <w:t>-</w:t>
      </w:r>
      <w:r w:rsidRPr="00DA5701">
        <w:t>donor trust fund is acknowledged.</w:t>
      </w:r>
    </w:p>
    <w:p w14:paraId="7F418EB8" w14:textId="77777777" w:rsidR="00257630" w:rsidRPr="00E85CE9" w:rsidRDefault="00257630" w:rsidP="00DA5701">
      <w:pPr>
        <w:spacing w:line="360" w:lineRule="auto"/>
        <w:rPr>
          <w:iCs/>
          <w:color w:val="000000"/>
        </w:rPr>
      </w:pPr>
      <w:r w:rsidRPr="00E85CE9">
        <w:t xml:space="preserve">The authors are solely responsible for the views expressed </w:t>
      </w:r>
      <w:r>
        <w:t>and any errors</w:t>
      </w:r>
      <w:r w:rsidRPr="00E85CE9">
        <w:t xml:space="preserve"> </w:t>
      </w:r>
      <w:r>
        <w:t xml:space="preserve">contained </w:t>
      </w:r>
      <w:r w:rsidRPr="00E85CE9">
        <w:t xml:space="preserve">in this </w:t>
      </w:r>
      <w:r>
        <w:t>publication</w:t>
      </w:r>
      <w:r w:rsidRPr="00E85CE9">
        <w:t>.</w:t>
      </w:r>
      <w:r>
        <w:t xml:space="preserve"> </w:t>
      </w:r>
      <w:r w:rsidRPr="00E85CE9">
        <w:t xml:space="preserve">The findings, interpretations, and conclusions expressed in this paper do not necessarily reflect the views of The World Bank, its Board of Executive Directors, the World Health Organization, its Board of Executive Directors, or the governments they represent. The World Bank and the World Health Organization do not guarantee the accuracy of the data included in this work. The boundaries, colors, denominations, and other information shown on any map in this work do not imply any judgement on the part of The World Bank or the World Health Organization concerning the legal status of any territory or the endorsement or acceptance of such boundaries. Nothing herein shall constitute or be considered to be a limitation upon or waiver of the privileges and immunities of The World Bank or IDB, which privileges and immunities are specifically reserved. </w:t>
      </w:r>
    </w:p>
    <w:p w14:paraId="110D3197" w14:textId="77777777" w:rsidR="00257630" w:rsidRDefault="00257630" w:rsidP="00257630">
      <w:pPr>
        <w:pStyle w:val="yiv5268355248msonormal"/>
        <w:shd w:val="clear" w:color="auto" w:fill="FFFFFF"/>
        <w:spacing w:before="0" w:beforeAutospacing="0" w:after="0" w:afterAutospacing="0" w:line="360" w:lineRule="auto"/>
        <w:rPr>
          <w:iCs/>
          <w:color w:val="000000"/>
        </w:rPr>
      </w:pPr>
    </w:p>
    <w:p w14:paraId="333571E9" w14:textId="2DDA1AE1" w:rsidR="001B4C42" w:rsidRPr="003246FC" w:rsidRDefault="00AF0917" w:rsidP="00895BAF">
      <w:pPr>
        <w:pStyle w:val="StandardWeb"/>
        <w:spacing w:before="0" w:beforeAutospacing="0" w:after="0" w:afterAutospacing="0" w:line="360" w:lineRule="auto"/>
        <w:rPr>
          <w:b/>
        </w:rPr>
      </w:pPr>
      <w:r w:rsidRPr="00317B2D">
        <w:t xml:space="preserve"> </w:t>
      </w:r>
      <w:r w:rsidR="00E1490B">
        <w:rPr>
          <w:b/>
        </w:rPr>
        <w:br w:type="column"/>
      </w:r>
      <w:r w:rsidR="001B4C42">
        <w:rPr>
          <w:b/>
        </w:rPr>
        <w:lastRenderedPageBreak/>
        <w:t>I</w:t>
      </w:r>
      <w:r w:rsidR="001B4C42" w:rsidRPr="003246FC">
        <w:rPr>
          <w:b/>
        </w:rPr>
        <w:t>. Introduction</w:t>
      </w:r>
      <w:r w:rsidR="001B4C42">
        <w:rPr>
          <w:b/>
        </w:rPr>
        <w:t xml:space="preserve"> </w:t>
      </w:r>
    </w:p>
    <w:p w14:paraId="245FD382" w14:textId="1FFC4DB7" w:rsidR="00B21B9A" w:rsidRPr="003246FC" w:rsidRDefault="001D2503" w:rsidP="0060460E">
      <w:pPr>
        <w:spacing w:after="0" w:line="480" w:lineRule="auto"/>
        <w:ind w:firstLine="720"/>
        <w:rPr>
          <w:rFonts w:eastAsia="Times New Roman"/>
        </w:rPr>
      </w:pPr>
      <w:r>
        <w:rPr>
          <w:rFonts w:eastAsia="Times New Roman"/>
        </w:rPr>
        <w:t xml:space="preserve">Efforts to quantify the worldwide burden of disease began </w:t>
      </w:r>
      <w:r w:rsidR="00867D02" w:rsidRPr="003246FC">
        <w:rPr>
          <w:rFonts w:eastAsia="Times New Roman"/>
        </w:rPr>
        <w:t>in the early1990s, when the World Bank commissioned the original G</w:t>
      </w:r>
      <w:r>
        <w:rPr>
          <w:rFonts w:eastAsia="Times New Roman"/>
        </w:rPr>
        <w:t>lobal Burden of Disease (GBD)</w:t>
      </w:r>
      <w:r w:rsidR="00867D02" w:rsidRPr="003246FC">
        <w:rPr>
          <w:rFonts w:eastAsia="Times New Roman"/>
        </w:rPr>
        <w:t xml:space="preserve"> study resulting in the World Development Report </w:t>
      </w:r>
      <w:r w:rsidR="00FD7FE3">
        <w:rPr>
          <w:rFonts w:eastAsia="Times New Roman"/>
        </w:rPr>
        <w:t xml:space="preserve">in </w:t>
      </w:r>
      <w:r w:rsidR="00867D02" w:rsidRPr="003246FC">
        <w:rPr>
          <w:rFonts w:eastAsia="Times New Roman"/>
        </w:rPr>
        <w:t>1993</w:t>
      </w:r>
      <w:r w:rsidR="00752A5A">
        <w:rPr>
          <w:rFonts w:eastAsia="Times New Roman"/>
        </w:rPr>
        <w:t xml:space="preserve"> </w:t>
      </w:r>
      <w:r w:rsidR="0093727F">
        <w:rPr>
          <w:rFonts w:eastAsia="Times New Roman"/>
        </w:rPr>
        <w:t>(World Bank, 1993)</w:t>
      </w:r>
      <w:r w:rsidR="00752A5A">
        <w:rPr>
          <w:rFonts w:eastAsia="Times New Roman"/>
        </w:rPr>
        <w:t xml:space="preserve">. </w:t>
      </w:r>
      <w:r w:rsidR="00753F22" w:rsidRPr="003246FC">
        <w:rPr>
          <w:rFonts w:eastAsia="Times New Roman"/>
        </w:rPr>
        <w:t>Th</w:t>
      </w:r>
      <w:r w:rsidR="00867D02" w:rsidRPr="003246FC">
        <w:rPr>
          <w:rFonts w:eastAsia="Times New Roman"/>
        </w:rPr>
        <w:t>e W</w:t>
      </w:r>
      <w:r w:rsidR="00FD7FE3">
        <w:rPr>
          <w:rFonts w:eastAsia="Times New Roman"/>
        </w:rPr>
        <w:t xml:space="preserve">orld Health </w:t>
      </w:r>
      <w:r w:rsidR="00FD7FE3" w:rsidRPr="003246FC">
        <w:rPr>
          <w:rFonts w:eastAsia="Times New Roman"/>
        </w:rPr>
        <w:t>O</w:t>
      </w:r>
      <w:r w:rsidR="00FD7FE3">
        <w:rPr>
          <w:rFonts w:eastAsia="Times New Roman"/>
        </w:rPr>
        <w:t>rganization</w:t>
      </w:r>
      <w:r w:rsidR="00867D02" w:rsidRPr="003246FC">
        <w:rPr>
          <w:rFonts w:eastAsia="Times New Roman"/>
        </w:rPr>
        <w:t xml:space="preserve"> </w:t>
      </w:r>
      <w:r w:rsidR="00FD7FE3">
        <w:rPr>
          <w:rFonts w:eastAsia="Times New Roman"/>
        </w:rPr>
        <w:t xml:space="preserve">(WHO) </w:t>
      </w:r>
      <w:r w:rsidR="00867D02" w:rsidRPr="003246FC">
        <w:rPr>
          <w:rFonts w:eastAsia="Times New Roman"/>
        </w:rPr>
        <w:t xml:space="preserve">generated GBD estimates for </w:t>
      </w:r>
      <w:r w:rsidR="00753F22" w:rsidRPr="003246FC">
        <w:rPr>
          <w:rFonts w:eastAsia="Times New Roman"/>
        </w:rPr>
        <w:t xml:space="preserve">several years with the first </w:t>
      </w:r>
      <w:r w:rsidR="009268C6" w:rsidRPr="003246FC">
        <w:rPr>
          <w:rFonts w:eastAsia="Times New Roman"/>
        </w:rPr>
        <w:t xml:space="preserve">comprehensive </w:t>
      </w:r>
      <w:r w:rsidR="000D338B" w:rsidRPr="003246FC">
        <w:rPr>
          <w:rFonts w:eastAsia="Times New Roman"/>
        </w:rPr>
        <w:t>evaluations</w:t>
      </w:r>
      <w:r w:rsidR="00753F22" w:rsidRPr="003246FC">
        <w:rPr>
          <w:rFonts w:eastAsia="Times New Roman"/>
        </w:rPr>
        <w:t xml:space="preserve"> for </w:t>
      </w:r>
      <w:r w:rsidR="0011538B">
        <w:rPr>
          <w:rFonts w:eastAsia="Times New Roman"/>
        </w:rPr>
        <w:t>ambient</w:t>
      </w:r>
      <w:r w:rsidR="0011538B" w:rsidRPr="003246FC">
        <w:rPr>
          <w:rFonts w:eastAsia="Times New Roman"/>
        </w:rPr>
        <w:t xml:space="preserve"> </w:t>
      </w:r>
      <w:r w:rsidR="00753F22" w:rsidRPr="003246FC">
        <w:rPr>
          <w:rFonts w:eastAsia="Times New Roman"/>
        </w:rPr>
        <w:t>air pollution (</w:t>
      </w:r>
      <w:r w:rsidR="0011538B">
        <w:rPr>
          <w:rFonts w:eastAsia="Times New Roman"/>
        </w:rPr>
        <w:t>A</w:t>
      </w:r>
      <w:r w:rsidR="00753F22" w:rsidRPr="003246FC">
        <w:rPr>
          <w:rFonts w:eastAsia="Times New Roman"/>
        </w:rPr>
        <w:t xml:space="preserve">AP) </w:t>
      </w:r>
      <w:r w:rsidR="00FD7FE3">
        <w:rPr>
          <w:rFonts w:eastAsia="Times New Roman"/>
        </w:rPr>
        <w:t xml:space="preserve">initiated </w:t>
      </w:r>
      <w:r w:rsidR="0064326C">
        <w:rPr>
          <w:rFonts w:eastAsia="Times New Roman"/>
        </w:rPr>
        <w:t xml:space="preserve">for the year </w:t>
      </w:r>
      <w:r w:rsidR="00753F22" w:rsidRPr="003246FC">
        <w:rPr>
          <w:rFonts w:eastAsia="Times New Roman"/>
        </w:rPr>
        <w:t>200</w:t>
      </w:r>
      <w:r w:rsidR="00463508" w:rsidRPr="003246FC">
        <w:rPr>
          <w:rFonts w:eastAsia="Times New Roman"/>
        </w:rPr>
        <w:t>0</w:t>
      </w:r>
      <w:r w:rsidR="00753F22" w:rsidRPr="003246FC">
        <w:rPr>
          <w:rFonts w:eastAsia="Times New Roman"/>
        </w:rPr>
        <w:t xml:space="preserve"> (</w:t>
      </w:r>
      <w:r w:rsidR="00EA4F8A" w:rsidRPr="003246FC">
        <w:rPr>
          <w:rFonts w:eastAsia="Times New Roman"/>
        </w:rPr>
        <w:t>Cohen et al., 2004</w:t>
      </w:r>
      <w:r w:rsidR="00753F22" w:rsidRPr="003246FC">
        <w:rPr>
          <w:rFonts w:eastAsia="Times New Roman"/>
        </w:rPr>
        <w:t>)</w:t>
      </w:r>
      <w:r w:rsidR="008202E0">
        <w:rPr>
          <w:rFonts w:eastAsia="Times New Roman"/>
        </w:rPr>
        <w:t xml:space="preserve"> and </w:t>
      </w:r>
      <w:r w:rsidR="00B87802">
        <w:rPr>
          <w:rFonts w:eastAsia="Times New Roman"/>
        </w:rPr>
        <w:t>then</w:t>
      </w:r>
      <w:r w:rsidR="008202E0">
        <w:rPr>
          <w:rFonts w:eastAsia="Times New Roman"/>
        </w:rPr>
        <w:t xml:space="preserve"> for the year 2004 (</w:t>
      </w:r>
      <w:r w:rsidR="00571A46">
        <w:rPr>
          <w:rFonts w:eastAsia="Times New Roman"/>
        </w:rPr>
        <w:t>WHO 2009</w:t>
      </w:r>
      <w:r w:rsidR="00F94FFC">
        <w:rPr>
          <w:rFonts w:eastAsia="Times New Roman"/>
        </w:rPr>
        <w:t>)</w:t>
      </w:r>
      <w:r w:rsidR="00EC432C">
        <w:rPr>
          <w:rFonts w:eastAsia="Times New Roman"/>
        </w:rPr>
        <w:t xml:space="preserve">. </w:t>
      </w:r>
      <w:r w:rsidR="00FD7FE3">
        <w:rPr>
          <w:rFonts w:eastAsia="Times New Roman"/>
        </w:rPr>
        <w:t>F</w:t>
      </w:r>
      <w:r w:rsidR="00FD7FE3" w:rsidRPr="003246FC">
        <w:rPr>
          <w:rFonts w:eastAsia="Times New Roman"/>
        </w:rPr>
        <w:t xml:space="preserve">unded by the Bill &amp; Melinda Gates Foundation </w:t>
      </w:r>
      <w:r w:rsidR="00FD7FE3">
        <w:rPr>
          <w:rFonts w:eastAsia="Times New Roman"/>
        </w:rPr>
        <w:t>in</w:t>
      </w:r>
      <w:r w:rsidR="00753F22" w:rsidRPr="003246FC">
        <w:rPr>
          <w:rFonts w:eastAsia="Times New Roman"/>
        </w:rPr>
        <w:t xml:space="preserve"> 2010, the </w:t>
      </w:r>
      <w:r w:rsidR="00FD7FE3">
        <w:rPr>
          <w:rFonts w:eastAsia="Times New Roman"/>
        </w:rPr>
        <w:t xml:space="preserve">scope of </w:t>
      </w:r>
      <w:r w:rsidR="00753F22" w:rsidRPr="003246FC">
        <w:rPr>
          <w:rFonts w:eastAsia="Times New Roman"/>
        </w:rPr>
        <w:t xml:space="preserve">GBD </w:t>
      </w:r>
      <w:r w:rsidR="00FD7FE3">
        <w:rPr>
          <w:rFonts w:eastAsia="Times New Roman"/>
        </w:rPr>
        <w:t xml:space="preserve">was updated </w:t>
      </w:r>
      <w:r w:rsidR="00753F22" w:rsidRPr="003246FC">
        <w:rPr>
          <w:rFonts w:eastAsia="Times New Roman"/>
        </w:rPr>
        <w:t xml:space="preserve">and included 291 diseases and injuries, 67 risk factors including </w:t>
      </w:r>
      <w:r w:rsidR="00920BC2">
        <w:rPr>
          <w:rFonts w:eastAsia="Times New Roman"/>
        </w:rPr>
        <w:t>AAP</w:t>
      </w:r>
      <w:r w:rsidR="00753F22" w:rsidRPr="003246FC">
        <w:rPr>
          <w:rFonts w:eastAsia="Times New Roman"/>
        </w:rPr>
        <w:t xml:space="preserve"> in 21 regions around the world</w:t>
      </w:r>
      <w:r w:rsidR="00FD7FE3">
        <w:rPr>
          <w:rFonts w:eastAsia="Times New Roman"/>
        </w:rPr>
        <w:t>.</w:t>
      </w:r>
      <w:r w:rsidR="00753F22" w:rsidRPr="003246FC">
        <w:rPr>
          <w:rFonts w:eastAsia="Times New Roman"/>
        </w:rPr>
        <w:t xml:space="preserve">  </w:t>
      </w:r>
      <w:r w:rsidR="005B6281" w:rsidRPr="003246FC">
        <w:rPr>
          <w:rFonts w:eastAsia="Times New Roman"/>
        </w:rPr>
        <w:t>Ultimately, the Institute for Health Metric and Evaluation (IHME), housed at the University of Washington</w:t>
      </w:r>
      <w:r w:rsidR="00062FC5">
        <w:rPr>
          <w:rFonts w:eastAsia="Times New Roman"/>
        </w:rPr>
        <w:t>,</w:t>
      </w:r>
      <w:r w:rsidR="005B6281" w:rsidRPr="003246FC">
        <w:rPr>
          <w:rFonts w:eastAsia="Times New Roman"/>
        </w:rPr>
        <w:t xml:space="preserve"> became the </w:t>
      </w:r>
      <w:r w:rsidR="00937E2C">
        <w:rPr>
          <w:rFonts w:eastAsia="Times New Roman"/>
        </w:rPr>
        <w:t xml:space="preserve">main provider </w:t>
      </w:r>
      <w:r w:rsidR="005B6281" w:rsidRPr="003246FC">
        <w:rPr>
          <w:rFonts w:eastAsia="Times New Roman"/>
        </w:rPr>
        <w:t xml:space="preserve">for </w:t>
      </w:r>
      <w:r w:rsidR="00937E2C">
        <w:rPr>
          <w:rFonts w:eastAsia="Times New Roman"/>
        </w:rPr>
        <w:t xml:space="preserve">a comprehensive set of </w:t>
      </w:r>
      <w:r w:rsidR="005B6281" w:rsidRPr="003246FC">
        <w:rPr>
          <w:rFonts w:eastAsia="Times New Roman"/>
        </w:rPr>
        <w:t xml:space="preserve">GBD estimates which were provided </w:t>
      </w:r>
      <w:r w:rsidR="0064326C">
        <w:rPr>
          <w:rFonts w:eastAsia="Times New Roman"/>
        </w:rPr>
        <w:t>for the years 2010, 2013, 2015</w:t>
      </w:r>
      <w:r w:rsidR="00F94FFC">
        <w:rPr>
          <w:rFonts w:eastAsia="Times New Roman"/>
        </w:rPr>
        <w:t>, with technical support from WHO</w:t>
      </w:r>
      <w:r w:rsidR="00453DDA">
        <w:rPr>
          <w:rFonts w:eastAsia="Times New Roman"/>
        </w:rPr>
        <w:t xml:space="preserve"> (</w:t>
      </w:r>
      <w:proofErr w:type="spellStart"/>
      <w:r w:rsidR="0060460E">
        <w:rPr>
          <w:rFonts w:eastAsia="Times New Roman"/>
        </w:rPr>
        <w:t>Shaddick</w:t>
      </w:r>
      <w:proofErr w:type="spellEnd"/>
      <w:r w:rsidR="0060460E">
        <w:rPr>
          <w:rFonts w:eastAsia="Times New Roman"/>
        </w:rPr>
        <w:t xml:space="preserve"> et al, 2017</w:t>
      </w:r>
      <w:r w:rsidR="00453DDA">
        <w:rPr>
          <w:rFonts w:eastAsia="Times New Roman"/>
        </w:rPr>
        <w:t>)</w:t>
      </w:r>
      <w:r w:rsidR="00F94FFC">
        <w:rPr>
          <w:rFonts w:eastAsia="Times New Roman"/>
        </w:rPr>
        <w:t xml:space="preserve">. </w:t>
      </w:r>
      <w:r w:rsidR="00920BC2">
        <w:rPr>
          <w:rFonts w:eastAsia="Times New Roman"/>
        </w:rPr>
        <w:t>AAP</w:t>
      </w:r>
      <w:r w:rsidR="009268C6" w:rsidRPr="003246FC">
        <w:rPr>
          <w:rFonts w:eastAsia="Times New Roman"/>
        </w:rPr>
        <w:t xml:space="preserve"> e</w:t>
      </w:r>
      <w:r w:rsidR="005B6281" w:rsidRPr="003246FC">
        <w:rPr>
          <w:rFonts w:eastAsia="Times New Roman"/>
        </w:rPr>
        <w:t xml:space="preserve">stimates </w:t>
      </w:r>
      <w:r w:rsidR="009268C6" w:rsidRPr="003246FC">
        <w:rPr>
          <w:rFonts w:eastAsia="Times New Roman"/>
        </w:rPr>
        <w:t>were</w:t>
      </w:r>
      <w:r w:rsidR="005B6281" w:rsidRPr="003246FC">
        <w:rPr>
          <w:rFonts w:eastAsia="Times New Roman"/>
        </w:rPr>
        <w:t xml:space="preserve"> provided for mortality,</w:t>
      </w:r>
      <w:r w:rsidR="00B21B9A" w:rsidRPr="003246FC">
        <w:rPr>
          <w:rFonts w:eastAsia="Times New Roman"/>
        </w:rPr>
        <w:t xml:space="preserve"> years of life lost, </w:t>
      </w:r>
      <w:r w:rsidR="005B6281" w:rsidRPr="003246FC">
        <w:rPr>
          <w:rFonts w:eastAsia="Times New Roman"/>
        </w:rPr>
        <w:t>years lived with disability, and</w:t>
      </w:r>
      <w:r w:rsidR="00B21B9A" w:rsidRPr="003246FC">
        <w:rPr>
          <w:rFonts w:eastAsia="Times New Roman"/>
        </w:rPr>
        <w:t xml:space="preserve"> </w:t>
      </w:r>
      <w:r w:rsidR="000D338B">
        <w:rPr>
          <w:rFonts w:eastAsia="Times New Roman"/>
        </w:rPr>
        <w:t xml:space="preserve">disability-adjusted life years </w:t>
      </w:r>
      <w:r w:rsidR="005B6281" w:rsidRPr="003246FC">
        <w:rPr>
          <w:rFonts w:eastAsia="Times New Roman"/>
        </w:rPr>
        <w:t xml:space="preserve">by country, age, and sex.  </w:t>
      </w:r>
    </w:p>
    <w:p w14:paraId="0B41F03B" w14:textId="447278A5" w:rsidR="00FA2D9A" w:rsidRDefault="00B21B9A" w:rsidP="0060460E">
      <w:pPr>
        <w:spacing w:after="0" w:line="480" w:lineRule="auto"/>
        <w:ind w:firstLine="720"/>
        <w:rPr>
          <w:rFonts w:eastAsia="Times New Roman"/>
        </w:rPr>
      </w:pPr>
      <w:r w:rsidRPr="0011538B">
        <w:rPr>
          <w:rFonts w:eastAsia="Times New Roman"/>
        </w:rPr>
        <w:t xml:space="preserve">Over the last two decades, the </w:t>
      </w:r>
      <w:r w:rsidR="0011538B" w:rsidRPr="0011538B">
        <w:rPr>
          <w:rFonts w:eastAsia="Times New Roman"/>
        </w:rPr>
        <w:t xml:space="preserve">GBD methodology </w:t>
      </w:r>
      <w:r w:rsidR="00453DDA">
        <w:rPr>
          <w:rFonts w:eastAsia="Times New Roman"/>
        </w:rPr>
        <w:t xml:space="preserve">for </w:t>
      </w:r>
      <w:r w:rsidR="00937E2C" w:rsidRPr="0011538B">
        <w:rPr>
          <w:rFonts w:eastAsia="Times New Roman"/>
        </w:rPr>
        <w:t xml:space="preserve">exposure assessment </w:t>
      </w:r>
      <w:r w:rsidR="00453DDA">
        <w:rPr>
          <w:rFonts w:eastAsia="Times New Roman"/>
        </w:rPr>
        <w:t xml:space="preserve">to </w:t>
      </w:r>
      <w:r w:rsidR="00920BC2">
        <w:rPr>
          <w:rFonts w:eastAsia="Times New Roman"/>
        </w:rPr>
        <w:t>AAP</w:t>
      </w:r>
      <w:r w:rsidRPr="0011538B">
        <w:rPr>
          <w:rFonts w:eastAsia="Times New Roman"/>
        </w:rPr>
        <w:t xml:space="preserve"> has made significant improvements and has become a </w:t>
      </w:r>
      <w:r w:rsidR="00937E2C" w:rsidRPr="0011538B">
        <w:rPr>
          <w:rFonts w:eastAsia="Times New Roman"/>
        </w:rPr>
        <w:t>useful</w:t>
      </w:r>
      <w:r w:rsidR="0060460E">
        <w:rPr>
          <w:rFonts w:eastAsia="Times New Roman"/>
        </w:rPr>
        <w:t xml:space="preserve"> </w:t>
      </w:r>
      <w:r w:rsidR="00453DDA">
        <w:rPr>
          <w:rFonts w:eastAsia="Times New Roman"/>
        </w:rPr>
        <w:t>instrument</w:t>
      </w:r>
      <w:r w:rsidR="00937E2C" w:rsidRPr="0011538B">
        <w:rPr>
          <w:rFonts w:eastAsia="Times New Roman"/>
        </w:rPr>
        <w:t xml:space="preserve"> </w:t>
      </w:r>
      <w:r w:rsidRPr="0011538B">
        <w:rPr>
          <w:rFonts w:eastAsia="Times New Roman"/>
        </w:rPr>
        <w:t>for health impact assessment.  Exposure assessment</w:t>
      </w:r>
      <w:r w:rsidR="0011538B" w:rsidRPr="0011538B">
        <w:rPr>
          <w:rFonts w:eastAsia="Times New Roman"/>
        </w:rPr>
        <w:t>, with some collaboration with WHO and other international agencies,</w:t>
      </w:r>
      <w:r w:rsidRPr="0011538B">
        <w:rPr>
          <w:rFonts w:eastAsia="Times New Roman"/>
        </w:rPr>
        <w:t xml:space="preserve"> is now based on several sources including </w:t>
      </w:r>
      <w:r w:rsidR="005D3401" w:rsidRPr="0011538B">
        <w:rPr>
          <w:rFonts w:eastAsia="Times New Roman"/>
        </w:rPr>
        <w:t>ground-level</w:t>
      </w:r>
      <w:r w:rsidRPr="0011538B">
        <w:rPr>
          <w:rFonts w:eastAsia="Times New Roman"/>
        </w:rPr>
        <w:t xml:space="preserve"> monitors, chemical transport models</w:t>
      </w:r>
      <w:r w:rsidR="00A00D23" w:rsidRPr="0011538B">
        <w:rPr>
          <w:rFonts w:eastAsia="Times New Roman"/>
        </w:rPr>
        <w:t>,</w:t>
      </w:r>
      <w:r w:rsidRPr="0011538B">
        <w:rPr>
          <w:rFonts w:eastAsia="Times New Roman"/>
        </w:rPr>
        <w:t xml:space="preserve"> and remote sensing from multiple satellites, with each possessing unique advantages for certain types of terrain, altitude and geophysical characteristics</w:t>
      </w:r>
      <w:r w:rsidR="00376D95" w:rsidRPr="0011538B">
        <w:rPr>
          <w:rFonts w:eastAsia="Times New Roman"/>
        </w:rPr>
        <w:t xml:space="preserve"> </w:t>
      </w:r>
      <w:r w:rsidR="00937E2C" w:rsidRPr="0011538B">
        <w:rPr>
          <w:rFonts w:eastAsia="Times New Roman"/>
        </w:rPr>
        <w:t>(</w:t>
      </w:r>
      <w:proofErr w:type="spellStart"/>
      <w:r w:rsidR="00937E2C" w:rsidRPr="0011538B">
        <w:t>Brauer</w:t>
      </w:r>
      <w:proofErr w:type="spellEnd"/>
      <w:r w:rsidR="00937E2C" w:rsidRPr="0011538B">
        <w:t xml:space="preserve"> et al., 2012; </w:t>
      </w:r>
      <w:proofErr w:type="spellStart"/>
      <w:r w:rsidR="00937E2C" w:rsidRPr="0011538B">
        <w:t>Shaddick</w:t>
      </w:r>
      <w:proofErr w:type="spellEnd"/>
      <w:r w:rsidR="00937E2C" w:rsidRPr="0011538B">
        <w:t xml:space="preserve">, </w:t>
      </w:r>
      <w:r w:rsidR="003951D4" w:rsidRPr="0011538B">
        <w:t>201</w:t>
      </w:r>
      <w:r w:rsidR="0011538B" w:rsidRPr="0011538B">
        <w:t>7</w:t>
      </w:r>
      <w:r w:rsidR="00937E2C" w:rsidRPr="0011538B">
        <w:rPr>
          <w:rFonts w:eastAsia="Times New Roman"/>
        </w:rPr>
        <w:t>)</w:t>
      </w:r>
      <w:r w:rsidRPr="003246FC">
        <w:rPr>
          <w:rFonts w:eastAsia="Times New Roman"/>
        </w:rPr>
        <w:t xml:space="preserve">.  </w:t>
      </w:r>
      <w:r w:rsidR="00520FF8" w:rsidRPr="003246FC">
        <w:rPr>
          <w:rFonts w:eastAsia="Times New Roman"/>
        </w:rPr>
        <w:t>In addition</w:t>
      </w:r>
      <w:r w:rsidR="00F71E72" w:rsidRPr="003246FC">
        <w:rPr>
          <w:rFonts w:eastAsia="Times New Roman"/>
        </w:rPr>
        <w:t>,</w:t>
      </w:r>
      <w:r w:rsidR="00520FF8" w:rsidRPr="003246FC">
        <w:rPr>
          <w:rFonts w:eastAsia="Times New Roman"/>
        </w:rPr>
        <w:t xml:space="preserve"> the model</w:t>
      </w:r>
      <w:r w:rsidR="00F71E72" w:rsidRPr="003246FC">
        <w:rPr>
          <w:rFonts w:eastAsia="Times New Roman"/>
        </w:rPr>
        <w:t>s that relate</w:t>
      </w:r>
      <w:r w:rsidR="00520FF8" w:rsidRPr="003246FC">
        <w:rPr>
          <w:rFonts w:eastAsia="Times New Roman"/>
        </w:rPr>
        <w:t xml:space="preserve"> ambient concentrations </w:t>
      </w:r>
      <w:r w:rsidR="00F71E72" w:rsidRPr="003246FC">
        <w:rPr>
          <w:rFonts w:eastAsia="Times New Roman"/>
        </w:rPr>
        <w:t>to</w:t>
      </w:r>
      <w:r w:rsidR="00520FF8" w:rsidRPr="003246FC">
        <w:rPr>
          <w:rFonts w:eastAsia="Times New Roman"/>
        </w:rPr>
        <w:t xml:space="preserve"> subsequent health risks </w:t>
      </w:r>
      <w:r w:rsidR="0011538B">
        <w:rPr>
          <w:rFonts w:eastAsia="Times New Roman"/>
        </w:rPr>
        <w:t xml:space="preserve">have been updated integrating novel evidence provided by cohort studies of air pollution </w:t>
      </w:r>
      <w:r w:rsidR="0059476C">
        <w:rPr>
          <w:rFonts w:eastAsia="Times New Roman"/>
        </w:rPr>
        <w:t xml:space="preserve">and smoking </w:t>
      </w:r>
      <w:r w:rsidR="0011538B">
        <w:rPr>
          <w:rFonts w:eastAsia="Times New Roman"/>
        </w:rPr>
        <w:t xml:space="preserve">using </w:t>
      </w:r>
      <w:r w:rsidR="00520FF8" w:rsidRPr="003246FC">
        <w:rPr>
          <w:rFonts w:eastAsia="Times New Roman"/>
        </w:rPr>
        <w:t>advanced statistical techniques</w:t>
      </w:r>
      <w:r w:rsidR="00376D95">
        <w:rPr>
          <w:rFonts w:eastAsia="Times New Roman"/>
        </w:rPr>
        <w:t xml:space="preserve"> (Burnett et al, 2014)</w:t>
      </w:r>
      <w:r w:rsidR="00520FF8" w:rsidRPr="003246FC">
        <w:rPr>
          <w:rFonts w:eastAsia="Times New Roman"/>
        </w:rPr>
        <w:t>.</w:t>
      </w:r>
      <w:r w:rsidR="00821113">
        <w:rPr>
          <w:rFonts w:eastAsia="Times New Roman"/>
        </w:rPr>
        <w:t xml:space="preserve"> </w:t>
      </w:r>
      <w:r w:rsidR="00520FF8" w:rsidRPr="003246FC">
        <w:rPr>
          <w:rFonts w:eastAsia="Times New Roman"/>
        </w:rPr>
        <w:t xml:space="preserve"> </w:t>
      </w:r>
      <w:r w:rsidR="003F0F52" w:rsidRPr="0011538B">
        <w:rPr>
          <w:rFonts w:eastAsia="Times New Roman"/>
        </w:rPr>
        <w:t xml:space="preserve">Unfortunately, as the </w:t>
      </w:r>
      <w:r w:rsidR="00FF6EE4">
        <w:rPr>
          <w:rFonts w:eastAsia="Times New Roman"/>
        </w:rPr>
        <w:t xml:space="preserve">initially reported </w:t>
      </w:r>
      <w:r w:rsidR="003F0F52" w:rsidRPr="0011538B">
        <w:rPr>
          <w:rFonts w:eastAsia="Times New Roman"/>
        </w:rPr>
        <w:t xml:space="preserve">burden estimates </w:t>
      </w:r>
      <w:r w:rsidR="00715088">
        <w:rPr>
          <w:rFonts w:eastAsia="Times New Roman"/>
        </w:rPr>
        <w:t xml:space="preserve">significantly </w:t>
      </w:r>
      <w:r w:rsidR="003F0F52" w:rsidRPr="0011538B">
        <w:rPr>
          <w:rFonts w:eastAsia="Times New Roman"/>
        </w:rPr>
        <w:t>changed over a short period of time</w:t>
      </w:r>
      <w:r w:rsidR="00FF6EE4">
        <w:rPr>
          <w:rFonts w:eastAsia="Times New Roman"/>
        </w:rPr>
        <w:t xml:space="preserve"> (from around 3 million global deaths per year in 2010 and 2013 to 4.2 million in 2015, a 40% increase)</w:t>
      </w:r>
      <w:r w:rsidR="003F0F52" w:rsidRPr="0011538B">
        <w:rPr>
          <w:rFonts w:eastAsia="Times New Roman"/>
        </w:rPr>
        <w:t xml:space="preserve">, </w:t>
      </w:r>
      <w:r w:rsidR="00FF6EE4">
        <w:rPr>
          <w:rFonts w:eastAsia="Times New Roman"/>
        </w:rPr>
        <w:t xml:space="preserve">the confidence in these estimates may be impacted.  This </w:t>
      </w:r>
      <w:r w:rsidR="00FF6EE4">
        <w:rPr>
          <w:rFonts w:eastAsia="Times New Roman"/>
        </w:rPr>
        <w:lastRenderedPageBreak/>
        <w:t xml:space="preserve">may lead to differing assessments of the information by </w:t>
      </w:r>
      <w:r w:rsidR="003F0F52" w:rsidRPr="0011538B">
        <w:rPr>
          <w:rFonts w:eastAsia="Times New Roman"/>
        </w:rPr>
        <w:t>international institutions</w:t>
      </w:r>
      <w:r w:rsidR="003F0F52" w:rsidRPr="00A733D9">
        <w:rPr>
          <w:rFonts w:eastAsia="Times New Roman"/>
        </w:rPr>
        <w:t>, national governments and environmental policy makers</w:t>
      </w:r>
      <w:r w:rsidR="00FF6EE4">
        <w:rPr>
          <w:rFonts w:eastAsia="Times New Roman"/>
        </w:rPr>
        <w:t xml:space="preserve">.  </w:t>
      </w:r>
      <w:r w:rsidR="00DC661A">
        <w:rPr>
          <w:rFonts w:eastAsia="Times New Roman"/>
        </w:rPr>
        <w:t>Th</w:t>
      </w:r>
      <w:r w:rsidR="00FF6EE4">
        <w:rPr>
          <w:rFonts w:eastAsia="Times New Roman"/>
        </w:rPr>
        <w:t xml:space="preserve">e issue is likely to </w:t>
      </w:r>
      <w:r w:rsidR="00DC661A">
        <w:rPr>
          <w:rFonts w:eastAsia="Times New Roman"/>
        </w:rPr>
        <w:t xml:space="preserve">particularly </w:t>
      </w:r>
      <w:r w:rsidR="00FF6EE4">
        <w:rPr>
          <w:rFonts w:eastAsia="Times New Roman"/>
        </w:rPr>
        <w:t xml:space="preserve">acute for </w:t>
      </w:r>
      <w:r w:rsidR="00D226BC">
        <w:rPr>
          <w:rFonts w:eastAsia="Times New Roman"/>
        </w:rPr>
        <w:t>low</w:t>
      </w:r>
      <w:r w:rsidR="00420D9E">
        <w:rPr>
          <w:rFonts w:eastAsia="Times New Roman"/>
        </w:rPr>
        <w:t>-</w:t>
      </w:r>
      <w:r w:rsidR="00D226BC">
        <w:rPr>
          <w:rFonts w:eastAsia="Times New Roman"/>
        </w:rPr>
        <w:t xml:space="preserve"> and </w:t>
      </w:r>
      <w:r w:rsidR="00420D9E">
        <w:rPr>
          <w:rFonts w:eastAsia="Times New Roman"/>
        </w:rPr>
        <w:t>middle-</w:t>
      </w:r>
      <w:r w:rsidR="00D226BC">
        <w:rPr>
          <w:rFonts w:eastAsia="Times New Roman"/>
        </w:rPr>
        <w:t xml:space="preserve">income countries </w:t>
      </w:r>
      <w:r w:rsidR="00DC661A">
        <w:rPr>
          <w:rFonts w:eastAsia="Times New Roman"/>
        </w:rPr>
        <w:t xml:space="preserve">where there is less expertise and resources available to provide their own </w:t>
      </w:r>
      <w:r w:rsidR="00A424DB">
        <w:rPr>
          <w:rFonts w:eastAsia="Times New Roman"/>
        </w:rPr>
        <w:t>country assessment</w:t>
      </w:r>
      <w:r w:rsidR="00DC661A">
        <w:rPr>
          <w:rFonts w:eastAsia="Times New Roman"/>
        </w:rPr>
        <w:t xml:space="preserve"> estimates.  </w:t>
      </w:r>
      <w:r w:rsidR="00837585" w:rsidRPr="003246FC">
        <w:rPr>
          <w:rFonts w:eastAsia="Times New Roman"/>
        </w:rPr>
        <w:t xml:space="preserve">Thus, it is important to </w:t>
      </w:r>
      <w:r w:rsidR="003951D4">
        <w:rPr>
          <w:rFonts w:eastAsia="Times New Roman"/>
        </w:rPr>
        <w:t xml:space="preserve">describe and analyze </w:t>
      </w:r>
      <w:r w:rsidR="00837585" w:rsidRPr="003246FC">
        <w:rPr>
          <w:rFonts w:eastAsia="Times New Roman"/>
        </w:rPr>
        <w:t>the</w:t>
      </w:r>
      <w:r w:rsidR="00A733D9">
        <w:rPr>
          <w:rFonts w:eastAsia="Times New Roman"/>
        </w:rPr>
        <w:t xml:space="preserve"> methodological changes in the GBD, document</w:t>
      </w:r>
      <w:r w:rsidR="00837585" w:rsidRPr="003246FC">
        <w:rPr>
          <w:rFonts w:eastAsia="Times New Roman"/>
        </w:rPr>
        <w:t xml:space="preserve"> </w:t>
      </w:r>
      <w:r w:rsidR="00FA2D9A">
        <w:rPr>
          <w:rFonts w:eastAsia="Times New Roman"/>
        </w:rPr>
        <w:t>its</w:t>
      </w:r>
      <w:r w:rsidR="00837585" w:rsidRPr="003246FC">
        <w:rPr>
          <w:rFonts w:eastAsia="Times New Roman"/>
        </w:rPr>
        <w:t xml:space="preserve"> inputs more transparent</w:t>
      </w:r>
      <w:r w:rsidR="00A733D9">
        <w:rPr>
          <w:rFonts w:eastAsia="Times New Roman"/>
        </w:rPr>
        <w:t>ly</w:t>
      </w:r>
      <w:r w:rsidR="004670C5">
        <w:rPr>
          <w:rFonts w:eastAsia="Times New Roman"/>
        </w:rPr>
        <w:t>,</w:t>
      </w:r>
      <w:r w:rsidR="00837585" w:rsidRPr="003246FC">
        <w:rPr>
          <w:rFonts w:eastAsia="Times New Roman"/>
        </w:rPr>
        <w:t xml:space="preserve"> and shed light on wh</w:t>
      </w:r>
      <w:r w:rsidR="00D226BC">
        <w:rPr>
          <w:rFonts w:eastAsia="Times New Roman"/>
        </w:rPr>
        <w:t>y the estimates have changed</w:t>
      </w:r>
      <w:r w:rsidR="00C668F8">
        <w:rPr>
          <w:rFonts w:eastAsia="Times New Roman"/>
        </w:rPr>
        <w:t xml:space="preserve"> and what are the implications</w:t>
      </w:r>
      <w:r w:rsidR="00D226BC">
        <w:rPr>
          <w:rFonts w:eastAsia="Times New Roman"/>
        </w:rPr>
        <w:t xml:space="preserve">.  </w:t>
      </w:r>
    </w:p>
    <w:p w14:paraId="7BA9BE47" w14:textId="3DF228C4" w:rsidR="009F0495" w:rsidRPr="003246FC" w:rsidRDefault="00D77834" w:rsidP="00D758DA">
      <w:pPr>
        <w:tabs>
          <w:tab w:val="left" w:pos="7920"/>
        </w:tabs>
        <w:spacing w:after="0" w:line="480" w:lineRule="auto"/>
        <w:ind w:firstLine="720"/>
        <w:rPr>
          <w:rFonts w:eastAsia="Times New Roman"/>
        </w:rPr>
      </w:pPr>
      <w:r w:rsidRPr="003246FC">
        <w:rPr>
          <w:rFonts w:eastAsia="Times New Roman"/>
        </w:rPr>
        <w:t xml:space="preserve">The review </w:t>
      </w:r>
      <w:r w:rsidR="00B740C1">
        <w:rPr>
          <w:rFonts w:eastAsia="Times New Roman"/>
        </w:rPr>
        <w:t>produced in this paper</w:t>
      </w:r>
      <w:r w:rsidRPr="003246FC">
        <w:rPr>
          <w:rFonts w:eastAsia="Times New Roman"/>
        </w:rPr>
        <w:t xml:space="preserve"> focused on PM2.5 since it dominates </w:t>
      </w:r>
      <w:r w:rsidR="00094E48" w:rsidRPr="003246FC">
        <w:rPr>
          <w:rFonts w:eastAsia="Times New Roman"/>
        </w:rPr>
        <w:t xml:space="preserve">the overall mortality estimates and has been used most often to approximate the overall impact of air pollution.  </w:t>
      </w:r>
      <w:r w:rsidR="00A90124">
        <w:rPr>
          <w:rFonts w:eastAsia="Times New Roman"/>
        </w:rPr>
        <w:t xml:space="preserve">The scientific basis supporting the link between PM2.5 and adverse health outcomes is substantial.  </w:t>
      </w:r>
      <w:r w:rsidR="00C16F7E">
        <w:rPr>
          <w:rFonts w:eastAsia="Times New Roman"/>
        </w:rPr>
        <w:t xml:space="preserve">Dozens of studies of short-term exposure to PM2.5 and mortality have been published and include evidence from five continents.  </w:t>
      </w:r>
      <w:r w:rsidR="00374664">
        <w:rPr>
          <w:rFonts w:eastAsia="Times New Roman"/>
        </w:rPr>
        <w:t xml:space="preserve">Several </w:t>
      </w:r>
      <w:r w:rsidR="00C16F7E">
        <w:rPr>
          <w:rFonts w:eastAsia="Times New Roman"/>
        </w:rPr>
        <w:t>studies of long-term exposure</w:t>
      </w:r>
      <w:r w:rsidR="00374664">
        <w:rPr>
          <w:rFonts w:eastAsia="Times New Roman"/>
        </w:rPr>
        <w:t xml:space="preserve"> form </w:t>
      </w:r>
      <w:r w:rsidR="00C16F7E">
        <w:rPr>
          <w:rFonts w:eastAsia="Times New Roman"/>
        </w:rPr>
        <w:t>the basis for the concentration-response functions in GBD</w:t>
      </w:r>
      <w:r w:rsidR="00374664">
        <w:rPr>
          <w:rFonts w:eastAsia="Times New Roman"/>
        </w:rPr>
        <w:t xml:space="preserve"> and</w:t>
      </w:r>
      <w:r w:rsidR="00C16F7E">
        <w:rPr>
          <w:rFonts w:eastAsia="Times New Roman"/>
        </w:rPr>
        <w:t xml:space="preserve"> </w:t>
      </w:r>
      <w:r w:rsidR="00A90308">
        <w:rPr>
          <w:rFonts w:eastAsia="Times New Roman"/>
        </w:rPr>
        <w:t xml:space="preserve">the </w:t>
      </w:r>
      <w:r w:rsidR="00C16F7E">
        <w:rPr>
          <w:rFonts w:eastAsia="Times New Roman"/>
        </w:rPr>
        <w:t xml:space="preserve">PM2.5 </w:t>
      </w:r>
      <w:r w:rsidR="00A90308">
        <w:rPr>
          <w:rFonts w:eastAsia="Times New Roman"/>
        </w:rPr>
        <w:t xml:space="preserve">effect </w:t>
      </w:r>
      <w:r w:rsidR="00C16F7E">
        <w:rPr>
          <w:rFonts w:eastAsia="Times New Roman"/>
        </w:rPr>
        <w:t>is the best documented and</w:t>
      </w:r>
      <w:r w:rsidR="00374664">
        <w:rPr>
          <w:rFonts w:eastAsia="Times New Roman"/>
        </w:rPr>
        <w:t xml:space="preserve"> well </w:t>
      </w:r>
      <w:r w:rsidR="00C16F7E">
        <w:rPr>
          <w:rFonts w:eastAsia="Times New Roman"/>
        </w:rPr>
        <w:t xml:space="preserve">supported by </w:t>
      </w:r>
      <w:r w:rsidR="00B569D9">
        <w:rPr>
          <w:rFonts w:eastAsia="Times New Roman"/>
        </w:rPr>
        <w:t>toxicological</w:t>
      </w:r>
      <w:r w:rsidR="00C16F7E">
        <w:rPr>
          <w:rFonts w:eastAsia="Times New Roman"/>
        </w:rPr>
        <w:t xml:space="preserve"> and human clinical studies.  In addition, there is </w:t>
      </w:r>
      <w:r w:rsidR="00A00D23">
        <w:rPr>
          <w:rFonts w:eastAsia="Times New Roman"/>
        </w:rPr>
        <w:t xml:space="preserve">an </w:t>
      </w:r>
      <w:r w:rsidR="00C05B9F">
        <w:rPr>
          <w:rFonts w:eastAsia="Times New Roman"/>
        </w:rPr>
        <w:t xml:space="preserve">extensive </w:t>
      </w:r>
      <w:r w:rsidR="00C16F7E">
        <w:rPr>
          <w:rFonts w:eastAsia="Times New Roman"/>
        </w:rPr>
        <w:t>network of PM2.5 monitors around the world that can be used for calibration</w:t>
      </w:r>
      <w:r w:rsidR="00A90124">
        <w:rPr>
          <w:rFonts w:eastAsia="Times New Roman"/>
        </w:rPr>
        <w:t xml:space="preserve"> of global exposure models</w:t>
      </w:r>
      <w:r w:rsidR="00C95743">
        <w:rPr>
          <w:rFonts w:eastAsia="Times New Roman"/>
        </w:rPr>
        <w:t xml:space="preserve">, although there are many low- and middle-income countries </w:t>
      </w:r>
      <w:r w:rsidR="009D41A0">
        <w:rPr>
          <w:rFonts w:eastAsia="Times New Roman"/>
        </w:rPr>
        <w:t xml:space="preserve">(LMIC) </w:t>
      </w:r>
      <w:r w:rsidR="00C95743">
        <w:rPr>
          <w:rFonts w:eastAsia="Times New Roman"/>
        </w:rPr>
        <w:t>that have limited or no monitoring</w:t>
      </w:r>
      <w:r w:rsidR="00FC0999">
        <w:rPr>
          <w:rFonts w:eastAsia="Times New Roman"/>
        </w:rPr>
        <w:t xml:space="preserve"> networks</w:t>
      </w:r>
      <w:r w:rsidR="00C16F7E">
        <w:rPr>
          <w:rFonts w:eastAsia="Times New Roman"/>
        </w:rPr>
        <w:t xml:space="preserve">.  </w:t>
      </w:r>
      <w:r w:rsidR="001D60D5">
        <w:rPr>
          <w:rFonts w:eastAsia="Times New Roman"/>
        </w:rPr>
        <w:t xml:space="preserve">All these </w:t>
      </w:r>
      <w:r w:rsidR="00C16F7E">
        <w:rPr>
          <w:rFonts w:eastAsia="Times New Roman"/>
        </w:rPr>
        <w:t xml:space="preserve">factors set PM2.5 apart from all other air pollutants.  </w:t>
      </w:r>
      <w:r w:rsidR="00062FC5">
        <w:rPr>
          <w:rFonts w:eastAsia="Times New Roman"/>
        </w:rPr>
        <w:t xml:space="preserve"> </w:t>
      </w:r>
    </w:p>
    <w:p w14:paraId="39F5A87F" w14:textId="5A9D5BB7" w:rsidR="000B4D22" w:rsidRPr="003246FC" w:rsidRDefault="009F0495" w:rsidP="002E4AD2">
      <w:pPr>
        <w:spacing w:after="0" w:line="480" w:lineRule="auto"/>
        <w:ind w:firstLine="720"/>
        <w:rPr>
          <w:rFonts w:eastAsia="Times New Roman"/>
        </w:rPr>
      </w:pPr>
      <w:r w:rsidRPr="003246FC">
        <w:rPr>
          <w:rFonts w:eastAsia="Times New Roman"/>
        </w:rPr>
        <w:t xml:space="preserve">In </w:t>
      </w:r>
      <w:proofErr w:type="spellStart"/>
      <w:r w:rsidR="00715088">
        <w:rPr>
          <w:rFonts w:eastAsia="Times New Roman"/>
        </w:rPr>
        <w:t>sS</w:t>
      </w:r>
      <w:r w:rsidRPr="003246FC">
        <w:rPr>
          <w:rFonts w:eastAsia="Times New Roman"/>
        </w:rPr>
        <w:t>ection</w:t>
      </w:r>
      <w:proofErr w:type="spellEnd"/>
      <w:r w:rsidR="00715088">
        <w:rPr>
          <w:rFonts w:eastAsia="Times New Roman"/>
        </w:rPr>
        <w:t xml:space="preserve"> II</w:t>
      </w:r>
      <w:r w:rsidRPr="003246FC">
        <w:rPr>
          <w:rFonts w:eastAsia="Times New Roman"/>
        </w:rPr>
        <w:t xml:space="preserve">, we </w:t>
      </w:r>
      <w:r w:rsidR="00D226BC">
        <w:rPr>
          <w:rFonts w:eastAsia="Times New Roman"/>
        </w:rPr>
        <w:t xml:space="preserve">briefly </w:t>
      </w:r>
      <w:r w:rsidRPr="003246FC">
        <w:rPr>
          <w:rFonts w:eastAsia="Times New Roman"/>
        </w:rPr>
        <w:t>review the GBD model assumptions</w:t>
      </w:r>
      <w:r w:rsidR="00FA2D9A">
        <w:rPr>
          <w:rFonts w:eastAsia="Times New Roman"/>
        </w:rPr>
        <w:t xml:space="preserve"> </w:t>
      </w:r>
      <w:r w:rsidR="00571A46">
        <w:rPr>
          <w:rFonts w:eastAsia="Times New Roman"/>
        </w:rPr>
        <w:t xml:space="preserve">from </w:t>
      </w:r>
      <w:r w:rsidR="00FA2D9A">
        <w:rPr>
          <w:rFonts w:eastAsia="Times New Roman"/>
        </w:rPr>
        <w:t>2010</w:t>
      </w:r>
      <w:r w:rsidR="00571A46">
        <w:rPr>
          <w:rFonts w:eastAsia="Times New Roman"/>
        </w:rPr>
        <w:t xml:space="preserve"> </w:t>
      </w:r>
      <w:r w:rsidR="00D758DA">
        <w:rPr>
          <w:rFonts w:eastAsia="Times New Roman"/>
        </w:rPr>
        <w:t xml:space="preserve">to </w:t>
      </w:r>
      <w:r w:rsidR="00D758DA" w:rsidRPr="00A90124">
        <w:rPr>
          <w:rFonts w:eastAsia="Times New Roman"/>
        </w:rPr>
        <w:t>2015</w:t>
      </w:r>
      <w:r w:rsidRPr="003246FC">
        <w:rPr>
          <w:rFonts w:eastAsia="Times New Roman"/>
        </w:rPr>
        <w:t xml:space="preserve"> </w:t>
      </w:r>
      <w:r w:rsidR="00D226BC">
        <w:rPr>
          <w:rFonts w:eastAsia="Times New Roman"/>
        </w:rPr>
        <w:t xml:space="preserve">indicating </w:t>
      </w:r>
      <w:r w:rsidRPr="003246FC">
        <w:rPr>
          <w:rFonts w:eastAsia="Times New Roman"/>
        </w:rPr>
        <w:t>how they have change</w:t>
      </w:r>
      <w:r w:rsidR="003246FC">
        <w:rPr>
          <w:rFonts w:eastAsia="Times New Roman"/>
        </w:rPr>
        <w:t>d</w:t>
      </w:r>
      <w:r w:rsidRPr="003246FC">
        <w:rPr>
          <w:rFonts w:eastAsia="Times New Roman"/>
        </w:rPr>
        <w:t xml:space="preserve"> over time </w:t>
      </w:r>
      <w:r w:rsidR="00670465">
        <w:rPr>
          <w:rFonts w:eastAsia="Times New Roman"/>
        </w:rPr>
        <w:t>along with</w:t>
      </w:r>
      <w:r w:rsidR="00670465" w:rsidRPr="003246FC">
        <w:rPr>
          <w:rFonts w:eastAsia="Times New Roman"/>
        </w:rPr>
        <w:t xml:space="preserve"> </w:t>
      </w:r>
      <w:r w:rsidRPr="003246FC">
        <w:rPr>
          <w:rFonts w:eastAsia="Times New Roman"/>
        </w:rPr>
        <w:t>the r</w:t>
      </w:r>
      <w:r w:rsidR="00A51A30">
        <w:rPr>
          <w:rFonts w:eastAsia="Times New Roman"/>
        </w:rPr>
        <w:t xml:space="preserve">esultant mortality </w:t>
      </w:r>
      <w:r w:rsidR="00A51A30" w:rsidRPr="00DC6E19">
        <w:rPr>
          <w:rFonts w:eastAsia="Times New Roman"/>
        </w:rPr>
        <w:t xml:space="preserve">estimates.  </w:t>
      </w:r>
      <w:r w:rsidR="00BA70A8" w:rsidRPr="00F6706C">
        <w:rPr>
          <w:rFonts w:eastAsia="Times New Roman"/>
        </w:rPr>
        <w:t>I</w:t>
      </w:r>
      <w:r w:rsidR="00715088" w:rsidRPr="00F6706C">
        <w:rPr>
          <w:rFonts w:eastAsia="Times New Roman"/>
        </w:rPr>
        <w:t>n Section III</w:t>
      </w:r>
      <w:r w:rsidR="00A90308" w:rsidRPr="00F6706C">
        <w:rPr>
          <w:rFonts w:eastAsia="Times New Roman"/>
        </w:rPr>
        <w:t xml:space="preserve">, we provide a quantitative analysis of the impacts that changes in the model inputs have had on the country-specific and global estimates.  </w:t>
      </w:r>
      <w:r w:rsidR="005C5D2B" w:rsidRPr="00F6706C">
        <w:rPr>
          <w:rFonts w:eastAsia="Times New Roman"/>
        </w:rPr>
        <w:t>This is followed b</w:t>
      </w:r>
      <w:r w:rsidR="00F2418D" w:rsidRPr="00F6706C">
        <w:rPr>
          <w:rFonts w:eastAsia="Times New Roman"/>
        </w:rPr>
        <w:t xml:space="preserve">y </w:t>
      </w:r>
      <w:r w:rsidR="001B4AE0" w:rsidRPr="00F6706C">
        <w:rPr>
          <w:rFonts w:eastAsia="Times New Roman"/>
        </w:rPr>
        <w:t>summary</w:t>
      </w:r>
      <w:r w:rsidR="00715088" w:rsidRPr="00F6706C">
        <w:rPr>
          <w:rFonts w:eastAsia="Times New Roman"/>
        </w:rPr>
        <w:t xml:space="preserve"> (IV)</w:t>
      </w:r>
      <w:r w:rsidR="00A00D23" w:rsidRPr="00F6706C">
        <w:rPr>
          <w:rFonts w:eastAsia="Times New Roman"/>
        </w:rPr>
        <w:t>,</w:t>
      </w:r>
      <w:r w:rsidR="001B4AE0" w:rsidRPr="00F6706C">
        <w:rPr>
          <w:rFonts w:eastAsia="Times New Roman"/>
        </w:rPr>
        <w:t xml:space="preserve"> conclusions </w:t>
      </w:r>
      <w:r w:rsidR="00715088" w:rsidRPr="00F6706C">
        <w:rPr>
          <w:rFonts w:eastAsia="Times New Roman"/>
        </w:rPr>
        <w:t xml:space="preserve">(V) </w:t>
      </w:r>
      <w:r w:rsidR="001B4AE0" w:rsidRPr="00F6706C">
        <w:rPr>
          <w:rFonts w:eastAsia="Times New Roman"/>
        </w:rPr>
        <w:t>and</w:t>
      </w:r>
      <w:r w:rsidR="001B4AE0" w:rsidRPr="001B4AE0">
        <w:rPr>
          <w:rFonts w:eastAsia="Times New Roman"/>
        </w:rPr>
        <w:t xml:space="preserve"> </w:t>
      </w:r>
      <w:r w:rsidR="00F2418D" w:rsidRPr="001B4AE0">
        <w:rPr>
          <w:rFonts w:eastAsia="Times New Roman"/>
        </w:rPr>
        <w:t>recommendations</w:t>
      </w:r>
      <w:r w:rsidR="00715088">
        <w:rPr>
          <w:rFonts w:eastAsia="Times New Roman"/>
        </w:rPr>
        <w:t xml:space="preserve"> (VI)</w:t>
      </w:r>
      <w:r w:rsidR="00F2418D" w:rsidRPr="001B4AE0">
        <w:rPr>
          <w:rFonts w:eastAsia="Times New Roman"/>
        </w:rPr>
        <w:t xml:space="preserve"> for future GBD estimates.  </w:t>
      </w:r>
    </w:p>
    <w:p w14:paraId="204DEFF9" w14:textId="77777777" w:rsidR="003B3EAF" w:rsidRDefault="002B3AFD" w:rsidP="00062FC5">
      <w:pPr>
        <w:spacing w:before="120" w:after="0" w:line="480" w:lineRule="auto"/>
        <w:rPr>
          <w:rFonts w:eastAsia="Times New Roman"/>
          <w:b/>
        </w:rPr>
      </w:pPr>
      <w:r w:rsidRPr="003246FC">
        <w:rPr>
          <w:rFonts w:eastAsia="Times New Roman"/>
          <w:b/>
        </w:rPr>
        <w:t>I</w:t>
      </w:r>
      <w:r w:rsidR="00DC661A">
        <w:rPr>
          <w:rFonts w:eastAsia="Times New Roman"/>
          <w:b/>
        </w:rPr>
        <w:t>I</w:t>
      </w:r>
      <w:r w:rsidRPr="003246FC">
        <w:rPr>
          <w:rFonts w:eastAsia="Times New Roman"/>
          <w:b/>
        </w:rPr>
        <w:t xml:space="preserve">. </w:t>
      </w:r>
      <w:r w:rsidR="00C95743">
        <w:rPr>
          <w:rFonts w:eastAsia="Times New Roman"/>
          <w:b/>
        </w:rPr>
        <w:t xml:space="preserve">Inputs and Enhancements </w:t>
      </w:r>
      <w:r w:rsidR="0021470F" w:rsidRPr="003246FC">
        <w:rPr>
          <w:rFonts w:eastAsia="Times New Roman"/>
          <w:b/>
        </w:rPr>
        <w:t xml:space="preserve">of GBD </w:t>
      </w:r>
      <w:r w:rsidR="003B3EAF" w:rsidRPr="003246FC">
        <w:rPr>
          <w:rFonts w:eastAsia="Times New Roman"/>
          <w:b/>
        </w:rPr>
        <w:t>f</w:t>
      </w:r>
      <w:r w:rsidR="0021470F" w:rsidRPr="003246FC">
        <w:rPr>
          <w:rFonts w:eastAsia="Times New Roman"/>
          <w:b/>
        </w:rPr>
        <w:t>or</w:t>
      </w:r>
      <w:r w:rsidR="003B3EAF" w:rsidRPr="003246FC">
        <w:rPr>
          <w:rFonts w:eastAsia="Times New Roman"/>
          <w:b/>
        </w:rPr>
        <w:t xml:space="preserve"> 2010, 2013 and 2015</w:t>
      </w:r>
      <w:r w:rsidR="0021470F" w:rsidRPr="003246FC">
        <w:rPr>
          <w:rFonts w:eastAsia="Times New Roman"/>
          <w:b/>
        </w:rPr>
        <w:t xml:space="preserve"> </w:t>
      </w:r>
    </w:p>
    <w:p w14:paraId="68FBE325" w14:textId="77777777" w:rsidR="00C626C9" w:rsidRPr="00C626C9" w:rsidRDefault="00C626C9" w:rsidP="00C626C9">
      <w:pPr>
        <w:spacing w:after="0" w:line="480" w:lineRule="auto"/>
        <w:rPr>
          <w:rFonts w:eastAsia="Times New Roman"/>
          <w:b/>
        </w:rPr>
      </w:pPr>
      <w:r w:rsidRPr="00C626C9">
        <w:rPr>
          <w:rFonts w:eastAsia="Times New Roman"/>
          <w:b/>
        </w:rPr>
        <w:t xml:space="preserve">II.1 Inputs </w:t>
      </w:r>
    </w:p>
    <w:p w14:paraId="2245EB6B" w14:textId="1B2F8324" w:rsidR="00CF1177" w:rsidRPr="00970431" w:rsidRDefault="00CF1177" w:rsidP="00C626C9">
      <w:pPr>
        <w:spacing w:after="0" w:line="480" w:lineRule="auto"/>
        <w:ind w:firstLine="720"/>
        <w:rPr>
          <w:rFonts w:eastAsia="Times New Roman"/>
        </w:rPr>
      </w:pPr>
      <w:r w:rsidRPr="00970431">
        <w:rPr>
          <w:rFonts w:eastAsia="Times New Roman"/>
        </w:rPr>
        <w:lastRenderedPageBreak/>
        <w:t xml:space="preserve">There are five major </w:t>
      </w:r>
      <w:r w:rsidR="00C95743" w:rsidRPr="00970431">
        <w:rPr>
          <w:rFonts w:eastAsia="Times New Roman"/>
        </w:rPr>
        <w:t>inputs for</w:t>
      </w:r>
      <w:r w:rsidRPr="00970431">
        <w:rPr>
          <w:rFonts w:eastAsia="Times New Roman"/>
        </w:rPr>
        <w:t xml:space="preserve"> the quantification process and different assumptions about them can generate significant differences in the outcome</w:t>
      </w:r>
      <w:r w:rsidR="0041375F">
        <w:rPr>
          <w:rFonts w:eastAsia="Times New Roman"/>
        </w:rPr>
        <w:t>: 1) air pollution levels, 2) counterfactual selection; 3) population exposure; 4) death rates and</w:t>
      </w:r>
      <w:r w:rsidR="00D758DA">
        <w:rPr>
          <w:rFonts w:eastAsia="Times New Roman"/>
        </w:rPr>
        <w:t xml:space="preserve"> </w:t>
      </w:r>
      <w:r w:rsidR="0041375F">
        <w:rPr>
          <w:rFonts w:eastAsia="Times New Roman"/>
        </w:rPr>
        <w:t xml:space="preserve">5) </w:t>
      </w:r>
      <w:r w:rsidR="00003CD4">
        <w:rPr>
          <w:rFonts w:eastAsia="Times New Roman"/>
        </w:rPr>
        <w:t>concentration-response function</w:t>
      </w:r>
      <w:r w:rsidR="00003CD4" w:rsidRPr="00970431">
        <w:rPr>
          <w:rFonts w:eastAsia="Times New Roman"/>
        </w:rPr>
        <w:t xml:space="preserve"> </w:t>
      </w:r>
      <w:r w:rsidR="00003CD4">
        <w:rPr>
          <w:rFonts w:eastAsia="Times New Roman"/>
        </w:rPr>
        <w:t>(</w:t>
      </w:r>
      <w:r w:rsidR="0041375F">
        <w:rPr>
          <w:rFonts w:eastAsia="Times New Roman"/>
        </w:rPr>
        <w:t>CRF</w:t>
      </w:r>
      <w:r w:rsidR="00003CD4">
        <w:rPr>
          <w:rFonts w:eastAsia="Times New Roman"/>
        </w:rPr>
        <w:t>)</w:t>
      </w:r>
      <w:r w:rsidRPr="00970431">
        <w:rPr>
          <w:rFonts w:eastAsia="Times New Roman"/>
        </w:rPr>
        <w:t xml:space="preserve">.  </w:t>
      </w:r>
      <w:r w:rsidR="00C626C9" w:rsidRPr="00970431">
        <w:rPr>
          <w:rFonts w:eastAsia="Times New Roman"/>
        </w:rPr>
        <w:t xml:space="preserve">Many of these components have changed with each successive GBD estimate of air pollution effects.  </w:t>
      </w:r>
      <w:r w:rsidRPr="00970431">
        <w:rPr>
          <w:rFonts w:eastAsia="Times New Roman"/>
        </w:rPr>
        <w:t>These include the following:</w:t>
      </w:r>
    </w:p>
    <w:p w14:paraId="6F652DB4" w14:textId="143796D5" w:rsidR="00CF1177" w:rsidRPr="00970431" w:rsidRDefault="00CF1177" w:rsidP="002E4AD2">
      <w:pPr>
        <w:spacing w:after="0" w:line="480" w:lineRule="auto"/>
        <w:ind w:firstLine="720"/>
        <w:rPr>
          <w:rFonts w:eastAsia="Times New Roman"/>
        </w:rPr>
      </w:pPr>
      <w:r w:rsidRPr="00970431">
        <w:rPr>
          <w:rFonts w:eastAsia="Times New Roman"/>
        </w:rPr>
        <w:t xml:space="preserve">1. An assessment of the </w:t>
      </w:r>
      <w:r w:rsidR="00946A03">
        <w:rPr>
          <w:rFonts w:eastAsia="Times New Roman"/>
        </w:rPr>
        <w:t>annual concentration levels of</w:t>
      </w:r>
      <w:r w:rsidRPr="00970431">
        <w:rPr>
          <w:rFonts w:eastAsia="Times New Roman"/>
        </w:rPr>
        <w:t xml:space="preserve"> an index pollutant, traditionally PM2.5, based on </w:t>
      </w:r>
      <w:proofErr w:type="gramStart"/>
      <w:r w:rsidRPr="00970431">
        <w:rPr>
          <w:rFonts w:eastAsia="Times New Roman"/>
        </w:rPr>
        <w:t xml:space="preserve">either </w:t>
      </w:r>
      <w:r w:rsidR="0039600D" w:rsidRPr="00970431">
        <w:rPr>
          <w:rFonts w:eastAsia="Times New Roman"/>
        </w:rPr>
        <w:t>ground</w:t>
      </w:r>
      <w:proofErr w:type="gramEnd"/>
      <w:r w:rsidR="0039600D" w:rsidRPr="00970431">
        <w:rPr>
          <w:rFonts w:eastAsia="Times New Roman"/>
        </w:rPr>
        <w:t>-</w:t>
      </w:r>
      <w:r w:rsidR="005D3401" w:rsidRPr="00970431">
        <w:rPr>
          <w:rFonts w:eastAsia="Times New Roman"/>
        </w:rPr>
        <w:t>level</w:t>
      </w:r>
      <w:r w:rsidRPr="00970431">
        <w:rPr>
          <w:rFonts w:eastAsia="Times New Roman"/>
        </w:rPr>
        <w:t xml:space="preserve"> monitors, remote sensing satellites, land use regression models, chemical transport models or some combination of the above.  </w:t>
      </w:r>
      <w:r w:rsidR="00C643EF">
        <w:rPr>
          <w:rFonts w:eastAsia="Times New Roman"/>
        </w:rPr>
        <w:t>From the concentration levels population-weighted exposures are estimated</w:t>
      </w:r>
      <w:r w:rsidR="00946A03">
        <w:rPr>
          <w:rFonts w:eastAsia="Times New Roman"/>
        </w:rPr>
        <w:t xml:space="preserve"> (see </w:t>
      </w:r>
      <w:r w:rsidR="00670465">
        <w:rPr>
          <w:rFonts w:eastAsia="Times New Roman"/>
        </w:rPr>
        <w:t>input</w:t>
      </w:r>
      <w:r w:rsidR="00946A03">
        <w:rPr>
          <w:rFonts w:eastAsia="Times New Roman"/>
        </w:rPr>
        <w:t xml:space="preserve"> 3)</w:t>
      </w:r>
      <w:r w:rsidR="00C643EF">
        <w:rPr>
          <w:rFonts w:eastAsia="Times New Roman"/>
        </w:rPr>
        <w:t xml:space="preserve">. </w:t>
      </w:r>
    </w:p>
    <w:p w14:paraId="17973752" w14:textId="61D45DEF" w:rsidR="00CF1177" w:rsidRPr="00970431" w:rsidRDefault="00CF1177" w:rsidP="0073430D">
      <w:pPr>
        <w:spacing w:after="0" w:line="480" w:lineRule="auto"/>
        <w:ind w:firstLine="720"/>
        <w:rPr>
          <w:rFonts w:eastAsia="Times New Roman"/>
        </w:rPr>
      </w:pPr>
      <w:r w:rsidRPr="00970431">
        <w:rPr>
          <w:rFonts w:eastAsia="Times New Roman"/>
        </w:rPr>
        <w:t>2.  A</w:t>
      </w:r>
      <w:r w:rsidR="00D758DA">
        <w:rPr>
          <w:rFonts w:eastAsia="Times New Roman"/>
        </w:rPr>
        <w:t xml:space="preserve">n alternative </w:t>
      </w:r>
      <w:r w:rsidR="00003CD4">
        <w:rPr>
          <w:rFonts w:eastAsia="Times New Roman"/>
        </w:rPr>
        <w:t xml:space="preserve">or minimum </w:t>
      </w:r>
      <w:r w:rsidRPr="00970431">
        <w:rPr>
          <w:rFonts w:eastAsia="Times New Roman"/>
        </w:rPr>
        <w:t>concentration of PM2.5</w:t>
      </w:r>
      <w:r w:rsidR="00D758DA">
        <w:rPr>
          <w:rFonts w:eastAsia="Times New Roman"/>
        </w:rPr>
        <w:t>, called a counterfactual</w:t>
      </w:r>
      <w:r w:rsidR="00453DDA">
        <w:rPr>
          <w:rFonts w:eastAsia="Times New Roman"/>
        </w:rPr>
        <w:t xml:space="preserve">, </w:t>
      </w:r>
      <w:r w:rsidRPr="00970431">
        <w:rPr>
          <w:rFonts w:eastAsia="Times New Roman"/>
        </w:rPr>
        <w:t xml:space="preserve">which could </w:t>
      </w:r>
      <w:r w:rsidR="003246FC" w:rsidRPr="00970431">
        <w:rPr>
          <w:rFonts w:eastAsia="Times New Roman"/>
        </w:rPr>
        <w:t xml:space="preserve">be either </w:t>
      </w:r>
      <w:r w:rsidR="00E306E6" w:rsidRPr="00970431">
        <w:rPr>
          <w:rFonts w:eastAsia="Times New Roman"/>
        </w:rPr>
        <w:t xml:space="preserve">a </w:t>
      </w:r>
      <w:r w:rsidRPr="00970431">
        <w:rPr>
          <w:rFonts w:eastAsia="Times New Roman"/>
        </w:rPr>
        <w:t>background level</w:t>
      </w:r>
      <w:r w:rsidR="006F39FE" w:rsidRPr="00970431">
        <w:rPr>
          <w:rFonts w:eastAsia="Times New Roman"/>
        </w:rPr>
        <w:t>, a</w:t>
      </w:r>
      <w:r w:rsidR="00E306E6" w:rsidRPr="00970431">
        <w:rPr>
          <w:rFonts w:eastAsia="Times New Roman"/>
        </w:rPr>
        <w:t xml:space="preserve"> </w:t>
      </w:r>
      <w:r w:rsidRPr="00970431">
        <w:rPr>
          <w:rFonts w:eastAsia="Times New Roman"/>
        </w:rPr>
        <w:t>target level</w:t>
      </w:r>
      <w:r w:rsidR="00715088">
        <w:rPr>
          <w:rFonts w:eastAsia="Times New Roman"/>
        </w:rPr>
        <w:t xml:space="preserve"> such as a WHO guideline</w:t>
      </w:r>
      <w:r w:rsidR="00E306E6" w:rsidRPr="00970431">
        <w:rPr>
          <w:rFonts w:eastAsia="Times New Roman"/>
        </w:rPr>
        <w:t xml:space="preserve">, </w:t>
      </w:r>
      <w:r w:rsidRPr="00970431">
        <w:rPr>
          <w:rFonts w:eastAsia="Times New Roman"/>
        </w:rPr>
        <w:t xml:space="preserve">a theoretical threshold or </w:t>
      </w:r>
      <w:r w:rsidR="00E306E6" w:rsidRPr="00970431">
        <w:rPr>
          <w:rFonts w:eastAsia="Times New Roman"/>
        </w:rPr>
        <w:t xml:space="preserve">a </w:t>
      </w:r>
      <w:r w:rsidRPr="00970431">
        <w:rPr>
          <w:rFonts w:eastAsia="Times New Roman"/>
        </w:rPr>
        <w:t xml:space="preserve">no-effects level.  </w:t>
      </w:r>
    </w:p>
    <w:p w14:paraId="1F32120B" w14:textId="56B765B0" w:rsidR="00CF1177" w:rsidRPr="00970431" w:rsidRDefault="00CF1177" w:rsidP="0073430D">
      <w:pPr>
        <w:spacing w:after="0" w:line="480" w:lineRule="auto"/>
        <w:ind w:firstLine="720"/>
        <w:rPr>
          <w:rFonts w:eastAsia="Times New Roman"/>
        </w:rPr>
      </w:pPr>
      <w:r w:rsidRPr="00970431">
        <w:rPr>
          <w:rFonts w:eastAsia="Times New Roman"/>
        </w:rPr>
        <w:t>3.  A determination of the size of the population group being expos</w:t>
      </w:r>
      <w:r w:rsidR="00FA2D9A" w:rsidRPr="00970431">
        <w:rPr>
          <w:rFonts w:eastAsia="Times New Roman"/>
        </w:rPr>
        <w:t>ed</w:t>
      </w:r>
      <w:r w:rsidRPr="00970431">
        <w:rPr>
          <w:rFonts w:eastAsia="Times New Roman"/>
        </w:rPr>
        <w:t xml:space="preserve"> to the given concentration</w:t>
      </w:r>
      <w:r w:rsidR="00946A03">
        <w:rPr>
          <w:rFonts w:eastAsia="Times New Roman"/>
        </w:rPr>
        <w:t xml:space="preserve"> is essential to estimate</w:t>
      </w:r>
      <w:r w:rsidR="00946A03" w:rsidRPr="00946A03">
        <w:rPr>
          <w:rFonts w:eastAsia="Times New Roman"/>
        </w:rPr>
        <w:t xml:space="preserve"> </w:t>
      </w:r>
      <w:r w:rsidR="00946A03">
        <w:rPr>
          <w:rFonts w:eastAsia="Times New Roman"/>
        </w:rPr>
        <w:t xml:space="preserve">population-weighted </w:t>
      </w:r>
      <w:proofErr w:type="gramStart"/>
      <w:r w:rsidR="00946A03">
        <w:rPr>
          <w:rFonts w:eastAsia="Times New Roman"/>
        </w:rPr>
        <w:t>exposure</w:t>
      </w:r>
      <w:r w:rsidR="0073430D" w:rsidRPr="00970431">
        <w:rPr>
          <w:rFonts w:eastAsia="Times New Roman"/>
        </w:rPr>
        <w:t xml:space="preserve"> </w:t>
      </w:r>
      <w:r w:rsidR="00FA2D9A" w:rsidRPr="00970431">
        <w:rPr>
          <w:rFonts w:eastAsia="Times New Roman"/>
        </w:rPr>
        <w:t xml:space="preserve"> </w:t>
      </w:r>
      <w:r w:rsidR="009B58AA">
        <w:rPr>
          <w:rFonts w:eastAsia="Times New Roman"/>
        </w:rPr>
        <w:t>For</w:t>
      </w:r>
      <w:proofErr w:type="gramEnd"/>
      <w:r w:rsidR="009B58AA">
        <w:rPr>
          <w:rFonts w:eastAsia="Times New Roman"/>
        </w:rPr>
        <w:t xml:space="preserve"> GBD, age-specific, p</w:t>
      </w:r>
      <w:r w:rsidR="00FA2D9A" w:rsidRPr="00970431">
        <w:rPr>
          <w:rFonts w:eastAsia="Times New Roman"/>
        </w:rPr>
        <w:t>opulation-</w:t>
      </w:r>
      <w:r w:rsidR="002B5D3C" w:rsidRPr="00970431">
        <w:rPr>
          <w:rFonts w:eastAsia="Times New Roman"/>
        </w:rPr>
        <w:t xml:space="preserve">weighted </w:t>
      </w:r>
      <w:r w:rsidR="00FA2D9A" w:rsidRPr="00970431">
        <w:rPr>
          <w:rFonts w:eastAsia="Times New Roman"/>
        </w:rPr>
        <w:t xml:space="preserve">exposures </w:t>
      </w:r>
      <w:r w:rsidR="002B5D3C" w:rsidRPr="00970431">
        <w:rPr>
          <w:rFonts w:eastAsia="Times New Roman"/>
        </w:rPr>
        <w:t>are generated for every country</w:t>
      </w:r>
      <w:r w:rsidR="009B58AA">
        <w:rPr>
          <w:rFonts w:eastAsia="Times New Roman"/>
        </w:rPr>
        <w:t xml:space="preserve"> </w:t>
      </w:r>
      <w:r w:rsidR="002B5D3C" w:rsidRPr="00970431">
        <w:rPr>
          <w:rFonts w:eastAsia="Times New Roman"/>
        </w:rPr>
        <w:t xml:space="preserve">.  </w:t>
      </w:r>
    </w:p>
    <w:p w14:paraId="5EEAEDE3" w14:textId="47E96C5A" w:rsidR="00CF1177" w:rsidRPr="00970431" w:rsidRDefault="00CF1177" w:rsidP="0073430D">
      <w:pPr>
        <w:spacing w:after="0" w:line="480" w:lineRule="auto"/>
        <w:ind w:firstLine="720"/>
        <w:rPr>
          <w:rFonts w:eastAsia="Times New Roman"/>
        </w:rPr>
      </w:pPr>
      <w:r w:rsidRPr="00970431">
        <w:rPr>
          <w:rFonts w:eastAsia="Times New Roman"/>
        </w:rPr>
        <w:t xml:space="preserve">4.  The </w:t>
      </w:r>
      <w:r w:rsidR="00C643EF">
        <w:rPr>
          <w:rFonts w:eastAsia="Times New Roman"/>
        </w:rPr>
        <w:t>occurrence</w:t>
      </w:r>
      <w:r w:rsidRPr="00970431">
        <w:rPr>
          <w:rFonts w:eastAsia="Times New Roman"/>
        </w:rPr>
        <w:t xml:space="preserve"> of the health effect being estimated such as the underlying </w:t>
      </w:r>
      <w:r w:rsidR="003551C2">
        <w:rPr>
          <w:rFonts w:eastAsia="Times New Roman"/>
        </w:rPr>
        <w:t xml:space="preserve">cause-specific </w:t>
      </w:r>
      <w:r w:rsidRPr="00970431">
        <w:rPr>
          <w:rFonts w:eastAsia="Times New Roman"/>
        </w:rPr>
        <w:t xml:space="preserve">mortality rate in terms of </w:t>
      </w:r>
      <w:r w:rsidR="00062FC5" w:rsidRPr="00970431">
        <w:rPr>
          <w:rFonts w:eastAsia="Times New Roman"/>
        </w:rPr>
        <w:t xml:space="preserve">annual </w:t>
      </w:r>
      <w:r w:rsidRPr="00970431">
        <w:rPr>
          <w:rFonts w:eastAsia="Times New Roman"/>
        </w:rPr>
        <w:t>deaths per 100,000</w:t>
      </w:r>
      <w:r w:rsidR="007D7B8F">
        <w:rPr>
          <w:rFonts w:eastAsia="Times New Roman"/>
        </w:rPr>
        <w:t>, for example</w:t>
      </w:r>
      <w:r w:rsidRPr="00970431">
        <w:rPr>
          <w:rFonts w:eastAsia="Times New Roman"/>
        </w:rPr>
        <w:t xml:space="preserve">.  </w:t>
      </w:r>
    </w:p>
    <w:p w14:paraId="75B4F8A6" w14:textId="49F0E294" w:rsidR="00CF1177" w:rsidRDefault="00CF1177" w:rsidP="0073430D">
      <w:pPr>
        <w:spacing w:after="0" w:line="480" w:lineRule="auto"/>
        <w:ind w:firstLine="720"/>
        <w:rPr>
          <w:rFonts w:eastAsia="Times New Roman"/>
        </w:rPr>
      </w:pPr>
      <w:r w:rsidRPr="00970431">
        <w:rPr>
          <w:rFonts w:eastAsia="Times New Roman"/>
        </w:rPr>
        <w:t xml:space="preserve">5. The concentration-response functions </w:t>
      </w:r>
      <w:r w:rsidR="00223EF3">
        <w:rPr>
          <w:rFonts w:eastAsia="Times New Roman"/>
        </w:rPr>
        <w:t xml:space="preserve">(CRFs) </w:t>
      </w:r>
      <w:r w:rsidRPr="00970431">
        <w:rPr>
          <w:rFonts w:eastAsia="Times New Roman"/>
        </w:rPr>
        <w:t>from the epidemiological literature that quantitatively relate ambient levels of PM2.5 to the risk of the health effect.</w:t>
      </w:r>
      <w:r w:rsidR="003551C2">
        <w:rPr>
          <w:rFonts w:eastAsia="Times New Roman"/>
        </w:rPr>
        <w:t xml:space="preserve">  For GBD, Integrated Exposure Response functions (IERs</w:t>
      </w:r>
      <w:r w:rsidR="009B58AA">
        <w:rPr>
          <w:rFonts w:eastAsia="Times New Roman"/>
        </w:rPr>
        <w:t>, see below</w:t>
      </w:r>
      <w:proofErr w:type="gramStart"/>
      <w:r w:rsidR="009B58AA">
        <w:rPr>
          <w:rFonts w:eastAsia="Times New Roman"/>
        </w:rPr>
        <w:t xml:space="preserve">) </w:t>
      </w:r>
      <w:r w:rsidR="003551C2">
        <w:rPr>
          <w:rFonts w:eastAsia="Times New Roman"/>
        </w:rPr>
        <w:t xml:space="preserve"> estimated</w:t>
      </w:r>
      <w:proofErr w:type="gramEnd"/>
      <w:r w:rsidR="003551C2">
        <w:rPr>
          <w:rFonts w:eastAsia="Times New Roman"/>
        </w:rPr>
        <w:t xml:space="preserve"> for five disease categories (</w:t>
      </w:r>
      <w:r w:rsidR="003551C2">
        <w:t>ischemic heart diseases, stroke, COPD, lung cancer and acute respiratory infections),</w:t>
      </w:r>
      <w:r w:rsidR="003551C2" w:rsidRPr="00970431">
        <w:rPr>
          <w:rFonts w:eastAsia="Times New Roman"/>
        </w:rPr>
        <w:t xml:space="preserve"> quantitatively relate </w:t>
      </w:r>
      <w:r w:rsidR="003551C2">
        <w:rPr>
          <w:rFonts w:eastAsia="Times New Roman"/>
        </w:rPr>
        <w:t xml:space="preserve">population-weighed exposure to </w:t>
      </w:r>
      <w:r w:rsidR="003551C2" w:rsidRPr="00970431">
        <w:rPr>
          <w:rFonts w:eastAsia="Times New Roman"/>
        </w:rPr>
        <w:t>PM2.5 to the risk of the health effect</w:t>
      </w:r>
      <w:r w:rsidR="003551C2">
        <w:rPr>
          <w:rFonts w:eastAsia="Times New Roman"/>
        </w:rPr>
        <w:t xml:space="preserve">. </w:t>
      </w:r>
    </w:p>
    <w:p w14:paraId="25A4C126" w14:textId="77777777" w:rsidR="003246FC" w:rsidRPr="00970431" w:rsidRDefault="003246FC" w:rsidP="0073430D">
      <w:pPr>
        <w:spacing w:after="0" w:line="480" w:lineRule="auto"/>
        <w:ind w:firstLine="720"/>
        <w:rPr>
          <w:rFonts w:eastAsia="Times New Roman"/>
        </w:rPr>
      </w:pPr>
    </w:p>
    <w:p w14:paraId="3C92A3C6" w14:textId="2F388457" w:rsidR="00C95743" w:rsidRPr="00970431" w:rsidRDefault="00C95743" w:rsidP="00571A46">
      <w:pPr>
        <w:spacing w:after="0" w:line="480" w:lineRule="auto"/>
        <w:rPr>
          <w:rFonts w:eastAsia="Times New Roman"/>
          <w:b/>
        </w:rPr>
      </w:pPr>
      <w:r w:rsidRPr="00970431">
        <w:rPr>
          <w:rFonts w:eastAsia="Times New Roman"/>
          <w:b/>
        </w:rPr>
        <w:t>I</w:t>
      </w:r>
      <w:r w:rsidR="00DC661A">
        <w:rPr>
          <w:rFonts w:eastAsia="Times New Roman"/>
          <w:b/>
        </w:rPr>
        <w:t>I</w:t>
      </w:r>
      <w:r w:rsidR="00C626C9">
        <w:rPr>
          <w:rFonts w:eastAsia="Times New Roman"/>
          <w:b/>
        </w:rPr>
        <w:t xml:space="preserve">.2. GBD </w:t>
      </w:r>
      <w:r w:rsidRPr="00970431">
        <w:rPr>
          <w:rFonts w:eastAsia="Times New Roman"/>
          <w:b/>
        </w:rPr>
        <w:t>Enhancements</w:t>
      </w:r>
      <w:r w:rsidR="00C626C9">
        <w:rPr>
          <w:rFonts w:eastAsia="Times New Roman"/>
          <w:b/>
        </w:rPr>
        <w:t xml:space="preserve"> </w:t>
      </w:r>
      <w:r w:rsidR="00F2418D">
        <w:rPr>
          <w:rFonts w:eastAsia="Times New Roman"/>
          <w:b/>
        </w:rPr>
        <w:t>and Limitations</w:t>
      </w:r>
    </w:p>
    <w:p w14:paraId="60A1BC05" w14:textId="7F9791A6" w:rsidR="00F2418D" w:rsidRDefault="00A00D23" w:rsidP="00F121FF">
      <w:pPr>
        <w:spacing w:after="0" w:line="480" w:lineRule="auto"/>
        <w:ind w:firstLine="720"/>
        <w:rPr>
          <w:rFonts w:eastAsia="Times New Roman"/>
          <w:i/>
        </w:rPr>
      </w:pPr>
      <w:r>
        <w:rPr>
          <w:rFonts w:eastAsia="Times New Roman"/>
        </w:rPr>
        <w:lastRenderedPageBreak/>
        <w:t>T</w:t>
      </w:r>
      <w:r w:rsidR="00F86AB2" w:rsidRPr="00970431">
        <w:rPr>
          <w:rFonts w:eastAsia="Times New Roman"/>
        </w:rPr>
        <w:t xml:space="preserve">here have been two major </w:t>
      </w:r>
      <w:r w:rsidR="00062FC5" w:rsidRPr="00970431">
        <w:rPr>
          <w:rFonts w:eastAsia="Times New Roman"/>
        </w:rPr>
        <w:t>enhancements to the</w:t>
      </w:r>
      <w:r w:rsidR="00F86AB2" w:rsidRPr="00970431">
        <w:rPr>
          <w:rFonts w:eastAsia="Times New Roman"/>
        </w:rPr>
        <w:t xml:space="preserve"> </w:t>
      </w:r>
      <w:r w:rsidR="00062FC5" w:rsidRPr="00970431">
        <w:rPr>
          <w:rFonts w:eastAsia="Times New Roman"/>
        </w:rPr>
        <w:t xml:space="preserve">GBD </w:t>
      </w:r>
      <w:r w:rsidR="00F86AB2" w:rsidRPr="00970431">
        <w:rPr>
          <w:rFonts w:eastAsia="Times New Roman"/>
        </w:rPr>
        <w:t xml:space="preserve">estimates of </w:t>
      </w:r>
      <w:r w:rsidR="00062FC5" w:rsidRPr="00970431">
        <w:rPr>
          <w:rFonts w:eastAsia="Times New Roman"/>
        </w:rPr>
        <w:t>2010, 20</w:t>
      </w:r>
      <w:r w:rsidR="00FA2D9A" w:rsidRPr="00970431">
        <w:rPr>
          <w:rFonts w:eastAsia="Times New Roman"/>
        </w:rPr>
        <w:t>1</w:t>
      </w:r>
      <w:r w:rsidR="00062FC5" w:rsidRPr="00970431">
        <w:rPr>
          <w:rFonts w:eastAsia="Times New Roman"/>
        </w:rPr>
        <w:t>3 and 2015</w:t>
      </w:r>
      <w:r w:rsidR="00F86AB2" w:rsidRPr="00970431">
        <w:rPr>
          <w:rFonts w:eastAsia="Times New Roman"/>
        </w:rPr>
        <w:t xml:space="preserve"> compared to earlier estimates.  First, the more recent estimates </w:t>
      </w:r>
      <w:r w:rsidR="003551C2">
        <w:rPr>
          <w:rFonts w:eastAsia="Times New Roman"/>
        </w:rPr>
        <w:t xml:space="preserve">are based on </w:t>
      </w:r>
      <w:r w:rsidR="00F86AB2" w:rsidRPr="00970431">
        <w:rPr>
          <w:rFonts w:eastAsia="Times New Roman"/>
        </w:rPr>
        <w:t xml:space="preserve">exposures </w:t>
      </w:r>
      <w:r w:rsidR="003551C2">
        <w:rPr>
          <w:rFonts w:eastAsia="Times New Roman"/>
        </w:rPr>
        <w:t xml:space="preserve">generated from models integrating </w:t>
      </w:r>
      <w:r w:rsidR="00062FC5" w:rsidRPr="00970431">
        <w:rPr>
          <w:rFonts w:eastAsia="Times New Roman"/>
        </w:rPr>
        <w:t xml:space="preserve">multiple sources including </w:t>
      </w:r>
      <w:r w:rsidR="00F86AB2" w:rsidRPr="00970431">
        <w:rPr>
          <w:rFonts w:eastAsia="Times New Roman"/>
        </w:rPr>
        <w:t xml:space="preserve">remote sensing </w:t>
      </w:r>
      <w:r w:rsidR="00062FC5" w:rsidRPr="00970431">
        <w:rPr>
          <w:rFonts w:eastAsia="Times New Roman"/>
        </w:rPr>
        <w:t xml:space="preserve">from satellites, </w:t>
      </w:r>
      <w:r w:rsidR="00F86AB2" w:rsidRPr="00970431">
        <w:rPr>
          <w:rFonts w:eastAsia="Times New Roman"/>
        </w:rPr>
        <w:t xml:space="preserve">chemical transport models </w:t>
      </w:r>
      <w:r w:rsidR="004B1011" w:rsidRPr="00970431">
        <w:rPr>
          <w:rFonts w:eastAsia="Times New Roman"/>
        </w:rPr>
        <w:t xml:space="preserve">(CTM) </w:t>
      </w:r>
      <w:r w:rsidR="00F86AB2" w:rsidRPr="00970431">
        <w:rPr>
          <w:rFonts w:eastAsia="Times New Roman"/>
        </w:rPr>
        <w:t xml:space="preserve">and </w:t>
      </w:r>
      <w:r w:rsidR="00C95743" w:rsidRPr="00970431">
        <w:rPr>
          <w:rFonts w:eastAsia="Times New Roman"/>
        </w:rPr>
        <w:t xml:space="preserve">ground-level </w:t>
      </w:r>
      <w:r w:rsidR="00062FC5" w:rsidRPr="00970431">
        <w:rPr>
          <w:rFonts w:eastAsia="Times New Roman"/>
        </w:rPr>
        <w:t>monitors</w:t>
      </w:r>
      <w:r w:rsidR="00F86AB2" w:rsidRPr="00970431">
        <w:rPr>
          <w:rFonts w:eastAsia="Times New Roman"/>
        </w:rPr>
        <w:t xml:space="preserve"> (</w:t>
      </w:r>
      <w:proofErr w:type="spellStart"/>
      <w:r w:rsidR="00062FC5" w:rsidRPr="00970431">
        <w:rPr>
          <w:rFonts w:eastAsia="Times New Roman"/>
        </w:rPr>
        <w:t>Brauer</w:t>
      </w:r>
      <w:proofErr w:type="spellEnd"/>
      <w:r w:rsidR="00062FC5" w:rsidRPr="00970431">
        <w:rPr>
          <w:rFonts w:eastAsia="Times New Roman"/>
        </w:rPr>
        <w:t xml:space="preserve"> et al., 2012; van </w:t>
      </w:r>
      <w:proofErr w:type="spellStart"/>
      <w:r w:rsidR="00062FC5" w:rsidRPr="00970431">
        <w:rPr>
          <w:rFonts w:eastAsia="Times New Roman"/>
        </w:rPr>
        <w:t>Donkelaar</w:t>
      </w:r>
      <w:proofErr w:type="spellEnd"/>
      <w:r w:rsidR="00062FC5" w:rsidRPr="00970431">
        <w:rPr>
          <w:rFonts w:eastAsia="Times New Roman"/>
        </w:rPr>
        <w:t xml:space="preserve"> et al., 2016</w:t>
      </w:r>
      <w:r w:rsidR="005D43F3" w:rsidRPr="00970431">
        <w:rPr>
          <w:rFonts w:eastAsia="Times New Roman"/>
        </w:rPr>
        <w:t xml:space="preserve">; </w:t>
      </w:r>
      <w:proofErr w:type="spellStart"/>
      <w:r w:rsidR="005D43F3" w:rsidRPr="00970431">
        <w:rPr>
          <w:rFonts w:eastAsia="Times New Roman"/>
        </w:rPr>
        <w:t>Shaddick</w:t>
      </w:r>
      <w:proofErr w:type="spellEnd"/>
      <w:r w:rsidR="005D43F3" w:rsidRPr="00970431">
        <w:rPr>
          <w:rFonts w:eastAsia="Times New Roman"/>
        </w:rPr>
        <w:t xml:space="preserve"> et al. 201</w:t>
      </w:r>
      <w:r w:rsidR="00BA383E">
        <w:rPr>
          <w:rFonts w:eastAsia="Times New Roman"/>
        </w:rPr>
        <w:t>7</w:t>
      </w:r>
      <w:r w:rsidR="00F86AB2" w:rsidRPr="00970431">
        <w:rPr>
          <w:rFonts w:eastAsia="Times New Roman"/>
        </w:rPr>
        <w:t xml:space="preserve">).  This is a significant improvement </w:t>
      </w:r>
      <w:r w:rsidR="003551C2">
        <w:rPr>
          <w:rFonts w:eastAsia="Times New Roman"/>
        </w:rPr>
        <w:t xml:space="preserve">over earlier studies, such as for example </w:t>
      </w:r>
      <w:r w:rsidR="00F86AB2" w:rsidRPr="00970431">
        <w:rPr>
          <w:rFonts w:eastAsia="Times New Roman"/>
        </w:rPr>
        <w:t xml:space="preserve">the </w:t>
      </w:r>
      <w:r w:rsidR="00F2418D">
        <w:rPr>
          <w:rFonts w:eastAsia="Times New Roman"/>
        </w:rPr>
        <w:t>estimates of PM10 (particles less than 10 microns) for</w:t>
      </w:r>
      <w:r w:rsidR="00F86AB2" w:rsidRPr="00970431">
        <w:rPr>
          <w:rFonts w:eastAsia="Times New Roman"/>
        </w:rPr>
        <w:t xml:space="preserve"> </w:t>
      </w:r>
      <w:r w:rsidR="00F2418D">
        <w:rPr>
          <w:rFonts w:eastAsia="Times New Roman"/>
        </w:rPr>
        <w:t xml:space="preserve">GBD </w:t>
      </w:r>
      <w:r w:rsidR="00F86AB2" w:rsidRPr="00970431">
        <w:rPr>
          <w:rFonts w:eastAsia="Times New Roman"/>
        </w:rPr>
        <w:t>200</w:t>
      </w:r>
      <w:r w:rsidR="00EB498B" w:rsidRPr="00970431">
        <w:rPr>
          <w:rFonts w:eastAsia="Times New Roman"/>
        </w:rPr>
        <w:t xml:space="preserve">0 </w:t>
      </w:r>
      <w:r w:rsidR="00E8126F" w:rsidRPr="00970431">
        <w:rPr>
          <w:rFonts w:eastAsia="Times New Roman"/>
        </w:rPr>
        <w:t>(</w:t>
      </w:r>
      <w:r w:rsidR="00E367B4" w:rsidRPr="00970431">
        <w:t>Pandey</w:t>
      </w:r>
      <w:r w:rsidR="00E367B4" w:rsidRPr="00970431">
        <w:rPr>
          <w:rFonts w:eastAsia="Times New Roman"/>
        </w:rPr>
        <w:t xml:space="preserve"> et al</w:t>
      </w:r>
      <w:r w:rsidR="00E8126F" w:rsidRPr="00970431">
        <w:rPr>
          <w:rFonts w:eastAsia="Times New Roman"/>
        </w:rPr>
        <w:t>.</w:t>
      </w:r>
      <w:r w:rsidR="00E367B4" w:rsidRPr="00970431">
        <w:rPr>
          <w:rFonts w:eastAsia="Times New Roman"/>
        </w:rPr>
        <w:t xml:space="preserve"> 2000)</w:t>
      </w:r>
      <w:r w:rsidR="00F86AB2" w:rsidRPr="00970431">
        <w:rPr>
          <w:rFonts w:eastAsia="Times New Roman"/>
        </w:rPr>
        <w:t xml:space="preserve">. </w:t>
      </w:r>
      <w:r w:rsidR="00291EE4" w:rsidRPr="00970431">
        <w:rPr>
          <w:rFonts w:eastAsia="Times New Roman"/>
        </w:rPr>
        <w:t xml:space="preserve"> </w:t>
      </w:r>
      <w:r w:rsidR="00291EE4" w:rsidRPr="002866E2">
        <w:rPr>
          <w:rFonts w:eastAsia="Times New Roman"/>
        </w:rPr>
        <w:t xml:space="preserve">However, each of these inputs </w:t>
      </w:r>
      <w:r w:rsidR="00F2418D" w:rsidRPr="002866E2">
        <w:rPr>
          <w:rFonts w:eastAsia="Times New Roman"/>
        </w:rPr>
        <w:t xml:space="preserve">used to estimate </w:t>
      </w:r>
      <w:r w:rsidR="00291EE4" w:rsidRPr="002866E2">
        <w:rPr>
          <w:rFonts w:eastAsia="Times New Roman"/>
        </w:rPr>
        <w:t>PM2.5 ha</w:t>
      </w:r>
      <w:r w:rsidR="00F2418D" w:rsidRPr="002866E2">
        <w:rPr>
          <w:rFonts w:eastAsia="Times New Roman"/>
        </w:rPr>
        <w:t>s</w:t>
      </w:r>
      <w:r w:rsidR="00291EE4" w:rsidRPr="002866E2">
        <w:rPr>
          <w:rFonts w:eastAsia="Times New Roman"/>
        </w:rPr>
        <w:t xml:space="preserve"> some </w:t>
      </w:r>
      <w:r w:rsidR="00C52C4F" w:rsidRPr="002866E2">
        <w:rPr>
          <w:rFonts w:eastAsia="Times New Roman"/>
        </w:rPr>
        <w:t>limitations</w:t>
      </w:r>
      <w:r w:rsidR="00291EE4" w:rsidRPr="002866E2">
        <w:rPr>
          <w:rFonts w:eastAsia="Times New Roman"/>
        </w:rPr>
        <w:t xml:space="preserve">. </w:t>
      </w:r>
      <w:r w:rsidR="00291EE4" w:rsidRPr="00F2418D">
        <w:rPr>
          <w:rFonts w:eastAsia="Times New Roman"/>
          <w:i/>
        </w:rPr>
        <w:t xml:space="preserve"> </w:t>
      </w:r>
    </w:p>
    <w:p w14:paraId="37B6E488" w14:textId="16E43A0E" w:rsidR="00C52C4F" w:rsidRPr="00F2418D" w:rsidRDefault="00FA2D9A" w:rsidP="0068710E">
      <w:pPr>
        <w:spacing w:after="0" w:line="480" w:lineRule="auto"/>
        <w:ind w:firstLine="720"/>
      </w:pPr>
      <w:r w:rsidRPr="00F2418D">
        <w:t>For example, satellite</w:t>
      </w:r>
      <w:r w:rsidR="00C52C4F" w:rsidRPr="00F2418D">
        <w:t xml:space="preserve"> observations are very limited during periods of significant cloudiness, </w:t>
      </w:r>
      <w:r w:rsidR="00A00D23">
        <w:t>such as during wintertime</w:t>
      </w:r>
      <w:r w:rsidR="00C52C4F" w:rsidRPr="00F2418D">
        <w:t xml:space="preserve"> and at nighttime (van </w:t>
      </w:r>
      <w:proofErr w:type="spellStart"/>
      <w:r w:rsidR="00C52C4F" w:rsidRPr="00F2418D">
        <w:t>Donkelaar</w:t>
      </w:r>
      <w:proofErr w:type="spellEnd"/>
      <w:r w:rsidR="00C52C4F" w:rsidRPr="00F2418D">
        <w:t xml:space="preserve"> et al. 2015). CTM </w:t>
      </w:r>
      <w:r w:rsidR="00152686">
        <w:t xml:space="preserve">depend on the availability and quality of the emissions inventories.  This may be particularly important in </w:t>
      </w:r>
      <w:r w:rsidR="009D41A0">
        <w:t>LMIC</w:t>
      </w:r>
      <w:r w:rsidR="00152686">
        <w:t xml:space="preserve"> </w:t>
      </w:r>
      <w:r w:rsidR="00511419">
        <w:t xml:space="preserve">with potential limited information but </w:t>
      </w:r>
      <w:r w:rsidR="00152686">
        <w:t xml:space="preserve">going through </w:t>
      </w:r>
      <w:r w:rsidR="00152686" w:rsidRPr="00F2418D">
        <w:t>a rapid economic transformation.</w:t>
      </w:r>
      <w:r w:rsidR="00C52C4F" w:rsidRPr="00F2418D">
        <w:t xml:space="preserve">  </w:t>
      </w:r>
      <w:r w:rsidR="00BD2E01" w:rsidRPr="00F2418D">
        <w:t xml:space="preserve">Finally, there are </w:t>
      </w:r>
      <w:r w:rsidR="00ED4767">
        <w:t xml:space="preserve">also </w:t>
      </w:r>
      <w:r w:rsidR="00BD2E01" w:rsidRPr="00F2418D">
        <w:t xml:space="preserve">issues with the existing network of </w:t>
      </w:r>
      <w:r w:rsidR="005D3401" w:rsidRPr="00F2418D">
        <w:t>ground-level</w:t>
      </w:r>
      <w:r w:rsidR="00BD2E01" w:rsidRPr="00F2418D">
        <w:t xml:space="preserve"> monitors.  There are many countries where there is no monitoring of PM2.5</w:t>
      </w:r>
      <w:r w:rsidR="00404375">
        <w:t>,</w:t>
      </w:r>
      <w:r w:rsidR="00BD2E01" w:rsidRPr="00F2418D">
        <w:t xml:space="preserve"> so the satellite and CTM estimates cannot be calibrated.  </w:t>
      </w:r>
      <w:r w:rsidRPr="00F2418D">
        <w:t>In addition, m</w:t>
      </w:r>
      <w:r w:rsidR="00BD2E01" w:rsidRPr="00F2418D">
        <w:t>easurement protocols and quality controls are not standardized around the world</w:t>
      </w:r>
      <w:r w:rsidR="00F121FF">
        <w:t xml:space="preserve">, as seen in the air quality data </w:t>
      </w:r>
      <w:r w:rsidR="004D3137">
        <w:t xml:space="preserve">regularly </w:t>
      </w:r>
      <w:r w:rsidR="00F121FF">
        <w:t xml:space="preserve">compiled by WHO </w:t>
      </w:r>
      <w:r w:rsidR="004D3137">
        <w:t xml:space="preserve">(WHO, 2016) </w:t>
      </w:r>
      <w:r w:rsidR="0068710E" w:rsidRPr="00F2418D">
        <w:t xml:space="preserve">Some of the general uncertainties created by these limitations are reduced through the combination of methods and the use of advanced statistical techniques that improve estimation accuracy and incorporate uncertainty.  However, the need for carefully calibrated </w:t>
      </w:r>
      <w:r w:rsidR="005D3401" w:rsidRPr="00F2418D">
        <w:t>ground-level</w:t>
      </w:r>
      <w:r w:rsidR="0068710E" w:rsidRPr="00F2418D">
        <w:t xml:space="preserve"> monitors with proper </w:t>
      </w:r>
      <w:r w:rsidR="00A424DB">
        <w:t xml:space="preserve">quality control </w:t>
      </w:r>
      <w:r w:rsidR="0068710E" w:rsidRPr="00F2418D">
        <w:t xml:space="preserve">is imperative for many </w:t>
      </w:r>
      <w:r w:rsidR="009D41A0">
        <w:t>LMIC</w:t>
      </w:r>
      <w:r w:rsidR="0068710E" w:rsidRPr="00F2418D">
        <w:t xml:space="preserve">.  </w:t>
      </w:r>
    </w:p>
    <w:p w14:paraId="6D494EF1" w14:textId="0B5579C1" w:rsidR="00223EF3" w:rsidRDefault="0068710E" w:rsidP="00223EF3">
      <w:pPr>
        <w:spacing w:after="0" w:line="480" w:lineRule="auto"/>
        <w:ind w:firstLine="720"/>
      </w:pPr>
      <w:r w:rsidRPr="00970431">
        <w:t>The second major enhancement is the improvement in developing the CRF</w:t>
      </w:r>
      <w:r w:rsidRPr="00970431">
        <w:rPr>
          <w:i/>
        </w:rPr>
        <w:t xml:space="preserve">.  </w:t>
      </w:r>
      <w:r w:rsidR="004D3137">
        <w:t xml:space="preserve">For GBD 2010, </w:t>
      </w:r>
      <w:r w:rsidR="003A4067">
        <w:rPr>
          <w:rFonts w:eastAsia="Times New Roman"/>
        </w:rPr>
        <w:t xml:space="preserve">IERs were developed that combine </w:t>
      </w:r>
      <w:r w:rsidR="003A4067" w:rsidRPr="00DB039B">
        <w:t xml:space="preserve">evidence from studies of ambient air pollution, second-hand smoke, household air pollution and active smoking to estimate air pollution </w:t>
      </w:r>
      <w:r w:rsidR="003A4067">
        <w:t xml:space="preserve">risks </w:t>
      </w:r>
      <w:r w:rsidR="003A4067" w:rsidRPr="00DB039B">
        <w:t xml:space="preserve">over the entire global range of </w:t>
      </w:r>
      <w:r w:rsidR="003A4067">
        <w:t>particulate matter exposure</w:t>
      </w:r>
      <w:r w:rsidR="003A4067" w:rsidRPr="00970431">
        <w:rPr>
          <w:i/>
        </w:rPr>
        <w:t xml:space="preserve"> </w:t>
      </w:r>
      <w:r w:rsidR="00734B0F" w:rsidRPr="00970431">
        <w:rPr>
          <w:rFonts w:eastAsia="Times New Roman"/>
        </w:rPr>
        <w:t>(Burnett et</w:t>
      </w:r>
      <w:r w:rsidR="001D1954" w:rsidRPr="00970431">
        <w:rPr>
          <w:rFonts w:eastAsia="Times New Roman"/>
        </w:rPr>
        <w:t xml:space="preserve"> al.</w:t>
      </w:r>
      <w:r w:rsidR="00734B0F" w:rsidRPr="00970431">
        <w:rPr>
          <w:rFonts w:eastAsia="Times New Roman"/>
        </w:rPr>
        <w:t>, 2014)</w:t>
      </w:r>
      <w:r w:rsidR="00F86AB2" w:rsidRPr="00970431">
        <w:rPr>
          <w:rFonts w:eastAsia="Times New Roman"/>
        </w:rPr>
        <w:t xml:space="preserve">.  </w:t>
      </w:r>
      <w:r w:rsidR="000676E9">
        <w:rPr>
          <w:rFonts w:eastAsia="Times New Roman"/>
        </w:rPr>
        <w:t xml:space="preserve">The </w:t>
      </w:r>
      <w:r w:rsidR="000676E9">
        <w:rPr>
          <w:rFonts w:eastAsia="Times New Roman"/>
        </w:rPr>
        <w:lastRenderedPageBreak/>
        <w:t xml:space="preserve">studies of second hand and active smoke are particularly important since their equivalent PM2.5 concentrations are much higher than those </w:t>
      </w:r>
      <w:r w:rsidR="00003CD4">
        <w:rPr>
          <w:rFonts w:eastAsia="Times New Roman"/>
        </w:rPr>
        <w:t xml:space="preserve">that were </w:t>
      </w:r>
      <w:r w:rsidR="000676E9">
        <w:rPr>
          <w:rFonts w:eastAsia="Times New Roman"/>
        </w:rPr>
        <w:t>associated with ambient air pollution</w:t>
      </w:r>
      <w:r w:rsidR="00003CD4">
        <w:rPr>
          <w:rFonts w:eastAsia="Times New Roman"/>
        </w:rPr>
        <w:t xml:space="preserve"> in cohort studies</w:t>
      </w:r>
      <w:r w:rsidR="000676E9">
        <w:rPr>
          <w:rFonts w:eastAsia="Times New Roman"/>
        </w:rPr>
        <w:t xml:space="preserve">.  Therefore, these studies play an important role in determining the shape of the IER at higher concentrations.  </w:t>
      </w:r>
      <w:r w:rsidR="00F86AB2" w:rsidRPr="00970431">
        <w:rPr>
          <w:rFonts w:eastAsia="Times New Roman"/>
        </w:rPr>
        <w:t xml:space="preserve">This </w:t>
      </w:r>
      <w:r w:rsidR="00734B0F" w:rsidRPr="00970431">
        <w:rPr>
          <w:rFonts w:eastAsia="Times New Roman"/>
        </w:rPr>
        <w:t xml:space="preserve">non-linear function </w:t>
      </w:r>
      <w:r w:rsidR="00F86AB2" w:rsidRPr="00970431">
        <w:rPr>
          <w:rFonts w:eastAsia="Times New Roman"/>
        </w:rPr>
        <w:t>was necessitated because the naïve assumption</w:t>
      </w:r>
      <w:r w:rsidR="00152686">
        <w:rPr>
          <w:rFonts w:eastAsia="Times New Roman"/>
        </w:rPr>
        <w:t xml:space="preserve"> </w:t>
      </w:r>
      <w:r w:rsidR="00F86AB2" w:rsidRPr="00970431">
        <w:rPr>
          <w:rFonts w:eastAsia="Times New Roman"/>
        </w:rPr>
        <w:t>of a linear CRF function up to highest observed concentrations would ultimately result in implausible and biologically inconsistent results</w:t>
      </w:r>
      <w:r w:rsidR="00D414A1">
        <w:rPr>
          <w:rFonts w:eastAsia="Times New Roman"/>
        </w:rPr>
        <w:t xml:space="preserve"> (Cohen et al, 2004, </w:t>
      </w:r>
      <w:proofErr w:type="spellStart"/>
      <w:r w:rsidR="00D414A1">
        <w:rPr>
          <w:rFonts w:eastAsia="Times New Roman"/>
        </w:rPr>
        <w:t>Ostro</w:t>
      </w:r>
      <w:proofErr w:type="spellEnd"/>
      <w:r w:rsidR="00D414A1">
        <w:rPr>
          <w:rFonts w:eastAsia="Times New Roman"/>
        </w:rPr>
        <w:t xml:space="preserve"> 2004)</w:t>
      </w:r>
      <w:r w:rsidR="00734B0F" w:rsidRPr="00970431">
        <w:rPr>
          <w:rFonts w:eastAsia="Times New Roman"/>
        </w:rPr>
        <w:t xml:space="preserve">.  In this approach risks of </w:t>
      </w:r>
      <w:r w:rsidR="00920BC2">
        <w:rPr>
          <w:rFonts w:eastAsia="Times New Roman"/>
        </w:rPr>
        <w:t>AAP</w:t>
      </w:r>
      <w:r w:rsidR="00734B0F" w:rsidRPr="00970431">
        <w:rPr>
          <w:rFonts w:eastAsia="Times New Roman"/>
        </w:rPr>
        <w:t xml:space="preserve"> on </w:t>
      </w:r>
      <w:r w:rsidR="00734B0F" w:rsidRPr="00970431">
        <w:t>mortality from ischemic heart disease</w:t>
      </w:r>
      <w:r w:rsidR="004B1011" w:rsidRPr="00970431">
        <w:t xml:space="preserve"> (IHD)</w:t>
      </w:r>
      <w:r w:rsidR="00734B0F" w:rsidRPr="00970431">
        <w:t xml:space="preserve">, stroke, chronic obstructive pulmonary disease </w:t>
      </w:r>
      <w:r w:rsidR="004B1011" w:rsidRPr="00970431">
        <w:t>(COPD)</w:t>
      </w:r>
      <w:r w:rsidR="003A4067">
        <w:t>,</w:t>
      </w:r>
      <w:r w:rsidR="004B1011" w:rsidRPr="00970431">
        <w:t xml:space="preserve"> </w:t>
      </w:r>
      <w:r w:rsidR="00734B0F" w:rsidRPr="00970431">
        <w:t xml:space="preserve">lung cancer </w:t>
      </w:r>
      <w:r w:rsidR="003A4067">
        <w:t xml:space="preserve">and </w:t>
      </w:r>
      <w:r w:rsidR="003A4067" w:rsidRPr="00970431">
        <w:t>lower respiratory infections (LRI)</w:t>
      </w:r>
      <w:r w:rsidR="003A4067">
        <w:t>,</w:t>
      </w:r>
      <w:r w:rsidR="003A4067" w:rsidRPr="00970431">
        <w:t xml:space="preserve"> </w:t>
      </w:r>
      <w:r w:rsidR="00734B0F" w:rsidRPr="00970431">
        <w:t>were estimated rather than the more aggregated categories of all-cause or total cardiovascular</w:t>
      </w:r>
      <w:r w:rsidR="00ED4767">
        <w:t xml:space="preserve"> or respiratory </w:t>
      </w:r>
      <w:r w:rsidR="00062FC5" w:rsidRPr="00970431">
        <w:t>mortality</w:t>
      </w:r>
      <w:r w:rsidR="003246FC" w:rsidRPr="00970431">
        <w:t xml:space="preserve"> </w:t>
      </w:r>
      <w:r w:rsidR="00734B0F" w:rsidRPr="00970431">
        <w:t xml:space="preserve">as in the past.  </w:t>
      </w:r>
      <w:r w:rsidR="00223EF3">
        <w:t xml:space="preserve">The studies selected for all four combustion sources of PM2.5 exposure were continuously updated (see </w:t>
      </w:r>
      <w:r w:rsidR="000676E9">
        <w:t>WHO (2017)</w:t>
      </w:r>
      <w:r w:rsidR="00973EA6">
        <w:t>, Table 4</w:t>
      </w:r>
      <w:r w:rsidR="00223EF3">
        <w:t xml:space="preserve">). </w:t>
      </w:r>
    </w:p>
    <w:p w14:paraId="38BD693C" w14:textId="5E3594DF" w:rsidR="003A4067" w:rsidRDefault="003A4067" w:rsidP="000422C1">
      <w:pPr>
        <w:spacing w:after="0" w:line="480" w:lineRule="auto"/>
        <w:ind w:firstLine="720"/>
      </w:pPr>
    </w:p>
    <w:p w14:paraId="7E6A11A4" w14:textId="4C5ADA01" w:rsidR="00F86AB2" w:rsidRPr="00930E6B" w:rsidRDefault="0082632D" w:rsidP="000422C1">
      <w:pPr>
        <w:spacing w:after="0" w:line="480" w:lineRule="auto"/>
        <w:ind w:firstLine="720"/>
      </w:pPr>
      <w:r w:rsidRPr="0082632D">
        <w:rPr>
          <w:rFonts w:eastAsia="Times New Roman"/>
        </w:rPr>
        <w:t>There</w:t>
      </w:r>
      <w:r w:rsidRPr="00970431">
        <w:rPr>
          <w:rFonts w:eastAsia="Times New Roman"/>
        </w:rPr>
        <w:t xml:space="preserve"> are two critical assumptions about th</w:t>
      </w:r>
      <w:r w:rsidR="00001EE6">
        <w:rPr>
          <w:rFonts w:eastAsia="Times New Roman"/>
        </w:rPr>
        <w:t>ese</w:t>
      </w:r>
      <w:r w:rsidRPr="00970431">
        <w:rPr>
          <w:rFonts w:eastAsia="Times New Roman"/>
        </w:rPr>
        <w:t xml:space="preserve"> IER</w:t>
      </w:r>
      <w:r w:rsidR="00001EE6">
        <w:rPr>
          <w:rFonts w:eastAsia="Times New Roman"/>
        </w:rPr>
        <w:t>s</w:t>
      </w:r>
      <w:r w:rsidRPr="00970431">
        <w:rPr>
          <w:rFonts w:eastAsia="Times New Roman"/>
        </w:rPr>
        <w:t xml:space="preserve">: first that </w:t>
      </w:r>
      <w:r w:rsidRPr="00970431">
        <w:t>PM2</w:t>
      </w:r>
      <w:r w:rsidR="00511419">
        <w:t>.</w:t>
      </w:r>
      <w:r w:rsidRPr="00970431">
        <w:t xml:space="preserve">5 is an appropriate indicator of the risk associated with a mixture of pollutants from these </w:t>
      </w:r>
      <w:r w:rsidR="00ED4767">
        <w:t>four</w:t>
      </w:r>
      <w:r w:rsidRPr="00970431">
        <w:t xml:space="preserve"> sources; and second, that</w:t>
      </w:r>
      <w:r w:rsidR="00C643EF">
        <w:t xml:space="preserve"> the health effects of</w:t>
      </w:r>
      <w:r w:rsidRPr="00970431">
        <w:t xml:space="preserve"> PM2.5 measured in studies primarily in the western industrialized countries can be extrapolated to </w:t>
      </w:r>
      <w:r w:rsidR="00C643EF">
        <w:t xml:space="preserve">the effects of </w:t>
      </w:r>
      <w:r w:rsidRPr="00970431">
        <w:t xml:space="preserve">the mixture of PM2.5 constituents found in other parts of the world. </w:t>
      </w:r>
      <w:r w:rsidR="00930E6B">
        <w:t xml:space="preserve"> The shape of the IER can have a significant impact on the ultimate mortality estimates (</w:t>
      </w:r>
      <w:r w:rsidR="00930E6B" w:rsidRPr="00930E6B">
        <w:t xml:space="preserve">see below and for example for India, Chowdhury and </w:t>
      </w:r>
      <w:proofErr w:type="spellStart"/>
      <w:r w:rsidR="00930E6B" w:rsidRPr="00930E6B">
        <w:t>Dey</w:t>
      </w:r>
      <w:proofErr w:type="spellEnd"/>
      <w:r w:rsidR="00930E6B" w:rsidRPr="00930E6B">
        <w:t xml:space="preserve">, 2016) </w:t>
      </w:r>
    </w:p>
    <w:p w14:paraId="4633B16C" w14:textId="77777777" w:rsidR="00C95743" w:rsidRPr="00970431" w:rsidRDefault="00C95743" w:rsidP="000422C1">
      <w:pPr>
        <w:spacing w:after="0" w:line="480" w:lineRule="auto"/>
        <w:ind w:firstLine="720"/>
      </w:pPr>
    </w:p>
    <w:p w14:paraId="482A44FD" w14:textId="214055B6" w:rsidR="00C95743" w:rsidRPr="00970431" w:rsidRDefault="00C95743" w:rsidP="00707F6A">
      <w:pPr>
        <w:spacing w:after="0" w:line="480" w:lineRule="auto"/>
      </w:pPr>
      <w:r w:rsidRPr="00970431">
        <w:rPr>
          <w:b/>
        </w:rPr>
        <w:t>I</w:t>
      </w:r>
      <w:r w:rsidR="00C626C9">
        <w:rPr>
          <w:b/>
        </w:rPr>
        <w:t>II</w:t>
      </w:r>
      <w:r w:rsidRPr="00970431">
        <w:rPr>
          <w:b/>
        </w:rPr>
        <w:t xml:space="preserve">. </w:t>
      </w:r>
      <w:r w:rsidR="00F31CD3">
        <w:rPr>
          <w:b/>
        </w:rPr>
        <w:t>Inputs</w:t>
      </w:r>
      <w:r w:rsidR="00F31CD3" w:rsidRPr="00970431">
        <w:rPr>
          <w:b/>
        </w:rPr>
        <w:t xml:space="preserve"> </w:t>
      </w:r>
      <w:r w:rsidRPr="00970431">
        <w:rPr>
          <w:b/>
        </w:rPr>
        <w:t>and Results for</w:t>
      </w:r>
      <w:r w:rsidRPr="00970431">
        <w:t xml:space="preserve"> </w:t>
      </w:r>
      <w:r w:rsidRPr="00970431">
        <w:rPr>
          <w:rFonts w:eastAsia="Times New Roman"/>
          <w:b/>
        </w:rPr>
        <w:t>GBD for 2010, 2013 and 2015</w:t>
      </w:r>
    </w:p>
    <w:p w14:paraId="08E2682A" w14:textId="546A30DA" w:rsidR="00890372" w:rsidRDefault="00257630" w:rsidP="0073430D">
      <w:pPr>
        <w:spacing w:after="0" w:line="480" w:lineRule="auto"/>
        <w:ind w:firstLine="720"/>
      </w:pPr>
      <w:r w:rsidRPr="00F240FC">
        <w:t xml:space="preserve">Below </w:t>
      </w:r>
      <w:r w:rsidR="002B0CE7">
        <w:t xml:space="preserve">and in Table 1 </w:t>
      </w:r>
      <w:r w:rsidRPr="00F240FC">
        <w:t xml:space="preserve">we have attempted to specify the assumptions for each of the inputs for the GBD estimates from 2010, 2013 and 2015.  It is important to acknowledge that the </w:t>
      </w:r>
      <w:r>
        <w:t xml:space="preserve">documentation of the </w:t>
      </w:r>
      <w:r w:rsidRPr="00F240FC">
        <w:t>inputs, methodology</w:t>
      </w:r>
      <w:r w:rsidR="00690069">
        <w:t>,</w:t>
      </w:r>
      <w:r w:rsidRPr="00F240FC">
        <w:t xml:space="preserve"> and data for the</w:t>
      </w:r>
      <w:r>
        <w:t xml:space="preserve"> earlier</w:t>
      </w:r>
      <w:r w:rsidRPr="00F240FC">
        <w:t xml:space="preserve"> GBD estimates </w:t>
      </w:r>
      <w:r>
        <w:t xml:space="preserve">were </w:t>
      </w:r>
      <w:r w:rsidRPr="00F240FC">
        <w:lastRenderedPageBreak/>
        <w:t xml:space="preserve">sometimes difficult to </w:t>
      </w:r>
      <w:r>
        <w:t xml:space="preserve">locate. </w:t>
      </w:r>
      <w:r w:rsidRPr="00F240FC">
        <w:t xml:space="preserve">  </w:t>
      </w:r>
      <w:r w:rsidR="00890372" w:rsidRPr="00167208">
        <w:t xml:space="preserve">This </w:t>
      </w:r>
      <w:r w:rsidR="00890372" w:rsidRPr="00890372">
        <w:t xml:space="preserve">reflects both the </w:t>
      </w:r>
      <w:proofErr w:type="gramStart"/>
      <w:r w:rsidR="00890372" w:rsidRPr="00890372">
        <w:t>significant</w:t>
      </w:r>
      <w:r w:rsidR="0030284C">
        <w:t>,</w:t>
      </w:r>
      <w:proofErr w:type="gramEnd"/>
      <w:r w:rsidR="00890372" w:rsidRPr="00890372">
        <w:t xml:space="preserve"> and varied data and efforts by GBD contributors that </w:t>
      </w:r>
      <w:r w:rsidR="00DE3B30">
        <w:t>were</w:t>
      </w:r>
      <w:r w:rsidR="00DE3B30" w:rsidRPr="00890372">
        <w:t xml:space="preserve"> </w:t>
      </w:r>
      <w:r w:rsidR="00890372" w:rsidRPr="00890372">
        <w:t xml:space="preserve">necessary to develop these very complex GBD estimates for </w:t>
      </w:r>
      <w:r w:rsidR="0030284C">
        <w:t>ambient</w:t>
      </w:r>
      <w:r w:rsidR="0030284C" w:rsidRPr="00890372">
        <w:t xml:space="preserve"> </w:t>
      </w:r>
      <w:r w:rsidR="00890372" w:rsidRPr="00890372">
        <w:t xml:space="preserve">pollution. </w:t>
      </w:r>
      <w:r w:rsidRPr="00890372">
        <w:t>Table 1 summari</w:t>
      </w:r>
      <w:r>
        <w:t>zes the main inputs in the GBD estimates.</w:t>
      </w:r>
    </w:p>
    <w:p w14:paraId="18AE60A0" w14:textId="77777777" w:rsidR="00DE3B30" w:rsidRDefault="00DE3B30" w:rsidP="0073430D">
      <w:pPr>
        <w:spacing w:after="0" w:line="480" w:lineRule="auto"/>
        <w:ind w:firstLine="720"/>
      </w:pPr>
    </w:p>
    <w:p w14:paraId="37F153BE" w14:textId="78933A67" w:rsidR="003D58EE" w:rsidRPr="000823CC" w:rsidRDefault="00F97D0C" w:rsidP="0073430D">
      <w:pPr>
        <w:spacing w:after="0" w:line="480" w:lineRule="auto"/>
        <w:rPr>
          <w:b/>
        </w:rPr>
      </w:pPr>
      <w:r w:rsidRPr="00CC63D8">
        <w:rPr>
          <w:b/>
        </w:rPr>
        <w:t>I</w:t>
      </w:r>
      <w:r w:rsidR="00C626C9">
        <w:rPr>
          <w:b/>
        </w:rPr>
        <w:t>II.1</w:t>
      </w:r>
      <w:r w:rsidR="00734B0F" w:rsidRPr="00CC63D8">
        <w:rPr>
          <w:b/>
        </w:rPr>
        <w:t xml:space="preserve"> </w:t>
      </w:r>
      <w:r w:rsidR="002B17F5" w:rsidRPr="00CC63D8">
        <w:rPr>
          <w:b/>
        </w:rPr>
        <w:t>GBD 2010</w:t>
      </w:r>
      <w:r w:rsidR="000823CC" w:rsidRPr="00CC63D8">
        <w:rPr>
          <w:b/>
        </w:rPr>
        <w:t xml:space="preserve"> </w:t>
      </w:r>
    </w:p>
    <w:p w14:paraId="40266914" w14:textId="3C1EE9AC" w:rsidR="001134B3" w:rsidRDefault="007A0393" w:rsidP="00E92D5B">
      <w:pPr>
        <w:autoSpaceDE w:val="0"/>
        <w:autoSpaceDN w:val="0"/>
        <w:adjustRightInd w:val="0"/>
        <w:spacing w:after="0" w:line="480" w:lineRule="auto"/>
      </w:pPr>
      <w:r w:rsidRPr="00E00E6F">
        <w:t xml:space="preserve">Exposure estimates for GBD2010 </w:t>
      </w:r>
      <w:r w:rsidR="0026330E" w:rsidRPr="00E00E6F">
        <w:t>as</w:t>
      </w:r>
      <w:r w:rsidRPr="00E00E6F">
        <w:t xml:space="preserve"> described in </w:t>
      </w:r>
      <w:proofErr w:type="spellStart"/>
      <w:r w:rsidRPr="00E00E6F">
        <w:t>Brauer</w:t>
      </w:r>
      <w:proofErr w:type="spellEnd"/>
      <w:r w:rsidRPr="00E00E6F">
        <w:t xml:space="preserve"> et al (2012) used </w:t>
      </w:r>
      <w:r w:rsidR="0030284C">
        <w:t xml:space="preserve">2005 </w:t>
      </w:r>
      <w:r w:rsidRPr="00E00E6F">
        <w:t>data from remote sensing satellites</w:t>
      </w:r>
      <w:r w:rsidR="00E00E6F" w:rsidRPr="00E00E6F">
        <w:t xml:space="preserve"> and the</w:t>
      </w:r>
      <w:r w:rsidRPr="00E00E6F">
        <w:t xml:space="preserve"> </w:t>
      </w:r>
      <w:r w:rsidR="004B1011" w:rsidRPr="00E00E6F">
        <w:t>CTM</w:t>
      </w:r>
      <w:r w:rsidRPr="00E00E6F">
        <w:t xml:space="preserve"> </w:t>
      </w:r>
      <w:r w:rsidR="00E00E6F" w:rsidRPr="00851C27">
        <w:t>TM5 which is a nested 3-dimensional global atmospheric chemistry transport model, which simulates aerosol components at 1° × 1° resolution</w:t>
      </w:r>
      <w:r w:rsidR="009A19B9">
        <w:t xml:space="preserve"> </w:t>
      </w:r>
      <w:r w:rsidR="00E00E6F" w:rsidRPr="00851C27">
        <w:t>(approximately 1</w:t>
      </w:r>
      <w:r w:rsidR="00207B58">
        <w:t>1</w:t>
      </w:r>
      <w:r w:rsidR="00E00E6F" w:rsidRPr="00851C27">
        <w:t xml:space="preserve"> km at the equator).  </w:t>
      </w:r>
      <w:r w:rsidR="00E92D5B">
        <w:t xml:space="preserve">Two different NASA satellite instruments (MODIS and MISR) were used to obtain Aerosol Optical Depth (AOD), a measure of </w:t>
      </w:r>
      <w:r w:rsidR="000F5BFB">
        <w:t xml:space="preserve">light extinction by aerosols in a column </w:t>
      </w:r>
      <w:r w:rsidR="000F5BFB" w:rsidRPr="0054798B">
        <w:t>near earth</w:t>
      </w:r>
      <w:r w:rsidR="00CC58B7">
        <w:t xml:space="preserve"> which </w:t>
      </w:r>
      <w:r w:rsidR="000F5BFB">
        <w:t>has been shown to be fairly highly correlated with PM2.5</w:t>
      </w:r>
      <w:r w:rsidR="00762EEE">
        <w:t>.</w:t>
      </w:r>
      <w:r w:rsidR="001134B3">
        <w:t xml:space="preserve">  The CTM was also</w:t>
      </w:r>
      <w:r w:rsidR="000F5BFB">
        <w:t xml:space="preserve"> used </w:t>
      </w:r>
      <w:r w:rsidR="001134B3">
        <w:t>to simulate the AOD over a wide</w:t>
      </w:r>
      <w:r w:rsidR="000F5BFB">
        <w:t xml:space="preserve"> spatial range.  </w:t>
      </w:r>
      <w:r w:rsidR="001134B3">
        <w:t xml:space="preserve">Available data indicated fairly similar results from satellites and the CTM so the authors chose to use an average of the two in each grid.  </w:t>
      </w:r>
    </w:p>
    <w:p w14:paraId="1C9A01EE" w14:textId="330A2F0F" w:rsidR="000F5BFB" w:rsidRDefault="000F5BFB" w:rsidP="00707F6A">
      <w:pPr>
        <w:autoSpaceDE w:val="0"/>
        <w:autoSpaceDN w:val="0"/>
        <w:adjustRightInd w:val="0"/>
        <w:spacing w:after="0" w:line="480" w:lineRule="auto"/>
        <w:ind w:firstLine="720"/>
      </w:pPr>
      <w:r>
        <w:t xml:space="preserve">Ultimately a </w:t>
      </w:r>
      <w:r w:rsidR="001134B3">
        <w:t xml:space="preserve">regression </w:t>
      </w:r>
      <w:r>
        <w:t xml:space="preserve">model </w:t>
      </w:r>
      <w:r w:rsidR="001134B3">
        <w:t>was</w:t>
      </w:r>
      <w:r>
        <w:t xml:space="preserve"> </w:t>
      </w:r>
      <w:r w:rsidR="001134B3">
        <w:t>estimated</w:t>
      </w:r>
      <w:r>
        <w:t xml:space="preserve"> to </w:t>
      </w:r>
      <w:r w:rsidR="001134B3">
        <w:t>determine a quantitative relationship between</w:t>
      </w:r>
      <w:r>
        <w:t xml:space="preserve"> spatially</w:t>
      </w:r>
      <w:r w:rsidR="009233B0">
        <w:t>-</w:t>
      </w:r>
      <w:r>
        <w:t>reso</w:t>
      </w:r>
      <w:r w:rsidR="001134B3">
        <w:t>lved AOD and</w:t>
      </w:r>
      <w:r>
        <w:t xml:space="preserve"> ground-level measurements of PM2.5 from monitors. </w:t>
      </w:r>
      <w:r w:rsidR="001134B3">
        <w:t xml:space="preserve"> This empirical model was then applied to all of the global grids.</w:t>
      </w:r>
      <w:r>
        <w:t xml:space="preserve"> </w:t>
      </w:r>
      <w:r w:rsidR="007A0393" w:rsidRPr="00E00E6F">
        <w:t>The</w:t>
      </w:r>
      <w:r w:rsidR="00C53396">
        <w:t xml:space="preserve"> 2010</w:t>
      </w:r>
      <w:r w:rsidR="007A0393" w:rsidRPr="00E00E6F">
        <w:t xml:space="preserve"> analysis </w:t>
      </w:r>
      <w:r w:rsidR="00C53396">
        <w:t>showed</w:t>
      </w:r>
      <w:r w:rsidR="00C53396" w:rsidRPr="00E00E6F">
        <w:t xml:space="preserve"> </w:t>
      </w:r>
      <w:r w:rsidR="007A0393" w:rsidRPr="00E00E6F">
        <w:t xml:space="preserve">that the addition of CTM and satellite data </w:t>
      </w:r>
      <w:r w:rsidR="008F4B9D">
        <w:t>increased</w:t>
      </w:r>
      <w:r w:rsidR="008F4B9D" w:rsidRPr="00E00E6F">
        <w:t xml:space="preserve"> </w:t>
      </w:r>
      <w:r w:rsidR="007A0393" w:rsidRPr="00E00E6F">
        <w:t>the accuracy of the estimates of exposure</w:t>
      </w:r>
      <w:r w:rsidR="00E00E6F">
        <w:t xml:space="preserve"> over methods used in the GBD 2000 </w:t>
      </w:r>
      <w:r w:rsidR="00C53396">
        <w:t>(</w:t>
      </w:r>
      <w:r w:rsidR="00E00E6F">
        <w:t>Pandey et al., 2000</w:t>
      </w:r>
      <w:r w:rsidR="00C626C9">
        <w:t>)</w:t>
      </w:r>
      <w:r w:rsidR="007A0393" w:rsidRPr="00E00E6F">
        <w:t xml:space="preserve">.  </w:t>
      </w:r>
      <w:r w:rsidR="004A24CD">
        <w:t xml:space="preserve">The concentrations were merged with population for each grid.  </w:t>
      </w:r>
    </w:p>
    <w:p w14:paraId="6C415C3A" w14:textId="03BC482D" w:rsidR="00515CE1" w:rsidRDefault="00CD3728" w:rsidP="00BA63B4">
      <w:pPr>
        <w:spacing w:after="0" w:line="480" w:lineRule="auto"/>
      </w:pPr>
      <w:r>
        <w:tab/>
      </w:r>
      <w:r w:rsidR="00CF2FC6" w:rsidRPr="003246FC">
        <w:t xml:space="preserve">As indicated above, the CRF was developed using an approach that </w:t>
      </w:r>
      <w:r w:rsidR="004A24CD">
        <w:t>combined</w:t>
      </w:r>
      <w:r w:rsidR="004A24CD" w:rsidRPr="003246FC">
        <w:t xml:space="preserve"> </w:t>
      </w:r>
      <w:r w:rsidR="00CF2FC6" w:rsidRPr="003246FC">
        <w:t xml:space="preserve">the risks </w:t>
      </w:r>
      <w:r w:rsidR="00CF2FC6" w:rsidRPr="00970431">
        <w:rPr>
          <w:rFonts w:eastAsia="Times New Roman"/>
        </w:rPr>
        <w:t xml:space="preserve">derived from studies of air pollution, second hand smoke and active smoking </w:t>
      </w:r>
      <w:r w:rsidR="004A24CD">
        <w:rPr>
          <w:rFonts w:eastAsia="Times New Roman"/>
        </w:rPr>
        <w:t xml:space="preserve">into one joint integrated function </w:t>
      </w:r>
      <w:r w:rsidR="00CF2FC6" w:rsidRPr="00970431">
        <w:rPr>
          <w:rFonts w:eastAsia="Times New Roman"/>
        </w:rPr>
        <w:t xml:space="preserve">(Burnett et al., 2014).  </w:t>
      </w:r>
      <w:r w:rsidR="004A24CD">
        <w:t>E</w:t>
      </w:r>
      <w:r w:rsidR="00690E02" w:rsidRPr="00690E02">
        <w:t xml:space="preserve">ight </w:t>
      </w:r>
      <w:r w:rsidR="00511D79" w:rsidRPr="00690E02">
        <w:t>cohort</w:t>
      </w:r>
      <w:r w:rsidR="00794C9C" w:rsidRPr="00690E02">
        <w:t xml:space="preserve"> studies</w:t>
      </w:r>
      <w:r w:rsidR="00511D79" w:rsidRPr="00690E02">
        <w:t xml:space="preserve"> examining long-term exposure to PM2.5 and mortality were </w:t>
      </w:r>
      <w:r w:rsidR="00690E02" w:rsidRPr="00690E02">
        <w:t xml:space="preserve">included </w:t>
      </w:r>
      <w:r w:rsidR="00794C9C" w:rsidRPr="00690E02">
        <w:t>to</w:t>
      </w:r>
      <w:r w:rsidR="00511D79" w:rsidRPr="00690E02">
        <w:t xml:space="preserve"> estimate</w:t>
      </w:r>
      <w:r w:rsidR="00794C9C" w:rsidRPr="00690E02">
        <w:t xml:space="preserve"> the risks for IHD, stroke, COPD and lung cancer</w:t>
      </w:r>
      <w:r w:rsidR="00511D79" w:rsidRPr="00690E02">
        <w:t xml:space="preserve">: </w:t>
      </w:r>
      <w:proofErr w:type="spellStart"/>
      <w:r w:rsidR="00511D79" w:rsidRPr="00690E02">
        <w:t>Krewski</w:t>
      </w:r>
      <w:proofErr w:type="spellEnd"/>
      <w:r w:rsidR="00511D79" w:rsidRPr="00690E02">
        <w:t xml:space="preserve"> et al (</w:t>
      </w:r>
      <w:r w:rsidR="00BB5137">
        <w:t xml:space="preserve"> 2009</w:t>
      </w:r>
      <w:r w:rsidR="00511D79" w:rsidRPr="00690E02">
        <w:t xml:space="preserve">), Laden et al. </w:t>
      </w:r>
      <w:r w:rsidR="00511D79" w:rsidRPr="005D09ED">
        <w:t>(20</w:t>
      </w:r>
      <w:r w:rsidR="00690E02" w:rsidRPr="005D09ED">
        <w:t>06</w:t>
      </w:r>
      <w:r w:rsidR="00511D79" w:rsidRPr="005D09ED">
        <w:t xml:space="preserve">), Lipsett et al. </w:t>
      </w:r>
      <w:r w:rsidR="00794C9C" w:rsidRPr="005D09ED">
        <w:t>(</w:t>
      </w:r>
      <w:r w:rsidR="00511D79" w:rsidRPr="005D09ED">
        <w:t>2011</w:t>
      </w:r>
      <w:r w:rsidR="00794C9C" w:rsidRPr="005D09ED">
        <w:t>)</w:t>
      </w:r>
      <w:r w:rsidR="006A0A13">
        <w:t>,</w:t>
      </w:r>
      <w:r w:rsidR="00511D79" w:rsidRPr="005D09ED">
        <w:t xml:space="preserve"> Abbey et al. </w:t>
      </w:r>
      <w:r w:rsidR="00511D79" w:rsidRPr="005D09ED">
        <w:lastRenderedPageBreak/>
        <w:t xml:space="preserve">(1999), Chen et al. (2005), </w:t>
      </w:r>
      <w:proofErr w:type="spellStart"/>
      <w:r w:rsidR="00511D79" w:rsidRPr="005D09ED">
        <w:t>Beelen</w:t>
      </w:r>
      <w:proofErr w:type="spellEnd"/>
      <w:r w:rsidR="00511D79" w:rsidRPr="005D09ED">
        <w:t xml:space="preserve"> et al. </w:t>
      </w:r>
      <w:r w:rsidR="00511D79" w:rsidRPr="00690E02">
        <w:t xml:space="preserve">(2008), </w:t>
      </w:r>
      <w:proofErr w:type="spellStart"/>
      <w:r w:rsidR="00511D79" w:rsidRPr="00690E02">
        <w:t>Puett</w:t>
      </w:r>
      <w:proofErr w:type="spellEnd"/>
      <w:r w:rsidR="00511D79" w:rsidRPr="00690E02">
        <w:t xml:space="preserve"> et al. (2008)</w:t>
      </w:r>
      <w:r w:rsidR="006A0A13">
        <w:t>,</w:t>
      </w:r>
      <w:r w:rsidR="00511D79" w:rsidRPr="00690E02">
        <w:t xml:space="preserve"> and Miller et al. (2007).</w:t>
      </w:r>
      <w:r w:rsidR="00511D79">
        <w:t xml:space="preserve">  </w:t>
      </w:r>
      <w:r w:rsidR="00061F84">
        <w:t xml:space="preserve">This equation was estimated by assuming a power function and then using non-linear least squares to fit </w:t>
      </w:r>
      <w:r w:rsidR="00657FFD">
        <w:t>the model across</w:t>
      </w:r>
      <w:r w:rsidR="00061F84">
        <w:t xml:space="preserve"> the full range of exposure </w:t>
      </w:r>
      <w:r w:rsidR="00307F80">
        <w:t>from</w:t>
      </w:r>
      <w:r w:rsidR="00061F84">
        <w:t xml:space="preserve"> the different sources of PM2.5.</w:t>
      </w:r>
      <w:r w:rsidR="00BA63B4">
        <w:t xml:space="preserve"> </w:t>
      </w:r>
      <w:r w:rsidR="003A557D">
        <w:t xml:space="preserve">The risk from each data point from the studies was weighted by its uncertainty in the estimation process. </w:t>
      </w:r>
      <w:r w:rsidR="003A1BB1" w:rsidRPr="003246FC">
        <w:t xml:space="preserve"> </w:t>
      </w:r>
      <w:r w:rsidR="00794C9C">
        <w:t>Three additional studies were used to estimate</w:t>
      </w:r>
      <w:r w:rsidR="00307F80">
        <w:t xml:space="preserve"> LRI for those under age 5.  </w:t>
      </w:r>
      <w:r w:rsidR="00690E02">
        <w:t xml:space="preserve">There were many studies of second hand smoke that contributed to the shape of the function including 8 for IHD, 10 for stroke, 43 for lung cancer, and 23 for LRI.  </w:t>
      </w:r>
    </w:p>
    <w:p w14:paraId="227C10C3" w14:textId="0B4A5A0D" w:rsidR="00FD2B6B" w:rsidRDefault="003F0084" w:rsidP="00C1544B">
      <w:pPr>
        <w:spacing w:after="0" w:line="480" w:lineRule="auto"/>
        <w:ind w:firstLine="720"/>
      </w:pPr>
      <w:r w:rsidRPr="003246FC">
        <w:t xml:space="preserve">Ultimately, based on these inputs, the analysis </w:t>
      </w:r>
      <w:r w:rsidRPr="000E64C8">
        <w:t>indicated 3.2 million</w:t>
      </w:r>
      <w:r w:rsidRPr="003246FC">
        <w:t xml:space="preserve"> de</w:t>
      </w:r>
      <w:r w:rsidR="00364425" w:rsidRPr="003246FC">
        <w:t>aths per year worldwide from PM2.5</w:t>
      </w:r>
      <w:r w:rsidR="00EB708A">
        <w:t xml:space="preserve"> with an uncertainty interval (UI) of 2.8 to 3.6 million</w:t>
      </w:r>
      <w:r w:rsidR="00307F80">
        <w:t xml:space="preserve"> </w:t>
      </w:r>
      <w:r w:rsidR="00EB708A">
        <w:t xml:space="preserve">(Lim et al., 2012).  </w:t>
      </w:r>
      <w:r w:rsidR="00364425" w:rsidRPr="003246FC">
        <w:t>Ozone</w:t>
      </w:r>
      <w:r w:rsidR="000639A7">
        <w:t xml:space="preserve">, which was the only other </w:t>
      </w:r>
      <w:proofErr w:type="gramStart"/>
      <w:r w:rsidR="000639A7">
        <w:t>pollutant</w:t>
      </w:r>
      <w:proofErr w:type="gramEnd"/>
      <w:r w:rsidR="000639A7">
        <w:t xml:space="preserve"> added to the </w:t>
      </w:r>
      <w:r w:rsidR="00920BC2">
        <w:t>AAP</w:t>
      </w:r>
      <w:r w:rsidR="000639A7">
        <w:t xml:space="preserve"> estimates for GBD</w:t>
      </w:r>
      <w:r w:rsidR="00364425" w:rsidRPr="003246FC">
        <w:t xml:space="preserve"> </w:t>
      </w:r>
      <w:r w:rsidR="000639A7">
        <w:t>generated</w:t>
      </w:r>
      <w:r w:rsidR="000639A7" w:rsidRPr="003246FC">
        <w:t xml:space="preserve"> </w:t>
      </w:r>
      <w:r w:rsidR="00364425" w:rsidRPr="003246FC">
        <w:t xml:space="preserve">another 150,000 deaths.  </w:t>
      </w:r>
    </w:p>
    <w:p w14:paraId="3B622C1B" w14:textId="77777777" w:rsidR="00EA54C2" w:rsidRPr="00657FFD" w:rsidRDefault="00EA54C2" w:rsidP="0073430D">
      <w:pPr>
        <w:spacing w:after="0" w:line="480" w:lineRule="auto"/>
        <w:rPr>
          <w:rFonts w:eastAsia="Times New Roman"/>
          <w:b/>
        </w:rPr>
      </w:pPr>
    </w:p>
    <w:p w14:paraId="4042E039" w14:textId="692997E0" w:rsidR="003D58EE" w:rsidRDefault="00F97D0C" w:rsidP="0073430D">
      <w:pPr>
        <w:autoSpaceDE w:val="0"/>
        <w:autoSpaceDN w:val="0"/>
        <w:adjustRightInd w:val="0"/>
        <w:spacing w:after="0" w:line="480" w:lineRule="auto"/>
        <w:rPr>
          <w:b/>
        </w:rPr>
      </w:pPr>
      <w:r>
        <w:rPr>
          <w:b/>
        </w:rPr>
        <w:t>I</w:t>
      </w:r>
      <w:r w:rsidR="004A24CD">
        <w:rPr>
          <w:b/>
        </w:rPr>
        <w:t>II</w:t>
      </w:r>
      <w:r>
        <w:rPr>
          <w:b/>
        </w:rPr>
        <w:t>.</w:t>
      </w:r>
      <w:r w:rsidR="004C7707">
        <w:rPr>
          <w:b/>
        </w:rPr>
        <w:t>2</w:t>
      </w:r>
      <w:r w:rsidR="00734B0F" w:rsidRPr="00657FFD">
        <w:rPr>
          <w:b/>
        </w:rPr>
        <w:t xml:space="preserve">. GBD 2013 </w:t>
      </w:r>
    </w:p>
    <w:p w14:paraId="60A0D16F" w14:textId="790DEF00" w:rsidR="00295A5B" w:rsidRDefault="004C7707" w:rsidP="00181BD3">
      <w:pPr>
        <w:autoSpaceDE w:val="0"/>
        <w:autoSpaceDN w:val="0"/>
        <w:adjustRightInd w:val="0"/>
        <w:spacing w:after="0" w:line="480" w:lineRule="auto"/>
      </w:pPr>
      <w:r>
        <w:rPr>
          <w:b/>
        </w:rPr>
        <w:tab/>
      </w:r>
      <w:r w:rsidRPr="004C7707">
        <w:t xml:space="preserve">The data and methodology for 2013 were generally similar to those used in 2010. </w:t>
      </w:r>
      <w:r>
        <w:t xml:space="preserve"> However, there was an increase in the number of ground-level monitors used to develop estimates of global PM2.5</w:t>
      </w:r>
      <w:r w:rsidRPr="004C7707">
        <w:t xml:space="preserve"> </w:t>
      </w:r>
      <w:r w:rsidR="00F8560B">
        <w:t>incorporating data compiled by WH) in 2011(</w:t>
      </w:r>
      <w:r w:rsidR="00181BD3">
        <w:t>WHO</w:t>
      </w:r>
      <w:r w:rsidR="00F8560B">
        <w:t xml:space="preserve"> 2016, </w:t>
      </w:r>
      <w:proofErr w:type="spellStart"/>
      <w:r w:rsidR="00F8560B" w:rsidRPr="00604BE0">
        <w:t>Brauer</w:t>
      </w:r>
      <w:proofErr w:type="spellEnd"/>
      <w:r w:rsidR="00F8560B" w:rsidRPr="00604BE0">
        <w:t xml:space="preserve"> et al., 2016</w:t>
      </w:r>
      <w:r w:rsidR="00F8560B">
        <w:t>)</w:t>
      </w:r>
      <w:r w:rsidR="00D950F9" w:rsidRPr="00604BE0">
        <w:t xml:space="preserve"> </w:t>
      </w:r>
      <w:r w:rsidR="00F8560B">
        <w:t xml:space="preserve">A </w:t>
      </w:r>
      <w:r w:rsidR="00D950F9" w:rsidRPr="00604BE0">
        <w:t xml:space="preserve">new data series was created from </w:t>
      </w:r>
      <w:r w:rsidR="00604BE0" w:rsidRPr="00604BE0">
        <w:t xml:space="preserve">instruments on </w:t>
      </w:r>
      <w:r w:rsidR="00D950F9" w:rsidRPr="00604BE0">
        <w:t xml:space="preserve">three </w:t>
      </w:r>
      <w:r w:rsidR="00604BE0">
        <w:t xml:space="preserve">different </w:t>
      </w:r>
      <w:r w:rsidR="00604BE0" w:rsidRPr="00604BE0">
        <w:t>satellites (</w:t>
      </w:r>
      <w:r w:rsidR="00D950F9" w:rsidRPr="00604BE0">
        <w:rPr>
          <w:color w:val="000000"/>
        </w:rPr>
        <w:t>MODIS,</w:t>
      </w:r>
      <w:r w:rsidR="00D950F9" w:rsidRPr="00604BE0">
        <w:rPr>
          <w:color w:val="082EFF"/>
        </w:rPr>
        <w:t xml:space="preserve"> </w:t>
      </w:r>
      <w:r w:rsidR="00D950F9" w:rsidRPr="00604BE0">
        <w:rPr>
          <w:color w:val="000000"/>
        </w:rPr>
        <w:t>MISR</w:t>
      </w:r>
      <w:r w:rsidR="00C1544B">
        <w:rPr>
          <w:color w:val="000000"/>
        </w:rPr>
        <w:t xml:space="preserve"> </w:t>
      </w:r>
      <w:r w:rsidR="00D950F9" w:rsidRPr="00604BE0">
        <w:rPr>
          <w:color w:val="000000"/>
        </w:rPr>
        <w:t xml:space="preserve">and </w:t>
      </w:r>
      <w:proofErr w:type="spellStart"/>
      <w:r w:rsidR="00D950F9" w:rsidRPr="00604BE0">
        <w:rPr>
          <w:color w:val="000000"/>
        </w:rPr>
        <w:t>SeaWiFS</w:t>
      </w:r>
      <w:proofErr w:type="spellEnd"/>
      <w:r w:rsidR="00604BE0" w:rsidRPr="00604BE0">
        <w:rPr>
          <w:color w:val="000000"/>
        </w:rPr>
        <w:t xml:space="preserve">) along with an improved </w:t>
      </w:r>
      <w:r w:rsidR="00604BE0" w:rsidRPr="00604BE0">
        <w:t>estimation algorithm</w:t>
      </w:r>
      <w:r w:rsidR="005F4416">
        <w:t xml:space="preserve"> that incorporates uncertainty into the estimates</w:t>
      </w:r>
      <w:r w:rsidR="00604BE0" w:rsidRPr="00604BE0">
        <w:t xml:space="preserve">.  </w:t>
      </w:r>
      <w:r w:rsidR="0014283E">
        <w:t xml:space="preserve">Each of the satellites </w:t>
      </w:r>
      <w:r w:rsidR="0052433F">
        <w:t xml:space="preserve">and algorithms </w:t>
      </w:r>
      <w:r w:rsidR="0014283E">
        <w:t xml:space="preserve">has </w:t>
      </w:r>
      <w:r w:rsidR="0052433F">
        <w:t>a distinct advantage</w:t>
      </w:r>
      <w:r w:rsidR="00A00D23">
        <w:t>,</w:t>
      </w:r>
      <w:r w:rsidR="0052433F">
        <w:t xml:space="preserve"> such as collecting data at smaller grid size, better assessment over bright surfaces such as deserts or different geographic coverage (van </w:t>
      </w:r>
      <w:proofErr w:type="spellStart"/>
      <w:r w:rsidR="0052433F">
        <w:t>Donkelaar</w:t>
      </w:r>
      <w:proofErr w:type="spellEnd"/>
      <w:r w:rsidR="0052433F">
        <w:t xml:space="preserve"> et al., 2016).  </w:t>
      </w:r>
    </w:p>
    <w:p w14:paraId="148F6A4A" w14:textId="17132DD9" w:rsidR="00716CDC" w:rsidRPr="00716CDC" w:rsidRDefault="00192708" w:rsidP="00707F6A">
      <w:pPr>
        <w:autoSpaceDE w:val="0"/>
        <w:autoSpaceDN w:val="0"/>
        <w:adjustRightInd w:val="0"/>
        <w:spacing w:after="0" w:line="480" w:lineRule="auto"/>
        <w:ind w:firstLine="720"/>
      </w:pPr>
      <w:r>
        <w:t xml:space="preserve">Similar to GBD 2010, the AOD data from </w:t>
      </w:r>
      <w:r w:rsidR="00CC58B7">
        <w:t xml:space="preserve">the satellites were combined with </w:t>
      </w:r>
      <w:r>
        <w:t xml:space="preserve">the CTM </w:t>
      </w:r>
      <w:r w:rsidR="00CC58B7">
        <w:t xml:space="preserve">estimates </w:t>
      </w:r>
      <w:r>
        <w:t xml:space="preserve">and used in a regression model </w:t>
      </w:r>
      <w:r w:rsidR="00762EEE">
        <w:t xml:space="preserve">to </w:t>
      </w:r>
      <w:r w:rsidR="00CC58B7">
        <w:t xml:space="preserve">predict </w:t>
      </w:r>
      <w:r>
        <w:t xml:space="preserve">ground-level PM2.5 measurements </w:t>
      </w:r>
      <w:r w:rsidR="009C1A13">
        <w:t>(</w:t>
      </w:r>
      <w:proofErr w:type="spellStart"/>
      <w:r w:rsidR="009C1A13" w:rsidRPr="00716CDC">
        <w:t>Forouzanfar</w:t>
      </w:r>
      <w:proofErr w:type="spellEnd"/>
      <w:r w:rsidR="009C1A13">
        <w:t xml:space="preserve"> et al., 2015)</w:t>
      </w:r>
      <w:r w:rsidR="00F8560B">
        <w:t xml:space="preserve"> with additional covariates added as explanatory variables.</w:t>
      </w:r>
      <w:r w:rsidR="002557E0">
        <w:t xml:space="preserve">  Th</w:t>
      </w:r>
      <w:r w:rsidR="00F8560B">
        <w:t>e results of the</w:t>
      </w:r>
      <w:r w:rsidR="002557E0">
        <w:t xml:space="preserve"> </w:t>
      </w:r>
      <w:r w:rsidR="00EE107E">
        <w:t xml:space="preserve">linear </w:t>
      </w:r>
      <w:r w:rsidR="002557E0">
        <w:t xml:space="preserve">regression model </w:t>
      </w:r>
      <w:r w:rsidR="00F8560B">
        <w:t xml:space="preserve">were </w:t>
      </w:r>
      <w:r w:rsidR="002557E0">
        <w:t xml:space="preserve">then applied to all </w:t>
      </w:r>
      <w:r w:rsidR="00DA5A98">
        <w:t xml:space="preserve">global </w:t>
      </w:r>
      <w:r w:rsidR="002557E0">
        <w:t>grid cells.</w:t>
      </w:r>
      <w:r w:rsidR="00716CDC">
        <w:t xml:space="preserve"> </w:t>
      </w:r>
    </w:p>
    <w:p w14:paraId="5CED5FFD" w14:textId="77777777" w:rsidR="004A38A3" w:rsidRDefault="00AB687E" w:rsidP="009C1A13">
      <w:pPr>
        <w:autoSpaceDE w:val="0"/>
        <w:autoSpaceDN w:val="0"/>
        <w:adjustRightInd w:val="0"/>
        <w:spacing w:after="0" w:line="480" w:lineRule="auto"/>
        <w:ind w:firstLine="720"/>
      </w:pPr>
      <w:proofErr w:type="spellStart"/>
      <w:r w:rsidRPr="00E10CD5">
        <w:lastRenderedPageBreak/>
        <w:t>Brauer</w:t>
      </w:r>
      <w:proofErr w:type="spellEnd"/>
      <w:r w:rsidRPr="00E10CD5">
        <w:t xml:space="preserve"> et al., </w:t>
      </w:r>
      <w:r w:rsidR="00E10CD5">
        <w:t>(</w:t>
      </w:r>
      <w:r w:rsidRPr="00E10CD5">
        <w:t>2016</w:t>
      </w:r>
      <w:r w:rsidRPr="003246FC">
        <w:t xml:space="preserve">, supplement) </w:t>
      </w:r>
      <w:r w:rsidR="00E10CD5">
        <w:t>reported</w:t>
      </w:r>
      <w:r w:rsidRPr="003246FC">
        <w:t xml:space="preserve"> the fit between the </w:t>
      </w:r>
      <w:r w:rsidR="007069D6" w:rsidRPr="003246FC">
        <w:t>predicted</w:t>
      </w:r>
      <w:r w:rsidRPr="003246FC">
        <w:t xml:space="preserve"> concentrations and the a</w:t>
      </w:r>
      <w:r w:rsidR="009C1A13">
        <w:t xml:space="preserve">vailable </w:t>
      </w:r>
      <w:r w:rsidR="00354137">
        <w:t xml:space="preserve">PM concentrations from </w:t>
      </w:r>
      <w:r w:rsidR="005D3401">
        <w:t>ground-level</w:t>
      </w:r>
      <w:r w:rsidR="009C1A13">
        <w:t xml:space="preserve"> monitors.  </w:t>
      </w:r>
      <w:r w:rsidRPr="003246FC">
        <w:t xml:space="preserve">For </w:t>
      </w:r>
      <w:r w:rsidR="00432CA3">
        <w:t>four of the seven super regions</w:t>
      </w:r>
      <w:r w:rsidR="00354137">
        <w:t xml:space="preserve"> i.e.</w:t>
      </w:r>
      <w:r w:rsidR="00432CA3">
        <w:t>, high income countries,</w:t>
      </w:r>
      <w:r w:rsidR="00354137">
        <w:t xml:space="preserve"> North America, Latin America and the Caribbean, South Asia and South East Asia,</w:t>
      </w:r>
      <w:r w:rsidR="00432CA3">
        <w:t xml:space="preserve"> </w:t>
      </w:r>
      <w:r w:rsidRPr="003246FC">
        <w:t xml:space="preserve">the models performed reasonably well. </w:t>
      </w:r>
      <w:r w:rsidR="00ED076F">
        <w:t xml:space="preserve"> </w:t>
      </w:r>
      <w:r w:rsidRPr="003246FC">
        <w:t xml:space="preserve">However, the model under predicted concentrations for the </w:t>
      </w:r>
      <w:r w:rsidR="00354137">
        <w:t xml:space="preserve">following </w:t>
      </w:r>
      <w:r w:rsidRPr="003246FC">
        <w:t>super region</w:t>
      </w:r>
      <w:r w:rsidR="00354137">
        <w:t xml:space="preserve">s: </w:t>
      </w:r>
      <w:r w:rsidRPr="003246FC">
        <w:t xml:space="preserve"> North Africa</w:t>
      </w:r>
      <w:r w:rsidR="00354137">
        <w:t>;</w:t>
      </w:r>
      <w:r w:rsidR="00354137" w:rsidRPr="003246FC">
        <w:t xml:space="preserve"> </w:t>
      </w:r>
      <w:r w:rsidRPr="003246FC">
        <w:t>the Middle East</w:t>
      </w:r>
      <w:r w:rsidR="00354137">
        <w:t>;</w:t>
      </w:r>
      <w:r w:rsidR="00354137" w:rsidRPr="003246FC">
        <w:t xml:space="preserve"> </w:t>
      </w:r>
      <w:r w:rsidRPr="003246FC">
        <w:t>Central and Eastern Europe, Central Asia</w:t>
      </w:r>
      <w:r w:rsidR="00354137">
        <w:t>;</w:t>
      </w:r>
      <w:r w:rsidRPr="003246FC">
        <w:t xml:space="preserve"> and Sub-Saharan Africa.</w:t>
      </w:r>
      <w:r w:rsidR="00932564" w:rsidRPr="003246FC">
        <w:t xml:space="preserve">  </w:t>
      </w:r>
      <w:r w:rsidR="00717D48">
        <w:t xml:space="preserve">The reduced accuracy in these regions </w:t>
      </w:r>
      <w:r w:rsidR="00A00D23">
        <w:t>was</w:t>
      </w:r>
      <w:r w:rsidR="00717D48">
        <w:t xml:space="preserve"> very likely due to </w:t>
      </w:r>
      <w:r w:rsidR="00D679F2">
        <w:t xml:space="preserve">the prevalence of dust and </w:t>
      </w:r>
      <w:r w:rsidR="00717D48">
        <w:t>the lack of ground-level monitors</w:t>
      </w:r>
      <w:r w:rsidR="00662A3F">
        <w:t xml:space="preserve"> which are used to calibrate </w:t>
      </w:r>
      <w:r w:rsidR="00D679F2">
        <w:t>the satellite data</w:t>
      </w:r>
      <w:r w:rsidR="00EF7B20">
        <w:t xml:space="preserve">.  </w:t>
      </w:r>
    </w:p>
    <w:p w14:paraId="19885537" w14:textId="13C2068B" w:rsidR="00A27220" w:rsidRPr="003246FC" w:rsidRDefault="00CB1DDA" w:rsidP="00D679F2">
      <w:pPr>
        <w:spacing w:after="0" w:line="480" w:lineRule="auto"/>
        <w:ind w:firstLine="720"/>
      </w:pPr>
      <w:r>
        <w:t>T</w:t>
      </w:r>
      <w:r w:rsidRPr="003246FC">
        <w:t>he IER</w:t>
      </w:r>
      <w:r w:rsidR="00D679F2">
        <w:t>s</w:t>
      </w:r>
      <w:r w:rsidRPr="003246FC">
        <w:t xml:space="preserve"> for GBD 2013 w</w:t>
      </w:r>
      <w:r w:rsidR="00F05BB1">
        <w:t>ere</w:t>
      </w:r>
      <w:r w:rsidRPr="003246FC">
        <w:t xml:space="preserve"> conceptually similar to that of GBD 2010 but new risk models </w:t>
      </w:r>
      <w:r w:rsidRPr="00423DD5">
        <w:t xml:space="preserve">were developed using additional </w:t>
      </w:r>
      <w:r w:rsidR="00431D5A" w:rsidRPr="00423DD5">
        <w:t xml:space="preserve">studies of </w:t>
      </w:r>
      <w:r w:rsidRPr="00423DD5">
        <w:t xml:space="preserve">long-term exposure </w:t>
      </w:r>
      <w:r w:rsidR="00431D5A" w:rsidRPr="00423DD5">
        <w:t>and</w:t>
      </w:r>
      <w:r w:rsidRPr="00423DD5">
        <w:t xml:space="preserve"> mortality published after 2010.  </w:t>
      </w:r>
      <w:r w:rsidR="00BA63B4" w:rsidRPr="00423DD5">
        <w:t xml:space="preserve">In the IERs for the </w:t>
      </w:r>
      <w:r w:rsidR="00BA63B4" w:rsidRPr="00423DD5">
        <w:rPr>
          <w:rFonts w:eastAsia="Times New Roman"/>
        </w:rPr>
        <w:t xml:space="preserve">air pollution risks related to long-term exposure, </w:t>
      </w:r>
      <w:r w:rsidR="00431D5A" w:rsidRPr="00423DD5">
        <w:rPr>
          <w:rFonts w:eastAsia="Times New Roman"/>
        </w:rPr>
        <w:t>11</w:t>
      </w:r>
      <w:r w:rsidR="00BA63B4" w:rsidRPr="00423DD5">
        <w:rPr>
          <w:rFonts w:eastAsia="Times New Roman"/>
        </w:rPr>
        <w:t xml:space="preserve"> cohort studies were used for </w:t>
      </w:r>
      <w:r w:rsidR="00431D5A" w:rsidRPr="00423DD5">
        <w:rPr>
          <w:rFonts w:eastAsia="Times New Roman"/>
        </w:rPr>
        <w:t>IHD</w:t>
      </w:r>
      <w:r w:rsidR="00BA63B4" w:rsidRPr="00423DD5">
        <w:rPr>
          <w:rFonts w:eastAsia="Times New Roman"/>
        </w:rPr>
        <w:t xml:space="preserve"> mortality, </w:t>
      </w:r>
      <w:r w:rsidR="00431D5A" w:rsidRPr="00423DD5">
        <w:rPr>
          <w:rFonts w:eastAsia="Times New Roman"/>
        </w:rPr>
        <w:t xml:space="preserve">eight </w:t>
      </w:r>
      <w:r w:rsidR="00BA63B4" w:rsidRPr="00423DD5">
        <w:rPr>
          <w:rFonts w:eastAsia="Times New Roman"/>
        </w:rPr>
        <w:t xml:space="preserve">for stroke, </w:t>
      </w:r>
      <w:r w:rsidR="00431D5A" w:rsidRPr="00423DD5">
        <w:rPr>
          <w:rFonts w:eastAsia="Times New Roman"/>
        </w:rPr>
        <w:t xml:space="preserve">five </w:t>
      </w:r>
      <w:r w:rsidR="00BA63B4" w:rsidRPr="00423DD5">
        <w:rPr>
          <w:rFonts w:eastAsia="Times New Roman"/>
        </w:rPr>
        <w:t xml:space="preserve">for COPD and </w:t>
      </w:r>
      <w:r w:rsidR="00431D5A" w:rsidRPr="00423DD5">
        <w:rPr>
          <w:rFonts w:eastAsia="Times New Roman"/>
        </w:rPr>
        <w:t xml:space="preserve">eight </w:t>
      </w:r>
      <w:r w:rsidR="00BA63B4" w:rsidRPr="00423DD5">
        <w:rPr>
          <w:rFonts w:eastAsia="Times New Roman"/>
        </w:rPr>
        <w:t xml:space="preserve">for lung cancer.  </w:t>
      </w:r>
      <w:r w:rsidR="00BA63B4" w:rsidRPr="005D09ED">
        <w:rPr>
          <w:rFonts w:eastAsia="Times New Roman"/>
        </w:rPr>
        <w:t xml:space="preserve">These studies included </w:t>
      </w:r>
      <w:proofErr w:type="spellStart"/>
      <w:r w:rsidR="00BA63B4" w:rsidRPr="005D09ED">
        <w:rPr>
          <w:rFonts w:eastAsia="Times New Roman"/>
        </w:rPr>
        <w:t>Krewski</w:t>
      </w:r>
      <w:proofErr w:type="spellEnd"/>
      <w:r w:rsidR="00BA63B4" w:rsidRPr="005D09ED">
        <w:rPr>
          <w:rFonts w:eastAsia="Times New Roman"/>
        </w:rPr>
        <w:t xml:space="preserve"> et al. </w:t>
      </w:r>
      <w:r w:rsidR="00374330" w:rsidRPr="00D83A8F">
        <w:rPr>
          <w:rFonts w:eastAsia="Times New Roman"/>
          <w:lang w:val="fr-FR"/>
        </w:rPr>
        <w:t>(</w:t>
      </w:r>
      <w:r w:rsidR="00BA63B4" w:rsidRPr="00D83A8F">
        <w:rPr>
          <w:rFonts w:eastAsia="Times New Roman"/>
          <w:lang w:val="fr-FR"/>
        </w:rPr>
        <w:t>2009</w:t>
      </w:r>
      <w:r w:rsidR="00374330" w:rsidRPr="00D83A8F">
        <w:rPr>
          <w:rFonts w:eastAsia="Times New Roman"/>
          <w:lang w:val="fr-FR"/>
        </w:rPr>
        <w:t>)</w:t>
      </w:r>
      <w:r w:rsidR="0025502A" w:rsidRPr="00D83A8F">
        <w:rPr>
          <w:rFonts w:eastAsia="Times New Roman"/>
          <w:lang w:val="fr-FR"/>
        </w:rPr>
        <w:t xml:space="preserve">, </w:t>
      </w:r>
      <w:proofErr w:type="spellStart"/>
      <w:r w:rsidR="00BA63B4" w:rsidRPr="00D83A8F">
        <w:rPr>
          <w:lang w:val="fr-FR"/>
        </w:rPr>
        <w:t>Lepeule</w:t>
      </w:r>
      <w:proofErr w:type="spellEnd"/>
      <w:r w:rsidR="00BA63B4" w:rsidRPr="00D83A8F">
        <w:rPr>
          <w:lang w:val="fr-FR"/>
        </w:rPr>
        <w:t xml:space="preserve"> et al. </w:t>
      </w:r>
      <w:r w:rsidR="00374330">
        <w:rPr>
          <w:lang w:val="fr-FR"/>
        </w:rPr>
        <w:t>(</w:t>
      </w:r>
      <w:r w:rsidR="00BA63B4" w:rsidRPr="00D83A8F">
        <w:rPr>
          <w:lang w:val="fr-FR"/>
        </w:rPr>
        <w:t>2012</w:t>
      </w:r>
      <w:r w:rsidR="00374330">
        <w:rPr>
          <w:lang w:val="fr-FR"/>
        </w:rPr>
        <w:t>)</w:t>
      </w:r>
      <w:r w:rsidR="00BA63B4" w:rsidRPr="00D83A8F">
        <w:rPr>
          <w:lang w:val="fr-FR"/>
        </w:rPr>
        <w:t xml:space="preserve">, </w:t>
      </w:r>
      <w:proofErr w:type="spellStart"/>
      <w:r w:rsidR="00BA63B4" w:rsidRPr="00D83A8F">
        <w:rPr>
          <w:lang w:val="fr-FR"/>
        </w:rPr>
        <w:t>Lipsett</w:t>
      </w:r>
      <w:proofErr w:type="spellEnd"/>
      <w:r w:rsidR="00BA63B4" w:rsidRPr="00D83A8F">
        <w:rPr>
          <w:lang w:val="fr-FR"/>
        </w:rPr>
        <w:t xml:space="preserve"> et al. </w:t>
      </w:r>
      <w:r w:rsidR="00374330">
        <w:rPr>
          <w:lang w:val="fr-FR"/>
        </w:rPr>
        <w:t>(</w:t>
      </w:r>
      <w:r w:rsidR="00BA63B4" w:rsidRPr="00D83A8F">
        <w:rPr>
          <w:lang w:val="fr-FR"/>
        </w:rPr>
        <w:t>2011</w:t>
      </w:r>
      <w:r w:rsidR="00374330">
        <w:rPr>
          <w:lang w:val="fr-FR"/>
        </w:rPr>
        <w:t>)</w:t>
      </w:r>
      <w:r w:rsidR="00BA63B4" w:rsidRPr="00D83A8F">
        <w:rPr>
          <w:lang w:val="fr-FR"/>
        </w:rPr>
        <w:t xml:space="preserve">, </w:t>
      </w:r>
      <w:proofErr w:type="spellStart"/>
      <w:r w:rsidR="00BA63B4" w:rsidRPr="00D83A8F">
        <w:rPr>
          <w:lang w:val="fr-FR"/>
        </w:rPr>
        <w:t>Puett</w:t>
      </w:r>
      <w:proofErr w:type="spellEnd"/>
      <w:r w:rsidR="00BA63B4" w:rsidRPr="00D83A8F">
        <w:rPr>
          <w:lang w:val="fr-FR"/>
        </w:rPr>
        <w:t xml:space="preserve"> et al. </w:t>
      </w:r>
      <w:r w:rsidR="00374330">
        <w:rPr>
          <w:lang w:val="fr-FR"/>
        </w:rPr>
        <w:t>(</w:t>
      </w:r>
      <w:r w:rsidR="00BA63B4" w:rsidRPr="00D83A8F">
        <w:rPr>
          <w:lang w:val="fr-FR"/>
        </w:rPr>
        <w:t>2009</w:t>
      </w:r>
      <w:r w:rsidR="00374330">
        <w:rPr>
          <w:lang w:val="fr-FR"/>
        </w:rPr>
        <w:t>)</w:t>
      </w:r>
      <w:r w:rsidR="00BA63B4" w:rsidRPr="00D83A8F">
        <w:rPr>
          <w:lang w:val="fr-FR"/>
        </w:rPr>
        <w:t xml:space="preserve">, Miller et al. </w:t>
      </w:r>
      <w:r w:rsidR="00374330">
        <w:rPr>
          <w:lang w:val="fr-FR"/>
        </w:rPr>
        <w:t>(</w:t>
      </w:r>
      <w:r w:rsidR="00BA63B4" w:rsidRPr="00D83A8F">
        <w:rPr>
          <w:lang w:val="fr-FR"/>
        </w:rPr>
        <w:t>2007</w:t>
      </w:r>
      <w:r w:rsidR="00374330">
        <w:rPr>
          <w:lang w:val="fr-FR"/>
        </w:rPr>
        <w:t>)</w:t>
      </w:r>
      <w:r w:rsidR="00BA63B4" w:rsidRPr="00D83A8F">
        <w:rPr>
          <w:lang w:val="fr-FR"/>
        </w:rPr>
        <w:t xml:space="preserve">, Chen et al. </w:t>
      </w:r>
      <w:r w:rsidR="00374330">
        <w:rPr>
          <w:lang w:val="fr-FR"/>
        </w:rPr>
        <w:t>(</w:t>
      </w:r>
      <w:r w:rsidR="00BA63B4" w:rsidRPr="00D83A8F">
        <w:rPr>
          <w:lang w:val="fr-FR"/>
        </w:rPr>
        <w:t>2005</w:t>
      </w:r>
      <w:r w:rsidR="00374330">
        <w:rPr>
          <w:lang w:val="fr-FR"/>
        </w:rPr>
        <w:t>)</w:t>
      </w:r>
      <w:r w:rsidR="00BA63B4" w:rsidRPr="00D83A8F">
        <w:rPr>
          <w:lang w:val="fr-FR"/>
        </w:rPr>
        <w:t xml:space="preserve">, </w:t>
      </w:r>
      <w:proofErr w:type="spellStart"/>
      <w:r w:rsidR="00BA63B4" w:rsidRPr="00D83A8F">
        <w:rPr>
          <w:lang w:val="fr-FR"/>
        </w:rPr>
        <w:t>Puett</w:t>
      </w:r>
      <w:proofErr w:type="spellEnd"/>
      <w:r w:rsidR="00BA63B4" w:rsidRPr="00D83A8F">
        <w:rPr>
          <w:lang w:val="fr-FR"/>
        </w:rPr>
        <w:t xml:space="preserve"> et al. </w:t>
      </w:r>
      <w:r w:rsidR="00374330">
        <w:rPr>
          <w:lang w:val="fr-FR"/>
        </w:rPr>
        <w:t>(</w:t>
      </w:r>
      <w:r w:rsidR="00BA63B4" w:rsidRPr="00D83A8F">
        <w:rPr>
          <w:lang w:val="fr-FR"/>
        </w:rPr>
        <w:t>2011</w:t>
      </w:r>
      <w:r w:rsidR="00374330">
        <w:rPr>
          <w:lang w:val="fr-FR"/>
        </w:rPr>
        <w:t>)</w:t>
      </w:r>
      <w:r w:rsidR="00BA63B4" w:rsidRPr="00D83A8F">
        <w:rPr>
          <w:lang w:val="fr-FR"/>
        </w:rPr>
        <w:t xml:space="preserve"> and Beelen et al. </w:t>
      </w:r>
      <w:r w:rsidR="00374330">
        <w:rPr>
          <w:lang w:val="fr-FR"/>
        </w:rPr>
        <w:t>(</w:t>
      </w:r>
      <w:r w:rsidR="00BA63B4" w:rsidRPr="00D83A8F">
        <w:rPr>
          <w:lang w:val="fr-FR"/>
        </w:rPr>
        <w:t>2008</w:t>
      </w:r>
      <w:r w:rsidR="00374330">
        <w:rPr>
          <w:lang w:val="fr-FR"/>
        </w:rPr>
        <w:t>)</w:t>
      </w:r>
      <w:r w:rsidR="00BA63B4" w:rsidRPr="00D83A8F">
        <w:rPr>
          <w:lang w:val="fr-FR"/>
        </w:rPr>
        <w:t xml:space="preserve">. </w:t>
      </w:r>
      <w:r w:rsidR="00423DD5" w:rsidRPr="00D83A8F">
        <w:rPr>
          <w:lang w:val="fr-FR"/>
        </w:rPr>
        <w:t xml:space="preserve"> </w:t>
      </w:r>
      <w:r w:rsidR="00423DD5" w:rsidRPr="00423DD5">
        <w:t>Furthermore, exposure estimated for second hand smoke was updated compared to GBD 201</w:t>
      </w:r>
      <w:r w:rsidR="00FF63ED">
        <w:t>0</w:t>
      </w:r>
      <w:r w:rsidR="00423DD5" w:rsidRPr="00423DD5">
        <w:t xml:space="preserve">.  </w:t>
      </w:r>
      <w:r w:rsidR="00BA63B4" w:rsidRPr="00423DD5">
        <w:rPr>
          <w:i/>
        </w:rPr>
        <w:t xml:space="preserve"> </w:t>
      </w:r>
      <w:r w:rsidR="00A25C4C" w:rsidRPr="00423DD5">
        <w:t xml:space="preserve">Age-specific risks were also </w:t>
      </w:r>
      <w:r w:rsidRPr="00423DD5">
        <w:t>provided for IHD and stroke</w:t>
      </w:r>
      <w:r w:rsidR="00C43C38" w:rsidRPr="00423DD5">
        <w:t>, but</w:t>
      </w:r>
      <w:r w:rsidR="00C43C38">
        <w:t xml:space="preserve"> not for lung cancer and COPD, since data were limited for </w:t>
      </w:r>
      <w:r w:rsidR="00F15E61">
        <w:t>these</w:t>
      </w:r>
      <w:r w:rsidR="00C43C38">
        <w:t xml:space="preserve"> endpoints.</w:t>
      </w:r>
      <w:r>
        <w:t xml:space="preserve">  </w:t>
      </w:r>
      <w:r w:rsidR="006244FE" w:rsidRPr="003246FC">
        <w:t xml:space="preserve">In addition, LRI </w:t>
      </w:r>
      <w:r w:rsidR="00F41B66" w:rsidRPr="003246FC">
        <w:t xml:space="preserve">for </w:t>
      </w:r>
      <w:r w:rsidR="00DB540B">
        <w:t>adults</w:t>
      </w:r>
      <w:r w:rsidR="00F41B66" w:rsidRPr="003246FC">
        <w:t xml:space="preserve"> </w:t>
      </w:r>
      <w:r w:rsidR="006244FE" w:rsidRPr="003246FC">
        <w:t>was added to the calculation of mortality</w:t>
      </w:r>
      <w:r w:rsidR="00D404E2">
        <w:t>, whereas in the previous version LRI were restricted to children</w:t>
      </w:r>
      <w:r w:rsidR="005E4F81">
        <w:t xml:space="preserve"> </w:t>
      </w:r>
      <w:proofErr w:type="gramStart"/>
      <w:r w:rsidR="005E4F81">
        <w:t>under</w:t>
      </w:r>
      <w:proofErr w:type="gramEnd"/>
      <w:r w:rsidR="005E4F81">
        <w:t xml:space="preserve"> 5 years</w:t>
      </w:r>
      <w:r w:rsidR="006244FE" w:rsidRPr="003246FC">
        <w:t xml:space="preserve">.  </w:t>
      </w:r>
    </w:p>
    <w:p w14:paraId="1E39CC77" w14:textId="4E95F196" w:rsidR="00F27FB8" w:rsidRDefault="002054A4" w:rsidP="0073430D">
      <w:pPr>
        <w:autoSpaceDE w:val="0"/>
        <w:autoSpaceDN w:val="0"/>
        <w:adjustRightInd w:val="0"/>
        <w:spacing w:after="0" w:line="480" w:lineRule="auto"/>
      </w:pPr>
      <w:r w:rsidRPr="003246FC">
        <w:tab/>
      </w:r>
      <w:r w:rsidR="00A70A46" w:rsidRPr="003246FC">
        <w:t>Ultimately</w:t>
      </w:r>
      <w:r w:rsidRPr="003246FC">
        <w:t xml:space="preserve">, total mortality from </w:t>
      </w:r>
      <w:r w:rsidR="002F3994">
        <w:t>PM</w:t>
      </w:r>
      <w:r w:rsidR="00207B58">
        <w:t>2.5</w:t>
      </w:r>
      <w:r w:rsidR="002F3994" w:rsidRPr="002F3994">
        <w:rPr>
          <w:vertAlign w:val="subscript"/>
        </w:rPr>
        <w:t>5</w:t>
      </w:r>
      <w:r w:rsidR="002F3994">
        <w:t xml:space="preserve"> </w:t>
      </w:r>
      <w:r w:rsidR="00920BC2">
        <w:t>AAP</w:t>
      </w:r>
      <w:r w:rsidRPr="003246FC">
        <w:t xml:space="preserve"> was </w:t>
      </w:r>
      <w:r w:rsidR="007617CD" w:rsidRPr="003246FC">
        <w:t xml:space="preserve">estimated </w:t>
      </w:r>
      <w:r w:rsidR="00F27FB8">
        <w:t xml:space="preserve">by IHME </w:t>
      </w:r>
      <w:r w:rsidR="007617CD" w:rsidRPr="003246FC">
        <w:t xml:space="preserve">to be </w:t>
      </w:r>
      <w:r w:rsidR="00A70A46" w:rsidRPr="003246FC">
        <w:t>2.</w:t>
      </w:r>
      <w:r w:rsidR="00A70A46" w:rsidRPr="000E64C8">
        <w:t xml:space="preserve">9 </w:t>
      </w:r>
      <w:r w:rsidR="000E64C8" w:rsidRPr="000E64C8">
        <w:t>(UI = 2.8, 3.1) million</w:t>
      </w:r>
      <w:r w:rsidR="000E64C8">
        <w:t xml:space="preserve">.  </w:t>
      </w:r>
      <w:r w:rsidR="00E556D7">
        <w:t xml:space="preserve">Exposure to ozone added another 217,000 deaths. </w:t>
      </w:r>
    </w:p>
    <w:p w14:paraId="19E5147D" w14:textId="77777777" w:rsidR="000B719C" w:rsidRPr="003246FC" w:rsidRDefault="000B719C" w:rsidP="0073430D">
      <w:pPr>
        <w:autoSpaceDE w:val="0"/>
        <w:autoSpaceDN w:val="0"/>
        <w:adjustRightInd w:val="0"/>
        <w:spacing w:after="0" w:line="480" w:lineRule="auto"/>
      </w:pPr>
    </w:p>
    <w:p w14:paraId="044FAFAB" w14:textId="51B39331" w:rsidR="00256E02" w:rsidRPr="00657FFD" w:rsidRDefault="00F97D0C" w:rsidP="00256E02">
      <w:pPr>
        <w:spacing w:after="0" w:line="480" w:lineRule="auto"/>
        <w:rPr>
          <w:b/>
        </w:rPr>
      </w:pPr>
      <w:r>
        <w:rPr>
          <w:b/>
        </w:rPr>
        <w:t>I</w:t>
      </w:r>
      <w:r w:rsidR="00D679F2">
        <w:rPr>
          <w:b/>
        </w:rPr>
        <w:t>II.3.</w:t>
      </w:r>
      <w:r w:rsidR="00D77834" w:rsidRPr="00657FFD">
        <w:rPr>
          <w:b/>
        </w:rPr>
        <w:t xml:space="preserve"> GBD 2015 </w:t>
      </w:r>
    </w:p>
    <w:p w14:paraId="7002CECE" w14:textId="468E1A68" w:rsidR="008E2468" w:rsidRDefault="00CD3728" w:rsidP="00DC6E19">
      <w:pPr>
        <w:autoSpaceDE w:val="0"/>
        <w:autoSpaceDN w:val="0"/>
        <w:adjustRightInd w:val="0"/>
        <w:spacing w:after="0" w:line="480" w:lineRule="auto"/>
      </w:pPr>
      <w:r>
        <w:rPr>
          <w:bCs/>
        </w:rPr>
        <w:t xml:space="preserve">Updates have been made for all five inputs for GBD 2015 (see below and Table 1).  </w:t>
      </w:r>
      <w:r>
        <w:t>There was a</w:t>
      </w:r>
      <w:r w:rsidRPr="003246FC">
        <w:t xml:space="preserve"> </w:t>
      </w:r>
      <w:r>
        <w:t>significant</w:t>
      </w:r>
      <w:r w:rsidRPr="003246FC">
        <w:t xml:space="preserve"> upgrade to the exposure </w:t>
      </w:r>
      <w:r>
        <w:t xml:space="preserve">assessment due to an increase in the number of </w:t>
      </w:r>
      <w:r>
        <w:lastRenderedPageBreak/>
        <w:t xml:space="preserve">satellite products (each with distinct advantages), an increasing number of ground-level monitors and methodological improvement.  </w:t>
      </w:r>
      <w:r w:rsidR="00D679F2">
        <w:t>.</w:t>
      </w:r>
      <w:r w:rsidR="00560608" w:rsidRPr="003246FC">
        <w:t xml:space="preserve"> </w:t>
      </w:r>
      <w:r w:rsidR="00D679F2">
        <w:t xml:space="preserve"> E</w:t>
      </w:r>
      <w:r w:rsidR="00560608" w:rsidRPr="003246FC">
        <w:t xml:space="preserve">xposure estimates used </w:t>
      </w:r>
      <w:r w:rsidR="008F6EF4">
        <w:t xml:space="preserve">a </w:t>
      </w:r>
      <w:r w:rsidR="007A4CBB" w:rsidRPr="003246FC">
        <w:t xml:space="preserve">CTM </w:t>
      </w:r>
      <w:r w:rsidR="00D679F2">
        <w:t xml:space="preserve">similar to </w:t>
      </w:r>
      <w:r w:rsidR="00581090">
        <w:t>that used in GBD</w:t>
      </w:r>
      <w:r w:rsidR="00053C2B">
        <w:t xml:space="preserve"> </w:t>
      </w:r>
      <w:r w:rsidR="00207B58">
        <w:t>2013.</w:t>
      </w:r>
      <w:r w:rsidR="00560608" w:rsidRPr="003246FC">
        <w:t xml:space="preserve">  </w:t>
      </w:r>
      <w:r w:rsidR="00F933D3">
        <w:t xml:space="preserve">Aerosol optical depth estimates for 2014 were obtained from multiple satellite products (MISR, MODIS Dark Target, MODIS and </w:t>
      </w:r>
      <w:proofErr w:type="spellStart"/>
      <w:r w:rsidR="00F933D3">
        <w:t>SeaWiFS</w:t>
      </w:r>
      <w:proofErr w:type="spellEnd"/>
      <w:r w:rsidR="00F933D3">
        <w:t xml:space="preserve"> Deep Blue, and MODIS MAIAC), each with </w:t>
      </w:r>
      <w:r w:rsidR="00D52BBD">
        <w:t xml:space="preserve">a </w:t>
      </w:r>
      <w:r w:rsidR="00F933D3">
        <w:t>distinct advantage</w:t>
      </w:r>
      <w:r w:rsidR="00B26D35">
        <w:t xml:space="preserve">. </w:t>
      </w:r>
      <w:r w:rsidR="007A4CBB" w:rsidDel="00F933D3">
        <w:t>Global</w:t>
      </w:r>
      <w:r w:rsidR="00D36A90">
        <w:t xml:space="preserve"> AOD was then created </w:t>
      </w:r>
      <w:r w:rsidR="00F933D3">
        <w:t>through simulations of the CTM</w:t>
      </w:r>
      <w:r w:rsidR="008E2468">
        <w:t xml:space="preserve"> so that it could be used in a regression model to develop an empirical relationship with ground-based PM2.5 </w:t>
      </w:r>
      <w:r w:rsidR="008F6EF4" w:rsidRPr="003246FC">
        <w:t>(</w:t>
      </w:r>
      <w:r w:rsidR="008F6EF4">
        <w:rPr>
          <w:rFonts w:eastAsia="Times New Roman"/>
        </w:rPr>
        <w:t>v</w:t>
      </w:r>
      <w:r w:rsidR="008F6EF4" w:rsidRPr="003246FC">
        <w:rPr>
          <w:rFonts w:eastAsia="Times New Roman"/>
        </w:rPr>
        <w:t xml:space="preserve">an </w:t>
      </w:r>
      <w:proofErr w:type="spellStart"/>
      <w:r w:rsidR="008F6EF4" w:rsidRPr="003246FC">
        <w:rPr>
          <w:rFonts w:eastAsia="Times New Roman"/>
        </w:rPr>
        <w:t>Donkelaar</w:t>
      </w:r>
      <w:proofErr w:type="spellEnd"/>
      <w:r w:rsidR="008F6EF4" w:rsidRPr="003246FC">
        <w:rPr>
          <w:rFonts w:eastAsia="Times New Roman"/>
        </w:rPr>
        <w:t xml:space="preserve"> et al.</w:t>
      </w:r>
      <w:r w:rsidR="008F6EF4" w:rsidRPr="003246FC">
        <w:t xml:space="preserve"> 2016).</w:t>
      </w:r>
      <w:r w:rsidR="00F933D3">
        <w:t xml:space="preserve"> </w:t>
      </w:r>
      <w:r w:rsidR="00F37C1F">
        <w:t xml:space="preserve">A map of the </w:t>
      </w:r>
      <w:r w:rsidR="00917D28">
        <w:t>6003 ground level PM2.5 monitors in 2972 metropolitan areas compiled by WHO i</w:t>
      </w:r>
      <w:r w:rsidR="00F37C1F">
        <w:t xml:space="preserve">s </w:t>
      </w:r>
      <w:r w:rsidR="008E2468">
        <w:t xml:space="preserve">provided </w:t>
      </w:r>
      <w:r w:rsidR="00F37C1F">
        <w:t>in Figure 1</w:t>
      </w:r>
      <w:r w:rsidR="001C43B5">
        <w:t>,</w:t>
      </w:r>
      <w:r w:rsidR="008E2468">
        <w:t xml:space="preserve"> </w:t>
      </w:r>
      <w:r w:rsidR="00C77DD4">
        <w:t xml:space="preserve">and a list of the number </w:t>
      </w:r>
      <w:r w:rsidR="00F37C1F">
        <w:t xml:space="preserve">of monitors in each </w:t>
      </w:r>
      <w:r w:rsidR="00C77DD4">
        <w:t xml:space="preserve">country is provided </w:t>
      </w:r>
      <w:r w:rsidR="00C77DD4" w:rsidRPr="00F00353">
        <w:t>in Appendix A.</w:t>
      </w:r>
      <w:r w:rsidR="00C77DD4">
        <w:t xml:space="preserve">  </w:t>
      </w:r>
    </w:p>
    <w:p w14:paraId="4911F01D" w14:textId="6B6278C5" w:rsidR="00342CD6" w:rsidRDefault="008E2468" w:rsidP="008D3389">
      <w:pPr>
        <w:autoSpaceDE w:val="0"/>
        <w:autoSpaceDN w:val="0"/>
        <w:adjustRightInd w:val="0"/>
        <w:spacing w:after="0" w:line="480" w:lineRule="auto"/>
        <w:ind w:firstLine="720"/>
      </w:pPr>
      <w:r w:rsidRPr="00654351">
        <w:t xml:space="preserve">Van </w:t>
      </w:r>
      <w:proofErr w:type="spellStart"/>
      <w:r w:rsidRPr="00654351">
        <w:t>Donkelaar</w:t>
      </w:r>
      <w:proofErr w:type="spellEnd"/>
      <w:r w:rsidRPr="00654351">
        <w:t xml:space="preserve"> et al. (2016) extended the approach used in GBD 2013 by add</w:t>
      </w:r>
      <w:r w:rsidR="00D52BBD">
        <w:t>ing</w:t>
      </w:r>
      <w:r w:rsidRPr="00654351">
        <w:t xml:space="preserve"> </w:t>
      </w:r>
      <w:r w:rsidR="00D52BBD">
        <w:t xml:space="preserve">covariates such as </w:t>
      </w:r>
      <w:r w:rsidRPr="00654351">
        <w:t xml:space="preserve">such as land use and </w:t>
      </w:r>
      <w:r w:rsidR="00D52BBD">
        <w:t xml:space="preserve">PM2.5 </w:t>
      </w:r>
      <w:r w:rsidRPr="00654351">
        <w:t xml:space="preserve">chemical composition </w:t>
      </w:r>
      <w:r w:rsidR="00D52BBD">
        <w:t xml:space="preserve">to the regression model predicting PM2.5 concentrations. </w:t>
      </w:r>
      <w:r w:rsidRPr="00654351">
        <w:t xml:space="preserve"> </w:t>
      </w:r>
      <w:r w:rsidR="00F174CC">
        <w:t>Th</w:t>
      </w:r>
      <w:r>
        <w:t>e</w:t>
      </w:r>
      <w:r w:rsidR="00F174CC">
        <w:t xml:space="preserve"> exposure </w:t>
      </w:r>
      <w:r>
        <w:t>estimation</w:t>
      </w:r>
      <w:r w:rsidR="00F174CC">
        <w:t xml:space="preserve"> was further enhanced </w:t>
      </w:r>
      <w:r>
        <w:t xml:space="preserve">by </w:t>
      </w:r>
      <w:proofErr w:type="spellStart"/>
      <w:r w:rsidR="00F174CC">
        <w:t>Shaddick</w:t>
      </w:r>
      <w:proofErr w:type="spellEnd"/>
      <w:r w:rsidR="00F174CC">
        <w:t xml:space="preserve"> et al. (2017) wh</w:t>
      </w:r>
      <w:r w:rsidR="00532712">
        <w:t>o</w:t>
      </w:r>
      <w:r w:rsidR="00F174CC">
        <w:t xml:space="preserve"> utilized a Bayesian hierarchical model to combine the data more efficiently and better incorporate uncertainty.  </w:t>
      </w:r>
      <w:r w:rsidR="00F174CC" w:rsidRPr="00970431">
        <w:t xml:space="preserve">In addition to including the data from the satellites and CTM, the regression model for estimating PM2.5 also included covariates such as </w:t>
      </w:r>
      <w:r>
        <w:t xml:space="preserve">population, </w:t>
      </w:r>
      <w:r w:rsidR="00F174CC" w:rsidRPr="00970431">
        <w:t>the type of ground-level PM2.5 monitor used; whether ground-level PM2.5 was estimated from PM10; the concentrations of sulfate, nitrat</w:t>
      </w:r>
      <w:r>
        <w:t>e, organic carbon and ammonium</w:t>
      </w:r>
      <w:r w:rsidR="00BB6C1F">
        <w:t>,</w:t>
      </w:r>
      <w:r>
        <w:t xml:space="preserve"> </w:t>
      </w:r>
      <w:r w:rsidR="00F174CC" w:rsidRPr="00970431">
        <w:t xml:space="preserve">and land use elevation (See </w:t>
      </w:r>
      <w:proofErr w:type="spellStart"/>
      <w:r w:rsidR="00F174CC" w:rsidRPr="00970431">
        <w:t>Shaddick</w:t>
      </w:r>
      <w:proofErr w:type="spellEnd"/>
      <w:r w:rsidR="00F174CC" w:rsidRPr="00970431">
        <w:t xml:space="preserve"> et al. 201</w:t>
      </w:r>
      <w:r w:rsidR="00F174CC">
        <w:t>7</w:t>
      </w:r>
      <w:r w:rsidR="00F174CC" w:rsidRPr="00970431">
        <w:t xml:space="preserve"> and </w:t>
      </w:r>
      <w:proofErr w:type="spellStart"/>
      <w:r w:rsidR="00F174CC" w:rsidRPr="00970431">
        <w:t>Forouzanfar</w:t>
      </w:r>
      <w:proofErr w:type="spellEnd"/>
      <w:r w:rsidR="00F174CC" w:rsidRPr="00970431">
        <w:t xml:space="preserve"> et al. 2015 for additional details)</w:t>
      </w:r>
      <w:r>
        <w:t xml:space="preserve">.  </w:t>
      </w:r>
      <w:r w:rsidR="00282301">
        <w:t xml:space="preserve">These covariates </w:t>
      </w:r>
      <w:r w:rsidR="008D3389">
        <w:t xml:space="preserve">facilitated </w:t>
      </w:r>
      <w:r w:rsidR="00282301">
        <w:t xml:space="preserve">a region-specific predictive model rather than a single predictive model for the entire globe.   </w:t>
      </w:r>
      <w:r w:rsidR="00F174CC" w:rsidRPr="00970431">
        <w:t>The predictive power (</w:t>
      </w:r>
      <w:r>
        <w:t xml:space="preserve">measured as </w:t>
      </w:r>
      <w:r w:rsidR="00F174CC">
        <w:t xml:space="preserve">root mean square error or RMSE) was significantly enhanced </w:t>
      </w:r>
      <w:r w:rsidR="00F174CC" w:rsidRPr="00F00353">
        <w:t xml:space="preserve">by adding these explanatory values cited above.  </w:t>
      </w:r>
    </w:p>
    <w:p w14:paraId="778C62D0" w14:textId="6B65EA53" w:rsidR="00F174CC" w:rsidRPr="00B57339" w:rsidRDefault="00F174CC" w:rsidP="008D3389">
      <w:pPr>
        <w:autoSpaceDE w:val="0"/>
        <w:autoSpaceDN w:val="0"/>
        <w:adjustRightInd w:val="0"/>
        <w:spacing w:after="0" w:line="480" w:lineRule="auto"/>
        <w:ind w:firstLine="720"/>
      </w:pPr>
      <w:r w:rsidRPr="00F00353">
        <w:t xml:space="preserve">The </w:t>
      </w:r>
      <w:r w:rsidR="00342CD6">
        <w:t>fits of the models</w:t>
      </w:r>
      <w:r w:rsidR="00342CD6" w:rsidRPr="00F00353">
        <w:t xml:space="preserve"> </w:t>
      </w:r>
      <w:r w:rsidRPr="00F00353">
        <w:t xml:space="preserve">by Super Region are displayed in Figure </w:t>
      </w:r>
      <w:r w:rsidR="00F37C1F" w:rsidRPr="00F00353">
        <w:t>2</w:t>
      </w:r>
      <w:r w:rsidR="008D3389">
        <w:t>.  The</w:t>
      </w:r>
      <w:r w:rsidR="00342CD6">
        <w:t xml:space="preserve"> results</w:t>
      </w:r>
      <w:r w:rsidR="008D3389">
        <w:t xml:space="preserve"> indicate that moving from Model A to B which entails adding local population data to the regression model, </w:t>
      </w:r>
      <w:r w:rsidRPr="00DF5470">
        <w:t xml:space="preserve">significantly improved the </w:t>
      </w:r>
      <w:r w:rsidR="008D3389">
        <w:t>model fit</w:t>
      </w:r>
      <w:r w:rsidR="008D3389" w:rsidRPr="00DF5470">
        <w:t xml:space="preserve"> </w:t>
      </w:r>
      <w:r w:rsidRPr="00DF5470">
        <w:t xml:space="preserve">with </w:t>
      </w:r>
      <w:r w:rsidR="00342CD6">
        <w:t>the</w:t>
      </w:r>
      <w:r w:rsidR="00342CD6" w:rsidRPr="00DF5470">
        <w:t xml:space="preserve"> </w:t>
      </w:r>
      <w:r w:rsidRPr="00DF5470">
        <w:t>R</w:t>
      </w:r>
      <w:r w:rsidRPr="00DF5470">
        <w:rPr>
          <w:vertAlign w:val="superscript"/>
        </w:rPr>
        <w:t>2</w:t>
      </w:r>
      <w:r w:rsidRPr="00DF5470">
        <w:t xml:space="preserve"> improving from 0.54 to 0.90.</w:t>
      </w:r>
      <w:r w:rsidR="003B50BD">
        <w:t xml:space="preserve">  </w:t>
      </w:r>
      <w:r w:rsidR="008D3389">
        <w:t xml:space="preserve">Adding </w:t>
      </w:r>
      <w:r w:rsidR="008D3389">
        <w:lastRenderedPageBreak/>
        <w:t>additional covariates (e.g., estimates of dust, sulfates and nitrates and monitor elevation) in Model C slight</w:t>
      </w:r>
      <w:r w:rsidR="00342CD6">
        <w:t xml:space="preserve">ly improved the fit. </w:t>
      </w:r>
      <w:r w:rsidR="008D3389">
        <w:t xml:space="preserve">  </w:t>
      </w:r>
    </w:p>
    <w:p w14:paraId="241750D3" w14:textId="235BEA64" w:rsidR="00F174CC" w:rsidRDefault="00F174CC" w:rsidP="008D3389">
      <w:pPr>
        <w:autoSpaceDE w:val="0"/>
        <w:autoSpaceDN w:val="0"/>
        <w:adjustRightInd w:val="0"/>
        <w:spacing w:after="0" w:line="480" w:lineRule="auto"/>
        <w:ind w:firstLine="720"/>
      </w:pPr>
      <w:r>
        <w:t>The general fit of the data relating the AOD estimates (from CTM and satellites) to the ground-level PM2.5 was greatly improved over previous GBDs</w:t>
      </w:r>
      <w:r w:rsidR="008D3389">
        <w:t>,</w:t>
      </w:r>
      <w:r>
        <w:t xml:space="preserve"> notably in High Income; Central Europe, Eastern Europe, Central Asia; </w:t>
      </w:r>
      <w:r w:rsidRPr="00574B7F">
        <w:t>Latin America and Caribbean</w:t>
      </w:r>
      <w:r w:rsidR="00342CD6">
        <w:t xml:space="preserve">; </w:t>
      </w:r>
      <w:r>
        <w:t xml:space="preserve">and Southeast Asia.  However, the figure also indicates significantly greater uncertainty in Northern Africa and the Middle East, Sub-Saharan Africa and South Asia with the RMSE tripling relative to the high income countries.  This reduction in accuracy is a result of the higher concentrations experienced in these areas and the lack of ground-level monitoring data.      </w:t>
      </w:r>
    </w:p>
    <w:p w14:paraId="75F11C6B" w14:textId="1A855145" w:rsidR="00C41AB6" w:rsidRDefault="00D52BBD" w:rsidP="005F5485">
      <w:pPr>
        <w:spacing w:line="480" w:lineRule="auto"/>
      </w:pPr>
      <w:r>
        <w:tab/>
      </w:r>
      <w:r w:rsidR="00681C04" w:rsidRPr="008D7016">
        <w:t>F</w:t>
      </w:r>
      <w:r w:rsidR="00560608" w:rsidRPr="008D7016">
        <w:t xml:space="preserve">or the IER, additional </w:t>
      </w:r>
      <w:r w:rsidR="004B4168">
        <w:t xml:space="preserve">air pollution </w:t>
      </w:r>
      <w:r w:rsidR="00560608" w:rsidRPr="008D7016">
        <w:t>cohort studies not previously available were added to the CRF procedure</w:t>
      </w:r>
      <w:r w:rsidR="00E40052" w:rsidRPr="008D7016">
        <w:t xml:space="preserve"> which now involves </w:t>
      </w:r>
      <w:r w:rsidR="00DA13B5" w:rsidRPr="008D7016">
        <w:t>24</w:t>
      </w:r>
      <w:r w:rsidR="00E40052" w:rsidRPr="008D7016">
        <w:t xml:space="preserve"> studies</w:t>
      </w:r>
      <w:r w:rsidR="009007C0" w:rsidRPr="008D7016">
        <w:t>.  Th</w:t>
      </w:r>
      <w:r w:rsidR="00A757B9">
        <w:t xml:space="preserve">e studies </w:t>
      </w:r>
      <w:r w:rsidR="009007C0" w:rsidRPr="008D7016">
        <w:t>include</w:t>
      </w:r>
      <w:r w:rsidR="00681C04">
        <w:t xml:space="preserve"> </w:t>
      </w:r>
      <w:r w:rsidR="005E48A6">
        <w:t xml:space="preserve">additional </w:t>
      </w:r>
      <w:r w:rsidR="00A757B9">
        <w:t xml:space="preserve">cohorts </w:t>
      </w:r>
      <w:r w:rsidR="00681C04">
        <w:t xml:space="preserve">from </w:t>
      </w:r>
      <w:r w:rsidR="005E48A6">
        <w:t xml:space="preserve">the U.S. as well as from </w:t>
      </w:r>
      <w:r w:rsidR="00681C04">
        <w:t xml:space="preserve">Canada, the UK, Japan, Italy, </w:t>
      </w:r>
      <w:r w:rsidR="005E48A6">
        <w:t>Norway and the ESCAPE</w:t>
      </w:r>
      <w:r w:rsidR="009007C0">
        <w:t xml:space="preserve"> </w:t>
      </w:r>
      <w:r w:rsidR="00DA13B5">
        <w:t xml:space="preserve">study which contributed results from </w:t>
      </w:r>
      <w:r w:rsidR="005E48A6">
        <w:t>smaller cohorts from 14 European nations</w:t>
      </w:r>
      <w:r w:rsidR="00E40052">
        <w:t xml:space="preserve"> (see </w:t>
      </w:r>
      <w:r w:rsidR="00E40052" w:rsidRPr="0068300D">
        <w:t xml:space="preserve">Appendix </w:t>
      </w:r>
      <w:r w:rsidR="00F37C1F" w:rsidRPr="0068300D">
        <w:t>B</w:t>
      </w:r>
      <w:r w:rsidR="00E40052">
        <w:t xml:space="preserve"> for a list of </w:t>
      </w:r>
      <w:r w:rsidR="006364A6">
        <w:t xml:space="preserve">all </w:t>
      </w:r>
      <w:r w:rsidR="00E40052">
        <w:t>the included papers</w:t>
      </w:r>
      <w:r w:rsidR="0022280F">
        <w:t>)</w:t>
      </w:r>
      <w:r w:rsidR="00E40052">
        <w:t>.  Additional information about each of these studies is available in Cohen</w:t>
      </w:r>
      <w:r w:rsidR="008D6208">
        <w:t xml:space="preserve"> et al. 2017)</w:t>
      </w:r>
      <w:r w:rsidR="00E40052">
        <w:t xml:space="preserve">.  </w:t>
      </w:r>
      <w:r w:rsidR="0022280F">
        <w:t xml:space="preserve">In addition, </w:t>
      </w:r>
      <w:r w:rsidR="00342CD6">
        <w:t>the estimation of PM2.5 exposure from second-hand smoke was updated and improved.  F</w:t>
      </w:r>
      <w:r w:rsidR="0022280F">
        <w:t>our</w:t>
      </w:r>
      <w:r w:rsidR="005E48A6">
        <w:t xml:space="preserve"> studies including adults </w:t>
      </w:r>
      <w:r w:rsidR="00F41B66" w:rsidRPr="003246FC">
        <w:t xml:space="preserve">were </w:t>
      </w:r>
      <w:r w:rsidR="005E48A6">
        <w:t>use</w:t>
      </w:r>
      <w:r w:rsidR="00C41AB6">
        <w:t>d</w:t>
      </w:r>
      <w:r w:rsidR="005E48A6" w:rsidRPr="003246FC">
        <w:t xml:space="preserve"> </w:t>
      </w:r>
      <w:r w:rsidR="005E48A6">
        <w:t xml:space="preserve">in </w:t>
      </w:r>
      <w:r w:rsidR="00F41B66" w:rsidRPr="003246FC">
        <w:t xml:space="preserve">the estimates </w:t>
      </w:r>
      <w:r w:rsidR="005E48A6">
        <w:t>of</w:t>
      </w:r>
      <w:r w:rsidR="005E48A6" w:rsidRPr="003246FC">
        <w:t xml:space="preserve"> </w:t>
      </w:r>
      <w:r w:rsidR="00F41B66" w:rsidRPr="003246FC">
        <w:t xml:space="preserve">LRI.  </w:t>
      </w:r>
      <w:r w:rsidR="00C41AB6">
        <w:t xml:space="preserve">As in the past, </w:t>
      </w:r>
      <w:r w:rsidR="0022280F">
        <w:t xml:space="preserve">through use of simulations </w:t>
      </w:r>
      <w:r w:rsidR="00C41AB6">
        <w:t xml:space="preserve">the IER procedure was able to incorporate uncertainty in the estimates of population, exposure and the counterfactual.   </w:t>
      </w:r>
      <w:r w:rsidR="009C0213">
        <w:t xml:space="preserve">Current and past GBD estimates of both exposure and health outcomes using the assumptions from GBD 2015 can be found at </w:t>
      </w:r>
      <w:r w:rsidR="009C0213" w:rsidRPr="000C0454">
        <w:t>https://www.stateofglobalair.org/data</w:t>
      </w:r>
      <w:r w:rsidR="009C0213">
        <w:t xml:space="preserve">.  </w:t>
      </w:r>
    </w:p>
    <w:p w14:paraId="3DDC2052" w14:textId="4D275DB8" w:rsidR="00C366C8" w:rsidRPr="003246FC" w:rsidRDefault="00E904F5" w:rsidP="00763304">
      <w:pPr>
        <w:autoSpaceDE w:val="0"/>
        <w:autoSpaceDN w:val="0"/>
        <w:adjustRightInd w:val="0"/>
        <w:spacing w:after="0" w:line="480" w:lineRule="auto"/>
        <w:ind w:firstLine="720"/>
      </w:pPr>
      <w:r w:rsidRPr="007E387A">
        <w:t xml:space="preserve">The global estimate for 2015 </w:t>
      </w:r>
      <w:r w:rsidR="00EE2112" w:rsidRPr="007E387A">
        <w:t>w</w:t>
      </w:r>
      <w:r w:rsidR="00A76EEA" w:rsidRPr="007E387A">
        <w:t>as</w:t>
      </w:r>
      <w:r w:rsidRPr="007E387A">
        <w:t xml:space="preserve"> 4.24 </w:t>
      </w:r>
      <w:r w:rsidR="000E64C8" w:rsidRPr="007E387A">
        <w:t>(UI = 3.7</w:t>
      </w:r>
      <w:r w:rsidR="000E64C8">
        <w:t xml:space="preserve">, 4.8) </w:t>
      </w:r>
      <w:r w:rsidRPr="003246FC">
        <w:t>million and consists of IHD (1.52 M), stroke (0.90 M), COPD (0.86 M), lung cancer (0.2</w:t>
      </w:r>
      <w:r w:rsidR="00360D03">
        <w:t>8 M</w:t>
      </w:r>
      <w:r w:rsidRPr="003246FC">
        <w:t>) and LRI (0.675</w:t>
      </w:r>
      <w:r w:rsidR="00360D03">
        <w:t xml:space="preserve"> M</w:t>
      </w:r>
      <w:r w:rsidRPr="003246FC">
        <w:t>) (</w:t>
      </w:r>
      <w:r w:rsidR="00E556D7" w:rsidRPr="00E556D7">
        <w:t>GBD 2015 Risk Factors Collaborators</w:t>
      </w:r>
      <w:r w:rsidR="00E556D7">
        <w:t>,</w:t>
      </w:r>
      <w:r w:rsidR="00E556D7" w:rsidRPr="00E556D7" w:rsidDel="00E556D7">
        <w:t xml:space="preserve"> </w:t>
      </w:r>
      <w:r w:rsidRPr="003246FC">
        <w:t xml:space="preserve">2016).  </w:t>
      </w:r>
      <w:r w:rsidR="00E556D7">
        <w:t xml:space="preserve">Exposure to ozone added another 254,000 deaths.  </w:t>
      </w:r>
      <w:r w:rsidR="00B326E4">
        <w:t xml:space="preserve">Recently, GBD estimates for 2016 were </w:t>
      </w:r>
      <w:r w:rsidR="00763304">
        <w:t>published</w:t>
      </w:r>
      <w:r w:rsidR="00257630">
        <w:t xml:space="preserve"> </w:t>
      </w:r>
      <w:r w:rsidR="00B326E4">
        <w:t>using inputs very similar to those for 2015, with a resulting global mortality estimate of 4.1 million</w:t>
      </w:r>
      <w:r w:rsidR="00763304">
        <w:t xml:space="preserve"> (</w:t>
      </w:r>
      <w:r w:rsidR="00763304" w:rsidRPr="00BA7E41">
        <w:t>GBD collaborators</w:t>
      </w:r>
      <w:r w:rsidR="00763304">
        <w:t>, 2017)</w:t>
      </w:r>
      <w:r w:rsidR="00B326E4">
        <w:t xml:space="preserve">.  </w:t>
      </w:r>
    </w:p>
    <w:p w14:paraId="02942897" w14:textId="77777777" w:rsidR="00181BD3" w:rsidRDefault="00181BD3" w:rsidP="00A60177">
      <w:pPr>
        <w:spacing w:after="0" w:line="480" w:lineRule="auto"/>
        <w:rPr>
          <w:rFonts w:eastAsia="Times New Roman"/>
          <w:b/>
        </w:rPr>
      </w:pPr>
    </w:p>
    <w:p w14:paraId="08E5DF68" w14:textId="77777777" w:rsidR="00A60177" w:rsidRPr="00F01360" w:rsidRDefault="00C7572F" w:rsidP="00A60177">
      <w:pPr>
        <w:spacing w:after="0" w:line="480" w:lineRule="auto"/>
        <w:rPr>
          <w:b/>
        </w:rPr>
      </w:pPr>
      <w:r>
        <w:rPr>
          <w:rFonts w:eastAsia="Times New Roman"/>
          <w:b/>
        </w:rPr>
        <w:t>I</w:t>
      </w:r>
      <w:r w:rsidR="00A60177" w:rsidRPr="00F01360">
        <w:rPr>
          <w:rFonts w:eastAsia="Times New Roman"/>
          <w:b/>
        </w:rPr>
        <w:t>V. Analyzing</w:t>
      </w:r>
      <w:r w:rsidR="00A60177">
        <w:rPr>
          <w:rFonts w:eastAsia="Times New Roman"/>
          <w:b/>
        </w:rPr>
        <w:t xml:space="preserve"> the </w:t>
      </w:r>
      <w:r w:rsidR="00916C69">
        <w:rPr>
          <w:rFonts w:eastAsia="Times New Roman"/>
          <w:b/>
        </w:rPr>
        <w:t xml:space="preserve">Quantitative Impact of </w:t>
      </w:r>
      <w:r w:rsidR="00A60177">
        <w:rPr>
          <w:rFonts w:eastAsia="Times New Roman"/>
          <w:b/>
        </w:rPr>
        <w:t>Changes from GBD 2013 to GBD 2015</w:t>
      </w:r>
    </w:p>
    <w:p w14:paraId="75B8553F" w14:textId="24EF27A3" w:rsidR="00163716" w:rsidRDefault="00AA023F" w:rsidP="00917D28">
      <w:pPr>
        <w:spacing w:after="0" w:line="480" w:lineRule="auto"/>
        <w:ind w:firstLine="720"/>
      </w:pPr>
      <w:r>
        <w:t xml:space="preserve">As indicated </w:t>
      </w:r>
      <w:r w:rsidR="00C7572F">
        <w:t>above</w:t>
      </w:r>
      <w:r w:rsidRPr="0015325A">
        <w:t xml:space="preserve">, the </w:t>
      </w:r>
      <w:r>
        <w:t xml:space="preserve">original </w:t>
      </w:r>
      <w:r w:rsidRPr="0015325A">
        <w:t xml:space="preserve">GBD </w:t>
      </w:r>
      <w:r w:rsidR="00920BC2">
        <w:t>AAP</w:t>
      </w:r>
      <w:r w:rsidRPr="0015325A">
        <w:t xml:space="preserve"> mortality estimates increased </w:t>
      </w:r>
      <w:r>
        <w:t xml:space="preserve">significantly </w:t>
      </w:r>
      <w:r w:rsidRPr="0015325A">
        <w:t>from both 2010 (3.2 million) and 2013 (2.9 million) to 2015 (4.2 million).</w:t>
      </w:r>
      <w:r>
        <w:rPr>
          <w:b/>
        </w:rPr>
        <w:t xml:space="preserve"> </w:t>
      </w:r>
      <w:r>
        <w:t xml:space="preserve"> Therefore, it is important to understand how the assumptions about the exposures and IERs quantitatively impacted the original </w:t>
      </w:r>
      <w:r w:rsidR="00C7572F">
        <w:t xml:space="preserve">estimates of the GBD for </w:t>
      </w:r>
      <w:r w:rsidR="00920BC2">
        <w:t>AAP</w:t>
      </w:r>
      <w:r w:rsidR="00917D28">
        <w:t xml:space="preserve">.  </w:t>
      </w:r>
      <w:r w:rsidR="0015325A">
        <w:t xml:space="preserve">Below, we have provided </w:t>
      </w:r>
      <w:r w:rsidR="00046293">
        <w:t>several analyse</w:t>
      </w:r>
      <w:r w:rsidR="0015325A">
        <w:t>s of the impacts of these up</w:t>
      </w:r>
      <w:r w:rsidR="00046293">
        <w:t>dated</w:t>
      </w:r>
      <w:r w:rsidR="0015325A">
        <w:t xml:space="preserve"> methodologies.  </w:t>
      </w:r>
      <w:r w:rsidR="00DE7F42">
        <w:t>For the comparison with 2015, most of our focus is</w:t>
      </w:r>
      <w:r w:rsidR="00966E4C">
        <w:t xml:space="preserve"> on </w:t>
      </w:r>
      <w:r w:rsidR="00DE7F42">
        <w:t xml:space="preserve">the </w:t>
      </w:r>
      <w:r w:rsidR="00966E4C">
        <w:t>year</w:t>
      </w:r>
      <w:r w:rsidR="0015325A">
        <w:t xml:space="preserve"> 2013 </w:t>
      </w:r>
      <w:r w:rsidR="00966E4C">
        <w:t>since</w:t>
      </w:r>
      <w:r w:rsidR="003667B6">
        <w:t xml:space="preserve"> this estimate is similar to that of 2010 and the reason for changes between it and 2015 estimates will be the same as those for 2010. </w:t>
      </w:r>
      <w:r w:rsidR="00966E4C">
        <w:t xml:space="preserve"> </w:t>
      </w:r>
      <w:r w:rsidR="00F6301B">
        <w:t xml:space="preserve">To examine the impacts of the inputs, we first had to reconstruct the global estimates for those two years. </w:t>
      </w:r>
      <w:r w:rsidR="00A00D23">
        <w:t>To do so, we</w:t>
      </w:r>
      <w:r w:rsidR="00046293">
        <w:t xml:space="preserve"> </w:t>
      </w:r>
      <w:r w:rsidR="00AD6711">
        <w:t xml:space="preserve">applied </w:t>
      </w:r>
      <w:r w:rsidR="00046293">
        <w:t xml:space="preserve">the IER functions that were reported by Burnett et al. (2014) for year 2010 and for years 2013 and 2015 </w:t>
      </w:r>
      <w:r w:rsidR="00CC58B7">
        <w:t>(</w:t>
      </w:r>
      <w:r w:rsidR="00CC58B7" w:rsidRPr="00F00353">
        <w:t xml:space="preserve">see </w:t>
      </w:r>
      <w:r w:rsidR="00917D28" w:rsidRPr="00F00353">
        <w:t xml:space="preserve">Appendix </w:t>
      </w:r>
      <w:r w:rsidR="009E36CF">
        <w:t xml:space="preserve"> C</w:t>
      </w:r>
      <w:r w:rsidR="00CC58B7" w:rsidRPr="00F00353">
        <w:t xml:space="preserve">) </w:t>
      </w:r>
      <w:r w:rsidR="00917D28" w:rsidRPr="00F00353">
        <w:t>using</w:t>
      </w:r>
      <w:r w:rsidR="00046293">
        <w:t xml:space="preserve"> information provided by Burnett (personal communication).  </w:t>
      </w:r>
      <w:r w:rsidR="00D045BE">
        <w:t xml:space="preserve">The </w:t>
      </w:r>
      <w:r w:rsidR="00AA1BCD">
        <w:t xml:space="preserve">shapes and </w:t>
      </w:r>
      <w:r w:rsidR="00D045BE">
        <w:t xml:space="preserve">differences in the respective IERs are </w:t>
      </w:r>
      <w:r w:rsidR="00AA1BCD">
        <w:t>discussed</w:t>
      </w:r>
      <w:r w:rsidR="00D045BE">
        <w:t xml:space="preserve"> below (Section </w:t>
      </w:r>
      <w:r w:rsidR="00595ADB">
        <w:t>I</w:t>
      </w:r>
      <w:r w:rsidR="00D045BE">
        <w:t>V.</w:t>
      </w:r>
      <w:r w:rsidR="00DE7F42">
        <w:t>1</w:t>
      </w:r>
      <w:r w:rsidR="00D045BE">
        <w:t xml:space="preserve">).  </w:t>
      </w:r>
    </w:p>
    <w:p w14:paraId="3BAB5920" w14:textId="2F1EEA16" w:rsidR="00046293" w:rsidRDefault="00D045BE" w:rsidP="00046293">
      <w:pPr>
        <w:spacing w:after="0" w:line="480" w:lineRule="auto"/>
        <w:ind w:firstLine="720"/>
      </w:pPr>
      <w:r>
        <w:t xml:space="preserve">Next, we used </w:t>
      </w:r>
      <w:r w:rsidR="00D958A1">
        <w:t xml:space="preserve">population-weighted </w:t>
      </w:r>
      <w:r>
        <w:t xml:space="preserve">exposure information at the country scale for GBD 2013 </w:t>
      </w:r>
      <w:r w:rsidR="00F6301B">
        <w:t xml:space="preserve">based on </w:t>
      </w:r>
      <w:proofErr w:type="spellStart"/>
      <w:r>
        <w:t>Brauer</w:t>
      </w:r>
      <w:proofErr w:type="spellEnd"/>
      <w:r>
        <w:t xml:space="preserve"> et al. (2016, supplement) and for 2015 </w:t>
      </w:r>
      <w:r w:rsidR="00F6301B">
        <w:t xml:space="preserve">based on data from </w:t>
      </w:r>
      <w:r>
        <w:t>the World Bank (2017).  With these inputs and data on cou</w:t>
      </w:r>
      <w:r w:rsidR="00F6301B">
        <w:t>ntry-specific population, we re-</w:t>
      </w:r>
      <w:r>
        <w:t xml:space="preserve">calculated the global estimates of mortality.  Our mortality estimates differ slightly from GBD results because the latter are based on </w:t>
      </w:r>
      <w:r w:rsidR="00AA62BC">
        <w:t xml:space="preserve">the IER applied to </w:t>
      </w:r>
      <w:r>
        <w:t>grid cell calculations (0.1 by 0.1</w:t>
      </w:r>
      <w:r w:rsidR="00CC215F">
        <w:rPr>
          <w:rFonts w:ascii="Cambria Math" w:hAnsi="Cambria Math"/>
        </w:rPr>
        <w:t>°</w:t>
      </w:r>
      <w:r>
        <w:t xml:space="preserve"> resolution, 11 km at the equator) for population and exposure.  Our estimates are based on the </w:t>
      </w:r>
      <w:r w:rsidR="00AA62BC">
        <w:t xml:space="preserve">application of the IERs to the aggregated </w:t>
      </w:r>
      <w:r>
        <w:t>country-specific estimates of population</w:t>
      </w:r>
      <w:r w:rsidR="00AA62BC">
        <w:t>-weighted PM2.5</w:t>
      </w:r>
      <w:r w:rsidR="00066490">
        <w:t xml:space="preserve"> </w:t>
      </w:r>
      <w:r w:rsidR="00AA62BC">
        <w:t>co</w:t>
      </w:r>
      <w:r>
        <w:t xml:space="preserve">ncentrations but are within </w:t>
      </w:r>
      <w:r w:rsidR="00066490">
        <w:t>a few percent</w:t>
      </w:r>
      <w:r>
        <w:t xml:space="preserve"> of the </w:t>
      </w:r>
      <w:r w:rsidR="00CC58B7">
        <w:t xml:space="preserve">official </w:t>
      </w:r>
      <w:r>
        <w:t>GBD estimates</w:t>
      </w:r>
      <w:r w:rsidRPr="00C86C27">
        <w:t xml:space="preserve">.  </w:t>
      </w:r>
      <w:r w:rsidR="00CC58B7" w:rsidRPr="00C86C27">
        <w:t xml:space="preserve">Our </w:t>
      </w:r>
      <w:r w:rsidRPr="00C86C27">
        <w:t xml:space="preserve">results are </w:t>
      </w:r>
      <w:r w:rsidR="00AA1BCD" w:rsidRPr="00C86C27">
        <w:t xml:space="preserve">presented in </w:t>
      </w:r>
      <w:r w:rsidRPr="00C86C27">
        <w:t>Section V</w:t>
      </w:r>
      <w:r w:rsidR="00727F9C" w:rsidRPr="00C86C27">
        <w:t>I</w:t>
      </w:r>
      <w:r w:rsidRPr="00C86C27">
        <w:t>.</w:t>
      </w:r>
      <w:r w:rsidR="00DE7F42" w:rsidRPr="00C86C27">
        <w:t>2</w:t>
      </w:r>
      <w:r w:rsidR="00CC215F">
        <w:t>, which</w:t>
      </w:r>
      <w:r w:rsidR="00163716" w:rsidRPr="00C86C27">
        <w:t xml:space="preserve"> also </w:t>
      </w:r>
      <w:r w:rsidR="00AA1BCD" w:rsidRPr="00C86C27">
        <w:t>shows</w:t>
      </w:r>
      <w:r w:rsidR="00163716" w:rsidRPr="00C86C27">
        <w:t xml:space="preserve"> the separate quantitative </w:t>
      </w:r>
      <w:r w:rsidR="00AA1BCD" w:rsidRPr="00C86C27">
        <w:t>impacts</w:t>
      </w:r>
      <w:r w:rsidR="00163716" w:rsidRPr="00C86C27">
        <w:t xml:space="preserve"> of both the existing and updated </w:t>
      </w:r>
      <w:r w:rsidR="004C5306" w:rsidRPr="00C86C27">
        <w:t xml:space="preserve">(i.e., using the methodology for GBD 2015) </w:t>
      </w:r>
      <w:r w:rsidR="00163716" w:rsidRPr="00C86C27">
        <w:t>exposure and IER inputs.  In Section V</w:t>
      </w:r>
      <w:r w:rsidR="00727F9C" w:rsidRPr="00C86C27">
        <w:t>I</w:t>
      </w:r>
      <w:r w:rsidR="00163716" w:rsidRPr="00C86C27">
        <w:t xml:space="preserve">.3 we </w:t>
      </w:r>
      <w:r w:rsidR="00AA1BCD" w:rsidRPr="00C86C27">
        <w:t xml:space="preserve">detail the quantitative impact of alternative input assumptions </w:t>
      </w:r>
      <w:r w:rsidR="00AA1BCD" w:rsidRPr="00C86C27">
        <w:lastRenderedPageBreak/>
        <w:t>on GBD 2013</w:t>
      </w:r>
      <w:r w:rsidR="00CC215F">
        <w:t>,</w:t>
      </w:r>
      <w:r w:rsidR="00AA1BCD" w:rsidRPr="00C86C27">
        <w:t xml:space="preserve"> </w:t>
      </w:r>
      <w:r w:rsidR="00163716" w:rsidRPr="00C86C27">
        <w:t>while Section V</w:t>
      </w:r>
      <w:r w:rsidR="00727F9C" w:rsidRPr="00C86C27">
        <w:t>I</w:t>
      </w:r>
      <w:r w:rsidR="00163716" w:rsidRPr="00C86C27">
        <w:t xml:space="preserve">.4 details the country-specific changes </w:t>
      </w:r>
      <w:r w:rsidR="00AA1BCD" w:rsidRPr="00C86C27">
        <w:t>in the 2013 estimates</w:t>
      </w:r>
      <w:r w:rsidR="00163716" w:rsidRPr="00C86C27">
        <w:t xml:space="preserve"> </w:t>
      </w:r>
      <w:r w:rsidR="00AA1BCD" w:rsidRPr="00C86C27">
        <w:t xml:space="preserve">as a result of the </w:t>
      </w:r>
      <w:r w:rsidR="00163716" w:rsidRPr="00C86C27">
        <w:t xml:space="preserve">updated </w:t>
      </w:r>
      <w:r w:rsidR="00AA1BCD" w:rsidRPr="00C86C27">
        <w:t>methodology</w:t>
      </w:r>
      <w:r w:rsidR="00163716" w:rsidRPr="00C86C27">
        <w:t xml:space="preserve">.  </w:t>
      </w:r>
      <w:r w:rsidR="00AA1BCD" w:rsidRPr="00C86C27">
        <w:t>Finally,</w:t>
      </w:r>
      <w:r w:rsidR="003F5713" w:rsidRPr="00C86C27">
        <w:t xml:space="preserve"> </w:t>
      </w:r>
      <w:r w:rsidR="00CC215F">
        <w:t xml:space="preserve">Section </w:t>
      </w:r>
      <w:r w:rsidR="00AA1BCD" w:rsidRPr="00C86C27">
        <w:t>V</w:t>
      </w:r>
      <w:r w:rsidR="00727F9C" w:rsidRPr="00C86C27">
        <w:t>I</w:t>
      </w:r>
      <w:r w:rsidR="00AA1BCD" w:rsidRPr="00C86C27">
        <w:t>.</w:t>
      </w:r>
      <w:r w:rsidR="00C86C27" w:rsidRPr="00C86C27">
        <w:t>5</w:t>
      </w:r>
      <w:r w:rsidR="00AA1BCD" w:rsidRPr="00C86C27">
        <w:t xml:space="preserve"> shows the impacts on country- and disease-specific changes due to the updated GBD 2013</w:t>
      </w:r>
      <w:r w:rsidR="00AA1BCD" w:rsidRPr="00423DD5">
        <w:t>.</w:t>
      </w:r>
    </w:p>
    <w:p w14:paraId="3786E5EF" w14:textId="77777777" w:rsidR="00A60177" w:rsidRDefault="00A60177" w:rsidP="00A60177">
      <w:pPr>
        <w:spacing w:after="0" w:line="480" w:lineRule="auto"/>
        <w:ind w:firstLine="720"/>
      </w:pPr>
      <w:r>
        <w:t xml:space="preserve">  </w:t>
      </w:r>
    </w:p>
    <w:p w14:paraId="4D2FDC56" w14:textId="77777777" w:rsidR="00D045BE" w:rsidRPr="00727F9C" w:rsidRDefault="00DC661A" w:rsidP="009039C7">
      <w:pPr>
        <w:spacing w:after="0" w:line="480" w:lineRule="auto"/>
        <w:rPr>
          <w:b/>
        </w:rPr>
      </w:pPr>
      <w:proofErr w:type="gramStart"/>
      <w:r w:rsidRPr="00727F9C">
        <w:rPr>
          <w:b/>
        </w:rPr>
        <w:t>I</w:t>
      </w:r>
      <w:r w:rsidR="00F6301B">
        <w:rPr>
          <w:b/>
        </w:rPr>
        <w:t>V</w:t>
      </w:r>
      <w:r w:rsidR="00D045BE" w:rsidRPr="00727F9C">
        <w:rPr>
          <w:b/>
        </w:rPr>
        <w:t>.</w:t>
      </w:r>
      <w:r w:rsidR="00DE7F42" w:rsidRPr="00727F9C">
        <w:rPr>
          <w:b/>
        </w:rPr>
        <w:t>1</w:t>
      </w:r>
      <w:r w:rsidR="00D045BE" w:rsidRPr="00727F9C">
        <w:rPr>
          <w:b/>
        </w:rPr>
        <w:t>. IER functions used for 2010, 2013 and 2015 GBD.</w:t>
      </w:r>
      <w:proofErr w:type="gramEnd"/>
      <w:r w:rsidR="00D045BE" w:rsidRPr="00727F9C">
        <w:rPr>
          <w:b/>
        </w:rPr>
        <w:t xml:space="preserve"> </w:t>
      </w:r>
    </w:p>
    <w:p w14:paraId="03065D3E" w14:textId="62760F2F" w:rsidR="00A60177" w:rsidRDefault="00DF45B8" w:rsidP="00301175">
      <w:pPr>
        <w:spacing w:after="0" w:line="480" w:lineRule="auto"/>
        <w:ind w:firstLine="720"/>
      </w:pPr>
      <w:r>
        <w:t>T</w:t>
      </w:r>
      <w:r w:rsidR="00A60177" w:rsidRPr="009E2935">
        <w:t>he shape of the functions for IHD, Stroke, COPD, Lung Cancer</w:t>
      </w:r>
      <w:r w:rsidR="00A60177">
        <w:t xml:space="preserve">, for </w:t>
      </w:r>
      <w:r w:rsidR="000A57BF">
        <w:t xml:space="preserve">the </w:t>
      </w:r>
      <w:r w:rsidR="00A60177">
        <w:t>2010, 2013 and 2015 GBD</w:t>
      </w:r>
      <w:r>
        <w:t xml:space="preserve"> are shown in </w:t>
      </w:r>
      <w:r w:rsidR="00EE1705" w:rsidRPr="00DC6E19">
        <w:t>Figure 3</w:t>
      </w:r>
      <w:r w:rsidR="00A60177" w:rsidRPr="00DC6E19">
        <w:t xml:space="preserve">. </w:t>
      </w:r>
      <w:r w:rsidR="00362824" w:rsidRPr="00DC6E19">
        <w:t xml:space="preserve"> </w:t>
      </w:r>
      <w:r w:rsidR="00A60177" w:rsidRPr="00DC6E19">
        <w:t>For</w:t>
      </w:r>
      <w:r w:rsidR="00A60177">
        <w:t xml:space="preserve"> IHD and stroke, the functions </w:t>
      </w:r>
      <w:r w:rsidR="006324CE">
        <w:t xml:space="preserve">and subsequent risk calculations </w:t>
      </w:r>
      <w:r w:rsidR="00A60177">
        <w:t xml:space="preserve">are age-specific so we </w:t>
      </w:r>
      <w:r w:rsidR="006324CE">
        <w:t>display</w:t>
      </w:r>
      <w:r w:rsidR="00A60177">
        <w:t xml:space="preserve"> the functions for </w:t>
      </w:r>
      <w:proofErr w:type="gramStart"/>
      <w:r w:rsidR="00A60177">
        <w:t>ages 75 to 79 which is</w:t>
      </w:r>
      <w:proofErr w:type="gramEnd"/>
      <w:r w:rsidR="00A60177">
        <w:t xml:space="preserve"> among the highest risk group.  </w:t>
      </w:r>
      <w:r w:rsidR="006324CE">
        <w:t xml:space="preserve">Figure 3 also indicates the change in the </w:t>
      </w:r>
      <w:proofErr w:type="spellStart"/>
      <w:r w:rsidR="006324CE">
        <w:t>counterfactural</w:t>
      </w:r>
      <w:proofErr w:type="spellEnd"/>
      <w:r w:rsidR="006324CE">
        <w:t xml:space="preserve"> or minimum risk exposure level as reported in Table 1.  These changes also influenced the shape of the curve.  </w:t>
      </w:r>
    </w:p>
    <w:p w14:paraId="2633BCD0" w14:textId="77777777" w:rsidR="00A60177" w:rsidRDefault="00A60177" w:rsidP="00A60177"/>
    <w:p w14:paraId="29DF2E44" w14:textId="7A3AE824" w:rsidR="00FE09D4" w:rsidRDefault="00DC661A" w:rsidP="00070A0D">
      <w:pPr>
        <w:spacing w:after="0" w:line="480" w:lineRule="auto"/>
      </w:pPr>
      <w:r w:rsidRPr="00727F9C">
        <w:rPr>
          <w:b/>
        </w:rPr>
        <w:t>I</w:t>
      </w:r>
      <w:r w:rsidR="004B4168">
        <w:rPr>
          <w:b/>
        </w:rPr>
        <w:t>V</w:t>
      </w:r>
      <w:r w:rsidR="00DE7F42" w:rsidRPr="00727F9C">
        <w:rPr>
          <w:b/>
        </w:rPr>
        <w:t>.2.</w:t>
      </w:r>
      <w:r w:rsidR="00DE7F42">
        <w:t xml:space="preserve"> </w:t>
      </w:r>
      <w:r w:rsidR="00B1244C" w:rsidRPr="00B1244C">
        <w:rPr>
          <w:b/>
        </w:rPr>
        <w:t>Decompos</w:t>
      </w:r>
      <w:r w:rsidR="00070A0D">
        <w:rPr>
          <w:b/>
        </w:rPr>
        <w:t xml:space="preserve">ing </w:t>
      </w:r>
      <w:r w:rsidR="00FE09D4">
        <w:rPr>
          <w:b/>
        </w:rPr>
        <w:t xml:space="preserve">Global </w:t>
      </w:r>
      <w:r w:rsidR="00070A0D">
        <w:rPr>
          <w:b/>
        </w:rPr>
        <w:t>Changes from GBD 201</w:t>
      </w:r>
      <w:r w:rsidR="00E26AC2">
        <w:rPr>
          <w:b/>
        </w:rPr>
        <w:t>3</w:t>
      </w:r>
      <w:r w:rsidR="00070A0D">
        <w:rPr>
          <w:b/>
        </w:rPr>
        <w:t xml:space="preserve"> to</w:t>
      </w:r>
      <w:r w:rsidR="00B1244C" w:rsidRPr="00B1244C">
        <w:rPr>
          <w:b/>
        </w:rPr>
        <w:t xml:space="preserve"> GBD 2015</w:t>
      </w:r>
      <w:r w:rsidR="00B1244C">
        <w:t xml:space="preserve">. </w:t>
      </w:r>
    </w:p>
    <w:p w14:paraId="71FEA1BE" w14:textId="40E8A138" w:rsidR="00E67AE5" w:rsidRDefault="00202886" w:rsidP="00707F6A">
      <w:pPr>
        <w:spacing w:after="0" w:line="480" w:lineRule="auto"/>
        <w:ind w:firstLine="720"/>
      </w:pPr>
      <w:r>
        <w:t xml:space="preserve">In this section we quantify the mortality impacts of input changes from 2013 to 2015.  </w:t>
      </w:r>
      <w:r w:rsidR="00FE09D4">
        <w:t>W</w:t>
      </w:r>
      <w:r w:rsidR="00A60177">
        <w:t xml:space="preserve">e </w:t>
      </w:r>
      <w:r>
        <w:t xml:space="preserve">begin with mortality estimates based on the GBD 2013 methodology and then quantify the changes in 2013 mortality after </w:t>
      </w:r>
      <w:r w:rsidR="00A60177">
        <w:t xml:space="preserve">separately </w:t>
      </w:r>
      <w:r>
        <w:t xml:space="preserve">applying the 2015 </w:t>
      </w:r>
      <w:r w:rsidR="009031E5">
        <w:t xml:space="preserve">exposure and </w:t>
      </w:r>
      <w:r w:rsidR="00A60177">
        <w:t>IER</w:t>
      </w:r>
      <w:r>
        <w:t xml:space="preserve"> methodologies</w:t>
      </w:r>
      <w:r w:rsidR="00A60177" w:rsidRPr="00F00353">
        <w:t xml:space="preserve">.  </w:t>
      </w:r>
      <w:r w:rsidR="00C31788">
        <w:t xml:space="preserve">In this way, we can better understand the factors that led to the significant increase from the original 2013 estimates to those </w:t>
      </w:r>
      <w:r w:rsidR="00EA1B64">
        <w:t xml:space="preserve">published in </w:t>
      </w:r>
      <w:r w:rsidR="00C31788">
        <w:t xml:space="preserve">2015.  </w:t>
      </w:r>
      <w:r w:rsidR="00A60177" w:rsidRPr="00F00353">
        <w:t xml:space="preserve">Figure </w:t>
      </w:r>
      <w:r w:rsidR="00B6268C">
        <w:t>4</w:t>
      </w:r>
      <w:r w:rsidR="00A60177" w:rsidRPr="00F00353">
        <w:t xml:space="preserve"> provides</w:t>
      </w:r>
      <w:r w:rsidR="00A60177">
        <w:t xml:space="preserve"> our estimates for GBD 2013 and GBD 2015 under different assumptions.  Column 1 is our result for the GBD 2013 IERs and exposures </w:t>
      </w:r>
      <w:r w:rsidR="00070A0D">
        <w:t xml:space="preserve">(the latter </w:t>
      </w:r>
      <w:r w:rsidR="00A60177">
        <w:t xml:space="preserve">from </w:t>
      </w:r>
      <w:proofErr w:type="spellStart"/>
      <w:r w:rsidR="00A60177">
        <w:t>Brauer</w:t>
      </w:r>
      <w:proofErr w:type="spellEnd"/>
      <w:r w:rsidR="00A60177">
        <w:t xml:space="preserve"> et al. 2016)</w:t>
      </w:r>
      <w:r w:rsidR="00070A0D">
        <w:t xml:space="preserve"> which</w:t>
      </w:r>
      <w:r w:rsidR="00A60177">
        <w:t xml:space="preserve"> </w:t>
      </w:r>
      <w:r w:rsidR="00070A0D">
        <w:t xml:space="preserve">generated </w:t>
      </w:r>
      <w:r w:rsidR="00A60177">
        <w:t xml:space="preserve">a total of 3.06 </w:t>
      </w:r>
      <w:r w:rsidR="00CE69A3">
        <w:t xml:space="preserve">million </w:t>
      </w:r>
      <w:r w:rsidR="00A60177">
        <w:t>deaths</w:t>
      </w:r>
      <w:r w:rsidR="00CE69A3">
        <w:t xml:space="preserve"> </w:t>
      </w:r>
      <w:r w:rsidR="00070A0D">
        <w:t xml:space="preserve">for </w:t>
      </w:r>
      <w:r w:rsidR="00CE69A3">
        <w:t>the year 2013</w:t>
      </w:r>
      <w:r w:rsidR="00A60177">
        <w:t xml:space="preserve">.  This compares with the </w:t>
      </w:r>
      <w:r w:rsidR="003F5713">
        <w:t xml:space="preserve">original </w:t>
      </w:r>
      <w:r w:rsidR="00A60177">
        <w:t xml:space="preserve">GBD estimate for 2013 of 2.92 million.  The second column holds everything constant including the 2013 IERs but </w:t>
      </w:r>
      <w:r w:rsidR="000A57BF" w:rsidRPr="00707F6A">
        <w:t>updates</w:t>
      </w:r>
      <w:r w:rsidR="00A60177" w:rsidRPr="00707F6A">
        <w:t xml:space="preserve"> the </w:t>
      </w:r>
      <w:r w:rsidR="000A57BF" w:rsidRPr="00707F6A">
        <w:t xml:space="preserve">2013 </w:t>
      </w:r>
      <w:r w:rsidR="00F4590F">
        <w:t xml:space="preserve">population </w:t>
      </w:r>
      <w:r w:rsidR="00A60177" w:rsidRPr="00707F6A">
        <w:t xml:space="preserve">exposure </w:t>
      </w:r>
      <w:r w:rsidR="000A57BF" w:rsidRPr="00707F6A">
        <w:t>using</w:t>
      </w:r>
      <w:r w:rsidR="000A57BF" w:rsidRPr="004C5306">
        <w:t xml:space="preserve"> the </w:t>
      </w:r>
      <w:r w:rsidR="004C5306" w:rsidRPr="004C5306">
        <w:t xml:space="preserve">same exposure </w:t>
      </w:r>
      <w:r w:rsidR="000A57BF" w:rsidRPr="004C5306">
        <w:t xml:space="preserve">methodology </w:t>
      </w:r>
      <w:r w:rsidR="004C5306" w:rsidRPr="004C5306">
        <w:t>used in GBD</w:t>
      </w:r>
      <w:r w:rsidR="000A57BF" w:rsidRPr="004C5306">
        <w:t xml:space="preserve"> 2015</w:t>
      </w:r>
      <w:r w:rsidR="00A60177">
        <w:t xml:space="preserve">.  </w:t>
      </w:r>
      <w:r w:rsidR="004C5306">
        <w:t>This resulted in</w:t>
      </w:r>
      <w:r w:rsidR="00A60177">
        <w:t xml:space="preserve"> an 8% increase over </w:t>
      </w:r>
      <w:r w:rsidR="000A57BF">
        <w:t xml:space="preserve">the original </w:t>
      </w:r>
      <w:r w:rsidR="00A60177">
        <w:t xml:space="preserve">2013 </w:t>
      </w:r>
      <w:r w:rsidR="000A57BF">
        <w:t xml:space="preserve">estimate </w:t>
      </w:r>
      <w:r w:rsidR="00A60177">
        <w:t>to 3.3</w:t>
      </w:r>
      <w:r w:rsidR="00CE69A3">
        <w:t>1</w:t>
      </w:r>
      <w:r w:rsidR="00A60177">
        <w:t xml:space="preserve"> million deaths.  Column 3 keeps the </w:t>
      </w:r>
      <w:r w:rsidR="00B2094C">
        <w:t xml:space="preserve">original </w:t>
      </w:r>
      <w:r w:rsidR="00A60177">
        <w:t xml:space="preserve">2013 exposures but </w:t>
      </w:r>
      <w:r w:rsidR="00B2094C">
        <w:t>applies</w:t>
      </w:r>
      <w:r w:rsidR="00A60177">
        <w:t xml:space="preserve"> the </w:t>
      </w:r>
      <w:r w:rsidR="004C5306">
        <w:t xml:space="preserve">IERs used for GBD </w:t>
      </w:r>
      <w:r w:rsidR="00A60177">
        <w:t>2015</w:t>
      </w:r>
      <w:r w:rsidR="003F5713">
        <w:t xml:space="preserve"> </w:t>
      </w:r>
      <w:r w:rsidR="007A4CBB">
        <w:t>to</w:t>
      </w:r>
      <w:r w:rsidR="003F5713">
        <w:t xml:space="preserve"> the 2013 data</w:t>
      </w:r>
      <w:r w:rsidR="004C5306">
        <w:t>.</w:t>
      </w:r>
      <w:r w:rsidR="00A60177">
        <w:t xml:space="preserve">  This generate</w:t>
      </w:r>
      <w:r w:rsidR="004C5306">
        <w:t>d</w:t>
      </w:r>
      <w:r w:rsidR="00A60177">
        <w:t xml:space="preserve"> an increase over </w:t>
      </w:r>
      <w:r w:rsidR="004C5306">
        <w:t xml:space="preserve">GBD </w:t>
      </w:r>
      <w:r w:rsidR="00A60177">
        <w:t xml:space="preserve">2013 by 23% to 3.75 million deaths, indicating that the 2015 IERs added about 710,000 deaths to the </w:t>
      </w:r>
      <w:r w:rsidR="00CE69A3">
        <w:t xml:space="preserve">original </w:t>
      </w:r>
      <w:r w:rsidR="00A60177">
        <w:t xml:space="preserve">2013 GBD estimate.  </w:t>
      </w:r>
      <w:r w:rsidR="00A60177">
        <w:lastRenderedPageBreak/>
        <w:t xml:space="preserve">Next, column 4 </w:t>
      </w:r>
      <w:r w:rsidR="00B2094C">
        <w:t xml:space="preserve">combines </w:t>
      </w:r>
      <w:r w:rsidR="00A60177">
        <w:t>the IERs from GBD 2015 and the updated exposures</w:t>
      </w:r>
      <w:r w:rsidR="004C5306">
        <w:t xml:space="preserve"> (using GBD 2015 methodology)</w:t>
      </w:r>
      <w:r w:rsidR="00A60177">
        <w:t xml:space="preserve"> for GBD 2013 which </w:t>
      </w:r>
      <w:r w:rsidR="00B2094C">
        <w:t xml:space="preserve">together </w:t>
      </w:r>
      <w:r w:rsidR="00A60177">
        <w:t>generate</w:t>
      </w:r>
      <w:r w:rsidR="003F5713">
        <w:t>d</w:t>
      </w:r>
      <w:r w:rsidR="00A60177">
        <w:t xml:space="preserve"> a 35% increase over 2013 </w:t>
      </w:r>
      <w:r w:rsidR="00A60177" w:rsidRPr="003B3A27">
        <w:t>to 4.1</w:t>
      </w:r>
      <w:r w:rsidR="00A60177">
        <w:t>2</w:t>
      </w:r>
      <w:r w:rsidR="00A60177" w:rsidRPr="003B3A27">
        <w:t xml:space="preserve"> million</w:t>
      </w:r>
      <w:r w:rsidR="00A60177">
        <w:t xml:space="preserve">.  The difference between the 4.12 and 3.06 million deaths </w:t>
      </w:r>
      <w:r w:rsidR="00B2094C">
        <w:t xml:space="preserve">(column 4 minus column 1) </w:t>
      </w:r>
      <w:r w:rsidR="00A60177">
        <w:t xml:space="preserve">reflects the changes in </w:t>
      </w:r>
      <w:r w:rsidR="0027541E">
        <w:t xml:space="preserve">both the exposure assessment and IER </w:t>
      </w:r>
      <w:r w:rsidR="00A60177">
        <w:t xml:space="preserve">methodology.  </w:t>
      </w:r>
    </w:p>
    <w:p w14:paraId="294E065C" w14:textId="77777777" w:rsidR="00F46046" w:rsidRDefault="00A60177" w:rsidP="00A60177">
      <w:pPr>
        <w:spacing w:after="0" w:line="480" w:lineRule="auto"/>
        <w:ind w:firstLine="720"/>
      </w:pPr>
      <w:r>
        <w:t xml:space="preserve">Finally, </w:t>
      </w:r>
      <w:r w:rsidR="00E67AE5">
        <w:t xml:space="preserve">in </w:t>
      </w:r>
      <w:r>
        <w:t xml:space="preserve">column 5 </w:t>
      </w:r>
      <w:r w:rsidR="00E67AE5">
        <w:t xml:space="preserve">we used </w:t>
      </w:r>
      <w:r>
        <w:t xml:space="preserve">both the IERs and exposures from GBD 2015 </w:t>
      </w:r>
      <w:r w:rsidR="00E67AE5">
        <w:t>which</w:t>
      </w:r>
      <w:r>
        <w:t xml:space="preserve"> generates a total mortality of 4.31 million</w:t>
      </w:r>
      <w:r w:rsidR="00CE69A3">
        <w:t xml:space="preserve"> in the year 2015</w:t>
      </w:r>
      <w:r>
        <w:t xml:space="preserve">, a 41% increase over the </w:t>
      </w:r>
      <w:r w:rsidR="00CE69A3">
        <w:t xml:space="preserve">original </w:t>
      </w:r>
      <w:r>
        <w:t>GBD 2013 estimates</w:t>
      </w:r>
      <w:r w:rsidR="00CE69A3">
        <w:t xml:space="preserve"> for the year 2013</w:t>
      </w:r>
      <w:r>
        <w:t xml:space="preserve">.  Our calculation is about 1.6% </w:t>
      </w:r>
      <w:r w:rsidR="002E35F7">
        <w:t>more</w:t>
      </w:r>
      <w:r w:rsidR="004B58A9">
        <w:t xml:space="preserve"> </w:t>
      </w:r>
      <w:r>
        <w:t xml:space="preserve">than that of the official GBD 2015 </w:t>
      </w:r>
      <w:r w:rsidR="00647CF7">
        <w:t xml:space="preserve">estimate </w:t>
      </w:r>
      <w:r>
        <w:t>of 4.24 million.   Overall, our analysis indicates that the change in IERs from 2013 to 2015 generated most of the increase in the GBD estimate over this time period, but exp</w:t>
      </w:r>
      <w:r w:rsidR="0097495A">
        <w:t xml:space="preserve">osures played some role </w:t>
      </w:r>
      <w:r w:rsidR="002E35F7">
        <w:t xml:space="preserve">in certain </w:t>
      </w:r>
      <w:r w:rsidR="002E35F7" w:rsidRPr="00F00353">
        <w:t xml:space="preserve">countries </w:t>
      </w:r>
      <w:r w:rsidR="0097495A" w:rsidRPr="00F00353">
        <w:t>(</w:t>
      </w:r>
      <w:r w:rsidR="00E67AE5" w:rsidRPr="00F00353">
        <w:t>see Table</w:t>
      </w:r>
      <w:r w:rsidR="002E35F7" w:rsidRPr="00F00353">
        <w:t xml:space="preserve">s </w:t>
      </w:r>
      <w:r w:rsidR="00C140C9">
        <w:t>2</w:t>
      </w:r>
      <w:r w:rsidR="002E35F7" w:rsidRPr="00F00353">
        <w:t xml:space="preserve"> and</w:t>
      </w:r>
      <w:r w:rsidR="00970316" w:rsidRPr="00F00353">
        <w:t xml:space="preserve"> </w:t>
      </w:r>
      <w:r w:rsidR="00C140C9">
        <w:t>3</w:t>
      </w:r>
      <w:r w:rsidR="0097495A" w:rsidRPr="00F00353">
        <w:t>).</w:t>
      </w:r>
      <w:r>
        <w:t xml:space="preserve">  </w:t>
      </w:r>
      <w:r w:rsidR="00407FA5">
        <w:t xml:space="preserve">Using </w:t>
      </w:r>
      <w:r>
        <w:t xml:space="preserve">the updated </w:t>
      </w:r>
      <w:r w:rsidR="0097495A">
        <w:t xml:space="preserve">IERs and </w:t>
      </w:r>
      <w:r>
        <w:t>exposure estimate</w:t>
      </w:r>
      <w:r w:rsidR="00E67AE5">
        <w:t>s</w:t>
      </w:r>
      <w:r>
        <w:t xml:space="preserve"> for 2013, there is an estimated </w:t>
      </w:r>
      <w:r w:rsidR="003F5713">
        <w:t xml:space="preserve">increase of </w:t>
      </w:r>
      <w:r>
        <w:t xml:space="preserve">190,000 deaths </w:t>
      </w:r>
      <w:r w:rsidR="00407FA5">
        <w:t xml:space="preserve">moving to GBD </w:t>
      </w:r>
      <w:r>
        <w:t>2015</w:t>
      </w:r>
      <w:r w:rsidR="00407FA5">
        <w:t xml:space="preserve"> (i.e., the difference between column 5 and 4)</w:t>
      </w:r>
      <w:r w:rsidR="0097495A">
        <w:t xml:space="preserve">.  </w:t>
      </w:r>
      <w:r w:rsidR="00407FA5">
        <w:t xml:space="preserve">This is </w:t>
      </w:r>
      <w:r w:rsidR="003F5713">
        <w:t>in contrast</w:t>
      </w:r>
      <w:r w:rsidR="00407FA5">
        <w:t xml:space="preserve"> to the difference between the original estimates of GBD 2013 and GBD 2015 of </w:t>
      </w:r>
      <w:r w:rsidR="003176EC">
        <w:t xml:space="preserve">about 1.3 million.  The updated difference of 190,000 deaths </w:t>
      </w:r>
      <w:r w:rsidR="00187E51">
        <w:t xml:space="preserve">is related </w:t>
      </w:r>
      <w:r w:rsidR="0097495A">
        <w:t xml:space="preserve">primarily to </w:t>
      </w:r>
      <w:r w:rsidR="00802FED">
        <w:t xml:space="preserve">demographic changes including </w:t>
      </w:r>
      <w:r w:rsidR="0097495A">
        <w:t>population growth</w:t>
      </w:r>
      <w:r w:rsidR="00187E51">
        <w:t xml:space="preserve">, </w:t>
      </w:r>
      <w:r w:rsidR="00802FED">
        <w:t>changes in disease prevalence</w:t>
      </w:r>
      <w:r w:rsidR="0097495A">
        <w:t xml:space="preserve"> and aging</w:t>
      </w:r>
      <w:r w:rsidR="00187E51">
        <w:t xml:space="preserve"> which added 145,000 deaths in 2015</w:t>
      </w:r>
      <w:r w:rsidR="0068300D">
        <w:t>.</w:t>
      </w:r>
      <w:r w:rsidR="00414E6E">
        <w:t xml:space="preserve"> </w:t>
      </w:r>
      <w:r w:rsidR="0068300D">
        <w:t xml:space="preserve"> </w:t>
      </w:r>
      <w:r w:rsidR="00187E51">
        <w:t>Over half of these demographic</w:t>
      </w:r>
      <w:r w:rsidR="00414E6E">
        <w:t>-related</w:t>
      </w:r>
      <w:r w:rsidR="00187E51">
        <w:t xml:space="preserve"> changes occurred</w:t>
      </w:r>
      <w:r w:rsidR="00170018">
        <w:t xml:space="preserve"> in China </w:t>
      </w:r>
      <w:r w:rsidR="00170018" w:rsidRPr="00414E6E">
        <w:t>and India</w:t>
      </w:r>
      <w:r w:rsidR="00414E6E">
        <w:t>.</w:t>
      </w:r>
      <w:r w:rsidR="0097495A" w:rsidRPr="00414E6E">
        <w:t xml:space="preserve"> </w:t>
      </w:r>
      <w:r w:rsidR="003176EC">
        <w:t xml:space="preserve">The remaining increment in mortality of </w:t>
      </w:r>
      <w:r w:rsidR="0097495A">
        <w:t xml:space="preserve">around </w:t>
      </w:r>
      <w:r w:rsidR="003176EC">
        <w:t>45</w:t>
      </w:r>
      <w:r w:rsidR="0097495A">
        <w:t>,000 additional deaths</w:t>
      </w:r>
      <w:r w:rsidR="003176EC">
        <w:t xml:space="preserve"> is</w:t>
      </w:r>
      <w:r w:rsidR="0097495A">
        <w:t xml:space="preserve"> due to </w:t>
      </w:r>
      <w:r w:rsidR="00414E6E">
        <w:t xml:space="preserve">changes in </w:t>
      </w:r>
      <w:r w:rsidR="00170018">
        <w:t xml:space="preserve">exposures. </w:t>
      </w:r>
      <w:r w:rsidR="0097495A">
        <w:t xml:space="preserve"> </w:t>
      </w:r>
    </w:p>
    <w:p w14:paraId="508FFB52" w14:textId="377DA9CD" w:rsidR="00A60177" w:rsidRDefault="00F46046" w:rsidP="00A60177">
      <w:pPr>
        <w:spacing w:after="0" w:line="480" w:lineRule="auto"/>
        <w:ind w:firstLine="720"/>
      </w:pPr>
      <w:r w:rsidRPr="001A13EE">
        <w:rPr>
          <w:b/>
        </w:rPr>
        <w:t>We also examined the impact of changes in the counterfactual from 2013 to 2015.  Recall that the simulations of the mortality impact assumed a unifor</w:t>
      </w:r>
      <w:r>
        <w:rPr>
          <w:b/>
        </w:rPr>
        <w:t xml:space="preserve">m distribution from </w:t>
      </w:r>
      <w:r w:rsidR="00E973A8">
        <w:rPr>
          <w:b/>
        </w:rPr>
        <w:t>5.8</w:t>
      </w:r>
      <w:r>
        <w:rPr>
          <w:b/>
        </w:rPr>
        <w:t xml:space="preserve"> </w:t>
      </w:r>
      <w:proofErr w:type="gramStart"/>
      <w:r>
        <w:rPr>
          <w:b/>
        </w:rPr>
        <w:t xml:space="preserve">to </w:t>
      </w:r>
      <w:r w:rsidR="00E973A8">
        <w:rPr>
          <w:b/>
        </w:rPr>
        <w:t>8.7</w:t>
      </w:r>
      <w:r>
        <w:rPr>
          <w:b/>
        </w:rPr>
        <w:t xml:space="preserve"> µ</w:t>
      </w:r>
      <w:r w:rsidRPr="001A13EE">
        <w:rPr>
          <w:b/>
        </w:rPr>
        <w:t>g/m</w:t>
      </w:r>
      <w:r w:rsidRPr="00F46046">
        <w:rPr>
          <w:b/>
          <w:vertAlign w:val="superscript"/>
        </w:rPr>
        <w:t>3</w:t>
      </w:r>
      <w:proofErr w:type="gramEnd"/>
      <w:r w:rsidRPr="001A13EE">
        <w:rPr>
          <w:b/>
        </w:rPr>
        <w:t xml:space="preserve"> for GBD 2013 and from 2.3 to </w:t>
      </w:r>
      <w:r w:rsidR="00E973A8">
        <w:rPr>
          <w:b/>
        </w:rPr>
        <w:t>5.9</w:t>
      </w:r>
      <w:r w:rsidRPr="001A13EE">
        <w:rPr>
          <w:b/>
        </w:rPr>
        <w:t xml:space="preserve"> for GBD 2015.  'Since the IERs are constrained to reach a risk of 1.0 at the lower bound, the shape of the IER will be impacted</w:t>
      </w:r>
      <w:r>
        <w:rPr>
          <w:b/>
        </w:rPr>
        <w:t xml:space="preserve"> as the counterfactual changes</w:t>
      </w:r>
      <w:r w:rsidRPr="001A13EE">
        <w:rPr>
          <w:b/>
        </w:rPr>
        <w:t xml:space="preserve">.  As a result, we found that the counterfactual change itself adds about 175,000 deaths globally to GBD 2013, a 6% increase.  The </w:t>
      </w:r>
      <w:r w:rsidRPr="001A13EE">
        <w:rPr>
          <w:b/>
        </w:rPr>
        <w:lastRenderedPageBreak/>
        <w:t>country level impact varies significantly with about 75% of the change occurring in countries with a population-</w:t>
      </w:r>
      <w:r>
        <w:rPr>
          <w:b/>
        </w:rPr>
        <w:t>weighted exposure less than 30 µ</w:t>
      </w:r>
      <w:r w:rsidRPr="001A13EE">
        <w:rPr>
          <w:b/>
        </w:rPr>
        <w:t>g/m</w:t>
      </w:r>
      <w:r w:rsidRPr="00F46046">
        <w:rPr>
          <w:b/>
          <w:vertAlign w:val="superscript"/>
        </w:rPr>
        <w:t>3</w:t>
      </w:r>
    </w:p>
    <w:p w14:paraId="3EA95806" w14:textId="77777777" w:rsidR="0090138D" w:rsidRDefault="0090138D" w:rsidP="00A60177">
      <w:pPr>
        <w:spacing w:after="0" w:line="480" w:lineRule="auto"/>
      </w:pPr>
    </w:p>
    <w:p w14:paraId="01A2B2DA" w14:textId="77777777" w:rsidR="00FE09D4" w:rsidRDefault="00DE7F42" w:rsidP="00A60177">
      <w:pPr>
        <w:spacing w:after="0" w:line="480" w:lineRule="auto"/>
      </w:pPr>
      <w:r w:rsidRPr="00727F9C">
        <w:rPr>
          <w:b/>
        </w:rPr>
        <w:t>V</w:t>
      </w:r>
      <w:r w:rsidR="00DC661A" w:rsidRPr="00727F9C">
        <w:rPr>
          <w:b/>
        </w:rPr>
        <w:t>I</w:t>
      </w:r>
      <w:r w:rsidRPr="00727F9C">
        <w:rPr>
          <w:b/>
        </w:rPr>
        <w:t>.3</w:t>
      </w:r>
      <w:r>
        <w:t xml:space="preserve">. </w:t>
      </w:r>
      <w:r>
        <w:rPr>
          <w:b/>
        </w:rPr>
        <w:t>Disaggregation</w:t>
      </w:r>
      <w:r w:rsidR="0076653A" w:rsidRPr="0076653A">
        <w:rPr>
          <w:b/>
        </w:rPr>
        <w:t xml:space="preserve"> by disease</w:t>
      </w:r>
      <w:r w:rsidR="0076653A">
        <w:t xml:space="preserve"> </w:t>
      </w:r>
    </w:p>
    <w:p w14:paraId="4ECCCD29" w14:textId="6AE7E9BF" w:rsidR="00FF4A38" w:rsidRDefault="00A60177" w:rsidP="00707F6A">
      <w:pPr>
        <w:spacing w:after="0" w:line="480" w:lineRule="auto"/>
        <w:ind w:firstLine="720"/>
      </w:pPr>
      <w:r w:rsidRPr="00F00353">
        <w:t xml:space="preserve">Figure </w:t>
      </w:r>
      <w:r w:rsidR="00B6268C">
        <w:t>5</w:t>
      </w:r>
      <w:r w:rsidRPr="00F00353">
        <w:t xml:space="preserve"> shows</w:t>
      </w:r>
      <w:r>
        <w:t xml:space="preserve"> the breakdown by disease for each of these estimates</w:t>
      </w:r>
      <w:r w:rsidR="0090138D">
        <w:t xml:space="preserve"> that were generated and displayed in Figure </w:t>
      </w:r>
      <w:r w:rsidR="00B6268C">
        <w:t>4</w:t>
      </w:r>
      <w:r w:rsidR="00E60BCB">
        <w:t xml:space="preserve">.  </w:t>
      </w:r>
      <w:r>
        <w:t xml:space="preserve">While 2013 IHD increased in absolute number from the first column </w:t>
      </w:r>
      <w:r w:rsidR="00027522">
        <w:t xml:space="preserve">(2013 IER and 2013 exposure: </w:t>
      </w:r>
      <w:r w:rsidR="008E797A">
        <w:t xml:space="preserve">1,183,782 deaths) </w:t>
      </w:r>
      <w:r>
        <w:t xml:space="preserve">to the </w:t>
      </w:r>
      <w:r w:rsidR="00027522">
        <w:t xml:space="preserve">third column (2015 IER and 2013 exposure: </w:t>
      </w:r>
      <w:r w:rsidR="00A4237C">
        <w:t>1,463,059 deaths)</w:t>
      </w:r>
      <w:r>
        <w:t>, it slightly decreased as a share of the total from 39% to 36%.  Stroke mortality also decreased as a percent of the total.  The proportion of respiratory deaths (COPD plus LRI) increased from about 17% of the total in GBD 2013 to about 36% in GBD 2015, and lung cancer deaths decreased from</w:t>
      </w:r>
      <w:r w:rsidR="00F509B5">
        <w:t xml:space="preserve"> 13% in GBD 2013 to </w:t>
      </w:r>
      <w:proofErr w:type="gramStart"/>
      <w:r w:rsidR="00F509B5">
        <w:t>under</w:t>
      </w:r>
      <w:proofErr w:type="gramEnd"/>
      <w:r w:rsidR="00F509B5">
        <w:t xml:space="preserve"> 7% in GBD 2015</w:t>
      </w:r>
      <w:r>
        <w:t xml:space="preserve">. </w:t>
      </w:r>
    </w:p>
    <w:p w14:paraId="59B41269" w14:textId="21E78453" w:rsidR="00A60177" w:rsidRDefault="00A60177" w:rsidP="00707F6A">
      <w:pPr>
        <w:spacing w:after="0" w:line="480" w:lineRule="auto"/>
        <w:ind w:firstLine="720"/>
      </w:pPr>
      <w:r>
        <w:t xml:space="preserve"> </w:t>
      </w:r>
    </w:p>
    <w:p w14:paraId="02AC292D" w14:textId="5DFF4124" w:rsidR="00FE09D4" w:rsidRDefault="00DC661A" w:rsidP="00A60177">
      <w:pPr>
        <w:spacing w:after="0" w:line="480" w:lineRule="auto"/>
      </w:pPr>
      <w:r w:rsidRPr="00727F9C">
        <w:rPr>
          <w:b/>
        </w:rPr>
        <w:t>I</w:t>
      </w:r>
      <w:r w:rsidR="00E60BCB">
        <w:rPr>
          <w:b/>
        </w:rPr>
        <w:t>V</w:t>
      </w:r>
      <w:r w:rsidR="00DE7F42" w:rsidRPr="00727F9C">
        <w:rPr>
          <w:b/>
        </w:rPr>
        <w:t>.4.</w:t>
      </w:r>
      <w:r w:rsidR="0090138D">
        <w:t xml:space="preserve"> </w:t>
      </w:r>
      <w:r w:rsidR="00306BB7" w:rsidRPr="00D54C72">
        <w:rPr>
          <w:b/>
        </w:rPr>
        <w:t>Global and</w:t>
      </w:r>
      <w:r w:rsidR="00306BB7">
        <w:t xml:space="preserve"> </w:t>
      </w:r>
      <w:r w:rsidR="00FE09D4" w:rsidRPr="00FE09D4">
        <w:rPr>
          <w:b/>
        </w:rPr>
        <w:t xml:space="preserve">Country-specific </w:t>
      </w:r>
      <w:r w:rsidR="002658A9">
        <w:rPr>
          <w:b/>
        </w:rPr>
        <w:t xml:space="preserve">Mortality </w:t>
      </w:r>
      <w:r w:rsidR="00FE09D4" w:rsidRPr="00FE09D4">
        <w:rPr>
          <w:b/>
        </w:rPr>
        <w:t>Impacts of updating GBD 2013</w:t>
      </w:r>
      <w:r w:rsidR="0076653A">
        <w:t xml:space="preserve"> </w:t>
      </w:r>
    </w:p>
    <w:p w14:paraId="21B44D89" w14:textId="0470678C" w:rsidR="00A60177" w:rsidRDefault="00E67AE5" w:rsidP="00FE09D4">
      <w:pPr>
        <w:spacing w:after="0" w:line="480" w:lineRule="auto"/>
        <w:ind w:firstLine="720"/>
      </w:pPr>
      <w:r>
        <w:t>Next</w:t>
      </w:r>
      <w:r w:rsidR="002225AA">
        <w:t>,</w:t>
      </w:r>
      <w:r w:rsidR="00A60177">
        <w:t xml:space="preserve"> we examine the country-specific effects for GBD 2013 using the </w:t>
      </w:r>
      <w:r>
        <w:t>new methodology</w:t>
      </w:r>
      <w:r w:rsidR="00F509B5">
        <w:t xml:space="preserve"> </w:t>
      </w:r>
      <w:r w:rsidR="00A60177">
        <w:t xml:space="preserve">for the IERs and </w:t>
      </w:r>
      <w:r w:rsidR="0090138D">
        <w:t xml:space="preserve">the updated </w:t>
      </w:r>
      <w:r w:rsidR="00A60177">
        <w:t>exposures</w:t>
      </w:r>
      <w:r w:rsidR="00A60177" w:rsidRPr="00F00353">
        <w:t xml:space="preserve">.  </w:t>
      </w:r>
      <w:r w:rsidRPr="00F00353">
        <w:t xml:space="preserve">Table </w:t>
      </w:r>
      <w:r w:rsidR="00C140C9">
        <w:t>2</w:t>
      </w:r>
      <w:r w:rsidR="00F509B5">
        <w:t xml:space="preserve"> summarizes</w:t>
      </w:r>
      <w:r w:rsidR="00A60177">
        <w:t xml:space="preserve"> the alternative assumptions and subsequent mortality </w:t>
      </w:r>
      <w:r>
        <w:t>globally</w:t>
      </w:r>
      <w:r w:rsidR="002225AA">
        <w:t>,</w:t>
      </w:r>
      <w:r>
        <w:t xml:space="preserve"> and </w:t>
      </w:r>
      <w:r w:rsidR="00A60177">
        <w:t xml:space="preserve">for 12 </w:t>
      </w:r>
      <w:r>
        <w:t>countries with high pollution-related mortality</w:t>
      </w:r>
      <w:r w:rsidR="00A60177">
        <w:t xml:space="preserve">.  Columns 2 and 3 show </w:t>
      </w:r>
      <w:r w:rsidR="004E6D35">
        <w:t xml:space="preserve">the original GBD 2013 </w:t>
      </w:r>
      <w:r w:rsidR="00A60177">
        <w:t xml:space="preserve">PM2.5 </w:t>
      </w:r>
      <w:r w:rsidR="004E6D35">
        <w:t xml:space="preserve">concentrations and </w:t>
      </w:r>
      <w:proofErr w:type="gramStart"/>
      <w:r w:rsidR="00A60177">
        <w:t>attributable</w:t>
      </w:r>
      <w:proofErr w:type="gramEnd"/>
      <w:r w:rsidR="00A60177">
        <w:t xml:space="preserve"> deaths using GBD 2013 IERs.  The mortality count for the 12 countries is 2.</w:t>
      </w:r>
      <w:r w:rsidR="00F509B5">
        <w:t>19</w:t>
      </w:r>
      <w:r w:rsidR="00A60177">
        <w:t xml:space="preserve"> million with a global total of 3.</w:t>
      </w:r>
      <w:r w:rsidR="00F509B5">
        <w:t>06</w:t>
      </w:r>
      <w:r w:rsidR="00A60177">
        <w:t xml:space="preserve"> million.  Columns 4 and 5 show the </w:t>
      </w:r>
      <w:r w:rsidR="004E6D35">
        <w:t xml:space="preserve">PM2.5 concentrations and associated mortality </w:t>
      </w:r>
      <w:r w:rsidR="00A60177">
        <w:t xml:space="preserve">if </w:t>
      </w:r>
      <w:r w:rsidR="004E6D35">
        <w:t xml:space="preserve">only </w:t>
      </w:r>
      <w:r w:rsidR="00A60177">
        <w:t xml:space="preserve">exposures for GBD 2013 are updated using </w:t>
      </w:r>
      <w:r w:rsidR="00902524">
        <w:t>the GBD 2015 exposure methodology</w:t>
      </w:r>
      <w:r w:rsidR="00A60177">
        <w:t xml:space="preserve">, with everything else (i.e., the GBD 2013 IERs) unchanged.  This increases the 12 country mortality count to 2.3 million and the global count to 3.3 million.  Next, columns 6 and 7 show </w:t>
      </w:r>
      <w:r w:rsidR="004E6D35">
        <w:t xml:space="preserve">mortality </w:t>
      </w:r>
      <w:r w:rsidR="00AF0382">
        <w:t xml:space="preserve">if both exposures </w:t>
      </w:r>
      <w:r w:rsidR="00A60177">
        <w:t>and IERs (</w:t>
      </w:r>
      <w:r w:rsidR="004E6D35">
        <w:t xml:space="preserve">using </w:t>
      </w:r>
      <w:r w:rsidR="00A60177">
        <w:t>GBD 2015 IER) are updated</w:t>
      </w:r>
      <w:r w:rsidR="00AF4AC0">
        <w:t xml:space="preserve"> for </w:t>
      </w:r>
      <w:r w:rsidR="004E6D35">
        <w:t xml:space="preserve">the </w:t>
      </w:r>
      <w:r w:rsidR="00AF4AC0">
        <w:t>2013</w:t>
      </w:r>
      <w:r w:rsidR="004E6D35">
        <w:t xml:space="preserve"> data</w:t>
      </w:r>
      <w:r w:rsidR="00A60177">
        <w:t xml:space="preserve">.  This raises the 12 country count to </w:t>
      </w:r>
      <w:r w:rsidR="004E6D35">
        <w:t>2.9</w:t>
      </w:r>
      <w:r w:rsidR="00A60177">
        <w:t xml:space="preserve"> million and the total global </w:t>
      </w:r>
      <w:r w:rsidR="00A60177">
        <w:lastRenderedPageBreak/>
        <w:t>estimate to 4.1 million</w:t>
      </w:r>
      <w:r w:rsidR="00A60177" w:rsidRPr="00A96C28">
        <w:t xml:space="preserve">.  </w:t>
      </w:r>
      <w:r w:rsidR="00902524">
        <w:t>C</w:t>
      </w:r>
      <w:r w:rsidR="00A60177" w:rsidRPr="00A96C28">
        <w:t xml:space="preserve">olumn 8 displays the </w:t>
      </w:r>
      <w:r w:rsidR="002839C9">
        <w:t>increase</w:t>
      </w:r>
      <w:r w:rsidR="004E6D35">
        <w:t xml:space="preserve"> in </w:t>
      </w:r>
      <w:r w:rsidR="002839C9">
        <w:t xml:space="preserve">GBD </w:t>
      </w:r>
      <w:r w:rsidR="004E6D35">
        <w:t>2013 mortality (</w:t>
      </w:r>
      <w:r w:rsidR="00902524">
        <w:t>column 7</w:t>
      </w:r>
      <w:r w:rsidR="00A60177" w:rsidRPr="00A96C28">
        <w:t xml:space="preserve"> </w:t>
      </w:r>
      <w:r w:rsidR="004E6D35">
        <w:t>minus</w:t>
      </w:r>
      <w:r w:rsidR="004E6D35" w:rsidRPr="00A96C28">
        <w:t xml:space="preserve"> </w:t>
      </w:r>
      <w:r w:rsidR="002839C9">
        <w:t xml:space="preserve">column </w:t>
      </w:r>
      <w:r w:rsidR="00A60177" w:rsidRPr="00A96C28">
        <w:t>3</w:t>
      </w:r>
      <w:r w:rsidR="004E6D35">
        <w:t>)</w:t>
      </w:r>
      <w:r w:rsidR="002839C9">
        <w:t>; that is</w:t>
      </w:r>
      <w:r w:rsidR="004E6D35">
        <w:t xml:space="preserve">, </w:t>
      </w:r>
      <w:r w:rsidR="00CB6D21">
        <w:t xml:space="preserve">the combined impact of using </w:t>
      </w:r>
      <w:r w:rsidR="00A60177" w:rsidRPr="00A96C28">
        <w:t xml:space="preserve">the </w:t>
      </w:r>
      <w:r w:rsidR="00F509B5" w:rsidRPr="00A96C28">
        <w:t>updated IER functions</w:t>
      </w:r>
      <w:r w:rsidR="00CB6D21">
        <w:t xml:space="preserve"> </w:t>
      </w:r>
      <w:r w:rsidR="004E6D35">
        <w:t xml:space="preserve">and exposure methodology </w:t>
      </w:r>
      <w:r w:rsidR="00AF4AC0" w:rsidRPr="00A96C28">
        <w:t>from</w:t>
      </w:r>
      <w:r w:rsidR="00F509B5" w:rsidRPr="00A96C28">
        <w:t xml:space="preserve"> GBD 2015</w:t>
      </w:r>
      <w:r w:rsidR="002839C9">
        <w:t xml:space="preserve"> on the 2013 data</w:t>
      </w:r>
      <w:r w:rsidR="004E6D35">
        <w:t>.</w:t>
      </w:r>
      <w:r w:rsidR="00F509B5" w:rsidRPr="00A96C28">
        <w:t xml:space="preserve"> </w:t>
      </w:r>
      <w:r w:rsidR="004E6D35">
        <w:t xml:space="preserve"> </w:t>
      </w:r>
      <w:r w:rsidR="00A60177" w:rsidRPr="00A96C28">
        <w:t xml:space="preserve">The </w:t>
      </w:r>
      <w:r w:rsidR="004E6D35">
        <w:t xml:space="preserve">mortality increase due to the updated methods </w:t>
      </w:r>
      <w:r w:rsidR="00A60177" w:rsidRPr="00A96C28">
        <w:t xml:space="preserve">for the 12 countries is </w:t>
      </w:r>
      <w:r w:rsidR="00F509B5" w:rsidRPr="00A96C28">
        <w:t xml:space="preserve">755,000 or 72% of the </w:t>
      </w:r>
      <w:r w:rsidR="00A60177" w:rsidRPr="00A96C28">
        <w:t xml:space="preserve">global </w:t>
      </w:r>
      <w:r w:rsidR="004E6D35">
        <w:t>increase</w:t>
      </w:r>
      <w:r w:rsidR="004E6D35" w:rsidRPr="00A96C28">
        <w:t xml:space="preserve"> </w:t>
      </w:r>
      <w:r w:rsidR="00A60177" w:rsidRPr="00A96C28">
        <w:t>of 1.05 million</w:t>
      </w:r>
      <w:r w:rsidR="007932EC">
        <w:t xml:space="preserve"> (last row in table)</w:t>
      </w:r>
      <w:r w:rsidR="00A60177" w:rsidRPr="00A96C28">
        <w:t xml:space="preserve">.  </w:t>
      </w:r>
      <w:r w:rsidR="00FB6339" w:rsidRPr="00A96C28">
        <w:t xml:space="preserve">This latter number </w:t>
      </w:r>
      <w:r w:rsidR="00A96C28" w:rsidRPr="00A96C28">
        <w:t>represents</w:t>
      </w:r>
      <w:r w:rsidR="00FB6339" w:rsidRPr="00A96C28">
        <w:t xml:space="preserve"> the additional deaths added to the original</w:t>
      </w:r>
      <w:r w:rsidR="00FA62F3">
        <w:t xml:space="preserve"> GBD</w:t>
      </w:r>
      <w:r w:rsidR="00FB6339" w:rsidRPr="00A96C28">
        <w:t xml:space="preserve"> 2013 estimates as a result of </w:t>
      </w:r>
      <w:r w:rsidR="00A96C28" w:rsidRPr="00A96C28">
        <w:t xml:space="preserve">the newer </w:t>
      </w:r>
      <w:r w:rsidR="00FB6339" w:rsidRPr="00A96C28">
        <w:t xml:space="preserve">methodology </w:t>
      </w:r>
      <w:r w:rsidR="00A96C28" w:rsidRPr="00A96C28">
        <w:t>used for</w:t>
      </w:r>
      <w:r w:rsidR="00FB6339" w:rsidRPr="00A96C28">
        <w:t xml:space="preserve"> exposure and IERs.  </w:t>
      </w:r>
      <w:proofErr w:type="gramStart"/>
      <w:r w:rsidR="00A60177" w:rsidRPr="00A96C28">
        <w:t xml:space="preserve">Note, for example, the large impact of India where over 400,000 additional deaths </w:t>
      </w:r>
      <w:r w:rsidR="00AF4AC0" w:rsidRPr="00A96C28">
        <w:t>are now</w:t>
      </w:r>
      <w:r w:rsidR="00A60177" w:rsidRPr="00A96C28">
        <w:t xml:space="preserve"> calculated </w:t>
      </w:r>
      <w:r w:rsidR="00AF4AC0" w:rsidRPr="00A96C28">
        <w:t xml:space="preserve">for </w:t>
      </w:r>
      <w:r w:rsidR="00F509B5" w:rsidRPr="00A96C28">
        <w:t>2013.</w:t>
      </w:r>
      <w:proofErr w:type="gramEnd"/>
      <w:r w:rsidR="00A60177" w:rsidRPr="00A96C28">
        <w:t xml:space="preserve">  </w:t>
      </w:r>
    </w:p>
    <w:p w14:paraId="0FDBF288" w14:textId="34A29A39" w:rsidR="00306BB7" w:rsidRDefault="00306BB7" w:rsidP="00FE09D4">
      <w:pPr>
        <w:spacing w:after="0" w:line="480" w:lineRule="auto"/>
        <w:ind w:firstLine="720"/>
      </w:pPr>
      <w:r>
        <w:t>Next, Column 10 shows the GBD 2015 mortality estimates</w:t>
      </w:r>
      <w:r w:rsidR="005A39E3">
        <w:t>,</w:t>
      </w:r>
      <w:r>
        <w:t xml:space="preserve"> and Column 11 indicates the global and country-specific differences between these estimates and the fully updated </w:t>
      </w:r>
      <w:r w:rsidR="00CA46F4">
        <w:t xml:space="preserve">GBD 2013 estimates </w:t>
      </w:r>
      <w:r>
        <w:t xml:space="preserve">(i.e., using GBD </w:t>
      </w:r>
      <w:r w:rsidR="005A39E3">
        <w:t xml:space="preserve">2015 </w:t>
      </w:r>
      <w:r>
        <w:t>methodology</w:t>
      </w:r>
      <w:r w:rsidR="00CA46F4">
        <w:t xml:space="preserve"> </w:t>
      </w:r>
      <w:r w:rsidR="007932EC">
        <w:t>applied to</w:t>
      </w:r>
      <w:r w:rsidR="00CA46F4">
        <w:t xml:space="preserve"> 2013</w:t>
      </w:r>
      <w:r>
        <w:t>)</w:t>
      </w:r>
      <w:r w:rsidR="00CA46F4">
        <w:t xml:space="preserve">. </w:t>
      </w:r>
      <w:r>
        <w:t xml:space="preserve">.  </w:t>
      </w:r>
      <w:r w:rsidRPr="00EF0E9C">
        <w:t>For</w:t>
      </w:r>
      <w:r>
        <w:t xml:space="preserve"> the 12 countries, the change in annual mortality is 135,000 deaths.  After using the updated methodology for 2013, the increase in mortality from 2013 to 2015 is 4.9% or 198,000 deaths.  Again, the change is dominated by increases in India and China.  In contrast, </w:t>
      </w:r>
      <w:r w:rsidR="003C7867">
        <w:t>c</w:t>
      </w:r>
      <w:r>
        <w:t xml:space="preserve">olumn 12 displays the differences between GBD 2015 and the original GBD 2013 amounting to 1.25 million </w:t>
      </w:r>
      <w:r w:rsidR="00D6209F">
        <w:t xml:space="preserve">deaths, </w:t>
      </w:r>
      <w:r>
        <w:t xml:space="preserve">globally.  </w:t>
      </w:r>
    </w:p>
    <w:p w14:paraId="1D0F3E5E" w14:textId="77777777" w:rsidR="00FE09D4" w:rsidRPr="00A96C28" w:rsidRDefault="00FE09D4" w:rsidP="00A60177">
      <w:pPr>
        <w:spacing w:after="0" w:line="480" w:lineRule="auto"/>
      </w:pPr>
    </w:p>
    <w:p w14:paraId="7A7BF010" w14:textId="2472EC8E" w:rsidR="000F5C1D" w:rsidRDefault="00DC661A" w:rsidP="00A60177">
      <w:pPr>
        <w:spacing w:after="0" w:line="480" w:lineRule="auto"/>
        <w:rPr>
          <w:b/>
        </w:rPr>
      </w:pPr>
      <w:r w:rsidRPr="00727F9C">
        <w:rPr>
          <w:b/>
        </w:rPr>
        <w:t>I</w:t>
      </w:r>
      <w:r w:rsidR="00E60BCB">
        <w:rPr>
          <w:b/>
        </w:rPr>
        <w:t>V</w:t>
      </w:r>
      <w:r w:rsidR="00304D16" w:rsidRPr="00727F9C">
        <w:rPr>
          <w:b/>
        </w:rPr>
        <w:t>.</w:t>
      </w:r>
      <w:r w:rsidR="00F821C1">
        <w:rPr>
          <w:b/>
        </w:rPr>
        <w:t>5</w:t>
      </w:r>
      <w:r w:rsidR="00304D16">
        <w:t xml:space="preserve">. </w:t>
      </w:r>
      <w:r w:rsidR="000F5C1D">
        <w:rPr>
          <w:b/>
        </w:rPr>
        <w:t>Disease-S</w:t>
      </w:r>
      <w:r w:rsidR="00304D16" w:rsidRPr="00FE09D4">
        <w:rPr>
          <w:b/>
        </w:rPr>
        <w:t xml:space="preserve">pecific </w:t>
      </w:r>
      <w:r w:rsidR="000F5C1D">
        <w:rPr>
          <w:b/>
        </w:rPr>
        <w:t>Changes Due to</w:t>
      </w:r>
      <w:r w:rsidR="00304D16" w:rsidRPr="00FE09D4">
        <w:rPr>
          <w:b/>
        </w:rPr>
        <w:t xml:space="preserve"> Updated GBD 2013 </w:t>
      </w:r>
    </w:p>
    <w:p w14:paraId="7FB58FDE" w14:textId="5D0358B8" w:rsidR="006C593E" w:rsidRDefault="00A60177" w:rsidP="00AD708F">
      <w:pPr>
        <w:spacing w:after="0" w:line="480" w:lineRule="auto"/>
        <w:ind w:firstLine="720"/>
      </w:pPr>
      <w:r>
        <w:t xml:space="preserve">Country- and disease-specific </w:t>
      </w:r>
      <w:r w:rsidR="00F509B5">
        <w:t xml:space="preserve">mortality </w:t>
      </w:r>
      <w:r>
        <w:t xml:space="preserve">estimates </w:t>
      </w:r>
      <w:r w:rsidR="002658A9">
        <w:t>as a result of</w:t>
      </w:r>
      <w:r>
        <w:t xml:space="preserve"> the changes in inputs are shown </w:t>
      </w:r>
      <w:r w:rsidRPr="00F00353">
        <w:t xml:space="preserve">in Table </w:t>
      </w:r>
      <w:r w:rsidR="00C140C9">
        <w:t>3</w:t>
      </w:r>
      <w:r w:rsidR="00C140C9" w:rsidRPr="00380042">
        <w:t xml:space="preserve"> </w:t>
      </w:r>
      <w:r w:rsidR="00F509B5" w:rsidRPr="00380042">
        <w:t>for</w:t>
      </w:r>
      <w:r w:rsidR="00F509B5">
        <w:t xml:space="preserve"> the year 2013</w:t>
      </w:r>
      <w:r>
        <w:t>.  The six countries</w:t>
      </w:r>
      <w:r w:rsidR="00AD708F">
        <w:t xml:space="preserve"> </w:t>
      </w:r>
      <w:r>
        <w:t>in the table</w:t>
      </w:r>
      <w:r w:rsidR="00AD708F">
        <w:t xml:space="preserve">, which </w:t>
      </w:r>
      <w:r w:rsidR="00A00D23">
        <w:t>have</w:t>
      </w:r>
      <w:r w:rsidR="00AD708F">
        <w:t xml:space="preserve"> the </w:t>
      </w:r>
      <w:r w:rsidR="00A00D23">
        <w:t>largest</w:t>
      </w:r>
      <w:r w:rsidR="00AD708F">
        <w:t xml:space="preserve"> change in mortality due to the updated exposures and IERs</w:t>
      </w:r>
      <w:r w:rsidR="00A00D23">
        <w:t>,</w:t>
      </w:r>
      <w:r w:rsidR="00AD708F">
        <w:t xml:space="preserve"> </w:t>
      </w:r>
      <w:r>
        <w:t xml:space="preserve">comprise about </w:t>
      </w:r>
      <w:r w:rsidR="00AD708F">
        <w:t>66</w:t>
      </w:r>
      <w:r>
        <w:t xml:space="preserve">% of the change </w:t>
      </w:r>
      <w:r w:rsidR="00AD708F">
        <w:t xml:space="preserve">in mortality.  </w:t>
      </w:r>
      <w:r w:rsidR="00F71162">
        <w:t>The table indicates the changes in the five diseases that were estimated in the 2013 and 2015 GBDs: IHD, stroke, COPD, lung cancer and LRI.  In order, the columns indicate the disease-specific counts for the following</w:t>
      </w:r>
      <w:r w:rsidR="001B6D8D">
        <w:t xml:space="preserve"> scenarios</w:t>
      </w:r>
      <w:r w:rsidR="00F71162">
        <w:t xml:space="preserve">: (1) </w:t>
      </w:r>
      <w:r w:rsidR="00097FFC">
        <w:t xml:space="preserve">the original GBD 2013 </w:t>
      </w:r>
      <w:r w:rsidR="00097FFC">
        <w:lastRenderedPageBreak/>
        <w:t>estimates</w:t>
      </w:r>
      <w:r w:rsidR="008670EE">
        <w:t>,</w:t>
      </w:r>
      <w:r w:rsidR="00097FFC">
        <w:t xml:space="preserve"> (2) GBD 2013 with updated IERs but original exposures</w:t>
      </w:r>
      <w:r w:rsidR="008670EE">
        <w:t>,</w:t>
      </w:r>
      <w:r w:rsidR="00097FFC">
        <w:t xml:space="preserve"> and (3) </w:t>
      </w:r>
      <w:r w:rsidR="00F71162">
        <w:t xml:space="preserve">the fully updated </w:t>
      </w:r>
      <w:r w:rsidR="00097FFC">
        <w:t xml:space="preserve">GBD 2013 estimates </w:t>
      </w:r>
      <w:r w:rsidR="005F5D44">
        <w:t xml:space="preserve">with </w:t>
      </w:r>
      <w:r w:rsidR="001B6D8D">
        <w:t>IERs from GBD 2015 and 2015 updated exposure methodology</w:t>
      </w:r>
      <w:r w:rsidR="00097FFC">
        <w:t xml:space="preserve">. </w:t>
      </w:r>
    </w:p>
    <w:p w14:paraId="735D33CD" w14:textId="05F96EBB" w:rsidR="00A60177" w:rsidRDefault="006C593E" w:rsidP="00707F6A">
      <w:pPr>
        <w:spacing w:after="0" w:line="480" w:lineRule="auto"/>
        <w:ind w:firstLine="720"/>
      </w:pPr>
      <w:r>
        <w:t xml:space="preserve">The table indicates how the </w:t>
      </w:r>
      <w:r w:rsidR="005F5D44">
        <w:t xml:space="preserve">mortality </w:t>
      </w:r>
      <w:r>
        <w:t>mix</w:t>
      </w:r>
      <w:r w:rsidR="005F5D44">
        <w:t xml:space="preserve"> </w:t>
      </w:r>
      <w:r>
        <w:t xml:space="preserve">has changed with the different inputs used for GBD 2013.  </w:t>
      </w:r>
      <w:r w:rsidR="00A60177">
        <w:t xml:space="preserve">For China, India and Pakistan </w:t>
      </w:r>
      <w:r>
        <w:t xml:space="preserve">most of </w:t>
      </w:r>
      <w:r w:rsidR="00A60177">
        <w:t xml:space="preserve">the change </w:t>
      </w:r>
      <w:r>
        <w:t xml:space="preserve">in mortality </w:t>
      </w:r>
      <w:r w:rsidR="00A60177">
        <w:t>can be attributed to the newer IERs, with th</w:t>
      </w:r>
      <w:r w:rsidR="00A94BDB">
        <w:t xml:space="preserve">e composition of diseases </w:t>
      </w:r>
      <w:r w:rsidR="00A42077">
        <w:t xml:space="preserve">altered </w:t>
      </w:r>
      <w:r w:rsidR="00A94BDB">
        <w:t>over</w:t>
      </w:r>
      <w:r w:rsidR="00A60177">
        <w:t xml:space="preserve"> the years.  </w:t>
      </w:r>
      <w:r>
        <w:t xml:space="preserve">For China, the changes in the IER alone increased COPD mortality from 75,000 to 270,000 with the updated exposure methodology not adding much to the total.  In </w:t>
      </w:r>
      <w:r w:rsidR="00386E54">
        <w:t>contrast</w:t>
      </w:r>
      <w:r>
        <w:t xml:space="preserve">, lung cancer </w:t>
      </w:r>
      <w:r w:rsidR="00A42077">
        <w:t xml:space="preserve">estimates for China </w:t>
      </w:r>
      <w:r>
        <w:t xml:space="preserve">decreased from 210,000 to 136,000.  </w:t>
      </w:r>
      <w:r w:rsidR="00386E54">
        <w:t xml:space="preserve">This clearly demonstrates the importance of the updated IER for 2015.  </w:t>
      </w:r>
      <w:r w:rsidR="00A60177">
        <w:t>For Bangladesh and Nigeria both the IER and exposure differences play an important role in the different mortality estimates</w:t>
      </w:r>
      <w:r w:rsidR="005F5D44">
        <w:t>,</w:t>
      </w:r>
      <w:r w:rsidR="00A60177">
        <w:t xml:space="preserve"> and for the Philippines, the change in the </w:t>
      </w:r>
      <w:r w:rsidR="00826778">
        <w:t xml:space="preserve">population </w:t>
      </w:r>
      <w:r w:rsidR="00A60177">
        <w:t xml:space="preserve">exposure dominates the difference in mortality estimates. </w:t>
      </w:r>
    </w:p>
    <w:p w14:paraId="59993EED" w14:textId="77777777" w:rsidR="00A60177" w:rsidRDefault="00A60177" w:rsidP="00A60177">
      <w:pPr>
        <w:spacing w:after="0" w:line="480" w:lineRule="auto"/>
      </w:pPr>
      <w:r>
        <w:t xml:space="preserve"> </w:t>
      </w:r>
      <w:r>
        <w:tab/>
        <w:t xml:space="preserve"> </w:t>
      </w:r>
    </w:p>
    <w:p w14:paraId="670FE2E3" w14:textId="0CC48B1E" w:rsidR="002C1564" w:rsidRPr="003246FC" w:rsidRDefault="002B17F5" w:rsidP="005F0509">
      <w:pPr>
        <w:shd w:val="clear" w:color="auto" w:fill="FFFFFF"/>
        <w:spacing w:after="0" w:line="480" w:lineRule="auto"/>
        <w:rPr>
          <w:b/>
        </w:rPr>
      </w:pPr>
      <w:r w:rsidRPr="003246FC">
        <w:rPr>
          <w:b/>
        </w:rPr>
        <w:t xml:space="preserve">V. </w:t>
      </w:r>
      <w:r w:rsidR="002658A9">
        <w:rPr>
          <w:b/>
        </w:rPr>
        <w:t>Discussion</w:t>
      </w:r>
      <w:r w:rsidR="00EC18B0" w:rsidRPr="003246FC">
        <w:rPr>
          <w:b/>
        </w:rPr>
        <w:t xml:space="preserve"> </w:t>
      </w:r>
    </w:p>
    <w:p w14:paraId="6E53D856" w14:textId="1499F5C5" w:rsidR="00C31788" w:rsidRDefault="00366584" w:rsidP="00C844DC">
      <w:pPr>
        <w:spacing w:after="0" w:line="480" w:lineRule="auto"/>
        <w:ind w:firstLine="720"/>
      </w:pPr>
      <w:r>
        <w:t xml:space="preserve">The GBD for </w:t>
      </w:r>
      <w:r w:rsidR="009F0C95">
        <w:t xml:space="preserve">ambient </w:t>
      </w:r>
      <w:r>
        <w:t xml:space="preserve">air </w:t>
      </w:r>
      <w:r w:rsidR="008B36C5">
        <w:t xml:space="preserve">pollution </w:t>
      </w:r>
      <w:r>
        <w:t xml:space="preserve">aims to quantify the global burden </w:t>
      </w:r>
      <w:r w:rsidR="002658A9">
        <w:t>of disease.  Compared to the global estimat</w:t>
      </w:r>
      <w:r w:rsidR="001A0ACE">
        <w:t>e</w:t>
      </w:r>
      <w:r w:rsidR="002658A9">
        <w:t>s, the</w:t>
      </w:r>
      <w:r>
        <w:t xml:space="preserve"> uncertainty is greater for country-specific estimate</w:t>
      </w:r>
      <w:r w:rsidR="00EA1B64">
        <w:t>s</w:t>
      </w:r>
      <w:r>
        <w:t>, particularly for those countries without ground-based monitors</w:t>
      </w:r>
      <w:r w:rsidR="008B36C5">
        <w:t xml:space="preserve">.  The latter are dominated by </w:t>
      </w:r>
      <w:r w:rsidR="009D41A0">
        <w:t>LMIC</w:t>
      </w:r>
      <w:r>
        <w:t xml:space="preserve">.   </w:t>
      </w:r>
      <w:r w:rsidR="002658A9">
        <w:t>T</w:t>
      </w:r>
      <w:r w:rsidR="00045FDA" w:rsidRPr="00030AE6">
        <w:t xml:space="preserve">he updating of the </w:t>
      </w:r>
      <w:r w:rsidR="002658A9">
        <w:t>integrated exposure response functions</w:t>
      </w:r>
      <w:r w:rsidR="001A0ACE">
        <w:t xml:space="preserve"> </w:t>
      </w:r>
      <w:r w:rsidR="00DC184A">
        <w:t xml:space="preserve">for GBD 2015 </w:t>
      </w:r>
      <w:r w:rsidR="00045FDA">
        <w:t xml:space="preserve">was largely responsible for </w:t>
      </w:r>
      <w:r w:rsidR="00EA1B64">
        <w:t xml:space="preserve">an </w:t>
      </w:r>
      <w:r w:rsidR="00DC184A">
        <w:t>increase of 1.25 million deaths from GBD 2013 to GBD 2015.   T</w:t>
      </w:r>
      <w:r w:rsidR="00045FDA" w:rsidRPr="00030AE6">
        <w:t>he improvement in the assessment of exposure also p</w:t>
      </w:r>
      <w:r w:rsidR="00045FDA">
        <w:t xml:space="preserve">layed an important role and was sometimes equally or </w:t>
      </w:r>
      <w:r w:rsidR="00045FDA" w:rsidRPr="00030AE6">
        <w:t>more significant for certain countries</w:t>
      </w:r>
      <w:r w:rsidR="00EA1B64">
        <w:t xml:space="preserve"> (e.g., Philippines)</w:t>
      </w:r>
      <w:r w:rsidR="00E51F7F">
        <w:t>.</w:t>
      </w:r>
      <w:r w:rsidR="00045FDA" w:rsidRPr="00030AE6">
        <w:t xml:space="preserve">  </w:t>
      </w:r>
    </w:p>
    <w:p w14:paraId="678001AB" w14:textId="6B19AC34" w:rsidR="00045FDA" w:rsidRDefault="00045FDA" w:rsidP="00B6268C">
      <w:pPr>
        <w:spacing w:after="0" w:line="480" w:lineRule="auto"/>
        <w:ind w:firstLine="720"/>
      </w:pPr>
      <w:r w:rsidRPr="00030AE6">
        <w:t xml:space="preserve">As </w:t>
      </w:r>
      <w:r w:rsidR="00DC184A">
        <w:t>displayed</w:t>
      </w:r>
      <w:r w:rsidRPr="00030AE6">
        <w:t xml:space="preserve"> in Figure</w:t>
      </w:r>
      <w:r>
        <w:t xml:space="preserve"> </w:t>
      </w:r>
      <w:r w:rsidR="00B6268C">
        <w:t>4</w:t>
      </w:r>
      <w:r>
        <w:t xml:space="preserve">, the GBD 2013 </w:t>
      </w:r>
      <w:r w:rsidR="004B6CE2">
        <w:t xml:space="preserve">global </w:t>
      </w:r>
      <w:r w:rsidR="00CA193B">
        <w:t xml:space="preserve">mortality </w:t>
      </w:r>
      <w:r>
        <w:t>estimate (3.06 million) increased by 8% after the application of the improved exposure methodology used in GBD 2015</w:t>
      </w:r>
      <w:r w:rsidR="00321928">
        <w:t>.</w:t>
      </w:r>
      <w:r>
        <w:t xml:space="preserve">  In contrast, the GBD 2013 estimates increased by 23% with the application of the GBD 2015 IERs.  The application of both updated methodologies </w:t>
      </w:r>
      <w:r w:rsidR="002A72E3">
        <w:t xml:space="preserve">(i.e., 2015 IERs and </w:t>
      </w:r>
      <w:r w:rsidR="002A72E3">
        <w:lastRenderedPageBreak/>
        <w:t xml:space="preserve">application of 2015 methodology to 2013 exposures) </w:t>
      </w:r>
      <w:r>
        <w:t>led to</w:t>
      </w:r>
      <w:r w:rsidR="004B6CE2">
        <w:t xml:space="preserve"> an</w:t>
      </w:r>
      <w:r>
        <w:t xml:space="preserve"> increase in the GBD 2013 </w:t>
      </w:r>
      <w:r w:rsidR="004B6CE2">
        <w:t xml:space="preserve">mortality burden </w:t>
      </w:r>
      <w:r>
        <w:t xml:space="preserve">by 35% to 4.12 million deaths.  Once the 2013 GBD estimates were updated using the 2015 IERs and the more accurate exposure methodology used in GBD 2015, the </w:t>
      </w:r>
      <w:r w:rsidR="00753150">
        <w:t xml:space="preserve">incremental </w:t>
      </w:r>
      <w:r>
        <w:t>mortality between year 2013 and year 2015 was under 200,000 (</w:t>
      </w:r>
      <w:r w:rsidRPr="00522CE8">
        <w:t xml:space="preserve">Table </w:t>
      </w:r>
      <w:r w:rsidR="00C140C9">
        <w:t>2</w:t>
      </w:r>
      <w:r w:rsidRPr="00522CE8">
        <w:t>),</w:t>
      </w:r>
      <w:r>
        <w:t xml:space="preserve"> primarily resulting from </w:t>
      </w:r>
      <w:r w:rsidR="00B449B7">
        <w:t xml:space="preserve">demographic changes including </w:t>
      </w:r>
      <w:r>
        <w:t>population growth and aging.  China and India account</w:t>
      </w:r>
      <w:r w:rsidR="00522CE8">
        <w:t>ed</w:t>
      </w:r>
      <w:r>
        <w:t xml:space="preserve"> for just over half of this difference.   </w:t>
      </w:r>
    </w:p>
    <w:p w14:paraId="34CCE9D8" w14:textId="023E9AB5" w:rsidR="009B7365" w:rsidRDefault="00E904F5" w:rsidP="009F0C95">
      <w:pPr>
        <w:shd w:val="clear" w:color="auto" w:fill="FFFFFF"/>
        <w:spacing w:after="0" w:line="480" w:lineRule="auto"/>
        <w:ind w:firstLine="720"/>
      </w:pPr>
      <w:r w:rsidRPr="003246FC">
        <w:t>Clearly, the GBD estimates have changed over time</w:t>
      </w:r>
      <w:r w:rsidR="00652524">
        <w:t xml:space="preserve">, </w:t>
      </w:r>
      <w:r w:rsidR="00827354">
        <w:t xml:space="preserve">but </w:t>
      </w:r>
      <w:r w:rsidR="00652524">
        <w:t xml:space="preserve">not because </w:t>
      </w:r>
      <w:r w:rsidR="00753150">
        <w:t xml:space="preserve">of </w:t>
      </w:r>
      <w:r w:rsidR="00652524">
        <w:t>accidental omissions</w:t>
      </w:r>
      <w:r w:rsidR="00522CE8">
        <w:t>, and will continue to change</w:t>
      </w:r>
      <w:r w:rsidRPr="003246FC">
        <w:t xml:space="preserve">. </w:t>
      </w:r>
      <w:r w:rsidR="00A55030" w:rsidRPr="003246FC">
        <w:t xml:space="preserve"> </w:t>
      </w:r>
      <w:r w:rsidR="002A72E3" w:rsidRPr="003246FC">
        <w:t>Th</w:t>
      </w:r>
      <w:r w:rsidR="002A72E3">
        <w:t xml:space="preserve">ese </w:t>
      </w:r>
      <w:r w:rsidR="00D15902">
        <w:t xml:space="preserve">changes are expected and are due to multiple </w:t>
      </w:r>
      <w:r w:rsidR="00321928">
        <w:t>factors</w:t>
      </w:r>
      <w:r w:rsidR="00D15902">
        <w:t xml:space="preserve"> </w:t>
      </w:r>
      <w:r w:rsidR="00053067">
        <w:t>including: (1</w:t>
      </w:r>
      <w:r w:rsidR="00053067" w:rsidRPr="003246FC">
        <w:t xml:space="preserve">) </w:t>
      </w:r>
      <w:r w:rsidR="00C4589E">
        <w:t xml:space="preserve">increases in population and </w:t>
      </w:r>
      <w:r w:rsidR="00053067" w:rsidRPr="003246FC">
        <w:t>changes in demographics (since the health risks are age-specific)</w:t>
      </w:r>
      <w:r w:rsidR="00053067">
        <w:t>; (2</w:t>
      </w:r>
      <w:r w:rsidRPr="003246FC">
        <w:t xml:space="preserve">) </w:t>
      </w:r>
      <w:r w:rsidR="00C4589E">
        <w:t xml:space="preserve">real </w:t>
      </w:r>
      <w:r w:rsidRPr="003246FC">
        <w:t xml:space="preserve">changes in </w:t>
      </w:r>
      <w:r w:rsidR="00053067">
        <w:t>exposure; (3</w:t>
      </w:r>
      <w:r w:rsidR="00053067" w:rsidRPr="003246FC">
        <w:t>) updated counterfactual assumption</w:t>
      </w:r>
      <w:r w:rsidR="00A557D7">
        <w:t>s</w:t>
      </w:r>
      <w:r w:rsidR="00053067" w:rsidRPr="003246FC">
        <w:t xml:space="preserve"> based on additional </w:t>
      </w:r>
      <w:r w:rsidR="00F74DCD">
        <w:t xml:space="preserve">cohort </w:t>
      </w:r>
      <w:r w:rsidR="00053067" w:rsidRPr="003246FC">
        <w:t xml:space="preserve">studies and </w:t>
      </w:r>
      <w:r w:rsidR="00F74DCD">
        <w:t xml:space="preserve">exposure </w:t>
      </w:r>
      <w:r w:rsidR="00053067" w:rsidRPr="003246FC">
        <w:t>measurements</w:t>
      </w:r>
      <w:r w:rsidR="00053067">
        <w:t>; (4</w:t>
      </w:r>
      <w:r w:rsidRPr="003246FC">
        <w:t>) updated IER</w:t>
      </w:r>
      <w:r w:rsidR="001D24F2" w:rsidRPr="003246FC">
        <w:t>s</w:t>
      </w:r>
      <w:r w:rsidRPr="003246FC">
        <w:t xml:space="preserve"> incorporating </w:t>
      </w:r>
      <w:r w:rsidR="00827354">
        <w:t>newer</w:t>
      </w:r>
      <w:r w:rsidRPr="003246FC">
        <w:t xml:space="preserve"> cohort studies</w:t>
      </w:r>
      <w:r w:rsidR="001D24F2" w:rsidRPr="003246FC">
        <w:t xml:space="preserve"> </w:t>
      </w:r>
      <w:r w:rsidR="00C31788">
        <w:t xml:space="preserve">of outdoor air pollution </w:t>
      </w:r>
      <w:r w:rsidR="001D24F2" w:rsidRPr="003246FC">
        <w:t>when available</w:t>
      </w:r>
      <w:r w:rsidR="00F74DCD">
        <w:t>,</w:t>
      </w:r>
      <w:r w:rsidR="00053067">
        <w:t xml:space="preserve"> and (5</w:t>
      </w:r>
      <w:r w:rsidRPr="003246FC">
        <w:t xml:space="preserve">) updated exposure </w:t>
      </w:r>
      <w:r w:rsidR="00522CE8">
        <w:t>methods</w:t>
      </w:r>
      <w:r w:rsidR="00522CE8" w:rsidRPr="003246FC">
        <w:t xml:space="preserve"> </w:t>
      </w:r>
      <w:r w:rsidRPr="003246FC">
        <w:t>incorporating additional satellite data, updated CTM and updated stat</w:t>
      </w:r>
      <w:r w:rsidR="00053067">
        <w:t>istical methods</w:t>
      </w:r>
      <w:r w:rsidR="009A5FD5" w:rsidRPr="003246FC">
        <w:t xml:space="preserve">.  </w:t>
      </w:r>
    </w:p>
    <w:p w14:paraId="3433CC73" w14:textId="227B7DD4" w:rsidR="00F2418D" w:rsidRDefault="009007C0" w:rsidP="00652524">
      <w:pPr>
        <w:shd w:val="clear" w:color="auto" w:fill="FFFFFF"/>
        <w:spacing w:after="0" w:line="480" w:lineRule="auto"/>
        <w:ind w:firstLine="720"/>
      </w:pPr>
      <w:r>
        <w:t xml:space="preserve">Over time, the </w:t>
      </w:r>
      <w:r w:rsidR="0061572B">
        <w:t xml:space="preserve">sophistication </w:t>
      </w:r>
      <w:r>
        <w:t xml:space="preserve">of </w:t>
      </w:r>
      <w:r w:rsidR="0061572B">
        <w:t xml:space="preserve">many </w:t>
      </w:r>
      <w:r>
        <w:t xml:space="preserve">of the inputs </w:t>
      </w:r>
      <w:r w:rsidR="0061572B">
        <w:t xml:space="preserve">in the estimation of the GBD </w:t>
      </w:r>
      <w:r>
        <w:t>ha</w:t>
      </w:r>
      <w:r w:rsidR="00C31788">
        <w:t>s</w:t>
      </w:r>
      <w:r>
        <w:t xml:space="preserve"> </w:t>
      </w:r>
      <w:r w:rsidR="0061572B">
        <w:t>increased</w:t>
      </w:r>
      <w:r>
        <w:t xml:space="preserve">.  This is especially true for the exposure estimates and the </w:t>
      </w:r>
      <w:r w:rsidR="00C31788">
        <w:t>IERs</w:t>
      </w:r>
      <w:r>
        <w:t>.  The exposure assessment now incorporates multiple satellites with improved algorithm</w:t>
      </w:r>
      <w:r w:rsidR="009B7365">
        <w:t>s</w:t>
      </w:r>
      <w:r>
        <w:t xml:space="preserve"> and </w:t>
      </w:r>
      <w:r w:rsidR="00E72EBC">
        <w:t xml:space="preserve">sophisticated </w:t>
      </w:r>
      <w:r>
        <w:t xml:space="preserve">statistical methods </w:t>
      </w:r>
      <w:r w:rsidR="00E72EBC">
        <w:t xml:space="preserve">that </w:t>
      </w:r>
      <w:r w:rsidR="009B7365">
        <w:t>efficiently fuse the data and</w:t>
      </w:r>
      <w:r w:rsidR="00E72EBC">
        <w:t xml:space="preserve"> </w:t>
      </w:r>
      <w:r w:rsidR="00321928">
        <w:t xml:space="preserve">better </w:t>
      </w:r>
      <w:r w:rsidR="00E72EBC">
        <w:t>incorporate uncertainty</w:t>
      </w:r>
      <w:r w:rsidR="00321928">
        <w:t xml:space="preserve"> in the inputs</w:t>
      </w:r>
      <w:r w:rsidR="009B7365">
        <w:t xml:space="preserve">.  </w:t>
      </w:r>
      <w:r w:rsidR="007D1B0F">
        <w:t xml:space="preserve">This has resulted in a </w:t>
      </w:r>
      <w:r w:rsidR="009B7365" w:rsidRPr="00943DE8">
        <w:t xml:space="preserve">significant improvement in </w:t>
      </w:r>
      <w:r w:rsidR="0061572B">
        <w:t xml:space="preserve">the accuracy of </w:t>
      </w:r>
      <w:r w:rsidR="00522CE8">
        <w:t>estimating PM2.5 concentrations</w:t>
      </w:r>
      <w:r w:rsidR="009B7365" w:rsidRPr="00943DE8">
        <w:t xml:space="preserve">, as evidenced by the high correlation between predictions and </w:t>
      </w:r>
      <w:r w:rsidR="005D3401">
        <w:t>ground-level</w:t>
      </w:r>
      <w:r w:rsidR="009B7365" w:rsidRPr="00943DE8">
        <w:t xml:space="preserve"> monitors</w:t>
      </w:r>
      <w:r w:rsidR="00522CE8">
        <w:t xml:space="preserve"> in GBD 2015</w:t>
      </w:r>
      <w:r w:rsidR="009B7365">
        <w:t>.</w:t>
      </w:r>
      <w:r w:rsidR="009B7365" w:rsidRPr="009B7365">
        <w:t xml:space="preserve">  </w:t>
      </w:r>
      <w:r w:rsidR="009B7365">
        <w:t>Likewise</w:t>
      </w:r>
      <w:r w:rsidR="00F74DCD">
        <w:t>,</w:t>
      </w:r>
      <w:r w:rsidR="009B7365">
        <w:t xml:space="preserve"> the chemical transport models that are used incorporate the latest emissions </w:t>
      </w:r>
      <w:r w:rsidR="00F74DCD">
        <w:t xml:space="preserve">inventories </w:t>
      </w:r>
      <w:r w:rsidR="00E72EBC">
        <w:t xml:space="preserve">and </w:t>
      </w:r>
      <w:r w:rsidR="009B7365">
        <w:t>methodology</w:t>
      </w:r>
      <w:r w:rsidR="00F74DCD">
        <w:t>.</w:t>
      </w:r>
      <w:r w:rsidR="007D1B0F">
        <w:t xml:space="preserve"> </w:t>
      </w:r>
      <w:r w:rsidR="00F74DCD">
        <w:t>T</w:t>
      </w:r>
      <w:r w:rsidR="007D1B0F">
        <w:t>here has been a significant increase in the number of global PM2.5 monitors</w:t>
      </w:r>
      <w:r w:rsidR="00D84775">
        <w:t xml:space="preserve"> although </w:t>
      </w:r>
      <w:r w:rsidR="00522CE8">
        <w:t xml:space="preserve">the </w:t>
      </w:r>
      <w:r w:rsidR="006E61F1">
        <w:t xml:space="preserve">spatial </w:t>
      </w:r>
      <w:r w:rsidR="00522CE8">
        <w:t>coverage of monitors varies widely by region</w:t>
      </w:r>
      <w:r w:rsidR="006E61F1">
        <w:t>, being</w:t>
      </w:r>
      <w:r w:rsidR="00522CE8">
        <w:t xml:space="preserve"> much more complete </w:t>
      </w:r>
      <w:r w:rsidR="00D84775">
        <w:t>in high income countries</w:t>
      </w:r>
      <w:r w:rsidR="00E37DF0">
        <w:t xml:space="preserve"> </w:t>
      </w:r>
      <w:r w:rsidR="00E83B02">
        <w:t xml:space="preserve">while measurements are </w:t>
      </w:r>
      <w:r w:rsidR="00E37DF0">
        <w:t>sparse in low-income countries such as in Sub-Saharan Africa</w:t>
      </w:r>
      <w:r w:rsidR="00A00D23">
        <w:t>,</w:t>
      </w:r>
      <w:r w:rsidR="00E37DF0">
        <w:t xml:space="preserve"> for example</w:t>
      </w:r>
      <w:r w:rsidR="009B7365">
        <w:t xml:space="preserve">.  </w:t>
      </w:r>
      <w:r w:rsidR="00E3474F">
        <w:t xml:space="preserve">As indicated </w:t>
      </w:r>
      <w:r w:rsidR="00E3474F" w:rsidRPr="0011241F">
        <w:t xml:space="preserve">by Figure </w:t>
      </w:r>
      <w:r w:rsidR="00E3474F">
        <w:lastRenderedPageBreak/>
        <w:t>2</w:t>
      </w:r>
      <w:r w:rsidR="00E3474F" w:rsidRPr="0011241F">
        <w:t>, there</w:t>
      </w:r>
      <w:r w:rsidR="00E3474F">
        <w:t xml:space="preserve"> is significantly less accuracy for several of the regions with LMIC where ground level monitoring is limited or non-existent.</w:t>
      </w:r>
    </w:p>
    <w:p w14:paraId="42372E78" w14:textId="5FAE8501" w:rsidR="009B7365" w:rsidRDefault="009B7365" w:rsidP="00652524">
      <w:pPr>
        <w:shd w:val="clear" w:color="auto" w:fill="FFFFFF"/>
        <w:spacing w:after="0" w:line="480" w:lineRule="auto"/>
        <w:ind w:firstLine="720"/>
      </w:pPr>
      <w:r>
        <w:t xml:space="preserve">Finally, the development of the </w:t>
      </w:r>
      <w:r w:rsidR="00321928">
        <w:t>IERs</w:t>
      </w:r>
      <w:r>
        <w:t xml:space="preserve"> now </w:t>
      </w:r>
      <w:r w:rsidR="00321928">
        <w:t>include</w:t>
      </w:r>
      <w:r w:rsidR="00F711F8">
        <w:t>s</w:t>
      </w:r>
      <w:r w:rsidR="00321928">
        <w:t xml:space="preserve"> more </w:t>
      </w:r>
      <w:r>
        <w:t xml:space="preserve">cohort studies </w:t>
      </w:r>
      <w:r w:rsidR="00E3474F">
        <w:t xml:space="preserve">and in the future will include studies </w:t>
      </w:r>
      <w:r w:rsidR="00321928">
        <w:t xml:space="preserve">from outside the western industrialized nations. </w:t>
      </w:r>
      <w:r w:rsidR="00522CE8">
        <w:t>H</w:t>
      </w:r>
      <w:r>
        <w:t>ighly developed statistical methods combine data into a</w:t>
      </w:r>
      <w:r w:rsidR="00522CE8">
        <w:t xml:space="preserve"> non-linear</w:t>
      </w:r>
      <w:r>
        <w:t xml:space="preserve"> function that is plausible </w:t>
      </w:r>
      <w:r w:rsidR="00522CE8">
        <w:t xml:space="preserve">over </w:t>
      </w:r>
      <w:r>
        <w:t>the entire range of observed air pollution</w:t>
      </w:r>
      <w:r w:rsidR="00522CE8">
        <w:t xml:space="preserve"> concentrations as well as </w:t>
      </w:r>
      <w:r w:rsidR="00321928">
        <w:t xml:space="preserve">over the higher concentrations from </w:t>
      </w:r>
      <w:r w:rsidR="00522CE8">
        <w:t>other sources of particulate matter</w:t>
      </w:r>
      <w:r>
        <w:t xml:space="preserve">.  </w:t>
      </w:r>
      <w:r w:rsidR="009A5FD5" w:rsidRPr="00B57339">
        <w:t xml:space="preserve">As a result, it is </w:t>
      </w:r>
      <w:r w:rsidR="007D1B0F">
        <w:t>clear</w:t>
      </w:r>
      <w:r w:rsidR="009A5FD5" w:rsidRPr="00B57339">
        <w:t xml:space="preserve"> that the accuracy of the </w:t>
      </w:r>
      <w:r w:rsidR="00D84775">
        <w:t xml:space="preserve">health </w:t>
      </w:r>
      <w:r w:rsidR="009A5FD5" w:rsidRPr="00B57339">
        <w:t xml:space="preserve">estimates </w:t>
      </w:r>
      <w:r w:rsidR="00827354" w:rsidRPr="00B57339">
        <w:t>has</w:t>
      </w:r>
      <w:r w:rsidR="009A5FD5" w:rsidRPr="00B57339">
        <w:t xml:space="preserve"> improved over time</w:t>
      </w:r>
      <w:r w:rsidR="009A5FD5" w:rsidRPr="00A66EE7">
        <w:t xml:space="preserve">. </w:t>
      </w:r>
      <w:r w:rsidR="00652524" w:rsidRPr="00A66EE7">
        <w:t xml:space="preserve"> </w:t>
      </w:r>
    </w:p>
    <w:p w14:paraId="59FE9180" w14:textId="70348706" w:rsidR="001054E8" w:rsidRPr="003246FC" w:rsidRDefault="009C666B" w:rsidP="00D125F9">
      <w:pPr>
        <w:shd w:val="clear" w:color="auto" w:fill="FFFFFF"/>
        <w:spacing w:after="0" w:line="480" w:lineRule="auto"/>
        <w:ind w:firstLine="720"/>
      </w:pPr>
      <w:r>
        <w:t>E</w:t>
      </w:r>
      <w:r w:rsidR="009B7365">
        <w:t xml:space="preserve">ach of the inputs into the estimates </w:t>
      </w:r>
      <w:r w:rsidR="00256ED3">
        <w:t xml:space="preserve">(i.e., exposure, CRF, counterfactual, </w:t>
      </w:r>
      <w:r w:rsidR="00D125F9">
        <w:t>health statistics</w:t>
      </w:r>
      <w:r w:rsidR="00256ED3">
        <w:t xml:space="preserve">) </w:t>
      </w:r>
      <w:r w:rsidR="009B7365">
        <w:t xml:space="preserve">have limitations and the process can always be improved.  In addition, </w:t>
      </w:r>
      <w:r w:rsidR="007D1B0F">
        <w:t xml:space="preserve">to date it has been </w:t>
      </w:r>
      <w:r w:rsidR="009A5FD5" w:rsidRPr="003246FC">
        <w:t xml:space="preserve">difficult to </w:t>
      </w:r>
      <w:r w:rsidR="00256ED3">
        <w:t xml:space="preserve">understand </w:t>
      </w:r>
      <w:r w:rsidR="009A5FD5" w:rsidRPr="003246FC">
        <w:t>the</w:t>
      </w:r>
      <w:r w:rsidR="00256ED3">
        <w:t xml:space="preserve"> specific quantitative impact that each change in the input makes </w:t>
      </w:r>
      <w:r w:rsidR="00A00D23">
        <w:t>in</w:t>
      </w:r>
      <w:r w:rsidR="00256ED3">
        <w:t xml:space="preserve"> the subsequent GBD estimate.  </w:t>
      </w:r>
      <w:r w:rsidR="001054E8" w:rsidRPr="003246FC">
        <w:t>The burden estimates and associated journal papers and presentations would be enhanced if the inputs to the estimates were more clearly documented</w:t>
      </w:r>
      <w:r w:rsidR="00751AA1">
        <w:t>,</w:t>
      </w:r>
      <w:r w:rsidR="001054E8" w:rsidRPr="003246FC">
        <w:t xml:space="preserve"> and easier to find in the literature</w:t>
      </w:r>
      <w:r w:rsidR="00B83A7C">
        <w:t xml:space="preserve"> and on websites</w:t>
      </w:r>
      <w:r w:rsidR="001054E8" w:rsidRPr="003246FC">
        <w:t xml:space="preserve">.  </w:t>
      </w:r>
      <w:r w:rsidR="007D1B0F">
        <w:t>T</w:t>
      </w:r>
      <w:r w:rsidR="001054E8" w:rsidRPr="003246FC">
        <w:t>he changes in model assumptions and inputs over time sho</w:t>
      </w:r>
      <w:r w:rsidR="0073430D">
        <w:t xml:space="preserve">uld be made more transparent.  </w:t>
      </w:r>
      <w:r w:rsidR="0073430D" w:rsidRPr="003246FC">
        <w:t xml:space="preserve">However, it is important to note that given the inherent uncertainties in estimated global mortality, the GBD methodology </w:t>
      </w:r>
      <w:r>
        <w:t xml:space="preserve">is able to </w:t>
      </w:r>
      <w:r w:rsidR="0073430D" w:rsidRPr="003246FC">
        <w:t xml:space="preserve">quantitatively incorporate </w:t>
      </w:r>
      <w:r>
        <w:t xml:space="preserve">some of </w:t>
      </w:r>
      <w:r w:rsidR="0073430D" w:rsidRPr="003246FC">
        <w:t xml:space="preserve">the uncertainty in the </w:t>
      </w:r>
      <w:r>
        <w:t>IER</w:t>
      </w:r>
      <w:r w:rsidR="0073430D" w:rsidRPr="003246FC">
        <w:t>, the counterfactual and the exposure estimates through multiple simulations (Burnett et al. 2014).</w:t>
      </w:r>
    </w:p>
    <w:p w14:paraId="1620C886" w14:textId="5BA4FAC6" w:rsidR="009A5FD5" w:rsidRDefault="003246FC" w:rsidP="0073430D">
      <w:pPr>
        <w:shd w:val="clear" w:color="auto" w:fill="FFFFFF"/>
        <w:spacing w:after="0" w:line="480" w:lineRule="auto"/>
        <w:ind w:firstLine="720"/>
      </w:pPr>
      <w:r>
        <w:t>T</w:t>
      </w:r>
      <w:r w:rsidR="009A5FD5" w:rsidRPr="003246FC">
        <w:t xml:space="preserve">here are other important uncertainties such as the issue of how well the IER incorporates differential toxicity of ambient PM2.5 versus active and passive smoking.  </w:t>
      </w:r>
      <w:r w:rsidR="001D24F2" w:rsidRPr="003246FC">
        <w:t>T</w:t>
      </w:r>
      <w:r w:rsidR="009A5FD5" w:rsidRPr="003246FC">
        <w:t xml:space="preserve">here is </w:t>
      </w:r>
      <w:r w:rsidR="00273388" w:rsidRPr="003246FC">
        <w:t xml:space="preserve">also </w:t>
      </w:r>
      <w:r w:rsidR="009A5FD5" w:rsidRPr="003246FC">
        <w:t>uncertainty regarding the extrapolation of the IER, based primarily on studies in North American and Europe, to the rest of the world where the mixture of PM2.5 is very different.  Such extrapolation must assume that all of the compo</w:t>
      </w:r>
      <w:r w:rsidR="0000277E" w:rsidRPr="003246FC">
        <w:t>ne</w:t>
      </w:r>
      <w:r w:rsidR="009A5FD5" w:rsidRPr="003246FC">
        <w:t>nts of PM2.5 are of equal toxicity. Recent evidence (</w:t>
      </w:r>
      <w:proofErr w:type="spellStart"/>
      <w:r w:rsidR="009A5FD5" w:rsidRPr="003246FC">
        <w:t>Ostro</w:t>
      </w:r>
      <w:proofErr w:type="spellEnd"/>
      <w:r w:rsidR="001054E8" w:rsidRPr="003246FC">
        <w:t xml:space="preserve"> </w:t>
      </w:r>
      <w:r w:rsidR="00273388" w:rsidRPr="003246FC">
        <w:t>et al., 2015</w:t>
      </w:r>
      <w:r w:rsidR="009A5FD5" w:rsidRPr="003246FC">
        <w:t>, Thurston</w:t>
      </w:r>
      <w:r w:rsidR="00100B52" w:rsidRPr="003246FC">
        <w:t xml:space="preserve"> et al., 201</w:t>
      </w:r>
      <w:r w:rsidR="00AB13E4">
        <w:t>6</w:t>
      </w:r>
      <w:r w:rsidR="009A5FD5" w:rsidRPr="003246FC">
        <w:t xml:space="preserve">) suggests that </w:t>
      </w:r>
      <w:r w:rsidR="00087782">
        <w:t xml:space="preserve">long-term exposure to </w:t>
      </w:r>
      <w:r w:rsidR="009A5FD5" w:rsidRPr="003246FC">
        <w:t>certain components and sources</w:t>
      </w:r>
      <w:r w:rsidR="00CF5CD8">
        <w:t xml:space="preserve"> such as sulfate and elemental carbon</w:t>
      </w:r>
      <w:r w:rsidR="009A5FD5" w:rsidRPr="003246FC">
        <w:t xml:space="preserve"> may be more toxic </w:t>
      </w:r>
      <w:r w:rsidR="009A5FD5" w:rsidRPr="003246FC">
        <w:lastRenderedPageBreak/>
        <w:t xml:space="preserve">than generic PM2.5 but more research is needed in this area.  </w:t>
      </w:r>
      <w:r w:rsidR="0000277E" w:rsidRPr="003246FC">
        <w:t>Related to this is the issue of the toxicity of dust</w:t>
      </w:r>
      <w:r w:rsidR="00E3474F">
        <w:t>, which is assumed to have toxicity equal to other fine particle components.  T</w:t>
      </w:r>
      <w:r w:rsidR="00827354">
        <w:t xml:space="preserve">he treatment of the toxicity of dust can have a major impact.  For example, </w:t>
      </w:r>
      <w:proofErr w:type="spellStart"/>
      <w:r w:rsidR="004B55A8">
        <w:t>Lelieveld</w:t>
      </w:r>
      <w:proofErr w:type="spellEnd"/>
      <w:r w:rsidR="004B55A8">
        <w:t xml:space="preserve"> </w:t>
      </w:r>
      <w:r w:rsidR="00827354">
        <w:t>et al. (2015) attributed 90% of the</w:t>
      </w:r>
      <w:r w:rsidR="00CF5CD8">
        <w:t xml:space="preserve"> air pollution-related</w:t>
      </w:r>
      <w:r w:rsidR="00827354">
        <w:t xml:space="preserve"> mortality </w:t>
      </w:r>
      <w:r w:rsidR="00CF5CD8">
        <w:t xml:space="preserve">in Egypt </w:t>
      </w:r>
      <w:r w:rsidR="00827354">
        <w:t>to dust exposure</w:t>
      </w:r>
      <w:r w:rsidR="006E1163">
        <w:t xml:space="preserve"> and determined that globally, dust particles could increase overall mortality by 20%</w:t>
      </w:r>
      <w:r w:rsidR="00827354">
        <w:t xml:space="preserve">.  </w:t>
      </w:r>
      <w:r w:rsidR="00456FCB">
        <w:t xml:space="preserve">Among </w:t>
      </w:r>
      <w:r w:rsidR="008504B3">
        <w:t xml:space="preserve">epidemiologic </w:t>
      </w:r>
      <w:r w:rsidR="00456FCB">
        <w:t xml:space="preserve">studies of long-term exposure </w:t>
      </w:r>
      <w:proofErr w:type="spellStart"/>
      <w:r w:rsidR="00456FCB">
        <w:t>Ostro</w:t>
      </w:r>
      <w:proofErr w:type="spellEnd"/>
      <w:r w:rsidR="00456FCB">
        <w:t xml:space="preserve"> et al. (201</w:t>
      </w:r>
      <w:r w:rsidR="00CF5CD8">
        <w:t>1</w:t>
      </w:r>
      <w:r w:rsidR="00456FCB">
        <w:t xml:space="preserve">) </w:t>
      </w:r>
      <w:r w:rsidR="008713B2">
        <w:t xml:space="preserve">and </w:t>
      </w:r>
      <w:proofErr w:type="spellStart"/>
      <w:r w:rsidR="008713B2">
        <w:t>Vedal</w:t>
      </w:r>
      <w:proofErr w:type="spellEnd"/>
      <w:r w:rsidR="008713B2">
        <w:t xml:space="preserve"> et al. (2013) </w:t>
      </w:r>
      <w:r w:rsidR="00456FCB">
        <w:t>found effects from s</w:t>
      </w:r>
      <w:r w:rsidR="00CF5CD8">
        <w:t>ilicon</w:t>
      </w:r>
      <w:r w:rsidR="00456FCB">
        <w:t xml:space="preserve"> on </w:t>
      </w:r>
      <w:r w:rsidR="00CF5CD8">
        <w:t>cardiopulmonary</w:t>
      </w:r>
      <w:r w:rsidR="00456FCB">
        <w:t xml:space="preserve"> mortality</w:t>
      </w:r>
      <w:r w:rsidR="006634EA">
        <w:t>,</w:t>
      </w:r>
      <w:r w:rsidR="00456FCB">
        <w:t xml:space="preserve"> and Thurston et al (2013) reported effects of soil on respiratory mortality.  </w:t>
      </w:r>
      <w:r w:rsidR="00DD51F1">
        <w:t>Furthermore, recent evidence indicates that fine particulate matter may impact not only cardiovascular diseases and lung diseases including lung cancer, but also metabolic diseases such as diabetes and neurodegen</w:t>
      </w:r>
      <w:r w:rsidR="00D00003">
        <w:t>er</w:t>
      </w:r>
      <w:r w:rsidR="00DD51F1">
        <w:t>ative diseases (Thurston et al., 2017).</w:t>
      </w:r>
    </w:p>
    <w:p w14:paraId="02B97B2D" w14:textId="77777777" w:rsidR="00256ED3" w:rsidRDefault="00256ED3" w:rsidP="0073430D">
      <w:pPr>
        <w:shd w:val="clear" w:color="auto" w:fill="FFFFFF"/>
        <w:spacing w:after="0" w:line="480" w:lineRule="auto"/>
        <w:ind w:firstLine="720"/>
      </w:pPr>
    </w:p>
    <w:p w14:paraId="20B70D32" w14:textId="629A26DE" w:rsidR="00256ED3" w:rsidRDefault="00406AFD" w:rsidP="00256ED3">
      <w:pPr>
        <w:shd w:val="clear" w:color="auto" w:fill="FFFFFF"/>
        <w:spacing w:after="0" w:line="480" w:lineRule="auto"/>
      </w:pPr>
      <w:r>
        <w:rPr>
          <w:b/>
        </w:rPr>
        <w:t>VI.</w:t>
      </w:r>
      <w:r w:rsidR="00D00003">
        <w:rPr>
          <w:b/>
        </w:rPr>
        <w:t xml:space="preserve"> </w:t>
      </w:r>
      <w:r w:rsidR="001C61CD">
        <w:rPr>
          <w:b/>
        </w:rPr>
        <w:t>Recommendations</w:t>
      </w:r>
      <w:r w:rsidR="00256ED3">
        <w:t>:</w:t>
      </w:r>
    </w:p>
    <w:p w14:paraId="2981F236" w14:textId="79288DC3" w:rsidR="009C0213" w:rsidRDefault="00256ED3" w:rsidP="00256ED3">
      <w:pPr>
        <w:shd w:val="clear" w:color="auto" w:fill="FFFFFF"/>
        <w:spacing w:after="0" w:line="480" w:lineRule="auto"/>
      </w:pPr>
      <w:r>
        <w:t xml:space="preserve">1. </w:t>
      </w:r>
      <w:r w:rsidRPr="00684162">
        <w:rPr>
          <w:b/>
        </w:rPr>
        <w:t xml:space="preserve">There is an urgent need for high quality </w:t>
      </w:r>
      <w:r w:rsidR="009524C4">
        <w:rPr>
          <w:b/>
        </w:rPr>
        <w:t xml:space="preserve">and reliable </w:t>
      </w:r>
      <w:r w:rsidRPr="00684162">
        <w:rPr>
          <w:b/>
        </w:rPr>
        <w:t xml:space="preserve">ambient </w:t>
      </w:r>
      <w:r>
        <w:rPr>
          <w:b/>
        </w:rPr>
        <w:t xml:space="preserve">PM2.5 </w:t>
      </w:r>
      <w:r w:rsidR="00FF4A38">
        <w:rPr>
          <w:b/>
        </w:rPr>
        <w:t xml:space="preserve">ground-level </w:t>
      </w:r>
      <w:r w:rsidRPr="00684162">
        <w:rPr>
          <w:b/>
        </w:rPr>
        <w:t xml:space="preserve">monitors </w:t>
      </w:r>
      <w:r>
        <w:rPr>
          <w:b/>
        </w:rPr>
        <w:t xml:space="preserve">to </w:t>
      </w:r>
      <w:r w:rsidRPr="00684162">
        <w:rPr>
          <w:b/>
        </w:rPr>
        <w:t xml:space="preserve">be located in </w:t>
      </w:r>
      <w:r w:rsidR="009D41A0">
        <w:rPr>
          <w:b/>
        </w:rPr>
        <w:t>LMIC</w:t>
      </w:r>
      <w:r w:rsidRPr="00684162">
        <w:rPr>
          <w:b/>
        </w:rPr>
        <w:t>.</w:t>
      </w:r>
      <w:r>
        <w:t xml:space="preserve"> </w:t>
      </w:r>
      <w:r w:rsidR="009C0213">
        <w:t xml:space="preserve">The placement of universally accepted </w:t>
      </w:r>
      <w:r w:rsidR="005D3401">
        <w:t>ground-level</w:t>
      </w:r>
      <w:r w:rsidR="009C0213">
        <w:t xml:space="preserve"> monitors and AERONET monitors, including the measurement of both mass and components, in countries with limited or non-existing monitors would represent a significant enhancement to current knowledge.  Not only would this information help identify the magnitude of the air pollution problem and the components that are most important to </w:t>
      </w:r>
      <w:proofErr w:type="gramStart"/>
      <w:r w:rsidR="009C0213">
        <w:t>control,</w:t>
      </w:r>
      <w:proofErr w:type="gramEnd"/>
      <w:r w:rsidR="009C0213">
        <w:t xml:space="preserve"> it would help in calibrating estimates from remote sensing satellites.  This would enable </w:t>
      </w:r>
      <w:r w:rsidR="009D41A0">
        <w:t>LMIC</w:t>
      </w:r>
      <w:r w:rsidR="009C0213">
        <w:t xml:space="preserve"> to verify the accuracy of projections made from existing exposure models.  Ideally these monitors would also maintain full quality assurance procedures to ensure accuracy</w:t>
      </w:r>
      <w:r w:rsidR="00A93CA7">
        <w:t>.</w:t>
      </w:r>
      <w:r w:rsidR="0085549E">
        <w:t xml:space="preserve"> There is also a need to </w:t>
      </w:r>
      <w:r w:rsidR="0085549E" w:rsidRPr="00684162">
        <w:rPr>
          <w:b/>
        </w:rPr>
        <w:t>review existing monitors in countries that have not had a long history of quality control and/or are not using U.S. or European federal reference method monitors.</w:t>
      </w:r>
    </w:p>
    <w:p w14:paraId="7935D130" w14:textId="77777777" w:rsidR="00684162" w:rsidRDefault="00684162" w:rsidP="00256ED3">
      <w:pPr>
        <w:shd w:val="clear" w:color="auto" w:fill="FFFFFF"/>
        <w:spacing w:after="0" w:line="480" w:lineRule="auto"/>
      </w:pPr>
    </w:p>
    <w:p w14:paraId="20A71AE5" w14:textId="00044F03" w:rsidR="00256ED3" w:rsidRPr="00F031AE" w:rsidRDefault="00256ED3" w:rsidP="00256ED3">
      <w:pPr>
        <w:shd w:val="clear" w:color="auto" w:fill="FFFFFF"/>
        <w:spacing w:after="0" w:line="480" w:lineRule="auto"/>
        <w:rPr>
          <w:i/>
        </w:rPr>
      </w:pPr>
    </w:p>
    <w:p w14:paraId="45BF91CB" w14:textId="77777777" w:rsidR="009C0213" w:rsidRDefault="009C0213" w:rsidP="00256ED3">
      <w:pPr>
        <w:shd w:val="clear" w:color="auto" w:fill="FFFFFF"/>
        <w:spacing w:after="0" w:line="480" w:lineRule="auto"/>
      </w:pPr>
    </w:p>
    <w:p w14:paraId="7E777757" w14:textId="4057D72B" w:rsidR="00003CD4" w:rsidRPr="00CA193B" w:rsidRDefault="0085549E" w:rsidP="00003CD4">
      <w:pPr>
        <w:shd w:val="clear" w:color="auto" w:fill="FFFFFF"/>
        <w:spacing w:after="0" w:line="480" w:lineRule="auto"/>
      </w:pPr>
      <w:r>
        <w:t>2</w:t>
      </w:r>
      <w:r w:rsidR="00003CD4">
        <w:t xml:space="preserve">. </w:t>
      </w:r>
      <w:r w:rsidR="00003CD4" w:rsidRPr="00CA193B">
        <w:rPr>
          <w:b/>
        </w:rPr>
        <w:t>There is a need for further development of the methods deriving the IERs</w:t>
      </w:r>
      <w:r w:rsidR="00092585">
        <w:rPr>
          <w:b/>
        </w:rPr>
        <w:t>,</w:t>
      </w:r>
      <w:r w:rsidR="00003CD4" w:rsidRPr="00CA193B">
        <w:rPr>
          <w:b/>
        </w:rPr>
        <w:t xml:space="preserve"> and </w:t>
      </w:r>
      <w:r w:rsidR="00660148" w:rsidRPr="00CA193B">
        <w:rPr>
          <w:b/>
        </w:rPr>
        <w:t xml:space="preserve">of </w:t>
      </w:r>
      <w:r w:rsidR="00003CD4" w:rsidRPr="00CA193B">
        <w:rPr>
          <w:b/>
        </w:rPr>
        <w:t>the methodology for reporting the results of the GBD estimates.</w:t>
      </w:r>
      <w:r w:rsidR="00003CD4" w:rsidRPr="00CA193B">
        <w:t xml:space="preserve">  As science is progressing quickly and new studies will become available</w:t>
      </w:r>
      <w:r w:rsidR="00660148" w:rsidRPr="00CA193B">
        <w:t>,</w:t>
      </w:r>
      <w:r w:rsidR="00003CD4" w:rsidRPr="00CA193B">
        <w:t xml:space="preserve"> more data will be available for deriving the IERs and alternative methodological approaches may be </w:t>
      </w:r>
      <w:r w:rsidR="00660148" w:rsidRPr="00CA193B">
        <w:t xml:space="preserve">considered and </w:t>
      </w:r>
      <w:r w:rsidR="00003CD4" w:rsidRPr="00CA193B">
        <w:t>developed</w:t>
      </w:r>
      <w:r w:rsidR="00F334F2" w:rsidRPr="00CA193B">
        <w:t>, especially because the IER approach</w:t>
      </w:r>
      <w:r w:rsidR="003B1031">
        <w:t>, which is currently</w:t>
      </w:r>
      <w:r w:rsidR="00F334F2" w:rsidRPr="00CA193B">
        <w:t xml:space="preserve"> based on </w:t>
      </w:r>
      <w:r w:rsidR="007B2F2C">
        <w:t xml:space="preserve">only </w:t>
      </w:r>
      <w:r w:rsidR="003B1031">
        <w:t xml:space="preserve">a few </w:t>
      </w:r>
      <w:r w:rsidR="00F334F2" w:rsidRPr="00CA193B">
        <w:t xml:space="preserve">selected causes </w:t>
      </w:r>
      <w:r w:rsidR="003B1031">
        <w:t xml:space="preserve">of death, </w:t>
      </w:r>
      <w:r w:rsidR="00F334F2" w:rsidRPr="00CA193B">
        <w:t xml:space="preserve">may underestimate the overall </w:t>
      </w:r>
      <w:r w:rsidR="003B1031">
        <w:t>burden</w:t>
      </w:r>
      <w:r w:rsidR="003B1031" w:rsidRPr="00CA193B">
        <w:t xml:space="preserve"> </w:t>
      </w:r>
      <w:r w:rsidR="00F334F2" w:rsidRPr="00CA193B">
        <w:t xml:space="preserve">of air pollution on </w:t>
      </w:r>
      <w:r w:rsidR="007B2F2C">
        <w:t xml:space="preserve">all-cause, natural </w:t>
      </w:r>
      <w:r w:rsidR="00F334F2" w:rsidRPr="00CA193B">
        <w:t>mortality</w:t>
      </w:r>
      <w:r w:rsidR="00003CD4" w:rsidRPr="00CA193B">
        <w:t xml:space="preserve">. </w:t>
      </w:r>
      <w:r w:rsidR="00CA193B" w:rsidRPr="00CA193B">
        <w:t>Ambient air pollution is suspected to exhibit</w:t>
      </w:r>
      <w:r w:rsidR="00CA193B">
        <w:t xml:space="preserve"> an</w:t>
      </w:r>
      <w:r w:rsidR="00CA193B" w:rsidRPr="00CA193B">
        <w:t xml:space="preserve"> indirect impact on mortality by increasing morbidity and to interact with other risk factors such as</w:t>
      </w:r>
      <w:r w:rsidR="00CA193B">
        <w:t xml:space="preserve"> diabetes and </w:t>
      </w:r>
      <w:r w:rsidR="00CA193B" w:rsidRPr="00CA193B">
        <w:t xml:space="preserve">dyslipidemia, which may be an area of future method development. </w:t>
      </w:r>
      <w:r w:rsidR="00660148" w:rsidRPr="00CA193B">
        <w:t>Furthermore, in the future</w:t>
      </w:r>
      <w:r w:rsidR="007B2F2C">
        <w:t>,</w:t>
      </w:r>
      <w:r w:rsidR="00660148" w:rsidRPr="00CA193B">
        <w:t xml:space="preserve"> </w:t>
      </w:r>
      <w:r w:rsidR="00003CD4" w:rsidRPr="00CA193B">
        <w:t xml:space="preserve">additional </w:t>
      </w:r>
      <w:r w:rsidR="00CA193B">
        <w:t xml:space="preserve">morbidity outcomes may be considered </w:t>
      </w:r>
      <w:r w:rsidR="007B2F2C">
        <w:t xml:space="preserve">including for example </w:t>
      </w:r>
      <w:r w:rsidR="00CA193B">
        <w:t xml:space="preserve">adverse birth outcomes.  </w:t>
      </w:r>
    </w:p>
    <w:p w14:paraId="482A4987" w14:textId="77777777" w:rsidR="00003CD4" w:rsidRDefault="00003CD4" w:rsidP="00003CD4">
      <w:pPr>
        <w:shd w:val="clear" w:color="auto" w:fill="FFFFFF"/>
        <w:spacing w:after="0" w:line="480" w:lineRule="auto"/>
      </w:pPr>
    </w:p>
    <w:p w14:paraId="6148E0FA" w14:textId="15D03E16" w:rsidR="00684162" w:rsidRDefault="0085549E" w:rsidP="00256ED3">
      <w:pPr>
        <w:shd w:val="clear" w:color="auto" w:fill="FFFFFF"/>
        <w:spacing w:after="0" w:line="480" w:lineRule="auto"/>
      </w:pPr>
      <w:r>
        <w:t>3</w:t>
      </w:r>
      <w:r w:rsidR="00684162">
        <w:t xml:space="preserve">. </w:t>
      </w:r>
      <w:r w:rsidR="00684162" w:rsidRPr="00A66EE7">
        <w:rPr>
          <w:b/>
        </w:rPr>
        <w:t xml:space="preserve">There is a need for complete transparency in and </w:t>
      </w:r>
      <w:r w:rsidR="003C4DD3">
        <w:rPr>
          <w:b/>
        </w:rPr>
        <w:t xml:space="preserve">full documentation </w:t>
      </w:r>
      <w:r w:rsidR="00684162" w:rsidRPr="00A66EE7">
        <w:rPr>
          <w:b/>
        </w:rPr>
        <w:t xml:space="preserve">of the GBD </w:t>
      </w:r>
      <w:r w:rsidR="006E1163">
        <w:rPr>
          <w:b/>
        </w:rPr>
        <w:t xml:space="preserve">historical and current </w:t>
      </w:r>
      <w:r w:rsidR="00684162" w:rsidRPr="00A66EE7">
        <w:rPr>
          <w:b/>
        </w:rPr>
        <w:t xml:space="preserve">estimates and easy availability </w:t>
      </w:r>
      <w:r w:rsidR="006E1163">
        <w:rPr>
          <w:b/>
        </w:rPr>
        <w:t>of</w:t>
      </w:r>
      <w:r w:rsidR="006E1163" w:rsidRPr="00A66EE7">
        <w:rPr>
          <w:b/>
        </w:rPr>
        <w:t xml:space="preserve"> </w:t>
      </w:r>
      <w:r w:rsidR="00684162" w:rsidRPr="00A66EE7">
        <w:rPr>
          <w:b/>
        </w:rPr>
        <w:t>the data sources.</w:t>
      </w:r>
      <w:r w:rsidR="00684162">
        <w:t xml:space="preserve">  As the GBD estimates change over time, the quantitative impact of each of the inputs should be very clear.  Sensitivity analysis would be a useful way of illustrating this by, for example, holding all the </w:t>
      </w:r>
      <w:r w:rsidR="00D15902">
        <w:t xml:space="preserve">inputs </w:t>
      </w:r>
      <w:r w:rsidR="00684162">
        <w:t xml:space="preserve">except one constant and demonstrating the impact </w:t>
      </w:r>
      <w:r w:rsidR="00D15902">
        <w:t xml:space="preserve">of </w:t>
      </w:r>
      <w:r w:rsidR="00684162">
        <w:t xml:space="preserve">the single </w:t>
      </w:r>
      <w:r w:rsidR="00D15902">
        <w:t>input</w:t>
      </w:r>
      <w:r w:rsidR="00684162">
        <w:t xml:space="preserve">.  This would enhance the public’s understanding of the process and lend credibility to the estimates.  </w:t>
      </w:r>
      <w:r w:rsidR="001C61CD">
        <w:t xml:space="preserve">The latest estimates from IHME include </w:t>
      </w:r>
      <w:r w:rsidR="00DD1C5A">
        <w:t xml:space="preserve">global burden </w:t>
      </w:r>
      <w:r w:rsidR="001C61CD">
        <w:t>calculations for the years 1990 – 2015 (</w:t>
      </w:r>
      <w:r w:rsidR="006E1163">
        <w:t xml:space="preserve">generally </w:t>
      </w:r>
      <w:r w:rsidR="001C61CD">
        <w:t xml:space="preserve">at 5-year intervals) using the updated IERs </w:t>
      </w:r>
      <w:r w:rsidR="00DD1C5A">
        <w:t>and exposure methodology</w:t>
      </w:r>
      <w:r w:rsidR="00100B48">
        <w:t xml:space="preserve"> (see Figure </w:t>
      </w:r>
      <w:r w:rsidR="00B6268C">
        <w:t>6</w:t>
      </w:r>
      <w:r w:rsidR="00100B48">
        <w:t>)</w:t>
      </w:r>
      <w:r w:rsidR="00DD1C5A">
        <w:t xml:space="preserve">.  This may add some confusion since they are now different from the original </w:t>
      </w:r>
      <w:r w:rsidR="003C4DD3">
        <w:t xml:space="preserve">GBD </w:t>
      </w:r>
      <w:r w:rsidR="00DD1C5A">
        <w:t>estimates.  It is important to clearly indicate the input assumptions</w:t>
      </w:r>
      <w:r w:rsidR="00684162">
        <w:t xml:space="preserve"> </w:t>
      </w:r>
      <w:r w:rsidR="00DD1C5A">
        <w:t xml:space="preserve">when past and future GBD estimates are presented.  The IHME updated mortality estimate for 2010 is now </w:t>
      </w:r>
      <w:r w:rsidR="00DD1C5A" w:rsidRPr="003246FC">
        <w:t>3.</w:t>
      </w:r>
      <w:r w:rsidR="006E1163">
        <w:t>75</w:t>
      </w:r>
      <w:r w:rsidR="00DD1C5A">
        <w:t xml:space="preserve"> million, </w:t>
      </w:r>
      <w:r w:rsidR="00DD1C5A">
        <w:lastRenderedPageBreak/>
        <w:t xml:space="preserve">as opposed to the original estimate of 3.2 million.  </w:t>
      </w:r>
      <w:r w:rsidR="000E3C52">
        <w:t>Finally, i</w:t>
      </w:r>
      <w:r w:rsidR="003C4DD3">
        <w:t xml:space="preserve">t would be useful to maintain a central site for both historic and current data </w:t>
      </w:r>
      <w:r w:rsidR="006E1163">
        <w:t xml:space="preserve">and methods </w:t>
      </w:r>
      <w:r w:rsidR="003C4DD3">
        <w:t xml:space="preserve">used in the </w:t>
      </w:r>
      <w:r w:rsidR="001C7270">
        <w:t>GBD estimates.</w:t>
      </w:r>
      <w:r w:rsidR="003C4DD3">
        <w:t xml:space="preserve"> </w:t>
      </w:r>
    </w:p>
    <w:p w14:paraId="43EBB48E" w14:textId="77777777" w:rsidR="009C0213" w:rsidRDefault="009C0213" w:rsidP="00256ED3">
      <w:pPr>
        <w:shd w:val="clear" w:color="auto" w:fill="FFFFFF"/>
        <w:spacing w:after="0" w:line="480" w:lineRule="auto"/>
      </w:pPr>
    </w:p>
    <w:p w14:paraId="447A8E57" w14:textId="70EA8504" w:rsidR="0067010E" w:rsidRDefault="0085549E" w:rsidP="00A66EE7">
      <w:pPr>
        <w:shd w:val="clear" w:color="auto" w:fill="FFFFFF"/>
        <w:spacing w:after="0" w:line="480" w:lineRule="auto"/>
      </w:pPr>
      <w:r>
        <w:t>4</w:t>
      </w:r>
      <w:r w:rsidR="00684162">
        <w:t xml:space="preserve">.  </w:t>
      </w:r>
      <w:r w:rsidR="007F34A2">
        <w:rPr>
          <w:b/>
        </w:rPr>
        <w:t>Additional</w:t>
      </w:r>
      <w:r w:rsidR="00684162" w:rsidRPr="00A66EE7">
        <w:rPr>
          <w:b/>
        </w:rPr>
        <w:t xml:space="preserve"> epidemiologic research on the components of PM2.5, dust and coarse particles</w:t>
      </w:r>
      <w:r w:rsidR="007F34A2">
        <w:rPr>
          <w:b/>
        </w:rPr>
        <w:t xml:space="preserve"> should be undertaken</w:t>
      </w:r>
      <w:r w:rsidR="003E0357">
        <w:rPr>
          <w:b/>
        </w:rPr>
        <w:t xml:space="preserve"> </w:t>
      </w:r>
      <w:r w:rsidR="003E0357" w:rsidRPr="00DC6E19">
        <w:t>along with</w:t>
      </w:r>
      <w:r w:rsidR="003E0357">
        <w:rPr>
          <w:b/>
        </w:rPr>
        <w:t xml:space="preserve"> cohort studies of PM2.5 mass</w:t>
      </w:r>
      <w:r w:rsidR="00684162" w:rsidRPr="00A66EE7">
        <w:rPr>
          <w:b/>
        </w:rPr>
        <w:t>.</w:t>
      </w:r>
      <w:r w:rsidR="00684162">
        <w:t xml:space="preserve">   Th</w:t>
      </w:r>
      <w:r w:rsidR="00684162" w:rsidRPr="003246FC">
        <w:t>is research could help reduce some of these uncertainties</w:t>
      </w:r>
      <w:r w:rsidR="007D1B0F">
        <w:t>,</w:t>
      </w:r>
      <w:r w:rsidR="00684162">
        <w:t xml:space="preserve"> especially for low</w:t>
      </w:r>
      <w:r w:rsidR="009D41A0">
        <w:t>-</w:t>
      </w:r>
      <w:r w:rsidR="00684162">
        <w:t xml:space="preserve"> and middle</w:t>
      </w:r>
      <w:r w:rsidR="009D41A0">
        <w:t>-</w:t>
      </w:r>
      <w:r w:rsidR="00684162">
        <w:t xml:space="preserve">income countries.  </w:t>
      </w:r>
      <w:r w:rsidR="00684162" w:rsidRPr="003246FC">
        <w:t xml:space="preserve">Additional </w:t>
      </w:r>
      <w:r w:rsidR="00684162">
        <w:t xml:space="preserve">information on current exposures to and epidemiologic </w:t>
      </w:r>
      <w:r w:rsidR="00684162" w:rsidRPr="003246FC">
        <w:t xml:space="preserve">studies of </w:t>
      </w:r>
      <w:r w:rsidR="00684162">
        <w:t xml:space="preserve">the health impact of PM2.5 and its </w:t>
      </w:r>
      <w:r w:rsidR="00684162" w:rsidRPr="003246FC">
        <w:t>components</w:t>
      </w:r>
      <w:r w:rsidR="00684162">
        <w:t xml:space="preserve">, dust, and coarse particles </w:t>
      </w:r>
      <w:r w:rsidR="00684162" w:rsidRPr="003246FC">
        <w:t xml:space="preserve">at a </w:t>
      </w:r>
      <w:r w:rsidR="00684162">
        <w:t>refined</w:t>
      </w:r>
      <w:r w:rsidR="00684162" w:rsidRPr="003246FC">
        <w:t xml:space="preserve"> spatial scale would be a major contribution</w:t>
      </w:r>
      <w:r w:rsidR="009C0213">
        <w:t xml:space="preserve">. Conducting epidemiologic studies in these countries would not only fill important gaps in knowledge, it </w:t>
      </w:r>
      <w:r w:rsidR="00A00D23">
        <w:t>would also</w:t>
      </w:r>
      <w:r w:rsidR="009C0213">
        <w:t xml:space="preserve"> help </w:t>
      </w:r>
      <w:r w:rsidR="00A00D23">
        <w:t xml:space="preserve">to </w:t>
      </w:r>
      <w:r w:rsidR="009C0213">
        <w:t xml:space="preserve">evaluate the GBD assumption of extrapolating existing </w:t>
      </w:r>
      <w:r w:rsidR="006074A9">
        <w:t>concentration</w:t>
      </w:r>
      <w:r w:rsidR="009C0213">
        <w:t>-response functions to other parts of the world.  In addition, conducting new exposure and epidemiological studies will increase the local knowledge base by providing training and experience</w:t>
      </w:r>
      <w:r w:rsidR="00A66EE7">
        <w:t xml:space="preserve">. </w:t>
      </w:r>
      <w:r w:rsidR="000C0454">
        <w:t xml:space="preserve"> </w:t>
      </w:r>
    </w:p>
    <w:p w14:paraId="79354195" w14:textId="77777777" w:rsidR="007B5461" w:rsidRPr="003246FC" w:rsidRDefault="007B5461" w:rsidP="00A66EE7">
      <w:pPr>
        <w:shd w:val="clear" w:color="auto" w:fill="FFFFFF"/>
        <w:spacing w:after="0" w:line="480" w:lineRule="auto"/>
      </w:pPr>
    </w:p>
    <w:p w14:paraId="2CB388E2" w14:textId="6FFDDF0A" w:rsidR="000220D6" w:rsidRPr="007B5461" w:rsidRDefault="006F4055" w:rsidP="007B5461">
      <w:pPr>
        <w:spacing w:line="480" w:lineRule="auto"/>
      </w:pPr>
      <w:r>
        <w:t>5</w:t>
      </w:r>
      <w:r w:rsidR="009F0C95" w:rsidRPr="007B5461">
        <w:t xml:space="preserve">. </w:t>
      </w:r>
      <w:r w:rsidR="007B5461" w:rsidRPr="007B5461">
        <w:t xml:space="preserve"> </w:t>
      </w:r>
      <w:r w:rsidR="007B5461" w:rsidRPr="007B5461">
        <w:rPr>
          <w:b/>
        </w:rPr>
        <w:t>There should be a</w:t>
      </w:r>
      <w:r w:rsidR="00037EFD" w:rsidRPr="007B5461">
        <w:rPr>
          <w:b/>
        </w:rPr>
        <w:t xml:space="preserve"> custodial agency</w:t>
      </w:r>
      <w:r w:rsidR="007B5461" w:rsidRPr="007B5461">
        <w:rPr>
          <w:b/>
        </w:rPr>
        <w:t xml:space="preserve">, such as </w:t>
      </w:r>
      <w:proofErr w:type="gramStart"/>
      <w:r w:rsidR="007B5461" w:rsidRPr="007B5461">
        <w:rPr>
          <w:b/>
        </w:rPr>
        <w:t>WHO</w:t>
      </w:r>
      <w:proofErr w:type="gramEnd"/>
      <w:r w:rsidR="007B5461" w:rsidRPr="007B5461">
        <w:rPr>
          <w:b/>
        </w:rPr>
        <w:t xml:space="preserve"> or some other international institution</w:t>
      </w:r>
      <w:r w:rsidR="007B5461">
        <w:rPr>
          <w:b/>
        </w:rPr>
        <w:t>,</w:t>
      </w:r>
      <w:r w:rsidR="00037EFD" w:rsidRPr="007B5461">
        <w:rPr>
          <w:b/>
        </w:rPr>
        <w:t xml:space="preserve"> to ensure </w:t>
      </w:r>
      <w:r w:rsidR="007B5461" w:rsidRPr="007B5461">
        <w:rPr>
          <w:b/>
        </w:rPr>
        <w:t>the existence of critical assessment</w:t>
      </w:r>
      <w:r w:rsidR="00037EFD" w:rsidRPr="007B5461">
        <w:rPr>
          <w:b/>
        </w:rPr>
        <w:t xml:space="preserve"> and continuous improvement of the scientific quality of these estimates</w:t>
      </w:r>
      <w:r w:rsidR="007B5461" w:rsidRPr="007B5461">
        <w:rPr>
          <w:b/>
        </w:rPr>
        <w:t xml:space="preserve">. </w:t>
      </w:r>
      <w:r w:rsidR="007B5461" w:rsidRPr="007B5461">
        <w:t xml:space="preserve"> In addition, such an agency would serve as a repository for past and current data and methods</w:t>
      </w:r>
      <w:r w:rsidR="007F34A2">
        <w:t xml:space="preserve"> and full documentation</w:t>
      </w:r>
      <w:r w:rsidR="007B5461" w:rsidRPr="007B5461">
        <w:t xml:space="preserve">. </w:t>
      </w:r>
    </w:p>
    <w:p w14:paraId="7E970171" w14:textId="463F6553" w:rsidR="00EA4F8A" w:rsidRPr="007B5461" w:rsidRDefault="00EC18B0" w:rsidP="00FC3DC9">
      <w:pPr>
        <w:spacing w:before="165" w:after="165" w:line="360" w:lineRule="auto"/>
        <w:rPr>
          <w:rFonts w:eastAsia="Times New Roman"/>
          <w:b/>
          <w:lang w:val="en-GB"/>
        </w:rPr>
      </w:pPr>
      <w:r w:rsidRPr="007B5461">
        <w:rPr>
          <w:rFonts w:eastAsia="Times New Roman"/>
          <w:lang w:val="en-GB"/>
        </w:rPr>
        <w:br w:type="column"/>
      </w:r>
      <w:r w:rsidR="002B17F5" w:rsidRPr="007B5461">
        <w:rPr>
          <w:rFonts w:eastAsia="Times New Roman"/>
          <w:b/>
          <w:lang w:val="en-GB"/>
        </w:rPr>
        <w:lastRenderedPageBreak/>
        <w:t>V</w:t>
      </w:r>
      <w:r w:rsidR="00E60BCB">
        <w:rPr>
          <w:rFonts w:eastAsia="Times New Roman"/>
          <w:b/>
          <w:lang w:val="en-GB"/>
        </w:rPr>
        <w:t>I</w:t>
      </w:r>
      <w:r w:rsidR="002B17F5" w:rsidRPr="007B5461">
        <w:rPr>
          <w:rFonts w:eastAsia="Times New Roman"/>
          <w:b/>
          <w:lang w:val="en-GB"/>
        </w:rPr>
        <w:t xml:space="preserve">I. </w:t>
      </w:r>
      <w:r w:rsidR="00FC3DC9" w:rsidRPr="007B5461">
        <w:rPr>
          <w:rFonts w:eastAsia="Times New Roman"/>
          <w:b/>
          <w:lang w:val="en-GB"/>
        </w:rPr>
        <w:t>References</w:t>
      </w:r>
    </w:p>
    <w:p w14:paraId="021F46DD" w14:textId="77777777" w:rsidR="00064751" w:rsidRDefault="00064751" w:rsidP="007A0393">
      <w:pPr>
        <w:spacing w:after="0"/>
        <w:rPr>
          <w:rFonts w:eastAsia="Times New Roman"/>
        </w:rPr>
      </w:pPr>
      <w:r w:rsidRPr="007B5461">
        <w:rPr>
          <w:rFonts w:eastAsia="Times New Roman"/>
          <w:lang w:val="en-GB"/>
        </w:rPr>
        <w:t xml:space="preserve">Abbey </w:t>
      </w:r>
      <w:r w:rsidR="00325713" w:rsidRPr="007B5461">
        <w:rPr>
          <w:rFonts w:eastAsia="Times New Roman"/>
          <w:lang w:val="en-GB"/>
        </w:rPr>
        <w:t xml:space="preserve">D </w:t>
      </w:r>
      <w:r w:rsidRPr="007B5461">
        <w:rPr>
          <w:rFonts w:eastAsia="Times New Roman"/>
          <w:lang w:val="en-GB"/>
        </w:rPr>
        <w:t xml:space="preserve">et al. </w:t>
      </w:r>
      <w:r>
        <w:rPr>
          <w:rFonts w:eastAsia="Times New Roman"/>
        </w:rPr>
        <w:t>(1999) Long-term inhalable particles and other air pollutants related to mortality in nonsmokers. American Journal of Respiratory and Critical Care Medicine 159:373-383</w:t>
      </w:r>
    </w:p>
    <w:p w14:paraId="04EE34AD" w14:textId="77777777" w:rsidR="00064751" w:rsidRDefault="00064751" w:rsidP="007A0393">
      <w:pPr>
        <w:spacing w:after="0"/>
        <w:rPr>
          <w:rFonts w:eastAsia="Times New Roman"/>
        </w:rPr>
      </w:pPr>
    </w:p>
    <w:p w14:paraId="416780A8" w14:textId="77777777" w:rsidR="007A0393" w:rsidRPr="003246FC" w:rsidRDefault="007A0393" w:rsidP="007A0393">
      <w:pPr>
        <w:spacing w:after="0"/>
        <w:rPr>
          <w:rFonts w:eastAsia="Times New Roman"/>
          <w:i/>
        </w:rPr>
      </w:pPr>
      <w:proofErr w:type="spellStart"/>
      <w:proofErr w:type="gramStart"/>
      <w:r w:rsidRPr="003246FC">
        <w:rPr>
          <w:rFonts w:eastAsia="Times New Roman"/>
        </w:rPr>
        <w:t>Brauer</w:t>
      </w:r>
      <w:proofErr w:type="spellEnd"/>
      <w:r w:rsidRPr="003246FC">
        <w:rPr>
          <w:rFonts w:eastAsia="Times New Roman"/>
        </w:rPr>
        <w:t>, M et al.</w:t>
      </w:r>
      <w:proofErr w:type="gramEnd"/>
      <w:r w:rsidRPr="003246FC">
        <w:rPr>
          <w:rFonts w:eastAsia="Times New Roman"/>
        </w:rPr>
        <w:t xml:space="preserve"> </w:t>
      </w:r>
      <w:r w:rsidR="008C5901" w:rsidRPr="003246FC">
        <w:rPr>
          <w:rFonts w:eastAsia="Times New Roman"/>
        </w:rPr>
        <w:t xml:space="preserve"> </w:t>
      </w:r>
      <w:proofErr w:type="gramStart"/>
      <w:r w:rsidR="008C5901" w:rsidRPr="003246FC">
        <w:rPr>
          <w:rFonts w:eastAsia="Times New Roman"/>
        </w:rPr>
        <w:t xml:space="preserve">(2012) </w:t>
      </w:r>
      <w:r w:rsidR="00815122">
        <w:rPr>
          <w:rFonts w:eastAsia="Times New Roman"/>
        </w:rPr>
        <w:t>Exposure assessment for e</w:t>
      </w:r>
      <w:r w:rsidRPr="003246FC">
        <w:rPr>
          <w:rFonts w:eastAsia="Times New Roman"/>
        </w:rPr>
        <w:t xml:space="preserve">stimation of the Global Burden of Disease </w:t>
      </w:r>
      <w:r w:rsidR="00815122">
        <w:rPr>
          <w:rFonts w:eastAsia="Times New Roman"/>
        </w:rPr>
        <w:t>attributable to outdoor air p</w:t>
      </w:r>
      <w:r w:rsidRPr="003246FC">
        <w:rPr>
          <w:rFonts w:eastAsia="Times New Roman"/>
        </w:rPr>
        <w:t>ollution.</w:t>
      </w:r>
      <w:proofErr w:type="gramEnd"/>
      <w:r w:rsidRPr="003246FC">
        <w:rPr>
          <w:rFonts w:eastAsia="Times New Roman"/>
        </w:rPr>
        <w:t xml:space="preserve"> Environ</w:t>
      </w:r>
      <w:r w:rsidR="008C5901" w:rsidRPr="003246FC">
        <w:rPr>
          <w:rFonts w:eastAsia="Times New Roman"/>
        </w:rPr>
        <w:t>mental</w:t>
      </w:r>
      <w:r w:rsidRPr="003246FC">
        <w:rPr>
          <w:rFonts w:eastAsia="Times New Roman"/>
        </w:rPr>
        <w:t xml:space="preserve"> Sci</w:t>
      </w:r>
      <w:r w:rsidR="008C5901" w:rsidRPr="003246FC">
        <w:rPr>
          <w:rFonts w:eastAsia="Times New Roman"/>
        </w:rPr>
        <w:t xml:space="preserve">ence and Technology </w:t>
      </w:r>
      <w:r w:rsidRPr="003246FC">
        <w:rPr>
          <w:rFonts w:eastAsia="Times New Roman"/>
        </w:rPr>
        <w:t>46</w:t>
      </w:r>
      <w:r w:rsidR="008C5901" w:rsidRPr="003246FC">
        <w:rPr>
          <w:rFonts w:eastAsia="Times New Roman"/>
        </w:rPr>
        <w:t>:</w:t>
      </w:r>
      <w:r w:rsidRPr="003246FC">
        <w:rPr>
          <w:rFonts w:eastAsia="Times New Roman"/>
        </w:rPr>
        <w:t>652</w:t>
      </w:r>
      <w:r w:rsidRPr="003246FC">
        <w:rPr>
          <w:rFonts w:eastAsia="Times New Roman" w:hint="eastAsia"/>
        </w:rPr>
        <w:t>−</w:t>
      </w:r>
      <w:r w:rsidRPr="003246FC">
        <w:rPr>
          <w:rFonts w:eastAsia="Times New Roman"/>
        </w:rPr>
        <w:t>660.</w:t>
      </w:r>
    </w:p>
    <w:p w14:paraId="3ABF7328" w14:textId="77777777" w:rsidR="00467E03" w:rsidRDefault="00325713" w:rsidP="00E038FF">
      <w:pPr>
        <w:spacing w:before="165" w:after="165"/>
        <w:rPr>
          <w:rFonts w:cs="NWYDES+TimesNewRomanPSMT"/>
          <w:color w:val="000000"/>
          <w:sz w:val="23"/>
          <w:szCs w:val="23"/>
        </w:rPr>
      </w:pPr>
      <w:proofErr w:type="spellStart"/>
      <w:proofErr w:type="gramStart"/>
      <w:r>
        <w:rPr>
          <w:rFonts w:cs="NWYDES+TimesNewRomanPSMT"/>
          <w:color w:val="000000"/>
          <w:sz w:val="23"/>
          <w:szCs w:val="23"/>
        </w:rPr>
        <w:t>Beelen</w:t>
      </w:r>
      <w:proofErr w:type="spellEnd"/>
      <w:r>
        <w:rPr>
          <w:rFonts w:cs="NWYDES+TimesNewRomanPSMT"/>
          <w:color w:val="000000"/>
          <w:sz w:val="23"/>
          <w:szCs w:val="23"/>
        </w:rPr>
        <w:t xml:space="preserve"> R et al. (2008)</w:t>
      </w:r>
      <w:r w:rsidR="00467E03">
        <w:rPr>
          <w:rFonts w:cs="NWYDES+TimesNewRomanPSMT"/>
          <w:color w:val="000000"/>
          <w:sz w:val="23"/>
          <w:szCs w:val="23"/>
        </w:rPr>
        <w:t xml:space="preserve"> Long-Term </w:t>
      </w:r>
      <w:r w:rsidR="00815122">
        <w:rPr>
          <w:rFonts w:cs="NWYDES+TimesNewRomanPSMT"/>
          <w:color w:val="000000"/>
          <w:sz w:val="23"/>
          <w:szCs w:val="23"/>
        </w:rPr>
        <w:t>effects of t</w:t>
      </w:r>
      <w:r w:rsidR="00467E03">
        <w:rPr>
          <w:rFonts w:cs="NWYDES+TimesNewRomanPSMT"/>
          <w:color w:val="000000"/>
          <w:sz w:val="23"/>
          <w:szCs w:val="23"/>
        </w:rPr>
        <w:t>raffic-</w:t>
      </w:r>
      <w:r w:rsidR="00815122">
        <w:rPr>
          <w:rFonts w:cs="NWYDES+TimesNewRomanPSMT"/>
          <w:color w:val="000000"/>
          <w:sz w:val="23"/>
          <w:szCs w:val="23"/>
        </w:rPr>
        <w:t>related a</w:t>
      </w:r>
      <w:r w:rsidR="00467E03">
        <w:rPr>
          <w:rFonts w:cs="NWYDES+TimesNewRomanPSMT"/>
          <w:color w:val="000000"/>
          <w:sz w:val="23"/>
          <w:szCs w:val="23"/>
        </w:rPr>
        <w:t xml:space="preserve">ir </w:t>
      </w:r>
      <w:r w:rsidR="00815122">
        <w:rPr>
          <w:rFonts w:cs="NWYDES+TimesNewRomanPSMT"/>
          <w:color w:val="000000"/>
          <w:sz w:val="23"/>
          <w:szCs w:val="23"/>
        </w:rPr>
        <w:t>pollution on mortality in a Dutch c</w:t>
      </w:r>
      <w:r>
        <w:rPr>
          <w:rFonts w:cs="NWYDES+TimesNewRomanPSMT"/>
          <w:color w:val="000000"/>
          <w:sz w:val="23"/>
          <w:szCs w:val="23"/>
        </w:rPr>
        <w:t>ohort (NLCS-AIR Study).</w:t>
      </w:r>
      <w:proofErr w:type="gramEnd"/>
      <w:r>
        <w:rPr>
          <w:rFonts w:cs="NWYDES+TimesNewRomanPSMT"/>
          <w:color w:val="000000"/>
          <w:sz w:val="23"/>
          <w:szCs w:val="23"/>
        </w:rPr>
        <w:t xml:space="preserve"> Environmental</w:t>
      </w:r>
      <w:r w:rsidR="00467E03">
        <w:rPr>
          <w:rFonts w:cs="NWYDES+TimesNewRomanPSMT"/>
          <w:color w:val="000000"/>
          <w:sz w:val="23"/>
          <w:szCs w:val="23"/>
        </w:rPr>
        <w:t xml:space="preserve"> Health Perspect</w:t>
      </w:r>
      <w:r>
        <w:rPr>
          <w:rFonts w:cs="NWYDES+TimesNewRomanPSMT"/>
          <w:color w:val="000000"/>
          <w:sz w:val="23"/>
          <w:szCs w:val="23"/>
        </w:rPr>
        <w:t>ives</w:t>
      </w:r>
      <w:r w:rsidR="00467E03">
        <w:rPr>
          <w:rFonts w:cs="NWYDES+TimesNewRomanPSMT"/>
          <w:color w:val="000000"/>
          <w:sz w:val="23"/>
          <w:szCs w:val="23"/>
        </w:rPr>
        <w:t xml:space="preserve"> 116:196–202. </w:t>
      </w:r>
    </w:p>
    <w:p w14:paraId="5DB190AF" w14:textId="77777777" w:rsidR="001D1954" w:rsidRPr="003246FC" w:rsidRDefault="00325713" w:rsidP="00E038FF">
      <w:pPr>
        <w:spacing w:before="165" w:after="165"/>
        <w:rPr>
          <w:rFonts w:eastAsia="Times New Roman"/>
        </w:rPr>
      </w:pPr>
      <w:proofErr w:type="spellStart"/>
      <w:proofErr w:type="gramStart"/>
      <w:r>
        <w:rPr>
          <w:rFonts w:eastAsia="Times New Roman"/>
        </w:rPr>
        <w:t>Brauer</w:t>
      </w:r>
      <w:proofErr w:type="spellEnd"/>
      <w:r>
        <w:rPr>
          <w:rFonts w:eastAsia="Times New Roman"/>
        </w:rPr>
        <w:t xml:space="preserve"> M et al</w:t>
      </w:r>
      <w:r w:rsidR="007A4CBB">
        <w:rPr>
          <w:rFonts w:eastAsia="Times New Roman"/>
        </w:rPr>
        <w:t>.</w:t>
      </w:r>
      <w:r w:rsidR="001D1954" w:rsidRPr="003246FC">
        <w:rPr>
          <w:rFonts w:eastAsia="Times New Roman"/>
        </w:rPr>
        <w:t xml:space="preserve"> </w:t>
      </w:r>
      <w:r w:rsidR="008C5901" w:rsidRPr="003246FC">
        <w:rPr>
          <w:rFonts w:eastAsia="Times New Roman"/>
        </w:rPr>
        <w:t>(</w:t>
      </w:r>
      <w:r w:rsidR="001D1954" w:rsidRPr="003246FC">
        <w:rPr>
          <w:rFonts w:eastAsia="Times New Roman"/>
        </w:rPr>
        <w:t>2012</w:t>
      </w:r>
      <w:r w:rsidR="008C5901" w:rsidRPr="003246FC">
        <w:rPr>
          <w:rFonts w:eastAsia="Times New Roman"/>
        </w:rPr>
        <w:t>)</w:t>
      </w:r>
      <w:r w:rsidR="001D1954" w:rsidRPr="003246FC">
        <w:rPr>
          <w:rFonts w:eastAsia="Times New Roman"/>
        </w:rPr>
        <w:t xml:space="preserve"> Exposure assessment for estimation of the global burden of disease attributable to outdoor air pollution.</w:t>
      </w:r>
      <w:proofErr w:type="gramEnd"/>
      <w:r w:rsidR="001D1954" w:rsidRPr="003246FC">
        <w:rPr>
          <w:rFonts w:eastAsia="Times New Roman"/>
        </w:rPr>
        <w:t xml:space="preserve"> Environ</w:t>
      </w:r>
      <w:r w:rsidR="008C5901" w:rsidRPr="003246FC">
        <w:rPr>
          <w:rFonts w:eastAsia="Times New Roman"/>
        </w:rPr>
        <w:t>mental</w:t>
      </w:r>
      <w:r w:rsidR="001D1954" w:rsidRPr="003246FC">
        <w:rPr>
          <w:rFonts w:eastAsia="Times New Roman"/>
        </w:rPr>
        <w:t xml:space="preserve"> Sci</w:t>
      </w:r>
      <w:r w:rsidR="008C5901" w:rsidRPr="003246FC">
        <w:rPr>
          <w:rFonts w:eastAsia="Times New Roman"/>
        </w:rPr>
        <w:t>ence and</w:t>
      </w:r>
      <w:r w:rsidR="001D1954" w:rsidRPr="003246FC">
        <w:rPr>
          <w:rFonts w:eastAsia="Times New Roman"/>
        </w:rPr>
        <w:t xml:space="preserve"> Technol</w:t>
      </w:r>
      <w:r w:rsidR="008C5901" w:rsidRPr="003246FC">
        <w:rPr>
          <w:rFonts w:eastAsia="Times New Roman"/>
        </w:rPr>
        <w:t>ogy</w:t>
      </w:r>
      <w:r w:rsidR="001D1954" w:rsidRPr="003246FC">
        <w:rPr>
          <w:rFonts w:eastAsia="Times New Roman"/>
        </w:rPr>
        <w:t xml:space="preserve"> 46:652–660. </w:t>
      </w:r>
    </w:p>
    <w:p w14:paraId="00086A89" w14:textId="77777777" w:rsidR="00E038FF" w:rsidRPr="003246FC" w:rsidRDefault="00E038FF" w:rsidP="00E038FF">
      <w:pPr>
        <w:spacing w:before="165" w:after="165"/>
        <w:rPr>
          <w:rFonts w:eastAsia="Times New Roman"/>
          <w:lang w:val="en-GB"/>
        </w:rPr>
      </w:pPr>
      <w:proofErr w:type="spellStart"/>
      <w:r w:rsidRPr="0076286B">
        <w:rPr>
          <w:rFonts w:eastAsia="Times New Roman"/>
          <w:lang w:val="fr-FR"/>
        </w:rPr>
        <w:t>Burnett</w:t>
      </w:r>
      <w:proofErr w:type="spellEnd"/>
      <w:r w:rsidRPr="0076286B">
        <w:rPr>
          <w:rFonts w:eastAsia="Times New Roman"/>
          <w:lang w:val="fr-FR"/>
        </w:rPr>
        <w:t xml:space="preserve"> RT</w:t>
      </w:r>
      <w:r w:rsidR="008C5901" w:rsidRPr="0076286B">
        <w:rPr>
          <w:rFonts w:eastAsia="Times New Roman"/>
          <w:lang w:val="fr-FR"/>
        </w:rPr>
        <w:t xml:space="preserve"> et al. (2014)</w:t>
      </w:r>
      <w:r w:rsidRPr="0076286B">
        <w:rPr>
          <w:rFonts w:eastAsia="Times New Roman"/>
          <w:lang w:val="fr-FR"/>
        </w:rPr>
        <w:t xml:space="preserve"> </w:t>
      </w:r>
      <w:r w:rsidRPr="003246FC">
        <w:rPr>
          <w:rFonts w:eastAsia="Times New Roman"/>
          <w:lang w:val="en-GB"/>
        </w:rPr>
        <w:t>An integrated risk function for estimating the global burden of disease attributable to ambient fine particulate matter exposure. Environ</w:t>
      </w:r>
      <w:r w:rsidR="008C5901" w:rsidRPr="003246FC">
        <w:rPr>
          <w:rFonts w:eastAsia="Times New Roman"/>
          <w:lang w:val="en-GB"/>
        </w:rPr>
        <w:t>mental Health Perspective</w:t>
      </w:r>
      <w:r w:rsidR="00EB0A31" w:rsidRPr="003246FC">
        <w:rPr>
          <w:rFonts w:eastAsia="Times New Roman"/>
          <w:lang w:val="en-GB"/>
        </w:rPr>
        <w:t>s</w:t>
      </w:r>
      <w:r w:rsidR="008C5901" w:rsidRPr="003246FC">
        <w:rPr>
          <w:rFonts w:eastAsia="Times New Roman"/>
          <w:lang w:val="en-GB"/>
        </w:rPr>
        <w:t xml:space="preserve">: </w:t>
      </w:r>
      <w:r w:rsidRPr="003246FC">
        <w:rPr>
          <w:rFonts w:eastAsia="Times New Roman"/>
          <w:lang w:val="en-GB"/>
        </w:rPr>
        <w:t>122(4):397-403.</w:t>
      </w:r>
    </w:p>
    <w:p w14:paraId="5DEBBEE4" w14:textId="77777777" w:rsidR="00467E03" w:rsidRDefault="00467E03" w:rsidP="00EA4F8A">
      <w:pPr>
        <w:spacing w:before="165" w:after="165"/>
        <w:rPr>
          <w:rFonts w:eastAsia="Times New Roman"/>
        </w:rPr>
      </w:pPr>
      <w:r>
        <w:rPr>
          <w:rFonts w:cs="NWYDES+TimesNewRomanPSMT"/>
          <w:color w:val="000000"/>
          <w:sz w:val="23"/>
          <w:szCs w:val="23"/>
        </w:rPr>
        <w:t>Chen LH</w:t>
      </w:r>
      <w:r w:rsidR="00325713">
        <w:rPr>
          <w:rFonts w:cs="NWYDES+TimesNewRomanPSMT"/>
          <w:color w:val="000000"/>
          <w:sz w:val="23"/>
          <w:szCs w:val="23"/>
        </w:rPr>
        <w:t xml:space="preserve"> et al. (2005) </w:t>
      </w:r>
      <w:proofErr w:type="gramStart"/>
      <w:r w:rsidR="00815122">
        <w:rPr>
          <w:rFonts w:cs="NWYDES+TimesNewRomanPSMT"/>
          <w:color w:val="000000"/>
          <w:sz w:val="23"/>
          <w:szCs w:val="23"/>
        </w:rPr>
        <w:t>The</w:t>
      </w:r>
      <w:proofErr w:type="gramEnd"/>
      <w:r w:rsidR="00815122">
        <w:rPr>
          <w:rFonts w:cs="NWYDES+TimesNewRomanPSMT"/>
          <w:color w:val="000000"/>
          <w:sz w:val="23"/>
          <w:szCs w:val="23"/>
        </w:rPr>
        <w:t xml:space="preserve"> association between fatal coronary heart disease and ambient particulate air p</w:t>
      </w:r>
      <w:r>
        <w:rPr>
          <w:rFonts w:cs="NWYDES+TimesNewRomanPSMT"/>
          <w:color w:val="000000"/>
          <w:sz w:val="23"/>
          <w:szCs w:val="23"/>
        </w:rPr>
        <w:t xml:space="preserve">ollution: Are </w:t>
      </w:r>
      <w:r w:rsidR="00815122">
        <w:rPr>
          <w:rFonts w:cs="NWYDES+TimesNewRomanPSMT"/>
          <w:color w:val="000000"/>
          <w:sz w:val="23"/>
          <w:szCs w:val="23"/>
        </w:rPr>
        <w:t>females at greater r</w:t>
      </w:r>
      <w:r>
        <w:rPr>
          <w:rFonts w:cs="NWYDES+TimesNewRomanPSMT"/>
          <w:color w:val="000000"/>
          <w:sz w:val="23"/>
          <w:szCs w:val="23"/>
        </w:rPr>
        <w:t>isk? Environ</w:t>
      </w:r>
      <w:r w:rsidR="00325713">
        <w:rPr>
          <w:rFonts w:cs="NWYDES+TimesNewRomanPSMT"/>
          <w:color w:val="000000"/>
          <w:sz w:val="23"/>
          <w:szCs w:val="23"/>
        </w:rPr>
        <w:t>mental</w:t>
      </w:r>
      <w:r>
        <w:rPr>
          <w:rFonts w:cs="NWYDES+TimesNewRomanPSMT"/>
          <w:color w:val="000000"/>
          <w:sz w:val="23"/>
          <w:szCs w:val="23"/>
        </w:rPr>
        <w:t xml:space="preserve"> Health Perspect</w:t>
      </w:r>
      <w:r w:rsidR="00325713">
        <w:rPr>
          <w:rFonts w:cs="NWYDES+TimesNewRomanPSMT"/>
          <w:color w:val="000000"/>
          <w:sz w:val="23"/>
          <w:szCs w:val="23"/>
        </w:rPr>
        <w:t>ives</w:t>
      </w:r>
      <w:r>
        <w:rPr>
          <w:rFonts w:cs="NWYDES+TimesNewRomanPSMT"/>
          <w:color w:val="000000"/>
          <w:sz w:val="23"/>
          <w:szCs w:val="23"/>
        </w:rPr>
        <w:t xml:space="preserve"> 113:1723–1729.</w:t>
      </w:r>
    </w:p>
    <w:p w14:paraId="08E41B53" w14:textId="665C153A" w:rsidR="00D17A6B" w:rsidRPr="00D17A6B" w:rsidRDefault="00D17A6B" w:rsidP="00D17A6B">
      <w:pPr>
        <w:spacing w:before="165" w:after="165"/>
        <w:rPr>
          <w:rFonts w:eastAsia="Times New Roman"/>
        </w:rPr>
      </w:pPr>
      <w:r w:rsidRPr="00D17A6B">
        <w:t xml:space="preserve">Chowdhury S and </w:t>
      </w:r>
      <w:proofErr w:type="spellStart"/>
      <w:r w:rsidRPr="00D17A6B">
        <w:t>Dey</w:t>
      </w:r>
      <w:proofErr w:type="spellEnd"/>
      <w:r w:rsidRPr="00D17A6B">
        <w:t xml:space="preserve"> S. (2016) Cause-specific premature death from ambient PM2.5 exposure in India: Estimate adjusted for baseline mortality. Environment International 91:283-290.</w:t>
      </w:r>
    </w:p>
    <w:p w14:paraId="380728B7" w14:textId="77777777" w:rsidR="008D6208" w:rsidRDefault="008D6208" w:rsidP="00EA4F8A">
      <w:pPr>
        <w:spacing w:before="165" w:after="165"/>
        <w:rPr>
          <w:rFonts w:eastAsia="Times New Roman"/>
        </w:rPr>
      </w:pPr>
      <w:r>
        <w:rPr>
          <w:rFonts w:eastAsia="Times New Roman"/>
        </w:rPr>
        <w:t xml:space="preserve">Cohen A. et al. (2017) </w:t>
      </w:r>
      <w:r>
        <w:t>Estimates and 25-year trends of the global burden of disease attributable to ambient air pollution: an analysis of data from the Global Burden of Diseases Study 2015. Lancet 389:1907–18</w:t>
      </w:r>
    </w:p>
    <w:p w14:paraId="05B1CD93" w14:textId="77777777" w:rsidR="00EA4F8A" w:rsidRPr="003246FC" w:rsidRDefault="00EA4F8A" w:rsidP="00EA4F8A">
      <w:pPr>
        <w:spacing w:before="165" w:after="165"/>
        <w:rPr>
          <w:rFonts w:eastAsia="Times New Roman"/>
        </w:rPr>
      </w:pPr>
      <w:proofErr w:type="gramStart"/>
      <w:r w:rsidRPr="003246FC">
        <w:rPr>
          <w:rFonts w:eastAsia="Times New Roman"/>
        </w:rPr>
        <w:t>Cohen A</w:t>
      </w:r>
      <w:r w:rsidR="008C5901" w:rsidRPr="003246FC">
        <w:rPr>
          <w:rFonts w:eastAsia="Times New Roman"/>
        </w:rPr>
        <w:t xml:space="preserve"> et al. (</w:t>
      </w:r>
      <w:r w:rsidRPr="003246FC">
        <w:rPr>
          <w:rFonts w:eastAsia="Times New Roman"/>
        </w:rPr>
        <w:t>2004</w:t>
      </w:r>
      <w:r w:rsidR="008C5901" w:rsidRPr="003246FC">
        <w:rPr>
          <w:rFonts w:eastAsia="Times New Roman"/>
        </w:rPr>
        <w:t>)</w:t>
      </w:r>
      <w:r w:rsidRPr="003246FC">
        <w:rPr>
          <w:rFonts w:eastAsia="Times New Roman"/>
        </w:rPr>
        <w:t>.</w:t>
      </w:r>
      <w:proofErr w:type="gramEnd"/>
      <w:r w:rsidRPr="003246FC">
        <w:rPr>
          <w:rFonts w:eastAsia="Times New Roman"/>
        </w:rPr>
        <w:t xml:space="preserve"> </w:t>
      </w:r>
      <w:proofErr w:type="gramStart"/>
      <w:r w:rsidRPr="003246FC">
        <w:rPr>
          <w:rFonts w:eastAsia="Times New Roman"/>
        </w:rPr>
        <w:t>Urban air pollution.</w:t>
      </w:r>
      <w:proofErr w:type="gramEnd"/>
      <w:r w:rsidRPr="003246FC">
        <w:rPr>
          <w:rFonts w:eastAsia="Times New Roman"/>
        </w:rPr>
        <w:t xml:space="preserve"> In: Comparative Quantification of Health Risks: Global and Regional Burden of Disease Attributable to Selected Major Risk Factors (</w:t>
      </w:r>
      <w:proofErr w:type="spellStart"/>
      <w:r w:rsidRPr="003246FC">
        <w:rPr>
          <w:rFonts w:eastAsia="Times New Roman"/>
        </w:rPr>
        <w:t>Ezzati</w:t>
      </w:r>
      <w:proofErr w:type="spellEnd"/>
      <w:r w:rsidRPr="003246FC">
        <w:rPr>
          <w:rFonts w:eastAsia="Times New Roman"/>
        </w:rPr>
        <w:t xml:space="preserve"> M, Lopez A, Rodgers A, Murray CJL, </w:t>
      </w:r>
      <w:proofErr w:type="spellStart"/>
      <w:proofErr w:type="gramStart"/>
      <w:r w:rsidRPr="003246FC">
        <w:rPr>
          <w:rFonts w:eastAsia="Times New Roman"/>
        </w:rPr>
        <w:t>eds</w:t>
      </w:r>
      <w:proofErr w:type="spellEnd"/>
      <w:proofErr w:type="gramEnd"/>
      <w:r w:rsidRPr="003246FC">
        <w:rPr>
          <w:rFonts w:eastAsia="Times New Roman"/>
        </w:rPr>
        <w:t xml:space="preserve">). </w:t>
      </w:r>
      <w:proofErr w:type="spellStart"/>
      <w:r w:rsidRPr="003246FC">
        <w:rPr>
          <w:rFonts w:eastAsia="Times New Roman"/>
        </w:rPr>
        <w:t>Geneva</w:t>
      </w:r>
      <w:proofErr w:type="gramStart"/>
      <w:r w:rsidRPr="003246FC">
        <w:rPr>
          <w:rFonts w:eastAsia="Times New Roman"/>
        </w:rPr>
        <w:t>:World</w:t>
      </w:r>
      <w:proofErr w:type="spellEnd"/>
      <w:proofErr w:type="gramEnd"/>
      <w:r w:rsidRPr="003246FC">
        <w:rPr>
          <w:rFonts w:eastAsia="Times New Roman"/>
        </w:rPr>
        <w:t xml:space="preserve"> Health Organization, 1353–1433.</w:t>
      </w:r>
    </w:p>
    <w:p w14:paraId="112832C2" w14:textId="77777777" w:rsidR="007E75F2" w:rsidRPr="003246FC" w:rsidRDefault="002B17F5" w:rsidP="000A1F46">
      <w:pPr>
        <w:spacing w:after="0"/>
        <w:rPr>
          <w:rFonts w:eastAsia="Times New Roman"/>
        </w:rPr>
      </w:pPr>
      <w:proofErr w:type="gramStart"/>
      <w:r w:rsidRPr="003246FC">
        <w:rPr>
          <w:rFonts w:eastAsia="Times New Roman"/>
        </w:rPr>
        <w:t>Evans J</w:t>
      </w:r>
      <w:r w:rsidR="00325713">
        <w:rPr>
          <w:rFonts w:eastAsia="Times New Roman"/>
        </w:rPr>
        <w:t xml:space="preserve"> </w:t>
      </w:r>
      <w:r w:rsidRPr="003246FC">
        <w:rPr>
          <w:rFonts w:eastAsia="Times New Roman"/>
        </w:rPr>
        <w:t xml:space="preserve">et al. </w:t>
      </w:r>
      <w:r w:rsidR="00325713">
        <w:rPr>
          <w:rFonts w:eastAsia="Times New Roman"/>
        </w:rPr>
        <w:t>(</w:t>
      </w:r>
      <w:r w:rsidRPr="003246FC">
        <w:rPr>
          <w:rFonts w:eastAsia="Times New Roman"/>
        </w:rPr>
        <w:t>2013</w:t>
      </w:r>
      <w:r w:rsidR="00325713">
        <w:rPr>
          <w:rFonts w:eastAsia="Times New Roman"/>
        </w:rPr>
        <w:t>)</w:t>
      </w:r>
      <w:r w:rsidRPr="003246FC">
        <w:rPr>
          <w:rFonts w:eastAsia="Times New Roman"/>
        </w:rPr>
        <w:t xml:space="preserve"> Estimates of global mortality attributable to particulate air pollution using satellite imagery.</w:t>
      </w:r>
      <w:proofErr w:type="gramEnd"/>
      <w:r w:rsidRPr="003246FC">
        <w:rPr>
          <w:rFonts w:eastAsia="Times New Roman"/>
        </w:rPr>
        <w:t xml:space="preserve"> Environ</w:t>
      </w:r>
      <w:r w:rsidR="00EB0A31" w:rsidRPr="003246FC">
        <w:rPr>
          <w:rFonts w:eastAsia="Times New Roman"/>
        </w:rPr>
        <w:t>mental</w:t>
      </w:r>
      <w:r w:rsidRPr="003246FC">
        <w:rPr>
          <w:rFonts w:eastAsia="Times New Roman"/>
        </w:rPr>
        <w:t xml:space="preserve"> Res</w:t>
      </w:r>
      <w:r w:rsidR="00EB0A31" w:rsidRPr="003246FC">
        <w:rPr>
          <w:rFonts w:eastAsia="Times New Roman"/>
        </w:rPr>
        <w:t>earch</w:t>
      </w:r>
      <w:r w:rsidRPr="003246FC">
        <w:rPr>
          <w:rFonts w:eastAsia="Times New Roman"/>
        </w:rPr>
        <w:t xml:space="preserve"> 120:33–42, </w:t>
      </w:r>
      <w:proofErr w:type="spellStart"/>
      <w:r w:rsidRPr="003246FC">
        <w:rPr>
          <w:rFonts w:eastAsia="Times New Roman"/>
        </w:rPr>
        <w:t>doi</w:t>
      </w:r>
      <w:proofErr w:type="spellEnd"/>
      <w:r w:rsidRPr="003246FC">
        <w:rPr>
          <w:rFonts w:eastAsia="Times New Roman"/>
        </w:rPr>
        <w:t>: 10.1016/j.envres.2012.08.005.</w:t>
      </w:r>
    </w:p>
    <w:p w14:paraId="4E2FF259" w14:textId="77777777" w:rsidR="002B17F5" w:rsidRDefault="002B17F5" w:rsidP="000A1F46">
      <w:pPr>
        <w:spacing w:after="0"/>
        <w:rPr>
          <w:rFonts w:eastAsia="Times New Roman"/>
        </w:rPr>
      </w:pPr>
    </w:p>
    <w:p w14:paraId="0B2F103D" w14:textId="77777777" w:rsidR="00D54C72" w:rsidRDefault="00DA36C9" w:rsidP="00DA36C9">
      <w:pPr>
        <w:shd w:val="clear" w:color="auto" w:fill="FFFFFF"/>
        <w:rPr>
          <w:color w:val="333333"/>
        </w:rPr>
      </w:pPr>
      <w:proofErr w:type="spellStart"/>
      <w:r w:rsidRPr="00DA36C9">
        <w:rPr>
          <w:color w:val="333333"/>
        </w:rPr>
        <w:t>Forouzanfar</w:t>
      </w:r>
      <w:proofErr w:type="spellEnd"/>
      <w:r w:rsidRPr="00DA36C9">
        <w:rPr>
          <w:color w:val="333333"/>
        </w:rPr>
        <w:t xml:space="preserve"> M et al. (2015) Global, regional, and national comparative risk assessment of 79 </w:t>
      </w:r>
      <w:proofErr w:type="spellStart"/>
      <w:r w:rsidRPr="00DA36C9">
        <w:rPr>
          <w:color w:val="333333"/>
        </w:rPr>
        <w:t>behavioural</w:t>
      </w:r>
      <w:proofErr w:type="spellEnd"/>
      <w:r w:rsidRPr="00DA36C9">
        <w:rPr>
          <w:color w:val="333333"/>
        </w:rPr>
        <w:t xml:space="preserve">, environmental and occupational, and metabolic risks or clusters of risks in 188 countries, 1990–2013: a systematic analysis for the Global Burden of Disease Study 2013. Lancet 396:2287-2323.  </w:t>
      </w:r>
    </w:p>
    <w:p w14:paraId="72FB9640" w14:textId="1EFF8F40" w:rsidR="00D54C72" w:rsidRPr="003246FC" w:rsidRDefault="00D54C72" w:rsidP="00D54C72">
      <w:pPr>
        <w:shd w:val="clear" w:color="auto" w:fill="FFFFFF"/>
        <w:rPr>
          <w:rFonts w:eastAsia="Times New Roman"/>
        </w:rPr>
      </w:pPr>
      <w:r w:rsidRPr="00D54C72">
        <w:rPr>
          <w:color w:val="333333"/>
        </w:rPr>
        <w:t>GBD 2015 Risk Factors Collaborators</w:t>
      </w:r>
      <w:r>
        <w:rPr>
          <w:color w:val="333333"/>
        </w:rPr>
        <w:t xml:space="preserve"> (2016) </w:t>
      </w:r>
      <w:r w:rsidRPr="00D54C72">
        <w:rPr>
          <w:color w:val="333333"/>
        </w:rPr>
        <w:t>Global, regional, and national comparative risk assessment of</w:t>
      </w:r>
      <w:r>
        <w:rPr>
          <w:color w:val="333333"/>
        </w:rPr>
        <w:t xml:space="preserve"> </w:t>
      </w:r>
      <w:r w:rsidRPr="00D54C72">
        <w:rPr>
          <w:color w:val="333333"/>
        </w:rPr>
        <w:t xml:space="preserve">79 </w:t>
      </w:r>
      <w:proofErr w:type="spellStart"/>
      <w:r w:rsidRPr="00D54C72">
        <w:rPr>
          <w:color w:val="333333"/>
        </w:rPr>
        <w:t>behavioural</w:t>
      </w:r>
      <w:proofErr w:type="spellEnd"/>
      <w:r w:rsidRPr="00D54C72">
        <w:rPr>
          <w:color w:val="333333"/>
        </w:rPr>
        <w:t>, environmental and occupational, and metabolic</w:t>
      </w:r>
      <w:r>
        <w:rPr>
          <w:color w:val="333333"/>
        </w:rPr>
        <w:t xml:space="preserve"> </w:t>
      </w:r>
      <w:r w:rsidRPr="00D54C72">
        <w:rPr>
          <w:color w:val="333333"/>
        </w:rPr>
        <w:t>risks or clusters of risks, 1990–2015: a systematic analysis for the</w:t>
      </w:r>
      <w:r>
        <w:rPr>
          <w:color w:val="333333"/>
        </w:rPr>
        <w:t xml:space="preserve"> </w:t>
      </w:r>
      <w:r w:rsidRPr="00D54C72">
        <w:rPr>
          <w:color w:val="333333"/>
        </w:rPr>
        <w:t>Global Burden of Disease Study 2015</w:t>
      </w:r>
      <w:r>
        <w:rPr>
          <w:color w:val="333333"/>
        </w:rPr>
        <w:t xml:space="preserve">.  </w:t>
      </w:r>
      <w:proofErr w:type="gramStart"/>
      <w:r w:rsidRPr="00D54C72">
        <w:rPr>
          <w:color w:val="333333"/>
        </w:rPr>
        <w:t xml:space="preserve">Lancet </w:t>
      </w:r>
      <w:r w:rsidRPr="00D54C72">
        <w:rPr>
          <w:rFonts w:eastAsia="Shaker2Lancet-Bold"/>
          <w:bCs/>
        </w:rPr>
        <w:t>388 October 8</w:t>
      </w:r>
      <w:r w:rsidRPr="00D54C72">
        <w:rPr>
          <w:rFonts w:eastAsia="Shaker2Lancet-Bold"/>
          <w:b/>
          <w:bCs/>
        </w:rPr>
        <w:t>.</w:t>
      </w:r>
      <w:proofErr w:type="gramEnd"/>
    </w:p>
    <w:p w14:paraId="1A27E463" w14:textId="77777777" w:rsidR="00BA7E41" w:rsidRDefault="00BA7E41" w:rsidP="00BA7E41">
      <w:pPr>
        <w:tabs>
          <w:tab w:val="left" w:pos="1530"/>
        </w:tabs>
        <w:spacing w:after="0"/>
      </w:pPr>
      <w:r>
        <w:t>GBD 2016 Causes of Death Collaborators</w:t>
      </w:r>
      <w:r w:rsidRPr="00BA7E41">
        <w:t xml:space="preserve"> </w:t>
      </w:r>
      <w:r>
        <w:t xml:space="preserve">(2017) </w:t>
      </w:r>
      <w:r w:rsidRPr="00BA7E41">
        <w:t xml:space="preserve">Global, </w:t>
      </w:r>
      <w:proofErr w:type="gramStart"/>
      <w:r w:rsidRPr="00BA7E41">
        <w:t>regional,</w:t>
      </w:r>
      <w:proofErr w:type="gramEnd"/>
      <w:r w:rsidRPr="00BA7E41">
        <w:t xml:space="preserve"> and national age-sex specific mortality for 264 causes of death, 1980–2016: a systematic analysis for the Global Burden of Disease Study 2016</w:t>
      </w:r>
      <w:r>
        <w:t xml:space="preserve">. Lancet: 390 September. </w:t>
      </w:r>
    </w:p>
    <w:p w14:paraId="5EA2E192" w14:textId="77777777" w:rsidR="00BA7E41" w:rsidRDefault="00BA7E41" w:rsidP="00BA7E41">
      <w:pPr>
        <w:tabs>
          <w:tab w:val="left" w:pos="1530"/>
        </w:tabs>
        <w:spacing w:after="0"/>
      </w:pPr>
    </w:p>
    <w:p w14:paraId="317853F4" w14:textId="77777777" w:rsidR="00304619" w:rsidRDefault="00304619" w:rsidP="000A1F46">
      <w:pPr>
        <w:spacing w:after="0"/>
        <w:rPr>
          <w:rFonts w:eastAsia="Times New Roman"/>
        </w:rPr>
      </w:pPr>
      <w:proofErr w:type="gramStart"/>
      <w:r>
        <w:rPr>
          <w:rFonts w:eastAsia="Times New Roman"/>
        </w:rPr>
        <w:lastRenderedPageBreak/>
        <w:t xml:space="preserve">Health Effects </w:t>
      </w:r>
      <w:r w:rsidR="00EA1399">
        <w:rPr>
          <w:rFonts w:eastAsia="Times New Roman"/>
        </w:rPr>
        <w:t>Institute (</w:t>
      </w:r>
      <w:r>
        <w:rPr>
          <w:rFonts w:eastAsia="Times New Roman"/>
        </w:rPr>
        <w:t>HEI) (2017)</w:t>
      </w:r>
      <w:r w:rsidR="000678C9">
        <w:t xml:space="preserve"> State of Global Air 2017.</w:t>
      </w:r>
      <w:proofErr w:type="gramEnd"/>
      <w:r w:rsidR="000678C9">
        <w:t xml:space="preserve"> </w:t>
      </w:r>
      <w:proofErr w:type="gramStart"/>
      <w:r w:rsidR="000678C9">
        <w:t>Special Report.</w:t>
      </w:r>
      <w:proofErr w:type="gramEnd"/>
      <w:r w:rsidR="000678C9">
        <w:t xml:space="preserve"> Boston, </w:t>
      </w:r>
      <w:proofErr w:type="spellStart"/>
      <w:r w:rsidR="000678C9">
        <w:t>MA</w:t>
      </w:r>
      <w:proofErr w:type="gramStart"/>
      <w:r w:rsidR="000678C9">
        <w:t>:Health</w:t>
      </w:r>
      <w:proofErr w:type="spellEnd"/>
      <w:proofErr w:type="gramEnd"/>
      <w:r w:rsidR="000678C9">
        <w:t xml:space="preserve"> Effects Institute.</w:t>
      </w:r>
    </w:p>
    <w:p w14:paraId="703991DA" w14:textId="77777777" w:rsidR="00304619" w:rsidRDefault="00304619" w:rsidP="000A1F46">
      <w:pPr>
        <w:spacing w:after="0"/>
        <w:rPr>
          <w:rFonts w:eastAsia="Times New Roman"/>
        </w:rPr>
      </w:pPr>
    </w:p>
    <w:p w14:paraId="6B9D4CB5" w14:textId="77777777" w:rsidR="000A1F46" w:rsidRPr="003246FC" w:rsidRDefault="000A1F46" w:rsidP="000A1F46">
      <w:pPr>
        <w:spacing w:after="0"/>
        <w:rPr>
          <w:rFonts w:eastAsia="Times New Roman"/>
        </w:rPr>
      </w:pPr>
      <w:r w:rsidRPr="003246FC">
        <w:rPr>
          <w:rFonts w:eastAsia="Times New Roman"/>
        </w:rPr>
        <w:t>Institute for Health Metrics and Evaluation (IHME) (2016) GBD</w:t>
      </w:r>
      <w:r w:rsidR="00B805F1">
        <w:rPr>
          <w:rFonts w:eastAsia="Times New Roman"/>
        </w:rPr>
        <w:t xml:space="preserve"> </w:t>
      </w:r>
      <w:r w:rsidRPr="003246FC">
        <w:rPr>
          <w:rFonts w:eastAsia="Times New Roman"/>
        </w:rPr>
        <w:t>Compare</w:t>
      </w:r>
      <w:r w:rsidR="00B805F1">
        <w:rPr>
          <w:rFonts w:eastAsia="Times New Roman"/>
        </w:rPr>
        <w:t xml:space="preserve"> </w:t>
      </w:r>
      <w:r w:rsidRPr="003246FC">
        <w:rPr>
          <w:rFonts w:eastAsia="Times New Roman"/>
        </w:rPr>
        <w:t>Data</w:t>
      </w:r>
      <w:r w:rsidR="00866222">
        <w:rPr>
          <w:rFonts w:eastAsia="Times New Roman"/>
        </w:rPr>
        <w:t xml:space="preserve"> </w:t>
      </w:r>
      <w:r w:rsidRPr="003246FC">
        <w:rPr>
          <w:rFonts w:eastAsia="Times New Roman"/>
        </w:rPr>
        <w:t>Visualization.</w:t>
      </w:r>
    </w:p>
    <w:p w14:paraId="0C94A6FB" w14:textId="77777777" w:rsidR="00325713" w:rsidRDefault="000A1F46" w:rsidP="000A1F46">
      <w:pPr>
        <w:spacing w:after="0"/>
        <w:rPr>
          <w:rFonts w:eastAsia="Times New Roman"/>
        </w:rPr>
      </w:pPr>
      <w:r w:rsidRPr="003246FC">
        <w:rPr>
          <w:rFonts w:eastAsia="Times New Roman"/>
        </w:rPr>
        <w:t xml:space="preserve">Seattle, WA: IHME, University of Washington. </w:t>
      </w:r>
    </w:p>
    <w:p w14:paraId="3DD69BF6" w14:textId="77777777" w:rsidR="000A1F46" w:rsidRPr="0076286B" w:rsidRDefault="000A1F46" w:rsidP="000A1F46">
      <w:pPr>
        <w:spacing w:after="0"/>
        <w:rPr>
          <w:rFonts w:eastAsia="Times New Roman"/>
        </w:rPr>
      </w:pPr>
      <w:r w:rsidRPr="0076286B">
        <w:rPr>
          <w:rFonts w:eastAsia="Times New Roman"/>
        </w:rPr>
        <w:t>Available</w:t>
      </w:r>
      <w:r w:rsidR="00325713" w:rsidRPr="0076286B">
        <w:rPr>
          <w:rFonts w:eastAsia="Times New Roman"/>
        </w:rPr>
        <w:t>:</w:t>
      </w:r>
      <w:r w:rsidRPr="0076286B">
        <w:rPr>
          <w:rFonts w:eastAsia="Times New Roman"/>
        </w:rPr>
        <w:t xml:space="preserve"> http://vizhub.healthdata.org/gbd-compare.</w:t>
      </w:r>
    </w:p>
    <w:p w14:paraId="6D2A0FB8" w14:textId="77777777" w:rsidR="00560608" w:rsidRPr="003246FC" w:rsidRDefault="00662175" w:rsidP="00560608">
      <w:pPr>
        <w:spacing w:before="165" w:after="165"/>
        <w:rPr>
          <w:rFonts w:eastAsia="Times New Roman"/>
        </w:rPr>
      </w:pPr>
      <w:proofErr w:type="spellStart"/>
      <w:r w:rsidRPr="003246FC">
        <w:rPr>
          <w:rFonts w:eastAsia="Times New Roman"/>
        </w:rPr>
        <w:t>Krewski</w:t>
      </w:r>
      <w:proofErr w:type="spellEnd"/>
      <w:r w:rsidRPr="003246FC">
        <w:rPr>
          <w:rFonts w:eastAsia="Times New Roman"/>
        </w:rPr>
        <w:t xml:space="preserve"> D et al. </w:t>
      </w:r>
      <w:r w:rsidR="00325713">
        <w:rPr>
          <w:rFonts w:eastAsia="Times New Roman"/>
        </w:rPr>
        <w:t>(</w:t>
      </w:r>
      <w:r w:rsidRPr="003246FC">
        <w:rPr>
          <w:rFonts w:eastAsia="Times New Roman"/>
        </w:rPr>
        <w:t>2009</w:t>
      </w:r>
      <w:r w:rsidR="00325713">
        <w:rPr>
          <w:rFonts w:eastAsia="Times New Roman"/>
        </w:rPr>
        <w:t>)</w:t>
      </w:r>
      <w:r w:rsidR="00815122">
        <w:rPr>
          <w:rFonts w:eastAsia="Times New Roman"/>
        </w:rPr>
        <w:t xml:space="preserve"> Extended f</w:t>
      </w:r>
      <w:r w:rsidRPr="003246FC">
        <w:rPr>
          <w:rFonts w:eastAsia="Times New Roman"/>
        </w:rPr>
        <w:t>ollow-</w:t>
      </w:r>
      <w:r w:rsidR="00815122">
        <w:rPr>
          <w:rFonts w:eastAsia="Times New Roman"/>
        </w:rPr>
        <w:t>up and s</w:t>
      </w:r>
      <w:r w:rsidRPr="003246FC">
        <w:rPr>
          <w:rFonts w:eastAsia="Times New Roman"/>
        </w:rPr>
        <w:t xml:space="preserve">patial </w:t>
      </w:r>
      <w:r w:rsidR="00815122">
        <w:rPr>
          <w:rFonts w:eastAsia="Times New Roman"/>
        </w:rPr>
        <w:t>a</w:t>
      </w:r>
      <w:r w:rsidRPr="003246FC">
        <w:rPr>
          <w:rFonts w:eastAsia="Times New Roman"/>
        </w:rPr>
        <w:t xml:space="preserve">nalysis </w:t>
      </w:r>
      <w:r w:rsidR="00815122">
        <w:rPr>
          <w:rFonts w:eastAsia="Times New Roman"/>
        </w:rPr>
        <w:t>of the American Cancer Society s</w:t>
      </w:r>
      <w:r w:rsidRPr="003246FC">
        <w:rPr>
          <w:rFonts w:eastAsia="Times New Roman"/>
        </w:rPr>
        <w:t xml:space="preserve">tudy </w:t>
      </w:r>
      <w:r w:rsidR="00815122">
        <w:rPr>
          <w:rFonts w:eastAsia="Times New Roman"/>
        </w:rPr>
        <w:t>linking p</w:t>
      </w:r>
      <w:r w:rsidRPr="003246FC">
        <w:rPr>
          <w:rFonts w:eastAsia="Times New Roman"/>
        </w:rPr>
        <w:t xml:space="preserve">articulate </w:t>
      </w:r>
      <w:r w:rsidR="00815122">
        <w:rPr>
          <w:rFonts w:eastAsia="Times New Roman"/>
        </w:rPr>
        <w:t>a</w:t>
      </w:r>
      <w:r w:rsidRPr="003246FC">
        <w:rPr>
          <w:rFonts w:eastAsia="Times New Roman"/>
        </w:rPr>
        <w:t xml:space="preserve">ir </w:t>
      </w:r>
      <w:r w:rsidR="00815122">
        <w:rPr>
          <w:rFonts w:eastAsia="Times New Roman"/>
        </w:rPr>
        <w:t>p</w:t>
      </w:r>
      <w:r w:rsidRPr="003246FC">
        <w:rPr>
          <w:rFonts w:eastAsia="Times New Roman"/>
        </w:rPr>
        <w:t xml:space="preserve">ollution and </w:t>
      </w:r>
      <w:r w:rsidR="00815122">
        <w:rPr>
          <w:rFonts w:eastAsia="Times New Roman"/>
        </w:rPr>
        <w:t>m</w:t>
      </w:r>
      <w:r w:rsidRPr="003246FC">
        <w:rPr>
          <w:rFonts w:eastAsia="Times New Roman"/>
        </w:rPr>
        <w:t>ortality. HEI Research Report 140. Boston, MA:</w:t>
      </w:r>
      <w:r w:rsidR="008C5901" w:rsidRPr="003246FC">
        <w:rPr>
          <w:rFonts w:eastAsia="Times New Roman"/>
        </w:rPr>
        <w:t xml:space="preserve"> </w:t>
      </w:r>
      <w:r w:rsidRPr="003246FC">
        <w:rPr>
          <w:rFonts w:eastAsia="Times New Roman"/>
        </w:rPr>
        <w:t>Health Effects Institute. Available: http://pubs. healtheffects.org/</w:t>
      </w:r>
      <w:proofErr w:type="spellStart"/>
      <w:r w:rsidRPr="003246FC">
        <w:rPr>
          <w:rFonts w:eastAsia="Times New Roman"/>
        </w:rPr>
        <w:t>getfile.php?u</w:t>
      </w:r>
      <w:proofErr w:type="spellEnd"/>
      <w:r w:rsidRPr="003246FC">
        <w:rPr>
          <w:rFonts w:eastAsia="Times New Roman"/>
        </w:rPr>
        <w:t>=47</w:t>
      </w:r>
      <w:r w:rsidR="00560608" w:rsidRPr="003246FC">
        <w:rPr>
          <w:rFonts w:eastAsia="Times New Roman"/>
        </w:rPr>
        <w:t>.</w:t>
      </w:r>
    </w:p>
    <w:p w14:paraId="01AA0081" w14:textId="77777777" w:rsidR="00F20AA4" w:rsidRDefault="00F20AA4" w:rsidP="00F20AA4">
      <w:pPr>
        <w:spacing w:before="165" w:after="165"/>
        <w:rPr>
          <w:rFonts w:cs="NWYDES+TimesNewRomanPSMT"/>
          <w:color w:val="000000"/>
          <w:sz w:val="23"/>
          <w:szCs w:val="23"/>
        </w:rPr>
      </w:pPr>
      <w:r>
        <w:rPr>
          <w:rFonts w:cs="NWYDES+TimesNewRomanPSMT"/>
          <w:color w:val="000000"/>
          <w:sz w:val="23"/>
          <w:szCs w:val="23"/>
        </w:rPr>
        <w:t xml:space="preserve">Laden et al. (2006) Reduction in fine particulate air pollution and mortality: Extended follow-up of the Harvard Six Cities study.  American Journal of Respiratory and Critical Care Medicine 173:667-672. </w:t>
      </w:r>
    </w:p>
    <w:p w14:paraId="71E215AC" w14:textId="77777777" w:rsidR="00560608" w:rsidRPr="003246FC" w:rsidRDefault="00560608" w:rsidP="00560608">
      <w:pPr>
        <w:spacing w:before="165" w:after="165"/>
        <w:rPr>
          <w:rFonts w:eastAsia="Times New Roman"/>
        </w:rPr>
      </w:pPr>
      <w:proofErr w:type="spellStart"/>
      <w:r w:rsidRPr="003246FC">
        <w:rPr>
          <w:rFonts w:eastAsia="Times New Roman"/>
        </w:rPr>
        <w:t>Lelieveld</w:t>
      </w:r>
      <w:proofErr w:type="spellEnd"/>
      <w:r w:rsidR="008C5901" w:rsidRPr="003246FC">
        <w:rPr>
          <w:rFonts w:eastAsia="Times New Roman"/>
        </w:rPr>
        <w:t xml:space="preserve"> J et al. </w:t>
      </w:r>
      <w:r w:rsidRPr="003246FC">
        <w:rPr>
          <w:rFonts w:eastAsia="Times New Roman"/>
        </w:rPr>
        <w:t xml:space="preserve">(2015) The contribution of outdoor air pollution sources to premature mortality on a global scale </w:t>
      </w:r>
      <w:r w:rsidR="008C5901" w:rsidRPr="003246FC">
        <w:rPr>
          <w:rFonts w:eastAsia="Times New Roman"/>
        </w:rPr>
        <w:t xml:space="preserve">Nature 525,367–371 Available: </w:t>
      </w:r>
      <w:r w:rsidRPr="003246FC">
        <w:rPr>
          <w:rFonts w:eastAsia="Times New Roman"/>
        </w:rPr>
        <w:t>doi</w:t>
      </w:r>
      <w:proofErr w:type="gramStart"/>
      <w:r w:rsidRPr="003246FC">
        <w:rPr>
          <w:rFonts w:eastAsia="Times New Roman"/>
        </w:rPr>
        <w:t>:10.1038</w:t>
      </w:r>
      <w:proofErr w:type="gramEnd"/>
      <w:r w:rsidRPr="003246FC">
        <w:rPr>
          <w:rFonts w:eastAsia="Times New Roman"/>
        </w:rPr>
        <w:t xml:space="preserve">/nature15371. </w:t>
      </w:r>
    </w:p>
    <w:p w14:paraId="09666C43" w14:textId="77777777" w:rsidR="00467E03" w:rsidRDefault="00467E03" w:rsidP="00EA4F8A">
      <w:pPr>
        <w:spacing w:before="165" w:after="165"/>
        <w:rPr>
          <w:rFonts w:eastAsia="Times New Roman"/>
        </w:rPr>
      </w:pPr>
      <w:proofErr w:type="spellStart"/>
      <w:r>
        <w:rPr>
          <w:rFonts w:cs="NWYDES+TimesNewRomanPSMT"/>
          <w:color w:val="000000"/>
          <w:sz w:val="23"/>
          <w:szCs w:val="23"/>
        </w:rPr>
        <w:t>Lepeule</w:t>
      </w:r>
      <w:proofErr w:type="spellEnd"/>
      <w:r>
        <w:rPr>
          <w:rFonts w:cs="NWYDES+TimesNewRomanPSMT"/>
          <w:color w:val="000000"/>
          <w:sz w:val="23"/>
          <w:szCs w:val="23"/>
        </w:rPr>
        <w:t xml:space="preserve"> J</w:t>
      </w:r>
      <w:r w:rsidR="00325713">
        <w:rPr>
          <w:rFonts w:cs="NWYDES+TimesNewRomanPSMT"/>
          <w:color w:val="000000"/>
          <w:sz w:val="23"/>
          <w:szCs w:val="23"/>
        </w:rPr>
        <w:t xml:space="preserve"> et al. </w:t>
      </w:r>
      <w:r w:rsidR="00866222">
        <w:rPr>
          <w:rFonts w:cs="NWYDES+TimesNewRomanPSMT"/>
          <w:color w:val="000000"/>
          <w:sz w:val="23"/>
          <w:szCs w:val="23"/>
        </w:rPr>
        <w:t xml:space="preserve">(2012) </w:t>
      </w:r>
      <w:proofErr w:type="gramStart"/>
      <w:r>
        <w:rPr>
          <w:rFonts w:cs="NWYDES+TimesNewRomanPSMT"/>
          <w:color w:val="000000"/>
          <w:sz w:val="23"/>
          <w:szCs w:val="23"/>
        </w:rPr>
        <w:t>Chronic</w:t>
      </w:r>
      <w:proofErr w:type="gramEnd"/>
      <w:r>
        <w:rPr>
          <w:rFonts w:cs="NWYDES+TimesNewRomanPSMT"/>
          <w:color w:val="000000"/>
          <w:sz w:val="23"/>
          <w:szCs w:val="23"/>
        </w:rPr>
        <w:t xml:space="preserve"> exposure to fine particles and mortality: an extended follow-up of the Harvard Six Cities S</w:t>
      </w:r>
      <w:r w:rsidR="00325713">
        <w:rPr>
          <w:rFonts w:cs="NWYDES+TimesNewRomanPSMT"/>
          <w:color w:val="000000"/>
          <w:sz w:val="23"/>
          <w:szCs w:val="23"/>
        </w:rPr>
        <w:t xml:space="preserve">tudy from 1974 to 2009. </w:t>
      </w:r>
      <w:proofErr w:type="gramStart"/>
      <w:r w:rsidR="00325713">
        <w:rPr>
          <w:rFonts w:cs="NWYDES+TimesNewRomanPSMT"/>
          <w:color w:val="000000"/>
          <w:sz w:val="23"/>
          <w:szCs w:val="23"/>
        </w:rPr>
        <w:t>Environmental</w:t>
      </w:r>
      <w:r>
        <w:rPr>
          <w:rFonts w:cs="NWYDES+TimesNewRomanPSMT"/>
          <w:color w:val="000000"/>
          <w:sz w:val="23"/>
          <w:szCs w:val="23"/>
        </w:rPr>
        <w:t xml:space="preserve"> Health Perspect</w:t>
      </w:r>
      <w:r w:rsidR="00325713">
        <w:rPr>
          <w:rFonts w:cs="NWYDES+TimesNewRomanPSMT"/>
          <w:color w:val="000000"/>
          <w:sz w:val="23"/>
          <w:szCs w:val="23"/>
        </w:rPr>
        <w:t>ives</w:t>
      </w:r>
      <w:r>
        <w:rPr>
          <w:rFonts w:cs="NWYDES+TimesNewRomanPSMT"/>
          <w:color w:val="000000"/>
          <w:sz w:val="23"/>
          <w:szCs w:val="23"/>
        </w:rPr>
        <w:t>.</w:t>
      </w:r>
      <w:proofErr w:type="gramEnd"/>
      <w:r>
        <w:rPr>
          <w:rFonts w:cs="NWYDES+TimesNewRomanPSMT"/>
          <w:color w:val="000000"/>
          <w:sz w:val="23"/>
          <w:szCs w:val="23"/>
        </w:rPr>
        <w:t xml:space="preserve"> 120:965-970.</w:t>
      </w:r>
    </w:p>
    <w:p w14:paraId="39540043" w14:textId="77777777" w:rsidR="00DF1054" w:rsidRDefault="00DF1054" w:rsidP="00EA4F8A">
      <w:pPr>
        <w:spacing w:before="165" w:after="165"/>
        <w:rPr>
          <w:rFonts w:eastAsia="Times New Roman"/>
        </w:rPr>
      </w:pPr>
      <w:r w:rsidRPr="003246FC">
        <w:rPr>
          <w:rFonts w:eastAsia="Times New Roman"/>
        </w:rPr>
        <w:t xml:space="preserve">Lim S et al. </w:t>
      </w:r>
      <w:r w:rsidR="008C5901" w:rsidRPr="003246FC">
        <w:rPr>
          <w:rFonts w:eastAsia="Times New Roman"/>
        </w:rPr>
        <w:t>(</w:t>
      </w:r>
      <w:r w:rsidRPr="003246FC">
        <w:rPr>
          <w:rFonts w:eastAsia="Times New Roman"/>
        </w:rPr>
        <w:t>2012</w:t>
      </w:r>
      <w:r w:rsidR="008C5901" w:rsidRPr="003246FC">
        <w:rPr>
          <w:rFonts w:eastAsia="Times New Roman"/>
        </w:rPr>
        <w:t>)</w:t>
      </w:r>
      <w:r w:rsidRPr="003246FC">
        <w:rPr>
          <w:rFonts w:eastAsia="Times New Roman"/>
        </w:rPr>
        <w:t xml:space="preserve"> </w:t>
      </w:r>
      <w:proofErr w:type="gramStart"/>
      <w:r w:rsidRPr="003246FC">
        <w:rPr>
          <w:rFonts w:eastAsia="Times New Roman"/>
        </w:rPr>
        <w:t>A</w:t>
      </w:r>
      <w:proofErr w:type="gramEnd"/>
      <w:r w:rsidRPr="003246FC">
        <w:rPr>
          <w:rFonts w:eastAsia="Times New Roman"/>
        </w:rPr>
        <w:t xml:space="preserve"> comparative risk assessment of burden of disease and injury attributable to 67 risk factors and risk factor clusters in 21 regions, 1990–2010: a system</w:t>
      </w:r>
      <w:r w:rsidRPr="003246FC">
        <w:rPr>
          <w:rFonts w:eastAsia="Times New Roman"/>
        </w:rPr>
        <w:softHyphen/>
        <w:t>atic analysis for the Global Burden of Disease Study 2010. Lancet 380:2224–2260.</w:t>
      </w:r>
    </w:p>
    <w:p w14:paraId="669ACD79" w14:textId="77777777" w:rsidR="00467E03" w:rsidRPr="00325713" w:rsidRDefault="00467E03" w:rsidP="00EA4F8A">
      <w:pPr>
        <w:spacing w:before="165" w:after="165"/>
        <w:rPr>
          <w:rFonts w:eastAsia="Times New Roman"/>
        </w:rPr>
      </w:pPr>
      <w:proofErr w:type="gramStart"/>
      <w:r>
        <w:rPr>
          <w:rFonts w:cs="NWYDES+TimesNewRomanPSMT"/>
          <w:color w:val="000000"/>
          <w:sz w:val="23"/>
          <w:szCs w:val="23"/>
        </w:rPr>
        <w:t xml:space="preserve">Lipsett </w:t>
      </w:r>
      <w:r w:rsidR="00325713">
        <w:rPr>
          <w:rFonts w:cs="NWYDES+TimesNewRomanPSMT"/>
          <w:color w:val="000000"/>
          <w:sz w:val="23"/>
          <w:szCs w:val="23"/>
        </w:rPr>
        <w:t xml:space="preserve">M </w:t>
      </w:r>
      <w:r>
        <w:rPr>
          <w:rFonts w:cs="NWYDES+TimesNewRomanPSMT"/>
          <w:color w:val="000000"/>
          <w:sz w:val="23"/>
          <w:szCs w:val="23"/>
        </w:rPr>
        <w:t xml:space="preserve">et al. </w:t>
      </w:r>
      <w:r w:rsidR="00325713">
        <w:rPr>
          <w:rFonts w:cs="NWYDES+TimesNewRomanPSMT"/>
          <w:color w:val="000000"/>
          <w:sz w:val="23"/>
          <w:szCs w:val="23"/>
        </w:rPr>
        <w:t>(</w:t>
      </w:r>
      <w:r>
        <w:rPr>
          <w:rFonts w:cs="NWYDES+TimesNewRomanPSMT"/>
          <w:color w:val="000000"/>
          <w:sz w:val="23"/>
          <w:szCs w:val="23"/>
        </w:rPr>
        <w:t>2011</w:t>
      </w:r>
      <w:r w:rsidR="00325713">
        <w:rPr>
          <w:rFonts w:cs="NWYDES+TimesNewRomanPSMT"/>
          <w:color w:val="000000"/>
          <w:sz w:val="23"/>
          <w:szCs w:val="23"/>
        </w:rPr>
        <w:t>)</w:t>
      </w:r>
      <w:r>
        <w:rPr>
          <w:rFonts w:cs="NWYDES+TimesNewRomanPSMT"/>
          <w:color w:val="000000"/>
          <w:sz w:val="23"/>
          <w:szCs w:val="23"/>
        </w:rPr>
        <w:t xml:space="preserve"> Long-term </w:t>
      </w:r>
      <w:r w:rsidR="00815122">
        <w:rPr>
          <w:rFonts w:cs="NWYDES+TimesNewRomanPSMT"/>
          <w:color w:val="000000"/>
          <w:sz w:val="23"/>
          <w:szCs w:val="23"/>
        </w:rPr>
        <w:t>e</w:t>
      </w:r>
      <w:r>
        <w:rPr>
          <w:rFonts w:cs="NWYDES+TimesNewRomanPSMT"/>
          <w:color w:val="000000"/>
          <w:sz w:val="23"/>
          <w:szCs w:val="23"/>
        </w:rPr>
        <w:t xml:space="preserve">xposure to </w:t>
      </w:r>
      <w:r w:rsidR="00815122">
        <w:rPr>
          <w:rFonts w:cs="NWYDES+TimesNewRomanPSMT"/>
          <w:color w:val="000000"/>
          <w:sz w:val="23"/>
          <w:szCs w:val="23"/>
        </w:rPr>
        <w:t>a</w:t>
      </w:r>
      <w:r>
        <w:rPr>
          <w:rFonts w:cs="NWYDES+TimesNewRomanPSMT"/>
          <w:color w:val="000000"/>
          <w:sz w:val="23"/>
          <w:szCs w:val="23"/>
        </w:rPr>
        <w:t xml:space="preserve">ir </w:t>
      </w:r>
      <w:r w:rsidR="00815122">
        <w:rPr>
          <w:rFonts w:cs="NWYDES+TimesNewRomanPSMT"/>
          <w:color w:val="000000"/>
          <w:sz w:val="23"/>
          <w:szCs w:val="23"/>
        </w:rPr>
        <w:t>p</w:t>
      </w:r>
      <w:r>
        <w:rPr>
          <w:rFonts w:cs="NWYDES+TimesNewRomanPSMT"/>
          <w:color w:val="000000"/>
          <w:sz w:val="23"/>
          <w:szCs w:val="23"/>
        </w:rPr>
        <w:t xml:space="preserve">ollution and </w:t>
      </w:r>
      <w:r w:rsidR="00815122">
        <w:rPr>
          <w:rFonts w:cs="NWYDES+TimesNewRomanPSMT"/>
          <w:color w:val="000000"/>
          <w:sz w:val="23"/>
          <w:szCs w:val="23"/>
        </w:rPr>
        <w:t>c</w:t>
      </w:r>
      <w:r>
        <w:rPr>
          <w:rFonts w:cs="NWYDES+TimesNewRomanPSMT"/>
          <w:color w:val="000000"/>
          <w:sz w:val="23"/>
          <w:szCs w:val="23"/>
        </w:rPr>
        <w:t xml:space="preserve">ardiorespiratory </w:t>
      </w:r>
      <w:r w:rsidR="00815122">
        <w:rPr>
          <w:rFonts w:cs="NWYDES+TimesNewRomanPSMT"/>
          <w:color w:val="000000"/>
          <w:sz w:val="23"/>
          <w:szCs w:val="23"/>
        </w:rPr>
        <w:t>d</w:t>
      </w:r>
      <w:r>
        <w:rPr>
          <w:rFonts w:cs="NWYDES+TimesNewRomanPSMT"/>
          <w:color w:val="000000"/>
          <w:sz w:val="23"/>
          <w:szCs w:val="23"/>
        </w:rPr>
        <w:t xml:space="preserve">isease in the California Teachers Study </w:t>
      </w:r>
      <w:r w:rsidR="00815122">
        <w:rPr>
          <w:rFonts w:cs="NWYDES+TimesNewRomanPSMT"/>
          <w:color w:val="000000"/>
          <w:sz w:val="23"/>
          <w:szCs w:val="23"/>
        </w:rPr>
        <w:t>c</w:t>
      </w:r>
      <w:r>
        <w:rPr>
          <w:rFonts w:cs="NWYDES+TimesNewRomanPSMT"/>
          <w:color w:val="000000"/>
          <w:sz w:val="23"/>
          <w:szCs w:val="23"/>
        </w:rPr>
        <w:t>ohort.</w:t>
      </w:r>
      <w:proofErr w:type="gramEnd"/>
      <w:r>
        <w:rPr>
          <w:rFonts w:cs="NWYDES+TimesNewRomanPSMT"/>
          <w:color w:val="000000"/>
          <w:sz w:val="23"/>
          <w:szCs w:val="23"/>
        </w:rPr>
        <w:t xml:space="preserve"> </w:t>
      </w:r>
      <w:r w:rsidR="00D52FF9">
        <w:rPr>
          <w:rFonts w:cs="NWYDES+TimesNewRomanPSMT"/>
          <w:color w:val="000000"/>
          <w:sz w:val="23"/>
          <w:szCs w:val="23"/>
        </w:rPr>
        <w:t>American Journal of Respiratory and Critical Care Medicine</w:t>
      </w:r>
      <w:r>
        <w:rPr>
          <w:rFonts w:cs="NWYDES+TimesNewRomanPSMT"/>
          <w:color w:val="3F3737"/>
          <w:sz w:val="23"/>
          <w:szCs w:val="23"/>
        </w:rPr>
        <w:t xml:space="preserve"> </w:t>
      </w:r>
      <w:r w:rsidRPr="00325713">
        <w:rPr>
          <w:rFonts w:cs="NWYDES+TimesNewRomanPSMT"/>
          <w:sz w:val="23"/>
          <w:szCs w:val="23"/>
        </w:rPr>
        <w:t>184: 828-83.</w:t>
      </w:r>
    </w:p>
    <w:p w14:paraId="5BC99191" w14:textId="77777777" w:rsidR="00467E03" w:rsidRDefault="00467E03" w:rsidP="00467E03">
      <w:pPr>
        <w:spacing w:before="165" w:after="165"/>
        <w:rPr>
          <w:rFonts w:eastAsia="Times New Roman"/>
        </w:rPr>
      </w:pPr>
      <w:proofErr w:type="gramStart"/>
      <w:r w:rsidRPr="00467E03">
        <w:rPr>
          <w:rFonts w:eastAsia="Times New Roman"/>
        </w:rPr>
        <w:t>Miller K</w:t>
      </w:r>
      <w:r w:rsidR="00325713">
        <w:rPr>
          <w:rFonts w:eastAsia="Times New Roman"/>
        </w:rPr>
        <w:t xml:space="preserve"> </w:t>
      </w:r>
      <w:r w:rsidRPr="00467E03">
        <w:rPr>
          <w:rFonts w:eastAsia="Times New Roman"/>
        </w:rPr>
        <w:t xml:space="preserve">et al. </w:t>
      </w:r>
      <w:r w:rsidR="00325713">
        <w:rPr>
          <w:rFonts w:eastAsia="Times New Roman"/>
        </w:rPr>
        <w:t>(</w:t>
      </w:r>
      <w:r w:rsidRPr="00467E03">
        <w:rPr>
          <w:rFonts w:eastAsia="Times New Roman"/>
        </w:rPr>
        <w:t>2007</w:t>
      </w:r>
      <w:r w:rsidR="00325713">
        <w:rPr>
          <w:rFonts w:eastAsia="Times New Roman"/>
        </w:rPr>
        <w:t>)</w:t>
      </w:r>
      <w:r w:rsidRPr="00467E03">
        <w:rPr>
          <w:rFonts w:eastAsia="Times New Roman"/>
        </w:rPr>
        <w:t xml:space="preserve"> Long-</w:t>
      </w:r>
      <w:r w:rsidR="00815122">
        <w:rPr>
          <w:rFonts w:eastAsia="Times New Roman"/>
        </w:rPr>
        <w:t>t</w:t>
      </w:r>
      <w:r w:rsidRPr="00467E03">
        <w:rPr>
          <w:rFonts w:eastAsia="Times New Roman"/>
        </w:rPr>
        <w:t xml:space="preserve">erm </w:t>
      </w:r>
      <w:r w:rsidR="00815122">
        <w:rPr>
          <w:rFonts w:eastAsia="Times New Roman"/>
        </w:rPr>
        <w:t>e</w:t>
      </w:r>
      <w:r w:rsidRPr="00467E03">
        <w:rPr>
          <w:rFonts w:eastAsia="Times New Roman"/>
        </w:rPr>
        <w:t xml:space="preserve">xposure to </w:t>
      </w:r>
      <w:r w:rsidR="00815122">
        <w:rPr>
          <w:rFonts w:eastAsia="Times New Roman"/>
        </w:rPr>
        <w:t>a</w:t>
      </w:r>
      <w:r w:rsidRPr="00467E03">
        <w:rPr>
          <w:rFonts w:eastAsia="Times New Roman"/>
        </w:rPr>
        <w:t xml:space="preserve">ir </w:t>
      </w:r>
      <w:r w:rsidR="00815122">
        <w:rPr>
          <w:rFonts w:eastAsia="Times New Roman"/>
        </w:rPr>
        <w:t>p</w:t>
      </w:r>
      <w:r w:rsidRPr="00467E03">
        <w:rPr>
          <w:rFonts w:eastAsia="Times New Roman"/>
        </w:rPr>
        <w:t xml:space="preserve">ollution and </w:t>
      </w:r>
      <w:r w:rsidR="00815122">
        <w:rPr>
          <w:rFonts w:eastAsia="Times New Roman"/>
        </w:rPr>
        <w:t>i</w:t>
      </w:r>
      <w:r w:rsidRPr="00467E03">
        <w:rPr>
          <w:rFonts w:eastAsia="Times New Roman"/>
        </w:rPr>
        <w:t xml:space="preserve">ncidence of </w:t>
      </w:r>
      <w:r w:rsidR="00815122">
        <w:rPr>
          <w:rFonts w:eastAsia="Times New Roman"/>
        </w:rPr>
        <w:t>c</w:t>
      </w:r>
      <w:r w:rsidRPr="00467E03">
        <w:rPr>
          <w:rFonts w:eastAsia="Times New Roman"/>
        </w:rPr>
        <w:t xml:space="preserve">ardiovascular </w:t>
      </w:r>
      <w:r w:rsidR="00815122">
        <w:rPr>
          <w:rFonts w:eastAsia="Times New Roman"/>
        </w:rPr>
        <w:t>events in w</w:t>
      </w:r>
      <w:r w:rsidRPr="00467E03">
        <w:rPr>
          <w:rFonts w:eastAsia="Times New Roman"/>
        </w:rPr>
        <w:t>omen.</w:t>
      </w:r>
      <w:proofErr w:type="gramEnd"/>
      <w:r>
        <w:rPr>
          <w:rFonts w:eastAsia="Times New Roman"/>
        </w:rPr>
        <w:t xml:space="preserve"> </w:t>
      </w:r>
      <w:r w:rsidRPr="00467E03">
        <w:rPr>
          <w:rFonts w:eastAsia="Times New Roman"/>
        </w:rPr>
        <w:t>N</w:t>
      </w:r>
      <w:r w:rsidR="00325713">
        <w:rPr>
          <w:rFonts w:eastAsia="Times New Roman"/>
        </w:rPr>
        <w:t>ew</w:t>
      </w:r>
      <w:r w:rsidRPr="00467E03">
        <w:rPr>
          <w:rFonts w:eastAsia="Times New Roman"/>
        </w:rPr>
        <w:t xml:space="preserve"> Engl</w:t>
      </w:r>
      <w:r w:rsidR="00325713">
        <w:rPr>
          <w:rFonts w:eastAsia="Times New Roman"/>
        </w:rPr>
        <w:t>and</w:t>
      </w:r>
      <w:r w:rsidRPr="00467E03">
        <w:rPr>
          <w:rFonts w:eastAsia="Times New Roman"/>
        </w:rPr>
        <w:t xml:space="preserve"> J</w:t>
      </w:r>
      <w:r w:rsidR="00325713">
        <w:rPr>
          <w:rFonts w:eastAsia="Times New Roman"/>
        </w:rPr>
        <w:t xml:space="preserve">ournal of </w:t>
      </w:r>
      <w:r w:rsidRPr="00467E03">
        <w:rPr>
          <w:rFonts w:eastAsia="Times New Roman"/>
        </w:rPr>
        <w:t>Med</w:t>
      </w:r>
      <w:r w:rsidR="00325713">
        <w:rPr>
          <w:rFonts w:eastAsia="Times New Roman"/>
        </w:rPr>
        <w:t>icine</w:t>
      </w:r>
      <w:r w:rsidRPr="00467E03">
        <w:rPr>
          <w:rFonts w:eastAsia="Times New Roman"/>
        </w:rPr>
        <w:t xml:space="preserve"> 356:447-58.</w:t>
      </w:r>
    </w:p>
    <w:p w14:paraId="5EE2561E" w14:textId="77777777" w:rsidR="000B4D22" w:rsidRPr="003246FC" w:rsidRDefault="00D6343D" w:rsidP="00EA4F8A">
      <w:pPr>
        <w:spacing w:before="165" w:after="165"/>
        <w:rPr>
          <w:rFonts w:eastAsia="Times New Roman"/>
        </w:rPr>
      </w:pPr>
      <w:proofErr w:type="spellStart"/>
      <w:r w:rsidRPr="003246FC">
        <w:rPr>
          <w:rFonts w:eastAsia="Times New Roman"/>
        </w:rPr>
        <w:t>Ostro</w:t>
      </w:r>
      <w:proofErr w:type="spellEnd"/>
      <w:r w:rsidRPr="003246FC">
        <w:rPr>
          <w:rFonts w:eastAsia="Times New Roman"/>
        </w:rPr>
        <w:t xml:space="preserve"> B. </w:t>
      </w:r>
      <w:r w:rsidR="008C5901" w:rsidRPr="003246FC">
        <w:rPr>
          <w:rFonts w:eastAsia="Times New Roman"/>
        </w:rPr>
        <w:t>(</w:t>
      </w:r>
      <w:r w:rsidRPr="003246FC">
        <w:rPr>
          <w:rFonts w:eastAsia="Times New Roman"/>
        </w:rPr>
        <w:t>2004</w:t>
      </w:r>
      <w:r w:rsidR="008C5901" w:rsidRPr="003246FC">
        <w:rPr>
          <w:rFonts w:eastAsia="Times New Roman"/>
        </w:rPr>
        <w:t>)</w:t>
      </w:r>
      <w:r w:rsidRPr="003246FC">
        <w:rPr>
          <w:rFonts w:eastAsia="Times New Roman"/>
        </w:rPr>
        <w:t>. Outdoor Air Pollution: Assessing the Environmental Burden of Disease at National and Local Levels. Environmental Burden of Disease Series, No. 5 (</w:t>
      </w:r>
      <w:proofErr w:type="spellStart"/>
      <w:r w:rsidRPr="003246FC">
        <w:rPr>
          <w:rFonts w:eastAsia="Times New Roman"/>
        </w:rPr>
        <w:t>Prüss-Üstün</w:t>
      </w:r>
      <w:proofErr w:type="spellEnd"/>
      <w:r w:rsidRPr="003246FC">
        <w:rPr>
          <w:rFonts w:eastAsia="Times New Roman"/>
        </w:rPr>
        <w:t xml:space="preserve"> A, Campbell-</w:t>
      </w:r>
      <w:proofErr w:type="spellStart"/>
      <w:r w:rsidRPr="003246FC">
        <w:rPr>
          <w:rFonts w:eastAsia="Times New Roman"/>
        </w:rPr>
        <w:t>Lendrum</w:t>
      </w:r>
      <w:proofErr w:type="spellEnd"/>
      <w:r w:rsidRPr="003246FC">
        <w:rPr>
          <w:rFonts w:eastAsia="Times New Roman"/>
        </w:rPr>
        <w:t xml:space="preserve">, D, </w:t>
      </w:r>
      <w:proofErr w:type="spellStart"/>
      <w:r w:rsidRPr="003246FC">
        <w:rPr>
          <w:rFonts w:eastAsia="Times New Roman"/>
        </w:rPr>
        <w:t>Corvalán</w:t>
      </w:r>
      <w:proofErr w:type="spellEnd"/>
      <w:r w:rsidRPr="003246FC">
        <w:rPr>
          <w:rFonts w:eastAsia="Times New Roman"/>
        </w:rPr>
        <w:t xml:space="preserve"> C, Woodward A, </w:t>
      </w:r>
      <w:proofErr w:type="spellStart"/>
      <w:proofErr w:type="gramStart"/>
      <w:r w:rsidRPr="003246FC">
        <w:rPr>
          <w:rFonts w:eastAsia="Times New Roman"/>
        </w:rPr>
        <w:t>eds</w:t>
      </w:r>
      <w:proofErr w:type="spellEnd"/>
      <w:proofErr w:type="gramEnd"/>
      <w:r w:rsidRPr="003246FC">
        <w:rPr>
          <w:rFonts w:eastAsia="Times New Roman"/>
        </w:rPr>
        <w:t xml:space="preserve">). </w:t>
      </w:r>
      <w:proofErr w:type="spellStart"/>
      <w:r w:rsidRPr="003246FC">
        <w:rPr>
          <w:rFonts w:eastAsia="Times New Roman"/>
        </w:rPr>
        <w:t>Geneva</w:t>
      </w:r>
      <w:proofErr w:type="gramStart"/>
      <w:r w:rsidRPr="003246FC">
        <w:rPr>
          <w:rFonts w:eastAsia="Times New Roman"/>
        </w:rPr>
        <w:t>:World</w:t>
      </w:r>
      <w:proofErr w:type="spellEnd"/>
      <w:proofErr w:type="gramEnd"/>
      <w:r w:rsidRPr="003246FC">
        <w:rPr>
          <w:rFonts w:eastAsia="Times New Roman"/>
        </w:rPr>
        <w:t xml:space="preserve"> Health Organization. Available: http://www.who.int/quantifying_ehimpacts/ publications/ebd5.pdf.</w:t>
      </w:r>
    </w:p>
    <w:p w14:paraId="2C0EB310" w14:textId="77777777" w:rsidR="00567B71" w:rsidRDefault="00567B71" w:rsidP="00567B71">
      <w:pPr>
        <w:spacing w:before="165" w:after="165"/>
        <w:rPr>
          <w:rFonts w:eastAsia="Times New Roman"/>
        </w:rPr>
      </w:pPr>
      <w:proofErr w:type="spellStart"/>
      <w:r w:rsidRPr="003246FC">
        <w:rPr>
          <w:rFonts w:eastAsia="Times New Roman"/>
        </w:rPr>
        <w:t>Ostro</w:t>
      </w:r>
      <w:proofErr w:type="spellEnd"/>
      <w:r w:rsidRPr="003246FC">
        <w:rPr>
          <w:rFonts w:eastAsia="Times New Roman"/>
        </w:rPr>
        <w:t xml:space="preserve"> B et al. (2015) Associations of </w:t>
      </w:r>
      <w:r w:rsidR="00815122">
        <w:rPr>
          <w:rFonts w:eastAsia="Times New Roman"/>
        </w:rPr>
        <w:t>m</w:t>
      </w:r>
      <w:r w:rsidRPr="003246FC">
        <w:rPr>
          <w:rFonts w:eastAsia="Times New Roman"/>
        </w:rPr>
        <w:t xml:space="preserve">ortality with </w:t>
      </w:r>
      <w:r w:rsidR="00815122">
        <w:rPr>
          <w:rFonts w:eastAsia="Times New Roman"/>
        </w:rPr>
        <w:t>l</w:t>
      </w:r>
      <w:r w:rsidRPr="003246FC">
        <w:rPr>
          <w:rFonts w:eastAsia="Times New Roman"/>
        </w:rPr>
        <w:t>ong-</w:t>
      </w:r>
      <w:r w:rsidR="00815122">
        <w:rPr>
          <w:rFonts w:eastAsia="Times New Roman"/>
        </w:rPr>
        <w:t>term e</w:t>
      </w:r>
      <w:r w:rsidRPr="003246FC">
        <w:rPr>
          <w:rFonts w:eastAsia="Times New Roman"/>
        </w:rPr>
        <w:t xml:space="preserve">xposures to </w:t>
      </w:r>
      <w:r w:rsidR="00815122">
        <w:rPr>
          <w:rFonts w:eastAsia="Times New Roman"/>
        </w:rPr>
        <w:t>f</w:t>
      </w:r>
      <w:r w:rsidRPr="003246FC">
        <w:rPr>
          <w:rFonts w:eastAsia="Times New Roman"/>
        </w:rPr>
        <w:t xml:space="preserve">ine and </w:t>
      </w:r>
      <w:r w:rsidR="00815122">
        <w:rPr>
          <w:rFonts w:eastAsia="Times New Roman"/>
        </w:rPr>
        <w:t>u</w:t>
      </w:r>
      <w:r w:rsidRPr="003246FC">
        <w:rPr>
          <w:rFonts w:eastAsia="Times New Roman"/>
        </w:rPr>
        <w:t xml:space="preserve">ltrafine </w:t>
      </w:r>
      <w:r w:rsidR="00815122">
        <w:rPr>
          <w:rFonts w:eastAsia="Times New Roman"/>
        </w:rPr>
        <w:t>particles, species and s</w:t>
      </w:r>
      <w:r w:rsidRPr="003246FC">
        <w:rPr>
          <w:rFonts w:eastAsia="Times New Roman"/>
        </w:rPr>
        <w:t xml:space="preserve">ources: </w:t>
      </w:r>
      <w:r w:rsidR="00815122">
        <w:rPr>
          <w:rFonts w:eastAsia="Times New Roman"/>
        </w:rPr>
        <w:t>r</w:t>
      </w:r>
      <w:r w:rsidRPr="003246FC">
        <w:rPr>
          <w:rFonts w:eastAsia="Times New Roman"/>
        </w:rPr>
        <w:t xml:space="preserve">esults from the California Teachers Study </w:t>
      </w:r>
      <w:r w:rsidR="00815122">
        <w:rPr>
          <w:rFonts w:eastAsia="Times New Roman"/>
        </w:rPr>
        <w:t>c</w:t>
      </w:r>
      <w:r w:rsidRPr="003246FC">
        <w:rPr>
          <w:rFonts w:eastAsia="Times New Roman"/>
        </w:rPr>
        <w:t>ohort. Environmental Health Perspectives 123:549–556</w:t>
      </w:r>
    </w:p>
    <w:p w14:paraId="4AF83172" w14:textId="77777777" w:rsidR="00567B71" w:rsidRDefault="00567B71" w:rsidP="00567B71">
      <w:pPr>
        <w:spacing w:before="120" w:after="240"/>
      </w:pPr>
      <w:proofErr w:type="spellStart"/>
      <w:r w:rsidRPr="00BE642D">
        <w:t>Ostro</w:t>
      </w:r>
      <w:proofErr w:type="spellEnd"/>
      <w:r w:rsidRPr="00BE642D">
        <w:t xml:space="preserve"> B</w:t>
      </w:r>
      <w:r>
        <w:t xml:space="preserve"> et al. (2010)</w:t>
      </w:r>
      <w:r w:rsidRPr="00BE642D">
        <w:t xml:space="preserve"> Long-term exposure to</w:t>
      </w:r>
      <w:r>
        <w:t xml:space="preserve"> </w:t>
      </w:r>
      <w:r w:rsidRPr="00BE642D">
        <w:t>constituents of fine particulate air pollution and mortality: results from the California</w:t>
      </w:r>
      <w:r>
        <w:t xml:space="preserve"> </w:t>
      </w:r>
      <w:r w:rsidRPr="00BE642D">
        <w:t xml:space="preserve">teachers study. </w:t>
      </w:r>
      <w:r w:rsidRPr="002A0B2B">
        <w:t>Environ</w:t>
      </w:r>
      <w:r>
        <w:t>mental</w:t>
      </w:r>
      <w:r w:rsidRPr="002A0B2B">
        <w:t xml:space="preserve"> Health Perspect</w:t>
      </w:r>
      <w:r>
        <w:t>ives</w:t>
      </w:r>
      <w:r w:rsidRPr="002A0B2B">
        <w:t xml:space="preserve"> </w:t>
      </w:r>
      <w:r w:rsidRPr="00BE642D">
        <w:t>118:363-869.</w:t>
      </w:r>
    </w:p>
    <w:p w14:paraId="2E8DCAF1" w14:textId="77777777" w:rsidR="008C4CBF" w:rsidRPr="00BE642D" w:rsidRDefault="008C4CBF" w:rsidP="00B57339">
      <w:pPr>
        <w:spacing w:after="0"/>
      </w:pPr>
      <w:r>
        <w:t xml:space="preserve">Pandey K </w:t>
      </w:r>
      <w:r w:rsidR="00325713">
        <w:t xml:space="preserve">et al. </w:t>
      </w:r>
      <w:r>
        <w:t xml:space="preserve">(2000) </w:t>
      </w:r>
      <w:proofErr w:type="gramStart"/>
      <w:r>
        <w:t>Ambient</w:t>
      </w:r>
      <w:proofErr w:type="gramEnd"/>
      <w:r>
        <w:t xml:space="preserve"> particulate matter concentrations in residential areas of world cities: new estimates based on global model of ambient particulates (GMAPS). </w:t>
      </w:r>
      <w:proofErr w:type="gramStart"/>
      <w:r>
        <w:t>The Development Research Group and the Environment Department, World Bank, Washington, DC.</w:t>
      </w:r>
      <w:proofErr w:type="gramEnd"/>
    </w:p>
    <w:p w14:paraId="10AF41F1" w14:textId="0E34C6F4" w:rsidR="00467E03" w:rsidRPr="00467E03" w:rsidRDefault="00467E03" w:rsidP="00467E03">
      <w:pPr>
        <w:spacing w:before="165" w:after="165"/>
        <w:rPr>
          <w:rFonts w:eastAsia="Times New Roman"/>
        </w:rPr>
      </w:pPr>
      <w:proofErr w:type="spellStart"/>
      <w:r w:rsidRPr="00467E03">
        <w:rPr>
          <w:rFonts w:eastAsia="Times New Roman"/>
        </w:rPr>
        <w:lastRenderedPageBreak/>
        <w:t>Puett</w:t>
      </w:r>
      <w:proofErr w:type="spellEnd"/>
      <w:r w:rsidRPr="00467E03">
        <w:rPr>
          <w:rFonts w:eastAsia="Times New Roman"/>
        </w:rPr>
        <w:t xml:space="preserve"> </w:t>
      </w:r>
      <w:r w:rsidR="00325713">
        <w:rPr>
          <w:rFonts w:eastAsia="Times New Roman"/>
        </w:rPr>
        <w:t xml:space="preserve">R </w:t>
      </w:r>
      <w:r w:rsidRPr="00467E03">
        <w:rPr>
          <w:rFonts w:eastAsia="Times New Roman"/>
        </w:rPr>
        <w:t xml:space="preserve">et al. </w:t>
      </w:r>
      <w:r w:rsidR="00325713">
        <w:rPr>
          <w:rFonts w:eastAsia="Times New Roman"/>
        </w:rPr>
        <w:t>(</w:t>
      </w:r>
      <w:r w:rsidRPr="00467E03">
        <w:rPr>
          <w:rFonts w:eastAsia="Times New Roman"/>
        </w:rPr>
        <w:t>200</w:t>
      </w:r>
      <w:r w:rsidR="00794C9C">
        <w:rPr>
          <w:rFonts w:eastAsia="Times New Roman"/>
        </w:rPr>
        <w:t>8</w:t>
      </w:r>
      <w:r w:rsidR="00325713">
        <w:rPr>
          <w:rFonts w:eastAsia="Times New Roman"/>
        </w:rPr>
        <w:t>)</w:t>
      </w:r>
      <w:r w:rsidR="00815122">
        <w:rPr>
          <w:rFonts w:eastAsia="Times New Roman"/>
        </w:rPr>
        <w:t xml:space="preserve"> </w:t>
      </w:r>
      <w:proofErr w:type="gramStart"/>
      <w:r w:rsidR="00815122">
        <w:rPr>
          <w:rFonts w:eastAsia="Times New Roman"/>
        </w:rPr>
        <w:t>Chronic</w:t>
      </w:r>
      <w:proofErr w:type="gramEnd"/>
      <w:r w:rsidR="00815122">
        <w:rPr>
          <w:rFonts w:eastAsia="Times New Roman"/>
        </w:rPr>
        <w:t xml:space="preserve"> fine and coarse particulate exposure, m</w:t>
      </w:r>
      <w:r w:rsidRPr="00467E03">
        <w:rPr>
          <w:rFonts w:eastAsia="Times New Roman"/>
        </w:rPr>
        <w:t xml:space="preserve">ortality and </w:t>
      </w:r>
      <w:r w:rsidR="00815122">
        <w:rPr>
          <w:rFonts w:eastAsia="Times New Roman"/>
        </w:rPr>
        <w:t>coronary h</w:t>
      </w:r>
      <w:r w:rsidRPr="00467E03">
        <w:rPr>
          <w:rFonts w:eastAsia="Times New Roman"/>
        </w:rPr>
        <w:t xml:space="preserve">eart </w:t>
      </w:r>
      <w:r w:rsidR="00815122">
        <w:rPr>
          <w:rFonts w:eastAsia="Times New Roman"/>
        </w:rPr>
        <w:t>d</w:t>
      </w:r>
      <w:r w:rsidRPr="00467E03">
        <w:rPr>
          <w:rFonts w:eastAsia="Times New Roman"/>
        </w:rPr>
        <w:t>isease in th</w:t>
      </w:r>
      <w:r w:rsidR="00325713">
        <w:rPr>
          <w:rFonts w:eastAsia="Times New Roman"/>
        </w:rPr>
        <w:t>e Nurses’ Health Study. Environmental</w:t>
      </w:r>
      <w:r w:rsidRPr="00467E03">
        <w:rPr>
          <w:rFonts w:eastAsia="Times New Roman"/>
        </w:rPr>
        <w:t xml:space="preserve"> Health Perspect</w:t>
      </w:r>
      <w:r w:rsidR="00325713">
        <w:rPr>
          <w:rFonts w:eastAsia="Times New Roman"/>
        </w:rPr>
        <w:t>ives</w:t>
      </w:r>
      <w:r w:rsidRPr="00467E03">
        <w:rPr>
          <w:rFonts w:eastAsia="Times New Roman"/>
        </w:rPr>
        <w:t xml:space="preserve"> 117:1697-1729.</w:t>
      </w:r>
    </w:p>
    <w:p w14:paraId="2E816B7B" w14:textId="77777777" w:rsidR="00467E03" w:rsidRDefault="00467E03" w:rsidP="00467E03">
      <w:pPr>
        <w:spacing w:before="165" w:after="165"/>
        <w:rPr>
          <w:rFonts w:eastAsia="Times New Roman"/>
        </w:rPr>
      </w:pPr>
      <w:proofErr w:type="spellStart"/>
      <w:proofErr w:type="gramStart"/>
      <w:r w:rsidRPr="00467E03">
        <w:rPr>
          <w:rFonts w:eastAsia="Times New Roman"/>
        </w:rPr>
        <w:t>Puett</w:t>
      </w:r>
      <w:proofErr w:type="spellEnd"/>
      <w:r w:rsidRPr="00467E03">
        <w:rPr>
          <w:rFonts w:eastAsia="Times New Roman"/>
        </w:rPr>
        <w:t xml:space="preserve"> </w:t>
      </w:r>
      <w:r w:rsidR="007A4CBB">
        <w:rPr>
          <w:rFonts w:eastAsia="Times New Roman"/>
        </w:rPr>
        <w:t>et al</w:t>
      </w:r>
      <w:r w:rsidRPr="00467E03">
        <w:rPr>
          <w:rFonts w:eastAsia="Times New Roman"/>
        </w:rPr>
        <w:t xml:space="preserve">. </w:t>
      </w:r>
      <w:r w:rsidR="007A4CBB">
        <w:rPr>
          <w:rFonts w:eastAsia="Times New Roman"/>
        </w:rPr>
        <w:t>(</w:t>
      </w:r>
      <w:r w:rsidRPr="00467E03">
        <w:rPr>
          <w:rFonts w:eastAsia="Times New Roman"/>
        </w:rPr>
        <w:t>2011</w:t>
      </w:r>
      <w:r w:rsidR="007A4CBB">
        <w:rPr>
          <w:rFonts w:eastAsia="Times New Roman"/>
        </w:rPr>
        <w:t>)</w:t>
      </w:r>
      <w:r w:rsidR="00815122">
        <w:rPr>
          <w:rFonts w:eastAsia="Times New Roman"/>
        </w:rPr>
        <w:t xml:space="preserve"> Particulate matter exposures, m</w:t>
      </w:r>
      <w:r w:rsidRPr="00467E03">
        <w:rPr>
          <w:rFonts w:eastAsia="Times New Roman"/>
        </w:rPr>
        <w:t>ortality, and cardiovascular disease in the Health Professionals Follow-up Study.</w:t>
      </w:r>
      <w:proofErr w:type="gramEnd"/>
      <w:r w:rsidRPr="00467E03">
        <w:rPr>
          <w:rFonts w:eastAsia="Times New Roman"/>
        </w:rPr>
        <w:t xml:space="preserve"> Environ</w:t>
      </w:r>
      <w:r w:rsidR="00325713">
        <w:rPr>
          <w:rFonts w:eastAsia="Times New Roman"/>
        </w:rPr>
        <w:t>mental Health Perspectives</w:t>
      </w:r>
      <w:r w:rsidRPr="00467E03">
        <w:rPr>
          <w:rFonts w:eastAsia="Times New Roman"/>
        </w:rPr>
        <w:t xml:space="preserve"> 119:1130-1135.</w:t>
      </w:r>
    </w:p>
    <w:p w14:paraId="3605189D" w14:textId="0C2ACE78" w:rsidR="0034437D" w:rsidRDefault="0034437D" w:rsidP="00467E03">
      <w:pPr>
        <w:spacing w:before="165" w:after="165"/>
        <w:rPr>
          <w:rFonts w:eastAsia="Times New Roman"/>
        </w:rPr>
      </w:pPr>
      <w:proofErr w:type="spellStart"/>
      <w:r>
        <w:rPr>
          <w:rFonts w:eastAsia="Times New Roman"/>
        </w:rPr>
        <w:t>Shaddick</w:t>
      </w:r>
      <w:proofErr w:type="spellEnd"/>
      <w:r>
        <w:rPr>
          <w:rFonts w:eastAsia="Times New Roman"/>
        </w:rPr>
        <w:t xml:space="preserve"> G et al. (201</w:t>
      </w:r>
      <w:r w:rsidR="007E3EA9">
        <w:rPr>
          <w:rFonts w:eastAsia="Times New Roman"/>
        </w:rPr>
        <w:t>7</w:t>
      </w:r>
      <w:r w:rsidR="0011538B">
        <w:rPr>
          <w:rFonts w:eastAsia="Times New Roman"/>
        </w:rPr>
        <w:t>)</w:t>
      </w:r>
      <w:r>
        <w:rPr>
          <w:rFonts w:eastAsia="Times New Roman"/>
        </w:rPr>
        <w:t xml:space="preserve"> </w:t>
      </w:r>
      <w:r w:rsidRPr="0034437D">
        <w:rPr>
          <w:rFonts w:eastAsia="Times New Roman"/>
        </w:rPr>
        <w:t>Data Integr</w:t>
      </w:r>
      <w:r w:rsidR="00815122">
        <w:rPr>
          <w:rFonts w:eastAsia="Times New Roman"/>
        </w:rPr>
        <w:t>ation Model for Air Quality: A hierarchical approach to the g</w:t>
      </w:r>
      <w:r w:rsidRPr="0034437D">
        <w:rPr>
          <w:rFonts w:eastAsia="Times New Roman"/>
        </w:rPr>
        <w:t xml:space="preserve">lobal </w:t>
      </w:r>
      <w:r w:rsidR="00815122">
        <w:rPr>
          <w:rFonts w:eastAsia="Times New Roman"/>
        </w:rPr>
        <w:t>e</w:t>
      </w:r>
      <w:r w:rsidRPr="0034437D">
        <w:rPr>
          <w:rFonts w:eastAsia="Times New Roman"/>
        </w:rPr>
        <w:t xml:space="preserve">stimation of </w:t>
      </w:r>
      <w:r w:rsidR="00815122">
        <w:rPr>
          <w:rFonts w:eastAsia="Times New Roman"/>
        </w:rPr>
        <w:t>exposures to a</w:t>
      </w:r>
      <w:r w:rsidRPr="0034437D">
        <w:rPr>
          <w:rFonts w:eastAsia="Times New Roman"/>
        </w:rPr>
        <w:t xml:space="preserve">mbient </w:t>
      </w:r>
      <w:r w:rsidR="00815122">
        <w:rPr>
          <w:rFonts w:eastAsia="Times New Roman"/>
        </w:rPr>
        <w:t>a</w:t>
      </w:r>
      <w:r w:rsidRPr="0034437D">
        <w:rPr>
          <w:rFonts w:eastAsia="Times New Roman"/>
        </w:rPr>
        <w:t xml:space="preserve">ir </w:t>
      </w:r>
      <w:r w:rsidR="00815122">
        <w:rPr>
          <w:rFonts w:eastAsia="Times New Roman"/>
        </w:rPr>
        <w:t>p</w:t>
      </w:r>
      <w:r w:rsidRPr="0034437D">
        <w:rPr>
          <w:rFonts w:eastAsia="Times New Roman"/>
        </w:rPr>
        <w:t>ollution</w:t>
      </w:r>
      <w:r>
        <w:rPr>
          <w:rFonts w:eastAsia="Times New Roman"/>
        </w:rPr>
        <w:t xml:space="preserve">. </w:t>
      </w:r>
      <w:proofErr w:type="gramStart"/>
      <w:r w:rsidR="007E3EA9">
        <w:rPr>
          <w:rFonts w:eastAsia="Times New Roman"/>
        </w:rPr>
        <w:t xml:space="preserve">Applied Statistics </w:t>
      </w:r>
      <w:r w:rsidR="00BA383E">
        <w:rPr>
          <w:rFonts w:eastAsia="Times New Roman"/>
        </w:rPr>
        <w:t>June.</w:t>
      </w:r>
      <w:proofErr w:type="gramEnd"/>
      <w:r w:rsidR="00BA383E">
        <w:rPr>
          <w:rFonts w:eastAsia="Times New Roman"/>
        </w:rPr>
        <w:t xml:space="preserve"> </w:t>
      </w:r>
    </w:p>
    <w:p w14:paraId="7B687207" w14:textId="41A17D07" w:rsidR="00D00003" w:rsidRPr="003246FC" w:rsidRDefault="00D00003" w:rsidP="00467E03">
      <w:pPr>
        <w:spacing w:before="165" w:after="165"/>
        <w:rPr>
          <w:rFonts w:eastAsia="Times New Roman"/>
        </w:rPr>
      </w:pPr>
      <w:r>
        <w:rPr>
          <w:rFonts w:eastAsia="Times New Roman"/>
        </w:rPr>
        <w:t xml:space="preserve">Thurston G et al. (2017) </w:t>
      </w:r>
      <w:proofErr w:type="gramStart"/>
      <w:r>
        <w:rPr>
          <w:rFonts w:eastAsia="Times New Roman"/>
        </w:rPr>
        <w:t>A</w:t>
      </w:r>
      <w:proofErr w:type="gramEnd"/>
      <w:r>
        <w:rPr>
          <w:rFonts w:eastAsia="Times New Roman"/>
        </w:rPr>
        <w:t xml:space="preserve"> joint ERS/ATS policy statement: </w:t>
      </w:r>
      <w:r w:rsidR="00645F54">
        <w:rPr>
          <w:rFonts w:eastAsia="Times New Roman"/>
        </w:rPr>
        <w:t>w</w:t>
      </w:r>
      <w:r>
        <w:rPr>
          <w:rFonts w:eastAsia="Times New Roman"/>
        </w:rPr>
        <w:t xml:space="preserve">hat constitutes an adverse health effect of air pollution? </w:t>
      </w:r>
      <w:proofErr w:type="gramStart"/>
      <w:r>
        <w:rPr>
          <w:rFonts w:eastAsia="Times New Roman"/>
        </w:rPr>
        <w:t>An Analysis framework.</w:t>
      </w:r>
      <w:proofErr w:type="gramEnd"/>
      <w:r>
        <w:rPr>
          <w:rFonts w:eastAsia="Times New Roman"/>
        </w:rPr>
        <w:t xml:space="preserve"> </w:t>
      </w:r>
      <w:proofErr w:type="gramStart"/>
      <w:r>
        <w:rPr>
          <w:rFonts w:eastAsia="Times New Roman"/>
        </w:rPr>
        <w:t>European Respiratory Journal 49</w:t>
      </w:r>
      <w:r w:rsidR="00645F54">
        <w:t>:1600419 [https://doi.org/10.1183/13993003.00419-2016].</w:t>
      </w:r>
      <w:proofErr w:type="gramEnd"/>
      <w:r>
        <w:rPr>
          <w:rFonts w:eastAsia="Times New Roman"/>
        </w:rPr>
        <w:t xml:space="preserve"> </w:t>
      </w:r>
    </w:p>
    <w:p w14:paraId="7C8E0B16" w14:textId="77777777" w:rsidR="00100B52" w:rsidRPr="003246FC" w:rsidRDefault="00100B52" w:rsidP="00EA4F8A">
      <w:pPr>
        <w:spacing w:before="165" w:after="165"/>
        <w:rPr>
          <w:rFonts w:eastAsia="Times New Roman"/>
        </w:rPr>
      </w:pPr>
      <w:r w:rsidRPr="003246FC">
        <w:rPr>
          <w:rFonts w:eastAsia="Times New Roman"/>
        </w:rPr>
        <w:t>Thurston G et al. (201</w:t>
      </w:r>
      <w:r w:rsidR="00AB13E4">
        <w:rPr>
          <w:rFonts w:eastAsia="Times New Roman"/>
        </w:rPr>
        <w:t>6</w:t>
      </w:r>
      <w:r w:rsidRPr="003246FC">
        <w:rPr>
          <w:rFonts w:eastAsia="Times New Roman"/>
        </w:rPr>
        <w:t xml:space="preserve">) </w:t>
      </w:r>
      <w:r w:rsidRPr="003246FC">
        <w:t xml:space="preserve">Ischemic </w:t>
      </w:r>
      <w:r w:rsidR="00815122">
        <w:t>h</w:t>
      </w:r>
      <w:r w:rsidRPr="003246FC">
        <w:t xml:space="preserve">eart </w:t>
      </w:r>
      <w:r w:rsidR="00815122">
        <w:t>d</w:t>
      </w:r>
      <w:r w:rsidRPr="003246FC">
        <w:t xml:space="preserve">isease </w:t>
      </w:r>
      <w:r w:rsidR="00815122">
        <w:t>m</w:t>
      </w:r>
      <w:r w:rsidRPr="003246FC">
        <w:t xml:space="preserve">ortality and </w:t>
      </w:r>
      <w:r w:rsidR="00815122">
        <w:t>l</w:t>
      </w:r>
      <w:r w:rsidRPr="003246FC">
        <w:t>ong-</w:t>
      </w:r>
      <w:r w:rsidR="00815122">
        <w:t>term e</w:t>
      </w:r>
      <w:r w:rsidRPr="003246FC">
        <w:t xml:space="preserve">xposure to </w:t>
      </w:r>
      <w:r w:rsidR="00815122">
        <w:t>s</w:t>
      </w:r>
      <w:r w:rsidRPr="003246FC">
        <w:t>ource-</w:t>
      </w:r>
      <w:r w:rsidR="00815122">
        <w:t>r</w:t>
      </w:r>
      <w:r w:rsidRPr="003246FC">
        <w:t xml:space="preserve">elated </w:t>
      </w:r>
      <w:r w:rsidR="00815122">
        <w:t>c</w:t>
      </w:r>
      <w:r w:rsidRPr="003246FC">
        <w:t xml:space="preserve">omponents of U.S. </w:t>
      </w:r>
      <w:r w:rsidR="00815122">
        <w:t>f</w:t>
      </w:r>
      <w:r w:rsidRPr="003246FC">
        <w:t xml:space="preserve">ine </w:t>
      </w:r>
      <w:r w:rsidR="00815122">
        <w:t>p</w:t>
      </w:r>
      <w:r w:rsidRPr="003246FC">
        <w:t xml:space="preserve">article </w:t>
      </w:r>
      <w:r w:rsidR="00815122">
        <w:t>a</w:t>
      </w:r>
      <w:r w:rsidRPr="003246FC">
        <w:t xml:space="preserve">ir </w:t>
      </w:r>
      <w:r w:rsidR="00815122">
        <w:t>p</w:t>
      </w:r>
      <w:r w:rsidRPr="003246FC">
        <w:t>ollution. Environmental Health Perspectives 124:785</w:t>
      </w:r>
      <w:r w:rsidR="00325713">
        <w:t>–794.</w:t>
      </w:r>
    </w:p>
    <w:p w14:paraId="704C32D7" w14:textId="77777777" w:rsidR="00567B71" w:rsidRDefault="00567B71" w:rsidP="00567B71">
      <w:pPr>
        <w:spacing w:before="120" w:after="240"/>
      </w:pPr>
      <w:r>
        <w:t>Thurston G</w:t>
      </w:r>
      <w:r w:rsidR="00325713">
        <w:t xml:space="preserve"> et al. </w:t>
      </w:r>
      <w:r>
        <w:t xml:space="preserve">(2013). </w:t>
      </w:r>
      <w:proofErr w:type="gramStart"/>
      <w:r>
        <w:t>NPACT Study 4.</w:t>
      </w:r>
      <w:proofErr w:type="gramEnd"/>
      <w:r>
        <w:t xml:space="preserve"> </w:t>
      </w:r>
      <w:proofErr w:type="gramStart"/>
      <w:r>
        <w:t xml:space="preserve">Mortality and </w:t>
      </w:r>
      <w:r w:rsidR="00815122">
        <w:t>long-t</w:t>
      </w:r>
      <w:r>
        <w:t xml:space="preserve">erm </w:t>
      </w:r>
      <w:r w:rsidR="00815122">
        <w:t>e</w:t>
      </w:r>
      <w:r>
        <w:t xml:space="preserve">xposure to PM2.5 and </w:t>
      </w:r>
      <w:r w:rsidR="00815122">
        <w:t>its c</w:t>
      </w:r>
      <w:r>
        <w:t>omponents in the American Cancer Society’s Cancer Prevention Study II Cohort.</w:t>
      </w:r>
      <w:proofErr w:type="gramEnd"/>
      <w:r>
        <w:t xml:space="preserve"> In: National Particle Component Toxicity (NPACT) Initiative: Integrated Epidemiologic and </w:t>
      </w:r>
      <w:proofErr w:type="spellStart"/>
      <w:r>
        <w:t>Toxicologic</w:t>
      </w:r>
      <w:proofErr w:type="spellEnd"/>
      <w:r>
        <w:t xml:space="preserve"> Studies of the Health Effects of Particulate Matter Components. </w:t>
      </w:r>
      <w:proofErr w:type="gramStart"/>
      <w:r>
        <w:t>Research Report 177.</w:t>
      </w:r>
      <w:proofErr w:type="gramEnd"/>
      <w:r>
        <w:t xml:space="preserve"> Health Effects Institute, Boston, MA.</w:t>
      </w:r>
    </w:p>
    <w:p w14:paraId="36475905" w14:textId="77777777" w:rsidR="00B40D59" w:rsidRDefault="00B40D59" w:rsidP="00EA4F8A">
      <w:pPr>
        <w:spacing w:before="165" w:after="165"/>
        <w:rPr>
          <w:rFonts w:eastAsia="Times New Roman"/>
        </w:rPr>
      </w:pPr>
      <w:r w:rsidRPr="003246FC">
        <w:rPr>
          <w:rFonts w:eastAsia="Times New Roman"/>
        </w:rPr>
        <w:t xml:space="preserve">Van </w:t>
      </w:r>
      <w:proofErr w:type="spellStart"/>
      <w:r w:rsidRPr="003246FC">
        <w:rPr>
          <w:rFonts w:eastAsia="Times New Roman"/>
        </w:rPr>
        <w:t>Donkelaar</w:t>
      </w:r>
      <w:proofErr w:type="spellEnd"/>
      <w:r w:rsidRPr="003246FC">
        <w:rPr>
          <w:rFonts w:eastAsia="Times New Roman"/>
        </w:rPr>
        <w:t xml:space="preserve"> </w:t>
      </w:r>
      <w:r w:rsidR="008F3999">
        <w:rPr>
          <w:rFonts w:eastAsia="Times New Roman"/>
        </w:rPr>
        <w:t xml:space="preserve">A </w:t>
      </w:r>
      <w:r w:rsidRPr="003246FC">
        <w:rPr>
          <w:rFonts w:eastAsia="Times New Roman"/>
        </w:rPr>
        <w:t xml:space="preserve">et al. (2016) </w:t>
      </w:r>
      <w:r w:rsidR="008C5901" w:rsidRPr="003246FC">
        <w:rPr>
          <w:rFonts w:eastAsia="Times New Roman"/>
        </w:rPr>
        <w:t xml:space="preserve">Global </w:t>
      </w:r>
      <w:r w:rsidR="00815122">
        <w:rPr>
          <w:rFonts w:eastAsia="Times New Roman"/>
        </w:rPr>
        <w:t>e</w:t>
      </w:r>
      <w:r w:rsidR="008C5901" w:rsidRPr="003246FC">
        <w:rPr>
          <w:rFonts w:eastAsia="Times New Roman"/>
        </w:rPr>
        <w:t xml:space="preserve">stimates of </w:t>
      </w:r>
      <w:r w:rsidR="00815122">
        <w:rPr>
          <w:rFonts w:eastAsia="Times New Roman"/>
        </w:rPr>
        <w:t>f</w:t>
      </w:r>
      <w:r w:rsidR="008C5901" w:rsidRPr="003246FC">
        <w:rPr>
          <w:rFonts w:eastAsia="Times New Roman"/>
        </w:rPr>
        <w:t xml:space="preserve">ine </w:t>
      </w:r>
      <w:r w:rsidR="00815122">
        <w:rPr>
          <w:rFonts w:eastAsia="Times New Roman"/>
        </w:rPr>
        <w:t>p</w:t>
      </w:r>
      <w:r w:rsidR="008C5901" w:rsidRPr="003246FC">
        <w:rPr>
          <w:rFonts w:eastAsia="Times New Roman"/>
        </w:rPr>
        <w:t xml:space="preserve">articulate </w:t>
      </w:r>
      <w:r w:rsidR="00815122">
        <w:rPr>
          <w:rFonts w:eastAsia="Times New Roman"/>
        </w:rPr>
        <w:t>m</w:t>
      </w:r>
      <w:r w:rsidR="008C5901" w:rsidRPr="003246FC">
        <w:rPr>
          <w:rFonts w:eastAsia="Times New Roman"/>
        </w:rPr>
        <w:t xml:space="preserve">atter using a </w:t>
      </w:r>
      <w:r w:rsidR="00815122">
        <w:rPr>
          <w:rFonts w:eastAsia="Times New Roman"/>
        </w:rPr>
        <w:t>c</w:t>
      </w:r>
      <w:r w:rsidR="008C5901" w:rsidRPr="003246FC">
        <w:rPr>
          <w:rFonts w:eastAsia="Times New Roman"/>
        </w:rPr>
        <w:t xml:space="preserve">ombined </w:t>
      </w:r>
      <w:r w:rsidR="00815122">
        <w:rPr>
          <w:rFonts w:eastAsia="Times New Roman"/>
        </w:rPr>
        <w:t>g</w:t>
      </w:r>
      <w:r w:rsidR="008C5901" w:rsidRPr="003246FC">
        <w:rPr>
          <w:rFonts w:eastAsia="Times New Roman"/>
        </w:rPr>
        <w:t>eophysical-</w:t>
      </w:r>
      <w:r w:rsidR="00815122">
        <w:rPr>
          <w:rFonts w:eastAsia="Times New Roman"/>
        </w:rPr>
        <w:t>statistical method with information from satellites, models, and m</w:t>
      </w:r>
      <w:r w:rsidR="008C5901" w:rsidRPr="003246FC">
        <w:rPr>
          <w:rFonts w:eastAsia="Times New Roman"/>
        </w:rPr>
        <w:t xml:space="preserve">onitors </w:t>
      </w:r>
      <w:r w:rsidRPr="003246FC">
        <w:rPr>
          <w:rFonts w:eastAsia="Times New Roman"/>
        </w:rPr>
        <w:t xml:space="preserve">Environmental Science and Technology 50:3762-3772. </w:t>
      </w:r>
    </w:p>
    <w:p w14:paraId="6D2D1620" w14:textId="0ED55617" w:rsidR="002308D2" w:rsidRDefault="002308D2" w:rsidP="00EA4F8A">
      <w:pPr>
        <w:spacing w:before="165" w:after="165"/>
        <w:rPr>
          <w:rFonts w:eastAsia="Times New Roman"/>
        </w:rPr>
      </w:pPr>
      <w:proofErr w:type="spellStart"/>
      <w:r>
        <w:rPr>
          <w:rFonts w:eastAsia="Times New Roman"/>
        </w:rPr>
        <w:t>V</w:t>
      </w:r>
      <w:r w:rsidR="00DC2EC9">
        <w:rPr>
          <w:rFonts w:eastAsia="Times New Roman"/>
        </w:rPr>
        <w:t>edal</w:t>
      </w:r>
      <w:proofErr w:type="spellEnd"/>
      <w:r w:rsidR="00DC2EC9">
        <w:rPr>
          <w:rFonts w:eastAsia="Times New Roman"/>
        </w:rPr>
        <w:t xml:space="preserve"> S et al. (2013)</w:t>
      </w:r>
      <w:r w:rsidR="00DC2EC9">
        <w:t xml:space="preserve"> National Particle Component Toxicity (NPACT) Initiative Report on Cardiovascular Effects. </w:t>
      </w:r>
      <w:proofErr w:type="gramStart"/>
      <w:r w:rsidR="00DC2EC9">
        <w:t>Research Report 178.</w:t>
      </w:r>
      <w:proofErr w:type="gramEnd"/>
      <w:r w:rsidR="00DC2EC9">
        <w:t xml:space="preserve"> Health Effects Institute, Boston, MA.</w:t>
      </w:r>
    </w:p>
    <w:p w14:paraId="349AAD81" w14:textId="3C86743B" w:rsidR="002205DB" w:rsidRPr="003246FC" w:rsidRDefault="002205DB" w:rsidP="00EA4F8A">
      <w:pPr>
        <w:spacing w:before="165" w:after="165"/>
        <w:rPr>
          <w:rFonts w:eastAsia="Times New Roman"/>
        </w:rPr>
      </w:pPr>
      <w:r>
        <w:rPr>
          <w:rFonts w:eastAsia="Times New Roman"/>
        </w:rPr>
        <w:t xml:space="preserve">WHO (2009) </w:t>
      </w:r>
      <w:r w:rsidRPr="002205DB">
        <w:rPr>
          <w:rFonts w:eastAsia="Times New Roman"/>
        </w:rPr>
        <w:t>G</w:t>
      </w:r>
      <w:r>
        <w:rPr>
          <w:rFonts w:eastAsia="Times New Roman"/>
        </w:rPr>
        <w:t>lobal Health Risks:</w:t>
      </w:r>
      <w:r w:rsidRPr="002205DB">
        <w:rPr>
          <w:rFonts w:eastAsia="Times New Roman"/>
        </w:rPr>
        <w:t xml:space="preserve"> WHO Mortality and burden of disease attributable to selected major risks</w:t>
      </w:r>
      <w:r>
        <w:rPr>
          <w:rFonts w:eastAsia="Times New Roman"/>
        </w:rPr>
        <w:t xml:space="preserve"> </w:t>
      </w:r>
      <w:r w:rsidRPr="008202E0">
        <w:rPr>
          <w:rFonts w:eastAsia="Times New Roman"/>
        </w:rPr>
        <w:t>http://www.who.int/healthinfo/global_burden_disease/GlobalHealthRisks_report_full.pdf</w:t>
      </w:r>
    </w:p>
    <w:p w14:paraId="6A2ED27B" w14:textId="0D842D09" w:rsidR="002B3AFD" w:rsidRDefault="00DB0EBF" w:rsidP="002B3AFD">
      <w:pPr>
        <w:spacing w:before="165" w:after="165"/>
        <w:rPr>
          <w:rFonts w:eastAsia="Times New Roman"/>
        </w:rPr>
      </w:pPr>
      <w:r>
        <w:rPr>
          <w:rFonts w:eastAsia="Times New Roman"/>
        </w:rPr>
        <w:t>WHO (2016</w:t>
      </w:r>
      <w:r w:rsidR="00C13871">
        <w:rPr>
          <w:rFonts w:eastAsia="Times New Roman"/>
        </w:rPr>
        <w:t>a</w:t>
      </w:r>
      <w:r w:rsidR="002B3AFD" w:rsidRPr="003246FC">
        <w:rPr>
          <w:rFonts w:eastAsia="Times New Roman"/>
        </w:rPr>
        <w:t xml:space="preserve">) </w:t>
      </w:r>
      <w:proofErr w:type="gramStart"/>
      <w:r w:rsidR="002B3AFD" w:rsidRPr="003246FC">
        <w:rPr>
          <w:rFonts w:eastAsia="Times New Roman"/>
        </w:rPr>
        <w:t>Ambient</w:t>
      </w:r>
      <w:proofErr w:type="gramEnd"/>
      <w:r w:rsidR="002B3AFD" w:rsidRPr="003246FC">
        <w:rPr>
          <w:rFonts w:eastAsia="Times New Roman"/>
        </w:rPr>
        <w:t xml:space="preserve"> air pollution: A global assessment of exposure and burden of disease.</w:t>
      </w:r>
      <w:r w:rsidR="006074A9">
        <w:rPr>
          <w:rFonts w:eastAsia="Times New Roman"/>
        </w:rPr>
        <w:t xml:space="preserve"> Available at </w:t>
      </w:r>
      <w:r w:rsidR="006074A9" w:rsidRPr="006074A9">
        <w:rPr>
          <w:rFonts w:eastAsia="Times New Roman"/>
        </w:rPr>
        <w:t>http://who.int/phe/publications/air-pollution-global-assessment/en/</w:t>
      </w:r>
    </w:p>
    <w:p w14:paraId="214DA555" w14:textId="57A02ECB" w:rsidR="00C13871" w:rsidRDefault="00C13871" w:rsidP="00C13871">
      <w:pPr>
        <w:spacing w:before="165" w:after="165"/>
        <w:rPr>
          <w:rFonts w:eastAsia="Times New Roman"/>
        </w:rPr>
      </w:pPr>
      <w:r w:rsidRPr="00C13871">
        <w:rPr>
          <w:rFonts w:eastAsia="Times New Roman"/>
        </w:rPr>
        <w:t>WHO</w:t>
      </w:r>
      <w:r>
        <w:rPr>
          <w:rFonts w:eastAsia="Times New Roman"/>
        </w:rPr>
        <w:t xml:space="preserve"> (</w:t>
      </w:r>
      <w:r w:rsidRPr="00C13871">
        <w:rPr>
          <w:rFonts w:eastAsia="Times New Roman"/>
        </w:rPr>
        <w:t>2016b</w:t>
      </w:r>
      <w:r>
        <w:rPr>
          <w:rFonts w:eastAsia="Times New Roman"/>
        </w:rPr>
        <w:t>)</w:t>
      </w:r>
      <w:r w:rsidRPr="00C13871">
        <w:rPr>
          <w:rFonts w:eastAsia="Times New Roman"/>
        </w:rPr>
        <w:t xml:space="preserve"> WHO Global Urban Ambient Air Pollution Database (update 2016). World Health</w:t>
      </w:r>
      <w:r>
        <w:rPr>
          <w:rFonts w:eastAsia="Times New Roman"/>
        </w:rPr>
        <w:t xml:space="preserve"> </w:t>
      </w:r>
      <w:r w:rsidRPr="00C13871">
        <w:rPr>
          <w:rFonts w:eastAsia="Times New Roman"/>
        </w:rPr>
        <w:t>Organization, Geneva.</w:t>
      </w:r>
      <w:r>
        <w:rPr>
          <w:rFonts w:eastAsia="Times New Roman"/>
        </w:rPr>
        <w:t xml:space="preserve"> </w:t>
      </w:r>
      <w:r w:rsidRPr="00815122">
        <w:rPr>
          <w:rFonts w:eastAsia="Times New Roman"/>
        </w:rPr>
        <w:t>http://www.who.int/phe/health_topics/outdoorair/databases/cities/en/</w:t>
      </w:r>
      <w:r>
        <w:rPr>
          <w:rFonts w:eastAsia="Times New Roman"/>
        </w:rPr>
        <w:t xml:space="preserve">. </w:t>
      </w:r>
    </w:p>
    <w:p w14:paraId="41D6E663" w14:textId="459D0922" w:rsidR="00973EA6" w:rsidRPr="003246FC" w:rsidRDefault="00973EA6" w:rsidP="00314DDD">
      <w:pPr>
        <w:spacing w:before="165" w:after="165"/>
        <w:rPr>
          <w:rFonts w:eastAsia="Times New Roman"/>
        </w:rPr>
      </w:pPr>
      <w:r>
        <w:rPr>
          <w:rFonts w:eastAsia="Times New Roman"/>
        </w:rPr>
        <w:t xml:space="preserve">WHO (2017) </w:t>
      </w:r>
      <w:r w:rsidRPr="00973EA6">
        <w:rPr>
          <w:rFonts w:eastAsia="Times New Roman"/>
        </w:rPr>
        <w:t>Critical Review of the Exposure-Response Functions (ERFs) for the Evaluation of the Impact of PM2.5 on Mortality</w:t>
      </w:r>
      <w:r>
        <w:rPr>
          <w:rFonts w:eastAsia="Times New Roman"/>
        </w:rPr>
        <w:t xml:space="preserve"> </w:t>
      </w:r>
      <w:r w:rsidR="00314DDD">
        <w:rPr>
          <w:rFonts w:eastAsia="Times New Roman"/>
        </w:rPr>
        <w:t>(manuscript to be submitted)</w:t>
      </w:r>
      <w:r>
        <w:rPr>
          <w:rFonts w:eastAsia="Times New Roman"/>
        </w:rPr>
        <w:t xml:space="preserve">.  </w:t>
      </w:r>
    </w:p>
    <w:p w14:paraId="3ACC6FE4" w14:textId="6FCAF183" w:rsidR="00E038FF" w:rsidRDefault="00E038FF" w:rsidP="00E038FF">
      <w:pPr>
        <w:spacing w:before="165" w:after="165"/>
        <w:rPr>
          <w:rFonts w:eastAsia="Times New Roman"/>
        </w:rPr>
      </w:pPr>
      <w:r w:rsidRPr="003246FC">
        <w:rPr>
          <w:rFonts w:eastAsia="Times New Roman"/>
          <w:bCs/>
        </w:rPr>
        <w:t>World Bank</w:t>
      </w:r>
      <w:r w:rsidR="007A4CBB">
        <w:rPr>
          <w:rFonts w:eastAsia="Times New Roman"/>
          <w:bCs/>
        </w:rPr>
        <w:t xml:space="preserve"> (1993)</w:t>
      </w:r>
      <w:r w:rsidRPr="003246FC">
        <w:rPr>
          <w:rFonts w:eastAsia="Times New Roman"/>
          <w:bCs/>
        </w:rPr>
        <w:t>, World Development Report 1</w:t>
      </w:r>
      <w:r w:rsidR="007A4CBB">
        <w:rPr>
          <w:rFonts w:eastAsia="Times New Roman"/>
          <w:bCs/>
        </w:rPr>
        <w:t>993: Investing in Health,</w:t>
      </w:r>
      <w:r w:rsidR="00BA7E41">
        <w:rPr>
          <w:rFonts w:eastAsia="Times New Roman"/>
          <w:bCs/>
        </w:rPr>
        <w:t xml:space="preserve"> </w:t>
      </w:r>
      <w:r w:rsidR="007A4CBB">
        <w:rPr>
          <w:rFonts w:eastAsia="Times New Roman"/>
          <w:bCs/>
        </w:rPr>
        <w:t>June</w:t>
      </w:r>
      <w:r w:rsidRPr="003246FC">
        <w:rPr>
          <w:rFonts w:eastAsia="Times New Roman"/>
          <w:bCs/>
        </w:rPr>
        <w:t xml:space="preserve">. </w:t>
      </w:r>
      <w:r w:rsidR="00515A74" w:rsidRPr="00815122">
        <w:rPr>
          <w:rFonts w:eastAsia="Times New Roman"/>
        </w:rPr>
        <w:t>http://dx.doi.org/10.1596/0-1952-0890-0</w:t>
      </w:r>
      <w:r w:rsidRPr="003246FC">
        <w:rPr>
          <w:rFonts w:eastAsia="Times New Roman"/>
        </w:rPr>
        <w:t>.</w:t>
      </w:r>
    </w:p>
    <w:p w14:paraId="4FED58A4" w14:textId="05DBFAA6" w:rsidR="00515A74" w:rsidRDefault="00515A74" w:rsidP="00515A74">
      <w:pPr>
        <w:tabs>
          <w:tab w:val="left" w:pos="1530"/>
        </w:tabs>
        <w:spacing w:after="0" w:line="360" w:lineRule="auto"/>
      </w:pPr>
      <w:proofErr w:type="gramStart"/>
      <w:r>
        <w:t>World Bank (2017).</w:t>
      </w:r>
      <w:proofErr w:type="gramEnd"/>
      <w:r>
        <w:t xml:space="preserve">  </w:t>
      </w:r>
      <w:proofErr w:type="gramStart"/>
      <w:r>
        <w:t>World Development Indicators.</w:t>
      </w:r>
      <w:proofErr w:type="gramEnd"/>
      <w:r>
        <w:t xml:space="preserve"> </w:t>
      </w:r>
      <w:r w:rsidR="00BA7E41" w:rsidRPr="00BA7E41">
        <w:t>http://data.worldbank.org/products/wdi</w:t>
      </w:r>
      <w:r>
        <w:t>.</w:t>
      </w:r>
    </w:p>
    <w:p w14:paraId="4AB7FE33" w14:textId="77777777" w:rsidR="00BA7E41" w:rsidRDefault="00BA7E41" w:rsidP="00515A74">
      <w:pPr>
        <w:tabs>
          <w:tab w:val="left" w:pos="1530"/>
        </w:tabs>
        <w:spacing w:after="0" w:line="360" w:lineRule="auto"/>
      </w:pPr>
    </w:p>
    <w:p w14:paraId="2A1001B7" w14:textId="688B435A" w:rsidR="00473CCB" w:rsidRDefault="00C140C9" w:rsidP="009106CF">
      <w:pPr>
        <w:tabs>
          <w:tab w:val="left" w:pos="7740"/>
        </w:tabs>
        <w:spacing w:before="165" w:after="165"/>
        <w:rPr>
          <w:rFonts w:eastAsia="Times New Roman"/>
          <w:noProof/>
        </w:rPr>
      </w:pPr>
      <w:r>
        <w:rPr>
          <w:rFonts w:eastAsia="Times New Roman"/>
          <w:noProof/>
          <w:sz w:val="16"/>
          <w:szCs w:val="16"/>
        </w:rPr>
        <w:br w:type="column"/>
      </w:r>
      <w:r w:rsidR="00F6706C">
        <w:rPr>
          <w:rFonts w:eastAsia="Times New Roman"/>
          <w:noProof/>
        </w:rPr>
        <w:lastRenderedPageBreak/>
        <w:t>Tabel 1.  Summary of Inputs for  GBD 2010, GBD 2013 and GBD 2013</w:t>
      </w:r>
    </w:p>
    <w:tbl>
      <w:tblPr>
        <w:tblStyle w:val="TableGrid2"/>
        <w:tblW w:w="9370" w:type="dxa"/>
        <w:jc w:val="center"/>
        <w:tblLayout w:type="fixed"/>
        <w:tblLook w:val="04A0" w:firstRow="1" w:lastRow="0" w:firstColumn="1" w:lastColumn="0" w:noHBand="0" w:noVBand="1"/>
      </w:tblPr>
      <w:tblGrid>
        <w:gridCol w:w="927"/>
        <w:gridCol w:w="868"/>
        <w:gridCol w:w="2235"/>
        <w:gridCol w:w="1392"/>
        <w:gridCol w:w="992"/>
        <w:gridCol w:w="1114"/>
        <w:gridCol w:w="866"/>
        <w:gridCol w:w="976"/>
      </w:tblGrid>
      <w:tr w:rsidR="00F6706C" w:rsidRPr="00F6706C" w14:paraId="4D965E4C" w14:textId="77777777" w:rsidTr="00B92659">
        <w:trPr>
          <w:trHeight w:val="54"/>
          <w:jc w:val="center"/>
        </w:trPr>
        <w:tc>
          <w:tcPr>
            <w:tcW w:w="927" w:type="dxa"/>
          </w:tcPr>
          <w:p w14:paraId="3EE278DD" w14:textId="77777777" w:rsidR="00F6706C" w:rsidRPr="00F6706C" w:rsidRDefault="00F6706C" w:rsidP="00F6706C">
            <w:pPr>
              <w:jc w:val="center"/>
              <w:rPr>
                <w:sz w:val="16"/>
                <w:szCs w:val="16"/>
                <w:lang w:val="it-IT"/>
              </w:rPr>
            </w:pPr>
            <w:r w:rsidRPr="00F6706C">
              <w:rPr>
                <w:sz w:val="16"/>
                <w:szCs w:val="16"/>
                <w:lang w:val="it-IT"/>
              </w:rPr>
              <w:t xml:space="preserve">GBD </w:t>
            </w:r>
            <w:proofErr w:type="spellStart"/>
            <w:r w:rsidRPr="00F6706C">
              <w:rPr>
                <w:sz w:val="16"/>
                <w:szCs w:val="16"/>
                <w:lang w:val="it-IT"/>
              </w:rPr>
              <w:t>Year</w:t>
            </w:r>
            <w:proofErr w:type="spellEnd"/>
          </w:p>
        </w:tc>
        <w:tc>
          <w:tcPr>
            <w:tcW w:w="868" w:type="dxa"/>
            <w:vAlign w:val="center"/>
          </w:tcPr>
          <w:p w14:paraId="11438B08" w14:textId="77777777" w:rsidR="00F6706C" w:rsidRPr="00F6706C" w:rsidRDefault="00F6706C" w:rsidP="00F6706C">
            <w:pPr>
              <w:jc w:val="center"/>
              <w:rPr>
                <w:sz w:val="16"/>
                <w:szCs w:val="16"/>
                <w:lang w:val="it-IT"/>
              </w:rPr>
            </w:pPr>
            <w:proofErr w:type="spellStart"/>
            <w:r w:rsidRPr="00F6706C">
              <w:rPr>
                <w:sz w:val="16"/>
                <w:szCs w:val="16"/>
                <w:lang w:val="it-IT"/>
              </w:rPr>
              <w:t>Countries</w:t>
            </w:r>
            <w:proofErr w:type="spellEnd"/>
            <w:r w:rsidRPr="00F6706C">
              <w:rPr>
                <w:sz w:val="16"/>
                <w:szCs w:val="16"/>
                <w:lang w:val="it-IT"/>
              </w:rPr>
              <w:t xml:space="preserve"> include</w:t>
            </w:r>
          </w:p>
        </w:tc>
        <w:tc>
          <w:tcPr>
            <w:tcW w:w="2235" w:type="dxa"/>
            <w:vAlign w:val="center"/>
          </w:tcPr>
          <w:p w14:paraId="67397617" w14:textId="77777777" w:rsidR="00F6706C" w:rsidRPr="00F6706C" w:rsidRDefault="00F6706C" w:rsidP="00F6706C">
            <w:pPr>
              <w:jc w:val="center"/>
              <w:rPr>
                <w:sz w:val="16"/>
                <w:szCs w:val="16"/>
                <w:lang w:val="it-IT"/>
              </w:rPr>
            </w:pPr>
            <w:proofErr w:type="spellStart"/>
            <w:r w:rsidRPr="00F6706C">
              <w:rPr>
                <w:sz w:val="16"/>
                <w:szCs w:val="16"/>
                <w:lang w:val="it-IT"/>
              </w:rPr>
              <w:t>Number</w:t>
            </w:r>
            <w:proofErr w:type="spellEnd"/>
            <w:r w:rsidRPr="00F6706C">
              <w:rPr>
                <w:sz w:val="16"/>
                <w:szCs w:val="16"/>
                <w:lang w:val="it-IT"/>
              </w:rPr>
              <w:t xml:space="preserve"> of </w:t>
            </w:r>
            <w:proofErr w:type="spellStart"/>
            <w:r w:rsidRPr="00F6706C">
              <w:rPr>
                <w:sz w:val="16"/>
                <w:szCs w:val="16"/>
                <w:lang w:val="it-IT"/>
              </w:rPr>
              <w:t>ground</w:t>
            </w:r>
            <w:proofErr w:type="spellEnd"/>
            <w:r w:rsidRPr="00F6706C">
              <w:rPr>
                <w:sz w:val="16"/>
                <w:szCs w:val="16"/>
                <w:lang w:val="it-IT"/>
              </w:rPr>
              <w:t xml:space="preserve"> </w:t>
            </w:r>
            <w:proofErr w:type="spellStart"/>
            <w:r w:rsidRPr="00F6706C">
              <w:rPr>
                <w:sz w:val="16"/>
                <w:szCs w:val="16"/>
                <w:lang w:val="it-IT"/>
              </w:rPr>
              <w:t>monitors</w:t>
            </w:r>
            <w:proofErr w:type="spellEnd"/>
          </w:p>
        </w:tc>
        <w:tc>
          <w:tcPr>
            <w:tcW w:w="1392" w:type="dxa"/>
            <w:vAlign w:val="center"/>
          </w:tcPr>
          <w:p w14:paraId="22743570" w14:textId="77777777" w:rsidR="00F6706C" w:rsidRPr="00F6706C" w:rsidRDefault="00F6706C" w:rsidP="00F6706C">
            <w:pPr>
              <w:jc w:val="center"/>
              <w:rPr>
                <w:sz w:val="16"/>
                <w:szCs w:val="16"/>
                <w:lang w:val="it-IT"/>
              </w:rPr>
            </w:pPr>
            <w:proofErr w:type="spellStart"/>
            <w:r w:rsidRPr="00F6706C">
              <w:rPr>
                <w:sz w:val="16"/>
                <w:szCs w:val="16"/>
                <w:lang w:val="it-IT"/>
              </w:rPr>
              <w:t>Population</w:t>
            </w:r>
            <w:proofErr w:type="spellEnd"/>
          </w:p>
        </w:tc>
        <w:tc>
          <w:tcPr>
            <w:tcW w:w="992" w:type="dxa"/>
            <w:vAlign w:val="center"/>
          </w:tcPr>
          <w:p w14:paraId="5F32BE6F" w14:textId="77777777" w:rsidR="00F6706C" w:rsidRPr="00F6706C" w:rsidRDefault="00F6706C" w:rsidP="00F6706C">
            <w:pPr>
              <w:jc w:val="center"/>
              <w:rPr>
                <w:sz w:val="16"/>
                <w:szCs w:val="16"/>
                <w:lang w:val="it-IT"/>
              </w:rPr>
            </w:pPr>
            <w:proofErr w:type="spellStart"/>
            <w:r w:rsidRPr="00F6706C">
              <w:rPr>
                <w:sz w:val="16"/>
                <w:szCs w:val="16"/>
                <w:lang w:val="it-IT"/>
              </w:rPr>
              <w:t>Counter-factual</w:t>
            </w:r>
            <w:proofErr w:type="spellEnd"/>
            <w:r w:rsidRPr="00F6706C">
              <w:rPr>
                <w:sz w:val="16"/>
                <w:szCs w:val="16"/>
                <w:lang w:val="it-IT"/>
              </w:rPr>
              <w:t>#</w:t>
            </w:r>
          </w:p>
          <w:p w14:paraId="38C0A3BB" w14:textId="77777777" w:rsidR="00F6706C" w:rsidRPr="00F6706C" w:rsidRDefault="00F6706C" w:rsidP="00F6706C">
            <w:pPr>
              <w:jc w:val="center"/>
              <w:rPr>
                <w:sz w:val="16"/>
                <w:szCs w:val="16"/>
                <w:lang w:val="it-IT"/>
              </w:rPr>
            </w:pPr>
            <w:r w:rsidRPr="00F6706C">
              <w:rPr>
                <w:sz w:val="16"/>
                <w:szCs w:val="16"/>
                <w:lang w:val="it-IT"/>
              </w:rPr>
              <w:t>(µg/m</w:t>
            </w:r>
            <w:r w:rsidRPr="00F6706C">
              <w:rPr>
                <w:sz w:val="16"/>
                <w:szCs w:val="16"/>
                <w:vertAlign w:val="superscript"/>
                <w:lang w:val="it-IT"/>
              </w:rPr>
              <w:t>3</w:t>
            </w:r>
            <w:r w:rsidRPr="00F6706C">
              <w:rPr>
                <w:sz w:val="16"/>
                <w:szCs w:val="16"/>
                <w:lang w:val="it-IT"/>
              </w:rPr>
              <w:t>)</w:t>
            </w:r>
          </w:p>
        </w:tc>
        <w:tc>
          <w:tcPr>
            <w:tcW w:w="1114" w:type="dxa"/>
            <w:vAlign w:val="center"/>
          </w:tcPr>
          <w:p w14:paraId="51561CFE" w14:textId="77777777" w:rsidR="00F6706C" w:rsidRPr="00F6706C" w:rsidRDefault="00F6706C" w:rsidP="00F6706C">
            <w:pPr>
              <w:jc w:val="center"/>
              <w:rPr>
                <w:sz w:val="16"/>
                <w:szCs w:val="16"/>
                <w:lang w:val="it-IT"/>
              </w:rPr>
            </w:pPr>
            <w:r w:rsidRPr="00F6706C">
              <w:rPr>
                <w:sz w:val="16"/>
                <w:szCs w:val="16"/>
                <w:lang w:val="it-IT"/>
              </w:rPr>
              <w:t xml:space="preserve">Cause of </w:t>
            </w:r>
            <w:proofErr w:type="spellStart"/>
            <w:r w:rsidRPr="00F6706C">
              <w:rPr>
                <w:sz w:val="16"/>
                <w:szCs w:val="16"/>
                <w:lang w:val="it-IT"/>
              </w:rPr>
              <w:t>death</w:t>
            </w:r>
            <w:proofErr w:type="spellEnd"/>
          </w:p>
        </w:tc>
        <w:tc>
          <w:tcPr>
            <w:tcW w:w="866" w:type="dxa"/>
            <w:vAlign w:val="center"/>
          </w:tcPr>
          <w:p w14:paraId="6FA310DD" w14:textId="77777777" w:rsidR="00F6706C" w:rsidRPr="00F6706C" w:rsidRDefault="00F6706C" w:rsidP="00F6706C">
            <w:pPr>
              <w:jc w:val="center"/>
              <w:rPr>
                <w:sz w:val="16"/>
                <w:szCs w:val="16"/>
                <w:lang w:val="it-IT"/>
              </w:rPr>
            </w:pPr>
            <w:r w:rsidRPr="00F6706C">
              <w:rPr>
                <w:sz w:val="16"/>
                <w:szCs w:val="16"/>
                <w:lang w:val="it-IT"/>
              </w:rPr>
              <w:t xml:space="preserve"># of AAP </w:t>
            </w:r>
            <w:proofErr w:type="spellStart"/>
            <w:r w:rsidRPr="00F6706C">
              <w:rPr>
                <w:sz w:val="16"/>
                <w:szCs w:val="16"/>
                <w:lang w:val="it-IT"/>
              </w:rPr>
              <w:t>Studies</w:t>
            </w:r>
            <w:proofErr w:type="spellEnd"/>
            <w:r w:rsidRPr="00F6706C">
              <w:rPr>
                <w:sz w:val="16"/>
                <w:szCs w:val="16"/>
                <w:lang w:val="it-IT"/>
              </w:rPr>
              <w:t>*</w:t>
            </w:r>
          </w:p>
        </w:tc>
        <w:tc>
          <w:tcPr>
            <w:tcW w:w="976" w:type="dxa"/>
            <w:vAlign w:val="center"/>
          </w:tcPr>
          <w:p w14:paraId="5DCAF142" w14:textId="77777777" w:rsidR="00F6706C" w:rsidRPr="00F6706C" w:rsidRDefault="00F6706C" w:rsidP="00F6706C">
            <w:pPr>
              <w:jc w:val="center"/>
              <w:rPr>
                <w:sz w:val="16"/>
                <w:szCs w:val="16"/>
                <w:lang w:val="it-IT"/>
              </w:rPr>
            </w:pPr>
            <w:proofErr w:type="spellStart"/>
            <w:r w:rsidRPr="00F6706C">
              <w:rPr>
                <w:sz w:val="16"/>
                <w:szCs w:val="16"/>
                <w:lang w:val="it-IT"/>
              </w:rPr>
              <w:t>EstimatedMortality</w:t>
            </w:r>
            <w:proofErr w:type="spellEnd"/>
            <w:r w:rsidRPr="00F6706C">
              <w:rPr>
                <w:sz w:val="16"/>
                <w:szCs w:val="16"/>
                <w:lang w:val="it-IT"/>
              </w:rPr>
              <w:t xml:space="preserve"> (</w:t>
            </w:r>
            <w:proofErr w:type="spellStart"/>
            <w:r w:rsidRPr="00F6706C">
              <w:rPr>
                <w:sz w:val="16"/>
                <w:szCs w:val="16"/>
                <w:lang w:val="it-IT"/>
              </w:rPr>
              <w:t>millions</w:t>
            </w:r>
            <w:proofErr w:type="spellEnd"/>
            <w:r w:rsidRPr="00F6706C">
              <w:rPr>
                <w:sz w:val="16"/>
                <w:szCs w:val="16"/>
                <w:lang w:val="it-IT"/>
              </w:rPr>
              <w:t>)</w:t>
            </w:r>
          </w:p>
        </w:tc>
      </w:tr>
      <w:tr w:rsidR="00F6706C" w:rsidRPr="00F6706C" w14:paraId="76559FE4" w14:textId="77777777" w:rsidTr="00B92659">
        <w:trPr>
          <w:jc w:val="center"/>
        </w:trPr>
        <w:tc>
          <w:tcPr>
            <w:tcW w:w="927" w:type="dxa"/>
          </w:tcPr>
          <w:p w14:paraId="1CAC63FA" w14:textId="77777777" w:rsidR="00F6706C" w:rsidRPr="00F6706C" w:rsidRDefault="00F6706C" w:rsidP="00F6706C">
            <w:pPr>
              <w:rPr>
                <w:sz w:val="16"/>
                <w:szCs w:val="16"/>
                <w:lang w:val="it-IT"/>
              </w:rPr>
            </w:pPr>
            <w:r w:rsidRPr="00F6706C">
              <w:rPr>
                <w:sz w:val="16"/>
                <w:szCs w:val="16"/>
                <w:lang w:val="it-IT"/>
              </w:rPr>
              <w:t>2010 (</w:t>
            </w:r>
            <w:proofErr w:type="spellStart"/>
            <w:r w:rsidRPr="00F6706C">
              <w:rPr>
                <w:sz w:val="16"/>
                <w:szCs w:val="16"/>
                <w:lang w:val="it-IT"/>
              </w:rPr>
              <w:t>Lim</w:t>
            </w:r>
            <w:proofErr w:type="spellEnd"/>
            <w:r w:rsidRPr="00F6706C">
              <w:rPr>
                <w:sz w:val="16"/>
                <w:szCs w:val="16"/>
                <w:lang w:val="it-IT"/>
              </w:rPr>
              <w:t xml:space="preserve"> et al</w:t>
            </w:r>
            <w:proofErr w:type="gramStart"/>
            <w:r w:rsidRPr="00F6706C">
              <w:rPr>
                <w:sz w:val="16"/>
                <w:szCs w:val="16"/>
                <w:lang w:val="it-IT"/>
              </w:rPr>
              <w:t xml:space="preserve">, </w:t>
            </w:r>
            <w:proofErr w:type="gramEnd"/>
            <w:r w:rsidRPr="00F6706C">
              <w:rPr>
                <w:sz w:val="16"/>
                <w:szCs w:val="16"/>
                <w:lang w:val="it-IT"/>
              </w:rPr>
              <w:t>2012)</w:t>
            </w:r>
          </w:p>
        </w:tc>
        <w:tc>
          <w:tcPr>
            <w:tcW w:w="868" w:type="dxa"/>
          </w:tcPr>
          <w:p w14:paraId="1C84238C" w14:textId="77777777" w:rsidR="00F6706C" w:rsidRPr="00F6706C" w:rsidRDefault="00F6706C" w:rsidP="00F6706C">
            <w:pPr>
              <w:jc w:val="center"/>
              <w:rPr>
                <w:sz w:val="16"/>
                <w:szCs w:val="16"/>
                <w:lang w:val="it-IT"/>
              </w:rPr>
            </w:pPr>
            <w:r w:rsidRPr="00F6706C">
              <w:rPr>
                <w:sz w:val="16"/>
                <w:szCs w:val="16"/>
                <w:lang w:val="it-IT"/>
              </w:rPr>
              <w:t>187</w:t>
            </w:r>
          </w:p>
        </w:tc>
        <w:tc>
          <w:tcPr>
            <w:tcW w:w="2235" w:type="dxa"/>
          </w:tcPr>
          <w:p w14:paraId="14546E68" w14:textId="77777777" w:rsidR="00F6706C" w:rsidRPr="00F6706C" w:rsidRDefault="00F6706C" w:rsidP="00F6706C">
            <w:pPr>
              <w:rPr>
                <w:sz w:val="16"/>
                <w:szCs w:val="16"/>
                <w:lang w:val="it-IT"/>
              </w:rPr>
            </w:pPr>
            <w:r w:rsidRPr="00F6706C">
              <w:rPr>
                <w:sz w:val="16"/>
                <w:szCs w:val="16"/>
                <w:lang w:val="it-IT"/>
              </w:rPr>
              <w:t>DP (475)</w:t>
            </w:r>
          </w:p>
          <w:p w14:paraId="061C3645" w14:textId="77777777" w:rsidR="00F6706C" w:rsidRPr="00F6706C" w:rsidRDefault="00F6706C" w:rsidP="00F6706C">
            <w:pPr>
              <w:rPr>
                <w:sz w:val="16"/>
                <w:szCs w:val="16"/>
                <w:lang w:val="it-IT"/>
              </w:rPr>
            </w:pPr>
            <w:r w:rsidRPr="00F6706C">
              <w:rPr>
                <w:sz w:val="16"/>
                <w:szCs w:val="16"/>
                <w:lang w:val="it-IT"/>
              </w:rPr>
              <w:t xml:space="preserve">North America and Western Europe </w:t>
            </w:r>
            <w:proofErr w:type="spellStart"/>
            <w:r w:rsidRPr="00F6706C">
              <w:rPr>
                <w:sz w:val="16"/>
                <w:szCs w:val="16"/>
                <w:lang w:val="it-IT"/>
              </w:rPr>
              <w:t>provided</w:t>
            </w:r>
            <w:proofErr w:type="spellEnd"/>
            <w:r w:rsidRPr="00F6706C">
              <w:rPr>
                <w:sz w:val="16"/>
                <w:szCs w:val="16"/>
                <w:lang w:val="it-IT"/>
              </w:rPr>
              <w:t xml:space="preserve"> 404 PM2.</w:t>
            </w:r>
            <w:proofErr w:type="gramStart"/>
            <w:r w:rsidRPr="00F6706C">
              <w:rPr>
                <w:sz w:val="16"/>
                <w:szCs w:val="16"/>
                <w:lang w:val="it-IT"/>
              </w:rPr>
              <w:t>5</w:t>
            </w:r>
            <w:proofErr w:type="gramEnd"/>
            <w:r w:rsidRPr="00F6706C">
              <w:rPr>
                <w:sz w:val="16"/>
                <w:szCs w:val="16"/>
                <w:lang w:val="it-IT"/>
              </w:rPr>
              <w:t xml:space="preserve"> or PM10 (</w:t>
            </w:r>
            <w:proofErr w:type="spellStart"/>
            <w:r w:rsidRPr="00F6706C">
              <w:rPr>
                <w:sz w:val="16"/>
                <w:szCs w:val="16"/>
                <w:lang w:val="it-IT"/>
              </w:rPr>
              <w:t>converted</w:t>
            </w:r>
            <w:proofErr w:type="spellEnd"/>
            <w:r w:rsidRPr="00F6706C">
              <w:rPr>
                <w:sz w:val="16"/>
                <w:szCs w:val="16"/>
                <w:lang w:val="it-IT"/>
              </w:rPr>
              <w:t xml:space="preserve"> to PM2.5). Others </w:t>
            </w:r>
            <w:proofErr w:type="spellStart"/>
            <w:r w:rsidRPr="00F6706C">
              <w:rPr>
                <w:sz w:val="16"/>
                <w:szCs w:val="16"/>
                <w:lang w:val="it-IT"/>
              </w:rPr>
              <w:t>were</w:t>
            </w:r>
            <w:proofErr w:type="spellEnd"/>
            <w:r w:rsidRPr="00F6706C">
              <w:rPr>
                <w:sz w:val="16"/>
                <w:szCs w:val="16"/>
                <w:lang w:val="it-IT"/>
              </w:rPr>
              <w:t xml:space="preserve"> </w:t>
            </w:r>
            <w:proofErr w:type="spellStart"/>
            <w:r w:rsidRPr="00F6706C">
              <w:rPr>
                <w:sz w:val="16"/>
                <w:szCs w:val="16"/>
                <w:lang w:val="it-IT"/>
              </w:rPr>
              <w:t>provided</w:t>
            </w:r>
            <w:proofErr w:type="spellEnd"/>
            <w:r w:rsidRPr="00F6706C">
              <w:rPr>
                <w:sz w:val="16"/>
                <w:szCs w:val="16"/>
                <w:lang w:val="it-IT"/>
              </w:rPr>
              <w:t xml:space="preserve"> </w:t>
            </w:r>
            <w:proofErr w:type="gramStart"/>
            <w:r w:rsidRPr="00F6706C">
              <w:rPr>
                <w:sz w:val="16"/>
                <w:szCs w:val="16"/>
                <w:lang w:val="it-IT"/>
              </w:rPr>
              <w:t xml:space="preserve">for </w:t>
            </w:r>
            <w:proofErr w:type="gramEnd"/>
            <w:r w:rsidRPr="00F6706C">
              <w:rPr>
                <w:sz w:val="16"/>
                <w:szCs w:val="16"/>
                <w:lang w:val="it-IT"/>
              </w:rPr>
              <w:t xml:space="preserve">Australia, Brazil, Chile, China, Colombia, </w:t>
            </w:r>
            <w:proofErr w:type="spellStart"/>
            <w:r w:rsidRPr="00F6706C">
              <w:rPr>
                <w:sz w:val="16"/>
                <w:szCs w:val="16"/>
                <w:lang w:val="it-IT"/>
              </w:rPr>
              <w:t>Egypt</w:t>
            </w:r>
            <w:proofErr w:type="spellEnd"/>
            <w:r w:rsidRPr="00F6706C">
              <w:rPr>
                <w:sz w:val="16"/>
                <w:szCs w:val="16"/>
                <w:lang w:val="it-IT"/>
              </w:rPr>
              <w:t xml:space="preserve">, Ghana, </w:t>
            </w:r>
            <w:proofErr w:type="spellStart"/>
            <w:r w:rsidRPr="00F6706C">
              <w:rPr>
                <w:sz w:val="16"/>
                <w:szCs w:val="16"/>
                <w:lang w:val="it-IT"/>
              </w:rPr>
              <w:t>Israel</w:t>
            </w:r>
            <w:proofErr w:type="spellEnd"/>
            <w:r w:rsidRPr="00F6706C">
              <w:rPr>
                <w:sz w:val="16"/>
                <w:szCs w:val="16"/>
                <w:lang w:val="it-IT"/>
              </w:rPr>
              <w:t xml:space="preserve">, Kuwait, Lebanon, Mexico, New Zealand, South Africa and 31 </w:t>
            </w:r>
            <w:proofErr w:type="spellStart"/>
            <w:r w:rsidRPr="00F6706C">
              <w:rPr>
                <w:sz w:val="16"/>
                <w:szCs w:val="16"/>
                <w:lang w:val="it-IT"/>
              </w:rPr>
              <w:t>other</w:t>
            </w:r>
            <w:proofErr w:type="spellEnd"/>
            <w:r w:rsidRPr="00F6706C">
              <w:rPr>
                <w:sz w:val="16"/>
                <w:szCs w:val="16"/>
                <w:lang w:val="it-IT"/>
              </w:rPr>
              <w:t xml:space="preserve"> Asian </w:t>
            </w:r>
            <w:proofErr w:type="spellStart"/>
            <w:r w:rsidRPr="00F6706C">
              <w:rPr>
                <w:sz w:val="16"/>
                <w:szCs w:val="16"/>
                <w:lang w:val="it-IT"/>
              </w:rPr>
              <w:t>locations</w:t>
            </w:r>
            <w:proofErr w:type="spellEnd"/>
            <w:r w:rsidRPr="00F6706C">
              <w:rPr>
                <w:sz w:val="16"/>
                <w:szCs w:val="16"/>
                <w:lang w:val="it-IT"/>
              </w:rPr>
              <w:t xml:space="preserve"> (</w:t>
            </w:r>
            <w:proofErr w:type="spellStart"/>
            <w:r w:rsidRPr="00F6706C">
              <w:rPr>
                <w:sz w:val="16"/>
                <w:szCs w:val="16"/>
                <w:lang w:val="it-IT"/>
              </w:rPr>
              <w:t>not</w:t>
            </w:r>
            <w:proofErr w:type="spellEnd"/>
            <w:r w:rsidRPr="00F6706C">
              <w:rPr>
                <w:sz w:val="16"/>
                <w:szCs w:val="16"/>
                <w:lang w:val="it-IT"/>
              </w:rPr>
              <w:t xml:space="preserve"> </w:t>
            </w:r>
            <w:proofErr w:type="spellStart"/>
            <w:r w:rsidRPr="00F6706C">
              <w:rPr>
                <w:sz w:val="16"/>
                <w:szCs w:val="16"/>
                <w:lang w:val="it-IT"/>
              </w:rPr>
              <w:t>specified</w:t>
            </w:r>
            <w:proofErr w:type="spellEnd"/>
            <w:r w:rsidRPr="00F6706C">
              <w:rPr>
                <w:sz w:val="16"/>
                <w:szCs w:val="16"/>
                <w:lang w:val="it-IT"/>
              </w:rPr>
              <w:t xml:space="preserve">) </w:t>
            </w:r>
            <w:proofErr w:type="spellStart"/>
            <w:r w:rsidRPr="00F6706C">
              <w:rPr>
                <w:sz w:val="16"/>
                <w:szCs w:val="16"/>
                <w:lang w:val="it-IT"/>
              </w:rPr>
              <w:t>compiled</w:t>
            </w:r>
            <w:proofErr w:type="spellEnd"/>
            <w:r w:rsidRPr="00F6706C">
              <w:rPr>
                <w:sz w:val="16"/>
                <w:szCs w:val="16"/>
                <w:lang w:val="it-IT"/>
              </w:rPr>
              <w:t xml:space="preserve"> by the </w:t>
            </w:r>
            <w:proofErr w:type="spellStart"/>
            <w:r w:rsidRPr="00F6706C">
              <w:rPr>
                <w:sz w:val="16"/>
                <w:szCs w:val="16"/>
                <w:lang w:val="it-IT"/>
              </w:rPr>
              <w:t>Clean</w:t>
            </w:r>
            <w:proofErr w:type="spellEnd"/>
            <w:r w:rsidRPr="00F6706C">
              <w:rPr>
                <w:sz w:val="16"/>
                <w:szCs w:val="16"/>
                <w:lang w:val="it-IT"/>
              </w:rPr>
              <w:t xml:space="preserve"> Air </w:t>
            </w:r>
            <w:proofErr w:type="spellStart"/>
            <w:r w:rsidRPr="00F6706C">
              <w:rPr>
                <w:sz w:val="16"/>
                <w:szCs w:val="16"/>
                <w:lang w:val="it-IT"/>
              </w:rPr>
              <w:t>Initiative</w:t>
            </w:r>
            <w:proofErr w:type="spellEnd"/>
            <w:r w:rsidRPr="00F6706C">
              <w:rPr>
                <w:sz w:val="16"/>
                <w:szCs w:val="16"/>
                <w:lang w:val="it-IT"/>
              </w:rPr>
              <w:t xml:space="preserve"> Asia (</w:t>
            </w:r>
            <w:proofErr w:type="spellStart"/>
            <w:r w:rsidRPr="00F6706C">
              <w:rPr>
                <w:sz w:val="16"/>
                <w:szCs w:val="16"/>
                <w:lang w:val="it-IT"/>
              </w:rPr>
              <w:t>Brauer</w:t>
            </w:r>
            <w:proofErr w:type="spellEnd"/>
            <w:r w:rsidRPr="00F6706C">
              <w:rPr>
                <w:sz w:val="16"/>
                <w:szCs w:val="16"/>
                <w:lang w:val="it-IT"/>
              </w:rPr>
              <w:t xml:space="preserve"> 2012, </w:t>
            </w:r>
            <w:proofErr w:type="spellStart"/>
            <w:r w:rsidRPr="00F6706C">
              <w:rPr>
                <w:sz w:val="16"/>
                <w:szCs w:val="16"/>
                <w:lang w:val="it-IT"/>
              </w:rPr>
              <w:t>supplement</w:t>
            </w:r>
            <w:proofErr w:type="spellEnd"/>
            <w:r w:rsidRPr="00F6706C">
              <w:rPr>
                <w:sz w:val="16"/>
                <w:szCs w:val="16"/>
                <w:lang w:val="it-IT"/>
              </w:rPr>
              <w:t>).</w:t>
            </w:r>
          </w:p>
          <w:p w14:paraId="035AA82C" w14:textId="77777777" w:rsidR="00F6706C" w:rsidRPr="00F6706C" w:rsidRDefault="00F6706C" w:rsidP="00F6706C">
            <w:pPr>
              <w:rPr>
                <w:sz w:val="16"/>
                <w:szCs w:val="16"/>
                <w:lang w:val="it-IT"/>
              </w:rPr>
            </w:pPr>
          </w:p>
          <w:p w14:paraId="47F24ED0" w14:textId="77777777" w:rsidR="00F6706C" w:rsidRPr="00F6706C" w:rsidRDefault="00F6706C" w:rsidP="00F6706C">
            <w:pPr>
              <w:rPr>
                <w:sz w:val="16"/>
                <w:szCs w:val="16"/>
                <w:lang w:val="it-IT"/>
              </w:rPr>
            </w:pPr>
            <w:r w:rsidRPr="00F6706C">
              <w:rPr>
                <w:sz w:val="16"/>
                <w:szCs w:val="16"/>
                <w:lang w:val="it-IT"/>
              </w:rPr>
              <w:t xml:space="preserve">The ratio </w:t>
            </w:r>
            <w:proofErr w:type="gramStart"/>
            <w:r w:rsidRPr="00F6706C">
              <w:rPr>
                <w:sz w:val="16"/>
                <w:szCs w:val="16"/>
                <w:lang w:val="it-IT"/>
              </w:rPr>
              <w:t>of</w:t>
            </w:r>
            <w:proofErr w:type="gramEnd"/>
            <w:r w:rsidRPr="00F6706C">
              <w:rPr>
                <w:sz w:val="16"/>
                <w:szCs w:val="16"/>
                <w:lang w:val="it-IT"/>
              </w:rPr>
              <w:t xml:space="preserve"> PM2.5 to PM10 </w:t>
            </w:r>
            <w:proofErr w:type="spellStart"/>
            <w:r w:rsidRPr="00F6706C">
              <w:rPr>
                <w:sz w:val="16"/>
                <w:szCs w:val="16"/>
                <w:lang w:val="it-IT"/>
              </w:rPr>
              <w:t>was</w:t>
            </w:r>
            <w:proofErr w:type="spellEnd"/>
            <w:r w:rsidRPr="00F6706C">
              <w:rPr>
                <w:sz w:val="16"/>
                <w:szCs w:val="16"/>
                <w:lang w:val="it-IT"/>
              </w:rPr>
              <w:t xml:space="preserve"> </w:t>
            </w:r>
            <w:proofErr w:type="spellStart"/>
            <w:r w:rsidRPr="00F6706C">
              <w:rPr>
                <w:sz w:val="16"/>
                <w:szCs w:val="16"/>
                <w:lang w:val="it-IT"/>
              </w:rPr>
              <w:t>based</w:t>
            </w:r>
            <w:proofErr w:type="spellEnd"/>
            <w:r w:rsidRPr="00F6706C">
              <w:rPr>
                <w:sz w:val="16"/>
                <w:szCs w:val="16"/>
                <w:lang w:val="it-IT"/>
              </w:rPr>
              <w:t xml:space="preserve"> on the </w:t>
            </w:r>
            <w:proofErr w:type="spellStart"/>
            <w:r w:rsidRPr="00F6706C">
              <w:rPr>
                <w:sz w:val="16"/>
                <w:szCs w:val="16"/>
                <w:lang w:val="it-IT"/>
              </w:rPr>
              <w:t>closest</w:t>
            </w:r>
            <w:proofErr w:type="spellEnd"/>
            <w:r w:rsidRPr="00F6706C">
              <w:rPr>
                <w:sz w:val="16"/>
                <w:szCs w:val="16"/>
                <w:lang w:val="it-IT"/>
              </w:rPr>
              <w:t xml:space="preserve"> </w:t>
            </w:r>
            <w:proofErr w:type="spellStart"/>
            <w:r w:rsidRPr="00F6706C">
              <w:rPr>
                <w:sz w:val="16"/>
                <w:szCs w:val="16"/>
                <w:lang w:val="it-IT"/>
              </w:rPr>
              <w:t>local</w:t>
            </w:r>
            <w:proofErr w:type="spellEnd"/>
            <w:r w:rsidRPr="00F6706C">
              <w:rPr>
                <w:sz w:val="16"/>
                <w:szCs w:val="16"/>
                <w:lang w:val="it-IT"/>
              </w:rPr>
              <w:t xml:space="preserve"> or country-</w:t>
            </w:r>
            <w:proofErr w:type="spellStart"/>
            <w:r w:rsidRPr="00F6706C">
              <w:rPr>
                <w:sz w:val="16"/>
                <w:szCs w:val="16"/>
                <w:lang w:val="it-IT"/>
              </w:rPr>
              <w:t>specific</w:t>
            </w:r>
            <w:proofErr w:type="spellEnd"/>
            <w:r w:rsidRPr="00F6706C">
              <w:rPr>
                <w:sz w:val="16"/>
                <w:szCs w:val="16"/>
                <w:lang w:val="it-IT"/>
              </w:rPr>
              <w:t xml:space="preserve"> monitor, with  a default estimate of 0.5.</w:t>
            </w:r>
          </w:p>
        </w:tc>
        <w:tc>
          <w:tcPr>
            <w:tcW w:w="1392" w:type="dxa"/>
          </w:tcPr>
          <w:p w14:paraId="35C66F8F" w14:textId="77777777" w:rsidR="00F6706C" w:rsidRPr="00F6706C" w:rsidRDefault="00F6706C" w:rsidP="00F6706C">
            <w:pPr>
              <w:rPr>
                <w:sz w:val="16"/>
                <w:szCs w:val="16"/>
                <w:lang w:val="it-IT"/>
              </w:rPr>
            </w:pPr>
            <w:proofErr w:type="spellStart"/>
            <w:proofErr w:type="gramStart"/>
            <w:r w:rsidRPr="00F6706C">
              <w:rPr>
                <w:sz w:val="16"/>
                <w:szCs w:val="16"/>
                <w:lang w:val="it-IT"/>
              </w:rPr>
              <w:t>Gridded</w:t>
            </w:r>
            <w:proofErr w:type="spellEnd"/>
            <w:r w:rsidRPr="00F6706C">
              <w:rPr>
                <w:sz w:val="16"/>
                <w:szCs w:val="16"/>
                <w:lang w:val="it-IT"/>
              </w:rPr>
              <w:t xml:space="preserve"> </w:t>
            </w:r>
            <w:proofErr w:type="spellStart"/>
            <w:r w:rsidRPr="00F6706C">
              <w:rPr>
                <w:sz w:val="16"/>
                <w:szCs w:val="16"/>
                <w:lang w:val="it-IT"/>
              </w:rPr>
              <w:t>population</w:t>
            </w:r>
            <w:proofErr w:type="spellEnd"/>
            <w:r w:rsidRPr="00F6706C">
              <w:rPr>
                <w:sz w:val="16"/>
                <w:szCs w:val="16"/>
                <w:lang w:val="it-IT"/>
              </w:rPr>
              <w:t xml:space="preserve"> data for 2005 </w:t>
            </w:r>
            <w:proofErr w:type="spellStart"/>
            <w:r w:rsidRPr="00F6706C">
              <w:rPr>
                <w:sz w:val="16"/>
                <w:szCs w:val="16"/>
                <w:lang w:val="it-IT"/>
              </w:rPr>
              <w:t>comes</w:t>
            </w:r>
            <w:proofErr w:type="spellEnd"/>
            <w:r w:rsidRPr="00F6706C">
              <w:rPr>
                <w:sz w:val="16"/>
                <w:szCs w:val="16"/>
                <w:lang w:val="it-IT"/>
              </w:rPr>
              <w:t xml:space="preserve"> from </w:t>
            </w:r>
            <w:proofErr w:type="spellStart"/>
            <w:r w:rsidRPr="00F6706C">
              <w:rPr>
                <w:sz w:val="16"/>
                <w:szCs w:val="16"/>
                <w:lang w:val="it-IT"/>
              </w:rPr>
              <w:t>NASA’s</w:t>
            </w:r>
            <w:proofErr w:type="spellEnd"/>
            <w:r w:rsidRPr="00F6706C">
              <w:rPr>
                <w:sz w:val="16"/>
                <w:szCs w:val="16"/>
                <w:lang w:val="it-IT"/>
              </w:rPr>
              <w:t xml:space="preserve"> </w:t>
            </w:r>
            <w:proofErr w:type="spellStart"/>
            <w:r w:rsidRPr="00F6706C">
              <w:rPr>
                <w:sz w:val="16"/>
                <w:szCs w:val="16"/>
                <w:lang w:val="it-IT"/>
              </w:rPr>
              <w:t>Socioeconomic</w:t>
            </w:r>
            <w:proofErr w:type="spellEnd"/>
            <w:r w:rsidRPr="00F6706C">
              <w:rPr>
                <w:sz w:val="16"/>
                <w:szCs w:val="16"/>
                <w:lang w:val="it-IT"/>
              </w:rPr>
              <w:t xml:space="preserve"> Data and Applications Center (http://sedac.ciesin.columbia.edu/data/</w:t>
            </w:r>
            <w:proofErr w:type="spellStart"/>
            <w:r w:rsidRPr="00F6706C">
              <w:rPr>
                <w:sz w:val="16"/>
                <w:szCs w:val="16"/>
                <w:lang w:val="it-IT"/>
              </w:rPr>
              <w:t>collect</w:t>
            </w:r>
            <w:proofErr w:type="gramEnd"/>
            <w:r w:rsidRPr="00F6706C">
              <w:rPr>
                <w:sz w:val="16"/>
                <w:szCs w:val="16"/>
                <w:lang w:val="it-IT"/>
              </w:rPr>
              <w:t>ion</w:t>
            </w:r>
            <w:proofErr w:type="spellEnd"/>
            <w:r w:rsidRPr="00F6706C">
              <w:rPr>
                <w:sz w:val="16"/>
                <w:szCs w:val="16"/>
                <w:lang w:val="it-IT"/>
              </w:rPr>
              <w:t xml:space="preserve">/gpw-v3).  </w:t>
            </w:r>
          </w:p>
        </w:tc>
        <w:tc>
          <w:tcPr>
            <w:tcW w:w="992" w:type="dxa"/>
          </w:tcPr>
          <w:p w14:paraId="18B28D4E" w14:textId="77777777" w:rsidR="00F6706C" w:rsidRPr="00F6706C" w:rsidRDefault="00F6706C" w:rsidP="00F6706C">
            <w:pPr>
              <w:jc w:val="center"/>
              <w:rPr>
                <w:sz w:val="16"/>
                <w:szCs w:val="16"/>
                <w:lang w:val="it-IT"/>
              </w:rPr>
            </w:pPr>
            <w:r w:rsidRPr="00F6706C">
              <w:rPr>
                <w:sz w:val="16"/>
                <w:szCs w:val="16"/>
                <w:lang w:val="it-IT"/>
              </w:rPr>
              <w:t>5.8 – 8.8</w:t>
            </w:r>
          </w:p>
        </w:tc>
        <w:tc>
          <w:tcPr>
            <w:tcW w:w="1114" w:type="dxa"/>
          </w:tcPr>
          <w:p w14:paraId="14E3A056" w14:textId="77777777" w:rsidR="00F6706C" w:rsidRPr="00F6706C" w:rsidRDefault="00F6706C" w:rsidP="00F6706C">
            <w:pPr>
              <w:rPr>
                <w:sz w:val="16"/>
                <w:szCs w:val="16"/>
                <w:lang w:val="it-IT"/>
              </w:rPr>
            </w:pPr>
          </w:p>
          <w:p w14:paraId="7B8AC327" w14:textId="77777777" w:rsidR="00F6706C" w:rsidRPr="00F6706C" w:rsidRDefault="00F6706C" w:rsidP="00F6706C">
            <w:pPr>
              <w:rPr>
                <w:sz w:val="16"/>
                <w:szCs w:val="16"/>
                <w:lang w:val="it-IT"/>
              </w:rPr>
            </w:pPr>
            <w:proofErr w:type="spellStart"/>
            <w:proofErr w:type="gramStart"/>
            <w:r w:rsidRPr="00F6706C">
              <w:rPr>
                <w:sz w:val="16"/>
                <w:szCs w:val="16"/>
                <w:lang w:val="it-IT"/>
              </w:rPr>
              <w:t>Ischemic</w:t>
            </w:r>
            <w:proofErr w:type="spellEnd"/>
            <w:r w:rsidRPr="00F6706C">
              <w:rPr>
                <w:sz w:val="16"/>
                <w:szCs w:val="16"/>
                <w:lang w:val="it-IT"/>
              </w:rPr>
              <w:t xml:space="preserve"> </w:t>
            </w:r>
            <w:proofErr w:type="spellStart"/>
            <w:r w:rsidRPr="00F6706C">
              <w:rPr>
                <w:sz w:val="16"/>
                <w:szCs w:val="16"/>
                <w:lang w:val="it-IT"/>
              </w:rPr>
              <w:t>heart</w:t>
            </w:r>
            <w:proofErr w:type="spellEnd"/>
            <w:r w:rsidRPr="00F6706C">
              <w:rPr>
                <w:sz w:val="16"/>
                <w:szCs w:val="16"/>
                <w:lang w:val="it-IT"/>
              </w:rPr>
              <w:t xml:space="preserve"> </w:t>
            </w:r>
            <w:proofErr w:type="spellStart"/>
            <w:r w:rsidRPr="00F6706C">
              <w:rPr>
                <w:sz w:val="16"/>
                <w:szCs w:val="16"/>
                <w:lang w:val="it-IT"/>
              </w:rPr>
              <w:t>disease</w:t>
            </w:r>
            <w:proofErr w:type="spellEnd"/>
            <w:r w:rsidRPr="00F6706C">
              <w:rPr>
                <w:sz w:val="16"/>
                <w:szCs w:val="16"/>
                <w:lang w:val="it-IT"/>
              </w:rPr>
              <w:t xml:space="preserve">, </w:t>
            </w:r>
            <w:proofErr w:type="spellStart"/>
            <w:r w:rsidRPr="00F6706C">
              <w:rPr>
                <w:sz w:val="16"/>
                <w:szCs w:val="16"/>
                <w:lang w:val="it-IT"/>
              </w:rPr>
              <w:t>stroke</w:t>
            </w:r>
            <w:proofErr w:type="spellEnd"/>
            <w:r w:rsidRPr="00F6706C">
              <w:rPr>
                <w:sz w:val="16"/>
                <w:szCs w:val="16"/>
                <w:lang w:val="it-IT"/>
              </w:rPr>
              <w:t xml:space="preserve">, </w:t>
            </w:r>
            <w:proofErr w:type="spellStart"/>
            <w:r w:rsidRPr="00F6706C">
              <w:rPr>
                <w:sz w:val="16"/>
                <w:szCs w:val="16"/>
                <w:lang w:val="it-IT"/>
              </w:rPr>
              <w:t>chronic</w:t>
            </w:r>
            <w:proofErr w:type="spellEnd"/>
            <w:r w:rsidRPr="00F6706C">
              <w:rPr>
                <w:sz w:val="16"/>
                <w:szCs w:val="16"/>
                <w:lang w:val="it-IT"/>
              </w:rPr>
              <w:t xml:space="preserve"> </w:t>
            </w:r>
            <w:proofErr w:type="spellStart"/>
            <w:r w:rsidRPr="00F6706C">
              <w:rPr>
                <w:sz w:val="16"/>
                <w:szCs w:val="16"/>
                <w:lang w:val="it-IT"/>
              </w:rPr>
              <w:t>obstructive</w:t>
            </w:r>
            <w:proofErr w:type="spellEnd"/>
            <w:r w:rsidRPr="00F6706C">
              <w:rPr>
                <w:sz w:val="16"/>
                <w:szCs w:val="16"/>
                <w:lang w:val="it-IT"/>
              </w:rPr>
              <w:t xml:space="preserve"> </w:t>
            </w:r>
            <w:proofErr w:type="spellStart"/>
            <w:r w:rsidRPr="00F6706C">
              <w:rPr>
                <w:sz w:val="16"/>
                <w:szCs w:val="16"/>
                <w:lang w:val="it-IT"/>
              </w:rPr>
              <w:t>pulmonary</w:t>
            </w:r>
            <w:proofErr w:type="spellEnd"/>
            <w:r w:rsidRPr="00F6706C">
              <w:rPr>
                <w:sz w:val="16"/>
                <w:szCs w:val="16"/>
                <w:lang w:val="it-IT"/>
              </w:rPr>
              <w:t xml:space="preserve"> </w:t>
            </w:r>
            <w:proofErr w:type="spellStart"/>
            <w:r w:rsidRPr="00F6706C">
              <w:rPr>
                <w:sz w:val="16"/>
                <w:szCs w:val="16"/>
                <w:lang w:val="it-IT"/>
              </w:rPr>
              <w:t>diseases</w:t>
            </w:r>
            <w:proofErr w:type="spellEnd"/>
            <w:r w:rsidRPr="00F6706C">
              <w:rPr>
                <w:sz w:val="16"/>
                <w:szCs w:val="16"/>
                <w:lang w:val="it-IT"/>
              </w:rPr>
              <w:t xml:space="preserve">, </w:t>
            </w:r>
            <w:proofErr w:type="spellStart"/>
            <w:r w:rsidRPr="00F6706C">
              <w:rPr>
                <w:sz w:val="16"/>
                <w:szCs w:val="16"/>
                <w:lang w:val="it-IT"/>
              </w:rPr>
              <w:t>lung</w:t>
            </w:r>
            <w:proofErr w:type="spellEnd"/>
            <w:r w:rsidRPr="00F6706C">
              <w:rPr>
                <w:sz w:val="16"/>
                <w:szCs w:val="16"/>
                <w:lang w:val="it-IT"/>
              </w:rPr>
              <w:t xml:space="preserve"> </w:t>
            </w:r>
            <w:proofErr w:type="spellStart"/>
            <w:r w:rsidRPr="00F6706C">
              <w:rPr>
                <w:sz w:val="16"/>
                <w:szCs w:val="16"/>
                <w:lang w:val="it-IT"/>
              </w:rPr>
              <w:t>cancer</w:t>
            </w:r>
            <w:proofErr w:type="spellEnd"/>
            <w:r w:rsidRPr="00F6706C">
              <w:rPr>
                <w:sz w:val="16"/>
                <w:szCs w:val="16"/>
                <w:lang w:val="it-IT"/>
              </w:rPr>
              <w:t xml:space="preserve">, acute </w:t>
            </w:r>
            <w:proofErr w:type="spellStart"/>
            <w:r w:rsidRPr="00F6706C">
              <w:rPr>
                <w:sz w:val="16"/>
                <w:szCs w:val="16"/>
                <w:lang w:val="it-IT"/>
              </w:rPr>
              <w:t>respiratory</w:t>
            </w:r>
            <w:proofErr w:type="spellEnd"/>
            <w:r w:rsidRPr="00F6706C">
              <w:rPr>
                <w:sz w:val="16"/>
                <w:szCs w:val="16"/>
                <w:lang w:val="it-IT"/>
              </w:rPr>
              <w:t xml:space="preserve"> </w:t>
            </w:r>
            <w:proofErr w:type="spellStart"/>
            <w:r w:rsidRPr="00F6706C">
              <w:rPr>
                <w:sz w:val="16"/>
                <w:szCs w:val="16"/>
                <w:lang w:val="it-IT"/>
              </w:rPr>
              <w:t>infections</w:t>
            </w:r>
            <w:proofErr w:type="spellEnd"/>
            <w:r w:rsidRPr="00F6706C">
              <w:rPr>
                <w:sz w:val="16"/>
                <w:szCs w:val="16"/>
                <w:lang w:val="it-IT"/>
              </w:rPr>
              <w:t xml:space="preserve"> (</w:t>
            </w:r>
            <w:proofErr w:type="spellStart"/>
            <w:r w:rsidRPr="00F6706C">
              <w:rPr>
                <w:sz w:val="16"/>
                <w:szCs w:val="16"/>
                <w:lang w:val="it-IT"/>
              </w:rPr>
              <w:t>children</w:t>
            </w:r>
            <w:proofErr w:type="spellEnd"/>
            <w:r w:rsidRPr="00F6706C">
              <w:rPr>
                <w:sz w:val="16"/>
                <w:szCs w:val="16"/>
                <w:lang w:val="it-IT"/>
              </w:rPr>
              <w:t>)</w:t>
            </w:r>
            <w:proofErr w:type="gramEnd"/>
          </w:p>
          <w:p w14:paraId="156DAD0D" w14:textId="77777777" w:rsidR="00F6706C" w:rsidRPr="00F6706C" w:rsidRDefault="00F6706C" w:rsidP="00F6706C">
            <w:pPr>
              <w:rPr>
                <w:sz w:val="16"/>
                <w:szCs w:val="16"/>
                <w:lang w:val="it-IT"/>
              </w:rPr>
            </w:pPr>
          </w:p>
          <w:p w14:paraId="2B948532" w14:textId="77777777" w:rsidR="00F6706C" w:rsidRPr="00F6706C" w:rsidRDefault="00F6706C" w:rsidP="00F6706C">
            <w:pPr>
              <w:rPr>
                <w:sz w:val="16"/>
                <w:szCs w:val="16"/>
                <w:lang w:val="it-IT"/>
              </w:rPr>
            </w:pPr>
          </w:p>
        </w:tc>
        <w:tc>
          <w:tcPr>
            <w:tcW w:w="866" w:type="dxa"/>
          </w:tcPr>
          <w:p w14:paraId="7BC68EDA" w14:textId="77777777" w:rsidR="00F6706C" w:rsidRPr="00F6706C" w:rsidRDefault="00F6706C" w:rsidP="00F6706C">
            <w:pPr>
              <w:jc w:val="center"/>
              <w:rPr>
                <w:sz w:val="16"/>
                <w:szCs w:val="16"/>
                <w:lang w:val="it-IT"/>
              </w:rPr>
            </w:pPr>
            <w:r w:rsidRPr="00F6706C">
              <w:rPr>
                <w:sz w:val="16"/>
                <w:szCs w:val="16"/>
                <w:lang w:val="it-IT"/>
              </w:rPr>
              <w:t>8</w:t>
            </w:r>
          </w:p>
        </w:tc>
        <w:tc>
          <w:tcPr>
            <w:tcW w:w="976" w:type="dxa"/>
          </w:tcPr>
          <w:p w14:paraId="0B632A2C" w14:textId="77777777" w:rsidR="00F6706C" w:rsidRPr="00F6706C" w:rsidRDefault="00F6706C" w:rsidP="00F6706C">
            <w:pPr>
              <w:jc w:val="center"/>
              <w:rPr>
                <w:sz w:val="16"/>
                <w:szCs w:val="16"/>
                <w:lang w:val="it-IT"/>
              </w:rPr>
            </w:pPr>
            <w:r w:rsidRPr="00F6706C">
              <w:rPr>
                <w:sz w:val="16"/>
                <w:szCs w:val="16"/>
                <w:lang w:val="it-IT"/>
              </w:rPr>
              <w:t>3.2 (2.8, 3.6)</w:t>
            </w:r>
          </w:p>
        </w:tc>
      </w:tr>
      <w:tr w:rsidR="00F6706C" w:rsidRPr="00F6706C" w14:paraId="1682AA79" w14:textId="77777777" w:rsidTr="00B92659">
        <w:trPr>
          <w:jc w:val="center"/>
        </w:trPr>
        <w:tc>
          <w:tcPr>
            <w:tcW w:w="927" w:type="dxa"/>
          </w:tcPr>
          <w:p w14:paraId="4DE3D9B9" w14:textId="77777777" w:rsidR="00F6706C" w:rsidRPr="00F6706C" w:rsidRDefault="00F6706C" w:rsidP="00F6706C">
            <w:pPr>
              <w:rPr>
                <w:sz w:val="16"/>
                <w:szCs w:val="16"/>
                <w:lang w:val="it-IT"/>
              </w:rPr>
            </w:pPr>
            <w:r w:rsidRPr="00F6706C">
              <w:rPr>
                <w:sz w:val="16"/>
                <w:szCs w:val="16"/>
                <w:lang w:val="it-IT"/>
              </w:rPr>
              <w:t xml:space="preserve">2013 (GBD 2013 </w:t>
            </w:r>
            <w:proofErr w:type="spellStart"/>
            <w:r w:rsidRPr="00F6706C">
              <w:rPr>
                <w:sz w:val="16"/>
                <w:szCs w:val="16"/>
                <w:lang w:val="it-IT"/>
              </w:rPr>
              <w:t>risk</w:t>
            </w:r>
            <w:proofErr w:type="spellEnd"/>
            <w:r w:rsidRPr="00F6706C">
              <w:rPr>
                <w:sz w:val="16"/>
                <w:szCs w:val="16"/>
                <w:lang w:val="it-IT"/>
              </w:rPr>
              <w:t xml:space="preserve"> </w:t>
            </w:r>
            <w:proofErr w:type="spellStart"/>
            <w:r w:rsidRPr="00F6706C">
              <w:rPr>
                <w:sz w:val="16"/>
                <w:szCs w:val="16"/>
                <w:lang w:val="it-IT"/>
              </w:rPr>
              <w:t>factor</w:t>
            </w:r>
            <w:proofErr w:type="spellEnd"/>
            <w:r w:rsidRPr="00F6706C">
              <w:rPr>
                <w:sz w:val="16"/>
                <w:szCs w:val="16"/>
                <w:lang w:val="it-IT"/>
              </w:rPr>
              <w:t xml:space="preserve"> collabora </w:t>
            </w:r>
            <w:proofErr w:type="spellStart"/>
            <w:r w:rsidRPr="00F6706C">
              <w:rPr>
                <w:sz w:val="16"/>
                <w:szCs w:val="16"/>
                <w:lang w:val="it-IT"/>
              </w:rPr>
              <w:t>tors</w:t>
            </w:r>
            <w:proofErr w:type="spellEnd"/>
            <w:r w:rsidRPr="00F6706C">
              <w:rPr>
                <w:sz w:val="16"/>
                <w:szCs w:val="16"/>
                <w:lang w:val="it-IT"/>
              </w:rPr>
              <w:t>, 2015</w:t>
            </w:r>
            <w:proofErr w:type="gramStart"/>
            <w:r w:rsidRPr="00F6706C">
              <w:rPr>
                <w:sz w:val="16"/>
                <w:szCs w:val="16"/>
                <w:lang w:val="it-IT"/>
              </w:rPr>
              <w:t>)</w:t>
            </w:r>
            <w:proofErr w:type="gramEnd"/>
          </w:p>
        </w:tc>
        <w:tc>
          <w:tcPr>
            <w:tcW w:w="868" w:type="dxa"/>
          </w:tcPr>
          <w:p w14:paraId="39247DA0" w14:textId="77777777" w:rsidR="00F6706C" w:rsidRPr="00F6706C" w:rsidRDefault="00F6706C" w:rsidP="00F6706C">
            <w:pPr>
              <w:jc w:val="center"/>
              <w:rPr>
                <w:sz w:val="16"/>
                <w:szCs w:val="16"/>
                <w:lang w:val="it-IT"/>
              </w:rPr>
            </w:pPr>
            <w:r w:rsidRPr="00F6706C">
              <w:rPr>
                <w:sz w:val="16"/>
                <w:szCs w:val="16"/>
                <w:lang w:val="it-IT"/>
              </w:rPr>
              <w:t>188</w:t>
            </w:r>
          </w:p>
        </w:tc>
        <w:tc>
          <w:tcPr>
            <w:tcW w:w="2235" w:type="dxa"/>
          </w:tcPr>
          <w:p w14:paraId="47F440C9" w14:textId="77777777" w:rsidR="00F6706C" w:rsidRPr="00F6706C" w:rsidRDefault="00F6706C" w:rsidP="00F6706C">
            <w:pPr>
              <w:rPr>
                <w:sz w:val="16"/>
                <w:szCs w:val="16"/>
                <w:lang w:val="it-IT"/>
              </w:rPr>
            </w:pPr>
            <w:r w:rsidRPr="00F6706C">
              <w:rPr>
                <w:sz w:val="16"/>
                <w:szCs w:val="16"/>
                <w:lang w:val="it-IT"/>
              </w:rPr>
              <w:t>C (79)</w:t>
            </w:r>
            <w:r w:rsidRPr="00F6706C">
              <w:rPr>
                <w:sz w:val="16"/>
                <w:szCs w:val="16"/>
                <w:lang w:val="it-IT"/>
              </w:rPr>
              <w:br/>
              <w:t>UL (</w:t>
            </w:r>
            <w:proofErr w:type="gramStart"/>
            <w:r w:rsidRPr="00F6706C">
              <w:rPr>
                <w:sz w:val="16"/>
                <w:szCs w:val="16"/>
                <w:lang w:val="it-IT"/>
              </w:rPr>
              <w:t>3387</w:t>
            </w:r>
            <w:proofErr w:type="gramEnd"/>
            <w:r w:rsidRPr="00F6706C">
              <w:rPr>
                <w:sz w:val="16"/>
                <w:szCs w:val="16"/>
                <w:lang w:val="it-IT"/>
              </w:rPr>
              <w:t>)</w:t>
            </w:r>
            <w:r w:rsidRPr="00F6706C">
              <w:rPr>
                <w:sz w:val="16"/>
                <w:szCs w:val="16"/>
                <w:lang w:val="it-IT"/>
              </w:rPr>
              <w:br/>
              <w:t>DP (</w:t>
            </w:r>
            <w:proofErr w:type="gramStart"/>
            <w:r w:rsidRPr="00F6706C">
              <w:rPr>
                <w:sz w:val="16"/>
                <w:szCs w:val="16"/>
                <w:lang w:val="it-IT"/>
              </w:rPr>
              <w:t>4073</w:t>
            </w:r>
            <w:proofErr w:type="gramEnd"/>
            <w:r w:rsidRPr="00F6706C">
              <w:rPr>
                <w:sz w:val="16"/>
                <w:szCs w:val="16"/>
                <w:lang w:val="it-IT"/>
              </w:rPr>
              <w:t>)</w:t>
            </w:r>
          </w:p>
          <w:p w14:paraId="00663AD0" w14:textId="77777777" w:rsidR="00F6706C" w:rsidRPr="00F6706C" w:rsidRDefault="00F6706C" w:rsidP="00F6706C">
            <w:pPr>
              <w:rPr>
                <w:sz w:val="16"/>
                <w:szCs w:val="16"/>
                <w:lang w:val="it-IT"/>
              </w:rPr>
            </w:pPr>
          </w:p>
          <w:p w14:paraId="6CEADE3B" w14:textId="77777777" w:rsidR="00F6706C" w:rsidRPr="00F6706C" w:rsidRDefault="00F6706C" w:rsidP="00F6706C">
            <w:pPr>
              <w:rPr>
                <w:sz w:val="16"/>
                <w:szCs w:val="16"/>
                <w:lang w:val="it-IT"/>
              </w:rPr>
            </w:pPr>
            <w:r w:rsidRPr="00F6706C">
              <w:rPr>
                <w:sz w:val="16"/>
                <w:szCs w:val="16"/>
                <w:lang w:val="it-IT"/>
              </w:rPr>
              <w:t xml:space="preserve">In </w:t>
            </w:r>
            <w:proofErr w:type="spellStart"/>
            <w:proofErr w:type="gramStart"/>
            <w:r w:rsidRPr="00F6706C">
              <w:rPr>
                <w:sz w:val="16"/>
                <w:szCs w:val="16"/>
                <w:lang w:val="it-IT"/>
              </w:rPr>
              <w:t>total</w:t>
            </w:r>
            <w:proofErr w:type="spellEnd"/>
            <w:r w:rsidRPr="00F6706C">
              <w:rPr>
                <w:sz w:val="16"/>
                <w:szCs w:val="16"/>
                <w:lang w:val="it-IT"/>
              </w:rPr>
              <w:t xml:space="preserve">, 4073 data </w:t>
            </w:r>
            <w:proofErr w:type="spellStart"/>
            <w:r w:rsidRPr="00F6706C">
              <w:rPr>
                <w:sz w:val="16"/>
                <w:szCs w:val="16"/>
                <w:lang w:val="it-IT"/>
              </w:rPr>
              <w:t>points</w:t>
            </w:r>
            <w:proofErr w:type="spellEnd"/>
            <w:proofErr w:type="gramEnd"/>
            <w:r w:rsidRPr="00F6706C">
              <w:rPr>
                <w:sz w:val="16"/>
                <w:szCs w:val="16"/>
                <w:lang w:val="it-IT"/>
              </w:rPr>
              <w:t xml:space="preserve"> from 3387 </w:t>
            </w:r>
            <w:proofErr w:type="spellStart"/>
            <w:r w:rsidRPr="00F6706C">
              <w:rPr>
                <w:sz w:val="16"/>
                <w:szCs w:val="16"/>
                <w:lang w:val="it-IT"/>
              </w:rPr>
              <w:t>unique</w:t>
            </w:r>
            <w:proofErr w:type="spellEnd"/>
            <w:r w:rsidRPr="00F6706C">
              <w:rPr>
                <w:sz w:val="16"/>
                <w:szCs w:val="16"/>
                <w:lang w:val="it-IT"/>
              </w:rPr>
              <w:t xml:space="preserve"> </w:t>
            </w:r>
            <w:proofErr w:type="spellStart"/>
            <w:r w:rsidRPr="00F6706C">
              <w:rPr>
                <w:sz w:val="16"/>
                <w:szCs w:val="16"/>
                <w:lang w:val="it-IT"/>
              </w:rPr>
              <w:t>locations</w:t>
            </w:r>
            <w:proofErr w:type="spellEnd"/>
            <w:r w:rsidRPr="00F6706C">
              <w:rPr>
                <w:sz w:val="16"/>
                <w:szCs w:val="16"/>
                <w:lang w:val="it-IT"/>
              </w:rPr>
              <w:t xml:space="preserve"> in 79 </w:t>
            </w:r>
            <w:proofErr w:type="spellStart"/>
            <w:r w:rsidRPr="00F6706C">
              <w:rPr>
                <w:sz w:val="16"/>
                <w:szCs w:val="16"/>
                <w:lang w:val="it-IT"/>
              </w:rPr>
              <w:t>countries</w:t>
            </w:r>
            <w:proofErr w:type="spellEnd"/>
            <w:r w:rsidRPr="00F6706C">
              <w:rPr>
                <w:sz w:val="16"/>
                <w:szCs w:val="16"/>
                <w:lang w:val="it-IT"/>
              </w:rPr>
              <w:t xml:space="preserve"> </w:t>
            </w:r>
            <w:proofErr w:type="spellStart"/>
            <w:r w:rsidRPr="00F6706C">
              <w:rPr>
                <w:sz w:val="16"/>
                <w:szCs w:val="16"/>
                <w:lang w:val="it-IT"/>
              </w:rPr>
              <w:t>were</w:t>
            </w:r>
            <w:proofErr w:type="spellEnd"/>
            <w:r w:rsidRPr="00F6706C">
              <w:rPr>
                <w:sz w:val="16"/>
                <w:szCs w:val="16"/>
                <w:lang w:val="it-IT"/>
              </w:rPr>
              <w:t xml:space="preserve"> </w:t>
            </w:r>
            <w:proofErr w:type="spellStart"/>
            <w:r w:rsidRPr="00F6706C">
              <w:rPr>
                <w:sz w:val="16"/>
                <w:szCs w:val="16"/>
                <w:lang w:val="it-IT"/>
              </w:rPr>
              <w:t>obtained</w:t>
            </w:r>
            <w:proofErr w:type="spellEnd"/>
            <w:r w:rsidRPr="00F6706C">
              <w:rPr>
                <w:sz w:val="16"/>
                <w:szCs w:val="16"/>
                <w:lang w:val="it-IT"/>
              </w:rPr>
              <w:t xml:space="preserve">, of </w:t>
            </w:r>
            <w:proofErr w:type="spellStart"/>
            <w:r w:rsidRPr="00F6706C">
              <w:rPr>
                <w:sz w:val="16"/>
                <w:szCs w:val="16"/>
                <w:lang w:val="it-IT"/>
              </w:rPr>
              <w:t>which</w:t>
            </w:r>
            <w:proofErr w:type="spellEnd"/>
            <w:r w:rsidRPr="00F6706C">
              <w:rPr>
                <w:sz w:val="16"/>
                <w:szCs w:val="16"/>
                <w:lang w:val="it-IT"/>
              </w:rPr>
              <w:t xml:space="preserve"> 1854 data </w:t>
            </w:r>
            <w:proofErr w:type="spellStart"/>
            <w:r w:rsidRPr="00F6706C">
              <w:rPr>
                <w:sz w:val="16"/>
                <w:szCs w:val="16"/>
                <w:lang w:val="it-IT"/>
              </w:rPr>
              <w:t>points</w:t>
            </w:r>
            <w:proofErr w:type="spellEnd"/>
            <w:r w:rsidRPr="00F6706C">
              <w:rPr>
                <w:sz w:val="16"/>
                <w:szCs w:val="16"/>
                <w:lang w:val="it-IT"/>
              </w:rPr>
              <w:t xml:space="preserve"> </w:t>
            </w:r>
            <w:proofErr w:type="spellStart"/>
            <w:r w:rsidRPr="00F6706C">
              <w:rPr>
                <w:sz w:val="16"/>
                <w:szCs w:val="16"/>
                <w:lang w:val="it-IT"/>
              </w:rPr>
              <w:t>were</w:t>
            </w:r>
            <w:proofErr w:type="spellEnd"/>
            <w:r w:rsidRPr="00F6706C">
              <w:rPr>
                <w:sz w:val="16"/>
                <w:szCs w:val="16"/>
                <w:lang w:val="it-IT"/>
              </w:rPr>
              <w:t xml:space="preserve"> from </w:t>
            </w:r>
            <w:proofErr w:type="spellStart"/>
            <w:r w:rsidRPr="00F6706C">
              <w:rPr>
                <w:sz w:val="16"/>
                <w:szCs w:val="16"/>
                <w:lang w:val="it-IT"/>
              </w:rPr>
              <w:t>direct</w:t>
            </w:r>
            <w:proofErr w:type="spellEnd"/>
            <w:r w:rsidRPr="00F6706C">
              <w:rPr>
                <w:sz w:val="16"/>
                <w:szCs w:val="16"/>
                <w:lang w:val="it-IT"/>
              </w:rPr>
              <w:t xml:space="preserve"> </w:t>
            </w:r>
            <w:proofErr w:type="spellStart"/>
            <w:r w:rsidRPr="00F6706C">
              <w:rPr>
                <w:sz w:val="16"/>
                <w:szCs w:val="16"/>
                <w:lang w:val="it-IT"/>
              </w:rPr>
              <w:t>measurements</w:t>
            </w:r>
            <w:proofErr w:type="spellEnd"/>
            <w:r w:rsidRPr="00F6706C">
              <w:rPr>
                <w:sz w:val="16"/>
                <w:szCs w:val="16"/>
                <w:lang w:val="it-IT"/>
              </w:rPr>
              <w:t xml:space="preserve"> of PM2.5.</w:t>
            </w:r>
          </w:p>
        </w:tc>
        <w:tc>
          <w:tcPr>
            <w:tcW w:w="1392" w:type="dxa"/>
          </w:tcPr>
          <w:p w14:paraId="095C5EC5" w14:textId="77777777" w:rsidR="00F6706C" w:rsidRPr="00F6706C" w:rsidRDefault="00F6706C" w:rsidP="00F6706C">
            <w:pPr>
              <w:rPr>
                <w:sz w:val="16"/>
                <w:szCs w:val="16"/>
                <w:lang w:val="it-IT"/>
              </w:rPr>
            </w:pPr>
            <w:proofErr w:type="spellStart"/>
            <w:r w:rsidRPr="00F6706C">
              <w:rPr>
                <w:sz w:val="16"/>
                <w:szCs w:val="16"/>
                <w:lang w:val="it-IT"/>
              </w:rPr>
              <w:t>Same</w:t>
            </w:r>
            <w:proofErr w:type="spellEnd"/>
            <w:r w:rsidRPr="00F6706C">
              <w:rPr>
                <w:sz w:val="16"/>
                <w:szCs w:val="16"/>
                <w:lang w:val="it-IT"/>
              </w:rPr>
              <w:t xml:space="preserve"> </w:t>
            </w:r>
            <w:proofErr w:type="spellStart"/>
            <w:r w:rsidRPr="00F6706C">
              <w:rPr>
                <w:sz w:val="16"/>
                <w:szCs w:val="16"/>
                <w:lang w:val="it-IT"/>
              </w:rPr>
              <w:t>as</w:t>
            </w:r>
            <w:proofErr w:type="spellEnd"/>
            <w:r w:rsidRPr="00F6706C">
              <w:rPr>
                <w:sz w:val="16"/>
                <w:szCs w:val="16"/>
                <w:lang w:val="it-IT"/>
              </w:rPr>
              <w:t xml:space="preserve"> for GBD 2010</w:t>
            </w:r>
          </w:p>
        </w:tc>
        <w:tc>
          <w:tcPr>
            <w:tcW w:w="992" w:type="dxa"/>
          </w:tcPr>
          <w:p w14:paraId="37AC6BA2" w14:textId="77777777" w:rsidR="00F6706C" w:rsidRPr="00F6706C" w:rsidRDefault="00F6706C" w:rsidP="00F6706C">
            <w:pPr>
              <w:jc w:val="center"/>
              <w:rPr>
                <w:sz w:val="16"/>
                <w:szCs w:val="16"/>
                <w:lang w:val="it-IT"/>
              </w:rPr>
            </w:pPr>
            <w:r w:rsidRPr="00F6706C">
              <w:rPr>
                <w:sz w:val="16"/>
                <w:szCs w:val="16"/>
                <w:lang w:val="it-IT"/>
              </w:rPr>
              <w:t>5.9 – 8.7</w:t>
            </w:r>
          </w:p>
        </w:tc>
        <w:tc>
          <w:tcPr>
            <w:tcW w:w="1114" w:type="dxa"/>
          </w:tcPr>
          <w:p w14:paraId="6CA9E4F0" w14:textId="77777777" w:rsidR="00F6706C" w:rsidRPr="00F6706C" w:rsidRDefault="00F6706C" w:rsidP="00F6706C">
            <w:pPr>
              <w:rPr>
                <w:sz w:val="16"/>
                <w:szCs w:val="16"/>
                <w:lang w:val="it-IT"/>
              </w:rPr>
            </w:pPr>
            <w:proofErr w:type="spellStart"/>
            <w:proofErr w:type="gramStart"/>
            <w:r w:rsidRPr="00F6706C">
              <w:rPr>
                <w:sz w:val="16"/>
                <w:szCs w:val="16"/>
                <w:lang w:val="it-IT"/>
              </w:rPr>
              <w:t>Ischemic</w:t>
            </w:r>
            <w:proofErr w:type="spellEnd"/>
            <w:r w:rsidRPr="00F6706C">
              <w:rPr>
                <w:sz w:val="16"/>
                <w:szCs w:val="16"/>
                <w:lang w:val="it-IT"/>
              </w:rPr>
              <w:t xml:space="preserve"> </w:t>
            </w:r>
            <w:proofErr w:type="spellStart"/>
            <w:r w:rsidRPr="00F6706C">
              <w:rPr>
                <w:sz w:val="16"/>
                <w:szCs w:val="16"/>
                <w:lang w:val="it-IT"/>
              </w:rPr>
              <w:t>heart</w:t>
            </w:r>
            <w:proofErr w:type="spellEnd"/>
            <w:r w:rsidRPr="00F6706C">
              <w:rPr>
                <w:sz w:val="16"/>
                <w:szCs w:val="16"/>
                <w:lang w:val="it-IT"/>
              </w:rPr>
              <w:t xml:space="preserve"> </w:t>
            </w:r>
            <w:proofErr w:type="spellStart"/>
            <w:r w:rsidRPr="00F6706C">
              <w:rPr>
                <w:sz w:val="16"/>
                <w:szCs w:val="16"/>
                <w:lang w:val="it-IT"/>
              </w:rPr>
              <w:t>disease</w:t>
            </w:r>
            <w:proofErr w:type="spellEnd"/>
            <w:r w:rsidRPr="00F6706C">
              <w:rPr>
                <w:sz w:val="16"/>
                <w:szCs w:val="16"/>
                <w:lang w:val="it-IT"/>
              </w:rPr>
              <w:t xml:space="preserve">, </w:t>
            </w:r>
            <w:proofErr w:type="spellStart"/>
            <w:r w:rsidRPr="00F6706C">
              <w:rPr>
                <w:sz w:val="16"/>
                <w:szCs w:val="16"/>
                <w:lang w:val="it-IT"/>
              </w:rPr>
              <w:t>stroke</w:t>
            </w:r>
            <w:proofErr w:type="spellEnd"/>
            <w:r w:rsidRPr="00F6706C">
              <w:rPr>
                <w:sz w:val="16"/>
                <w:szCs w:val="16"/>
                <w:lang w:val="it-IT"/>
              </w:rPr>
              <w:t xml:space="preserve">, </w:t>
            </w:r>
            <w:proofErr w:type="spellStart"/>
            <w:r w:rsidRPr="00F6706C">
              <w:rPr>
                <w:sz w:val="16"/>
                <w:szCs w:val="16"/>
                <w:lang w:val="it-IT"/>
              </w:rPr>
              <w:t>chronic</w:t>
            </w:r>
            <w:proofErr w:type="spellEnd"/>
            <w:r w:rsidRPr="00F6706C">
              <w:rPr>
                <w:sz w:val="16"/>
                <w:szCs w:val="16"/>
                <w:lang w:val="it-IT"/>
              </w:rPr>
              <w:t xml:space="preserve"> </w:t>
            </w:r>
            <w:proofErr w:type="spellStart"/>
            <w:r w:rsidRPr="00F6706C">
              <w:rPr>
                <w:sz w:val="16"/>
                <w:szCs w:val="16"/>
                <w:lang w:val="it-IT"/>
              </w:rPr>
              <w:t>obstructive</w:t>
            </w:r>
            <w:proofErr w:type="spellEnd"/>
            <w:r w:rsidRPr="00F6706C">
              <w:rPr>
                <w:sz w:val="16"/>
                <w:szCs w:val="16"/>
                <w:lang w:val="it-IT"/>
              </w:rPr>
              <w:t xml:space="preserve"> </w:t>
            </w:r>
            <w:proofErr w:type="spellStart"/>
            <w:r w:rsidRPr="00F6706C">
              <w:rPr>
                <w:sz w:val="16"/>
                <w:szCs w:val="16"/>
                <w:lang w:val="it-IT"/>
              </w:rPr>
              <w:t>pulmonary</w:t>
            </w:r>
            <w:proofErr w:type="spellEnd"/>
            <w:r w:rsidRPr="00F6706C">
              <w:rPr>
                <w:sz w:val="16"/>
                <w:szCs w:val="16"/>
                <w:lang w:val="it-IT"/>
              </w:rPr>
              <w:t xml:space="preserve"> </w:t>
            </w:r>
            <w:proofErr w:type="spellStart"/>
            <w:r w:rsidRPr="00F6706C">
              <w:rPr>
                <w:sz w:val="16"/>
                <w:szCs w:val="16"/>
                <w:lang w:val="it-IT"/>
              </w:rPr>
              <w:t>diseases</w:t>
            </w:r>
            <w:proofErr w:type="spellEnd"/>
            <w:r w:rsidRPr="00F6706C">
              <w:rPr>
                <w:sz w:val="16"/>
                <w:szCs w:val="16"/>
                <w:lang w:val="it-IT"/>
              </w:rPr>
              <w:t xml:space="preserve">, </w:t>
            </w:r>
            <w:proofErr w:type="spellStart"/>
            <w:r w:rsidRPr="00F6706C">
              <w:rPr>
                <w:sz w:val="16"/>
                <w:szCs w:val="16"/>
                <w:lang w:val="it-IT"/>
              </w:rPr>
              <w:t>lung</w:t>
            </w:r>
            <w:proofErr w:type="spellEnd"/>
            <w:r w:rsidRPr="00F6706C">
              <w:rPr>
                <w:sz w:val="16"/>
                <w:szCs w:val="16"/>
                <w:lang w:val="it-IT"/>
              </w:rPr>
              <w:t xml:space="preserve"> </w:t>
            </w:r>
            <w:proofErr w:type="spellStart"/>
            <w:r w:rsidRPr="00F6706C">
              <w:rPr>
                <w:sz w:val="16"/>
                <w:szCs w:val="16"/>
                <w:lang w:val="it-IT"/>
              </w:rPr>
              <w:t>cancer</w:t>
            </w:r>
            <w:proofErr w:type="spellEnd"/>
            <w:r w:rsidRPr="00F6706C">
              <w:rPr>
                <w:sz w:val="16"/>
                <w:szCs w:val="16"/>
                <w:lang w:val="it-IT"/>
              </w:rPr>
              <w:t xml:space="preserve">, acute </w:t>
            </w:r>
            <w:proofErr w:type="spellStart"/>
            <w:r w:rsidRPr="00F6706C">
              <w:rPr>
                <w:sz w:val="16"/>
                <w:szCs w:val="16"/>
                <w:lang w:val="it-IT"/>
              </w:rPr>
              <w:t>respiratory</w:t>
            </w:r>
            <w:proofErr w:type="spellEnd"/>
            <w:r w:rsidRPr="00F6706C">
              <w:rPr>
                <w:sz w:val="16"/>
                <w:szCs w:val="16"/>
                <w:lang w:val="it-IT"/>
              </w:rPr>
              <w:t xml:space="preserve"> </w:t>
            </w:r>
            <w:proofErr w:type="spellStart"/>
            <w:r w:rsidRPr="00F6706C">
              <w:rPr>
                <w:sz w:val="16"/>
                <w:szCs w:val="16"/>
                <w:lang w:val="it-IT"/>
              </w:rPr>
              <w:t>infections</w:t>
            </w:r>
            <w:proofErr w:type="spellEnd"/>
            <w:proofErr w:type="gramEnd"/>
          </w:p>
          <w:p w14:paraId="4CC0C924" w14:textId="77777777" w:rsidR="00F6706C" w:rsidRPr="00F6706C" w:rsidRDefault="00F6706C" w:rsidP="00F6706C">
            <w:pPr>
              <w:rPr>
                <w:sz w:val="16"/>
                <w:szCs w:val="16"/>
                <w:lang w:val="it-IT"/>
              </w:rPr>
            </w:pPr>
            <w:r w:rsidRPr="00F6706C">
              <w:rPr>
                <w:sz w:val="16"/>
                <w:szCs w:val="16"/>
                <w:lang w:val="it-IT"/>
              </w:rPr>
              <w:t>(</w:t>
            </w:r>
            <w:proofErr w:type="spellStart"/>
            <w:r w:rsidRPr="00F6706C">
              <w:rPr>
                <w:sz w:val="16"/>
                <w:szCs w:val="16"/>
                <w:lang w:val="it-IT"/>
              </w:rPr>
              <w:t>children</w:t>
            </w:r>
            <w:proofErr w:type="spellEnd"/>
            <w:r w:rsidRPr="00F6706C">
              <w:rPr>
                <w:sz w:val="16"/>
                <w:szCs w:val="16"/>
                <w:lang w:val="it-IT"/>
              </w:rPr>
              <w:t xml:space="preserve"> and </w:t>
            </w:r>
            <w:proofErr w:type="spellStart"/>
            <w:r w:rsidRPr="00F6706C">
              <w:rPr>
                <w:sz w:val="16"/>
                <w:szCs w:val="16"/>
                <w:lang w:val="it-IT"/>
              </w:rPr>
              <w:t>adults</w:t>
            </w:r>
            <w:proofErr w:type="spellEnd"/>
            <w:r w:rsidRPr="00F6706C">
              <w:rPr>
                <w:sz w:val="16"/>
                <w:szCs w:val="16"/>
                <w:lang w:val="it-IT"/>
              </w:rPr>
              <w:t>)</w:t>
            </w:r>
          </w:p>
          <w:p w14:paraId="1AF150F5" w14:textId="77777777" w:rsidR="00F6706C" w:rsidRPr="00F6706C" w:rsidRDefault="00F6706C" w:rsidP="00F6706C">
            <w:pPr>
              <w:rPr>
                <w:sz w:val="16"/>
                <w:szCs w:val="16"/>
                <w:lang w:val="it-IT"/>
              </w:rPr>
            </w:pPr>
          </w:p>
        </w:tc>
        <w:tc>
          <w:tcPr>
            <w:tcW w:w="866" w:type="dxa"/>
          </w:tcPr>
          <w:p w14:paraId="36BB898B" w14:textId="77777777" w:rsidR="00F6706C" w:rsidRPr="00F6706C" w:rsidRDefault="00F6706C" w:rsidP="00F6706C">
            <w:pPr>
              <w:jc w:val="center"/>
              <w:rPr>
                <w:sz w:val="16"/>
                <w:szCs w:val="16"/>
                <w:lang w:val="it-IT"/>
              </w:rPr>
            </w:pPr>
            <w:r w:rsidRPr="00F6706C">
              <w:rPr>
                <w:sz w:val="16"/>
                <w:szCs w:val="16"/>
                <w:lang w:val="it-IT"/>
              </w:rPr>
              <w:t>11</w:t>
            </w:r>
          </w:p>
        </w:tc>
        <w:tc>
          <w:tcPr>
            <w:tcW w:w="976" w:type="dxa"/>
          </w:tcPr>
          <w:p w14:paraId="5398585C" w14:textId="77777777" w:rsidR="00F6706C" w:rsidRPr="00F6706C" w:rsidRDefault="00F6706C" w:rsidP="00F6706C">
            <w:pPr>
              <w:jc w:val="center"/>
              <w:rPr>
                <w:sz w:val="16"/>
                <w:szCs w:val="16"/>
                <w:lang w:val="it-IT"/>
              </w:rPr>
            </w:pPr>
            <w:r w:rsidRPr="00F6706C">
              <w:rPr>
                <w:sz w:val="16"/>
                <w:szCs w:val="16"/>
                <w:lang w:val="it-IT"/>
              </w:rPr>
              <w:t>2.9 (2.8, 3.1)</w:t>
            </w:r>
          </w:p>
        </w:tc>
      </w:tr>
      <w:tr w:rsidR="00F6706C" w:rsidRPr="00F6706C" w14:paraId="4E7E419D" w14:textId="77777777" w:rsidTr="00B92659">
        <w:trPr>
          <w:jc w:val="center"/>
        </w:trPr>
        <w:tc>
          <w:tcPr>
            <w:tcW w:w="927" w:type="dxa"/>
          </w:tcPr>
          <w:p w14:paraId="2DD2B0C3" w14:textId="77777777" w:rsidR="00F6706C" w:rsidRPr="00F6706C" w:rsidRDefault="00F6706C" w:rsidP="00F6706C">
            <w:pPr>
              <w:rPr>
                <w:sz w:val="16"/>
                <w:szCs w:val="16"/>
                <w:lang w:val="it-IT"/>
              </w:rPr>
            </w:pPr>
            <w:r w:rsidRPr="00F6706C">
              <w:rPr>
                <w:sz w:val="16"/>
                <w:szCs w:val="16"/>
                <w:lang w:val="it-IT"/>
              </w:rPr>
              <w:t xml:space="preserve">2015 (GBD 2015 </w:t>
            </w:r>
            <w:proofErr w:type="spellStart"/>
            <w:r w:rsidRPr="00F6706C">
              <w:rPr>
                <w:sz w:val="16"/>
                <w:szCs w:val="16"/>
                <w:lang w:val="it-IT"/>
              </w:rPr>
              <w:t>risk</w:t>
            </w:r>
            <w:proofErr w:type="spellEnd"/>
            <w:r w:rsidRPr="00F6706C">
              <w:rPr>
                <w:sz w:val="16"/>
                <w:szCs w:val="16"/>
                <w:lang w:val="it-IT"/>
              </w:rPr>
              <w:t xml:space="preserve"> </w:t>
            </w:r>
            <w:proofErr w:type="spellStart"/>
            <w:r w:rsidRPr="00F6706C">
              <w:rPr>
                <w:sz w:val="16"/>
                <w:szCs w:val="16"/>
                <w:lang w:val="it-IT"/>
              </w:rPr>
              <w:t>factors</w:t>
            </w:r>
            <w:proofErr w:type="spellEnd"/>
            <w:r w:rsidRPr="00F6706C">
              <w:rPr>
                <w:sz w:val="16"/>
                <w:szCs w:val="16"/>
                <w:lang w:val="it-IT"/>
              </w:rPr>
              <w:t xml:space="preserve"> collabora </w:t>
            </w:r>
            <w:proofErr w:type="spellStart"/>
            <w:r w:rsidRPr="00F6706C">
              <w:rPr>
                <w:sz w:val="16"/>
                <w:szCs w:val="16"/>
                <w:lang w:val="it-IT"/>
              </w:rPr>
              <w:t>tors</w:t>
            </w:r>
            <w:proofErr w:type="spellEnd"/>
            <w:r w:rsidRPr="00F6706C">
              <w:rPr>
                <w:sz w:val="16"/>
                <w:szCs w:val="16"/>
                <w:lang w:val="it-IT"/>
              </w:rPr>
              <w:t>, 2016</w:t>
            </w:r>
            <w:proofErr w:type="gramStart"/>
            <w:r w:rsidRPr="00F6706C">
              <w:rPr>
                <w:sz w:val="16"/>
                <w:szCs w:val="16"/>
                <w:lang w:val="it-IT"/>
              </w:rPr>
              <w:t>)</w:t>
            </w:r>
            <w:proofErr w:type="gramEnd"/>
          </w:p>
        </w:tc>
        <w:tc>
          <w:tcPr>
            <w:tcW w:w="868" w:type="dxa"/>
          </w:tcPr>
          <w:p w14:paraId="06D3E34A" w14:textId="77777777" w:rsidR="00F6706C" w:rsidRPr="00F6706C" w:rsidRDefault="00F6706C" w:rsidP="00F6706C">
            <w:pPr>
              <w:jc w:val="center"/>
              <w:rPr>
                <w:sz w:val="16"/>
                <w:szCs w:val="16"/>
                <w:lang w:val="it-IT"/>
              </w:rPr>
            </w:pPr>
            <w:r w:rsidRPr="00F6706C">
              <w:rPr>
                <w:sz w:val="16"/>
                <w:szCs w:val="16"/>
                <w:lang w:val="it-IT"/>
              </w:rPr>
              <w:t>195 c</w:t>
            </w:r>
          </w:p>
        </w:tc>
        <w:tc>
          <w:tcPr>
            <w:tcW w:w="2235" w:type="dxa"/>
          </w:tcPr>
          <w:p w14:paraId="09C33513" w14:textId="77777777" w:rsidR="00F6706C" w:rsidRPr="00F6706C" w:rsidRDefault="00F6706C" w:rsidP="00F6706C">
            <w:pPr>
              <w:rPr>
                <w:sz w:val="16"/>
                <w:szCs w:val="16"/>
                <w:lang w:val="it-IT"/>
              </w:rPr>
            </w:pPr>
            <w:r w:rsidRPr="00F6706C">
              <w:rPr>
                <w:sz w:val="16"/>
                <w:szCs w:val="16"/>
                <w:lang w:val="it-IT"/>
              </w:rPr>
              <w:t>C (104)</w:t>
            </w:r>
          </w:p>
          <w:p w14:paraId="20D7CD4E" w14:textId="77777777" w:rsidR="00F6706C" w:rsidRPr="00F6706C" w:rsidRDefault="00F6706C" w:rsidP="00F6706C">
            <w:pPr>
              <w:rPr>
                <w:sz w:val="16"/>
                <w:szCs w:val="16"/>
                <w:lang w:val="it-IT"/>
              </w:rPr>
            </w:pPr>
            <w:r w:rsidRPr="00F6706C">
              <w:rPr>
                <w:sz w:val="16"/>
                <w:szCs w:val="16"/>
                <w:lang w:val="it-IT"/>
              </w:rPr>
              <w:t>UL (</w:t>
            </w:r>
            <w:proofErr w:type="gramStart"/>
            <w:r w:rsidRPr="00F6706C">
              <w:rPr>
                <w:sz w:val="16"/>
                <w:szCs w:val="16"/>
                <w:lang w:val="it-IT"/>
              </w:rPr>
              <w:t>2972</w:t>
            </w:r>
            <w:proofErr w:type="gramEnd"/>
            <w:r w:rsidRPr="00F6706C">
              <w:rPr>
                <w:sz w:val="16"/>
                <w:szCs w:val="16"/>
                <w:lang w:val="it-IT"/>
              </w:rPr>
              <w:t>)</w:t>
            </w:r>
          </w:p>
          <w:p w14:paraId="11EBF40B" w14:textId="77777777" w:rsidR="00F6706C" w:rsidRPr="00F6706C" w:rsidRDefault="00F6706C" w:rsidP="00F6706C">
            <w:pPr>
              <w:rPr>
                <w:sz w:val="16"/>
                <w:szCs w:val="16"/>
                <w:lang w:val="it-IT"/>
              </w:rPr>
            </w:pPr>
            <w:r w:rsidRPr="00F6706C">
              <w:rPr>
                <w:sz w:val="16"/>
                <w:szCs w:val="16"/>
                <w:lang w:val="it-IT"/>
              </w:rPr>
              <w:t>DP (</w:t>
            </w:r>
            <w:proofErr w:type="gramStart"/>
            <w:r w:rsidRPr="00F6706C">
              <w:rPr>
                <w:sz w:val="16"/>
                <w:szCs w:val="16"/>
                <w:lang w:val="it-IT"/>
              </w:rPr>
              <w:t>6033</w:t>
            </w:r>
            <w:proofErr w:type="gramEnd"/>
            <w:r w:rsidRPr="00F6706C">
              <w:rPr>
                <w:sz w:val="16"/>
                <w:szCs w:val="16"/>
                <w:lang w:val="it-IT"/>
              </w:rPr>
              <w:t>)</w:t>
            </w:r>
          </w:p>
          <w:p w14:paraId="23FE0125" w14:textId="77777777" w:rsidR="00F6706C" w:rsidRPr="00F6706C" w:rsidRDefault="00F6706C" w:rsidP="00F6706C">
            <w:pPr>
              <w:rPr>
                <w:sz w:val="16"/>
                <w:szCs w:val="16"/>
                <w:lang w:val="it-IT"/>
              </w:rPr>
            </w:pPr>
          </w:p>
          <w:p w14:paraId="627EB64A" w14:textId="77777777" w:rsidR="00F6706C" w:rsidRPr="00F6706C" w:rsidRDefault="00F6706C" w:rsidP="00F6706C">
            <w:pPr>
              <w:rPr>
                <w:sz w:val="16"/>
                <w:szCs w:val="16"/>
                <w:lang w:val="it-IT"/>
              </w:rPr>
            </w:pPr>
            <w:proofErr w:type="spellStart"/>
            <w:r w:rsidRPr="00F6706C">
              <w:rPr>
                <w:sz w:val="16"/>
                <w:szCs w:val="16"/>
                <w:lang w:val="it-IT"/>
              </w:rPr>
              <w:t>Further</w:t>
            </w:r>
            <w:proofErr w:type="spellEnd"/>
            <w:r w:rsidRPr="00F6706C">
              <w:rPr>
                <w:sz w:val="16"/>
                <w:szCs w:val="16"/>
                <w:lang w:val="it-IT"/>
              </w:rPr>
              <w:t xml:space="preserve"> </w:t>
            </w:r>
            <w:proofErr w:type="spellStart"/>
            <w:r w:rsidRPr="00F6706C">
              <w:rPr>
                <w:sz w:val="16"/>
                <w:szCs w:val="16"/>
                <w:lang w:val="it-IT"/>
              </w:rPr>
              <w:t>details</w:t>
            </w:r>
            <w:proofErr w:type="spellEnd"/>
            <w:r w:rsidRPr="00F6706C">
              <w:rPr>
                <w:sz w:val="16"/>
                <w:szCs w:val="16"/>
                <w:lang w:val="it-IT"/>
              </w:rPr>
              <w:t xml:space="preserve"> </w:t>
            </w:r>
            <w:proofErr w:type="spellStart"/>
            <w:r w:rsidRPr="00F6706C">
              <w:rPr>
                <w:sz w:val="16"/>
                <w:szCs w:val="16"/>
                <w:lang w:val="it-IT"/>
              </w:rPr>
              <w:t>regarding</w:t>
            </w:r>
            <w:proofErr w:type="spellEnd"/>
            <w:r w:rsidRPr="00F6706C">
              <w:rPr>
                <w:sz w:val="16"/>
                <w:szCs w:val="16"/>
                <w:lang w:val="it-IT"/>
              </w:rPr>
              <w:t xml:space="preserve"> the city location, the </w:t>
            </w:r>
            <w:proofErr w:type="spellStart"/>
            <w:r w:rsidRPr="00F6706C">
              <w:rPr>
                <w:sz w:val="16"/>
                <w:szCs w:val="16"/>
                <w:lang w:val="it-IT"/>
              </w:rPr>
              <w:t>annual</w:t>
            </w:r>
            <w:proofErr w:type="spellEnd"/>
            <w:r w:rsidRPr="00F6706C">
              <w:rPr>
                <w:sz w:val="16"/>
                <w:szCs w:val="16"/>
                <w:lang w:val="it-IT"/>
              </w:rPr>
              <w:t xml:space="preserve"> </w:t>
            </w:r>
            <w:proofErr w:type="spellStart"/>
            <w:r w:rsidRPr="00F6706C">
              <w:rPr>
                <w:sz w:val="16"/>
                <w:szCs w:val="16"/>
                <w:lang w:val="it-IT"/>
              </w:rPr>
              <w:t>mean</w:t>
            </w:r>
            <w:proofErr w:type="spellEnd"/>
            <w:r w:rsidRPr="00F6706C">
              <w:rPr>
                <w:sz w:val="16"/>
                <w:szCs w:val="16"/>
                <w:lang w:val="it-IT"/>
              </w:rPr>
              <w:t xml:space="preserve"> for PM2.5 and PM10, the </w:t>
            </w:r>
            <w:proofErr w:type="spellStart"/>
            <w:r w:rsidRPr="00F6706C">
              <w:rPr>
                <w:sz w:val="16"/>
                <w:szCs w:val="16"/>
                <w:lang w:val="it-IT"/>
              </w:rPr>
              <w:t>year</w:t>
            </w:r>
            <w:proofErr w:type="spellEnd"/>
            <w:r w:rsidRPr="00F6706C">
              <w:rPr>
                <w:sz w:val="16"/>
                <w:szCs w:val="16"/>
                <w:lang w:val="it-IT"/>
              </w:rPr>
              <w:t xml:space="preserve"> the </w:t>
            </w:r>
            <w:proofErr w:type="spellStart"/>
            <w:r w:rsidRPr="00F6706C">
              <w:rPr>
                <w:sz w:val="16"/>
                <w:szCs w:val="16"/>
                <w:lang w:val="it-IT"/>
              </w:rPr>
              <w:t>type</w:t>
            </w:r>
            <w:proofErr w:type="spellEnd"/>
            <w:r w:rsidRPr="00F6706C">
              <w:rPr>
                <w:sz w:val="16"/>
                <w:szCs w:val="16"/>
                <w:lang w:val="it-IT"/>
              </w:rPr>
              <w:t xml:space="preserve"> of monitor, the </w:t>
            </w:r>
            <w:proofErr w:type="spellStart"/>
            <w:r w:rsidRPr="00F6706C">
              <w:rPr>
                <w:sz w:val="16"/>
                <w:szCs w:val="16"/>
                <w:lang w:val="it-IT"/>
              </w:rPr>
              <w:t>temporal</w:t>
            </w:r>
            <w:proofErr w:type="spellEnd"/>
            <w:r w:rsidRPr="00F6706C">
              <w:rPr>
                <w:sz w:val="16"/>
                <w:szCs w:val="16"/>
                <w:lang w:val="it-IT"/>
              </w:rPr>
              <w:t xml:space="preserve"> </w:t>
            </w:r>
            <w:proofErr w:type="spellStart"/>
            <w:proofErr w:type="gramStart"/>
            <w:r w:rsidRPr="00F6706C">
              <w:rPr>
                <w:sz w:val="16"/>
                <w:szCs w:val="16"/>
                <w:lang w:val="it-IT"/>
              </w:rPr>
              <w:t>coverage</w:t>
            </w:r>
            <w:proofErr w:type="spellEnd"/>
            <w:proofErr w:type="gramEnd"/>
            <w:r w:rsidRPr="00F6706C">
              <w:rPr>
                <w:sz w:val="16"/>
                <w:szCs w:val="16"/>
                <w:lang w:val="it-IT"/>
              </w:rPr>
              <w:t xml:space="preserve"> and the agency reporting the data can be </w:t>
            </w:r>
            <w:proofErr w:type="spellStart"/>
            <w:r w:rsidRPr="00F6706C">
              <w:rPr>
                <w:sz w:val="16"/>
                <w:szCs w:val="16"/>
                <w:lang w:val="it-IT"/>
              </w:rPr>
              <w:t>found</w:t>
            </w:r>
            <w:proofErr w:type="spellEnd"/>
            <w:r w:rsidRPr="00F6706C">
              <w:rPr>
                <w:sz w:val="16"/>
                <w:szCs w:val="16"/>
                <w:lang w:val="it-IT"/>
              </w:rPr>
              <w:t xml:space="preserve"> </w:t>
            </w:r>
            <w:proofErr w:type="spellStart"/>
            <w:r w:rsidRPr="00F6706C">
              <w:rPr>
                <w:sz w:val="16"/>
                <w:szCs w:val="16"/>
                <w:lang w:val="it-IT"/>
              </w:rPr>
              <w:t>at</w:t>
            </w:r>
            <w:proofErr w:type="spellEnd"/>
            <w:r w:rsidRPr="00F6706C">
              <w:rPr>
                <w:sz w:val="16"/>
                <w:szCs w:val="16"/>
                <w:lang w:val="it-IT"/>
              </w:rPr>
              <w:t xml:space="preserve"> WHO (2016b).  </w:t>
            </w:r>
            <w:proofErr w:type="spellStart"/>
            <w:proofErr w:type="gramStart"/>
            <w:r w:rsidRPr="00F6706C">
              <w:rPr>
                <w:sz w:val="16"/>
                <w:szCs w:val="16"/>
                <w:lang w:val="it-IT"/>
              </w:rPr>
              <w:t>Most</w:t>
            </w:r>
            <w:proofErr w:type="spellEnd"/>
            <w:r w:rsidRPr="00F6706C">
              <w:rPr>
                <w:sz w:val="16"/>
                <w:szCs w:val="16"/>
                <w:lang w:val="it-IT"/>
              </w:rPr>
              <w:t xml:space="preserve"> of the </w:t>
            </w:r>
            <w:proofErr w:type="spellStart"/>
            <w:r w:rsidRPr="00F6706C">
              <w:rPr>
                <w:sz w:val="16"/>
                <w:szCs w:val="16"/>
                <w:lang w:val="it-IT"/>
              </w:rPr>
              <w:t>measurements</w:t>
            </w:r>
            <w:proofErr w:type="spellEnd"/>
            <w:r w:rsidRPr="00F6706C">
              <w:rPr>
                <w:sz w:val="16"/>
                <w:szCs w:val="16"/>
                <w:lang w:val="it-IT"/>
              </w:rPr>
              <w:t xml:space="preserve"> (46% or 2760 </w:t>
            </w:r>
            <w:proofErr w:type="spellStart"/>
            <w:r w:rsidRPr="00F6706C">
              <w:rPr>
                <w:sz w:val="16"/>
                <w:szCs w:val="16"/>
                <w:lang w:val="it-IT"/>
              </w:rPr>
              <w:t>monitors</w:t>
            </w:r>
            <w:proofErr w:type="spellEnd"/>
            <w:r w:rsidRPr="00F6706C">
              <w:rPr>
                <w:sz w:val="16"/>
                <w:szCs w:val="16"/>
                <w:lang w:val="it-IT"/>
              </w:rPr>
              <w:t xml:space="preserve">) </w:t>
            </w:r>
            <w:proofErr w:type="spellStart"/>
            <w:r w:rsidRPr="00F6706C">
              <w:rPr>
                <w:sz w:val="16"/>
                <w:szCs w:val="16"/>
                <w:lang w:val="it-IT"/>
              </w:rPr>
              <w:t>were</w:t>
            </w:r>
            <w:proofErr w:type="spellEnd"/>
            <w:r w:rsidRPr="00F6706C">
              <w:rPr>
                <w:sz w:val="16"/>
                <w:szCs w:val="16"/>
                <w:lang w:val="it-IT"/>
              </w:rPr>
              <w:t xml:space="preserve"> </w:t>
            </w:r>
            <w:proofErr w:type="spellStart"/>
            <w:r w:rsidRPr="00F6706C">
              <w:rPr>
                <w:sz w:val="16"/>
                <w:szCs w:val="16"/>
                <w:lang w:val="it-IT"/>
              </w:rPr>
              <w:t>based</w:t>
            </w:r>
            <w:proofErr w:type="spellEnd"/>
            <w:r w:rsidRPr="00F6706C">
              <w:rPr>
                <w:sz w:val="16"/>
                <w:szCs w:val="16"/>
                <w:lang w:val="it-IT"/>
              </w:rPr>
              <w:t xml:space="preserve"> on data for 2014, </w:t>
            </w:r>
            <w:proofErr w:type="spellStart"/>
            <w:r w:rsidRPr="00F6706C">
              <w:rPr>
                <w:sz w:val="16"/>
                <w:szCs w:val="16"/>
                <w:lang w:val="it-IT"/>
              </w:rPr>
              <w:t>given</w:t>
            </w:r>
            <w:proofErr w:type="spellEnd"/>
            <w:r w:rsidRPr="00F6706C">
              <w:rPr>
                <w:sz w:val="16"/>
                <w:szCs w:val="16"/>
                <w:lang w:val="it-IT"/>
              </w:rPr>
              <w:t xml:space="preserve"> the </w:t>
            </w:r>
            <w:proofErr w:type="spellStart"/>
            <w:r w:rsidRPr="00F6706C">
              <w:rPr>
                <w:sz w:val="16"/>
                <w:szCs w:val="16"/>
                <w:lang w:val="it-IT"/>
              </w:rPr>
              <w:t>lag</w:t>
            </w:r>
            <w:proofErr w:type="spellEnd"/>
            <w:r w:rsidRPr="00F6706C">
              <w:rPr>
                <w:sz w:val="16"/>
                <w:szCs w:val="16"/>
                <w:lang w:val="it-IT"/>
              </w:rPr>
              <w:t xml:space="preserve"> in </w:t>
            </w:r>
            <w:proofErr w:type="spellStart"/>
            <w:r w:rsidRPr="00F6706C">
              <w:rPr>
                <w:sz w:val="16"/>
                <w:szCs w:val="16"/>
                <w:lang w:val="it-IT"/>
              </w:rPr>
              <w:t>providing</w:t>
            </w:r>
            <w:proofErr w:type="spellEnd"/>
            <w:r w:rsidRPr="00F6706C">
              <w:rPr>
                <w:sz w:val="16"/>
                <w:szCs w:val="16"/>
                <w:lang w:val="it-IT"/>
              </w:rPr>
              <w:t xml:space="preserve"> the data</w:t>
            </w:r>
            <w:proofErr w:type="gramEnd"/>
            <w:r w:rsidRPr="00F6706C">
              <w:rPr>
                <w:sz w:val="16"/>
                <w:szCs w:val="16"/>
                <w:lang w:val="it-IT"/>
              </w:rPr>
              <w:t xml:space="preserve">.  </w:t>
            </w:r>
          </w:p>
        </w:tc>
        <w:tc>
          <w:tcPr>
            <w:tcW w:w="1392" w:type="dxa"/>
          </w:tcPr>
          <w:p w14:paraId="32242A85" w14:textId="77777777" w:rsidR="00F6706C" w:rsidRPr="00F6706C" w:rsidRDefault="00F6706C" w:rsidP="00F6706C">
            <w:pPr>
              <w:rPr>
                <w:sz w:val="16"/>
                <w:szCs w:val="16"/>
                <w:lang w:val="it-IT"/>
              </w:rPr>
            </w:pPr>
            <w:proofErr w:type="spellStart"/>
            <w:r w:rsidRPr="00F6706C">
              <w:rPr>
                <w:sz w:val="16"/>
                <w:szCs w:val="16"/>
                <w:lang w:val="it-IT"/>
              </w:rPr>
              <w:t>Updated</w:t>
            </w:r>
            <w:proofErr w:type="spellEnd"/>
            <w:r w:rsidRPr="00F6706C">
              <w:rPr>
                <w:sz w:val="16"/>
                <w:szCs w:val="16"/>
                <w:lang w:val="it-IT"/>
              </w:rPr>
              <w:t xml:space="preserve"> Version 4 from NASA </w:t>
            </w:r>
            <w:proofErr w:type="spellStart"/>
            <w:r w:rsidRPr="00F6706C">
              <w:rPr>
                <w:sz w:val="16"/>
                <w:szCs w:val="16"/>
                <w:lang w:val="it-IT"/>
              </w:rPr>
              <w:t>based</w:t>
            </w:r>
            <w:proofErr w:type="spellEnd"/>
            <w:r w:rsidRPr="00F6706C">
              <w:rPr>
                <w:sz w:val="16"/>
                <w:szCs w:val="16"/>
                <w:lang w:val="it-IT"/>
              </w:rPr>
              <w:t xml:space="preserve"> </w:t>
            </w:r>
            <w:proofErr w:type="gramStart"/>
            <w:r w:rsidRPr="00F6706C">
              <w:rPr>
                <w:sz w:val="16"/>
                <w:szCs w:val="16"/>
                <w:lang w:val="it-IT"/>
              </w:rPr>
              <w:t>on</w:t>
            </w:r>
            <w:proofErr w:type="gramEnd"/>
            <w:r w:rsidRPr="00F6706C">
              <w:rPr>
                <w:sz w:val="16"/>
                <w:szCs w:val="16"/>
                <w:lang w:val="it-IT"/>
              </w:rPr>
              <w:t xml:space="preserve"> </w:t>
            </w:r>
            <w:proofErr w:type="spellStart"/>
            <w:r w:rsidRPr="00F6706C">
              <w:rPr>
                <w:sz w:val="16"/>
                <w:szCs w:val="16"/>
                <w:lang w:val="it-IT"/>
              </w:rPr>
              <w:t>censuses</w:t>
            </w:r>
            <w:proofErr w:type="spellEnd"/>
            <w:r w:rsidRPr="00F6706C">
              <w:rPr>
                <w:sz w:val="16"/>
                <w:szCs w:val="16"/>
                <w:lang w:val="it-IT"/>
              </w:rPr>
              <w:t xml:space="preserve"> </w:t>
            </w:r>
            <w:proofErr w:type="spellStart"/>
            <w:r w:rsidRPr="00F6706C">
              <w:rPr>
                <w:sz w:val="16"/>
                <w:szCs w:val="16"/>
                <w:lang w:val="it-IT"/>
              </w:rPr>
              <w:t>conducted</w:t>
            </w:r>
            <w:proofErr w:type="spellEnd"/>
            <w:r w:rsidRPr="00F6706C">
              <w:rPr>
                <w:sz w:val="16"/>
                <w:szCs w:val="16"/>
                <w:lang w:val="it-IT"/>
              </w:rPr>
              <w:t xml:space="preserve"> </w:t>
            </w:r>
            <w:proofErr w:type="spellStart"/>
            <w:r w:rsidRPr="00F6706C">
              <w:rPr>
                <w:sz w:val="16"/>
                <w:szCs w:val="16"/>
                <w:lang w:val="it-IT"/>
              </w:rPr>
              <w:t>between</w:t>
            </w:r>
            <w:proofErr w:type="spellEnd"/>
            <w:r w:rsidRPr="00F6706C">
              <w:rPr>
                <w:sz w:val="16"/>
                <w:szCs w:val="16"/>
                <w:lang w:val="it-IT"/>
              </w:rPr>
              <w:t xml:space="preserve"> 2005 and 2014.  </w:t>
            </w:r>
            <w:proofErr w:type="spellStart"/>
            <w:proofErr w:type="gramStart"/>
            <w:r w:rsidRPr="00F6706C">
              <w:rPr>
                <w:sz w:val="16"/>
                <w:szCs w:val="16"/>
                <w:lang w:val="it-IT"/>
              </w:rPr>
              <w:t>Additional</w:t>
            </w:r>
            <w:proofErr w:type="spellEnd"/>
            <w:r w:rsidRPr="00F6706C">
              <w:rPr>
                <w:sz w:val="16"/>
                <w:szCs w:val="16"/>
                <w:lang w:val="it-IT"/>
              </w:rPr>
              <w:t xml:space="preserve"> </w:t>
            </w:r>
            <w:proofErr w:type="spellStart"/>
            <w:r w:rsidRPr="00F6706C">
              <w:rPr>
                <w:sz w:val="16"/>
                <w:szCs w:val="16"/>
                <w:lang w:val="it-IT"/>
              </w:rPr>
              <w:t>details</w:t>
            </w:r>
            <w:proofErr w:type="spellEnd"/>
            <w:r w:rsidRPr="00F6706C">
              <w:rPr>
                <w:sz w:val="16"/>
                <w:szCs w:val="16"/>
                <w:lang w:val="it-IT"/>
              </w:rPr>
              <w:t xml:space="preserve"> are </w:t>
            </w:r>
            <w:proofErr w:type="spellStart"/>
            <w:r w:rsidRPr="00F6706C">
              <w:rPr>
                <w:sz w:val="16"/>
                <w:szCs w:val="16"/>
                <w:lang w:val="it-IT"/>
              </w:rPr>
              <w:t>provided</w:t>
            </w:r>
            <w:proofErr w:type="spellEnd"/>
            <w:r w:rsidRPr="00F6706C">
              <w:rPr>
                <w:sz w:val="16"/>
                <w:szCs w:val="16"/>
                <w:lang w:val="it-IT"/>
              </w:rPr>
              <w:t xml:space="preserve"> in Country-</w:t>
            </w:r>
            <w:proofErr w:type="spellStart"/>
            <w:r w:rsidRPr="00F6706C">
              <w:rPr>
                <w:sz w:val="16"/>
                <w:szCs w:val="16"/>
                <w:lang w:val="it-IT"/>
              </w:rPr>
              <w:t>specific</w:t>
            </w:r>
            <w:proofErr w:type="spellEnd"/>
            <w:r w:rsidRPr="00F6706C">
              <w:rPr>
                <w:sz w:val="16"/>
                <w:szCs w:val="16"/>
                <w:lang w:val="it-IT"/>
              </w:rPr>
              <w:t xml:space="preserve"> </w:t>
            </w:r>
            <w:proofErr w:type="spellStart"/>
            <w:r w:rsidRPr="00F6706C">
              <w:rPr>
                <w:sz w:val="16"/>
                <w:szCs w:val="16"/>
                <w:lang w:val="it-IT"/>
              </w:rPr>
              <w:t>historical</w:t>
            </w:r>
            <w:proofErr w:type="spellEnd"/>
            <w:r w:rsidRPr="00F6706C">
              <w:rPr>
                <w:sz w:val="16"/>
                <w:szCs w:val="16"/>
                <w:lang w:val="it-IT"/>
              </w:rPr>
              <w:t xml:space="preserve"> </w:t>
            </w:r>
            <w:proofErr w:type="spellStart"/>
            <w:r w:rsidRPr="00F6706C">
              <w:rPr>
                <w:sz w:val="16"/>
                <w:szCs w:val="16"/>
                <w:lang w:val="it-IT"/>
              </w:rPr>
              <w:t>growth</w:t>
            </w:r>
            <w:proofErr w:type="spellEnd"/>
            <w:r w:rsidRPr="00F6706C">
              <w:rPr>
                <w:sz w:val="16"/>
                <w:szCs w:val="16"/>
                <w:lang w:val="it-IT"/>
              </w:rPr>
              <w:t xml:space="preserve"> </w:t>
            </w:r>
            <w:proofErr w:type="spellStart"/>
            <w:r w:rsidRPr="00F6706C">
              <w:rPr>
                <w:sz w:val="16"/>
                <w:szCs w:val="16"/>
                <w:lang w:val="it-IT"/>
              </w:rPr>
              <w:t>rates</w:t>
            </w:r>
            <w:proofErr w:type="spellEnd"/>
            <w:r w:rsidRPr="00F6706C">
              <w:rPr>
                <w:sz w:val="16"/>
                <w:szCs w:val="16"/>
                <w:lang w:val="it-IT"/>
              </w:rPr>
              <w:t xml:space="preserve"> </w:t>
            </w:r>
            <w:proofErr w:type="spellStart"/>
            <w:r w:rsidRPr="00F6706C">
              <w:rPr>
                <w:sz w:val="16"/>
                <w:szCs w:val="16"/>
                <w:lang w:val="it-IT"/>
              </w:rPr>
              <w:t>were</w:t>
            </w:r>
            <w:proofErr w:type="spellEnd"/>
            <w:r w:rsidRPr="00F6706C">
              <w:rPr>
                <w:sz w:val="16"/>
                <w:szCs w:val="16"/>
                <w:lang w:val="it-IT"/>
              </w:rPr>
              <w:t xml:space="preserve"> </w:t>
            </w:r>
            <w:proofErr w:type="spellStart"/>
            <w:r w:rsidRPr="00F6706C">
              <w:rPr>
                <w:sz w:val="16"/>
                <w:szCs w:val="16"/>
                <w:lang w:val="it-IT"/>
              </w:rPr>
              <w:t>applied</w:t>
            </w:r>
            <w:proofErr w:type="spellEnd"/>
            <w:r w:rsidRPr="00F6706C">
              <w:rPr>
                <w:sz w:val="16"/>
                <w:szCs w:val="16"/>
                <w:lang w:val="it-IT"/>
              </w:rPr>
              <w:t xml:space="preserve"> to </w:t>
            </w:r>
            <w:proofErr w:type="spellStart"/>
            <w:r w:rsidRPr="00F6706C">
              <w:rPr>
                <w:sz w:val="16"/>
                <w:szCs w:val="16"/>
                <w:lang w:val="it-IT"/>
              </w:rPr>
              <w:t>project</w:t>
            </w:r>
            <w:proofErr w:type="spellEnd"/>
            <w:r w:rsidRPr="00F6706C">
              <w:rPr>
                <w:sz w:val="16"/>
                <w:szCs w:val="16"/>
                <w:lang w:val="it-IT"/>
              </w:rPr>
              <w:t xml:space="preserve"> </w:t>
            </w:r>
            <w:proofErr w:type="spellStart"/>
            <w:r w:rsidRPr="00F6706C">
              <w:rPr>
                <w:sz w:val="16"/>
                <w:szCs w:val="16"/>
                <w:lang w:val="it-IT"/>
              </w:rPr>
              <w:t>populations</w:t>
            </w:r>
            <w:proofErr w:type="spellEnd"/>
            <w:r w:rsidRPr="00F6706C">
              <w:rPr>
                <w:sz w:val="16"/>
                <w:szCs w:val="16"/>
                <w:lang w:val="it-IT"/>
              </w:rPr>
              <w:t xml:space="preserve"> to 2015.</w:t>
            </w:r>
            <w:proofErr w:type="gramEnd"/>
          </w:p>
        </w:tc>
        <w:tc>
          <w:tcPr>
            <w:tcW w:w="992" w:type="dxa"/>
          </w:tcPr>
          <w:p w14:paraId="308010E6" w14:textId="77777777" w:rsidR="00F6706C" w:rsidRPr="00F6706C" w:rsidRDefault="00F6706C" w:rsidP="00F6706C">
            <w:pPr>
              <w:jc w:val="center"/>
              <w:rPr>
                <w:sz w:val="16"/>
                <w:szCs w:val="16"/>
                <w:lang w:val="it-IT"/>
              </w:rPr>
            </w:pPr>
            <w:r w:rsidRPr="00F6706C">
              <w:rPr>
                <w:sz w:val="16"/>
                <w:szCs w:val="16"/>
                <w:lang w:val="it-IT"/>
              </w:rPr>
              <w:t>2.4 – 5.9</w:t>
            </w:r>
          </w:p>
        </w:tc>
        <w:tc>
          <w:tcPr>
            <w:tcW w:w="1114" w:type="dxa"/>
          </w:tcPr>
          <w:p w14:paraId="3C152690" w14:textId="77777777" w:rsidR="00F6706C" w:rsidRPr="00F6706C" w:rsidRDefault="00F6706C" w:rsidP="00F6706C">
            <w:pPr>
              <w:rPr>
                <w:sz w:val="16"/>
                <w:szCs w:val="16"/>
                <w:lang w:val="it-IT"/>
              </w:rPr>
            </w:pPr>
            <w:proofErr w:type="spellStart"/>
            <w:proofErr w:type="gramStart"/>
            <w:r w:rsidRPr="00F6706C">
              <w:rPr>
                <w:sz w:val="16"/>
                <w:szCs w:val="16"/>
                <w:lang w:val="it-IT"/>
              </w:rPr>
              <w:t>Ischeamic</w:t>
            </w:r>
            <w:proofErr w:type="spellEnd"/>
            <w:r w:rsidRPr="00F6706C">
              <w:rPr>
                <w:sz w:val="16"/>
                <w:szCs w:val="16"/>
                <w:lang w:val="it-IT"/>
              </w:rPr>
              <w:t xml:space="preserve"> </w:t>
            </w:r>
            <w:proofErr w:type="spellStart"/>
            <w:r w:rsidRPr="00F6706C">
              <w:rPr>
                <w:sz w:val="16"/>
                <w:szCs w:val="16"/>
                <w:lang w:val="it-IT"/>
              </w:rPr>
              <w:t>heart</w:t>
            </w:r>
            <w:proofErr w:type="spellEnd"/>
            <w:r w:rsidRPr="00F6706C">
              <w:rPr>
                <w:sz w:val="16"/>
                <w:szCs w:val="16"/>
                <w:lang w:val="it-IT"/>
              </w:rPr>
              <w:t xml:space="preserve"> </w:t>
            </w:r>
            <w:proofErr w:type="spellStart"/>
            <w:r w:rsidRPr="00F6706C">
              <w:rPr>
                <w:sz w:val="16"/>
                <w:szCs w:val="16"/>
                <w:lang w:val="it-IT"/>
              </w:rPr>
              <w:t>disease</w:t>
            </w:r>
            <w:proofErr w:type="spellEnd"/>
            <w:r w:rsidRPr="00F6706C">
              <w:rPr>
                <w:sz w:val="16"/>
                <w:szCs w:val="16"/>
                <w:lang w:val="it-IT"/>
              </w:rPr>
              <w:t xml:space="preserve">, </w:t>
            </w:r>
            <w:proofErr w:type="spellStart"/>
            <w:r w:rsidRPr="00F6706C">
              <w:rPr>
                <w:sz w:val="16"/>
                <w:szCs w:val="16"/>
                <w:lang w:val="it-IT"/>
              </w:rPr>
              <w:t>stroke</w:t>
            </w:r>
            <w:proofErr w:type="spellEnd"/>
            <w:r w:rsidRPr="00F6706C">
              <w:rPr>
                <w:sz w:val="16"/>
                <w:szCs w:val="16"/>
                <w:lang w:val="it-IT"/>
              </w:rPr>
              <w:t xml:space="preserve">, </w:t>
            </w:r>
            <w:proofErr w:type="spellStart"/>
            <w:r w:rsidRPr="00F6706C">
              <w:rPr>
                <w:sz w:val="16"/>
                <w:szCs w:val="16"/>
                <w:lang w:val="it-IT"/>
              </w:rPr>
              <w:t>chronic</w:t>
            </w:r>
            <w:proofErr w:type="spellEnd"/>
            <w:r w:rsidRPr="00F6706C">
              <w:rPr>
                <w:sz w:val="16"/>
                <w:szCs w:val="16"/>
                <w:lang w:val="it-IT"/>
              </w:rPr>
              <w:t xml:space="preserve"> </w:t>
            </w:r>
            <w:proofErr w:type="spellStart"/>
            <w:r w:rsidRPr="00F6706C">
              <w:rPr>
                <w:sz w:val="16"/>
                <w:szCs w:val="16"/>
                <w:lang w:val="it-IT"/>
              </w:rPr>
              <w:t>obstructive</w:t>
            </w:r>
            <w:proofErr w:type="spellEnd"/>
            <w:r w:rsidRPr="00F6706C">
              <w:rPr>
                <w:sz w:val="16"/>
                <w:szCs w:val="16"/>
                <w:lang w:val="it-IT"/>
              </w:rPr>
              <w:t xml:space="preserve"> </w:t>
            </w:r>
            <w:proofErr w:type="spellStart"/>
            <w:r w:rsidRPr="00F6706C">
              <w:rPr>
                <w:sz w:val="16"/>
                <w:szCs w:val="16"/>
                <w:lang w:val="it-IT"/>
              </w:rPr>
              <w:t>pulmonary</w:t>
            </w:r>
            <w:proofErr w:type="spellEnd"/>
            <w:r w:rsidRPr="00F6706C">
              <w:rPr>
                <w:sz w:val="16"/>
                <w:szCs w:val="16"/>
                <w:lang w:val="it-IT"/>
              </w:rPr>
              <w:t xml:space="preserve"> </w:t>
            </w:r>
            <w:proofErr w:type="spellStart"/>
            <w:r w:rsidRPr="00F6706C">
              <w:rPr>
                <w:sz w:val="16"/>
                <w:szCs w:val="16"/>
                <w:lang w:val="it-IT"/>
              </w:rPr>
              <w:t>diseases</w:t>
            </w:r>
            <w:proofErr w:type="spellEnd"/>
            <w:r w:rsidRPr="00F6706C">
              <w:rPr>
                <w:sz w:val="16"/>
                <w:szCs w:val="16"/>
                <w:lang w:val="it-IT"/>
              </w:rPr>
              <w:t xml:space="preserve">, </w:t>
            </w:r>
            <w:proofErr w:type="spellStart"/>
            <w:r w:rsidRPr="00F6706C">
              <w:rPr>
                <w:sz w:val="16"/>
                <w:szCs w:val="16"/>
                <w:lang w:val="it-IT"/>
              </w:rPr>
              <w:t>lung</w:t>
            </w:r>
            <w:proofErr w:type="spellEnd"/>
            <w:r w:rsidRPr="00F6706C">
              <w:rPr>
                <w:sz w:val="16"/>
                <w:szCs w:val="16"/>
                <w:lang w:val="it-IT"/>
              </w:rPr>
              <w:t xml:space="preserve"> </w:t>
            </w:r>
            <w:proofErr w:type="spellStart"/>
            <w:r w:rsidRPr="00F6706C">
              <w:rPr>
                <w:sz w:val="16"/>
                <w:szCs w:val="16"/>
                <w:lang w:val="it-IT"/>
              </w:rPr>
              <w:t>cancer</w:t>
            </w:r>
            <w:proofErr w:type="spellEnd"/>
            <w:r w:rsidRPr="00F6706C">
              <w:rPr>
                <w:sz w:val="16"/>
                <w:szCs w:val="16"/>
                <w:lang w:val="it-IT"/>
              </w:rPr>
              <w:t xml:space="preserve">, acute </w:t>
            </w:r>
            <w:proofErr w:type="spellStart"/>
            <w:r w:rsidRPr="00F6706C">
              <w:rPr>
                <w:sz w:val="16"/>
                <w:szCs w:val="16"/>
                <w:lang w:val="it-IT"/>
              </w:rPr>
              <w:t>respiratory</w:t>
            </w:r>
            <w:proofErr w:type="spellEnd"/>
            <w:r w:rsidRPr="00F6706C">
              <w:rPr>
                <w:sz w:val="16"/>
                <w:szCs w:val="16"/>
                <w:lang w:val="it-IT"/>
              </w:rPr>
              <w:t xml:space="preserve"> </w:t>
            </w:r>
            <w:proofErr w:type="spellStart"/>
            <w:r w:rsidRPr="00F6706C">
              <w:rPr>
                <w:sz w:val="16"/>
                <w:szCs w:val="16"/>
                <w:lang w:val="it-IT"/>
              </w:rPr>
              <w:t>infections</w:t>
            </w:r>
            <w:proofErr w:type="spellEnd"/>
            <w:r w:rsidRPr="00F6706C">
              <w:rPr>
                <w:sz w:val="16"/>
                <w:szCs w:val="16"/>
                <w:lang w:val="it-IT"/>
              </w:rPr>
              <w:t xml:space="preserve"> </w:t>
            </w:r>
            <w:proofErr w:type="spellStart"/>
            <w:r w:rsidRPr="00F6706C">
              <w:rPr>
                <w:sz w:val="16"/>
                <w:szCs w:val="16"/>
                <w:lang w:val="it-IT"/>
              </w:rPr>
              <w:t>children</w:t>
            </w:r>
            <w:proofErr w:type="spellEnd"/>
            <w:r w:rsidRPr="00F6706C">
              <w:rPr>
                <w:sz w:val="16"/>
                <w:szCs w:val="16"/>
                <w:lang w:val="it-IT"/>
              </w:rPr>
              <w:t xml:space="preserve"> and </w:t>
            </w:r>
            <w:proofErr w:type="spellStart"/>
            <w:r w:rsidRPr="00F6706C">
              <w:rPr>
                <w:sz w:val="16"/>
                <w:szCs w:val="16"/>
                <w:lang w:val="it-IT"/>
              </w:rPr>
              <w:t>adults</w:t>
            </w:r>
            <w:proofErr w:type="spellEnd"/>
            <w:r w:rsidRPr="00F6706C">
              <w:rPr>
                <w:sz w:val="16"/>
                <w:szCs w:val="16"/>
                <w:lang w:val="it-IT"/>
              </w:rPr>
              <w:t>)</w:t>
            </w:r>
            <w:proofErr w:type="gramEnd"/>
          </w:p>
          <w:p w14:paraId="12754871" w14:textId="77777777" w:rsidR="00F6706C" w:rsidRPr="00F6706C" w:rsidRDefault="00F6706C" w:rsidP="00F6706C">
            <w:pPr>
              <w:rPr>
                <w:sz w:val="16"/>
                <w:szCs w:val="16"/>
                <w:lang w:val="it-IT"/>
              </w:rPr>
            </w:pPr>
          </w:p>
        </w:tc>
        <w:tc>
          <w:tcPr>
            <w:tcW w:w="866" w:type="dxa"/>
          </w:tcPr>
          <w:p w14:paraId="3868E0A2" w14:textId="77777777" w:rsidR="00F6706C" w:rsidRPr="00F6706C" w:rsidRDefault="00F6706C" w:rsidP="00F6706C">
            <w:pPr>
              <w:jc w:val="center"/>
              <w:rPr>
                <w:sz w:val="16"/>
                <w:szCs w:val="16"/>
                <w:lang w:val="it-IT"/>
              </w:rPr>
            </w:pPr>
            <w:r w:rsidRPr="00F6706C">
              <w:rPr>
                <w:sz w:val="16"/>
                <w:szCs w:val="16"/>
                <w:lang w:val="it-IT"/>
              </w:rPr>
              <w:t>24</w:t>
            </w:r>
          </w:p>
        </w:tc>
        <w:tc>
          <w:tcPr>
            <w:tcW w:w="976" w:type="dxa"/>
          </w:tcPr>
          <w:p w14:paraId="2A7E6891" w14:textId="77777777" w:rsidR="00F6706C" w:rsidRPr="00F6706C" w:rsidRDefault="00F6706C" w:rsidP="00F6706C">
            <w:pPr>
              <w:jc w:val="center"/>
              <w:rPr>
                <w:sz w:val="16"/>
                <w:szCs w:val="16"/>
                <w:lang w:val="it-IT"/>
              </w:rPr>
            </w:pPr>
            <w:r w:rsidRPr="00F6706C">
              <w:rPr>
                <w:sz w:val="16"/>
                <w:szCs w:val="16"/>
                <w:lang w:val="it-IT"/>
              </w:rPr>
              <w:t>4.2 (3.7, 4.8)</w:t>
            </w:r>
          </w:p>
        </w:tc>
      </w:tr>
    </w:tbl>
    <w:p w14:paraId="465D48D0" w14:textId="77777777" w:rsidR="00F6706C" w:rsidRDefault="00F6706C" w:rsidP="00F6706C">
      <w:pPr>
        <w:spacing w:after="0"/>
      </w:pPr>
      <w:r>
        <w:rPr>
          <w:rFonts w:ascii="Calibri" w:eastAsia="Times New Roman" w:hAnsi="Calibri" w:cs="Calibri"/>
          <w:color w:val="000000"/>
        </w:rPr>
        <w:t xml:space="preserve"># A uniform distribution of the range was used in the simulations; *non-air pollution studies are summarized in WHO (2017); DP = Data points; C = Countries, UL = Unique </w:t>
      </w:r>
      <w:proofErr w:type="gramStart"/>
      <w:r>
        <w:rPr>
          <w:rFonts w:ascii="Calibri" w:eastAsia="Times New Roman" w:hAnsi="Calibri" w:cs="Calibri"/>
          <w:color w:val="000000"/>
        </w:rPr>
        <w:t>locations.;</w:t>
      </w:r>
      <w:proofErr w:type="gramEnd"/>
      <w:r>
        <w:rPr>
          <w:rFonts w:ascii="Calibri" w:eastAsia="Times New Roman" w:hAnsi="Calibri" w:cs="Calibri"/>
          <w:color w:val="000000"/>
        </w:rPr>
        <w:t xml:space="preserve"> AAP: Ambient Air Pollution </w:t>
      </w:r>
    </w:p>
    <w:p w14:paraId="6DD643AE" w14:textId="77777777" w:rsidR="00F6706C" w:rsidRDefault="00F6706C" w:rsidP="009106CF">
      <w:pPr>
        <w:tabs>
          <w:tab w:val="left" w:pos="7740"/>
        </w:tabs>
        <w:spacing w:before="165" w:after="165"/>
        <w:rPr>
          <w:rFonts w:eastAsia="Times New Roman"/>
          <w:noProof/>
        </w:rPr>
      </w:pPr>
    </w:p>
    <w:p w14:paraId="21E148D9" w14:textId="77777777" w:rsidR="00F6706C" w:rsidRPr="00C140C9" w:rsidRDefault="00F6706C" w:rsidP="009106CF">
      <w:pPr>
        <w:tabs>
          <w:tab w:val="left" w:pos="7740"/>
        </w:tabs>
        <w:spacing w:before="165" w:after="165"/>
        <w:rPr>
          <w:rFonts w:eastAsia="Times New Roman"/>
          <w:noProof/>
        </w:rPr>
        <w:sectPr w:rsidR="00F6706C" w:rsidRPr="00C140C9" w:rsidSect="002D70E3">
          <w:footerReference w:type="default" r:id="rId9"/>
          <w:type w:val="continuous"/>
          <w:pgSz w:w="11907" w:h="16839" w:code="9"/>
          <w:pgMar w:top="1440" w:right="1440" w:bottom="1440" w:left="1440" w:header="720" w:footer="720" w:gutter="0"/>
          <w:cols w:space="720"/>
          <w:docGrid w:linePitch="360"/>
        </w:sectPr>
      </w:pPr>
    </w:p>
    <w:p w14:paraId="5823E219" w14:textId="5E99DCBC" w:rsidR="00473CCB" w:rsidRDefault="00E367C9" w:rsidP="00AA41FF">
      <w:pPr>
        <w:tabs>
          <w:tab w:val="left" w:pos="180"/>
          <w:tab w:val="left" w:pos="360"/>
        </w:tabs>
        <w:spacing w:after="0"/>
      </w:pPr>
      <w:proofErr w:type="gramStart"/>
      <w:r>
        <w:lastRenderedPageBreak/>
        <w:t xml:space="preserve">Table </w:t>
      </w:r>
      <w:r w:rsidR="00C140C9">
        <w:t>2</w:t>
      </w:r>
      <w:r>
        <w:t>.</w:t>
      </w:r>
      <w:proofErr w:type="gramEnd"/>
      <w:r>
        <w:t xml:space="preserve"> </w:t>
      </w:r>
      <w:proofErr w:type="gramStart"/>
      <w:r>
        <w:t>Country-specific and Global Effects on GBD 2013 with Updated Inputs.</w:t>
      </w:r>
      <w:proofErr w:type="gramEnd"/>
    </w:p>
    <w:p w14:paraId="2ECC47EF" w14:textId="30D30A95" w:rsidR="00E367C9" w:rsidRDefault="00E367C9" w:rsidP="00AA41FF">
      <w:pPr>
        <w:tabs>
          <w:tab w:val="left" w:pos="180"/>
          <w:tab w:val="left" w:pos="360"/>
        </w:tabs>
        <w:spacing w:after="0"/>
      </w:pPr>
      <w:r w:rsidRPr="00E367C9">
        <w:rPr>
          <w:noProof/>
          <w:lang w:val="de-DE" w:eastAsia="de-DE"/>
        </w:rPr>
        <w:drawing>
          <wp:inline distT="0" distB="0" distL="0" distR="0" wp14:anchorId="4D14D798" wp14:editId="372AF990">
            <wp:extent cx="8229600" cy="535615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229600" cy="5356153"/>
                    </a:xfrm>
                    <a:prstGeom prst="rect">
                      <a:avLst/>
                    </a:prstGeom>
                    <a:noFill/>
                    <a:ln>
                      <a:noFill/>
                    </a:ln>
                  </pic:spPr>
                </pic:pic>
              </a:graphicData>
            </a:graphic>
          </wp:inline>
        </w:drawing>
      </w:r>
    </w:p>
    <w:p w14:paraId="2D1365C1" w14:textId="77777777" w:rsidR="00E367C9" w:rsidRDefault="00E367C9" w:rsidP="00AA41FF">
      <w:pPr>
        <w:tabs>
          <w:tab w:val="left" w:pos="180"/>
          <w:tab w:val="left" w:pos="360"/>
        </w:tabs>
        <w:spacing w:after="0"/>
      </w:pPr>
    </w:p>
    <w:p w14:paraId="56E31819" w14:textId="754E1025" w:rsidR="00473CCB" w:rsidRDefault="00473CCB" w:rsidP="00AA41FF">
      <w:pPr>
        <w:tabs>
          <w:tab w:val="left" w:pos="180"/>
          <w:tab w:val="left" w:pos="360"/>
        </w:tabs>
        <w:spacing w:after="0"/>
      </w:pPr>
    </w:p>
    <w:p w14:paraId="612049F3" w14:textId="77777777" w:rsidR="00473CCB" w:rsidRDefault="00473CCB" w:rsidP="00AA41FF">
      <w:pPr>
        <w:tabs>
          <w:tab w:val="left" w:pos="180"/>
          <w:tab w:val="left" w:pos="360"/>
        </w:tabs>
        <w:spacing w:after="0"/>
        <w:sectPr w:rsidR="00473CCB" w:rsidSect="00473CCB">
          <w:pgSz w:w="15840" w:h="12240" w:orient="landscape"/>
          <w:pgMar w:top="1440" w:right="1440" w:bottom="1440" w:left="1440" w:header="720" w:footer="720" w:gutter="0"/>
          <w:cols w:space="720"/>
          <w:docGrid w:linePitch="360"/>
        </w:sectPr>
      </w:pPr>
    </w:p>
    <w:p w14:paraId="2EC1EB6F" w14:textId="0FE58A3D" w:rsidR="006359B2" w:rsidRDefault="00182D05" w:rsidP="00AA41FF">
      <w:pPr>
        <w:tabs>
          <w:tab w:val="left" w:pos="180"/>
          <w:tab w:val="left" w:pos="360"/>
        </w:tabs>
        <w:spacing w:after="0"/>
      </w:pPr>
      <w:proofErr w:type="gramStart"/>
      <w:r>
        <w:lastRenderedPageBreak/>
        <w:t xml:space="preserve">Table </w:t>
      </w:r>
      <w:r w:rsidR="00C140C9">
        <w:t>3</w:t>
      </w:r>
      <w:r w:rsidR="00144E4A">
        <w:t>.</w:t>
      </w:r>
      <w:proofErr w:type="gramEnd"/>
      <w:r w:rsidR="00144E4A">
        <w:t xml:space="preserve"> </w:t>
      </w:r>
      <w:r w:rsidR="00144E4A">
        <w:rPr>
          <w:noProof/>
        </w:rPr>
        <w:t>Country- and Disease-specific Changes for GBD 2013 Due to Updated Methods</w:t>
      </w:r>
      <w:r w:rsidR="000D33A0">
        <w:rPr>
          <w:noProof/>
        </w:rPr>
        <w:t xml:space="preserve"> for selected countries</w:t>
      </w:r>
    </w:p>
    <w:p w14:paraId="6071DA56" w14:textId="77777777" w:rsidR="00182D05" w:rsidRDefault="00144E4A" w:rsidP="00AA41FF">
      <w:pPr>
        <w:tabs>
          <w:tab w:val="left" w:pos="180"/>
          <w:tab w:val="left" w:pos="360"/>
        </w:tabs>
        <w:spacing w:after="0"/>
        <w:sectPr w:rsidR="00182D05" w:rsidSect="00473CCB">
          <w:pgSz w:w="12240" w:h="15840"/>
          <w:pgMar w:top="1440" w:right="1440" w:bottom="1440" w:left="1440" w:header="720" w:footer="720" w:gutter="0"/>
          <w:cols w:space="720"/>
          <w:docGrid w:linePitch="360"/>
        </w:sectPr>
      </w:pPr>
      <w:r w:rsidRPr="00144E4A">
        <w:rPr>
          <w:noProof/>
          <w:lang w:val="de-DE" w:eastAsia="de-DE"/>
        </w:rPr>
        <w:drawing>
          <wp:inline distT="0" distB="0" distL="0" distR="0" wp14:anchorId="4812B1E7" wp14:editId="103FBFE4">
            <wp:extent cx="5822148" cy="7801337"/>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29795" cy="7811583"/>
                    </a:xfrm>
                    <a:prstGeom prst="rect">
                      <a:avLst/>
                    </a:prstGeom>
                    <a:noFill/>
                    <a:ln>
                      <a:noFill/>
                    </a:ln>
                  </pic:spPr>
                </pic:pic>
              </a:graphicData>
            </a:graphic>
          </wp:inline>
        </w:drawing>
      </w:r>
    </w:p>
    <w:p w14:paraId="0AD20D5B" w14:textId="074C9035" w:rsidR="006B1872" w:rsidRDefault="006B1872" w:rsidP="00AC282E">
      <w:proofErr w:type="gramStart"/>
      <w:r>
        <w:lastRenderedPageBreak/>
        <w:t xml:space="preserve">Figure </w:t>
      </w:r>
      <w:r w:rsidR="00F37C1F">
        <w:t>1</w:t>
      </w:r>
      <w:r>
        <w:t>.</w:t>
      </w:r>
      <w:proofErr w:type="gramEnd"/>
      <w:r>
        <w:t xml:space="preserve"> </w:t>
      </w:r>
      <w:r w:rsidRPr="00632060">
        <w:t xml:space="preserve">Locations </w:t>
      </w:r>
      <w:r>
        <w:t xml:space="preserve">and </w:t>
      </w:r>
      <w:r w:rsidR="003C446C">
        <w:t xml:space="preserve">Mean </w:t>
      </w:r>
      <w:r w:rsidR="005907C7">
        <w:t>C</w:t>
      </w:r>
      <w:r>
        <w:t xml:space="preserve">oncentrations of </w:t>
      </w:r>
      <w:r w:rsidR="005907C7">
        <w:t>G</w:t>
      </w:r>
      <w:r>
        <w:t>round</w:t>
      </w:r>
      <w:r w:rsidR="005907C7">
        <w:t>-level</w:t>
      </w:r>
      <w:r>
        <w:t xml:space="preserve"> </w:t>
      </w:r>
      <w:r w:rsidR="00AC282E">
        <w:t xml:space="preserve">Measurements </w:t>
      </w:r>
      <w:r w:rsidR="005907C7">
        <w:t xml:space="preserve">Used </w:t>
      </w:r>
      <w:r w:rsidR="00454A54">
        <w:t xml:space="preserve">in </w:t>
      </w:r>
      <w:r w:rsidR="005907C7">
        <w:t xml:space="preserve">GBD </w:t>
      </w:r>
      <w:r w:rsidR="00454A54">
        <w:t>2015</w:t>
      </w:r>
      <w:r>
        <w:t xml:space="preserve"> </w:t>
      </w:r>
    </w:p>
    <w:p w14:paraId="3757160E" w14:textId="77777777" w:rsidR="006B1872" w:rsidRDefault="006B1872" w:rsidP="006B1872"/>
    <w:p w14:paraId="22F5E131" w14:textId="77777777" w:rsidR="006B1872" w:rsidRDefault="006B1872" w:rsidP="006B1872">
      <w:r w:rsidRPr="00CE503F">
        <w:rPr>
          <w:noProof/>
          <w:lang w:val="de-DE" w:eastAsia="de-DE"/>
        </w:rPr>
        <w:drawing>
          <wp:inline distT="0" distB="0" distL="0" distR="0" wp14:anchorId="78B1408D" wp14:editId="4306604D">
            <wp:extent cx="5943600" cy="3498618"/>
            <wp:effectExtent l="0" t="0" r="0" b="6985"/>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498618"/>
                    </a:xfrm>
                    <a:prstGeom prst="rect">
                      <a:avLst/>
                    </a:prstGeom>
                    <a:noFill/>
                    <a:ln>
                      <a:noFill/>
                    </a:ln>
                  </pic:spPr>
                </pic:pic>
              </a:graphicData>
            </a:graphic>
          </wp:inline>
        </w:drawing>
      </w:r>
    </w:p>
    <w:p w14:paraId="4DCCE0ED" w14:textId="77777777" w:rsidR="006B1872" w:rsidRDefault="006B1872" w:rsidP="006B1872"/>
    <w:p w14:paraId="47DDD2EB" w14:textId="77777777" w:rsidR="006B1872" w:rsidRPr="00205730" w:rsidRDefault="006B1872" w:rsidP="006B1872">
      <w:pPr>
        <w:kinsoku w:val="0"/>
        <w:overflowPunct w:val="0"/>
        <w:autoSpaceDE w:val="0"/>
        <w:autoSpaceDN w:val="0"/>
        <w:adjustRightInd w:val="0"/>
        <w:spacing w:before="171" w:after="0"/>
        <w:ind w:left="100"/>
        <w:rPr>
          <w:rFonts w:ascii="Book Antiqua" w:hAnsi="Book Antiqua" w:cs="Book Antiqua"/>
          <w:sz w:val="20"/>
          <w:szCs w:val="20"/>
        </w:rPr>
      </w:pPr>
      <w:r>
        <w:rPr>
          <w:rFonts w:ascii="Book Antiqua" w:hAnsi="Book Antiqua" w:cs="Book Antiqua"/>
          <w:sz w:val="20"/>
          <w:szCs w:val="20"/>
        </w:rPr>
        <w:t>Source: WHO (2016</w:t>
      </w:r>
      <w:r w:rsidR="00454A54">
        <w:rPr>
          <w:rFonts w:ascii="Book Antiqua" w:hAnsi="Book Antiqua" w:cs="Book Antiqua"/>
          <w:sz w:val="20"/>
          <w:szCs w:val="20"/>
        </w:rPr>
        <w:t>a</w:t>
      </w:r>
      <w:r>
        <w:rPr>
          <w:rFonts w:ascii="Book Antiqua" w:hAnsi="Book Antiqua" w:cs="Book Antiqua"/>
          <w:sz w:val="20"/>
          <w:szCs w:val="20"/>
        </w:rPr>
        <w:t>)</w:t>
      </w:r>
    </w:p>
    <w:p w14:paraId="23F14DA6" w14:textId="77777777" w:rsidR="006B1872" w:rsidRDefault="006B1872" w:rsidP="006B1872"/>
    <w:p w14:paraId="7B3CAFB2" w14:textId="77777777" w:rsidR="006B1872" w:rsidRPr="003246FC" w:rsidRDefault="006B1872" w:rsidP="006B1872"/>
    <w:p w14:paraId="622D2A0F" w14:textId="77777777" w:rsidR="006B1872" w:rsidRDefault="006B1872" w:rsidP="006B1872"/>
    <w:p w14:paraId="79B37EF3" w14:textId="77777777" w:rsidR="006B1872" w:rsidRDefault="006B1872" w:rsidP="006B1872"/>
    <w:p w14:paraId="761A39FE" w14:textId="77777777" w:rsidR="00BB5DE6" w:rsidRDefault="006B1872" w:rsidP="00BB5DE6">
      <w:r>
        <w:br w:type="column"/>
      </w:r>
    </w:p>
    <w:p w14:paraId="2DE8B461" w14:textId="613C3A50" w:rsidR="006C0D93" w:rsidRDefault="00F37C1F" w:rsidP="006B1872">
      <w:proofErr w:type="gramStart"/>
      <w:r>
        <w:t>Figure 2</w:t>
      </w:r>
      <w:r w:rsidR="00574B7F">
        <w:t>.</w:t>
      </w:r>
      <w:proofErr w:type="gramEnd"/>
      <w:r w:rsidR="00574B7F">
        <w:t xml:space="preserve">  Super Region-specific predictions of PM2.5 for alternative regression models</w:t>
      </w:r>
      <w:r w:rsidR="00574B7F" w:rsidRPr="00574B7F">
        <w:rPr>
          <w:noProof/>
          <w:lang w:val="de-DE" w:eastAsia="de-DE"/>
        </w:rPr>
        <w:drawing>
          <wp:inline distT="0" distB="0" distL="0" distR="0" wp14:anchorId="66A94635" wp14:editId="06F7501A">
            <wp:extent cx="5943600" cy="614361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43600" cy="6143611"/>
                    </a:xfrm>
                    <a:prstGeom prst="rect">
                      <a:avLst/>
                    </a:prstGeom>
                    <a:noFill/>
                    <a:ln>
                      <a:noFill/>
                    </a:ln>
                  </pic:spPr>
                </pic:pic>
              </a:graphicData>
            </a:graphic>
          </wp:inline>
        </w:drawing>
      </w:r>
    </w:p>
    <w:p w14:paraId="535CC368" w14:textId="5125B5CD" w:rsidR="006C0D93" w:rsidRDefault="00574B7F" w:rsidP="006B1872">
      <w:proofErr w:type="gramStart"/>
      <w:r w:rsidRPr="00574B7F">
        <w:t xml:space="preserve">Comparison of </w:t>
      </w:r>
      <w:r>
        <w:t xml:space="preserve">root mean square error </w:t>
      </w:r>
      <w:r w:rsidRPr="00574B7F">
        <w:t>from three models by super-region.</w:t>
      </w:r>
      <w:proofErr w:type="gramEnd"/>
      <w:r w:rsidRPr="00574B7F">
        <w:t xml:space="preserve"> Dots denote the median of the distribution from 25 </w:t>
      </w:r>
      <w:r>
        <w:t>simulations</w:t>
      </w:r>
      <w:r w:rsidRPr="00574B7F">
        <w:t xml:space="preserve"> and the vertical lines the range of values. Super-regions are</w:t>
      </w:r>
      <w:r>
        <w:t xml:space="preserve"> </w:t>
      </w:r>
      <w:r w:rsidRPr="00574B7F">
        <w:t xml:space="preserve">1: high income, 2: Central Europe, Eastern Europe, </w:t>
      </w:r>
      <w:proofErr w:type="gramStart"/>
      <w:r w:rsidRPr="00574B7F">
        <w:t>Central</w:t>
      </w:r>
      <w:proofErr w:type="gramEnd"/>
      <w:r w:rsidRPr="00574B7F">
        <w:t xml:space="preserve"> Asia, 3: Latin America and Caribbean, 4: Southeast Asia, East Asia and Oceania, 5: North Africa / Middle East, 6: Sub-Saharan Africa, 7: South Asia.</w:t>
      </w:r>
      <w:r>
        <w:t xml:space="preserve">  </w:t>
      </w:r>
      <w:r w:rsidR="00A20360">
        <w:t>Model A</w:t>
      </w:r>
      <w:r w:rsidR="00BB7020">
        <w:t xml:space="preserve"> predicts concentration as a function of satellite and chemical transport</w:t>
      </w:r>
      <w:r w:rsidR="000065FB">
        <w:t xml:space="preserve"> data</w:t>
      </w:r>
      <w:r w:rsidR="00BB7020">
        <w:t>; Model B add</w:t>
      </w:r>
      <w:r w:rsidR="000065FB">
        <w:t>s</w:t>
      </w:r>
      <w:r w:rsidR="00BB7020">
        <w:t xml:space="preserve"> local population to the model and Model C </w:t>
      </w:r>
      <w:r w:rsidR="000065FB">
        <w:t xml:space="preserve">also </w:t>
      </w:r>
      <w:r w:rsidR="00BB7020">
        <w:t>adds s</w:t>
      </w:r>
      <w:r w:rsidR="000065FB">
        <w:t>uch as particle species and monitor elevation</w:t>
      </w:r>
      <w:r w:rsidR="00BB7020">
        <w:t xml:space="preserve">. </w:t>
      </w:r>
    </w:p>
    <w:p w14:paraId="28C14247" w14:textId="02E93C80" w:rsidR="00A60177" w:rsidRDefault="00574B7F" w:rsidP="001C7270">
      <w:pPr>
        <w:rPr>
          <w:lang w:val="fr-FR"/>
        </w:rPr>
      </w:pPr>
      <w:r w:rsidRPr="00DB6B41">
        <w:t xml:space="preserve">Source: </w:t>
      </w:r>
      <w:proofErr w:type="spellStart"/>
      <w:r w:rsidRPr="00DB6B41">
        <w:rPr>
          <w:color w:val="333333"/>
        </w:rPr>
        <w:t>Forouzanfar</w:t>
      </w:r>
      <w:proofErr w:type="spellEnd"/>
      <w:r w:rsidRPr="00DB6B41">
        <w:rPr>
          <w:color w:val="333333"/>
        </w:rPr>
        <w:t xml:space="preserve"> et al. (2015, supplement)</w:t>
      </w:r>
      <w:r w:rsidR="008551A2">
        <w:rPr>
          <w:noProof/>
          <w:lang w:val="de-DE" w:eastAsia="de-DE"/>
        </w:rPr>
        <mc:AlternateContent>
          <mc:Choice Requires="wps">
            <w:drawing>
              <wp:anchor distT="0" distB="0" distL="114300" distR="114300" simplePos="0" relativeHeight="251651584" behindDoc="0" locked="0" layoutInCell="1" allowOverlap="1" wp14:anchorId="58C897B0" wp14:editId="267573D3">
                <wp:simplePos x="0" y="0"/>
                <wp:positionH relativeFrom="column">
                  <wp:posOffset>1102995</wp:posOffset>
                </wp:positionH>
                <wp:positionV relativeFrom="paragraph">
                  <wp:posOffset>2834640</wp:posOffset>
                </wp:positionV>
                <wp:extent cx="708660" cy="274320"/>
                <wp:effectExtent l="0" t="0" r="0" b="0"/>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8660"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DBCAB56" w14:textId="77777777" w:rsidR="00E60BCB" w:rsidRDefault="00E60BCB" w:rsidP="007E74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8C897B0" id="_x0000_t202" coordsize="21600,21600" o:spt="202" path="m,l,21600r21600,l21600,xe">
                <v:stroke joinstyle="miter"/>
                <v:path gradientshapeok="t" o:connecttype="rect"/>
              </v:shapetype>
              <v:shape id="Text Box 15" o:spid="_x0000_s1026" type="#_x0000_t202" style="position:absolute;margin-left:86.85pt;margin-top:223.2pt;width:55.8pt;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" fillcolor="white [3201]" stroked="f" strokeweight=".5pt">
                <v:path arrowok="t"/>
                <v:textbox>
                  <w:txbxContent>
                    <w:p w14:paraId="2DBCAB56" w14:textId="77777777" w:rsidR="00E60BCB" w:rsidRDefault="00E60BCB" w:rsidP="007E74CF"/>
                  </w:txbxContent>
                </v:textbox>
              </v:shape>
            </w:pict>
          </mc:Fallback>
        </mc:AlternateContent>
      </w:r>
      <w:r w:rsidR="008551A2">
        <w:rPr>
          <w:noProof/>
          <w:lang w:val="de-DE" w:eastAsia="de-DE"/>
        </w:rPr>
        <mc:AlternateContent>
          <mc:Choice Requires="wps">
            <w:drawing>
              <wp:anchor distT="0" distB="0" distL="114300" distR="114300" simplePos="0" relativeHeight="251654656" behindDoc="0" locked="0" layoutInCell="1" allowOverlap="1" wp14:anchorId="22701527" wp14:editId="6C0C41AE">
                <wp:simplePos x="0" y="0"/>
                <wp:positionH relativeFrom="column">
                  <wp:posOffset>2423160</wp:posOffset>
                </wp:positionH>
                <wp:positionV relativeFrom="paragraph">
                  <wp:posOffset>2796540</wp:posOffset>
                </wp:positionV>
                <wp:extent cx="655320" cy="25146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532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AD685F7" w14:textId="77777777" w:rsidR="00E60BCB" w:rsidRDefault="00E60BCB" w:rsidP="007E74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22701527" id="Text Box 16" o:spid="_x0000_s1027" type="#_x0000_t202" style="position:absolute;margin-left:190.8pt;margin-top:220.2pt;width:51.6pt;height:19.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" fillcolor="white [3201]" stroked="f" strokeweight=".5pt">
                <v:path arrowok="t"/>
                <v:textbox>
                  <w:txbxContent>
                    <w:p w14:paraId="0AD685F7" w14:textId="77777777" w:rsidR="00E60BCB" w:rsidRDefault="00E60BCB" w:rsidP="007E74CF"/>
                  </w:txbxContent>
                </v:textbox>
              </v:shape>
            </w:pict>
          </mc:Fallback>
        </mc:AlternateContent>
      </w:r>
      <w:r w:rsidR="008551A2">
        <w:rPr>
          <w:noProof/>
          <w:lang w:val="de-DE" w:eastAsia="de-DE"/>
        </w:rPr>
        <mc:AlternateContent>
          <mc:Choice Requires="wps">
            <w:drawing>
              <wp:anchor distT="0" distB="0" distL="114300" distR="114300" simplePos="0" relativeHeight="251663872" behindDoc="0" locked="0" layoutInCell="1" allowOverlap="1" wp14:anchorId="40E84752" wp14:editId="0C345C60">
                <wp:simplePos x="0" y="0"/>
                <wp:positionH relativeFrom="margin">
                  <wp:posOffset>4762500</wp:posOffset>
                </wp:positionH>
                <wp:positionV relativeFrom="paragraph">
                  <wp:posOffset>5326380</wp:posOffset>
                </wp:positionV>
                <wp:extent cx="1261745" cy="259080"/>
                <wp:effectExtent l="0" t="0" r="0" b="762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61745"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9A5F9AA" w14:textId="77777777" w:rsidR="00E60BCB" w:rsidRDefault="00E60BCB" w:rsidP="007E74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0E84752" id="Text Box 19" o:spid="_x0000_s1028" type="#_x0000_t202" style="position:absolute;margin-left:375pt;margin-top:419.4pt;width:99.35pt;height:20.4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" fillcolor="white [3201]" stroked="f" strokeweight=".5pt">
                <v:path arrowok="t"/>
                <v:textbox>
                  <w:txbxContent>
                    <w:p w14:paraId="79A5F9AA" w14:textId="77777777" w:rsidR="00E60BCB" w:rsidRDefault="00E60BCB" w:rsidP="007E74CF"/>
                  </w:txbxContent>
                </v:textbox>
                <w10:wrap anchorx="margin"/>
              </v:shape>
            </w:pict>
          </mc:Fallback>
        </mc:AlternateContent>
      </w:r>
      <w:r w:rsidR="008551A2">
        <w:rPr>
          <w:noProof/>
          <w:lang w:val="de-DE" w:eastAsia="de-DE"/>
        </w:rPr>
        <mc:AlternateContent>
          <mc:Choice Requires="wps">
            <w:drawing>
              <wp:anchor distT="0" distB="0" distL="114300" distR="114300" simplePos="0" relativeHeight="251657728" behindDoc="0" locked="0" layoutInCell="1" allowOverlap="1" wp14:anchorId="2A04D993" wp14:editId="67FAFC86">
                <wp:simplePos x="0" y="0"/>
                <wp:positionH relativeFrom="column">
                  <wp:posOffset>2217420</wp:posOffset>
                </wp:positionH>
                <wp:positionV relativeFrom="paragraph">
                  <wp:posOffset>3855720</wp:posOffset>
                </wp:positionV>
                <wp:extent cx="2964180" cy="251460"/>
                <wp:effectExtent l="0" t="0" r="762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6418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2A01599" w14:textId="77777777" w:rsidR="00E60BCB" w:rsidRDefault="00E60BCB" w:rsidP="007E74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A04D993" id="Text Box 17" o:spid="_x0000_s1029" type="#_x0000_t202" style="position:absolute;margin-left:174.6pt;margin-top:303.6pt;width:233.4pt;height:1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" fillcolor="white [3201]" stroked="f" strokeweight=".5pt">
                <v:path arrowok="t"/>
                <v:textbox>
                  <w:txbxContent>
                    <w:p w14:paraId="02A01599" w14:textId="77777777" w:rsidR="00E60BCB" w:rsidRDefault="00E60BCB" w:rsidP="007E74CF"/>
                  </w:txbxContent>
                </v:textbox>
              </v:shape>
            </w:pict>
          </mc:Fallback>
        </mc:AlternateContent>
      </w:r>
      <w:r w:rsidR="008551A2">
        <w:rPr>
          <w:noProof/>
          <w:lang w:val="de-DE" w:eastAsia="de-DE"/>
        </w:rPr>
        <mc:AlternateContent>
          <mc:Choice Requires="wps">
            <w:drawing>
              <wp:anchor distT="0" distB="0" distL="114300" distR="114300" simplePos="0" relativeHeight="251660800" behindDoc="0" locked="0" layoutInCell="1" allowOverlap="1" wp14:anchorId="171BAC81" wp14:editId="2D2CBC43">
                <wp:simplePos x="0" y="0"/>
                <wp:positionH relativeFrom="column">
                  <wp:posOffset>2514600</wp:posOffset>
                </wp:positionH>
                <wp:positionV relativeFrom="paragraph">
                  <wp:posOffset>4770120</wp:posOffset>
                </wp:positionV>
                <wp:extent cx="1600200" cy="251460"/>
                <wp:effectExtent l="0" t="0" r="0" b="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CB5F881" w14:textId="77777777" w:rsidR="00E60BCB" w:rsidRDefault="00E60BCB" w:rsidP="007E74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171BAC81" id="Text Box 18" o:spid="_x0000_s1030" type="#_x0000_t202" style="position:absolute;margin-left:198pt;margin-top:375.6pt;width:126pt;height:19.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" fillcolor="white [3201]" stroked="f" strokeweight=".5pt">
                <v:path arrowok="t"/>
                <v:textbox>
                  <w:txbxContent>
                    <w:p w14:paraId="2CB5F881" w14:textId="77777777" w:rsidR="00E60BCB" w:rsidRDefault="00E60BCB" w:rsidP="007E74CF"/>
                  </w:txbxContent>
                </v:textbox>
              </v:shape>
            </w:pict>
          </mc:Fallback>
        </mc:AlternateContent>
      </w:r>
      <w:r w:rsidR="008551A2">
        <w:rPr>
          <w:noProof/>
          <w:lang w:val="de-DE" w:eastAsia="de-DE"/>
        </w:rPr>
        <mc:AlternateContent>
          <mc:Choice Requires="wps">
            <w:drawing>
              <wp:anchor distT="0" distB="0" distL="114300" distR="114300" simplePos="0" relativeHeight="251666944" behindDoc="0" locked="0" layoutInCell="1" allowOverlap="1" wp14:anchorId="1BB58B03" wp14:editId="300144F7">
                <wp:simplePos x="0" y="0"/>
                <wp:positionH relativeFrom="column">
                  <wp:posOffset>1432560</wp:posOffset>
                </wp:positionH>
                <wp:positionV relativeFrom="paragraph">
                  <wp:posOffset>5623560</wp:posOffset>
                </wp:positionV>
                <wp:extent cx="1356360" cy="22860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36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293D364" w14:textId="77777777" w:rsidR="00E60BCB" w:rsidRDefault="00E60BCB" w:rsidP="007E74C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1BB58B03" id="Text Box 20" o:spid="_x0000_s1031" type="#_x0000_t202" style="position:absolute;margin-left:112.8pt;margin-top:442.8pt;width:106.8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" fillcolor="white [3201]" stroked="f" strokeweight=".5pt">
                <v:path arrowok="t"/>
                <v:textbox>
                  <w:txbxContent>
                    <w:p w14:paraId="3293D364" w14:textId="77777777" w:rsidR="00E60BCB" w:rsidRDefault="00E60BCB" w:rsidP="007E74CF"/>
                  </w:txbxContent>
                </v:textbox>
              </v:shape>
            </w:pict>
          </mc:Fallback>
        </mc:AlternateContent>
      </w:r>
      <w:r w:rsidR="008551A2">
        <w:rPr>
          <w:noProof/>
          <w:lang w:val="de-DE" w:eastAsia="de-DE"/>
        </w:rPr>
        <mc:AlternateContent>
          <mc:Choice Requires="wpc">
            <w:drawing>
              <wp:anchor distT="0" distB="0" distL="114300" distR="114300" simplePos="0" relativeHeight="251648512" behindDoc="0" locked="0" layoutInCell="1" allowOverlap="1" wp14:anchorId="1EA2A3C5" wp14:editId="1795FB78">
                <wp:simplePos x="0" y="0"/>
                <wp:positionH relativeFrom="margin">
                  <wp:posOffset>308610</wp:posOffset>
                </wp:positionH>
                <wp:positionV relativeFrom="paragraph">
                  <wp:posOffset>6530340</wp:posOffset>
                </wp:positionV>
                <wp:extent cx="6111240" cy="1737360"/>
                <wp:effectExtent l="0" t="0" r="0" b="0"/>
                <wp:wrapNone/>
                <wp:docPr id="16" name="Canvas 1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w15="http://schemas.microsoft.com/office/word/2012/wordml">
            <w:pict>
              <v:group w14:anchorId="06C34B26" id="Canvas 13" o:spid="_x0000_s1026" editas="canvas" style="position:absolute;margin-left:24.3pt;margin-top:514.2pt;width:481.2pt;height:136.8pt;z-index:251648512;mso-position-horizontal-relative:margin" coordsize="61112,1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12;height:17373;visibility:visible;mso-wrap-style:square">
                  <v:fill o:detectmouseclick="t"/>
                  <v:path o:connecttype="none"/>
                </v:shape>
                <w10:wrap anchorx="margin"/>
              </v:group>
            </w:pict>
          </mc:Fallback>
        </mc:AlternateContent>
      </w:r>
      <w:r w:rsidR="007E74CF" w:rsidRPr="006074A9">
        <w:rPr>
          <w:lang w:val="fr-FR"/>
        </w:rPr>
        <w:br w:type="column"/>
      </w:r>
    </w:p>
    <w:p w14:paraId="3389F193" w14:textId="77777777" w:rsidR="00EE1705" w:rsidRDefault="00EE1705" w:rsidP="00EE1705">
      <w:pPr>
        <w:spacing w:line="276" w:lineRule="auto"/>
        <w:mirrorIndents/>
      </w:pPr>
      <w:proofErr w:type="gramStart"/>
      <w:r>
        <w:t>Figure 3.</w:t>
      </w:r>
      <w:proofErr w:type="gramEnd"/>
      <w:r>
        <w:t xml:space="preserve"> Integrated Exposure Risk functions for GBD 2010, 2013 and 2015.</w:t>
      </w:r>
    </w:p>
    <w:p w14:paraId="4E0575E2" w14:textId="77777777" w:rsidR="00EE1705" w:rsidRDefault="00EE1705" w:rsidP="00EE1705">
      <w:r w:rsidRPr="0068590D">
        <w:rPr>
          <w:noProof/>
          <w:lang w:val="de-DE" w:eastAsia="de-DE"/>
        </w:rPr>
        <w:drawing>
          <wp:inline distT="0" distB="0" distL="0" distR="0" wp14:anchorId="2FEAC77F" wp14:editId="5CF410F4">
            <wp:extent cx="2773680" cy="2095500"/>
            <wp:effectExtent l="19050" t="19050" r="2667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74407" cy="2096049"/>
                    </a:xfrm>
                    <a:prstGeom prst="rect">
                      <a:avLst/>
                    </a:prstGeom>
                    <a:noFill/>
                    <a:ln w="12700">
                      <a:solidFill>
                        <a:schemeClr val="tx1"/>
                      </a:solidFill>
                    </a:ln>
                  </pic:spPr>
                </pic:pic>
              </a:graphicData>
            </a:graphic>
          </wp:inline>
        </w:drawing>
      </w:r>
      <w:r w:rsidRPr="0068590D">
        <w:rPr>
          <w:noProof/>
          <w:lang w:val="de-DE" w:eastAsia="de-DE"/>
        </w:rPr>
        <w:drawing>
          <wp:inline distT="0" distB="0" distL="0" distR="0" wp14:anchorId="1A3B405D" wp14:editId="6E20F82A">
            <wp:extent cx="2907587" cy="2097405"/>
            <wp:effectExtent l="19050" t="19050" r="26670" b="1714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18256" cy="2105101"/>
                    </a:xfrm>
                    <a:prstGeom prst="rect">
                      <a:avLst/>
                    </a:prstGeom>
                    <a:noFill/>
                    <a:ln w="12700">
                      <a:solidFill>
                        <a:schemeClr val="tx1"/>
                      </a:solidFill>
                    </a:ln>
                  </pic:spPr>
                </pic:pic>
              </a:graphicData>
            </a:graphic>
          </wp:inline>
        </w:drawing>
      </w:r>
    </w:p>
    <w:p w14:paraId="42884501" w14:textId="77777777" w:rsidR="00EE1705" w:rsidRDefault="00EE1705" w:rsidP="00EE1705">
      <w:r w:rsidRPr="0068590D">
        <w:rPr>
          <w:noProof/>
          <w:lang w:val="de-DE" w:eastAsia="de-DE"/>
        </w:rPr>
        <w:drawing>
          <wp:inline distT="0" distB="0" distL="0" distR="0" wp14:anchorId="01DD4EEF" wp14:editId="2229DB0D">
            <wp:extent cx="2773680" cy="1996440"/>
            <wp:effectExtent l="19050" t="19050" r="26670" b="2286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78957" cy="2000238"/>
                    </a:xfrm>
                    <a:prstGeom prst="rect">
                      <a:avLst/>
                    </a:prstGeom>
                    <a:noFill/>
                    <a:ln w="12700">
                      <a:solidFill>
                        <a:schemeClr val="tx1"/>
                      </a:solidFill>
                    </a:ln>
                  </pic:spPr>
                </pic:pic>
              </a:graphicData>
            </a:graphic>
          </wp:inline>
        </w:drawing>
      </w:r>
      <w:r w:rsidRPr="0068590D">
        <w:rPr>
          <w:noProof/>
          <w:lang w:val="de-DE" w:eastAsia="de-DE"/>
        </w:rPr>
        <w:drawing>
          <wp:inline distT="0" distB="0" distL="0" distR="0" wp14:anchorId="3AC54C5B" wp14:editId="3E0F063E">
            <wp:extent cx="2903220" cy="1998980"/>
            <wp:effectExtent l="19050" t="19050" r="11430" b="203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04044" cy="1999547"/>
                    </a:xfrm>
                    <a:prstGeom prst="rect">
                      <a:avLst/>
                    </a:prstGeom>
                    <a:noFill/>
                    <a:ln w="12700">
                      <a:solidFill>
                        <a:schemeClr val="tx1"/>
                      </a:solidFill>
                    </a:ln>
                  </pic:spPr>
                </pic:pic>
              </a:graphicData>
            </a:graphic>
          </wp:inline>
        </w:drawing>
      </w:r>
    </w:p>
    <w:p w14:paraId="00CC1268" w14:textId="77777777" w:rsidR="00EE1705" w:rsidRPr="00AF0917" w:rsidRDefault="00EE1705" w:rsidP="00EE1705">
      <w:pPr>
        <w:rPr>
          <w:vertAlign w:val="subscript"/>
        </w:rPr>
      </w:pPr>
    </w:p>
    <w:p w14:paraId="5EB0A04D" w14:textId="77777777" w:rsidR="00EE1705" w:rsidRPr="006074A9" w:rsidRDefault="00EE1705" w:rsidP="001C7270">
      <w:pPr>
        <w:rPr>
          <w:lang w:val="fr-FR"/>
        </w:rPr>
      </w:pPr>
    </w:p>
    <w:p w14:paraId="19185AF0" w14:textId="3B9D74C6" w:rsidR="00A60177" w:rsidRPr="006074A9" w:rsidRDefault="00EE1705" w:rsidP="00A60177">
      <w:pPr>
        <w:tabs>
          <w:tab w:val="left" w:pos="1530"/>
        </w:tabs>
        <w:spacing w:after="0" w:line="360" w:lineRule="auto"/>
        <w:rPr>
          <w:lang w:val="fr-FR"/>
        </w:rPr>
      </w:pPr>
      <w:r>
        <w:rPr>
          <w:lang w:val="fr-FR"/>
        </w:rPr>
        <w:br w:type="column"/>
      </w:r>
    </w:p>
    <w:p w14:paraId="5665650E" w14:textId="0BF15D6D" w:rsidR="00A60177" w:rsidRDefault="00A60177" w:rsidP="00A60177">
      <w:pPr>
        <w:tabs>
          <w:tab w:val="left" w:pos="180"/>
          <w:tab w:val="left" w:pos="360"/>
        </w:tabs>
        <w:spacing w:after="0"/>
      </w:pPr>
      <w:proofErr w:type="gramStart"/>
      <w:r>
        <w:t xml:space="preserve">Figure </w:t>
      </w:r>
      <w:r w:rsidR="00EE1705">
        <w:t>4</w:t>
      </w:r>
      <w:r>
        <w:t>.</w:t>
      </w:r>
      <w:proofErr w:type="gramEnd"/>
      <w:r>
        <w:t xml:space="preserve"> </w:t>
      </w:r>
      <w:proofErr w:type="gramStart"/>
      <w:r>
        <w:t>Effect of Changes in Exposures and IERs</w:t>
      </w:r>
      <w:r w:rsidR="000D33A0">
        <w:t xml:space="preserve"> </w:t>
      </w:r>
      <w:r w:rsidR="001370BE">
        <w:t>on</w:t>
      </w:r>
      <w:r w:rsidR="000D33A0">
        <w:t xml:space="preserve"> estimated mortality</w:t>
      </w:r>
      <w:r>
        <w:t xml:space="preserve"> from 2013 to 2015.</w:t>
      </w:r>
      <w:proofErr w:type="gramEnd"/>
    </w:p>
    <w:p w14:paraId="0AE2A8F3" w14:textId="77777777" w:rsidR="00A60177" w:rsidRDefault="0052566E" w:rsidP="00A60177">
      <w:pPr>
        <w:tabs>
          <w:tab w:val="left" w:pos="180"/>
          <w:tab w:val="left" w:pos="360"/>
        </w:tabs>
        <w:spacing w:after="0"/>
      </w:pPr>
      <w:r w:rsidRPr="00D91120">
        <w:rPr>
          <w:noProof/>
          <w:lang w:val="de-DE" w:eastAsia="de-DE"/>
        </w:rPr>
        <w:drawing>
          <wp:inline distT="0" distB="0" distL="0" distR="0" wp14:anchorId="60718073" wp14:editId="7D59AB58">
            <wp:extent cx="5943600" cy="3312795"/>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cstate="print"/>
                    <a:stretch>
                      <a:fillRect/>
                    </a:stretch>
                  </pic:blipFill>
                  <pic:spPr>
                    <a:xfrm>
                      <a:off x="0" y="0"/>
                      <a:ext cx="5943600" cy="3312795"/>
                    </a:xfrm>
                    <a:prstGeom prst="rect">
                      <a:avLst/>
                    </a:prstGeom>
                  </pic:spPr>
                </pic:pic>
              </a:graphicData>
            </a:graphic>
          </wp:inline>
        </w:drawing>
      </w:r>
    </w:p>
    <w:p w14:paraId="3478241B" w14:textId="77777777" w:rsidR="00A60177" w:rsidRPr="009E5C9D" w:rsidRDefault="00A60177" w:rsidP="00A60177">
      <w:pPr>
        <w:tabs>
          <w:tab w:val="left" w:pos="180"/>
          <w:tab w:val="left" w:pos="360"/>
        </w:tabs>
        <w:spacing w:after="0"/>
        <w:rPr>
          <w:vanish/>
          <w:specVanish/>
        </w:rPr>
      </w:pPr>
    </w:p>
    <w:p w14:paraId="000DF1A2" w14:textId="05EC2EB6" w:rsidR="00A60177" w:rsidRDefault="00A60177" w:rsidP="00A60177">
      <w:pPr>
        <w:tabs>
          <w:tab w:val="left" w:pos="180"/>
          <w:tab w:val="left" w:pos="360"/>
        </w:tabs>
        <w:spacing w:after="0"/>
      </w:pPr>
      <w:r>
        <w:t xml:space="preserve"> </w:t>
      </w:r>
      <w:r w:rsidR="0052566E">
        <w:t xml:space="preserve">Note: The percent change in column 4 is greater than the sum of columns 2 and 3 due to the combination of the increase in exposure and risks. </w:t>
      </w:r>
      <w:r w:rsidR="00C1160C">
        <w:t xml:space="preserve">The scenarios are based on a counterfactual that varies between </w:t>
      </w:r>
      <w:r w:rsidR="00C1160C">
        <w:rPr>
          <w:b/>
        </w:rPr>
        <w:t>4.9 to 5.9 µ</w:t>
      </w:r>
      <w:r w:rsidR="00C1160C" w:rsidRPr="001A13EE">
        <w:rPr>
          <w:b/>
        </w:rPr>
        <w:t>g/m</w:t>
      </w:r>
      <w:r w:rsidR="00C1160C" w:rsidRPr="00C1160C">
        <w:rPr>
          <w:b/>
          <w:vertAlign w:val="superscript"/>
        </w:rPr>
        <w:t>3</w:t>
      </w:r>
      <w:r w:rsidR="00C1160C" w:rsidRPr="001A13EE">
        <w:rPr>
          <w:b/>
        </w:rPr>
        <w:t xml:space="preserve"> for </w:t>
      </w:r>
      <w:r w:rsidR="00C1160C">
        <w:rPr>
          <w:b/>
        </w:rPr>
        <w:t xml:space="preserve">GBD 2013 and from 2.3 </w:t>
      </w:r>
      <w:proofErr w:type="gramStart"/>
      <w:r w:rsidR="00C1160C">
        <w:rPr>
          <w:b/>
        </w:rPr>
        <w:t>to 3.4 µ</w:t>
      </w:r>
      <w:r w:rsidR="00C1160C" w:rsidRPr="001A13EE">
        <w:rPr>
          <w:b/>
        </w:rPr>
        <w:t>g/m</w:t>
      </w:r>
      <w:r w:rsidR="00C1160C" w:rsidRPr="00447FC8">
        <w:rPr>
          <w:b/>
          <w:vertAlign w:val="superscript"/>
        </w:rPr>
        <w:t>3</w:t>
      </w:r>
      <w:r w:rsidR="00C1160C" w:rsidRPr="001A13EE">
        <w:rPr>
          <w:b/>
        </w:rPr>
        <w:t xml:space="preserve"> for</w:t>
      </w:r>
      <w:r w:rsidR="00C1160C">
        <w:rPr>
          <w:b/>
        </w:rPr>
        <w:t xml:space="preserve"> </w:t>
      </w:r>
      <w:r w:rsidR="00C1160C">
        <w:t>GBD 2015</w:t>
      </w:r>
      <w:proofErr w:type="gramEnd"/>
    </w:p>
    <w:p w14:paraId="31FB94D1" w14:textId="4599CA22" w:rsidR="00A60177" w:rsidRDefault="00A60177" w:rsidP="00A60177">
      <w:pPr>
        <w:tabs>
          <w:tab w:val="left" w:pos="180"/>
          <w:tab w:val="left" w:pos="360"/>
        </w:tabs>
        <w:spacing w:after="0"/>
      </w:pPr>
      <w:r>
        <w:br w:type="column"/>
      </w:r>
      <w:proofErr w:type="gramStart"/>
      <w:r w:rsidR="003B4E0B">
        <w:lastRenderedPageBreak/>
        <w:t xml:space="preserve">Figure </w:t>
      </w:r>
      <w:r w:rsidR="00EE1705">
        <w:t>5</w:t>
      </w:r>
      <w:r>
        <w:t>.</w:t>
      </w:r>
      <w:proofErr w:type="gramEnd"/>
      <w:r>
        <w:t xml:space="preserve"> </w:t>
      </w:r>
      <w:proofErr w:type="gramStart"/>
      <w:r>
        <w:t>Disease-specific Mortality for Alternative Assumptions in GBD 2013 and GBD 2015.</w:t>
      </w:r>
      <w:proofErr w:type="gramEnd"/>
      <w:r>
        <w:t xml:space="preserve">  </w:t>
      </w:r>
    </w:p>
    <w:p w14:paraId="6C6953C8" w14:textId="37EC4249" w:rsidR="001C7270" w:rsidRDefault="003B4E0B" w:rsidP="001C7270">
      <w:pPr>
        <w:rPr>
          <w:rFonts w:eastAsia="Times New Roman"/>
        </w:rPr>
      </w:pPr>
      <w:r w:rsidRPr="00BB430D">
        <w:rPr>
          <w:noProof/>
          <w:lang w:val="de-DE" w:eastAsia="de-DE"/>
        </w:rPr>
        <w:drawing>
          <wp:inline distT="0" distB="0" distL="0" distR="0" wp14:anchorId="740F3A90" wp14:editId="0746A03A">
            <wp:extent cx="5943600" cy="3657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cstate="print"/>
                    <a:stretch>
                      <a:fillRect/>
                    </a:stretch>
                  </pic:blipFill>
                  <pic:spPr>
                    <a:xfrm>
                      <a:off x="0" y="0"/>
                      <a:ext cx="5946941" cy="3659656"/>
                    </a:xfrm>
                    <a:prstGeom prst="rect">
                      <a:avLst/>
                    </a:prstGeom>
                  </pic:spPr>
                </pic:pic>
              </a:graphicData>
            </a:graphic>
          </wp:inline>
        </w:drawing>
      </w:r>
      <w:r w:rsidR="00A60177">
        <w:br w:type="column"/>
      </w:r>
      <w:proofErr w:type="gramStart"/>
      <w:r w:rsidR="001C7270" w:rsidRPr="00ED4D3A">
        <w:lastRenderedPageBreak/>
        <w:t xml:space="preserve">Figure </w:t>
      </w:r>
      <w:r w:rsidR="00EE1705">
        <w:t>6</w:t>
      </w:r>
      <w:r w:rsidR="001C7270" w:rsidRPr="00ED4D3A">
        <w:t>.</w:t>
      </w:r>
      <w:proofErr w:type="gramEnd"/>
      <w:r w:rsidR="001C7270" w:rsidRPr="00ED4D3A">
        <w:t xml:space="preserve"> </w:t>
      </w:r>
      <w:r w:rsidR="001C7270" w:rsidRPr="00ED4D3A">
        <w:rPr>
          <w:rFonts w:eastAsia="Times New Roman"/>
        </w:rPr>
        <w:t>Time Series of GBD mortality based on IHME Software using GBD 2015 exposure and IER methodology</w:t>
      </w:r>
    </w:p>
    <w:p w14:paraId="7D4DA844" w14:textId="77777777" w:rsidR="00E474F5" w:rsidRDefault="00E474F5" w:rsidP="00E474F5">
      <w:r w:rsidRPr="00F427DB">
        <w:rPr>
          <w:noProof/>
          <w:lang w:val="de-DE" w:eastAsia="de-DE"/>
        </w:rPr>
        <w:drawing>
          <wp:inline distT="0" distB="0" distL="0" distR="0" wp14:anchorId="71417F19" wp14:editId="78B5C955">
            <wp:extent cx="5852160" cy="4372924"/>
            <wp:effectExtent l="0" t="0" r="0" b="889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67543" cy="4384419"/>
                    </a:xfrm>
                    <a:prstGeom prst="rect">
                      <a:avLst/>
                    </a:prstGeom>
                    <a:noFill/>
                    <a:ln>
                      <a:noFill/>
                    </a:ln>
                  </pic:spPr>
                </pic:pic>
              </a:graphicData>
            </a:graphic>
          </wp:inline>
        </w:drawing>
      </w:r>
    </w:p>
    <w:p w14:paraId="25C74CF3" w14:textId="16E358E0" w:rsidR="00386ADE" w:rsidRDefault="00E474F5" w:rsidP="00AC282E">
      <w:pPr>
        <w:spacing w:before="165" w:after="165"/>
      </w:pPr>
      <w:r w:rsidRPr="003246FC">
        <w:rPr>
          <w:noProof/>
          <w:lang w:val="de-DE" w:eastAsia="de-DE"/>
        </w:rPr>
        <mc:AlternateContent>
          <mc:Choice Requires="wps">
            <w:drawing>
              <wp:anchor distT="0" distB="0" distL="114300" distR="114300" simplePos="0" relativeHeight="251679232" behindDoc="0" locked="0" layoutInCell="1" allowOverlap="1" wp14:anchorId="70F9A767" wp14:editId="34981F6B">
                <wp:simplePos x="0" y="0"/>
                <wp:positionH relativeFrom="column">
                  <wp:posOffset>2423160</wp:posOffset>
                </wp:positionH>
                <wp:positionV relativeFrom="paragraph">
                  <wp:posOffset>2796540</wp:posOffset>
                </wp:positionV>
                <wp:extent cx="655320" cy="251460"/>
                <wp:effectExtent l="0" t="0" r="0" b="0"/>
                <wp:wrapNone/>
                <wp:docPr id="24" name="Text Box 24"/>
                <wp:cNvGraphicFramePr/>
                <a:graphic xmlns:a="http://schemas.openxmlformats.org/drawingml/2006/main">
                  <a:graphicData uri="http://schemas.microsoft.com/office/word/2010/wordprocessingShape">
                    <wps:wsp>
                      <wps:cNvSpPr txBox="1"/>
                      <wps:spPr>
                        <a:xfrm>
                          <a:off x="0" y="0"/>
                          <a:ext cx="65532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AD22664" w14:textId="77777777" w:rsidR="00E60BCB" w:rsidRDefault="00E60BCB" w:rsidP="00E474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70F9A767" id="Text Box 24" o:spid="_x0000_s1032" type="#_x0000_t202" style="position:absolute;margin-left:190.8pt;margin-top:220.2pt;width:51.6pt;height:19.8pt;z-index:25167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" fillcolor="white [3201]" stroked="f" strokeweight=".5pt">
                <v:textbox>
                  <w:txbxContent>
                    <w:p w14:paraId="1AD22664" w14:textId="77777777" w:rsidR="00E60BCB" w:rsidRDefault="00E60BCB" w:rsidP="00E474F5"/>
                  </w:txbxContent>
                </v:textbox>
              </v:shape>
            </w:pict>
          </mc:Fallback>
        </mc:AlternateContent>
      </w:r>
      <w:r w:rsidRPr="003246FC">
        <w:rPr>
          <w:noProof/>
          <w:lang w:val="de-DE" w:eastAsia="de-DE"/>
        </w:rPr>
        <mc:AlternateContent>
          <mc:Choice Requires="wps">
            <w:drawing>
              <wp:anchor distT="0" distB="0" distL="114300" distR="114300" simplePos="0" relativeHeight="251678208" behindDoc="0" locked="0" layoutInCell="1" allowOverlap="1" wp14:anchorId="4AFA0F3B" wp14:editId="76272F95">
                <wp:simplePos x="0" y="0"/>
                <wp:positionH relativeFrom="column">
                  <wp:posOffset>929640</wp:posOffset>
                </wp:positionH>
                <wp:positionV relativeFrom="paragraph">
                  <wp:posOffset>2811780</wp:posOffset>
                </wp:positionV>
                <wp:extent cx="708660" cy="27432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708660" cy="2743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1F3FA79" w14:textId="77777777" w:rsidR="00E60BCB" w:rsidRDefault="00E60BCB" w:rsidP="00E474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5="http://schemas.microsoft.com/office/word/2012/wordml">
            <w:pict>
              <v:shape w14:anchorId="4AFA0F3B" id="Text Box 25" o:spid="_x0000_s1033" type="#_x0000_t202" style="position:absolute;margin-left:73.2pt;margin-top:221.4pt;width:55.8pt;height:21.6pt;z-index:2516782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" fillcolor="white [3201]" stroked="f" strokeweight=".5pt">
                <v:textbox>
                  <w:txbxContent>
                    <w:p w14:paraId="21F3FA79" w14:textId="77777777" w:rsidR="00E60BCB" w:rsidRDefault="00E60BCB" w:rsidP="00E474F5"/>
                  </w:txbxContent>
                </v:textbox>
              </v:shape>
            </w:pict>
          </mc:Fallback>
        </mc:AlternateContent>
      </w:r>
      <w:r w:rsidRPr="00F427DB">
        <w:rPr>
          <w:noProof/>
          <w:lang w:val="de-DE" w:eastAsia="de-DE"/>
        </w:rPr>
        <w:drawing>
          <wp:inline distT="0" distB="0" distL="0" distR="0" wp14:anchorId="58596F92" wp14:editId="292CE31B">
            <wp:extent cx="5942330" cy="2865120"/>
            <wp:effectExtent l="0" t="0" r="127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50268" cy="2868947"/>
                    </a:xfrm>
                    <a:prstGeom prst="rect">
                      <a:avLst/>
                    </a:prstGeom>
                    <a:noFill/>
                    <a:ln>
                      <a:noFill/>
                    </a:ln>
                  </pic:spPr>
                </pic:pic>
              </a:graphicData>
            </a:graphic>
          </wp:inline>
        </w:drawing>
      </w:r>
      <w:r w:rsidRPr="003246FC">
        <w:rPr>
          <w:noProof/>
          <w:lang w:val="de-DE" w:eastAsia="de-DE"/>
        </w:rPr>
        <mc:AlternateContent>
          <mc:Choice Requires="wps">
            <w:drawing>
              <wp:anchor distT="0" distB="0" distL="114300" distR="114300" simplePos="0" relativeHeight="251682304" behindDoc="0" locked="0" layoutInCell="1" allowOverlap="1" wp14:anchorId="58FFCF74" wp14:editId="68C68874">
                <wp:simplePos x="0" y="0"/>
                <wp:positionH relativeFrom="margin">
                  <wp:posOffset>4762500</wp:posOffset>
                </wp:positionH>
                <wp:positionV relativeFrom="paragraph">
                  <wp:posOffset>5326380</wp:posOffset>
                </wp:positionV>
                <wp:extent cx="1261872" cy="259080"/>
                <wp:effectExtent l="0" t="0" r="0" b="7620"/>
                <wp:wrapNone/>
                <wp:docPr id="26" name="Text Box 26"/>
                <wp:cNvGraphicFramePr/>
                <a:graphic xmlns:a="http://schemas.openxmlformats.org/drawingml/2006/main">
                  <a:graphicData uri="http://schemas.microsoft.com/office/word/2010/wordprocessingShape">
                    <wps:wsp>
                      <wps:cNvSpPr txBox="1"/>
                      <wps:spPr>
                        <a:xfrm>
                          <a:off x="0" y="0"/>
                          <a:ext cx="1261872"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0D149" w14:textId="77777777" w:rsidR="00E60BCB" w:rsidRDefault="00E60BCB" w:rsidP="00E474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8FFCF74" id="Text Box 26" o:spid="_x0000_s1034" type="#_x0000_t202" style="position:absolute;margin-left:375pt;margin-top:419.4pt;width:99.35pt;height:20.4pt;z-index:251682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" fillcolor="white [3201]" stroked="f" strokeweight=".5pt">
                <v:textbox>
                  <w:txbxContent>
                    <w:p w14:paraId="5840D149" w14:textId="77777777" w:rsidR="00E60BCB" w:rsidRDefault="00E60BCB" w:rsidP="00E474F5"/>
                  </w:txbxContent>
                </v:textbox>
                <w10:wrap anchorx="margin"/>
              </v:shape>
            </w:pict>
          </mc:Fallback>
        </mc:AlternateContent>
      </w:r>
      <w:r w:rsidRPr="003246FC">
        <w:rPr>
          <w:noProof/>
          <w:lang w:val="de-DE" w:eastAsia="de-DE"/>
        </w:rPr>
        <mc:AlternateContent>
          <mc:Choice Requires="wps">
            <w:drawing>
              <wp:anchor distT="0" distB="0" distL="114300" distR="114300" simplePos="0" relativeHeight="251680256" behindDoc="0" locked="0" layoutInCell="1" allowOverlap="1" wp14:anchorId="236DB8E3" wp14:editId="435AA1C6">
                <wp:simplePos x="0" y="0"/>
                <wp:positionH relativeFrom="column">
                  <wp:posOffset>2217420</wp:posOffset>
                </wp:positionH>
                <wp:positionV relativeFrom="paragraph">
                  <wp:posOffset>3855720</wp:posOffset>
                </wp:positionV>
                <wp:extent cx="2964180" cy="251460"/>
                <wp:effectExtent l="0" t="0" r="7620" b="0"/>
                <wp:wrapNone/>
                <wp:docPr id="27" name="Text Box 27"/>
                <wp:cNvGraphicFramePr/>
                <a:graphic xmlns:a="http://schemas.openxmlformats.org/drawingml/2006/main">
                  <a:graphicData uri="http://schemas.microsoft.com/office/word/2010/wordprocessingShape">
                    <wps:wsp>
                      <wps:cNvSpPr txBox="1"/>
                      <wps:spPr>
                        <a:xfrm>
                          <a:off x="0" y="0"/>
                          <a:ext cx="296418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616E44" w14:textId="77777777" w:rsidR="00E60BCB" w:rsidRDefault="00E60BCB" w:rsidP="00E474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36DB8E3" id="Text Box 27" o:spid="_x0000_s1035" type="#_x0000_t202" style="position:absolute;margin-left:174.6pt;margin-top:303.6pt;width:233.4pt;height:19.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" fillcolor="white [3201]" stroked="f" strokeweight=".5pt">
                <v:textbox>
                  <w:txbxContent>
                    <w:p w14:paraId="12616E44" w14:textId="77777777" w:rsidR="00E60BCB" w:rsidRDefault="00E60BCB" w:rsidP="00E474F5"/>
                  </w:txbxContent>
                </v:textbox>
              </v:shape>
            </w:pict>
          </mc:Fallback>
        </mc:AlternateContent>
      </w:r>
      <w:r w:rsidRPr="003246FC">
        <w:rPr>
          <w:noProof/>
          <w:lang w:val="de-DE" w:eastAsia="de-DE"/>
        </w:rPr>
        <mc:AlternateContent>
          <mc:Choice Requires="wps">
            <w:drawing>
              <wp:anchor distT="0" distB="0" distL="114300" distR="114300" simplePos="0" relativeHeight="251681280" behindDoc="0" locked="0" layoutInCell="1" allowOverlap="1" wp14:anchorId="06FD0372" wp14:editId="3379F013">
                <wp:simplePos x="0" y="0"/>
                <wp:positionH relativeFrom="column">
                  <wp:posOffset>2514600</wp:posOffset>
                </wp:positionH>
                <wp:positionV relativeFrom="paragraph">
                  <wp:posOffset>4770120</wp:posOffset>
                </wp:positionV>
                <wp:extent cx="1600200" cy="25146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1600200" cy="25146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6622ED9" w14:textId="77777777" w:rsidR="00E60BCB" w:rsidRDefault="00E60BCB" w:rsidP="00E474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5="http://schemas.microsoft.com/office/word/2012/wordml">
            <w:pict>
              <v:shape w14:anchorId="06FD0372" id="Text Box 28" o:spid="_x0000_s1036" type="#_x0000_t202" style="position:absolute;margin-left:198pt;margin-top:375.6pt;width:126pt;height:19.8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" fillcolor="white [3201]" stroked="f" strokeweight=".5pt">
                <v:textbox>
                  <w:txbxContent>
                    <w:p w14:paraId="46622ED9" w14:textId="77777777" w:rsidR="00E60BCB" w:rsidRDefault="00E60BCB" w:rsidP="00E474F5"/>
                  </w:txbxContent>
                </v:textbox>
              </v:shape>
            </w:pict>
          </mc:Fallback>
        </mc:AlternateContent>
      </w:r>
      <w:r w:rsidRPr="003246FC">
        <w:rPr>
          <w:noProof/>
          <w:lang w:val="de-DE" w:eastAsia="de-DE"/>
        </w:rPr>
        <mc:AlternateContent>
          <mc:Choice Requires="wps">
            <w:drawing>
              <wp:anchor distT="0" distB="0" distL="114300" distR="114300" simplePos="0" relativeHeight="251683328" behindDoc="0" locked="0" layoutInCell="1" allowOverlap="1" wp14:anchorId="67FBE390" wp14:editId="45560346">
                <wp:simplePos x="0" y="0"/>
                <wp:positionH relativeFrom="column">
                  <wp:posOffset>1432560</wp:posOffset>
                </wp:positionH>
                <wp:positionV relativeFrom="paragraph">
                  <wp:posOffset>5623560</wp:posOffset>
                </wp:positionV>
                <wp:extent cx="1356360" cy="228600"/>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35636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B2C45C" w14:textId="77777777" w:rsidR="00E60BCB" w:rsidRDefault="00E60BCB" w:rsidP="00E474F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shape w14:anchorId="67FBE390" id="Text Box 29" o:spid="_x0000_s1037" type="#_x0000_t202" style="position:absolute;margin-left:112.8pt;margin-top:442.8pt;width:106.8pt;height:18pt;z-index:2516833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" fillcolor="white [3201]" stroked="f" strokeweight=".5pt">
                <v:textbox>
                  <w:txbxContent>
                    <w:p w14:paraId="49B2C45C" w14:textId="77777777" w:rsidR="00E60BCB" w:rsidRDefault="00E60BCB" w:rsidP="00E474F5"/>
                  </w:txbxContent>
                </v:textbox>
              </v:shape>
            </w:pict>
          </mc:Fallback>
        </mc:AlternateContent>
      </w:r>
      <w:r w:rsidRPr="003246FC">
        <w:rPr>
          <w:noProof/>
          <w:lang w:val="de-DE" w:eastAsia="de-DE"/>
        </w:rPr>
        <mc:AlternateContent>
          <mc:Choice Requires="wpc">
            <w:drawing>
              <wp:anchor distT="0" distB="0" distL="114300" distR="114300" simplePos="0" relativeHeight="251677184" behindDoc="0" locked="0" layoutInCell="1" allowOverlap="1" wp14:anchorId="0FC866DB" wp14:editId="161E8B8B">
                <wp:simplePos x="0" y="0"/>
                <wp:positionH relativeFrom="margin">
                  <wp:posOffset>308610</wp:posOffset>
                </wp:positionH>
                <wp:positionV relativeFrom="paragraph">
                  <wp:posOffset>6530340</wp:posOffset>
                </wp:positionV>
                <wp:extent cx="6111240" cy="1737360"/>
                <wp:effectExtent l="0" t="0" r="0" b="0"/>
                <wp:wrapNone/>
                <wp:docPr id="13" name="Canvas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14:sizeRelH relativeFrom="page">
                  <wp14:pctWidth>0</wp14:pctWidth>
                </wp14:sizeRelH>
                <wp14:sizeRelV relativeFrom="page">
                  <wp14:pctHeight>0</wp14:pctHeight>
                </wp14:sizeRelV>
              </wp:anchor>
            </w:drawing>
          </mc:Choice>
          <mc:Fallback xmlns:w15="http://schemas.microsoft.com/office/word/2012/wordml">
            <w:pict>
              <v:group w14:anchorId="264728ED" id="Canvas 13" o:spid="_x0000_s1026" editas="canvas" style="position:absolute;margin-left:24.3pt;margin-top:514.2pt;width:481.2pt;height:136.8pt;z-index:251677184;mso-position-horizontal-relative:margin" coordsize="61112,173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">
                <v:shape id="_x0000_s1027" type="#_x0000_t75" style="position:absolute;width:61112;height:17373;visibility:visible;mso-wrap-style:square">
                  <v:fill o:detectmouseclick="t"/>
                  <v:path o:connecttype="none"/>
                </v:shape>
                <w10:wrap anchorx="margin"/>
              </v:group>
            </w:pict>
          </mc:Fallback>
        </mc:AlternateContent>
      </w:r>
      <w:r w:rsidRPr="003246FC">
        <w:br w:type="column"/>
      </w:r>
      <w:proofErr w:type="gramStart"/>
      <w:r w:rsidR="00386ADE">
        <w:lastRenderedPageBreak/>
        <w:t xml:space="preserve">Appendix A. </w:t>
      </w:r>
      <w:r w:rsidR="00640058">
        <w:t xml:space="preserve">Number of </w:t>
      </w:r>
      <w:r w:rsidR="00AC282E">
        <w:t xml:space="preserve">Ground measurements </w:t>
      </w:r>
      <w:r w:rsidR="00640058">
        <w:t>from Each Country Used in GBD 2015</w:t>
      </w:r>
      <w:r w:rsidR="00C02741">
        <w:t xml:space="preserve"> (</w:t>
      </w:r>
      <w:r w:rsidR="00C02741" w:rsidRPr="00C02741">
        <w:t>Ambient Air Pollution Database, WHO, 2016</w:t>
      </w:r>
      <w:r w:rsidR="001370BE">
        <w:t>b</w:t>
      </w:r>
      <w:r w:rsidR="00C02741" w:rsidRPr="00C02741">
        <w:t>.</w:t>
      </w:r>
      <w:r w:rsidR="00C02741">
        <w:t>)</w:t>
      </w:r>
      <w:proofErr w:type="gramEnd"/>
      <w:r w:rsidR="00487465">
        <w:rPr>
          <w:noProof/>
          <w:lang w:val="de-DE" w:eastAsia="de-DE"/>
        </w:rPr>
        <mc:AlternateContent>
          <mc:Choice Requires="wps">
            <w:drawing>
              <wp:anchor distT="0" distB="0" distL="114300" distR="114300" simplePos="0" relativeHeight="251674112" behindDoc="0" locked="0" layoutInCell="1" allowOverlap="1" wp14:anchorId="612FC111" wp14:editId="0EA6047F">
                <wp:simplePos x="0" y="0"/>
                <wp:positionH relativeFrom="margin">
                  <wp:posOffset>5387340</wp:posOffset>
                </wp:positionH>
                <wp:positionV relativeFrom="paragraph">
                  <wp:posOffset>5326380</wp:posOffset>
                </wp:positionV>
                <wp:extent cx="675005" cy="259080"/>
                <wp:effectExtent l="0" t="0" r="0" b="7620"/>
                <wp:wrapNone/>
                <wp:docPr id="262" name="Text Box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 cy="2590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283C311" w14:textId="77777777" w:rsidR="00E60BCB" w:rsidRDefault="00E60BCB" w:rsidP="001C72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2FC111" id="Text Box 262" o:spid="_x0000_s1038" type="#_x0000_t202" style="position:absolute;margin-left:424.2pt;margin-top:419.4pt;width:53.15pt;height:20.4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" fillcolor="white [3201]" stroked="f" strokeweight=".5pt">
                <v:path arrowok="t"/>
                <v:textbox>
                  <w:txbxContent>
                    <w:p w14:paraId="1283C311" w14:textId="77777777" w:rsidR="00E60BCB" w:rsidRDefault="00E60BCB" w:rsidP="001C7270"/>
                  </w:txbxContent>
                </v:textbox>
                <w10:wrap anchorx="margin"/>
              </v:shape>
            </w:pict>
          </mc:Fallback>
        </mc:AlternateContent>
      </w:r>
      <w:r>
        <w:rPr>
          <w:noProof/>
          <w:lang w:val="de-DE" w:eastAsia="de-DE"/>
        </w:rPr>
        <mc:AlternateContent>
          <mc:Choice Requires="wps">
            <w:drawing>
              <wp:anchor distT="0" distB="0" distL="114300" distR="114300" simplePos="0" relativeHeight="251675136" behindDoc="0" locked="0" layoutInCell="1" allowOverlap="1" wp14:anchorId="4A76E316" wp14:editId="2F002EB2">
                <wp:simplePos x="0" y="0"/>
                <wp:positionH relativeFrom="column">
                  <wp:posOffset>5265420</wp:posOffset>
                </wp:positionH>
                <wp:positionV relativeFrom="paragraph">
                  <wp:posOffset>5753100</wp:posOffset>
                </wp:positionV>
                <wp:extent cx="1356360" cy="228600"/>
                <wp:effectExtent l="0" t="0" r="0" b="0"/>
                <wp:wrapNone/>
                <wp:docPr id="265" name="Text Box 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636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C6A2B59" w14:textId="77777777" w:rsidR="00E60BCB" w:rsidRDefault="00E60BCB" w:rsidP="001C72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 w14:anchorId="4A76E316" id="Text Box 265" o:spid="_x0000_s1039" type="#_x0000_t202" style="position:absolute;margin-left:414.6pt;margin-top:453pt;width:106.8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" fillcolor="white [3201]" stroked="f" strokeweight=".5pt">
                <v:path arrowok="t"/>
                <v:textbox>
                  <w:txbxContent>
                    <w:p w14:paraId="7C6A2B59" w14:textId="77777777" w:rsidR="00E60BCB" w:rsidRDefault="00E60BCB" w:rsidP="001C7270"/>
                  </w:txbxContent>
                </v:textbox>
              </v:shape>
            </w:pict>
          </mc:Fallback>
        </mc:AlternateContent>
      </w:r>
      <w:r>
        <w:rPr>
          <w:noProof/>
          <w:lang w:val="de-DE" w:eastAsia="de-DE"/>
        </w:rPr>
        <mc:AlternateContent>
          <mc:Choice Requires="wps">
            <w:drawing>
              <wp:anchor distT="0" distB="0" distL="114300" distR="114300" simplePos="0" relativeHeight="251673088" behindDoc="0" locked="0" layoutInCell="1" allowOverlap="0" wp14:anchorId="000E9500" wp14:editId="1C815E8C">
                <wp:simplePos x="0" y="0"/>
                <wp:positionH relativeFrom="column">
                  <wp:posOffset>5515610</wp:posOffset>
                </wp:positionH>
                <wp:positionV relativeFrom="paragraph">
                  <wp:posOffset>4770120</wp:posOffset>
                </wp:positionV>
                <wp:extent cx="121920" cy="255905"/>
                <wp:effectExtent l="0" t="0" r="0" b="0"/>
                <wp:wrapNone/>
                <wp:docPr id="264" name="Text Box 2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 cy="25590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D0D235" w14:textId="77777777" w:rsidR="00E60BCB" w:rsidRDefault="00E60BCB" w:rsidP="001C72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5="http://schemas.microsoft.com/office/word/2012/wordml">
            <w:pict>
              <v:shape w14:anchorId="000E9500" id="Text Box 264" o:spid="_x0000_s1040" type="#_x0000_t202" style="position:absolute;margin-left:434.3pt;margin-top:375.6pt;width:9.6pt;height:20.1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" o:allowoverlap="f" fillcolor="white [3201]" stroked="f" strokeweight=".5pt">
                <v:path arrowok="t"/>
                <v:textbox>
                  <w:txbxContent>
                    <w:p w14:paraId="00D0D235" w14:textId="77777777" w:rsidR="00E60BCB" w:rsidRDefault="00E60BCB" w:rsidP="001C7270"/>
                  </w:txbxContent>
                </v:textbox>
              </v:shape>
            </w:pict>
          </mc:Fallback>
        </mc:AlternateContent>
      </w:r>
      <w:r>
        <w:rPr>
          <w:noProof/>
          <w:lang w:val="de-DE" w:eastAsia="de-DE"/>
        </w:rPr>
        <mc:AlternateContent>
          <mc:Choice Requires="wps">
            <w:drawing>
              <wp:anchor distT="0" distB="0" distL="114300" distR="114300" simplePos="0" relativeHeight="251672064" behindDoc="0" locked="0" layoutInCell="1" allowOverlap="1" wp14:anchorId="74ADB509" wp14:editId="20E3B02A">
                <wp:simplePos x="0" y="0"/>
                <wp:positionH relativeFrom="column">
                  <wp:posOffset>5067300</wp:posOffset>
                </wp:positionH>
                <wp:positionV relativeFrom="paragraph">
                  <wp:posOffset>3352800</wp:posOffset>
                </wp:positionV>
                <wp:extent cx="114300" cy="755015"/>
                <wp:effectExtent l="0" t="0" r="0" b="6985"/>
                <wp:wrapNone/>
                <wp:docPr id="263" name="Text 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300" cy="75501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88CF1AB" w14:textId="77777777" w:rsidR="00E60BCB" w:rsidRDefault="00E60BCB" w:rsidP="001C72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ADB509" id="Text Box 263" o:spid="_x0000_s1041" type="#_x0000_t202" style="position:absolute;margin-left:399pt;margin-top:264pt;width:9pt;height:59.45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" fillcolor="white [3201]" stroked="f" strokeweight=".5pt">
                <v:path arrowok="t"/>
                <v:textbox>
                  <w:txbxContent>
                    <w:p w14:paraId="588CF1AB" w14:textId="77777777" w:rsidR="00E60BCB" w:rsidRDefault="00E60BCB" w:rsidP="001C7270"/>
                  </w:txbxContent>
                </v:textbox>
              </v:shape>
            </w:pict>
          </mc:Fallback>
        </mc:AlternateContent>
      </w:r>
      <w:r w:rsidR="00640058" w:rsidRPr="00640058">
        <w:rPr>
          <w:noProof/>
          <w:lang w:val="de-DE" w:eastAsia="de-DE"/>
        </w:rPr>
        <w:drawing>
          <wp:inline distT="0" distB="0" distL="0" distR="0" wp14:anchorId="70A828FA" wp14:editId="7E38F1FB">
            <wp:extent cx="5515610" cy="782447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515610" cy="7824470"/>
                    </a:xfrm>
                    <a:prstGeom prst="rect">
                      <a:avLst/>
                    </a:prstGeom>
                    <a:noFill/>
                    <a:ln>
                      <a:noFill/>
                    </a:ln>
                  </pic:spPr>
                </pic:pic>
              </a:graphicData>
            </a:graphic>
          </wp:inline>
        </w:drawing>
      </w:r>
    </w:p>
    <w:p w14:paraId="69DFBD92" w14:textId="22C9E54D" w:rsidR="00027BBC" w:rsidRPr="0088189C" w:rsidRDefault="006F0E24" w:rsidP="00A146B0">
      <w:pPr>
        <w:tabs>
          <w:tab w:val="left" w:pos="180"/>
          <w:tab w:val="left" w:pos="360"/>
        </w:tabs>
        <w:spacing w:after="0"/>
      </w:pPr>
      <w:proofErr w:type="gramStart"/>
      <w:r w:rsidRPr="00A66EE7">
        <w:rPr>
          <w:b/>
        </w:rPr>
        <w:lastRenderedPageBreak/>
        <w:t xml:space="preserve">Appendix </w:t>
      </w:r>
      <w:r w:rsidR="00386ADE">
        <w:rPr>
          <w:b/>
        </w:rPr>
        <w:t>B</w:t>
      </w:r>
      <w:r w:rsidRPr="00A66EE7">
        <w:rPr>
          <w:b/>
        </w:rPr>
        <w:t>.</w:t>
      </w:r>
      <w:proofErr w:type="gramEnd"/>
      <w:r w:rsidRPr="00A66EE7">
        <w:rPr>
          <w:b/>
        </w:rPr>
        <w:t xml:space="preserve">  Studies used for GBD 2015 Integrated Exposure Risk Model</w:t>
      </w:r>
      <w:r w:rsidR="00027BBC">
        <w:t xml:space="preserve"> (studies </w:t>
      </w:r>
      <w:r w:rsidR="001370BE">
        <w:t>with asterisk</w:t>
      </w:r>
      <w:r w:rsidR="00027BBC">
        <w:t xml:space="preserve"> were used for LRI estimation; otherwise the studies were used for cause-specific </w:t>
      </w:r>
      <w:r w:rsidR="00027BBC" w:rsidRPr="006074A9">
        <w:t>cardiovascular</w:t>
      </w:r>
      <w:r w:rsidR="00027BBC">
        <w:t xml:space="preserve"> </w:t>
      </w:r>
      <w:r w:rsidR="006074A9">
        <w:t xml:space="preserve">and respiratory </w:t>
      </w:r>
      <w:r w:rsidR="00027BBC">
        <w:t>disease</w:t>
      </w:r>
      <w:r w:rsidR="006074A9">
        <w:t xml:space="preserve"> and lung cancer mortality</w:t>
      </w:r>
      <w:r w:rsidR="00027BBC">
        <w:t>)</w:t>
      </w:r>
      <w:r w:rsidR="006074A9">
        <w:t>.  “Unpublished data” indicates results that were supplied by study author.</w:t>
      </w:r>
    </w:p>
    <w:p w14:paraId="47788C30" w14:textId="77777777" w:rsidR="00027BBC" w:rsidRPr="001370BE" w:rsidRDefault="00027BBC" w:rsidP="00027BBC"/>
    <w:p w14:paraId="76A6FAD4" w14:textId="77777777" w:rsidR="00C95014" w:rsidRPr="001370BE" w:rsidRDefault="00C95014" w:rsidP="007E2775">
      <w:pPr>
        <w:spacing w:before="120" w:after="240"/>
      </w:pPr>
      <w:r w:rsidRPr="001370BE">
        <w:t xml:space="preserve">Atkinson RW, Carey IM, Kent AJ, van </w:t>
      </w:r>
      <w:proofErr w:type="spellStart"/>
      <w:r w:rsidRPr="001370BE">
        <w:t>Staa</w:t>
      </w:r>
      <w:proofErr w:type="spellEnd"/>
      <w:r w:rsidRPr="001370BE">
        <w:t xml:space="preserve"> TP, Anderson HR, Cook DG. </w:t>
      </w:r>
      <w:proofErr w:type="gramStart"/>
      <w:r w:rsidRPr="001370BE">
        <w:t>Long-term exposure to outdoor air pollution and the incidence of chronic obstructive pulmonary disease in a national English cohort.</w:t>
      </w:r>
      <w:proofErr w:type="gramEnd"/>
      <w:r w:rsidRPr="001370BE">
        <w:t xml:space="preserve"> </w:t>
      </w:r>
      <w:proofErr w:type="spellStart"/>
      <w:r w:rsidRPr="001370BE">
        <w:t>Occup</w:t>
      </w:r>
      <w:proofErr w:type="spellEnd"/>
      <w:r w:rsidRPr="001370BE">
        <w:t xml:space="preserve"> Environ Med. 2015; 72(1): 42–8.</w:t>
      </w:r>
    </w:p>
    <w:p w14:paraId="7EF19EB5" w14:textId="77777777" w:rsidR="00C95014" w:rsidRPr="001370BE" w:rsidRDefault="00C95014" w:rsidP="007E2775">
      <w:pPr>
        <w:spacing w:before="120" w:after="240"/>
      </w:pPr>
      <w:proofErr w:type="spellStart"/>
      <w:r w:rsidRPr="001370BE">
        <w:t>Beelen</w:t>
      </w:r>
      <w:proofErr w:type="spellEnd"/>
      <w:r w:rsidRPr="001370BE">
        <w:t xml:space="preserve"> R, Hoek G, van den Brandt PA, </w:t>
      </w:r>
      <w:proofErr w:type="spellStart"/>
      <w:r w:rsidRPr="001370BE">
        <w:t>Goldbohm</w:t>
      </w:r>
      <w:proofErr w:type="spellEnd"/>
      <w:r w:rsidRPr="001370BE">
        <w:t xml:space="preserve"> RA, Fischer P, Schouten LJ, </w:t>
      </w:r>
      <w:proofErr w:type="spellStart"/>
      <w:r w:rsidRPr="001370BE">
        <w:t>Jerrett</w:t>
      </w:r>
      <w:proofErr w:type="spellEnd"/>
      <w:r w:rsidRPr="001370BE">
        <w:t xml:space="preserve"> M, Hughes E, Armstrong B, </w:t>
      </w:r>
      <w:proofErr w:type="spellStart"/>
      <w:r w:rsidRPr="001370BE">
        <w:t>Brunekreef</w:t>
      </w:r>
      <w:proofErr w:type="spellEnd"/>
      <w:r w:rsidRPr="001370BE">
        <w:t xml:space="preserve"> B. Long-Term Effects of Traffic-Related Air Pollution on Mortality in a Dutch Cohort (NLCS-AIR Study) [Unpublished data]. Environ Health </w:t>
      </w:r>
      <w:proofErr w:type="spellStart"/>
      <w:r w:rsidRPr="001370BE">
        <w:t>Perspect</w:t>
      </w:r>
      <w:proofErr w:type="spellEnd"/>
      <w:r w:rsidRPr="001370BE">
        <w:t>. 2008; 116(2): 196-202.</w:t>
      </w:r>
    </w:p>
    <w:p w14:paraId="16628429" w14:textId="65511C2B" w:rsidR="00C95014" w:rsidRPr="001370BE" w:rsidRDefault="001370BE" w:rsidP="00C95014">
      <w:pPr>
        <w:spacing w:before="120" w:after="240"/>
      </w:pPr>
      <w:r w:rsidRPr="001370BE">
        <w:t>*</w:t>
      </w:r>
      <w:proofErr w:type="spellStart"/>
      <w:r w:rsidR="00C95014" w:rsidRPr="001370BE">
        <w:t>Brauer</w:t>
      </w:r>
      <w:proofErr w:type="spellEnd"/>
      <w:r w:rsidR="00C95014" w:rsidRPr="001370BE">
        <w:t xml:space="preserve"> M, Hoek G, Van Vliet P, </w:t>
      </w:r>
      <w:proofErr w:type="spellStart"/>
      <w:r w:rsidR="00C95014" w:rsidRPr="001370BE">
        <w:t>Meliefste</w:t>
      </w:r>
      <w:proofErr w:type="spellEnd"/>
      <w:r w:rsidR="00C95014" w:rsidRPr="001370BE">
        <w:t xml:space="preserve"> K, Fischer PH, </w:t>
      </w:r>
      <w:proofErr w:type="spellStart"/>
      <w:r w:rsidR="00C95014" w:rsidRPr="001370BE">
        <w:t>Wijga</w:t>
      </w:r>
      <w:proofErr w:type="spellEnd"/>
      <w:r w:rsidR="00C95014" w:rsidRPr="001370BE">
        <w:t xml:space="preserve"> A, </w:t>
      </w:r>
      <w:proofErr w:type="spellStart"/>
      <w:r w:rsidR="00C95014" w:rsidRPr="001370BE">
        <w:t>Koopman</w:t>
      </w:r>
      <w:proofErr w:type="spellEnd"/>
      <w:r w:rsidR="00C95014" w:rsidRPr="001370BE">
        <w:t xml:space="preserve"> LP, </w:t>
      </w:r>
      <w:proofErr w:type="spellStart"/>
      <w:r w:rsidR="00C95014" w:rsidRPr="001370BE">
        <w:t>Neijens</w:t>
      </w:r>
      <w:proofErr w:type="spellEnd"/>
      <w:r w:rsidR="00C95014" w:rsidRPr="001370BE">
        <w:t xml:space="preserve"> HJ, </w:t>
      </w:r>
      <w:proofErr w:type="spellStart"/>
      <w:r w:rsidR="00C95014" w:rsidRPr="001370BE">
        <w:t>Gerritsen</w:t>
      </w:r>
      <w:proofErr w:type="spellEnd"/>
      <w:r w:rsidR="00C95014" w:rsidRPr="001370BE">
        <w:t xml:space="preserve"> J, </w:t>
      </w:r>
      <w:proofErr w:type="spellStart"/>
      <w:r w:rsidR="00C95014" w:rsidRPr="001370BE">
        <w:t>Kerkhof</w:t>
      </w:r>
      <w:proofErr w:type="spellEnd"/>
      <w:r w:rsidR="00C95014" w:rsidRPr="001370BE">
        <w:t xml:space="preserve"> M, Heinrich J, </w:t>
      </w:r>
      <w:proofErr w:type="spellStart"/>
      <w:r w:rsidR="00C95014" w:rsidRPr="001370BE">
        <w:t>Bellander</w:t>
      </w:r>
      <w:proofErr w:type="spellEnd"/>
      <w:r w:rsidR="00C95014" w:rsidRPr="001370BE">
        <w:t xml:space="preserve"> T, </w:t>
      </w:r>
      <w:proofErr w:type="spellStart"/>
      <w:r w:rsidR="00C95014" w:rsidRPr="001370BE">
        <w:t>Brunekreef</w:t>
      </w:r>
      <w:proofErr w:type="spellEnd"/>
      <w:r w:rsidR="00C95014" w:rsidRPr="001370BE">
        <w:t xml:space="preserve"> B. Air pollution from traffic and the development of respiratory infections and asthmatic and allergic symptoms in children. Am J </w:t>
      </w:r>
      <w:proofErr w:type="spellStart"/>
      <w:r w:rsidR="00C95014" w:rsidRPr="001370BE">
        <w:t>Respir</w:t>
      </w:r>
      <w:proofErr w:type="spellEnd"/>
      <w:r w:rsidR="00C95014" w:rsidRPr="001370BE">
        <w:t xml:space="preserve"> </w:t>
      </w:r>
      <w:proofErr w:type="spellStart"/>
      <w:r w:rsidR="00C95014" w:rsidRPr="001370BE">
        <w:t>Crit</w:t>
      </w:r>
      <w:proofErr w:type="spellEnd"/>
      <w:r w:rsidR="00C95014" w:rsidRPr="001370BE">
        <w:t xml:space="preserve"> Care Med. 2002; 166(8): 1092-8.</w:t>
      </w:r>
    </w:p>
    <w:p w14:paraId="5C74DCDA" w14:textId="77777777" w:rsidR="00C95014" w:rsidRPr="001370BE" w:rsidRDefault="00C95014" w:rsidP="003B7489">
      <w:pPr>
        <w:spacing w:before="120" w:after="240"/>
      </w:pPr>
      <w:proofErr w:type="gramStart"/>
      <w:r w:rsidRPr="001370BE">
        <w:t xml:space="preserve">Carey IM, Atkinson RW, Kent AJ, van </w:t>
      </w:r>
      <w:proofErr w:type="spellStart"/>
      <w:r w:rsidRPr="001370BE">
        <w:t>Staa</w:t>
      </w:r>
      <w:proofErr w:type="spellEnd"/>
      <w:r w:rsidRPr="001370BE">
        <w:t xml:space="preserve"> T, Cook DG, Anderson HR. Mortality associations with long-term exposure to outdoor air pollution in a national English cohort.</w:t>
      </w:r>
      <w:proofErr w:type="gramEnd"/>
      <w:r w:rsidRPr="001370BE">
        <w:t xml:space="preserve"> Am J </w:t>
      </w:r>
      <w:proofErr w:type="spellStart"/>
      <w:r w:rsidRPr="001370BE">
        <w:t>Respir</w:t>
      </w:r>
      <w:proofErr w:type="spellEnd"/>
      <w:r w:rsidRPr="001370BE">
        <w:t xml:space="preserve"> </w:t>
      </w:r>
      <w:proofErr w:type="spellStart"/>
      <w:r w:rsidRPr="001370BE">
        <w:t>Crit</w:t>
      </w:r>
      <w:proofErr w:type="spellEnd"/>
      <w:r w:rsidRPr="001370BE">
        <w:t xml:space="preserve"> Care Med. 2013; 187(11): 1226-33.</w:t>
      </w:r>
    </w:p>
    <w:p w14:paraId="0A498DBC" w14:textId="77777777" w:rsidR="00C95014" w:rsidRPr="001370BE" w:rsidRDefault="00C95014" w:rsidP="007E2775">
      <w:pPr>
        <w:spacing w:before="120" w:after="240"/>
      </w:pPr>
      <w:proofErr w:type="spellStart"/>
      <w:r w:rsidRPr="001370BE">
        <w:t>Cesaroni</w:t>
      </w:r>
      <w:proofErr w:type="spellEnd"/>
      <w:r w:rsidRPr="001370BE">
        <w:t xml:space="preserve"> G, </w:t>
      </w:r>
      <w:proofErr w:type="spellStart"/>
      <w:r w:rsidRPr="001370BE">
        <w:t>Badaloni</w:t>
      </w:r>
      <w:proofErr w:type="spellEnd"/>
      <w:r w:rsidRPr="001370BE">
        <w:t xml:space="preserve"> C, </w:t>
      </w:r>
      <w:proofErr w:type="spellStart"/>
      <w:r w:rsidRPr="001370BE">
        <w:t>Gariazzo</w:t>
      </w:r>
      <w:proofErr w:type="spellEnd"/>
      <w:r w:rsidRPr="001370BE">
        <w:t xml:space="preserve"> C, </w:t>
      </w:r>
      <w:proofErr w:type="spellStart"/>
      <w:r w:rsidRPr="001370BE">
        <w:t>Stafoggia</w:t>
      </w:r>
      <w:proofErr w:type="spellEnd"/>
      <w:r w:rsidRPr="001370BE">
        <w:t xml:space="preserve"> M, </w:t>
      </w:r>
      <w:proofErr w:type="spellStart"/>
      <w:r w:rsidRPr="001370BE">
        <w:t>Sozzi</w:t>
      </w:r>
      <w:proofErr w:type="spellEnd"/>
      <w:r w:rsidRPr="001370BE">
        <w:t xml:space="preserve"> R, </w:t>
      </w:r>
      <w:proofErr w:type="spellStart"/>
      <w:r w:rsidRPr="001370BE">
        <w:t>Davoli</w:t>
      </w:r>
      <w:proofErr w:type="spellEnd"/>
      <w:r w:rsidRPr="001370BE">
        <w:t xml:space="preserve"> M, </w:t>
      </w:r>
      <w:proofErr w:type="spellStart"/>
      <w:r w:rsidRPr="001370BE">
        <w:t>Forastiere</w:t>
      </w:r>
      <w:proofErr w:type="spellEnd"/>
      <w:r w:rsidRPr="001370BE">
        <w:t xml:space="preserve"> F. Long-term exposure to urban air pollution and mortality in a cohort of  more than a million adults in Rome. Environ Health </w:t>
      </w:r>
      <w:proofErr w:type="spellStart"/>
      <w:r w:rsidRPr="001370BE">
        <w:t>Perspect</w:t>
      </w:r>
      <w:proofErr w:type="spellEnd"/>
      <w:r w:rsidRPr="001370BE">
        <w:t>. 2013; 121(3): 324-31.</w:t>
      </w:r>
    </w:p>
    <w:p w14:paraId="42CF2669" w14:textId="77777777" w:rsidR="00C95014" w:rsidRPr="001370BE" w:rsidRDefault="00C95014" w:rsidP="007E2775">
      <w:pPr>
        <w:spacing w:before="120" w:after="240"/>
      </w:pPr>
      <w:r w:rsidRPr="001370BE">
        <w:t xml:space="preserve">Chen LH, </w:t>
      </w:r>
      <w:proofErr w:type="spellStart"/>
      <w:r w:rsidRPr="001370BE">
        <w:t>Knutsen</w:t>
      </w:r>
      <w:proofErr w:type="spellEnd"/>
      <w:r w:rsidRPr="001370BE">
        <w:t xml:space="preserve"> SF, Shavlik D, Beeson WL, Petersen F, </w:t>
      </w:r>
      <w:proofErr w:type="spellStart"/>
      <w:r w:rsidRPr="001370BE">
        <w:t>Ghamsary</w:t>
      </w:r>
      <w:proofErr w:type="spellEnd"/>
      <w:r w:rsidRPr="001370BE">
        <w:t xml:space="preserve"> M, Abbey D. The association between fatal coronary heart disease and ambient particulate air pollution: Are females at greater risk? </w:t>
      </w:r>
      <w:proofErr w:type="gramStart"/>
      <w:r w:rsidRPr="006074A9">
        <w:t>[Unpublished data]</w:t>
      </w:r>
      <w:r w:rsidRPr="001370BE">
        <w:t>.</w:t>
      </w:r>
      <w:proofErr w:type="gramEnd"/>
      <w:r w:rsidRPr="001370BE">
        <w:t xml:space="preserve"> Environ Health </w:t>
      </w:r>
      <w:proofErr w:type="spellStart"/>
      <w:r w:rsidRPr="001370BE">
        <w:t>Perspect</w:t>
      </w:r>
      <w:proofErr w:type="spellEnd"/>
      <w:r w:rsidRPr="001370BE">
        <w:t>. 2005; 113(12): 1723-9.</w:t>
      </w:r>
    </w:p>
    <w:p w14:paraId="20015E11" w14:textId="77777777" w:rsidR="00C95014" w:rsidRPr="001370BE" w:rsidRDefault="00C95014" w:rsidP="003B7489">
      <w:pPr>
        <w:spacing w:before="120" w:after="240"/>
      </w:pPr>
      <w:r w:rsidRPr="001370BE">
        <w:t xml:space="preserve">Crouse DL, Peters PA, van </w:t>
      </w:r>
      <w:proofErr w:type="spellStart"/>
      <w:r w:rsidRPr="001370BE">
        <w:t>Donkelaar</w:t>
      </w:r>
      <w:proofErr w:type="spellEnd"/>
      <w:r w:rsidRPr="001370BE">
        <w:t xml:space="preserve"> A, Goldberg MS, Villeneuve PJ, </w:t>
      </w:r>
      <w:proofErr w:type="spellStart"/>
      <w:r w:rsidRPr="001370BE">
        <w:t>Brion</w:t>
      </w:r>
      <w:proofErr w:type="spellEnd"/>
      <w:r w:rsidRPr="001370BE">
        <w:t xml:space="preserve"> O, Khan S, Atari DO, </w:t>
      </w:r>
      <w:proofErr w:type="spellStart"/>
      <w:r w:rsidRPr="001370BE">
        <w:t>Jerrett</w:t>
      </w:r>
      <w:proofErr w:type="spellEnd"/>
      <w:r w:rsidRPr="001370BE">
        <w:t xml:space="preserve"> M, Pope CA, </w:t>
      </w:r>
      <w:proofErr w:type="spellStart"/>
      <w:r w:rsidRPr="001370BE">
        <w:t>Brauer</w:t>
      </w:r>
      <w:proofErr w:type="spellEnd"/>
      <w:r w:rsidRPr="001370BE">
        <w:t xml:space="preserve"> M, Brook JR, Martin RV, </w:t>
      </w:r>
      <w:proofErr w:type="spellStart"/>
      <w:r w:rsidRPr="001370BE">
        <w:t>Stieb</w:t>
      </w:r>
      <w:proofErr w:type="spellEnd"/>
      <w:r w:rsidRPr="001370BE">
        <w:t xml:space="preserve">  D, Burnett RT. Risk of </w:t>
      </w:r>
      <w:proofErr w:type="spellStart"/>
      <w:r w:rsidRPr="001370BE">
        <w:t>nonaccidental</w:t>
      </w:r>
      <w:proofErr w:type="spellEnd"/>
      <w:r w:rsidRPr="001370BE">
        <w:t xml:space="preserve"> and cardiovascular mortality in relation to long-term exposure to low concentrations of fine particulate matter: a Canadian national-level cohort study. Environ Health </w:t>
      </w:r>
      <w:proofErr w:type="spellStart"/>
      <w:r w:rsidRPr="001370BE">
        <w:t>Perspect</w:t>
      </w:r>
      <w:proofErr w:type="spellEnd"/>
      <w:r w:rsidRPr="001370BE">
        <w:t>. 2012; 120(5): 708-14.</w:t>
      </w:r>
    </w:p>
    <w:p w14:paraId="6F82766F" w14:textId="77777777" w:rsidR="00C95014" w:rsidRPr="001370BE" w:rsidRDefault="00C95014" w:rsidP="007E2775">
      <w:pPr>
        <w:spacing w:before="120" w:after="240"/>
      </w:pPr>
      <w:proofErr w:type="spellStart"/>
      <w:r w:rsidRPr="001370BE">
        <w:t>Gan</w:t>
      </w:r>
      <w:proofErr w:type="spellEnd"/>
      <w:r w:rsidRPr="001370BE">
        <w:t xml:space="preserve"> WQ, FitzGerald JM, </w:t>
      </w:r>
      <w:proofErr w:type="spellStart"/>
      <w:r w:rsidRPr="001370BE">
        <w:t>Carlsten</w:t>
      </w:r>
      <w:proofErr w:type="spellEnd"/>
      <w:r w:rsidRPr="001370BE">
        <w:t xml:space="preserve"> C, </w:t>
      </w:r>
      <w:proofErr w:type="spellStart"/>
      <w:r w:rsidRPr="001370BE">
        <w:t>Sadatsafavi</w:t>
      </w:r>
      <w:proofErr w:type="spellEnd"/>
      <w:r w:rsidRPr="001370BE">
        <w:t xml:space="preserve"> M, </w:t>
      </w:r>
      <w:proofErr w:type="spellStart"/>
      <w:r w:rsidRPr="001370BE">
        <w:t>Brauer</w:t>
      </w:r>
      <w:proofErr w:type="spellEnd"/>
      <w:r w:rsidRPr="001370BE">
        <w:t xml:space="preserve"> M. Associations of ambient air pollution with chronic obstructive pulmonary disease hospitalization and mortality. Am J </w:t>
      </w:r>
      <w:proofErr w:type="spellStart"/>
      <w:r w:rsidRPr="001370BE">
        <w:t>Respir</w:t>
      </w:r>
      <w:proofErr w:type="spellEnd"/>
      <w:r w:rsidRPr="001370BE">
        <w:t xml:space="preserve"> </w:t>
      </w:r>
      <w:proofErr w:type="spellStart"/>
      <w:r w:rsidRPr="001370BE">
        <w:t>Crit</w:t>
      </w:r>
      <w:proofErr w:type="spellEnd"/>
      <w:r w:rsidRPr="001370BE">
        <w:t xml:space="preserve"> Care Med. 2013; 187(7): 721-7.</w:t>
      </w:r>
    </w:p>
    <w:p w14:paraId="40784FA7" w14:textId="73B287F1" w:rsidR="00C95014" w:rsidRPr="001370BE" w:rsidRDefault="001370BE" w:rsidP="007E2775">
      <w:pPr>
        <w:spacing w:before="120" w:after="240"/>
      </w:pPr>
      <w:r w:rsidRPr="001370BE">
        <w:t>*</w:t>
      </w:r>
      <w:r w:rsidR="00C95014" w:rsidRPr="001370BE">
        <w:t>Hertz-</w:t>
      </w:r>
      <w:proofErr w:type="spellStart"/>
      <w:r w:rsidR="00C95014" w:rsidRPr="001370BE">
        <w:t>Picciotto</w:t>
      </w:r>
      <w:proofErr w:type="spellEnd"/>
      <w:r w:rsidR="00C95014" w:rsidRPr="001370BE">
        <w:t xml:space="preserve"> I, Baker RJ, Yap P-S, </w:t>
      </w:r>
      <w:proofErr w:type="spellStart"/>
      <w:r w:rsidR="00C95014" w:rsidRPr="001370BE">
        <w:t>Dostál</w:t>
      </w:r>
      <w:proofErr w:type="spellEnd"/>
      <w:r w:rsidR="00C95014" w:rsidRPr="001370BE">
        <w:t xml:space="preserve"> M, Joad JP, Lipsett M, Greenfield T, Herr CEW, Benes I, Shumway RH, Pinkerton KE, </w:t>
      </w:r>
      <w:proofErr w:type="spellStart"/>
      <w:r w:rsidR="00C95014" w:rsidRPr="001370BE">
        <w:t>Srám</w:t>
      </w:r>
      <w:proofErr w:type="spellEnd"/>
      <w:r w:rsidR="00C95014" w:rsidRPr="001370BE">
        <w:t xml:space="preserve"> R. </w:t>
      </w:r>
      <w:proofErr w:type="gramStart"/>
      <w:r w:rsidR="00C95014" w:rsidRPr="001370BE">
        <w:t>Early childhood lower respiratory illness and air pollution.</w:t>
      </w:r>
      <w:proofErr w:type="gramEnd"/>
      <w:r w:rsidR="00C95014" w:rsidRPr="001370BE">
        <w:t xml:space="preserve"> Environ Health </w:t>
      </w:r>
      <w:proofErr w:type="spellStart"/>
      <w:r w:rsidR="00C95014" w:rsidRPr="001370BE">
        <w:t>Perspect</w:t>
      </w:r>
      <w:proofErr w:type="spellEnd"/>
      <w:r w:rsidR="00C95014" w:rsidRPr="001370BE">
        <w:t>. 2007; 115(10): 1510-8.</w:t>
      </w:r>
    </w:p>
    <w:p w14:paraId="62949D19" w14:textId="77777777" w:rsidR="00C95014" w:rsidRPr="001370BE" w:rsidRDefault="00C95014" w:rsidP="003B7489">
      <w:pPr>
        <w:spacing w:before="120" w:after="240"/>
      </w:pPr>
      <w:proofErr w:type="spellStart"/>
      <w:proofErr w:type="gramStart"/>
      <w:r w:rsidRPr="001370BE">
        <w:t>Hystad</w:t>
      </w:r>
      <w:proofErr w:type="spellEnd"/>
      <w:r w:rsidRPr="001370BE">
        <w:t xml:space="preserve"> P, Demers PA, Johnson KC, </w:t>
      </w:r>
      <w:proofErr w:type="spellStart"/>
      <w:r w:rsidRPr="001370BE">
        <w:t>Carpiano</w:t>
      </w:r>
      <w:proofErr w:type="spellEnd"/>
      <w:r w:rsidRPr="001370BE">
        <w:t xml:space="preserve"> RM, </w:t>
      </w:r>
      <w:proofErr w:type="spellStart"/>
      <w:r w:rsidRPr="001370BE">
        <w:t>Brauer</w:t>
      </w:r>
      <w:proofErr w:type="spellEnd"/>
      <w:r w:rsidRPr="001370BE">
        <w:t xml:space="preserve"> M. Long-term residential exposure to air pollution and lung cancer risk.</w:t>
      </w:r>
      <w:proofErr w:type="gramEnd"/>
      <w:r w:rsidRPr="001370BE">
        <w:t xml:space="preserve"> </w:t>
      </w:r>
      <w:proofErr w:type="gramStart"/>
      <w:r w:rsidRPr="001370BE">
        <w:t>Epidemiology.</w:t>
      </w:r>
      <w:proofErr w:type="gramEnd"/>
      <w:r w:rsidRPr="001370BE">
        <w:t xml:space="preserve"> 2013; 11 24(5): 762-72.</w:t>
      </w:r>
    </w:p>
    <w:p w14:paraId="7A5BA357" w14:textId="23161F17" w:rsidR="00C95014" w:rsidRPr="001370BE" w:rsidRDefault="001370BE" w:rsidP="007E2775">
      <w:pPr>
        <w:spacing w:before="120" w:after="240"/>
      </w:pPr>
      <w:r w:rsidRPr="001370BE">
        <w:lastRenderedPageBreak/>
        <w:t>*</w:t>
      </w:r>
      <w:r w:rsidR="00C95014" w:rsidRPr="001370BE">
        <w:t xml:space="preserve">Karr C, Lumley T, </w:t>
      </w:r>
      <w:proofErr w:type="spellStart"/>
      <w:r w:rsidR="00C95014" w:rsidRPr="001370BE">
        <w:t>Schreuder</w:t>
      </w:r>
      <w:proofErr w:type="spellEnd"/>
      <w:r w:rsidR="00C95014" w:rsidRPr="001370BE">
        <w:t xml:space="preserve"> A, Davis R, Larson T, Ritz B, Kaufman J. Effects of </w:t>
      </w:r>
      <w:proofErr w:type="spellStart"/>
      <w:r w:rsidR="00C95014" w:rsidRPr="001370BE">
        <w:t>subchronic</w:t>
      </w:r>
      <w:proofErr w:type="spellEnd"/>
      <w:r w:rsidR="00C95014" w:rsidRPr="001370BE">
        <w:t xml:space="preserve"> and chronic exposure to ambient air pollutants on infant bronchiolitis. </w:t>
      </w:r>
      <w:proofErr w:type="gramStart"/>
      <w:r w:rsidR="00C95014" w:rsidRPr="001370BE">
        <w:t xml:space="preserve">Am J </w:t>
      </w:r>
      <w:proofErr w:type="spellStart"/>
      <w:r w:rsidR="00C95014" w:rsidRPr="001370BE">
        <w:t>Epidemiol</w:t>
      </w:r>
      <w:proofErr w:type="spellEnd"/>
      <w:r w:rsidR="00C95014" w:rsidRPr="001370BE">
        <w:t>.</w:t>
      </w:r>
      <w:proofErr w:type="gramEnd"/>
      <w:r w:rsidR="00C95014" w:rsidRPr="001370BE">
        <w:t xml:space="preserve"> 2007; 165(5): 553-60.</w:t>
      </w:r>
    </w:p>
    <w:p w14:paraId="289649F3" w14:textId="22B3769F" w:rsidR="00C95014" w:rsidRPr="001370BE" w:rsidRDefault="001370BE" w:rsidP="007E2775">
      <w:pPr>
        <w:spacing w:before="120" w:after="240"/>
      </w:pPr>
      <w:r w:rsidRPr="001370BE">
        <w:t>*</w:t>
      </w:r>
      <w:r w:rsidR="00C95014" w:rsidRPr="001370BE">
        <w:t xml:space="preserve">Karr CJ, </w:t>
      </w:r>
      <w:proofErr w:type="spellStart"/>
      <w:r w:rsidR="00C95014" w:rsidRPr="001370BE">
        <w:t>Rudra</w:t>
      </w:r>
      <w:proofErr w:type="spellEnd"/>
      <w:r w:rsidR="00C95014" w:rsidRPr="001370BE">
        <w:t xml:space="preserve"> CB, Miller KA, Gould TR, Larson T, </w:t>
      </w:r>
      <w:proofErr w:type="spellStart"/>
      <w:r w:rsidR="00C95014" w:rsidRPr="001370BE">
        <w:t>Sathyanarayana</w:t>
      </w:r>
      <w:proofErr w:type="spellEnd"/>
      <w:r w:rsidR="00C95014" w:rsidRPr="001370BE">
        <w:t xml:space="preserve"> S, Koenig JQ. Infant exposure to fine particulate matter and traffic and risk </w:t>
      </w:r>
      <w:proofErr w:type="gramStart"/>
      <w:r w:rsidR="00C95014" w:rsidRPr="001370BE">
        <w:t>of  hospitalization</w:t>
      </w:r>
      <w:proofErr w:type="gramEnd"/>
      <w:r w:rsidR="00C95014" w:rsidRPr="001370BE">
        <w:t xml:space="preserve"> for RSV bronchiolitis in a region with lower ambient air pollution. Environ Res. 2009; 109(3): 321-7.</w:t>
      </w:r>
    </w:p>
    <w:p w14:paraId="289FC72C" w14:textId="77777777" w:rsidR="00C95014" w:rsidRPr="001370BE" w:rsidRDefault="00C95014" w:rsidP="007E2775">
      <w:pPr>
        <w:spacing w:before="120" w:after="240"/>
      </w:pPr>
      <w:proofErr w:type="spellStart"/>
      <w:r w:rsidRPr="001370BE">
        <w:t>Katanoda</w:t>
      </w:r>
      <w:proofErr w:type="spellEnd"/>
      <w:r w:rsidRPr="001370BE">
        <w:t xml:space="preserve"> K, </w:t>
      </w:r>
      <w:proofErr w:type="spellStart"/>
      <w:r w:rsidRPr="001370BE">
        <w:t>Sobue</w:t>
      </w:r>
      <w:proofErr w:type="spellEnd"/>
      <w:r w:rsidRPr="001370BE">
        <w:t xml:space="preserve"> T, Satoh H, Tajima K, Suzuki T, Nakatsuka H, </w:t>
      </w:r>
      <w:proofErr w:type="spellStart"/>
      <w:r w:rsidRPr="001370BE">
        <w:t>Takezaki</w:t>
      </w:r>
      <w:proofErr w:type="spellEnd"/>
      <w:r w:rsidRPr="001370BE">
        <w:t xml:space="preserve"> T, Nakayama T, Nitta H, Tanabe K, </w:t>
      </w:r>
      <w:proofErr w:type="spellStart"/>
      <w:r w:rsidRPr="001370BE">
        <w:t>Tominaga</w:t>
      </w:r>
      <w:proofErr w:type="spellEnd"/>
      <w:r w:rsidRPr="001370BE">
        <w:t xml:space="preserve"> S. </w:t>
      </w:r>
      <w:proofErr w:type="gramStart"/>
      <w:r w:rsidRPr="001370BE">
        <w:t>An association between long-term exposure to ambient air pollution and mortality from lung cancer and respiratory diseases in Japan.</w:t>
      </w:r>
      <w:proofErr w:type="gramEnd"/>
      <w:r w:rsidRPr="001370BE">
        <w:t xml:space="preserve"> Journal of Epidemiology 2011; 21(2): 132-43.</w:t>
      </w:r>
    </w:p>
    <w:p w14:paraId="14A898F0" w14:textId="77777777" w:rsidR="00C95014" w:rsidRPr="001370BE" w:rsidRDefault="00C95014" w:rsidP="007E2775">
      <w:pPr>
        <w:spacing w:before="120" w:after="240"/>
      </w:pPr>
      <w:proofErr w:type="spellStart"/>
      <w:r w:rsidRPr="001370BE">
        <w:t>Lepeule</w:t>
      </w:r>
      <w:proofErr w:type="spellEnd"/>
      <w:r w:rsidRPr="001370BE">
        <w:t xml:space="preserve"> J, Laden F, Dockery D, Schwartz J. Chronic exposure to fine particles and mortality: an extended follow-up of the Harvard Six Cities study from 1974 to 2009 - </w:t>
      </w:r>
      <w:r w:rsidRPr="006074A9">
        <w:t>Unpublished data</w:t>
      </w:r>
      <w:r w:rsidRPr="001370BE">
        <w:t xml:space="preserve">. Environ Health </w:t>
      </w:r>
      <w:proofErr w:type="spellStart"/>
      <w:r w:rsidRPr="001370BE">
        <w:t>Perspect</w:t>
      </w:r>
      <w:proofErr w:type="spellEnd"/>
      <w:r w:rsidRPr="001370BE">
        <w:t>. 2012; 120(7): 965-70.</w:t>
      </w:r>
    </w:p>
    <w:p w14:paraId="22FFDA46" w14:textId="77777777" w:rsidR="00C95014" w:rsidRPr="001370BE" w:rsidRDefault="00C95014" w:rsidP="007E2775">
      <w:pPr>
        <w:spacing w:before="120" w:after="240"/>
      </w:pPr>
      <w:r w:rsidRPr="001370BE">
        <w:t xml:space="preserve">Lipsett MJ, </w:t>
      </w:r>
      <w:proofErr w:type="spellStart"/>
      <w:r w:rsidRPr="001370BE">
        <w:t>Ostro</w:t>
      </w:r>
      <w:proofErr w:type="spellEnd"/>
      <w:r w:rsidRPr="001370BE">
        <w:t xml:space="preserve"> BD, Reynolds P, Goldberg D, Hertz A, </w:t>
      </w:r>
      <w:proofErr w:type="spellStart"/>
      <w:r w:rsidRPr="001370BE">
        <w:t>Jerrett</w:t>
      </w:r>
      <w:proofErr w:type="spellEnd"/>
      <w:r w:rsidRPr="001370BE">
        <w:t xml:space="preserve"> M, Smith DF, Garcia C, Chang ET, Bernstein L. Long-term exposure to air pollution and cardiorespiratory disease in the California teachers study cohort [Unpublished data]. Am J </w:t>
      </w:r>
      <w:proofErr w:type="spellStart"/>
      <w:r w:rsidRPr="001370BE">
        <w:t>Respir</w:t>
      </w:r>
      <w:proofErr w:type="spellEnd"/>
      <w:r w:rsidRPr="001370BE">
        <w:t xml:space="preserve"> </w:t>
      </w:r>
      <w:proofErr w:type="spellStart"/>
      <w:r w:rsidRPr="001370BE">
        <w:t>Crit</w:t>
      </w:r>
      <w:proofErr w:type="spellEnd"/>
      <w:r w:rsidRPr="001370BE">
        <w:t xml:space="preserve"> Care Med. 2011; 184(7): 828-35.</w:t>
      </w:r>
    </w:p>
    <w:p w14:paraId="4C6573EA" w14:textId="77777777" w:rsidR="00C95014" w:rsidRPr="001370BE" w:rsidRDefault="00C95014" w:rsidP="007E2775">
      <w:pPr>
        <w:spacing w:before="120" w:after="240"/>
      </w:pPr>
      <w:proofErr w:type="gramStart"/>
      <w:r w:rsidRPr="001370BE">
        <w:t xml:space="preserve">Miller KA, </w:t>
      </w:r>
      <w:proofErr w:type="spellStart"/>
      <w:r w:rsidRPr="001370BE">
        <w:t>Siscovick</w:t>
      </w:r>
      <w:proofErr w:type="spellEnd"/>
      <w:r w:rsidRPr="001370BE">
        <w:t xml:space="preserve"> DS, Sheppard L, Shepherd K, Sullivan JH, Anderson GL, Kaufman JD.</w:t>
      </w:r>
      <w:proofErr w:type="gramEnd"/>
      <w:r w:rsidRPr="001370BE">
        <w:t xml:space="preserve"> </w:t>
      </w:r>
      <w:proofErr w:type="gramStart"/>
      <w:r w:rsidRPr="001370BE">
        <w:t xml:space="preserve">Long-term exposure to air pollution and incidence of cardiovascular events in women </w:t>
      </w:r>
      <w:r w:rsidRPr="006074A9">
        <w:t>[Unpublished data]</w:t>
      </w:r>
      <w:r w:rsidRPr="001370BE">
        <w:t>.</w:t>
      </w:r>
      <w:proofErr w:type="gramEnd"/>
      <w:r w:rsidRPr="001370BE">
        <w:t xml:space="preserve"> N </w:t>
      </w:r>
      <w:proofErr w:type="spellStart"/>
      <w:r w:rsidRPr="001370BE">
        <w:t>Engl</w:t>
      </w:r>
      <w:proofErr w:type="spellEnd"/>
      <w:r w:rsidRPr="001370BE">
        <w:t xml:space="preserve"> J Med. 2007; 356(5): 447-58.</w:t>
      </w:r>
    </w:p>
    <w:p w14:paraId="6B1CB298" w14:textId="77777777" w:rsidR="00C95014" w:rsidRPr="001370BE" w:rsidRDefault="00C95014" w:rsidP="007E2775">
      <w:pPr>
        <w:spacing w:before="120" w:after="240"/>
      </w:pPr>
      <w:proofErr w:type="spellStart"/>
      <w:r w:rsidRPr="001370BE">
        <w:t>Naess</w:t>
      </w:r>
      <w:proofErr w:type="spellEnd"/>
      <w:r w:rsidRPr="001370BE">
        <w:t xml:space="preserve"> Ã, </w:t>
      </w:r>
      <w:proofErr w:type="spellStart"/>
      <w:r w:rsidRPr="001370BE">
        <w:t>Nafstad</w:t>
      </w:r>
      <w:proofErr w:type="spellEnd"/>
      <w:r w:rsidRPr="001370BE">
        <w:t xml:space="preserve"> P, </w:t>
      </w:r>
      <w:proofErr w:type="spellStart"/>
      <w:r w:rsidRPr="001370BE">
        <w:t>Aamodt</w:t>
      </w:r>
      <w:proofErr w:type="spellEnd"/>
      <w:r w:rsidRPr="001370BE">
        <w:t xml:space="preserve"> G, </w:t>
      </w:r>
      <w:proofErr w:type="spellStart"/>
      <w:r w:rsidRPr="001370BE">
        <w:t>Claussen</w:t>
      </w:r>
      <w:proofErr w:type="spellEnd"/>
      <w:r w:rsidRPr="001370BE">
        <w:t xml:space="preserve"> B, </w:t>
      </w:r>
      <w:proofErr w:type="spellStart"/>
      <w:r w:rsidRPr="001370BE">
        <w:t>Rosland</w:t>
      </w:r>
      <w:proofErr w:type="spellEnd"/>
      <w:r w:rsidRPr="001370BE">
        <w:t xml:space="preserve"> P. Relation between concentration of air pollution and cause-specific mortality: four-year exposures to nitrogen dioxide and particulate matter pollutants in 470 neighborhoods in Oslo, Norway. </w:t>
      </w:r>
      <w:proofErr w:type="gramStart"/>
      <w:r w:rsidRPr="001370BE">
        <w:t xml:space="preserve">Am J </w:t>
      </w:r>
      <w:proofErr w:type="spellStart"/>
      <w:r w:rsidRPr="001370BE">
        <w:t>Epidemiol</w:t>
      </w:r>
      <w:proofErr w:type="spellEnd"/>
      <w:r w:rsidRPr="001370BE">
        <w:t>.</w:t>
      </w:r>
      <w:proofErr w:type="gramEnd"/>
      <w:r w:rsidRPr="001370BE">
        <w:t xml:space="preserve"> 2007; 165(4): 435-43.</w:t>
      </w:r>
    </w:p>
    <w:p w14:paraId="46FC6236" w14:textId="77777777" w:rsidR="00C95014" w:rsidRPr="001370BE" w:rsidRDefault="00C95014" w:rsidP="007E2775">
      <w:pPr>
        <w:spacing w:before="120" w:after="240"/>
      </w:pPr>
      <w:r w:rsidRPr="001370BE">
        <w:t xml:space="preserve">Pinault L, </w:t>
      </w:r>
      <w:proofErr w:type="spellStart"/>
      <w:r w:rsidRPr="001370BE">
        <w:t>Tjepkema</w:t>
      </w:r>
      <w:proofErr w:type="spellEnd"/>
      <w:r w:rsidRPr="001370BE">
        <w:t xml:space="preserve"> M, Crouse DL, </w:t>
      </w:r>
      <w:proofErr w:type="spellStart"/>
      <w:r w:rsidRPr="001370BE">
        <w:t>Weichenthal</w:t>
      </w:r>
      <w:proofErr w:type="spellEnd"/>
      <w:r w:rsidRPr="001370BE">
        <w:t xml:space="preserve"> S, van </w:t>
      </w:r>
      <w:proofErr w:type="spellStart"/>
      <w:r w:rsidRPr="001370BE">
        <w:t>Donkelaar</w:t>
      </w:r>
      <w:proofErr w:type="spellEnd"/>
      <w:r w:rsidRPr="001370BE">
        <w:t xml:space="preserve"> A, Martin RV, </w:t>
      </w:r>
      <w:proofErr w:type="spellStart"/>
      <w:r w:rsidRPr="001370BE">
        <w:t>Brauer</w:t>
      </w:r>
      <w:proofErr w:type="spellEnd"/>
      <w:r w:rsidRPr="001370BE">
        <w:t xml:space="preserve"> M, Chen H, Burnett RT. Risk estimates of mortality attributed to low concentrations of ambient fine particulate matter in the Canadian community health survey cohort. Environ Health. 2016; 15(1): 18.</w:t>
      </w:r>
    </w:p>
    <w:p w14:paraId="5B508828" w14:textId="77777777" w:rsidR="00C95014" w:rsidRPr="001370BE" w:rsidRDefault="00C95014" w:rsidP="007E2775">
      <w:pPr>
        <w:spacing w:before="120" w:after="240"/>
      </w:pPr>
      <w:proofErr w:type="spellStart"/>
      <w:r w:rsidRPr="001370BE">
        <w:t>Puett</w:t>
      </w:r>
      <w:proofErr w:type="spellEnd"/>
      <w:r w:rsidRPr="001370BE">
        <w:t xml:space="preserve"> RC, Hart JE, </w:t>
      </w:r>
      <w:proofErr w:type="spellStart"/>
      <w:r w:rsidRPr="001370BE">
        <w:t>Yanosky</w:t>
      </w:r>
      <w:proofErr w:type="spellEnd"/>
      <w:r w:rsidRPr="001370BE">
        <w:t xml:space="preserve"> JD, </w:t>
      </w:r>
      <w:proofErr w:type="spellStart"/>
      <w:r w:rsidRPr="001370BE">
        <w:t>Paciorek</w:t>
      </w:r>
      <w:proofErr w:type="spellEnd"/>
      <w:r w:rsidRPr="001370BE">
        <w:t xml:space="preserve"> C, Schwartz J, Suh H, </w:t>
      </w:r>
      <w:proofErr w:type="spellStart"/>
      <w:r w:rsidRPr="001370BE">
        <w:t>Speizer</w:t>
      </w:r>
      <w:proofErr w:type="spellEnd"/>
      <w:r w:rsidRPr="001370BE">
        <w:t xml:space="preserve"> FE, Laden F. Chronic fine and coarse particulate exposure, mortality, and coronary heart disease in the Nurses' Health Study </w:t>
      </w:r>
      <w:r w:rsidRPr="006074A9">
        <w:t>[Unpublished data]</w:t>
      </w:r>
      <w:r w:rsidRPr="001370BE">
        <w:t xml:space="preserve">. Environ Health </w:t>
      </w:r>
      <w:proofErr w:type="spellStart"/>
      <w:r w:rsidRPr="001370BE">
        <w:t>Perspect</w:t>
      </w:r>
      <w:proofErr w:type="spellEnd"/>
      <w:r w:rsidRPr="001370BE">
        <w:t>. 2009; 117(11): 1697-701.</w:t>
      </w:r>
    </w:p>
    <w:p w14:paraId="3B845EDE" w14:textId="77777777" w:rsidR="00C95014" w:rsidRDefault="00C95014" w:rsidP="007E2775">
      <w:pPr>
        <w:spacing w:before="120" w:after="240"/>
      </w:pPr>
      <w:proofErr w:type="spellStart"/>
      <w:r w:rsidRPr="001370BE">
        <w:t>Raaschou</w:t>
      </w:r>
      <w:proofErr w:type="spellEnd"/>
      <w:r w:rsidRPr="001370BE">
        <w:t xml:space="preserve">-Nielsen O, Andersen ZJ, </w:t>
      </w:r>
      <w:proofErr w:type="spellStart"/>
      <w:r w:rsidRPr="001370BE">
        <w:t>Beelen</w:t>
      </w:r>
      <w:proofErr w:type="spellEnd"/>
      <w:r w:rsidRPr="001370BE">
        <w:t xml:space="preserve"> R, </w:t>
      </w:r>
      <w:proofErr w:type="spellStart"/>
      <w:r w:rsidRPr="001370BE">
        <w:t>Samoli</w:t>
      </w:r>
      <w:proofErr w:type="spellEnd"/>
      <w:r w:rsidRPr="001370BE">
        <w:t xml:space="preserve"> E, </w:t>
      </w:r>
      <w:proofErr w:type="spellStart"/>
      <w:r w:rsidRPr="001370BE">
        <w:t>Stafoggia</w:t>
      </w:r>
      <w:proofErr w:type="spellEnd"/>
      <w:r w:rsidRPr="001370BE">
        <w:t xml:space="preserve"> M, </w:t>
      </w:r>
      <w:proofErr w:type="spellStart"/>
      <w:r w:rsidRPr="001370BE">
        <w:t>Weinmayr</w:t>
      </w:r>
      <w:proofErr w:type="spellEnd"/>
      <w:r w:rsidRPr="001370BE">
        <w:t xml:space="preserve"> G, Hoffmann B, Fischer P, </w:t>
      </w:r>
      <w:proofErr w:type="spellStart"/>
      <w:r w:rsidRPr="001370BE">
        <w:t>Nieuwenhuijsen</w:t>
      </w:r>
      <w:proofErr w:type="spellEnd"/>
      <w:r w:rsidRPr="001370BE">
        <w:t xml:space="preserve"> MJ, </w:t>
      </w:r>
      <w:proofErr w:type="spellStart"/>
      <w:r w:rsidRPr="001370BE">
        <w:t>Brunekreef</w:t>
      </w:r>
      <w:proofErr w:type="spellEnd"/>
      <w:r w:rsidRPr="001370BE">
        <w:t xml:space="preserve"> B, </w:t>
      </w:r>
      <w:proofErr w:type="spellStart"/>
      <w:r w:rsidRPr="001370BE">
        <w:t>Xun</w:t>
      </w:r>
      <w:proofErr w:type="spellEnd"/>
      <w:r w:rsidRPr="001370BE">
        <w:t xml:space="preserve"> WW, </w:t>
      </w:r>
      <w:proofErr w:type="spellStart"/>
      <w:r w:rsidRPr="001370BE">
        <w:t>Katsouyanni</w:t>
      </w:r>
      <w:proofErr w:type="spellEnd"/>
      <w:r w:rsidRPr="001370BE">
        <w:t xml:space="preserve"> K, </w:t>
      </w:r>
      <w:proofErr w:type="spellStart"/>
      <w:r w:rsidRPr="001370BE">
        <w:t>Dimakopoulou</w:t>
      </w:r>
      <w:proofErr w:type="spellEnd"/>
      <w:r w:rsidRPr="001370BE">
        <w:t xml:space="preserve"> K, </w:t>
      </w:r>
      <w:proofErr w:type="spellStart"/>
      <w:r w:rsidRPr="001370BE">
        <w:t>Sommar</w:t>
      </w:r>
      <w:proofErr w:type="spellEnd"/>
      <w:r w:rsidRPr="001370BE">
        <w:t xml:space="preserve"> J, Forsberg B, </w:t>
      </w:r>
      <w:proofErr w:type="spellStart"/>
      <w:r w:rsidRPr="001370BE">
        <w:t>Modig</w:t>
      </w:r>
      <w:proofErr w:type="spellEnd"/>
      <w:r w:rsidRPr="001370BE">
        <w:t xml:space="preserve"> L, </w:t>
      </w:r>
      <w:proofErr w:type="spellStart"/>
      <w:r w:rsidRPr="001370BE">
        <w:t>Oudin</w:t>
      </w:r>
      <w:proofErr w:type="spellEnd"/>
      <w:r w:rsidRPr="001370BE">
        <w:t xml:space="preserve"> A, </w:t>
      </w:r>
      <w:proofErr w:type="spellStart"/>
      <w:r w:rsidRPr="001370BE">
        <w:t>Oftedal</w:t>
      </w:r>
      <w:proofErr w:type="spellEnd"/>
      <w:r w:rsidRPr="001370BE">
        <w:t xml:space="preserve"> B, </w:t>
      </w:r>
      <w:proofErr w:type="spellStart"/>
      <w:r w:rsidRPr="001370BE">
        <w:t>Schwarze</w:t>
      </w:r>
      <w:proofErr w:type="spellEnd"/>
      <w:r w:rsidRPr="001370BE">
        <w:t xml:space="preserve"> PE, </w:t>
      </w:r>
      <w:proofErr w:type="spellStart"/>
      <w:r w:rsidRPr="001370BE">
        <w:t>Nafstad</w:t>
      </w:r>
      <w:proofErr w:type="spellEnd"/>
      <w:r w:rsidRPr="001370BE">
        <w:t xml:space="preserve"> P, De Faire U, Pedersen NL, </w:t>
      </w:r>
      <w:proofErr w:type="spellStart"/>
      <w:r w:rsidRPr="001370BE">
        <w:t>Ostenson</w:t>
      </w:r>
      <w:proofErr w:type="spellEnd"/>
      <w:r w:rsidRPr="001370BE">
        <w:t xml:space="preserve"> C-G, </w:t>
      </w:r>
      <w:proofErr w:type="spellStart"/>
      <w:r w:rsidRPr="001370BE">
        <w:t>Fratiglioni</w:t>
      </w:r>
      <w:proofErr w:type="spellEnd"/>
      <w:r w:rsidRPr="001370BE">
        <w:t xml:space="preserve"> L, </w:t>
      </w:r>
      <w:proofErr w:type="spellStart"/>
      <w:r w:rsidRPr="001370BE">
        <w:t>Penell</w:t>
      </w:r>
      <w:proofErr w:type="spellEnd"/>
      <w:r w:rsidRPr="001370BE">
        <w:t xml:space="preserve"> J, </w:t>
      </w:r>
      <w:proofErr w:type="spellStart"/>
      <w:r w:rsidRPr="001370BE">
        <w:t>Korek</w:t>
      </w:r>
      <w:proofErr w:type="spellEnd"/>
      <w:r w:rsidRPr="001370BE">
        <w:t xml:space="preserve"> M, </w:t>
      </w:r>
      <w:proofErr w:type="spellStart"/>
      <w:r w:rsidRPr="001370BE">
        <w:t>Pershagen</w:t>
      </w:r>
      <w:proofErr w:type="spellEnd"/>
      <w:r w:rsidRPr="001370BE">
        <w:t xml:space="preserve"> G, </w:t>
      </w:r>
      <w:proofErr w:type="spellStart"/>
      <w:r w:rsidRPr="001370BE">
        <w:t>Eriksen</w:t>
      </w:r>
      <w:proofErr w:type="spellEnd"/>
      <w:r w:rsidRPr="001370BE">
        <w:t xml:space="preserve"> KT, </w:t>
      </w:r>
      <w:proofErr w:type="spellStart"/>
      <w:r w:rsidRPr="001370BE">
        <w:t>Sørensen</w:t>
      </w:r>
      <w:proofErr w:type="spellEnd"/>
      <w:r w:rsidRPr="001370BE">
        <w:t xml:space="preserve"> M, </w:t>
      </w:r>
      <w:proofErr w:type="spellStart"/>
      <w:r w:rsidRPr="001370BE">
        <w:t>Tjønneland</w:t>
      </w:r>
      <w:proofErr w:type="spellEnd"/>
      <w:r w:rsidRPr="001370BE">
        <w:t xml:space="preserve"> A, </w:t>
      </w:r>
      <w:proofErr w:type="spellStart"/>
      <w:r w:rsidRPr="001370BE">
        <w:t>Ellermann</w:t>
      </w:r>
      <w:proofErr w:type="spellEnd"/>
      <w:r w:rsidRPr="001370BE">
        <w:t xml:space="preserve"> T, </w:t>
      </w:r>
      <w:proofErr w:type="spellStart"/>
      <w:r w:rsidRPr="001370BE">
        <w:t>Eeftens</w:t>
      </w:r>
      <w:proofErr w:type="spellEnd"/>
      <w:r w:rsidRPr="001370BE">
        <w:t xml:space="preserve"> M, </w:t>
      </w:r>
      <w:proofErr w:type="spellStart"/>
      <w:r w:rsidRPr="001370BE">
        <w:t>Peeters</w:t>
      </w:r>
      <w:proofErr w:type="spellEnd"/>
      <w:r w:rsidRPr="001370BE">
        <w:t xml:space="preserve"> PH, </w:t>
      </w:r>
      <w:proofErr w:type="spellStart"/>
      <w:r w:rsidRPr="001370BE">
        <w:t>Meliefste</w:t>
      </w:r>
      <w:proofErr w:type="spellEnd"/>
      <w:r w:rsidRPr="001370BE">
        <w:t xml:space="preserve"> K, Wang M, Bueno-de-</w:t>
      </w:r>
      <w:proofErr w:type="spellStart"/>
      <w:r w:rsidRPr="001370BE">
        <w:t>Mesquita</w:t>
      </w:r>
      <w:proofErr w:type="spellEnd"/>
      <w:r w:rsidRPr="001370BE">
        <w:t xml:space="preserve"> B, Key TJ,</w:t>
      </w:r>
      <w:r>
        <w:t xml:space="preserve"> de </w:t>
      </w:r>
      <w:proofErr w:type="spellStart"/>
      <w:r>
        <w:t>Hoogh</w:t>
      </w:r>
      <w:proofErr w:type="spellEnd"/>
      <w:r>
        <w:t xml:space="preserve"> K, </w:t>
      </w:r>
      <w:proofErr w:type="spellStart"/>
      <w:r>
        <w:t>Concin</w:t>
      </w:r>
      <w:proofErr w:type="spellEnd"/>
      <w:r>
        <w:t xml:space="preserve"> H, Nagel G, </w:t>
      </w:r>
      <w:proofErr w:type="spellStart"/>
      <w:r>
        <w:t>Vilier</w:t>
      </w:r>
      <w:proofErr w:type="spellEnd"/>
      <w:r>
        <w:t xml:space="preserve"> A, </w:t>
      </w:r>
      <w:proofErr w:type="spellStart"/>
      <w:r>
        <w:t>Grioni</w:t>
      </w:r>
      <w:proofErr w:type="spellEnd"/>
      <w:r>
        <w:t xml:space="preserve"> S, Krogh V, Tsai M-Y, </w:t>
      </w:r>
      <w:proofErr w:type="spellStart"/>
      <w:r>
        <w:t>Ricceri</w:t>
      </w:r>
      <w:proofErr w:type="spellEnd"/>
      <w:r>
        <w:t xml:space="preserve"> F, </w:t>
      </w:r>
      <w:proofErr w:type="spellStart"/>
      <w:r>
        <w:t>Sacerdote</w:t>
      </w:r>
      <w:proofErr w:type="spellEnd"/>
      <w:r>
        <w:t xml:space="preserve"> C, </w:t>
      </w:r>
      <w:proofErr w:type="spellStart"/>
      <w:r>
        <w:t>Galassi</w:t>
      </w:r>
      <w:proofErr w:type="spellEnd"/>
      <w:r>
        <w:t xml:space="preserve"> C, </w:t>
      </w:r>
      <w:proofErr w:type="spellStart"/>
      <w:r>
        <w:t>Migliore</w:t>
      </w:r>
      <w:proofErr w:type="spellEnd"/>
      <w:r>
        <w:t xml:space="preserve"> E, </w:t>
      </w:r>
      <w:proofErr w:type="spellStart"/>
      <w:r>
        <w:t>Ranzi</w:t>
      </w:r>
      <w:proofErr w:type="spellEnd"/>
      <w:r>
        <w:t xml:space="preserve"> </w:t>
      </w:r>
      <w:proofErr w:type="spellStart"/>
      <w:r>
        <w:t>A,Cesaroni</w:t>
      </w:r>
      <w:proofErr w:type="spellEnd"/>
      <w:r>
        <w:t xml:space="preserve"> G, </w:t>
      </w:r>
      <w:proofErr w:type="spellStart"/>
      <w:r>
        <w:t>Badaloni</w:t>
      </w:r>
      <w:proofErr w:type="spellEnd"/>
      <w:r>
        <w:t xml:space="preserve"> C, </w:t>
      </w:r>
      <w:proofErr w:type="spellStart"/>
      <w:r>
        <w:t>Forastiere</w:t>
      </w:r>
      <w:proofErr w:type="spellEnd"/>
      <w:r>
        <w:t xml:space="preserve"> F, Tamayo I, </w:t>
      </w:r>
      <w:proofErr w:type="spellStart"/>
      <w:r>
        <w:t>Amiano</w:t>
      </w:r>
      <w:proofErr w:type="spellEnd"/>
      <w:r>
        <w:t xml:space="preserve"> P, </w:t>
      </w:r>
      <w:proofErr w:type="spellStart"/>
      <w:r>
        <w:t>Dorronsoro</w:t>
      </w:r>
      <w:proofErr w:type="spellEnd"/>
      <w:r>
        <w:t xml:space="preserve"> M, </w:t>
      </w:r>
      <w:proofErr w:type="spellStart"/>
      <w:r>
        <w:t>Trichopoulou</w:t>
      </w:r>
      <w:proofErr w:type="spellEnd"/>
      <w:r>
        <w:t xml:space="preserve"> A, </w:t>
      </w:r>
      <w:proofErr w:type="spellStart"/>
      <w:r>
        <w:t>Bamia</w:t>
      </w:r>
      <w:proofErr w:type="spellEnd"/>
      <w:r>
        <w:t xml:space="preserve"> C, </w:t>
      </w:r>
      <w:proofErr w:type="spellStart"/>
      <w:r>
        <w:t>Vineis</w:t>
      </w:r>
      <w:proofErr w:type="spellEnd"/>
      <w:r>
        <w:t xml:space="preserve"> P, Hoek G. Air pollution </w:t>
      </w:r>
      <w:r>
        <w:lastRenderedPageBreak/>
        <w:t xml:space="preserve">and lung cancer incidence in 17 European cohorts: prospective analyses from the European Study of Cohorts for Air Pollution Effects (ESCAPE). </w:t>
      </w:r>
      <w:proofErr w:type="gramStart"/>
      <w:r>
        <w:t xml:space="preserve">Lancet </w:t>
      </w:r>
      <w:proofErr w:type="spellStart"/>
      <w:r>
        <w:t>Oncol</w:t>
      </w:r>
      <w:proofErr w:type="spellEnd"/>
      <w:r>
        <w:t>.</w:t>
      </w:r>
      <w:proofErr w:type="gramEnd"/>
      <w:r>
        <w:t xml:space="preserve"> 2013; 21 14(9): 813–22.</w:t>
      </w:r>
    </w:p>
    <w:p w14:paraId="6038398C" w14:textId="77777777" w:rsidR="00C95014" w:rsidRDefault="00C95014" w:rsidP="007E2775">
      <w:pPr>
        <w:spacing w:before="120" w:after="240"/>
      </w:pPr>
      <w:r>
        <w:t xml:space="preserve">Turner MC, </w:t>
      </w:r>
      <w:proofErr w:type="spellStart"/>
      <w:r>
        <w:t>Jerrett</w:t>
      </w:r>
      <w:proofErr w:type="spellEnd"/>
      <w:r>
        <w:t xml:space="preserve"> M, Pope CA 3rd, </w:t>
      </w:r>
      <w:proofErr w:type="spellStart"/>
      <w:r>
        <w:t>Krewski</w:t>
      </w:r>
      <w:proofErr w:type="spellEnd"/>
      <w:r>
        <w:t xml:space="preserve"> D, </w:t>
      </w:r>
      <w:proofErr w:type="spellStart"/>
      <w:r>
        <w:t>Gapstur</w:t>
      </w:r>
      <w:proofErr w:type="spellEnd"/>
      <w:r>
        <w:t xml:space="preserve"> SM, Diver WR, Beckerman BS, Marshall JD, Su J, Crouse DL, Burnett RT. Long-term ozone  exposure and mortality in a large prospective study </w:t>
      </w:r>
      <w:r w:rsidRPr="006074A9">
        <w:t>[Unpublished data]</w:t>
      </w:r>
      <w:r>
        <w:t xml:space="preserve">. Am J </w:t>
      </w:r>
      <w:proofErr w:type="spellStart"/>
      <w:r>
        <w:t>Respir</w:t>
      </w:r>
      <w:proofErr w:type="spellEnd"/>
      <w:r>
        <w:t xml:space="preserve"> </w:t>
      </w:r>
      <w:proofErr w:type="spellStart"/>
      <w:r>
        <w:t>Crit</w:t>
      </w:r>
      <w:proofErr w:type="spellEnd"/>
      <w:r>
        <w:t xml:space="preserve"> Care Med. 2016; 193(10): 1134-42.</w:t>
      </w:r>
    </w:p>
    <w:p w14:paraId="680493F6" w14:textId="77777777" w:rsidR="00C95014" w:rsidRDefault="00C95014" w:rsidP="007E2775">
      <w:pPr>
        <w:spacing w:before="120" w:after="240"/>
      </w:pPr>
      <w:proofErr w:type="gramStart"/>
      <w:r>
        <w:t xml:space="preserve">Villeneuve PJ, </w:t>
      </w:r>
      <w:proofErr w:type="spellStart"/>
      <w:r>
        <w:t>Weichenthal</w:t>
      </w:r>
      <w:proofErr w:type="spellEnd"/>
      <w:r>
        <w:t xml:space="preserve"> SA, Crouse D, Miller AB, To T, Martin RV, van </w:t>
      </w:r>
      <w:proofErr w:type="spellStart"/>
      <w:r>
        <w:t>Donkelaar</w:t>
      </w:r>
      <w:proofErr w:type="spellEnd"/>
      <w:r>
        <w:t xml:space="preserve"> A, Wall C, Burnett RT. Long-term exposure to fine particulate matter air pollution and mortality among Canadian women.</w:t>
      </w:r>
      <w:proofErr w:type="gramEnd"/>
      <w:r>
        <w:t xml:space="preserve"> </w:t>
      </w:r>
      <w:proofErr w:type="gramStart"/>
      <w:r>
        <w:t>Epidemiology.</w:t>
      </w:r>
      <w:proofErr w:type="gramEnd"/>
      <w:r>
        <w:t xml:space="preserve"> 2015; 26(4): 536-45.</w:t>
      </w:r>
    </w:p>
    <w:p w14:paraId="7B6B9F1C" w14:textId="5EB10A12" w:rsidR="00362824" w:rsidRPr="00AF0917" w:rsidRDefault="00C95014" w:rsidP="00883A27">
      <w:pPr>
        <w:spacing w:before="120" w:after="240"/>
        <w:rPr>
          <w:vertAlign w:val="subscript"/>
        </w:rPr>
      </w:pPr>
      <w:proofErr w:type="spellStart"/>
      <w:r>
        <w:t>Weichenthal</w:t>
      </w:r>
      <w:proofErr w:type="spellEnd"/>
      <w:r>
        <w:t xml:space="preserve"> S, </w:t>
      </w:r>
      <w:proofErr w:type="spellStart"/>
      <w:r>
        <w:t>Hoppin</w:t>
      </w:r>
      <w:proofErr w:type="spellEnd"/>
      <w:r>
        <w:t xml:space="preserve"> JA, Reeves F. Obesity and cardiovascular health effects of fine particulate air pollution. </w:t>
      </w:r>
      <w:proofErr w:type="gramStart"/>
      <w:r>
        <w:t>Obesity (Silver Spring).</w:t>
      </w:r>
      <w:proofErr w:type="gramEnd"/>
      <w:r>
        <w:t xml:space="preserve"> 2014; 22(7): 1580-9.</w:t>
      </w:r>
    </w:p>
    <w:sectPr w:rsidR="00362824" w:rsidRPr="00AF0917" w:rsidSect="00C40A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60E6CB" w14:textId="77777777" w:rsidR="005D1212" w:rsidRDefault="005D1212" w:rsidP="003246FC">
      <w:pPr>
        <w:spacing w:after="0"/>
      </w:pPr>
      <w:r>
        <w:separator/>
      </w:r>
    </w:p>
  </w:endnote>
  <w:endnote w:type="continuationSeparator" w:id="0">
    <w:p w14:paraId="1740990B" w14:textId="77777777" w:rsidR="005D1212" w:rsidRDefault="005D1212" w:rsidP="003246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NWYDES+TimesNewRomanPSMT">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Shaker2Lancet-Bold">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3557297"/>
      <w:docPartObj>
        <w:docPartGallery w:val="Page Numbers (Bottom of Page)"/>
        <w:docPartUnique/>
      </w:docPartObj>
    </w:sdtPr>
    <w:sdtEndPr>
      <w:rPr>
        <w:noProof/>
      </w:rPr>
    </w:sdtEndPr>
    <w:sdtContent>
      <w:p w14:paraId="3507C2E1" w14:textId="284AD352" w:rsidR="00E60BCB" w:rsidRDefault="00E60BCB">
        <w:pPr>
          <w:pStyle w:val="Fuzeile"/>
          <w:jc w:val="center"/>
        </w:pPr>
        <w:r>
          <w:fldChar w:fldCharType="begin"/>
        </w:r>
        <w:r>
          <w:instrText xml:space="preserve"> PAGE   \* MERGEFORMAT </w:instrText>
        </w:r>
        <w:r>
          <w:fldChar w:fldCharType="separate"/>
        </w:r>
        <w:r w:rsidR="00F0715F">
          <w:rPr>
            <w:noProof/>
          </w:rPr>
          <w:t>1</w:t>
        </w:r>
        <w:r>
          <w:rPr>
            <w:noProof/>
          </w:rPr>
          <w:fldChar w:fldCharType="end"/>
        </w:r>
      </w:p>
    </w:sdtContent>
  </w:sdt>
  <w:p w14:paraId="05CC01EA" w14:textId="77777777" w:rsidR="00E60BCB" w:rsidRDefault="00E60BC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5D4721" w14:textId="77777777" w:rsidR="005D1212" w:rsidRDefault="005D1212" w:rsidP="003246FC">
      <w:pPr>
        <w:spacing w:after="0"/>
      </w:pPr>
      <w:r>
        <w:separator/>
      </w:r>
    </w:p>
  </w:footnote>
  <w:footnote w:type="continuationSeparator" w:id="0">
    <w:p w14:paraId="5FED69F5" w14:textId="77777777" w:rsidR="005D1212" w:rsidRDefault="005D1212" w:rsidP="003246FC">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DAF45842"/>
    <w:lvl w:ilvl="0">
      <w:start w:val="2"/>
      <w:numFmt w:val="upperLetter"/>
      <w:lvlText w:val="(%1)"/>
      <w:lvlJc w:val="left"/>
      <w:pPr>
        <w:ind w:left="450" w:hanging="360"/>
      </w:pPr>
      <w:rPr>
        <w:rFonts w:ascii="Times New Roman" w:hAnsi="Times New Roman" w:cs="Times New Roman" w:hint="default"/>
        <w:b w:val="0"/>
        <w:bCs w:val="0"/>
        <w:sz w:val="22"/>
        <w:szCs w:val="22"/>
      </w:rPr>
    </w:lvl>
    <w:lvl w:ilvl="1">
      <w:numFmt w:val="bullet"/>
      <w:lvlText w:val="o"/>
      <w:lvlJc w:val="left"/>
      <w:pPr>
        <w:ind w:left="1170" w:hanging="360"/>
      </w:pPr>
      <w:rPr>
        <w:rFonts w:ascii="Courier New" w:hAnsi="Courier New" w:cs="Courier New"/>
        <w:b w:val="0"/>
        <w:bCs w:val="0"/>
        <w:sz w:val="22"/>
        <w:szCs w:val="22"/>
      </w:rPr>
    </w:lvl>
    <w:lvl w:ilvl="2">
      <w:numFmt w:val="bullet"/>
      <w:lvlText w:val="•"/>
      <w:lvlJc w:val="left"/>
      <w:pPr>
        <w:ind w:left="2059" w:hanging="360"/>
      </w:pPr>
    </w:lvl>
    <w:lvl w:ilvl="3">
      <w:numFmt w:val="bullet"/>
      <w:lvlText w:val="•"/>
      <w:lvlJc w:val="left"/>
      <w:pPr>
        <w:ind w:left="2948" w:hanging="360"/>
      </w:pPr>
    </w:lvl>
    <w:lvl w:ilvl="4">
      <w:numFmt w:val="bullet"/>
      <w:lvlText w:val="•"/>
      <w:lvlJc w:val="left"/>
      <w:pPr>
        <w:ind w:left="3836" w:hanging="360"/>
      </w:pPr>
    </w:lvl>
    <w:lvl w:ilvl="5">
      <w:numFmt w:val="bullet"/>
      <w:lvlText w:val="•"/>
      <w:lvlJc w:val="left"/>
      <w:pPr>
        <w:ind w:left="4725" w:hanging="360"/>
      </w:pPr>
    </w:lvl>
    <w:lvl w:ilvl="6">
      <w:numFmt w:val="bullet"/>
      <w:lvlText w:val="•"/>
      <w:lvlJc w:val="left"/>
      <w:pPr>
        <w:ind w:left="5614" w:hanging="360"/>
      </w:pPr>
    </w:lvl>
    <w:lvl w:ilvl="7">
      <w:numFmt w:val="bullet"/>
      <w:lvlText w:val="•"/>
      <w:lvlJc w:val="left"/>
      <w:pPr>
        <w:ind w:left="6503" w:hanging="360"/>
      </w:pPr>
    </w:lvl>
    <w:lvl w:ilvl="8">
      <w:numFmt w:val="bullet"/>
      <w:lvlText w:val="•"/>
      <w:lvlJc w:val="left"/>
      <w:pPr>
        <w:ind w:left="7392" w:hanging="360"/>
      </w:pPr>
    </w:lvl>
  </w:abstractNum>
  <w:abstractNum w:abstractNumId="1">
    <w:nsid w:val="02DD14CE"/>
    <w:multiLevelType w:val="hybridMultilevel"/>
    <w:tmpl w:val="36D4DE62"/>
    <w:lvl w:ilvl="0" w:tplc="0F4EA22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E96737"/>
    <w:multiLevelType w:val="hybridMultilevel"/>
    <w:tmpl w:val="0C06BED8"/>
    <w:lvl w:ilvl="0" w:tplc="AAF0328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7C7B81"/>
    <w:multiLevelType w:val="hybridMultilevel"/>
    <w:tmpl w:val="BC50E34C"/>
    <w:lvl w:ilvl="0" w:tplc="D4D8200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2C3174"/>
    <w:multiLevelType w:val="hybridMultilevel"/>
    <w:tmpl w:val="E24053DC"/>
    <w:lvl w:ilvl="0" w:tplc="7F567AA8">
      <w:start w:val="1"/>
      <w:numFmt w:val="bullet"/>
      <w:lvlText w:val="•"/>
      <w:lvlJc w:val="left"/>
      <w:pPr>
        <w:tabs>
          <w:tab w:val="num" w:pos="720"/>
        </w:tabs>
        <w:ind w:left="720" w:hanging="360"/>
      </w:pPr>
      <w:rPr>
        <w:rFonts w:ascii="Arial" w:hAnsi="Arial" w:hint="default"/>
      </w:rPr>
    </w:lvl>
    <w:lvl w:ilvl="1" w:tplc="12C20014" w:tentative="1">
      <w:start w:val="1"/>
      <w:numFmt w:val="bullet"/>
      <w:lvlText w:val="•"/>
      <w:lvlJc w:val="left"/>
      <w:pPr>
        <w:tabs>
          <w:tab w:val="num" w:pos="1440"/>
        </w:tabs>
        <w:ind w:left="1440" w:hanging="360"/>
      </w:pPr>
      <w:rPr>
        <w:rFonts w:ascii="Arial" w:hAnsi="Arial" w:hint="default"/>
      </w:rPr>
    </w:lvl>
    <w:lvl w:ilvl="2" w:tplc="363E59CE" w:tentative="1">
      <w:start w:val="1"/>
      <w:numFmt w:val="bullet"/>
      <w:lvlText w:val="•"/>
      <w:lvlJc w:val="left"/>
      <w:pPr>
        <w:tabs>
          <w:tab w:val="num" w:pos="2160"/>
        </w:tabs>
        <w:ind w:left="2160" w:hanging="360"/>
      </w:pPr>
      <w:rPr>
        <w:rFonts w:ascii="Arial" w:hAnsi="Arial" w:hint="default"/>
      </w:rPr>
    </w:lvl>
    <w:lvl w:ilvl="3" w:tplc="8E00F776" w:tentative="1">
      <w:start w:val="1"/>
      <w:numFmt w:val="bullet"/>
      <w:lvlText w:val="•"/>
      <w:lvlJc w:val="left"/>
      <w:pPr>
        <w:tabs>
          <w:tab w:val="num" w:pos="2880"/>
        </w:tabs>
        <w:ind w:left="2880" w:hanging="360"/>
      </w:pPr>
      <w:rPr>
        <w:rFonts w:ascii="Arial" w:hAnsi="Arial" w:hint="default"/>
      </w:rPr>
    </w:lvl>
    <w:lvl w:ilvl="4" w:tplc="3506B27C" w:tentative="1">
      <w:start w:val="1"/>
      <w:numFmt w:val="bullet"/>
      <w:lvlText w:val="•"/>
      <w:lvlJc w:val="left"/>
      <w:pPr>
        <w:tabs>
          <w:tab w:val="num" w:pos="3600"/>
        </w:tabs>
        <w:ind w:left="3600" w:hanging="360"/>
      </w:pPr>
      <w:rPr>
        <w:rFonts w:ascii="Arial" w:hAnsi="Arial" w:hint="default"/>
      </w:rPr>
    </w:lvl>
    <w:lvl w:ilvl="5" w:tplc="F6281954" w:tentative="1">
      <w:start w:val="1"/>
      <w:numFmt w:val="bullet"/>
      <w:lvlText w:val="•"/>
      <w:lvlJc w:val="left"/>
      <w:pPr>
        <w:tabs>
          <w:tab w:val="num" w:pos="4320"/>
        </w:tabs>
        <w:ind w:left="4320" w:hanging="360"/>
      </w:pPr>
      <w:rPr>
        <w:rFonts w:ascii="Arial" w:hAnsi="Arial" w:hint="default"/>
      </w:rPr>
    </w:lvl>
    <w:lvl w:ilvl="6" w:tplc="0F6E3432" w:tentative="1">
      <w:start w:val="1"/>
      <w:numFmt w:val="bullet"/>
      <w:lvlText w:val="•"/>
      <w:lvlJc w:val="left"/>
      <w:pPr>
        <w:tabs>
          <w:tab w:val="num" w:pos="5040"/>
        </w:tabs>
        <w:ind w:left="5040" w:hanging="360"/>
      </w:pPr>
      <w:rPr>
        <w:rFonts w:ascii="Arial" w:hAnsi="Arial" w:hint="default"/>
      </w:rPr>
    </w:lvl>
    <w:lvl w:ilvl="7" w:tplc="E7BA5C86" w:tentative="1">
      <w:start w:val="1"/>
      <w:numFmt w:val="bullet"/>
      <w:lvlText w:val="•"/>
      <w:lvlJc w:val="left"/>
      <w:pPr>
        <w:tabs>
          <w:tab w:val="num" w:pos="5760"/>
        </w:tabs>
        <w:ind w:left="5760" w:hanging="360"/>
      </w:pPr>
      <w:rPr>
        <w:rFonts w:ascii="Arial" w:hAnsi="Arial" w:hint="default"/>
      </w:rPr>
    </w:lvl>
    <w:lvl w:ilvl="8" w:tplc="12B4D7A4" w:tentative="1">
      <w:start w:val="1"/>
      <w:numFmt w:val="bullet"/>
      <w:lvlText w:val="•"/>
      <w:lvlJc w:val="left"/>
      <w:pPr>
        <w:tabs>
          <w:tab w:val="num" w:pos="6480"/>
        </w:tabs>
        <w:ind w:left="6480" w:hanging="360"/>
      </w:pPr>
      <w:rPr>
        <w:rFonts w:ascii="Arial" w:hAnsi="Arial" w:hint="default"/>
      </w:rPr>
    </w:lvl>
  </w:abstractNum>
  <w:abstractNum w:abstractNumId="5">
    <w:nsid w:val="1FA41AEF"/>
    <w:multiLevelType w:val="hybridMultilevel"/>
    <w:tmpl w:val="E5466CEA"/>
    <w:lvl w:ilvl="0" w:tplc="A9408D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1446B"/>
    <w:multiLevelType w:val="hybridMultilevel"/>
    <w:tmpl w:val="0D3E8104"/>
    <w:lvl w:ilvl="0" w:tplc="1E502EEC">
      <w:start w:val="1"/>
      <w:numFmt w:val="bullet"/>
      <w:lvlText w:val="o"/>
      <w:lvlJc w:val="left"/>
      <w:pPr>
        <w:tabs>
          <w:tab w:val="num" w:pos="720"/>
        </w:tabs>
        <w:ind w:left="720" w:hanging="360"/>
      </w:pPr>
      <w:rPr>
        <w:rFonts w:ascii="Courier New" w:hAnsi="Courier New" w:hint="default"/>
      </w:rPr>
    </w:lvl>
    <w:lvl w:ilvl="1" w:tplc="68F2998C" w:tentative="1">
      <w:start w:val="1"/>
      <w:numFmt w:val="bullet"/>
      <w:lvlText w:val="o"/>
      <w:lvlJc w:val="left"/>
      <w:pPr>
        <w:tabs>
          <w:tab w:val="num" w:pos="1440"/>
        </w:tabs>
        <w:ind w:left="1440" w:hanging="360"/>
      </w:pPr>
      <w:rPr>
        <w:rFonts w:ascii="Courier New" w:hAnsi="Courier New" w:hint="default"/>
      </w:rPr>
    </w:lvl>
    <w:lvl w:ilvl="2" w:tplc="112C3430" w:tentative="1">
      <w:start w:val="1"/>
      <w:numFmt w:val="bullet"/>
      <w:lvlText w:val="o"/>
      <w:lvlJc w:val="left"/>
      <w:pPr>
        <w:tabs>
          <w:tab w:val="num" w:pos="2160"/>
        </w:tabs>
        <w:ind w:left="2160" w:hanging="360"/>
      </w:pPr>
      <w:rPr>
        <w:rFonts w:ascii="Courier New" w:hAnsi="Courier New" w:hint="default"/>
      </w:rPr>
    </w:lvl>
    <w:lvl w:ilvl="3" w:tplc="A566B678" w:tentative="1">
      <w:start w:val="1"/>
      <w:numFmt w:val="bullet"/>
      <w:lvlText w:val="o"/>
      <w:lvlJc w:val="left"/>
      <w:pPr>
        <w:tabs>
          <w:tab w:val="num" w:pos="2880"/>
        </w:tabs>
        <w:ind w:left="2880" w:hanging="360"/>
      </w:pPr>
      <w:rPr>
        <w:rFonts w:ascii="Courier New" w:hAnsi="Courier New" w:hint="default"/>
      </w:rPr>
    </w:lvl>
    <w:lvl w:ilvl="4" w:tplc="B9C8E1D6" w:tentative="1">
      <w:start w:val="1"/>
      <w:numFmt w:val="bullet"/>
      <w:lvlText w:val="o"/>
      <w:lvlJc w:val="left"/>
      <w:pPr>
        <w:tabs>
          <w:tab w:val="num" w:pos="3600"/>
        </w:tabs>
        <w:ind w:left="3600" w:hanging="360"/>
      </w:pPr>
      <w:rPr>
        <w:rFonts w:ascii="Courier New" w:hAnsi="Courier New" w:hint="default"/>
      </w:rPr>
    </w:lvl>
    <w:lvl w:ilvl="5" w:tplc="5080BB70" w:tentative="1">
      <w:start w:val="1"/>
      <w:numFmt w:val="bullet"/>
      <w:lvlText w:val="o"/>
      <w:lvlJc w:val="left"/>
      <w:pPr>
        <w:tabs>
          <w:tab w:val="num" w:pos="4320"/>
        </w:tabs>
        <w:ind w:left="4320" w:hanging="360"/>
      </w:pPr>
      <w:rPr>
        <w:rFonts w:ascii="Courier New" w:hAnsi="Courier New" w:hint="default"/>
      </w:rPr>
    </w:lvl>
    <w:lvl w:ilvl="6" w:tplc="72940968" w:tentative="1">
      <w:start w:val="1"/>
      <w:numFmt w:val="bullet"/>
      <w:lvlText w:val="o"/>
      <w:lvlJc w:val="left"/>
      <w:pPr>
        <w:tabs>
          <w:tab w:val="num" w:pos="5040"/>
        </w:tabs>
        <w:ind w:left="5040" w:hanging="360"/>
      </w:pPr>
      <w:rPr>
        <w:rFonts w:ascii="Courier New" w:hAnsi="Courier New" w:hint="default"/>
      </w:rPr>
    </w:lvl>
    <w:lvl w:ilvl="7" w:tplc="5664A91C" w:tentative="1">
      <w:start w:val="1"/>
      <w:numFmt w:val="bullet"/>
      <w:lvlText w:val="o"/>
      <w:lvlJc w:val="left"/>
      <w:pPr>
        <w:tabs>
          <w:tab w:val="num" w:pos="5760"/>
        </w:tabs>
        <w:ind w:left="5760" w:hanging="360"/>
      </w:pPr>
      <w:rPr>
        <w:rFonts w:ascii="Courier New" w:hAnsi="Courier New" w:hint="default"/>
      </w:rPr>
    </w:lvl>
    <w:lvl w:ilvl="8" w:tplc="2FA8A09A" w:tentative="1">
      <w:start w:val="1"/>
      <w:numFmt w:val="bullet"/>
      <w:lvlText w:val="o"/>
      <w:lvlJc w:val="left"/>
      <w:pPr>
        <w:tabs>
          <w:tab w:val="num" w:pos="6480"/>
        </w:tabs>
        <w:ind w:left="6480" w:hanging="360"/>
      </w:pPr>
      <w:rPr>
        <w:rFonts w:ascii="Courier New" w:hAnsi="Courier New" w:hint="default"/>
      </w:rPr>
    </w:lvl>
  </w:abstractNum>
  <w:abstractNum w:abstractNumId="7">
    <w:nsid w:val="20A47BEF"/>
    <w:multiLevelType w:val="hybridMultilevel"/>
    <w:tmpl w:val="DA8E1A32"/>
    <w:lvl w:ilvl="0" w:tplc="70328E6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4EB146F"/>
    <w:multiLevelType w:val="hybridMultilevel"/>
    <w:tmpl w:val="47D087EC"/>
    <w:lvl w:ilvl="0" w:tplc="0E8A0F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61D4ED4"/>
    <w:multiLevelType w:val="multilevel"/>
    <w:tmpl w:val="C54A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21290C"/>
    <w:multiLevelType w:val="hybridMultilevel"/>
    <w:tmpl w:val="CA12C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1566133"/>
    <w:multiLevelType w:val="hybridMultilevel"/>
    <w:tmpl w:val="37B0ED0C"/>
    <w:lvl w:ilvl="0" w:tplc="75B87C9E">
      <w:start w:val="1"/>
      <w:numFmt w:val="bullet"/>
      <w:lvlText w:val="•"/>
      <w:lvlJc w:val="left"/>
      <w:pPr>
        <w:tabs>
          <w:tab w:val="num" w:pos="720"/>
        </w:tabs>
        <w:ind w:left="720" w:hanging="360"/>
      </w:pPr>
      <w:rPr>
        <w:rFonts w:ascii="Arial" w:hAnsi="Arial" w:hint="default"/>
      </w:rPr>
    </w:lvl>
    <w:lvl w:ilvl="1" w:tplc="532C59F8" w:tentative="1">
      <w:start w:val="1"/>
      <w:numFmt w:val="bullet"/>
      <w:lvlText w:val="•"/>
      <w:lvlJc w:val="left"/>
      <w:pPr>
        <w:tabs>
          <w:tab w:val="num" w:pos="1440"/>
        </w:tabs>
        <w:ind w:left="1440" w:hanging="360"/>
      </w:pPr>
      <w:rPr>
        <w:rFonts w:ascii="Arial" w:hAnsi="Arial" w:hint="default"/>
      </w:rPr>
    </w:lvl>
    <w:lvl w:ilvl="2" w:tplc="D94263FE" w:tentative="1">
      <w:start w:val="1"/>
      <w:numFmt w:val="bullet"/>
      <w:lvlText w:val="•"/>
      <w:lvlJc w:val="left"/>
      <w:pPr>
        <w:tabs>
          <w:tab w:val="num" w:pos="2160"/>
        </w:tabs>
        <w:ind w:left="2160" w:hanging="360"/>
      </w:pPr>
      <w:rPr>
        <w:rFonts w:ascii="Arial" w:hAnsi="Arial" w:hint="default"/>
      </w:rPr>
    </w:lvl>
    <w:lvl w:ilvl="3" w:tplc="83721D5A" w:tentative="1">
      <w:start w:val="1"/>
      <w:numFmt w:val="bullet"/>
      <w:lvlText w:val="•"/>
      <w:lvlJc w:val="left"/>
      <w:pPr>
        <w:tabs>
          <w:tab w:val="num" w:pos="2880"/>
        </w:tabs>
        <w:ind w:left="2880" w:hanging="360"/>
      </w:pPr>
      <w:rPr>
        <w:rFonts w:ascii="Arial" w:hAnsi="Arial" w:hint="default"/>
      </w:rPr>
    </w:lvl>
    <w:lvl w:ilvl="4" w:tplc="68DACFEC" w:tentative="1">
      <w:start w:val="1"/>
      <w:numFmt w:val="bullet"/>
      <w:lvlText w:val="•"/>
      <w:lvlJc w:val="left"/>
      <w:pPr>
        <w:tabs>
          <w:tab w:val="num" w:pos="3600"/>
        </w:tabs>
        <w:ind w:left="3600" w:hanging="360"/>
      </w:pPr>
      <w:rPr>
        <w:rFonts w:ascii="Arial" w:hAnsi="Arial" w:hint="default"/>
      </w:rPr>
    </w:lvl>
    <w:lvl w:ilvl="5" w:tplc="3474C534" w:tentative="1">
      <w:start w:val="1"/>
      <w:numFmt w:val="bullet"/>
      <w:lvlText w:val="•"/>
      <w:lvlJc w:val="left"/>
      <w:pPr>
        <w:tabs>
          <w:tab w:val="num" w:pos="4320"/>
        </w:tabs>
        <w:ind w:left="4320" w:hanging="360"/>
      </w:pPr>
      <w:rPr>
        <w:rFonts w:ascii="Arial" w:hAnsi="Arial" w:hint="default"/>
      </w:rPr>
    </w:lvl>
    <w:lvl w:ilvl="6" w:tplc="CDEC5EE0" w:tentative="1">
      <w:start w:val="1"/>
      <w:numFmt w:val="bullet"/>
      <w:lvlText w:val="•"/>
      <w:lvlJc w:val="left"/>
      <w:pPr>
        <w:tabs>
          <w:tab w:val="num" w:pos="5040"/>
        </w:tabs>
        <w:ind w:left="5040" w:hanging="360"/>
      </w:pPr>
      <w:rPr>
        <w:rFonts w:ascii="Arial" w:hAnsi="Arial" w:hint="default"/>
      </w:rPr>
    </w:lvl>
    <w:lvl w:ilvl="7" w:tplc="1FE61164" w:tentative="1">
      <w:start w:val="1"/>
      <w:numFmt w:val="bullet"/>
      <w:lvlText w:val="•"/>
      <w:lvlJc w:val="left"/>
      <w:pPr>
        <w:tabs>
          <w:tab w:val="num" w:pos="5760"/>
        </w:tabs>
        <w:ind w:left="5760" w:hanging="360"/>
      </w:pPr>
      <w:rPr>
        <w:rFonts w:ascii="Arial" w:hAnsi="Arial" w:hint="default"/>
      </w:rPr>
    </w:lvl>
    <w:lvl w:ilvl="8" w:tplc="B02E6AC6" w:tentative="1">
      <w:start w:val="1"/>
      <w:numFmt w:val="bullet"/>
      <w:lvlText w:val="•"/>
      <w:lvlJc w:val="left"/>
      <w:pPr>
        <w:tabs>
          <w:tab w:val="num" w:pos="6480"/>
        </w:tabs>
        <w:ind w:left="6480" w:hanging="360"/>
      </w:pPr>
      <w:rPr>
        <w:rFonts w:ascii="Arial" w:hAnsi="Arial" w:hint="default"/>
      </w:rPr>
    </w:lvl>
  </w:abstractNum>
  <w:abstractNum w:abstractNumId="12">
    <w:nsid w:val="35F24A81"/>
    <w:multiLevelType w:val="hybridMultilevel"/>
    <w:tmpl w:val="54ACD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181C73"/>
    <w:multiLevelType w:val="hybridMultilevel"/>
    <w:tmpl w:val="482C1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3F6C75"/>
    <w:multiLevelType w:val="hybridMultilevel"/>
    <w:tmpl w:val="21925FD8"/>
    <w:lvl w:ilvl="0" w:tplc="0407000F">
      <w:start w:val="1"/>
      <w:numFmt w:val="decimal"/>
      <w:lvlText w:val="%1."/>
      <w:lvlJc w:val="left"/>
      <w:pPr>
        <w:ind w:left="770" w:hanging="360"/>
      </w:pPr>
    </w:lvl>
    <w:lvl w:ilvl="1" w:tplc="04070019" w:tentative="1">
      <w:start w:val="1"/>
      <w:numFmt w:val="lowerLetter"/>
      <w:lvlText w:val="%2."/>
      <w:lvlJc w:val="left"/>
      <w:pPr>
        <w:ind w:left="1490" w:hanging="360"/>
      </w:pPr>
    </w:lvl>
    <w:lvl w:ilvl="2" w:tplc="0407001B" w:tentative="1">
      <w:start w:val="1"/>
      <w:numFmt w:val="lowerRoman"/>
      <w:lvlText w:val="%3."/>
      <w:lvlJc w:val="right"/>
      <w:pPr>
        <w:ind w:left="2210" w:hanging="180"/>
      </w:pPr>
    </w:lvl>
    <w:lvl w:ilvl="3" w:tplc="0407000F" w:tentative="1">
      <w:start w:val="1"/>
      <w:numFmt w:val="decimal"/>
      <w:lvlText w:val="%4."/>
      <w:lvlJc w:val="left"/>
      <w:pPr>
        <w:ind w:left="2930" w:hanging="360"/>
      </w:pPr>
    </w:lvl>
    <w:lvl w:ilvl="4" w:tplc="04070019" w:tentative="1">
      <w:start w:val="1"/>
      <w:numFmt w:val="lowerLetter"/>
      <w:lvlText w:val="%5."/>
      <w:lvlJc w:val="left"/>
      <w:pPr>
        <w:ind w:left="3650" w:hanging="360"/>
      </w:pPr>
    </w:lvl>
    <w:lvl w:ilvl="5" w:tplc="0407001B" w:tentative="1">
      <w:start w:val="1"/>
      <w:numFmt w:val="lowerRoman"/>
      <w:lvlText w:val="%6."/>
      <w:lvlJc w:val="right"/>
      <w:pPr>
        <w:ind w:left="4370" w:hanging="180"/>
      </w:pPr>
    </w:lvl>
    <w:lvl w:ilvl="6" w:tplc="0407000F" w:tentative="1">
      <w:start w:val="1"/>
      <w:numFmt w:val="decimal"/>
      <w:lvlText w:val="%7."/>
      <w:lvlJc w:val="left"/>
      <w:pPr>
        <w:ind w:left="5090" w:hanging="360"/>
      </w:pPr>
    </w:lvl>
    <w:lvl w:ilvl="7" w:tplc="04070019" w:tentative="1">
      <w:start w:val="1"/>
      <w:numFmt w:val="lowerLetter"/>
      <w:lvlText w:val="%8."/>
      <w:lvlJc w:val="left"/>
      <w:pPr>
        <w:ind w:left="5810" w:hanging="360"/>
      </w:pPr>
    </w:lvl>
    <w:lvl w:ilvl="8" w:tplc="0407001B" w:tentative="1">
      <w:start w:val="1"/>
      <w:numFmt w:val="lowerRoman"/>
      <w:lvlText w:val="%9."/>
      <w:lvlJc w:val="right"/>
      <w:pPr>
        <w:ind w:left="6530" w:hanging="180"/>
      </w:pPr>
    </w:lvl>
  </w:abstractNum>
  <w:abstractNum w:abstractNumId="15">
    <w:nsid w:val="4EA56143"/>
    <w:multiLevelType w:val="hybridMultilevel"/>
    <w:tmpl w:val="3F8AE4C0"/>
    <w:lvl w:ilvl="0" w:tplc="00E0FD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2206C4C"/>
    <w:multiLevelType w:val="hybridMultilevel"/>
    <w:tmpl w:val="BFEC78B8"/>
    <w:lvl w:ilvl="0" w:tplc="A6E8C46A">
      <w:start w:val="1"/>
      <w:numFmt w:val="bullet"/>
      <w:lvlText w:val="•"/>
      <w:lvlJc w:val="left"/>
      <w:pPr>
        <w:tabs>
          <w:tab w:val="num" w:pos="720"/>
        </w:tabs>
        <w:ind w:left="720" w:hanging="360"/>
      </w:pPr>
      <w:rPr>
        <w:rFonts w:ascii="Arial" w:hAnsi="Arial" w:hint="default"/>
      </w:rPr>
    </w:lvl>
    <w:lvl w:ilvl="1" w:tplc="B8BEE936" w:tentative="1">
      <w:start w:val="1"/>
      <w:numFmt w:val="bullet"/>
      <w:lvlText w:val="•"/>
      <w:lvlJc w:val="left"/>
      <w:pPr>
        <w:tabs>
          <w:tab w:val="num" w:pos="1440"/>
        </w:tabs>
        <w:ind w:left="1440" w:hanging="360"/>
      </w:pPr>
      <w:rPr>
        <w:rFonts w:ascii="Arial" w:hAnsi="Arial" w:hint="default"/>
      </w:rPr>
    </w:lvl>
    <w:lvl w:ilvl="2" w:tplc="681A24D6" w:tentative="1">
      <w:start w:val="1"/>
      <w:numFmt w:val="bullet"/>
      <w:lvlText w:val="•"/>
      <w:lvlJc w:val="left"/>
      <w:pPr>
        <w:tabs>
          <w:tab w:val="num" w:pos="2160"/>
        </w:tabs>
        <w:ind w:left="2160" w:hanging="360"/>
      </w:pPr>
      <w:rPr>
        <w:rFonts w:ascii="Arial" w:hAnsi="Arial" w:hint="default"/>
      </w:rPr>
    </w:lvl>
    <w:lvl w:ilvl="3" w:tplc="7D8E43A2" w:tentative="1">
      <w:start w:val="1"/>
      <w:numFmt w:val="bullet"/>
      <w:lvlText w:val="•"/>
      <w:lvlJc w:val="left"/>
      <w:pPr>
        <w:tabs>
          <w:tab w:val="num" w:pos="2880"/>
        </w:tabs>
        <w:ind w:left="2880" w:hanging="360"/>
      </w:pPr>
      <w:rPr>
        <w:rFonts w:ascii="Arial" w:hAnsi="Arial" w:hint="default"/>
      </w:rPr>
    </w:lvl>
    <w:lvl w:ilvl="4" w:tplc="1EEA7A9C" w:tentative="1">
      <w:start w:val="1"/>
      <w:numFmt w:val="bullet"/>
      <w:lvlText w:val="•"/>
      <w:lvlJc w:val="left"/>
      <w:pPr>
        <w:tabs>
          <w:tab w:val="num" w:pos="3600"/>
        </w:tabs>
        <w:ind w:left="3600" w:hanging="360"/>
      </w:pPr>
      <w:rPr>
        <w:rFonts w:ascii="Arial" w:hAnsi="Arial" w:hint="default"/>
      </w:rPr>
    </w:lvl>
    <w:lvl w:ilvl="5" w:tplc="27A2C0E6" w:tentative="1">
      <w:start w:val="1"/>
      <w:numFmt w:val="bullet"/>
      <w:lvlText w:val="•"/>
      <w:lvlJc w:val="left"/>
      <w:pPr>
        <w:tabs>
          <w:tab w:val="num" w:pos="4320"/>
        </w:tabs>
        <w:ind w:left="4320" w:hanging="360"/>
      </w:pPr>
      <w:rPr>
        <w:rFonts w:ascii="Arial" w:hAnsi="Arial" w:hint="default"/>
      </w:rPr>
    </w:lvl>
    <w:lvl w:ilvl="6" w:tplc="D2CA1108" w:tentative="1">
      <w:start w:val="1"/>
      <w:numFmt w:val="bullet"/>
      <w:lvlText w:val="•"/>
      <w:lvlJc w:val="left"/>
      <w:pPr>
        <w:tabs>
          <w:tab w:val="num" w:pos="5040"/>
        </w:tabs>
        <w:ind w:left="5040" w:hanging="360"/>
      </w:pPr>
      <w:rPr>
        <w:rFonts w:ascii="Arial" w:hAnsi="Arial" w:hint="default"/>
      </w:rPr>
    </w:lvl>
    <w:lvl w:ilvl="7" w:tplc="AB684B4A" w:tentative="1">
      <w:start w:val="1"/>
      <w:numFmt w:val="bullet"/>
      <w:lvlText w:val="•"/>
      <w:lvlJc w:val="left"/>
      <w:pPr>
        <w:tabs>
          <w:tab w:val="num" w:pos="5760"/>
        </w:tabs>
        <w:ind w:left="5760" w:hanging="360"/>
      </w:pPr>
      <w:rPr>
        <w:rFonts w:ascii="Arial" w:hAnsi="Arial" w:hint="default"/>
      </w:rPr>
    </w:lvl>
    <w:lvl w:ilvl="8" w:tplc="DDE8A254" w:tentative="1">
      <w:start w:val="1"/>
      <w:numFmt w:val="bullet"/>
      <w:lvlText w:val="•"/>
      <w:lvlJc w:val="left"/>
      <w:pPr>
        <w:tabs>
          <w:tab w:val="num" w:pos="6480"/>
        </w:tabs>
        <w:ind w:left="6480" w:hanging="360"/>
      </w:pPr>
      <w:rPr>
        <w:rFonts w:ascii="Arial" w:hAnsi="Arial" w:hint="default"/>
      </w:rPr>
    </w:lvl>
  </w:abstractNum>
  <w:abstractNum w:abstractNumId="17">
    <w:nsid w:val="5B0937DE"/>
    <w:multiLevelType w:val="hybridMultilevel"/>
    <w:tmpl w:val="5E2EA644"/>
    <w:lvl w:ilvl="0" w:tplc="71CC10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A56532"/>
    <w:multiLevelType w:val="hybridMultilevel"/>
    <w:tmpl w:val="D842EBA2"/>
    <w:lvl w:ilvl="0" w:tplc="FF200EC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C04B00"/>
    <w:multiLevelType w:val="hybridMultilevel"/>
    <w:tmpl w:val="EED0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6B215F4"/>
    <w:multiLevelType w:val="hybridMultilevel"/>
    <w:tmpl w:val="CD408F76"/>
    <w:lvl w:ilvl="0" w:tplc="34D08B7A">
      <w:start w:val="1"/>
      <w:numFmt w:val="bullet"/>
      <w:lvlText w:val="o"/>
      <w:lvlJc w:val="left"/>
      <w:pPr>
        <w:tabs>
          <w:tab w:val="num" w:pos="720"/>
        </w:tabs>
        <w:ind w:left="720" w:hanging="360"/>
      </w:pPr>
      <w:rPr>
        <w:rFonts w:ascii="Courier New" w:hAnsi="Courier New" w:hint="default"/>
      </w:rPr>
    </w:lvl>
    <w:lvl w:ilvl="1" w:tplc="58A2C6CA" w:tentative="1">
      <w:start w:val="1"/>
      <w:numFmt w:val="bullet"/>
      <w:lvlText w:val="o"/>
      <w:lvlJc w:val="left"/>
      <w:pPr>
        <w:tabs>
          <w:tab w:val="num" w:pos="1440"/>
        </w:tabs>
        <w:ind w:left="1440" w:hanging="360"/>
      </w:pPr>
      <w:rPr>
        <w:rFonts w:ascii="Courier New" w:hAnsi="Courier New" w:hint="default"/>
      </w:rPr>
    </w:lvl>
    <w:lvl w:ilvl="2" w:tplc="D500EECC" w:tentative="1">
      <w:start w:val="1"/>
      <w:numFmt w:val="bullet"/>
      <w:lvlText w:val="o"/>
      <w:lvlJc w:val="left"/>
      <w:pPr>
        <w:tabs>
          <w:tab w:val="num" w:pos="2160"/>
        </w:tabs>
        <w:ind w:left="2160" w:hanging="360"/>
      </w:pPr>
      <w:rPr>
        <w:rFonts w:ascii="Courier New" w:hAnsi="Courier New" w:hint="default"/>
      </w:rPr>
    </w:lvl>
    <w:lvl w:ilvl="3" w:tplc="CD7824E2" w:tentative="1">
      <w:start w:val="1"/>
      <w:numFmt w:val="bullet"/>
      <w:lvlText w:val="o"/>
      <w:lvlJc w:val="left"/>
      <w:pPr>
        <w:tabs>
          <w:tab w:val="num" w:pos="2880"/>
        </w:tabs>
        <w:ind w:left="2880" w:hanging="360"/>
      </w:pPr>
      <w:rPr>
        <w:rFonts w:ascii="Courier New" w:hAnsi="Courier New" w:hint="default"/>
      </w:rPr>
    </w:lvl>
    <w:lvl w:ilvl="4" w:tplc="47F011C6" w:tentative="1">
      <w:start w:val="1"/>
      <w:numFmt w:val="bullet"/>
      <w:lvlText w:val="o"/>
      <w:lvlJc w:val="left"/>
      <w:pPr>
        <w:tabs>
          <w:tab w:val="num" w:pos="3600"/>
        </w:tabs>
        <w:ind w:left="3600" w:hanging="360"/>
      </w:pPr>
      <w:rPr>
        <w:rFonts w:ascii="Courier New" w:hAnsi="Courier New" w:hint="default"/>
      </w:rPr>
    </w:lvl>
    <w:lvl w:ilvl="5" w:tplc="428C783A" w:tentative="1">
      <w:start w:val="1"/>
      <w:numFmt w:val="bullet"/>
      <w:lvlText w:val="o"/>
      <w:lvlJc w:val="left"/>
      <w:pPr>
        <w:tabs>
          <w:tab w:val="num" w:pos="4320"/>
        </w:tabs>
        <w:ind w:left="4320" w:hanging="360"/>
      </w:pPr>
      <w:rPr>
        <w:rFonts w:ascii="Courier New" w:hAnsi="Courier New" w:hint="default"/>
      </w:rPr>
    </w:lvl>
    <w:lvl w:ilvl="6" w:tplc="CEB0CA6C" w:tentative="1">
      <w:start w:val="1"/>
      <w:numFmt w:val="bullet"/>
      <w:lvlText w:val="o"/>
      <w:lvlJc w:val="left"/>
      <w:pPr>
        <w:tabs>
          <w:tab w:val="num" w:pos="5040"/>
        </w:tabs>
        <w:ind w:left="5040" w:hanging="360"/>
      </w:pPr>
      <w:rPr>
        <w:rFonts w:ascii="Courier New" w:hAnsi="Courier New" w:hint="default"/>
      </w:rPr>
    </w:lvl>
    <w:lvl w:ilvl="7" w:tplc="355EBE34" w:tentative="1">
      <w:start w:val="1"/>
      <w:numFmt w:val="bullet"/>
      <w:lvlText w:val="o"/>
      <w:lvlJc w:val="left"/>
      <w:pPr>
        <w:tabs>
          <w:tab w:val="num" w:pos="5760"/>
        </w:tabs>
        <w:ind w:left="5760" w:hanging="360"/>
      </w:pPr>
      <w:rPr>
        <w:rFonts w:ascii="Courier New" w:hAnsi="Courier New" w:hint="default"/>
      </w:rPr>
    </w:lvl>
    <w:lvl w:ilvl="8" w:tplc="77A69D80" w:tentative="1">
      <w:start w:val="1"/>
      <w:numFmt w:val="bullet"/>
      <w:lvlText w:val="o"/>
      <w:lvlJc w:val="left"/>
      <w:pPr>
        <w:tabs>
          <w:tab w:val="num" w:pos="6480"/>
        </w:tabs>
        <w:ind w:left="6480" w:hanging="360"/>
      </w:pPr>
      <w:rPr>
        <w:rFonts w:ascii="Courier New" w:hAnsi="Courier New" w:hint="default"/>
      </w:rPr>
    </w:lvl>
  </w:abstractNum>
  <w:abstractNum w:abstractNumId="21">
    <w:nsid w:val="6F295658"/>
    <w:multiLevelType w:val="hybridMultilevel"/>
    <w:tmpl w:val="AFEED708"/>
    <w:lvl w:ilvl="0" w:tplc="310634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79F6B04"/>
    <w:multiLevelType w:val="hybridMultilevel"/>
    <w:tmpl w:val="9A94A84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nsid w:val="7AFB5193"/>
    <w:multiLevelType w:val="hybridMultilevel"/>
    <w:tmpl w:val="6DEC5F8E"/>
    <w:lvl w:ilvl="0" w:tplc="27DA44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DB5664E"/>
    <w:multiLevelType w:val="hybridMultilevel"/>
    <w:tmpl w:val="32DEFBFE"/>
    <w:lvl w:ilvl="0" w:tplc="E6FC0D52">
      <w:start w:val="1"/>
      <w:numFmt w:val="bullet"/>
      <w:lvlText w:val="•"/>
      <w:lvlJc w:val="left"/>
      <w:pPr>
        <w:tabs>
          <w:tab w:val="num" w:pos="720"/>
        </w:tabs>
        <w:ind w:left="720" w:hanging="360"/>
      </w:pPr>
      <w:rPr>
        <w:rFonts w:ascii="Arial" w:hAnsi="Arial" w:hint="default"/>
      </w:rPr>
    </w:lvl>
    <w:lvl w:ilvl="1" w:tplc="46DE36E8" w:tentative="1">
      <w:start w:val="1"/>
      <w:numFmt w:val="bullet"/>
      <w:lvlText w:val="•"/>
      <w:lvlJc w:val="left"/>
      <w:pPr>
        <w:tabs>
          <w:tab w:val="num" w:pos="1440"/>
        </w:tabs>
        <w:ind w:left="1440" w:hanging="360"/>
      </w:pPr>
      <w:rPr>
        <w:rFonts w:ascii="Arial" w:hAnsi="Arial" w:hint="default"/>
      </w:rPr>
    </w:lvl>
    <w:lvl w:ilvl="2" w:tplc="E8DAA1C6" w:tentative="1">
      <w:start w:val="1"/>
      <w:numFmt w:val="bullet"/>
      <w:lvlText w:val="•"/>
      <w:lvlJc w:val="left"/>
      <w:pPr>
        <w:tabs>
          <w:tab w:val="num" w:pos="2160"/>
        </w:tabs>
        <w:ind w:left="2160" w:hanging="360"/>
      </w:pPr>
      <w:rPr>
        <w:rFonts w:ascii="Arial" w:hAnsi="Arial" w:hint="default"/>
      </w:rPr>
    </w:lvl>
    <w:lvl w:ilvl="3" w:tplc="A424711C" w:tentative="1">
      <w:start w:val="1"/>
      <w:numFmt w:val="bullet"/>
      <w:lvlText w:val="•"/>
      <w:lvlJc w:val="left"/>
      <w:pPr>
        <w:tabs>
          <w:tab w:val="num" w:pos="2880"/>
        </w:tabs>
        <w:ind w:left="2880" w:hanging="360"/>
      </w:pPr>
      <w:rPr>
        <w:rFonts w:ascii="Arial" w:hAnsi="Arial" w:hint="default"/>
      </w:rPr>
    </w:lvl>
    <w:lvl w:ilvl="4" w:tplc="99B8BD56" w:tentative="1">
      <w:start w:val="1"/>
      <w:numFmt w:val="bullet"/>
      <w:lvlText w:val="•"/>
      <w:lvlJc w:val="left"/>
      <w:pPr>
        <w:tabs>
          <w:tab w:val="num" w:pos="3600"/>
        </w:tabs>
        <w:ind w:left="3600" w:hanging="360"/>
      </w:pPr>
      <w:rPr>
        <w:rFonts w:ascii="Arial" w:hAnsi="Arial" w:hint="default"/>
      </w:rPr>
    </w:lvl>
    <w:lvl w:ilvl="5" w:tplc="0B226FCA" w:tentative="1">
      <w:start w:val="1"/>
      <w:numFmt w:val="bullet"/>
      <w:lvlText w:val="•"/>
      <w:lvlJc w:val="left"/>
      <w:pPr>
        <w:tabs>
          <w:tab w:val="num" w:pos="4320"/>
        </w:tabs>
        <w:ind w:left="4320" w:hanging="360"/>
      </w:pPr>
      <w:rPr>
        <w:rFonts w:ascii="Arial" w:hAnsi="Arial" w:hint="default"/>
      </w:rPr>
    </w:lvl>
    <w:lvl w:ilvl="6" w:tplc="076AB38A" w:tentative="1">
      <w:start w:val="1"/>
      <w:numFmt w:val="bullet"/>
      <w:lvlText w:val="•"/>
      <w:lvlJc w:val="left"/>
      <w:pPr>
        <w:tabs>
          <w:tab w:val="num" w:pos="5040"/>
        </w:tabs>
        <w:ind w:left="5040" w:hanging="360"/>
      </w:pPr>
      <w:rPr>
        <w:rFonts w:ascii="Arial" w:hAnsi="Arial" w:hint="default"/>
      </w:rPr>
    </w:lvl>
    <w:lvl w:ilvl="7" w:tplc="6BDAFCE6" w:tentative="1">
      <w:start w:val="1"/>
      <w:numFmt w:val="bullet"/>
      <w:lvlText w:val="•"/>
      <w:lvlJc w:val="left"/>
      <w:pPr>
        <w:tabs>
          <w:tab w:val="num" w:pos="5760"/>
        </w:tabs>
        <w:ind w:left="5760" w:hanging="360"/>
      </w:pPr>
      <w:rPr>
        <w:rFonts w:ascii="Arial" w:hAnsi="Arial" w:hint="default"/>
      </w:rPr>
    </w:lvl>
    <w:lvl w:ilvl="8" w:tplc="BB320550" w:tentative="1">
      <w:start w:val="1"/>
      <w:numFmt w:val="bullet"/>
      <w:lvlText w:val="•"/>
      <w:lvlJc w:val="left"/>
      <w:pPr>
        <w:tabs>
          <w:tab w:val="num" w:pos="6480"/>
        </w:tabs>
        <w:ind w:left="6480" w:hanging="360"/>
      </w:pPr>
      <w:rPr>
        <w:rFonts w:ascii="Arial" w:hAnsi="Arial" w:hint="default"/>
      </w:rPr>
    </w:lvl>
  </w:abstractNum>
  <w:abstractNum w:abstractNumId="25">
    <w:nsid w:val="7FFA785B"/>
    <w:multiLevelType w:val="hybridMultilevel"/>
    <w:tmpl w:val="D7F6BB0E"/>
    <w:lvl w:ilvl="0" w:tplc="780826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4"/>
  </w:num>
  <w:num w:numId="3">
    <w:abstractNumId w:val="9"/>
  </w:num>
  <w:num w:numId="4">
    <w:abstractNumId w:val="19"/>
  </w:num>
  <w:num w:numId="5">
    <w:abstractNumId w:val="24"/>
  </w:num>
  <w:num w:numId="6">
    <w:abstractNumId w:val="4"/>
  </w:num>
  <w:num w:numId="7">
    <w:abstractNumId w:val="20"/>
  </w:num>
  <w:num w:numId="8">
    <w:abstractNumId w:val="6"/>
  </w:num>
  <w:num w:numId="9">
    <w:abstractNumId w:val="11"/>
  </w:num>
  <w:num w:numId="10">
    <w:abstractNumId w:val="16"/>
  </w:num>
  <w:num w:numId="11">
    <w:abstractNumId w:val="23"/>
  </w:num>
  <w:num w:numId="12">
    <w:abstractNumId w:val="8"/>
  </w:num>
  <w:num w:numId="13">
    <w:abstractNumId w:val="18"/>
  </w:num>
  <w:num w:numId="14">
    <w:abstractNumId w:val="2"/>
  </w:num>
  <w:num w:numId="15">
    <w:abstractNumId w:val="25"/>
  </w:num>
  <w:num w:numId="16">
    <w:abstractNumId w:val="3"/>
  </w:num>
  <w:num w:numId="17">
    <w:abstractNumId w:val="0"/>
  </w:num>
  <w:num w:numId="18">
    <w:abstractNumId w:val="10"/>
  </w:num>
  <w:num w:numId="19">
    <w:abstractNumId w:val="1"/>
  </w:num>
  <w:num w:numId="20">
    <w:abstractNumId w:val="15"/>
  </w:num>
  <w:num w:numId="21">
    <w:abstractNumId w:val="7"/>
  </w:num>
  <w:num w:numId="22">
    <w:abstractNumId w:val="12"/>
  </w:num>
  <w:num w:numId="23">
    <w:abstractNumId w:val="5"/>
  </w:num>
  <w:num w:numId="24">
    <w:abstractNumId w:val="21"/>
  </w:num>
  <w:num w:numId="25">
    <w:abstractNumId w:val="17"/>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64F6"/>
    <w:rsid w:val="00000067"/>
    <w:rsid w:val="00001B6B"/>
    <w:rsid w:val="00001ED8"/>
    <w:rsid w:val="00001EE6"/>
    <w:rsid w:val="0000277E"/>
    <w:rsid w:val="00003CD4"/>
    <w:rsid w:val="000042C6"/>
    <w:rsid w:val="000065FB"/>
    <w:rsid w:val="00011D12"/>
    <w:rsid w:val="00013829"/>
    <w:rsid w:val="00015144"/>
    <w:rsid w:val="00020F62"/>
    <w:rsid w:val="000220D6"/>
    <w:rsid w:val="000239EC"/>
    <w:rsid w:val="00027522"/>
    <w:rsid w:val="00027BBC"/>
    <w:rsid w:val="00030AE6"/>
    <w:rsid w:val="00037EFD"/>
    <w:rsid w:val="000422C1"/>
    <w:rsid w:val="00042528"/>
    <w:rsid w:val="00044A9D"/>
    <w:rsid w:val="00044F0F"/>
    <w:rsid w:val="00045FDA"/>
    <w:rsid w:val="00046293"/>
    <w:rsid w:val="00047E7A"/>
    <w:rsid w:val="00053067"/>
    <w:rsid w:val="00053860"/>
    <w:rsid w:val="00053C2B"/>
    <w:rsid w:val="0005529C"/>
    <w:rsid w:val="000559D1"/>
    <w:rsid w:val="00061F84"/>
    <w:rsid w:val="00062FC5"/>
    <w:rsid w:val="000639A7"/>
    <w:rsid w:val="00064744"/>
    <w:rsid w:val="00064751"/>
    <w:rsid w:val="00066490"/>
    <w:rsid w:val="00066654"/>
    <w:rsid w:val="000676E9"/>
    <w:rsid w:val="000678C9"/>
    <w:rsid w:val="00070A0D"/>
    <w:rsid w:val="00071722"/>
    <w:rsid w:val="00076BA1"/>
    <w:rsid w:val="000813B1"/>
    <w:rsid w:val="000814B0"/>
    <w:rsid w:val="000823CC"/>
    <w:rsid w:val="00087782"/>
    <w:rsid w:val="00087DAF"/>
    <w:rsid w:val="000914F3"/>
    <w:rsid w:val="00092098"/>
    <w:rsid w:val="00092585"/>
    <w:rsid w:val="00094E48"/>
    <w:rsid w:val="00097FFC"/>
    <w:rsid w:val="000A1F46"/>
    <w:rsid w:val="000A219F"/>
    <w:rsid w:val="000A57BF"/>
    <w:rsid w:val="000A7C33"/>
    <w:rsid w:val="000B4D22"/>
    <w:rsid w:val="000B5CB3"/>
    <w:rsid w:val="000B719C"/>
    <w:rsid w:val="000C0454"/>
    <w:rsid w:val="000C0BDE"/>
    <w:rsid w:val="000C7925"/>
    <w:rsid w:val="000D1F9A"/>
    <w:rsid w:val="000D338B"/>
    <w:rsid w:val="000D33A0"/>
    <w:rsid w:val="000D695F"/>
    <w:rsid w:val="000D7D2D"/>
    <w:rsid w:val="000E3C52"/>
    <w:rsid w:val="000E5C75"/>
    <w:rsid w:val="000E64C8"/>
    <w:rsid w:val="000F2124"/>
    <w:rsid w:val="000F5BFB"/>
    <w:rsid w:val="000F5C1D"/>
    <w:rsid w:val="00100123"/>
    <w:rsid w:val="00100B48"/>
    <w:rsid w:val="00100B52"/>
    <w:rsid w:val="00104931"/>
    <w:rsid w:val="001054E8"/>
    <w:rsid w:val="001058ED"/>
    <w:rsid w:val="00111503"/>
    <w:rsid w:val="0011241F"/>
    <w:rsid w:val="001134B3"/>
    <w:rsid w:val="0011538B"/>
    <w:rsid w:val="0011553A"/>
    <w:rsid w:val="00122FFD"/>
    <w:rsid w:val="0012354B"/>
    <w:rsid w:val="0013080D"/>
    <w:rsid w:val="00133436"/>
    <w:rsid w:val="00133DE6"/>
    <w:rsid w:val="00135ED1"/>
    <w:rsid w:val="001368AA"/>
    <w:rsid w:val="001370BE"/>
    <w:rsid w:val="00137A9D"/>
    <w:rsid w:val="0014283E"/>
    <w:rsid w:val="00144E4A"/>
    <w:rsid w:val="001456F4"/>
    <w:rsid w:val="0014614D"/>
    <w:rsid w:val="00151BB6"/>
    <w:rsid w:val="00152686"/>
    <w:rsid w:val="0015325A"/>
    <w:rsid w:val="00154831"/>
    <w:rsid w:val="00155F2B"/>
    <w:rsid w:val="00156264"/>
    <w:rsid w:val="00160CE2"/>
    <w:rsid w:val="0016226B"/>
    <w:rsid w:val="00162C38"/>
    <w:rsid w:val="00163716"/>
    <w:rsid w:val="00167C7B"/>
    <w:rsid w:val="00170018"/>
    <w:rsid w:val="001708D8"/>
    <w:rsid w:val="00174E09"/>
    <w:rsid w:val="001755D5"/>
    <w:rsid w:val="00175766"/>
    <w:rsid w:val="00176E4C"/>
    <w:rsid w:val="00181BD3"/>
    <w:rsid w:val="00182D05"/>
    <w:rsid w:val="001831E1"/>
    <w:rsid w:val="00183677"/>
    <w:rsid w:val="00183881"/>
    <w:rsid w:val="00183DA5"/>
    <w:rsid w:val="00183EBF"/>
    <w:rsid w:val="00185233"/>
    <w:rsid w:val="001871CB"/>
    <w:rsid w:val="00187C8D"/>
    <w:rsid w:val="00187E51"/>
    <w:rsid w:val="00192708"/>
    <w:rsid w:val="001A0ACE"/>
    <w:rsid w:val="001A2C17"/>
    <w:rsid w:val="001A53F5"/>
    <w:rsid w:val="001A693D"/>
    <w:rsid w:val="001A725A"/>
    <w:rsid w:val="001A7501"/>
    <w:rsid w:val="001B2D41"/>
    <w:rsid w:val="001B351B"/>
    <w:rsid w:val="001B4AE0"/>
    <w:rsid w:val="001B4C42"/>
    <w:rsid w:val="001B6D8D"/>
    <w:rsid w:val="001C36B8"/>
    <w:rsid w:val="001C43B5"/>
    <w:rsid w:val="001C4EF0"/>
    <w:rsid w:val="001C527A"/>
    <w:rsid w:val="001C61CD"/>
    <w:rsid w:val="001C7270"/>
    <w:rsid w:val="001D0FE4"/>
    <w:rsid w:val="001D1954"/>
    <w:rsid w:val="001D24F2"/>
    <w:rsid w:val="001D2503"/>
    <w:rsid w:val="001D2945"/>
    <w:rsid w:val="001D3B67"/>
    <w:rsid w:val="001D5B90"/>
    <w:rsid w:val="001D60D5"/>
    <w:rsid w:val="001E240D"/>
    <w:rsid w:val="001E4047"/>
    <w:rsid w:val="001F7A11"/>
    <w:rsid w:val="001F7C07"/>
    <w:rsid w:val="00200397"/>
    <w:rsid w:val="00200AAB"/>
    <w:rsid w:val="00202886"/>
    <w:rsid w:val="002054A4"/>
    <w:rsid w:val="00205962"/>
    <w:rsid w:val="00206F6A"/>
    <w:rsid w:val="00207B58"/>
    <w:rsid w:val="00207C87"/>
    <w:rsid w:val="0021159B"/>
    <w:rsid w:val="0021470F"/>
    <w:rsid w:val="00217EE5"/>
    <w:rsid w:val="002205DB"/>
    <w:rsid w:val="002218C6"/>
    <w:rsid w:val="002225AA"/>
    <w:rsid w:val="0022280F"/>
    <w:rsid w:val="00223EF3"/>
    <w:rsid w:val="00226CC8"/>
    <w:rsid w:val="0022725F"/>
    <w:rsid w:val="002308D2"/>
    <w:rsid w:val="00234939"/>
    <w:rsid w:val="00243DC1"/>
    <w:rsid w:val="0024712A"/>
    <w:rsid w:val="00247286"/>
    <w:rsid w:val="00251422"/>
    <w:rsid w:val="0025502A"/>
    <w:rsid w:val="002557E0"/>
    <w:rsid w:val="00256D9D"/>
    <w:rsid w:val="00256E02"/>
    <w:rsid w:val="00256ED3"/>
    <w:rsid w:val="00257630"/>
    <w:rsid w:val="00261D94"/>
    <w:rsid w:val="0026330E"/>
    <w:rsid w:val="002658A9"/>
    <w:rsid w:val="002710B7"/>
    <w:rsid w:val="00273388"/>
    <w:rsid w:val="00273D21"/>
    <w:rsid w:val="0027541E"/>
    <w:rsid w:val="00282301"/>
    <w:rsid w:val="002839C9"/>
    <w:rsid w:val="002866E2"/>
    <w:rsid w:val="00287565"/>
    <w:rsid w:val="00291EE4"/>
    <w:rsid w:val="002940D3"/>
    <w:rsid w:val="0029571C"/>
    <w:rsid w:val="00295A5B"/>
    <w:rsid w:val="002965B6"/>
    <w:rsid w:val="002A0DAA"/>
    <w:rsid w:val="002A72E3"/>
    <w:rsid w:val="002B0CE7"/>
    <w:rsid w:val="002B17F5"/>
    <w:rsid w:val="002B3AFD"/>
    <w:rsid w:val="002B4051"/>
    <w:rsid w:val="002B4C44"/>
    <w:rsid w:val="002B5D3C"/>
    <w:rsid w:val="002B6451"/>
    <w:rsid w:val="002C1564"/>
    <w:rsid w:val="002C207E"/>
    <w:rsid w:val="002C562D"/>
    <w:rsid w:val="002C7021"/>
    <w:rsid w:val="002D01D7"/>
    <w:rsid w:val="002D0752"/>
    <w:rsid w:val="002D5ED4"/>
    <w:rsid w:val="002D70E3"/>
    <w:rsid w:val="002E03C1"/>
    <w:rsid w:val="002E35F7"/>
    <w:rsid w:val="002E4AD2"/>
    <w:rsid w:val="002F2C7E"/>
    <w:rsid w:val="002F3657"/>
    <w:rsid w:val="002F3994"/>
    <w:rsid w:val="00301175"/>
    <w:rsid w:val="00301656"/>
    <w:rsid w:val="003020C8"/>
    <w:rsid w:val="0030284C"/>
    <w:rsid w:val="00302E83"/>
    <w:rsid w:val="00303CF2"/>
    <w:rsid w:val="00304619"/>
    <w:rsid w:val="003049FB"/>
    <w:rsid w:val="00304D16"/>
    <w:rsid w:val="00306244"/>
    <w:rsid w:val="00306BB7"/>
    <w:rsid w:val="00307F80"/>
    <w:rsid w:val="00312F3D"/>
    <w:rsid w:val="00314DDD"/>
    <w:rsid w:val="003173E2"/>
    <w:rsid w:val="003176EC"/>
    <w:rsid w:val="00317B2D"/>
    <w:rsid w:val="00321928"/>
    <w:rsid w:val="003246FC"/>
    <w:rsid w:val="00325713"/>
    <w:rsid w:val="0032608E"/>
    <w:rsid w:val="0033074A"/>
    <w:rsid w:val="003333C3"/>
    <w:rsid w:val="00333A65"/>
    <w:rsid w:val="00333EB3"/>
    <w:rsid w:val="00336CB3"/>
    <w:rsid w:val="00336CE4"/>
    <w:rsid w:val="00340578"/>
    <w:rsid w:val="00341298"/>
    <w:rsid w:val="00342CD6"/>
    <w:rsid w:val="00342F70"/>
    <w:rsid w:val="0034437D"/>
    <w:rsid w:val="00344C70"/>
    <w:rsid w:val="00350F5D"/>
    <w:rsid w:val="00350FEB"/>
    <w:rsid w:val="00354137"/>
    <w:rsid w:val="0035433F"/>
    <w:rsid w:val="003551C2"/>
    <w:rsid w:val="00355A20"/>
    <w:rsid w:val="003569BC"/>
    <w:rsid w:val="00357384"/>
    <w:rsid w:val="00357B72"/>
    <w:rsid w:val="00360D03"/>
    <w:rsid w:val="00361490"/>
    <w:rsid w:val="00361C5F"/>
    <w:rsid w:val="00361EF5"/>
    <w:rsid w:val="00362739"/>
    <w:rsid w:val="00362824"/>
    <w:rsid w:val="00363B51"/>
    <w:rsid w:val="00364425"/>
    <w:rsid w:val="00365975"/>
    <w:rsid w:val="00366584"/>
    <w:rsid w:val="003667B6"/>
    <w:rsid w:val="003709A4"/>
    <w:rsid w:val="003714A5"/>
    <w:rsid w:val="003721AB"/>
    <w:rsid w:val="00374330"/>
    <w:rsid w:val="00374664"/>
    <w:rsid w:val="00376D57"/>
    <w:rsid w:val="00376D95"/>
    <w:rsid w:val="00380042"/>
    <w:rsid w:val="0038043F"/>
    <w:rsid w:val="003811FE"/>
    <w:rsid w:val="003819B0"/>
    <w:rsid w:val="00386ADE"/>
    <w:rsid w:val="00386E54"/>
    <w:rsid w:val="00391AA7"/>
    <w:rsid w:val="00393731"/>
    <w:rsid w:val="003951D4"/>
    <w:rsid w:val="00395785"/>
    <w:rsid w:val="0039600D"/>
    <w:rsid w:val="003970D4"/>
    <w:rsid w:val="003A08D7"/>
    <w:rsid w:val="003A1BB1"/>
    <w:rsid w:val="003A1D9A"/>
    <w:rsid w:val="003A3CDD"/>
    <w:rsid w:val="003A4067"/>
    <w:rsid w:val="003A557D"/>
    <w:rsid w:val="003A5687"/>
    <w:rsid w:val="003A771D"/>
    <w:rsid w:val="003A7EB4"/>
    <w:rsid w:val="003B1031"/>
    <w:rsid w:val="003B160B"/>
    <w:rsid w:val="003B3EAF"/>
    <w:rsid w:val="003B4E0B"/>
    <w:rsid w:val="003B50BD"/>
    <w:rsid w:val="003B7489"/>
    <w:rsid w:val="003C0BCC"/>
    <w:rsid w:val="003C38D2"/>
    <w:rsid w:val="003C446C"/>
    <w:rsid w:val="003C4634"/>
    <w:rsid w:val="003C4DD3"/>
    <w:rsid w:val="003C58E7"/>
    <w:rsid w:val="003C7867"/>
    <w:rsid w:val="003D58EE"/>
    <w:rsid w:val="003D5AED"/>
    <w:rsid w:val="003D7D15"/>
    <w:rsid w:val="003E0357"/>
    <w:rsid w:val="003E2412"/>
    <w:rsid w:val="003E25BE"/>
    <w:rsid w:val="003E4498"/>
    <w:rsid w:val="003E468D"/>
    <w:rsid w:val="003E4A45"/>
    <w:rsid w:val="003F0084"/>
    <w:rsid w:val="003F036B"/>
    <w:rsid w:val="003F09F5"/>
    <w:rsid w:val="003F0F52"/>
    <w:rsid w:val="003F5713"/>
    <w:rsid w:val="003F76E6"/>
    <w:rsid w:val="00404375"/>
    <w:rsid w:val="00404CD3"/>
    <w:rsid w:val="00406AFD"/>
    <w:rsid w:val="00407FA5"/>
    <w:rsid w:val="004102B2"/>
    <w:rsid w:val="004127F7"/>
    <w:rsid w:val="0041375F"/>
    <w:rsid w:val="00413931"/>
    <w:rsid w:val="00414E6E"/>
    <w:rsid w:val="0041585B"/>
    <w:rsid w:val="00416343"/>
    <w:rsid w:val="00420D9E"/>
    <w:rsid w:val="00423DD5"/>
    <w:rsid w:val="00431D5A"/>
    <w:rsid w:val="00432CA3"/>
    <w:rsid w:val="00440DA5"/>
    <w:rsid w:val="004436B1"/>
    <w:rsid w:val="00450D18"/>
    <w:rsid w:val="00453DDA"/>
    <w:rsid w:val="00454A54"/>
    <w:rsid w:val="00456FCB"/>
    <w:rsid w:val="00462A3A"/>
    <w:rsid w:val="00463508"/>
    <w:rsid w:val="00466187"/>
    <w:rsid w:val="00466C22"/>
    <w:rsid w:val="004670C5"/>
    <w:rsid w:val="00467DEF"/>
    <w:rsid w:val="00467E03"/>
    <w:rsid w:val="00470E96"/>
    <w:rsid w:val="00473CCB"/>
    <w:rsid w:val="00474584"/>
    <w:rsid w:val="00475856"/>
    <w:rsid w:val="00475E2C"/>
    <w:rsid w:val="00480605"/>
    <w:rsid w:val="0048341A"/>
    <w:rsid w:val="004862F0"/>
    <w:rsid w:val="00487465"/>
    <w:rsid w:val="00491899"/>
    <w:rsid w:val="004923A7"/>
    <w:rsid w:val="0049306A"/>
    <w:rsid w:val="00493461"/>
    <w:rsid w:val="004947AF"/>
    <w:rsid w:val="0049554E"/>
    <w:rsid w:val="004A24CD"/>
    <w:rsid w:val="004A31EC"/>
    <w:rsid w:val="004A3517"/>
    <w:rsid w:val="004A38A3"/>
    <w:rsid w:val="004A4286"/>
    <w:rsid w:val="004A55B4"/>
    <w:rsid w:val="004A6D5D"/>
    <w:rsid w:val="004B1011"/>
    <w:rsid w:val="004B107C"/>
    <w:rsid w:val="004B2795"/>
    <w:rsid w:val="004B4168"/>
    <w:rsid w:val="004B55A8"/>
    <w:rsid w:val="004B58A9"/>
    <w:rsid w:val="004B5C66"/>
    <w:rsid w:val="004B6CE2"/>
    <w:rsid w:val="004B6FB6"/>
    <w:rsid w:val="004B771D"/>
    <w:rsid w:val="004B7967"/>
    <w:rsid w:val="004C5306"/>
    <w:rsid w:val="004C607A"/>
    <w:rsid w:val="004C6EC3"/>
    <w:rsid w:val="004C7707"/>
    <w:rsid w:val="004D2D0C"/>
    <w:rsid w:val="004D3137"/>
    <w:rsid w:val="004D38A1"/>
    <w:rsid w:val="004D55C0"/>
    <w:rsid w:val="004E1C96"/>
    <w:rsid w:val="004E6D35"/>
    <w:rsid w:val="004E7161"/>
    <w:rsid w:val="004F4E21"/>
    <w:rsid w:val="004F69D2"/>
    <w:rsid w:val="00505BB1"/>
    <w:rsid w:val="005079A0"/>
    <w:rsid w:val="0051014B"/>
    <w:rsid w:val="005107F7"/>
    <w:rsid w:val="00511419"/>
    <w:rsid w:val="00511D79"/>
    <w:rsid w:val="00512DFA"/>
    <w:rsid w:val="00513D33"/>
    <w:rsid w:val="00515A74"/>
    <w:rsid w:val="00515CE1"/>
    <w:rsid w:val="00516D54"/>
    <w:rsid w:val="00520FF8"/>
    <w:rsid w:val="005219F7"/>
    <w:rsid w:val="00522CE8"/>
    <w:rsid w:val="0052433F"/>
    <w:rsid w:val="00524F16"/>
    <w:rsid w:val="0052566E"/>
    <w:rsid w:val="005258D8"/>
    <w:rsid w:val="00530E9A"/>
    <w:rsid w:val="00530FB4"/>
    <w:rsid w:val="005325F8"/>
    <w:rsid w:val="00532712"/>
    <w:rsid w:val="005365F7"/>
    <w:rsid w:val="00543991"/>
    <w:rsid w:val="00544F6D"/>
    <w:rsid w:val="0054798B"/>
    <w:rsid w:val="00550931"/>
    <w:rsid w:val="0055400A"/>
    <w:rsid w:val="00560608"/>
    <w:rsid w:val="005676A8"/>
    <w:rsid w:val="005679BB"/>
    <w:rsid w:val="00567B71"/>
    <w:rsid w:val="005703DC"/>
    <w:rsid w:val="00570A80"/>
    <w:rsid w:val="00571A46"/>
    <w:rsid w:val="0057247E"/>
    <w:rsid w:val="00574B7F"/>
    <w:rsid w:val="00576E9E"/>
    <w:rsid w:val="00580004"/>
    <w:rsid w:val="00581090"/>
    <w:rsid w:val="0058204D"/>
    <w:rsid w:val="00583DFD"/>
    <w:rsid w:val="00584370"/>
    <w:rsid w:val="005907C7"/>
    <w:rsid w:val="00591772"/>
    <w:rsid w:val="0059476C"/>
    <w:rsid w:val="00595ADB"/>
    <w:rsid w:val="00596B00"/>
    <w:rsid w:val="005A2D21"/>
    <w:rsid w:val="005A39E3"/>
    <w:rsid w:val="005A3A4B"/>
    <w:rsid w:val="005A6F39"/>
    <w:rsid w:val="005B0605"/>
    <w:rsid w:val="005B6281"/>
    <w:rsid w:val="005B63F6"/>
    <w:rsid w:val="005C1607"/>
    <w:rsid w:val="005C3D64"/>
    <w:rsid w:val="005C51EB"/>
    <w:rsid w:val="005C5D2B"/>
    <w:rsid w:val="005C62D7"/>
    <w:rsid w:val="005D09ED"/>
    <w:rsid w:val="005D1212"/>
    <w:rsid w:val="005D3401"/>
    <w:rsid w:val="005D43F3"/>
    <w:rsid w:val="005D4471"/>
    <w:rsid w:val="005D69E0"/>
    <w:rsid w:val="005E254A"/>
    <w:rsid w:val="005E2FD2"/>
    <w:rsid w:val="005E3E12"/>
    <w:rsid w:val="005E48A6"/>
    <w:rsid w:val="005E4F81"/>
    <w:rsid w:val="005E6293"/>
    <w:rsid w:val="005F0509"/>
    <w:rsid w:val="005F4416"/>
    <w:rsid w:val="005F5485"/>
    <w:rsid w:val="005F5D44"/>
    <w:rsid w:val="006021F3"/>
    <w:rsid w:val="006039B5"/>
    <w:rsid w:val="00603E8C"/>
    <w:rsid w:val="0060460E"/>
    <w:rsid w:val="00604BE0"/>
    <w:rsid w:val="00604DD3"/>
    <w:rsid w:val="00605850"/>
    <w:rsid w:val="006074A9"/>
    <w:rsid w:val="006118C9"/>
    <w:rsid w:val="006121B2"/>
    <w:rsid w:val="006123D2"/>
    <w:rsid w:val="0061572B"/>
    <w:rsid w:val="00622BFC"/>
    <w:rsid w:val="0062352E"/>
    <w:rsid w:val="006239AD"/>
    <w:rsid w:val="006243EB"/>
    <w:rsid w:val="006244FE"/>
    <w:rsid w:val="00625332"/>
    <w:rsid w:val="00631743"/>
    <w:rsid w:val="00632060"/>
    <w:rsid w:val="006324CE"/>
    <w:rsid w:val="006359B2"/>
    <w:rsid w:val="006364A6"/>
    <w:rsid w:val="00640055"/>
    <w:rsid w:val="00640058"/>
    <w:rsid w:val="006422A4"/>
    <w:rsid w:val="0064326C"/>
    <w:rsid w:val="006447FE"/>
    <w:rsid w:val="00645F54"/>
    <w:rsid w:val="00647CF7"/>
    <w:rsid w:val="00652524"/>
    <w:rsid w:val="00652DDE"/>
    <w:rsid w:val="00654307"/>
    <w:rsid w:val="00654351"/>
    <w:rsid w:val="00655A22"/>
    <w:rsid w:val="0065787E"/>
    <w:rsid w:val="00657FFD"/>
    <w:rsid w:val="00660148"/>
    <w:rsid w:val="00660D96"/>
    <w:rsid w:val="00661649"/>
    <w:rsid w:val="00662175"/>
    <w:rsid w:val="00662A3F"/>
    <w:rsid w:val="006634EA"/>
    <w:rsid w:val="00663F72"/>
    <w:rsid w:val="00664123"/>
    <w:rsid w:val="00665112"/>
    <w:rsid w:val="0067010E"/>
    <w:rsid w:val="00670465"/>
    <w:rsid w:val="00670F46"/>
    <w:rsid w:val="00675AC2"/>
    <w:rsid w:val="00676538"/>
    <w:rsid w:val="00676A96"/>
    <w:rsid w:val="00676CCD"/>
    <w:rsid w:val="006772C0"/>
    <w:rsid w:val="006803CF"/>
    <w:rsid w:val="00681C04"/>
    <w:rsid w:val="0068300D"/>
    <w:rsid w:val="00684162"/>
    <w:rsid w:val="006863B2"/>
    <w:rsid w:val="00686E63"/>
    <w:rsid w:val="0068710E"/>
    <w:rsid w:val="00690069"/>
    <w:rsid w:val="00690E02"/>
    <w:rsid w:val="00695D54"/>
    <w:rsid w:val="00696A69"/>
    <w:rsid w:val="00696F2E"/>
    <w:rsid w:val="00697381"/>
    <w:rsid w:val="006A0A13"/>
    <w:rsid w:val="006A207C"/>
    <w:rsid w:val="006A675F"/>
    <w:rsid w:val="006B1872"/>
    <w:rsid w:val="006C0D93"/>
    <w:rsid w:val="006C24F0"/>
    <w:rsid w:val="006C3B05"/>
    <w:rsid w:val="006C593E"/>
    <w:rsid w:val="006C5CF6"/>
    <w:rsid w:val="006D1A36"/>
    <w:rsid w:val="006D337F"/>
    <w:rsid w:val="006D3445"/>
    <w:rsid w:val="006D3498"/>
    <w:rsid w:val="006D665B"/>
    <w:rsid w:val="006E1163"/>
    <w:rsid w:val="006E2869"/>
    <w:rsid w:val="006E3C4C"/>
    <w:rsid w:val="006E4091"/>
    <w:rsid w:val="006E4CB1"/>
    <w:rsid w:val="006E61F1"/>
    <w:rsid w:val="006F0E24"/>
    <w:rsid w:val="006F361F"/>
    <w:rsid w:val="006F39FE"/>
    <w:rsid w:val="006F4055"/>
    <w:rsid w:val="006F50D7"/>
    <w:rsid w:val="006F5DF7"/>
    <w:rsid w:val="007003D5"/>
    <w:rsid w:val="00700F17"/>
    <w:rsid w:val="007022D6"/>
    <w:rsid w:val="0070361F"/>
    <w:rsid w:val="00703893"/>
    <w:rsid w:val="007069D6"/>
    <w:rsid w:val="00707F6A"/>
    <w:rsid w:val="00713A5B"/>
    <w:rsid w:val="00715088"/>
    <w:rsid w:val="007159F8"/>
    <w:rsid w:val="00716CDC"/>
    <w:rsid w:val="00717D48"/>
    <w:rsid w:val="007213A2"/>
    <w:rsid w:val="00721F8B"/>
    <w:rsid w:val="007235F7"/>
    <w:rsid w:val="007240A6"/>
    <w:rsid w:val="007240E2"/>
    <w:rsid w:val="00727F9C"/>
    <w:rsid w:val="007329AA"/>
    <w:rsid w:val="0073430D"/>
    <w:rsid w:val="00734B0F"/>
    <w:rsid w:val="0074079A"/>
    <w:rsid w:val="00741150"/>
    <w:rsid w:val="0074288A"/>
    <w:rsid w:val="007479C6"/>
    <w:rsid w:val="0075011C"/>
    <w:rsid w:val="00751AA1"/>
    <w:rsid w:val="00752A5A"/>
    <w:rsid w:val="00753150"/>
    <w:rsid w:val="00753F22"/>
    <w:rsid w:val="00755307"/>
    <w:rsid w:val="0075731B"/>
    <w:rsid w:val="007617CD"/>
    <w:rsid w:val="0076286B"/>
    <w:rsid w:val="00762EEE"/>
    <w:rsid w:val="00763304"/>
    <w:rsid w:val="00764293"/>
    <w:rsid w:val="0076653A"/>
    <w:rsid w:val="0076700A"/>
    <w:rsid w:val="00767DFD"/>
    <w:rsid w:val="00771656"/>
    <w:rsid w:val="00775BA6"/>
    <w:rsid w:val="00776FD5"/>
    <w:rsid w:val="00781EC1"/>
    <w:rsid w:val="00782B91"/>
    <w:rsid w:val="00782BB1"/>
    <w:rsid w:val="00782E32"/>
    <w:rsid w:val="007841E0"/>
    <w:rsid w:val="007903C0"/>
    <w:rsid w:val="00790F50"/>
    <w:rsid w:val="007921CF"/>
    <w:rsid w:val="007930B3"/>
    <w:rsid w:val="007932EC"/>
    <w:rsid w:val="00794C9C"/>
    <w:rsid w:val="0079668C"/>
    <w:rsid w:val="007A0393"/>
    <w:rsid w:val="007A09FA"/>
    <w:rsid w:val="007A0D11"/>
    <w:rsid w:val="007A31D3"/>
    <w:rsid w:val="007A353F"/>
    <w:rsid w:val="007A4CBB"/>
    <w:rsid w:val="007A7FEC"/>
    <w:rsid w:val="007B0972"/>
    <w:rsid w:val="007B23AD"/>
    <w:rsid w:val="007B2F2C"/>
    <w:rsid w:val="007B3509"/>
    <w:rsid w:val="007B4BA4"/>
    <w:rsid w:val="007B5461"/>
    <w:rsid w:val="007B5539"/>
    <w:rsid w:val="007C14BC"/>
    <w:rsid w:val="007C3621"/>
    <w:rsid w:val="007C555A"/>
    <w:rsid w:val="007C583B"/>
    <w:rsid w:val="007D0E92"/>
    <w:rsid w:val="007D0F81"/>
    <w:rsid w:val="007D16BE"/>
    <w:rsid w:val="007D18F7"/>
    <w:rsid w:val="007D1B0F"/>
    <w:rsid w:val="007D7B8F"/>
    <w:rsid w:val="007E0F04"/>
    <w:rsid w:val="007E2775"/>
    <w:rsid w:val="007E30FE"/>
    <w:rsid w:val="007E387A"/>
    <w:rsid w:val="007E3EA9"/>
    <w:rsid w:val="007E5F57"/>
    <w:rsid w:val="007E74CF"/>
    <w:rsid w:val="007E75F2"/>
    <w:rsid w:val="007F0B41"/>
    <w:rsid w:val="007F144C"/>
    <w:rsid w:val="007F34A2"/>
    <w:rsid w:val="007F47A4"/>
    <w:rsid w:val="00800170"/>
    <w:rsid w:val="00801EEC"/>
    <w:rsid w:val="00802FED"/>
    <w:rsid w:val="00803086"/>
    <w:rsid w:val="00803729"/>
    <w:rsid w:val="0080641D"/>
    <w:rsid w:val="00806DA0"/>
    <w:rsid w:val="00807230"/>
    <w:rsid w:val="0081234A"/>
    <w:rsid w:val="00813354"/>
    <w:rsid w:val="00814774"/>
    <w:rsid w:val="00815122"/>
    <w:rsid w:val="0081676C"/>
    <w:rsid w:val="00817465"/>
    <w:rsid w:val="008202E0"/>
    <w:rsid w:val="008205D4"/>
    <w:rsid w:val="00820D14"/>
    <w:rsid w:val="00821113"/>
    <w:rsid w:val="00822E01"/>
    <w:rsid w:val="0082632D"/>
    <w:rsid w:val="00826778"/>
    <w:rsid w:val="00826B54"/>
    <w:rsid w:val="00826C93"/>
    <w:rsid w:val="00827354"/>
    <w:rsid w:val="00827C7A"/>
    <w:rsid w:val="00833763"/>
    <w:rsid w:val="008366BE"/>
    <w:rsid w:val="008373F1"/>
    <w:rsid w:val="00837585"/>
    <w:rsid w:val="008414A8"/>
    <w:rsid w:val="008504B3"/>
    <w:rsid w:val="00851B28"/>
    <w:rsid w:val="00851C27"/>
    <w:rsid w:val="00851F12"/>
    <w:rsid w:val="0085495A"/>
    <w:rsid w:val="008551A2"/>
    <w:rsid w:val="0085549E"/>
    <w:rsid w:val="00857BED"/>
    <w:rsid w:val="008602F0"/>
    <w:rsid w:val="0086043B"/>
    <w:rsid w:val="00861C6E"/>
    <w:rsid w:val="00862718"/>
    <w:rsid w:val="00863CB1"/>
    <w:rsid w:val="008649EC"/>
    <w:rsid w:val="00866222"/>
    <w:rsid w:val="00866924"/>
    <w:rsid w:val="008670EE"/>
    <w:rsid w:val="00867D02"/>
    <w:rsid w:val="008703C5"/>
    <w:rsid w:val="008713B2"/>
    <w:rsid w:val="00871646"/>
    <w:rsid w:val="00873A6D"/>
    <w:rsid w:val="00874418"/>
    <w:rsid w:val="00876155"/>
    <w:rsid w:val="00877490"/>
    <w:rsid w:val="00883A27"/>
    <w:rsid w:val="00890372"/>
    <w:rsid w:val="008909D8"/>
    <w:rsid w:val="0089153D"/>
    <w:rsid w:val="00895BAF"/>
    <w:rsid w:val="00896991"/>
    <w:rsid w:val="00897879"/>
    <w:rsid w:val="008A280D"/>
    <w:rsid w:val="008A4675"/>
    <w:rsid w:val="008A4F2B"/>
    <w:rsid w:val="008B36C5"/>
    <w:rsid w:val="008B5423"/>
    <w:rsid w:val="008B5E6E"/>
    <w:rsid w:val="008B683B"/>
    <w:rsid w:val="008C18FB"/>
    <w:rsid w:val="008C3383"/>
    <w:rsid w:val="008C4CBF"/>
    <w:rsid w:val="008C5901"/>
    <w:rsid w:val="008D3389"/>
    <w:rsid w:val="008D435C"/>
    <w:rsid w:val="008D6208"/>
    <w:rsid w:val="008D7016"/>
    <w:rsid w:val="008E2468"/>
    <w:rsid w:val="008E44B4"/>
    <w:rsid w:val="008E4950"/>
    <w:rsid w:val="008E797A"/>
    <w:rsid w:val="008F3999"/>
    <w:rsid w:val="008F3DAB"/>
    <w:rsid w:val="008F47EE"/>
    <w:rsid w:val="008F493A"/>
    <w:rsid w:val="008F4B9D"/>
    <w:rsid w:val="008F5323"/>
    <w:rsid w:val="008F6EF4"/>
    <w:rsid w:val="009007C0"/>
    <w:rsid w:val="0090138D"/>
    <w:rsid w:val="00902524"/>
    <w:rsid w:val="009031E5"/>
    <w:rsid w:val="009039C7"/>
    <w:rsid w:val="00903F3A"/>
    <w:rsid w:val="00905426"/>
    <w:rsid w:val="00905CD6"/>
    <w:rsid w:val="00906990"/>
    <w:rsid w:val="00907CE4"/>
    <w:rsid w:val="00910410"/>
    <w:rsid w:val="009106CF"/>
    <w:rsid w:val="00913919"/>
    <w:rsid w:val="00915BC5"/>
    <w:rsid w:val="00916C69"/>
    <w:rsid w:val="0091791C"/>
    <w:rsid w:val="00917D28"/>
    <w:rsid w:val="00920BC2"/>
    <w:rsid w:val="00920CF4"/>
    <w:rsid w:val="0092230C"/>
    <w:rsid w:val="0092333F"/>
    <w:rsid w:val="009233B0"/>
    <w:rsid w:val="009268C6"/>
    <w:rsid w:val="00930E6B"/>
    <w:rsid w:val="00932564"/>
    <w:rsid w:val="00933335"/>
    <w:rsid w:val="00935E76"/>
    <w:rsid w:val="0093727F"/>
    <w:rsid w:val="00937DA7"/>
    <w:rsid w:val="00937E2C"/>
    <w:rsid w:val="00946A03"/>
    <w:rsid w:val="00950E68"/>
    <w:rsid w:val="009524C4"/>
    <w:rsid w:val="00952F61"/>
    <w:rsid w:val="009542E5"/>
    <w:rsid w:val="0096111E"/>
    <w:rsid w:val="00963B1B"/>
    <w:rsid w:val="00964D2C"/>
    <w:rsid w:val="009656B3"/>
    <w:rsid w:val="00966E4C"/>
    <w:rsid w:val="00970316"/>
    <w:rsid w:val="00970431"/>
    <w:rsid w:val="009707ED"/>
    <w:rsid w:val="009727EE"/>
    <w:rsid w:val="0097347F"/>
    <w:rsid w:val="00973EA6"/>
    <w:rsid w:val="0097495A"/>
    <w:rsid w:val="00975913"/>
    <w:rsid w:val="009805E1"/>
    <w:rsid w:val="009808E3"/>
    <w:rsid w:val="009819AF"/>
    <w:rsid w:val="00987F15"/>
    <w:rsid w:val="00991CAC"/>
    <w:rsid w:val="00995FD1"/>
    <w:rsid w:val="0099672D"/>
    <w:rsid w:val="00997229"/>
    <w:rsid w:val="009A19B9"/>
    <w:rsid w:val="009A3BAD"/>
    <w:rsid w:val="009A542B"/>
    <w:rsid w:val="009A5FD5"/>
    <w:rsid w:val="009A76D0"/>
    <w:rsid w:val="009B136A"/>
    <w:rsid w:val="009B58AA"/>
    <w:rsid w:val="009B681A"/>
    <w:rsid w:val="009B6C46"/>
    <w:rsid w:val="009B6EE1"/>
    <w:rsid w:val="009B7365"/>
    <w:rsid w:val="009B73CC"/>
    <w:rsid w:val="009C0213"/>
    <w:rsid w:val="009C1A13"/>
    <w:rsid w:val="009C4469"/>
    <w:rsid w:val="009C666B"/>
    <w:rsid w:val="009D264D"/>
    <w:rsid w:val="009D3A62"/>
    <w:rsid w:val="009D41A0"/>
    <w:rsid w:val="009D49A7"/>
    <w:rsid w:val="009D4F71"/>
    <w:rsid w:val="009E36CF"/>
    <w:rsid w:val="009E4AA3"/>
    <w:rsid w:val="009F0495"/>
    <w:rsid w:val="009F0576"/>
    <w:rsid w:val="009F0C95"/>
    <w:rsid w:val="009F0CFE"/>
    <w:rsid w:val="009F5014"/>
    <w:rsid w:val="00A00112"/>
    <w:rsid w:val="00A00D23"/>
    <w:rsid w:val="00A01DB1"/>
    <w:rsid w:val="00A069F6"/>
    <w:rsid w:val="00A13A9F"/>
    <w:rsid w:val="00A146B0"/>
    <w:rsid w:val="00A20360"/>
    <w:rsid w:val="00A21053"/>
    <w:rsid w:val="00A21DDD"/>
    <w:rsid w:val="00A22BC9"/>
    <w:rsid w:val="00A23220"/>
    <w:rsid w:val="00A25C4C"/>
    <w:rsid w:val="00A27220"/>
    <w:rsid w:val="00A30FE6"/>
    <w:rsid w:val="00A3238A"/>
    <w:rsid w:val="00A36B26"/>
    <w:rsid w:val="00A3780B"/>
    <w:rsid w:val="00A41D70"/>
    <w:rsid w:val="00A42077"/>
    <w:rsid w:val="00A4237C"/>
    <w:rsid w:val="00A424DB"/>
    <w:rsid w:val="00A42C8F"/>
    <w:rsid w:val="00A51A30"/>
    <w:rsid w:val="00A55030"/>
    <w:rsid w:val="00A557D7"/>
    <w:rsid w:val="00A60177"/>
    <w:rsid w:val="00A606E6"/>
    <w:rsid w:val="00A61387"/>
    <w:rsid w:val="00A63D11"/>
    <w:rsid w:val="00A66EE7"/>
    <w:rsid w:val="00A670EB"/>
    <w:rsid w:val="00A70A46"/>
    <w:rsid w:val="00A733D9"/>
    <w:rsid w:val="00A757B9"/>
    <w:rsid w:val="00A76EEA"/>
    <w:rsid w:val="00A82E64"/>
    <w:rsid w:val="00A8789F"/>
    <w:rsid w:val="00A90124"/>
    <w:rsid w:val="00A90308"/>
    <w:rsid w:val="00A92744"/>
    <w:rsid w:val="00A93CA7"/>
    <w:rsid w:val="00A94BDB"/>
    <w:rsid w:val="00A964F6"/>
    <w:rsid w:val="00A96C28"/>
    <w:rsid w:val="00AA023F"/>
    <w:rsid w:val="00AA1BCD"/>
    <w:rsid w:val="00AA31AC"/>
    <w:rsid w:val="00AA41FF"/>
    <w:rsid w:val="00AA62BC"/>
    <w:rsid w:val="00AA7452"/>
    <w:rsid w:val="00AA7D13"/>
    <w:rsid w:val="00AB13E4"/>
    <w:rsid w:val="00AB2C76"/>
    <w:rsid w:val="00AB687E"/>
    <w:rsid w:val="00AB7A70"/>
    <w:rsid w:val="00AB7C9F"/>
    <w:rsid w:val="00AC282E"/>
    <w:rsid w:val="00AC4B53"/>
    <w:rsid w:val="00AC5EC2"/>
    <w:rsid w:val="00AD4103"/>
    <w:rsid w:val="00AD591B"/>
    <w:rsid w:val="00AD6711"/>
    <w:rsid w:val="00AD708F"/>
    <w:rsid w:val="00AE3D9A"/>
    <w:rsid w:val="00AF0382"/>
    <w:rsid w:val="00AF0917"/>
    <w:rsid w:val="00AF1B33"/>
    <w:rsid w:val="00AF4AC0"/>
    <w:rsid w:val="00AF5778"/>
    <w:rsid w:val="00B0097E"/>
    <w:rsid w:val="00B04271"/>
    <w:rsid w:val="00B0559F"/>
    <w:rsid w:val="00B1207B"/>
    <w:rsid w:val="00B1244C"/>
    <w:rsid w:val="00B14293"/>
    <w:rsid w:val="00B159E0"/>
    <w:rsid w:val="00B2094C"/>
    <w:rsid w:val="00B2110E"/>
    <w:rsid w:val="00B21B9A"/>
    <w:rsid w:val="00B231D3"/>
    <w:rsid w:val="00B24C43"/>
    <w:rsid w:val="00B26D35"/>
    <w:rsid w:val="00B26E9D"/>
    <w:rsid w:val="00B309F0"/>
    <w:rsid w:val="00B314F7"/>
    <w:rsid w:val="00B326E4"/>
    <w:rsid w:val="00B330FA"/>
    <w:rsid w:val="00B40D59"/>
    <w:rsid w:val="00B41F21"/>
    <w:rsid w:val="00B4382B"/>
    <w:rsid w:val="00B449B7"/>
    <w:rsid w:val="00B45830"/>
    <w:rsid w:val="00B50F7A"/>
    <w:rsid w:val="00B526A6"/>
    <w:rsid w:val="00B52CE2"/>
    <w:rsid w:val="00B53E25"/>
    <w:rsid w:val="00B54A86"/>
    <w:rsid w:val="00B569D9"/>
    <w:rsid w:val="00B57339"/>
    <w:rsid w:val="00B6268C"/>
    <w:rsid w:val="00B64F05"/>
    <w:rsid w:val="00B7172A"/>
    <w:rsid w:val="00B73E17"/>
    <w:rsid w:val="00B740C1"/>
    <w:rsid w:val="00B7737B"/>
    <w:rsid w:val="00B805F1"/>
    <w:rsid w:val="00B83746"/>
    <w:rsid w:val="00B83866"/>
    <w:rsid w:val="00B83A7C"/>
    <w:rsid w:val="00B847FE"/>
    <w:rsid w:val="00B85AEA"/>
    <w:rsid w:val="00B86ABC"/>
    <w:rsid w:val="00B87802"/>
    <w:rsid w:val="00B921F7"/>
    <w:rsid w:val="00BA383E"/>
    <w:rsid w:val="00BA4C88"/>
    <w:rsid w:val="00BA63B4"/>
    <w:rsid w:val="00BA6A2B"/>
    <w:rsid w:val="00BA70A8"/>
    <w:rsid w:val="00BA7E41"/>
    <w:rsid w:val="00BB1040"/>
    <w:rsid w:val="00BB12E8"/>
    <w:rsid w:val="00BB5137"/>
    <w:rsid w:val="00BB5DE6"/>
    <w:rsid w:val="00BB6C1F"/>
    <w:rsid w:val="00BB7020"/>
    <w:rsid w:val="00BC1007"/>
    <w:rsid w:val="00BC3080"/>
    <w:rsid w:val="00BC7D79"/>
    <w:rsid w:val="00BD073D"/>
    <w:rsid w:val="00BD2E01"/>
    <w:rsid w:val="00BD39EA"/>
    <w:rsid w:val="00BD3F4B"/>
    <w:rsid w:val="00BD5841"/>
    <w:rsid w:val="00BE26C1"/>
    <w:rsid w:val="00BE3CC2"/>
    <w:rsid w:val="00BE5436"/>
    <w:rsid w:val="00BE6F73"/>
    <w:rsid w:val="00BF03BA"/>
    <w:rsid w:val="00BF3BF0"/>
    <w:rsid w:val="00C02741"/>
    <w:rsid w:val="00C03C32"/>
    <w:rsid w:val="00C0524C"/>
    <w:rsid w:val="00C05B9F"/>
    <w:rsid w:val="00C10A86"/>
    <w:rsid w:val="00C1160C"/>
    <w:rsid w:val="00C13871"/>
    <w:rsid w:val="00C140C9"/>
    <w:rsid w:val="00C14E18"/>
    <w:rsid w:val="00C1544B"/>
    <w:rsid w:val="00C16F7E"/>
    <w:rsid w:val="00C205F5"/>
    <w:rsid w:val="00C21462"/>
    <w:rsid w:val="00C23C0B"/>
    <w:rsid w:val="00C25FA3"/>
    <w:rsid w:val="00C3047F"/>
    <w:rsid w:val="00C31788"/>
    <w:rsid w:val="00C32634"/>
    <w:rsid w:val="00C32695"/>
    <w:rsid w:val="00C32F8F"/>
    <w:rsid w:val="00C3337C"/>
    <w:rsid w:val="00C342BA"/>
    <w:rsid w:val="00C34AB3"/>
    <w:rsid w:val="00C366C8"/>
    <w:rsid w:val="00C37258"/>
    <w:rsid w:val="00C40AD7"/>
    <w:rsid w:val="00C41AB6"/>
    <w:rsid w:val="00C43C38"/>
    <w:rsid w:val="00C4589E"/>
    <w:rsid w:val="00C51D2D"/>
    <w:rsid w:val="00C52C4F"/>
    <w:rsid w:val="00C53396"/>
    <w:rsid w:val="00C557C0"/>
    <w:rsid w:val="00C6009E"/>
    <w:rsid w:val="00C6259D"/>
    <w:rsid w:val="00C626C9"/>
    <w:rsid w:val="00C643EF"/>
    <w:rsid w:val="00C6598D"/>
    <w:rsid w:val="00C668F8"/>
    <w:rsid w:val="00C66FF3"/>
    <w:rsid w:val="00C7031E"/>
    <w:rsid w:val="00C716D6"/>
    <w:rsid w:val="00C72541"/>
    <w:rsid w:val="00C7572F"/>
    <w:rsid w:val="00C763B0"/>
    <w:rsid w:val="00C76601"/>
    <w:rsid w:val="00C7711D"/>
    <w:rsid w:val="00C77DD4"/>
    <w:rsid w:val="00C830EF"/>
    <w:rsid w:val="00C844DC"/>
    <w:rsid w:val="00C86C27"/>
    <w:rsid w:val="00C86E69"/>
    <w:rsid w:val="00C925CE"/>
    <w:rsid w:val="00C94BCB"/>
    <w:rsid w:val="00C95014"/>
    <w:rsid w:val="00C95743"/>
    <w:rsid w:val="00C95948"/>
    <w:rsid w:val="00C96A85"/>
    <w:rsid w:val="00CA193B"/>
    <w:rsid w:val="00CA46F4"/>
    <w:rsid w:val="00CA4F70"/>
    <w:rsid w:val="00CB1DDA"/>
    <w:rsid w:val="00CB24DB"/>
    <w:rsid w:val="00CB30B3"/>
    <w:rsid w:val="00CB32A6"/>
    <w:rsid w:val="00CB6D21"/>
    <w:rsid w:val="00CC1AFD"/>
    <w:rsid w:val="00CC215F"/>
    <w:rsid w:val="00CC234C"/>
    <w:rsid w:val="00CC461E"/>
    <w:rsid w:val="00CC58B7"/>
    <w:rsid w:val="00CC63D8"/>
    <w:rsid w:val="00CD20D2"/>
    <w:rsid w:val="00CD3728"/>
    <w:rsid w:val="00CD4C71"/>
    <w:rsid w:val="00CD52B3"/>
    <w:rsid w:val="00CE0818"/>
    <w:rsid w:val="00CE503F"/>
    <w:rsid w:val="00CE59A6"/>
    <w:rsid w:val="00CE5B0D"/>
    <w:rsid w:val="00CE69A3"/>
    <w:rsid w:val="00CF1177"/>
    <w:rsid w:val="00CF175D"/>
    <w:rsid w:val="00CF2FC6"/>
    <w:rsid w:val="00CF4990"/>
    <w:rsid w:val="00CF5CD8"/>
    <w:rsid w:val="00CF69B5"/>
    <w:rsid w:val="00CF790F"/>
    <w:rsid w:val="00CF7C80"/>
    <w:rsid w:val="00D00003"/>
    <w:rsid w:val="00D00B43"/>
    <w:rsid w:val="00D03454"/>
    <w:rsid w:val="00D03A78"/>
    <w:rsid w:val="00D045BE"/>
    <w:rsid w:val="00D072F1"/>
    <w:rsid w:val="00D125F9"/>
    <w:rsid w:val="00D13D97"/>
    <w:rsid w:val="00D15902"/>
    <w:rsid w:val="00D1653A"/>
    <w:rsid w:val="00D17A6B"/>
    <w:rsid w:val="00D226BC"/>
    <w:rsid w:val="00D23531"/>
    <w:rsid w:val="00D32A8B"/>
    <w:rsid w:val="00D32D77"/>
    <w:rsid w:val="00D36A90"/>
    <w:rsid w:val="00D404E2"/>
    <w:rsid w:val="00D414A1"/>
    <w:rsid w:val="00D435F8"/>
    <w:rsid w:val="00D46182"/>
    <w:rsid w:val="00D47270"/>
    <w:rsid w:val="00D50B99"/>
    <w:rsid w:val="00D52BBD"/>
    <w:rsid w:val="00D52FF9"/>
    <w:rsid w:val="00D54C72"/>
    <w:rsid w:val="00D60975"/>
    <w:rsid w:val="00D614B3"/>
    <w:rsid w:val="00D61E1E"/>
    <w:rsid w:val="00D6209F"/>
    <w:rsid w:val="00D6343D"/>
    <w:rsid w:val="00D668FA"/>
    <w:rsid w:val="00D66AFC"/>
    <w:rsid w:val="00D679F2"/>
    <w:rsid w:val="00D72E3D"/>
    <w:rsid w:val="00D73090"/>
    <w:rsid w:val="00D730D6"/>
    <w:rsid w:val="00D758DA"/>
    <w:rsid w:val="00D77834"/>
    <w:rsid w:val="00D8174C"/>
    <w:rsid w:val="00D83A8F"/>
    <w:rsid w:val="00D845CC"/>
    <w:rsid w:val="00D84775"/>
    <w:rsid w:val="00D8649E"/>
    <w:rsid w:val="00D90984"/>
    <w:rsid w:val="00D92389"/>
    <w:rsid w:val="00D950F9"/>
    <w:rsid w:val="00D95361"/>
    <w:rsid w:val="00D958A1"/>
    <w:rsid w:val="00D9783C"/>
    <w:rsid w:val="00DA0790"/>
    <w:rsid w:val="00DA13B5"/>
    <w:rsid w:val="00DA28F3"/>
    <w:rsid w:val="00DA36C9"/>
    <w:rsid w:val="00DA4A63"/>
    <w:rsid w:val="00DA5701"/>
    <w:rsid w:val="00DA5A98"/>
    <w:rsid w:val="00DB0EBF"/>
    <w:rsid w:val="00DB4EB2"/>
    <w:rsid w:val="00DB540B"/>
    <w:rsid w:val="00DB6B41"/>
    <w:rsid w:val="00DC184A"/>
    <w:rsid w:val="00DC2EC9"/>
    <w:rsid w:val="00DC5855"/>
    <w:rsid w:val="00DC661A"/>
    <w:rsid w:val="00DC6E19"/>
    <w:rsid w:val="00DC7773"/>
    <w:rsid w:val="00DD0569"/>
    <w:rsid w:val="00DD1188"/>
    <w:rsid w:val="00DD1C5A"/>
    <w:rsid w:val="00DD3F54"/>
    <w:rsid w:val="00DD497F"/>
    <w:rsid w:val="00DD51F1"/>
    <w:rsid w:val="00DD71BA"/>
    <w:rsid w:val="00DD7F4D"/>
    <w:rsid w:val="00DE1575"/>
    <w:rsid w:val="00DE24EF"/>
    <w:rsid w:val="00DE3B30"/>
    <w:rsid w:val="00DE3FDE"/>
    <w:rsid w:val="00DE6B3C"/>
    <w:rsid w:val="00DE7265"/>
    <w:rsid w:val="00DE7F42"/>
    <w:rsid w:val="00DF1054"/>
    <w:rsid w:val="00DF19C0"/>
    <w:rsid w:val="00DF45B8"/>
    <w:rsid w:val="00DF5161"/>
    <w:rsid w:val="00DF5470"/>
    <w:rsid w:val="00DF674F"/>
    <w:rsid w:val="00DF6798"/>
    <w:rsid w:val="00E00E6F"/>
    <w:rsid w:val="00E02F66"/>
    <w:rsid w:val="00E03658"/>
    <w:rsid w:val="00E038FF"/>
    <w:rsid w:val="00E03CF2"/>
    <w:rsid w:val="00E053B4"/>
    <w:rsid w:val="00E10CD5"/>
    <w:rsid w:val="00E1100B"/>
    <w:rsid w:val="00E11436"/>
    <w:rsid w:val="00E124BF"/>
    <w:rsid w:val="00E1362F"/>
    <w:rsid w:val="00E13761"/>
    <w:rsid w:val="00E1490B"/>
    <w:rsid w:val="00E16C63"/>
    <w:rsid w:val="00E20B03"/>
    <w:rsid w:val="00E2382B"/>
    <w:rsid w:val="00E25C3E"/>
    <w:rsid w:val="00E26AC2"/>
    <w:rsid w:val="00E306E6"/>
    <w:rsid w:val="00E31A86"/>
    <w:rsid w:val="00E33897"/>
    <w:rsid w:val="00E3474F"/>
    <w:rsid w:val="00E367B4"/>
    <w:rsid w:val="00E367C9"/>
    <w:rsid w:val="00E37DF0"/>
    <w:rsid w:val="00E40052"/>
    <w:rsid w:val="00E40502"/>
    <w:rsid w:val="00E41A3A"/>
    <w:rsid w:val="00E43736"/>
    <w:rsid w:val="00E4507F"/>
    <w:rsid w:val="00E455D3"/>
    <w:rsid w:val="00E474F5"/>
    <w:rsid w:val="00E51F7F"/>
    <w:rsid w:val="00E522F6"/>
    <w:rsid w:val="00E52C86"/>
    <w:rsid w:val="00E556D7"/>
    <w:rsid w:val="00E55AA9"/>
    <w:rsid w:val="00E56B53"/>
    <w:rsid w:val="00E56B5A"/>
    <w:rsid w:val="00E60BCB"/>
    <w:rsid w:val="00E6465B"/>
    <w:rsid w:val="00E67AE5"/>
    <w:rsid w:val="00E72EBC"/>
    <w:rsid w:val="00E75FE3"/>
    <w:rsid w:val="00E76075"/>
    <w:rsid w:val="00E76ECC"/>
    <w:rsid w:val="00E8126F"/>
    <w:rsid w:val="00E83B02"/>
    <w:rsid w:val="00E86932"/>
    <w:rsid w:val="00E904F5"/>
    <w:rsid w:val="00E90F3A"/>
    <w:rsid w:val="00E92D5B"/>
    <w:rsid w:val="00E96A72"/>
    <w:rsid w:val="00E973A8"/>
    <w:rsid w:val="00EA1399"/>
    <w:rsid w:val="00EA1B64"/>
    <w:rsid w:val="00EA4938"/>
    <w:rsid w:val="00EA4F8A"/>
    <w:rsid w:val="00EA54C2"/>
    <w:rsid w:val="00EA5CD4"/>
    <w:rsid w:val="00EA6B03"/>
    <w:rsid w:val="00EB06EC"/>
    <w:rsid w:val="00EB0A31"/>
    <w:rsid w:val="00EB4126"/>
    <w:rsid w:val="00EB4571"/>
    <w:rsid w:val="00EB498B"/>
    <w:rsid w:val="00EB708A"/>
    <w:rsid w:val="00EC18B0"/>
    <w:rsid w:val="00EC336D"/>
    <w:rsid w:val="00EC38CD"/>
    <w:rsid w:val="00EC3A78"/>
    <w:rsid w:val="00EC432C"/>
    <w:rsid w:val="00EC536A"/>
    <w:rsid w:val="00EC5501"/>
    <w:rsid w:val="00EC69BB"/>
    <w:rsid w:val="00ED076F"/>
    <w:rsid w:val="00ED16DD"/>
    <w:rsid w:val="00ED236C"/>
    <w:rsid w:val="00ED3E65"/>
    <w:rsid w:val="00ED4767"/>
    <w:rsid w:val="00ED4D3A"/>
    <w:rsid w:val="00ED5358"/>
    <w:rsid w:val="00ED7E8B"/>
    <w:rsid w:val="00EE107E"/>
    <w:rsid w:val="00EE1705"/>
    <w:rsid w:val="00EE2112"/>
    <w:rsid w:val="00EE2406"/>
    <w:rsid w:val="00EE775E"/>
    <w:rsid w:val="00EF0E9C"/>
    <w:rsid w:val="00EF6F17"/>
    <w:rsid w:val="00EF7B20"/>
    <w:rsid w:val="00F00353"/>
    <w:rsid w:val="00F004AA"/>
    <w:rsid w:val="00F031AE"/>
    <w:rsid w:val="00F040B5"/>
    <w:rsid w:val="00F048D3"/>
    <w:rsid w:val="00F05941"/>
    <w:rsid w:val="00F05BB1"/>
    <w:rsid w:val="00F0715F"/>
    <w:rsid w:val="00F071BF"/>
    <w:rsid w:val="00F078E2"/>
    <w:rsid w:val="00F121FF"/>
    <w:rsid w:val="00F12A06"/>
    <w:rsid w:val="00F12A7D"/>
    <w:rsid w:val="00F145D7"/>
    <w:rsid w:val="00F15680"/>
    <w:rsid w:val="00F15E5F"/>
    <w:rsid w:val="00F15E61"/>
    <w:rsid w:val="00F174CC"/>
    <w:rsid w:val="00F20AA4"/>
    <w:rsid w:val="00F2418D"/>
    <w:rsid w:val="00F27FB8"/>
    <w:rsid w:val="00F31CD3"/>
    <w:rsid w:val="00F32642"/>
    <w:rsid w:val="00F334F2"/>
    <w:rsid w:val="00F34DFD"/>
    <w:rsid w:val="00F36050"/>
    <w:rsid w:val="00F36D77"/>
    <w:rsid w:val="00F37C1F"/>
    <w:rsid w:val="00F40CBF"/>
    <w:rsid w:val="00F41B66"/>
    <w:rsid w:val="00F42B7A"/>
    <w:rsid w:val="00F442A0"/>
    <w:rsid w:val="00F4590F"/>
    <w:rsid w:val="00F46046"/>
    <w:rsid w:val="00F46104"/>
    <w:rsid w:val="00F461B1"/>
    <w:rsid w:val="00F478EE"/>
    <w:rsid w:val="00F47A5D"/>
    <w:rsid w:val="00F509B5"/>
    <w:rsid w:val="00F51380"/>
    <w:rsid w:val="00F53494"/>
    <w:rsid w:val="00F56BFE"/>
    <w:rsid w:val="00F624CE"/>
    <w:rsid w:val="00F6301B"/>
    <w:rsid w:val="00F66943"/>
    <w:rsid w:val="00F6706C"/>
    <w:rsid w:val="00F71162"/>
    <w:rsid w:val="00F711F8"/>
    <w:rsid w:val="00F71E72"/>
    <w:rsid w:val="00F72E05"/>
    <w:rsid w:val="00F73152"/>
    <w:rsid w:val="00F74DCD"/>
    <w:rsid w:val="00F7519F"/>
    <w:rsid w:val="00F7690F"/>
    <w:rsid w:val="00F81D43"/>
    <w:rsid w:val="00F821C1"/>
    <w:rsid w:val="00F83904"/>
    <w:rsid w:val="00F8560B"/>
    <w:rsid w:val="00F86674"/>
    <w:rsid w:val="00F86AB2"/>
    <w:rsid w:val="00F90D96"/>
    <w:rsid w:val="00F933D3"/>
    <w:rsid w:val="00F94FFC"/>
    <w:rsid w:val="00F96816"/>
    <w:rsid w:val="00F977FB"/>
    <w:rsid w:val="00F97D0C"/>
    <w:rsid w:val="00FA2D9A"/>
    <w:rsid w:val="00FA404C"/>
    <w:rsid w:val="00FA495D"/>
    <w:rsid w:val="00FA62F3"/>
    <w:rsid w:val="00FB0F9D"/>
    <w:rsid w:val="00FB29F2"/>
    <w:rsid w:val="00FB6339"/>
    <w:rsid w:val="00FB710E"/>
    <w:rsid w:val="00FC0999"/>
    <w:rsid w:val="00FC3D77"/>
    <w:rsid w:val="00FC3DC9"/>
    <w:rsid w:val="00FC5B9F"/>
    <w:rsid w:val="00FD0D3D"/>
    <w:rsid w:val="00FD2B6B"/>
    <w:rsid w:val="00FD515E"/>
    <w:rsid w:val="00FD77C9"/>
    <w:rsid w:val="00FD7FE3"/>
    <w:rsid w:val="00FE09D4"/>
    <w:rsid w:val="00FE5B6C"/>
    <w:rsid w:val="00FE7CAD"/>
    <w:rsid w:val="00FF111E"/>
    <w:rsid w:val="00FF4A38"/>
    <w:rsid w:val="00FF63ED"/>
    <w:rsid w:val="00FF6EE4"/>
  </w:rsids>
  <m:mathPr>
    <m:mathFont m:val="Cambria Math"/>
    <m:brkBin m:val="before"/>
    <m:brkBinSub m:val="--"/>
    <m:smallFrac m:val="0"/>
    <m:dispDef/>
    <m:lMargin m:val="0"/>
    <m:rMargin m:val="0"/>
    <m:defJc m:val="centerGroup"/>
    <m:wrapIndent m:val="1440"/>
    <m:intLim m:val="subSup"/>
    <m:naryLim m:val="undOvr"/>
  </m:mathPr>
  <w:themeFontLang w:val="it-IT"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2AFC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3AFD"/>
  </w:style>
  <w:style w:type="paragraph" w:styleId="berschrift1">
    <w:name w:val="heading 1"/>
    <w:basedOn w:val="Standard"/>
    <w:next w:val="Standard"/>
    <w:link w:val="berschrift1Zchn"/>
    <w:uiPriority w:val="9"/>
    <w:qFormat/>
    <w:rsid w:val="008627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867D02"/>
    <w:pPr>
      <w:spacing w:before="100" w:beforeAutospacing="1" w:after="100" w:afterAutospacing="1"/>
      <w:outlineLvl w:val="1"/>
    </w:pPr>
    <w:rPr>
      <w:rFonts w:eastAsia="Times New Roman"/>
      <w:b/>
      <w:bCs/>
      <w:sz w:val="36"/>
      <w:szCs w:val="36"/>
    </w:rPr>
  </w:style>
  <w:style w:type="paragraph" w:styleId="berschrift3">
    <w:name w:val="heading 3"/>
    <w:basedOn w:val="Standard"/>
    <w:next w:val="Standard"/>
    <w:link w:val="berschrift3Zchn"/>
    <w:uiPriority w:val="9"/>
    <w:semiHidden/>
    <w:unhideWhenUsed/>
    <w:qFormat/>
    <w:rsid w:val="001D0FE4"/>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67D02"/>
    <w:rPr>
      <w:rFonts w:eastAsia="Times New Roman"/>
      <w:b/>
      <w:bCs/>
      <w:sz w:val="36"/>
      <w:szCs w:val="36"/>
    </w:rPr>
  </w:style>
  <w:style w:type="paragraph" w:styleId="StandardWeb">
    <w:name w:val="Normal (Web)"/>
    <w:basedOn w:val="Standard"/>
    <w:uiPriority w:val="99"/>
    <w:unhideWhenUsed/>
    <w:rsid w:val="00867D02"/>
    <w:pPr>
      <w:spacing w:before="100" w:beforeAutospacing="1" w:after="100" w:afterAutospacing="1"/>
    </w:pPr>
    <w:rPr>
      <w:rFonts w:eastAsia="Times New Roman"/>
    </w:rPr>
  </w:style>
  <w:style w:type="character" w:styleId="Fett">
    <w:name w:val="Strong"/>
    <w:basedOn w:val="Absatz-Standardschriftart"/>
    <w:uiPriority w:val="22"/>
    <w:qFormat/>
    <w:rsid w:val="00867D02"/>
    <w:rPr>
      <w:b/>
      <w:bCs/>
    </w:rPr>
  </w:style>
  <w:style w:type="character" w:styleId="Hyperlink">
    <w:name w:val="Hyperlink"/>
    <w:basedOn w:val="Absatz-Standardschriftart"/>
    <w:uiPriority w:val="99"/>
    <w:unhideWhenUsed/>
    <w:rsid w:val="00867D02"/>
    <w:rPr>
      <w:color w:val="0000FF"/>
      <w:u w:val="single"/>
    </w:rPr>
  </w:style>
  <w:style w:type="character" w:styleId="Hervorhebung">
    <w:name w:val="Emphasis"/>
    <w:basedOn w:val="Absatz-Standardschriftart"/>
    <w:uiPriority w:val="20"/>
    <w:qFormat/>
    <w:rsid w:val="00867D02"/>
    <w:rPr>
      <w:i/>
      <w:iCs/>
    </w:rPr>
  </w:style>
  <w:style w:type="character" w:styleId="Kommentarzeichen">
    <w:name w:val="annotation reference"/>
    <w:basedOn w:val="Absatz-Standardschriftart"/>
    <w:uiPriority w:val="99"/>
    <w:semiHidden/>
    <w:unhideWhenUsed/>
    <w:rsid w:val="00F86AB2"/>
    <w:rPr>
      <w:sz w:val="16"/>
      <w:szCs w:val="16"/>
    </w:rPr>
  </w:style>
  <w:style w:type="paragraph" w:styleId="Kommentartext">
    <w:name w:val="annotation text"/>
    <w:basedOn w:val="Standard"/>
    <w:link w:val="KommentartextZchn"/>
    <w:uiPriority w:val="99"/>
    <w:unhideWhenUsed/>
    <w:rsid w:val="00F86AB2"/>
    <w:pPr>
      <w:spacing w:after="200"/>
    </w:pPr>
    <w:rPr>
      <w:rFonts w:asciiTheme="minorHAnsi" w:hAnsiTheme="minorHAnsi" w:cstheme="minorBidi"/>
      <w:sz w:val="20"/>
      <w:szCs w:val="20"/>
      <w:lang w:val="it-IT"/>
    </w:rPr>
  </w:style>
  <w:style w:type="character" w:customStyle="1" w:styleId="KommentartextZchn">
    <w:name w:val="Kommentartext Zchn"/>
    <w:basedOn w:val="Absatz-Standardschriftart"/>
    <w:link w:val="Kommentartext"/>
    <w:uiPriority w:val="99"/>
    <w:rsid w:val="00F86AB2"/>
    <w:rPr>
      <w:rFonts w:asciiTheme="minorHAnsi" w:hAnsiTheme="minorHAnsi" w:cstheme="minorBidi"/>
      <w:sz w:val="20"/>
      <w:szCs w:val="20"/>
      <w:lang w:val="it-IT"/>
    </w:rPr>
  </w:style>
  <w:style w:type="paragraph" w:styleId="Sprechblasentext">
    <w:name w:val="Balloon Text"/>
    <w:basedOn w:val="Standard"/>
    <w:link w:val="SprechblasentextZchn"/>
    <w:uiPriority w:val="99"/>
    <w:semiHidden/>
    <w:unhideWhenUsed/>
    <w:rsid w:val="00F86AB2"/>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6AB2"/>
    <w:rPr>
      <w:rFonts w:ascii="Segoe UI" w:hAnsi="Segoe UI" w:cs="Segoe UI"/>
      <w:sz w:val="18"/>
      <w:szCs w:val="18"/>
    </w:rPr>
  </w:style>
  <w:style w:type="character" w:customStyle="1" w:styleId="berschrift1Zchn">
    <w:name w:val="Überschrift 1 Zchn"/>
    <w:basedOn w:val="Absatz-Standardschriftart"/>
    <w:link w:val="berschrift1"/>
    <w:uiPriority w:val="9"/>
    <w:rsid w:val="00862718"/>
    <w:rPr>
      <w:rFonts w:asciiTheme="majorHAnsi" w:eastAsiaTheme="majorEastAsia" w:hAnsiTheme="majorHAnsi" w:cstheme="majorBidi"/>
      <w:color w:val="2E74B5" w:themeColor="accent1" w:themeShade="BF"/>
      <w:sz w:val="32"/>
      <w:szCs w:val="32"/>
    </w:rPr>
  </w:style>
  <w:style w:type="character" w:customStyle="1" w:styleId="fn">
    <w:name w:val="fn"/>
    <w:basedOn w:val="Absatz-Standardschriftart"/>
    <w:rsid w:val="00862718"/>
  </w:style>
  <w:style w:type="character" w:customStyle="1" w:styleId="comma">
    <w:name w:val="comma"/>
    <w:basedOn w:val="Absatz-Standardschriftart"/>
    <w:rsid w:val="00862718"/>
  </w:style>
  <w:style w:type="character" w:customStyle="1" w:styleId="apple-converted-space">
    <w:name w:val="apple-converted-space"/>
    <w:basedOn w:val="Absatz-Standardschriftart"/>
    <w:rsid w:val="00862718"/>
  </w:style>
  <w:style w:type="table" w:styleId="Tabellenraster">
    <w:name w:val="Table Grid"/>
    <w:basedOn w:val="NormaleTabelle"/>
    <w:uiPriority w:val="39"/>
    <w:rsid w:val="00C959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1D0FE4"/>
    <w:rPr>
      <w:rFonts w:asciiTheme="majorHAnsi" w:eastAsiaTheme="majorEastAsia" w:hAnsiTheme="majorHAnsi" w:cstheme="majorBidi"/>
      <w:color w:val="1F4D78" w:themeColor="accent1" w:themeShade="7F"/>
    </w:rPr>
  </w:style>
  <w:style w:type="paragraph" w:styleId="Kommentarthema">
    <w:name w:val="annotation subject"/>
    <w:basedOn w:val="Kommentartext"/>
    <w:next w:val="Kommentartext"/>
    <w:link w:val="KommentarthemaZchn"/>
    <w:uiPriority w:val="99"/>
    <w:semiHidden/>
    <w:unhideWhenUsed/>
    <w:rsid w:val="0011553A"/>
    <w:pPr>
      <w:spacing w:after="120"/>
    </w:pPr>
    <w:rPr>
      <w:rFonts w:ascii="Times New Roman" w:hAnsi="Times New Roman" w:cs="Times New Roman"/>
      <w:b/>
      <w:bCs/>
      <w:lang w:val="en-US"/>
    </w:rPr>
  </w:style>
  <w:style w:type="character" w:customStyle="1" w:styleId="KommentarthemaZchn">
    <w:name w:val="Kommentarthema Zchn"/>
    <w:basedOn w:val="KommentartextZchn"/>
    <w:link w:val="Kommentarthema"/>
    <w:uiPriority w:val="99"/>
    <w:semiHidden/>
    <w:rsid w:val="0011553A"/>
    <w:rPr>
      <w:rFonts w:asciiTheme="minorHAnsi" w:hAnsiTheme="minorHAnsi" w:cstheme="minorBidi"/>
      <w:b/>
      <w:bCs/>
      <w:sz w:val="20"/>
      <w:szCs w:val="20"/>
      <w:lang w:val="it-IT"/>
    </w:rPr>
  </w:style>
  <w:style w:type="paragraph" w:styleId="Kopfzeile">
    <w:name w:val="header"/>
    <w:basedOn w:val="Standard"/>
    <w:link w:val="KopfzeileZchn"/>
    <w:uiPriority w:val="99"/>
    <w:unhideWhenUsed/>
    <w:rsid w:val="003246FC"/>
    <w:pPr>
      <w:tabs>
        <w:tab w:val="center" w:pos="4680"/>
        <w:tab w:val="right" w:pos="9360"/>
      </w:tabs>
      <w:spacing w:after="0"/>
    </w:pPr>
  </w:style>
  <w:style w:type="character" w:customStyle="1" w:styleId="KopfzeileZchn">
    <w:name w:val="Kopfzeile Zchn"/>
    <w:basedOn w:val="Absatz-Standardschriftart"/>
    <w:link w:val="Kopfzeile"/>
    <w:uiPriority w:val="99"/>
    <w:rsid w:val="003246FC"/>
  </w:style>
  <w:style w:type="paragraph" w:styleId="Fuzeile">
    <w:name w:val="footer"/>
    <w:basedOn w:val="Standard"/>
    <w:link w:val="FuzeileZchn"/>
    <w:uiPriority w:val="99"/>
    <w:unhideWhenUsed/>
    <w:rsid w:val="003246FC"/>
    <w:pPr>
      <w:tabs>
        <w:tab w:val="center" w:pos="4680"/>
        <w:tab w:val="right" w:pos="9360"/>
      </w:tabs>
      <w:spacing w:after="0"/>
    </w:pPr>
  </w:style>
  <w:style w:type="character" w:customStyle="1" w:styleId="FuzeileZchn">
    <w:name w:val="Fußzeile Zchn"/>
    <w:basedOn w:val="Absatz-Standardschriftart"/>
    <w:link w:val="Fuzeile"/>
    <w:uiPriority w:val="99"/>
    <w:rsid w:val="003246FC"/>
  </w:style>
  <w:style w:type="character" w:customStyle="1" w:styleId="ce-collab">
    <w:name w:val="ce-collab"/>
    <w:basedOn w:val="Absatz-Standardschriftart"/>
    <w:rsid w:val="00DA36C9"/>
  </w:style>
  <w:style w:type="paragraph" w:styleId="Textkrper">
    <w:name w:val="Body Text"/>
    <w:basedOn w:val="Standard"/>
    <w:link w:val="TextkrperZchn"/>
    <w:uiPriority w:val="1"/>
    <w:qFormat/>
    <w:rsid w:val="00632060"/>
    <w:pPr>
      <w:autoSpaceDE w:val="0"/>
      <w:autoSpaceDN w:val="0"/>
      <w:adjustRightInd w:val="0"/>
      <w:spacing w:before="171" w:after="0"/>
      <w:ind w:left="100"/>
    </w:pPr>
    <w:rPr>
      <w:rFonts w:ascii="Book Antiqua" w:hAnsi="Book Antiqua" w:cs="Book Antiqua"/>
      <w:sz w:val="20"/>
      <w:szCs w:val="20"/>
    </w:rPr>
  </w:style>
  <w:style w:type="character" w:customStyle="1" w:styleId="TextkrperZchn">
    <w:name w:val="Textkörper Zchn"/>
    <w:basedOn w:val="Absatz-Standardschriftart"/>
    <w:link w:val="Textkrper"/>
    <w:uiPriority w:val="1"/>
    <w:rsid w:val="00632060"/>
    <w:rPr>
      <w:rFonts w:ascii="Book Antiqua" w:hAnsi="Book Antiqua" w:cs="Book Antiqua"/>
      <w:sz w:val="20"/>
      <w:szCs w:val="20"/>
    </w:rPr>
  </w:style>
  <w:style w:type="paragraph" w:customStyle="1" w:styleId="Default">
    <w:name w:val="Default"/>
    <w:rsid w:val="00910410"/>
    <w:pPr>
      <w:autoSpaceDE w:val="0"/>
      <w:autoSpaceDN w:val="0"/>
      <w:adjustRightInd w:val="0"/>
      <w:spacing w:after="0"/>
    </w:pPr>
    <w:rPr>
      <w:rFonts w:ascii="NWYDES+TimesNewRomanPSMT" w:hAnsi="NWYDES+TimesNewRomanPSMT" w:cs="NWYDES+TimesNewRomanPSMT"/>
      <w:color w:val="000000"/>
    </w:rPr>
  </w:style>
  <w:style w:type="paragraph" w:styleId="Listenabsatz">
    <w:name w:val="List Paragraph"/>
    <w:basedOn w:val="Standard"/>
    <w:uiPriority w:val="34"/>
    <w:qFormat/>
    <w:rsid w:val="00AB2C76"/>
    <w:pPr>
      <w:ind w:left="720"/>
      <w:contextualSpacing/>
    </w:pPr>
  </w:style>
  <w:style w:type="paragraph" w:styleId="Funotentext">
    <w:name w:val="footnote text"/>
    <w:basedOn w:val="Standard"/>
    <w:link w:val="FunotentextZchn"/>
    <w:uiPriority w:val="99"/>
    <w:semiHidden/>
    <w:unhideWhenUsed/>
    <w:rsid w:val="002940D3"/>
    <w:pPr>
      <w:spacing w:after="0"/>
    </w:pPr>
    <w:rPr>
      <w:sz w:val="20"/>
      <w:szCs w:val="20"/>
    </w:rPr>
  </w:style>
  <w:style w:type="character" w:customStyle="1" w:styleId="FunotentextZchn">
    <w:name w:val="Fußnotentext Zchn"/>
    <w:basedOn w:val="Absatz-Standardschriftart"/>
    <w:link w:val="Funotentext"/>
    <w:uiPriority w:val="99"/>
    <w:semiHidden/>
    <w:rsid w:val="002940D3"/>
    <w:rPr>
      <w:sz w:val="20"/>
      <w:szCs w:val="20"/>
    </w:rPr>
  </w:style>
  <w:style w:type="character" w:styleId="Funotenzeichen">
    <w:name w:val="footnote reference"/>
    <w:basedOn w:val="Absatz-Standardschriftart"/>
    <w:uiPriority w:val="99"/>
    <w:semiHidden/>
    <w:unhideWhenUsed/>
    <w:rsid w:val="002940D3"/>
    <w:rPr>
      <w:vertAlign w:val="superscript"/>
    </w:rPr>
  </w:style>
  <w:style w:type="table" w:customStyle="1" w:styleId="TableGrid1">
    <w:name w:val="Table Grid1"/>
    <w:basedOn w:val="NormaleTabelle"/>
    <w:next w:val="Tabellenraster"/>
    <w:uiPriority w:val="39"/>
    <w:rsid w:val="00EF6F17"/>
    <w:pPr>
      <w:spacing w:after="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643EF"/>
    <w:pPr>
      <w:spacing w:after="0"/>
    </w:pPr>
  </w:style>
  <w:style w:type="paragraph" w:customStyle="1" w:styleId="yiv5268355248msonormal">
    <w:name w:val="yiv5268355248msonormal"/>
    <w:basedOn w:val="Standard"/>
    <w:rsid w:val="008E4950"/>
    <w:pPr>
      <w:spacing w:before="100" w:beforeAutospacing="1" w:after="100" w:afterAutospacing="1"/>
    </w:pPr>
    <w:rPr>
      <w:rFonts w:eastAsia="Times New Roman"/>
    </w:rPr>
  </w:style>
  <w:style w:type="paragraph" w:customStyle="1" w:styleId="EndNoteBibliography">
    <w:name w:val="EndNote Bibliography"/>
    <w:basedOn w:val="Standard"/>
    <w:link w:val="EndNoteBibliographyZchn"/>
    <w:rsid w:val="00D00003"/>
    <w:rPr>
      <w:noProof/>
    </w:rPr>
  </w:style>
  <w:style w:type="character" w:customStyle="1" w:styleId="EndNoteBibliographyZchn">
    <w:name w:val="EndNote Bibliography Zchn"/>
    <w:basedOn w:val="Absatz-Standardschriftart"/>
    <w:link w:val="EndNoteBibliography"/>
    <w:rsid w:val="00D00003"/>
    <w:rPr>
      <w:noProof/>
    </w:rPr>
  </w:style>
  <w:style w:type="character" w:styleId="Zeilennummer">
    <w:name w:val="line number"/>
    <w:basedOn w:val="Absatz-Standardschriftart"/>
    <w:uiPriority w:val="99"/>
    <w:semiHidden/>
    <w:unhideWhenUsed/>
    <w:rsid w:val="001871CB"/>
  </w:style>
  <w:style w:type="table" w:customStyle="1" w:styleId="TableGrid2">
    <w:name w:val="Table Grid2"/>
    <w:basedOn w:val="NormaleTabelle"/>
    <w:next w:val="Tabellenraster"/>
    <w:uiPriority w:val="59"/>
    <w:rsid w:val="00F6706C"/>
    <w:pPr>
      <w:spacing w:after="0"/>
    </w:pPr>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B3AFD"/>
  </w:style>
  <w:style w:type="paragraph" w:styleId="berschrift1">
    <w:name w:val="heading 1"/>
    <w:basedOn w:val="Standard"/>
    <w:next w:val="Standard"/>
    <w:link w:val="berschrift1Zchn"/>
    <w:uiPriority w:val="9"/>
    <w:qFormat/>
    <w:rsid w:val="0086271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867D02"/>
    <w:pPr>
      <w:spacing w:before="100" w:beforeAutospacing="1" w:after="100" w:afterAutospacing="1"/>
      <w:outlineLvl w:val="1"/>
    </w:pPr>
    <w:rPr>
      <w:rFonts w:eastAsia="Times New Roman"/>
      <w:b/>
      <w:bCs/>
      <w:sz w:val="36"/>
      <w:szCs w:val="36"/>
    </w:rPr>
  </w:style>
  <w:style w:type="paragraph" w:styleId="berschrift3">
    <w:name w:val="heading 3"/>
    <w:basedOn w:val="Standard"/>
    <w:next w:val="Standard"/>
    <w:link w:val="berschrift3Zchn"/>
    <w:uiPriority w:val="9"/>
    <w:semiHidden/>
    <w:unhideWhenUsed/>
    <w:qFormat/>
    <w:rsid w:val="001D0FE4"/>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uiPriority w:val="9"/>
    <w:rsid w:val="00867D02"/>
    <w:rPr>
      <w:rFonts w:eastAsia="Times New Roman"/>
      <w:b/>
      <w:bCs/>
      <w:sz w:val="36"/>
      <w:szCs w:val="36"/>
    </w:rPr>
  </w:style>
  <w:style w:type="paragraph" w:styleId="StandardWeb">
    <w:name w:val="Normal (Web)"/>
    <w:basedOn w:val="Standard"/>
    <w:uiPriority w:val="99"/>
    <w:unhideWhenUsed/>
    <w:rsid w:val="00867D02"/>
    <w:pPr>
      <w:spacing w:before="100" w:beforeAutospacing="1" w:after="100" w:afterAutospacing="1"/>
    </w:pPr>
    <w:rPr>
      <w:rFonts w:eastAsia="Times New Roman"/>
    </w:rPr>
  </w:style>
  <w:style w:type="character" w:styleId="Fett">
    <w:name w:val="Strong"/>
    <w:basedOn w:val="Absatz-Standardschriftart"/>
    <w:uiPriority w:val="22"/>
    <w:qFormat/>
    <w:rsid w:val="00867D02"/>
    <w:rPr>
      <w:b/>
      <w:bCs/>
    </w:rPr>
  </w:style>
  <w:style w:type="character" w:styleId="Hyperlink">
    <w:name w:val="Hyperlink"/>
    <w:basedOn w:val="Absatz-Standardschriftart"/>
    <w:uiPriority w:val="99"/>
    <w:unhideWhenUsed/>
    <w:rsid w:val="00867D02"/>
    <w:rPr>
      <w:color w:val="0000FF"/>
      <w:u w:val="single"/>
    </w:rPr>
  </w:style>
  <w:style w:type="character" w:styleId="Hervorhebung">
    <w:name w:val="Emphasis"/>
    <w:basedOn w:val="Absatz-Standardschriftart"/>
    <w:uiPriority w:val="20"/>
    <w:qFormat/>
    <w:rsid w:val="00867D02"/>
    <w:rPr>
      <w:i/>
      <w:iCs/>
    </w:rPr>
  </w:style>
  <w:style w:type="character" w:styleId="Kommentarzeichen">
    <w:name w:val="annotation reference"/>
    <w:basedOn w:val="Absatz-Standardschriftart"/>
    <w:uiPriority w:val="99"/>
    <w:semiHidden/>
    <w:unhideWhenUsed/>
    <w:rsid w:val="00F86AB2"/>
    <w:rPr>
      <w:sz w:val="16"/>
      <w:szCs w:val="16"/>
    </w:rPr>
  </w:style>
  <w:style w:type="paragraph" w:styleId="Kommentartext">
    <w:name w:val="annotation text"/>
    <w:basedOn w:val="Standard"/>
    <w:link w:val="KommentartextZchn"/>
    <w:uiPriority w:val="99"/>
    <w:unhideWhenUsed/>
    <w:rsid w:val="00F86AB2"/>
    <w:pPr>
      <w:spacing w:after="200"/>
    </w:pPr>
    <w:rPr>
      <w:rFonts w:asciiTheme="minorHAnsi" w:hAnsiTheme="minorHAnsi" w:cstheme="minorBidi"/>
      <w:sz w:val="20"/>
      <w:szCs w:val="20"/>
      <w:lang w:val="it-IT"/>
    </w:rPr>
  </w:style>
  <w:style w:type="character" w:customStyle="1" w:styleId="KommentartextZchn">
    <w:name w:val="Kommentartext Zchn"/>
    <w:basedOn w:val="Absatz-Standardschriftart"/>
    <w:link w:val="Kommentartext"/>
    <w:uiPriority w:val="99"/>
    <w:rsid w:val="00F86AB2"/>
    <w:rPr>
      <w:rFonts w:asciiTheme="minorHAnsi" w:hAnsiTheme="minorHAnsi" w:cstheme="minorBidi"/>
      <w:sz w:val="20"/>
      <w:szCs w:val="20"/>
      <w:lang w:val="it-IT"/>
    </w:rPr>
  </w:style>
  <w:style w:type="paragraph" w:styleId="Sprechblasentext">
    <w:name w:val="Balloon Text"/>
    <w:basedOn w:val="Standard"/>
    <w:link w:val="SprechblasentextZchn"/>
    <w:uiPriority w:val="99"/>
    <w:semiHidden/>
    <w:unhideWhenUsed/>
    <w:rsid w:val="00F86AB2"/>
    <w:pPr>
      <w:spacing w:after="0"/>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86AB2"/>
    <w:rPr>
      <w:rFonts w:ascii="Segoe UI" w:hAnsi="Segoe UI" w:cs="Segoe UI"/>
      <w:sz w:val="18"/>
      <w:szCs w:val="18"/>
    </w:rPr>
  </w:style>
  <w:style w:type="character" w:customStyle="1" w:styleId="berschrift1Zchn">
    <w:name w:val="Überschrift 1 Zchn"/>
    <w:basedOn w:val="Absatz-Standardschriftart"/>
    <w:link w:val="berschrift1"/>
    <w:uiPriority w:val="9"/>
    <w:rsid w:val="00862718"/>
    <w:rPr>
      <w:rFonts w:asciiTheme="majorHAnsi" w:eastAsiaTheme="majorEastAsia" w:hAnsiTheme="majorHAnsi" w:cstheme="majorBidi"/>
      <w:color w:val="2E74B5" w:themeColor="accent1" w:themeShade="BF"/>
      <w:sz w:val="32"/>
      <w:szCs w:val="32"/>
    </w:rPr>
  </w:style>
  <w:style w:type="character" w:customStyle="1" w:styleId="fn">
    <w:name w:val="fn"/>
    <w:basedOn w:val="Absatz-Standardschriftart"/>
    <w:rsid w:val="00862718"/>
  </w:style>
  <w:style w:type="character" w:customStyle="1" w:styleId="comma">
    <w:name w:val="comma"/>
    <w:basedOn w:val="Absatz-Standardschriftart"/>
    <w:rsid w:val="00862718"/>
  </w:style>
  <w:style w:type="character" w:customStyle="1" w:styleId="apple-converted-space">
    <w:name w:val="apple-converted-space"/>
    <w:basedOn w:val="Absatz-Standardschriftart"/>
    <w:rsid w:val="00862718"/>
  </w:style>
  <w:style w:type="table" w:styleId="Tabellenraster">
    <w:name w:val="Table Grid"/>
    <w:basedOn w:val="NormaleTabelle"/>
    <w:uiPriority w:val="39"/>
    <w:rsid w:val="00C9594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semiHidden/>
    <w:rsid w:val="001D0FE4"/>
    <w:rPr>
      <w:rFonts w:asciiTheme="majorHAnsi" w:eastAsiaTheme="majorEastAsia" w:hAnsiTheme="majorHAnsi" w:cstheme="majorBidi"/>
      <w:color w:val="1F4D78" w:themeColor="accent1" w:themeShade="7F"/>
    </w:rPr>
  </w:style>
  <w:style w:type="paragraph" w:styleId="Kommentarthema">
    <w:name w:val="annotation subject"/>
    <w:basedOn w:val="Kommentartext"/>
    <w:next w:val="Kommentartext"/>
    <w:link w:val="KommentarthemaZchn"/>
    <w:uiPriority w:val="99"/>
    <w:semiHidden/>
    <w:unhideWhenUsed/>
    <w:rsid w:val="0011553A"/>
    <w:pPr>
      <w:spacing w:after="120"/>
    </w:pPr>
    <w:rPr>
      <w:rFonts w:ascii="Times New Roman" w:hAnsi="Times New Roman" w:cs="Times New Roman"/>
      <w:b/>
      <w:bCs/>
      <w:lang w:val="en-US"/>
    </w:rPr>
  </w:style>
  <w:style w:type="character" w:customStyle="1" w:styleId="KommentarthemaZchn">
    <w:name w:val="Kommentarthema Zchn"/>
    <w:basedOn w:val="KommentartextZchn"/>
    <w:link w:val="Kommentarthema"/>
    <w:uiPriority w:val="99"/>
    <w:semiHidden/>
    <w:rsid w:val="0011553A"/>
    <w:rPr>
      <w:rFonts w:asciiTheme="minorHAnsi" w:hAnsiTheme="minorHAnsi" w:cstheme="minorBidi"/>
      <w:b/>
      <w:bCs/>
      <w:sz w:val="20"/>
      <w:szCs w:val="20"/>
      <w:lang w:val="it-IT"/>
    </w:rPr>
  </w:style>
  <w:style w:type="paragraph" w:styleId="Kopfzeile">
    <w:name w:val="header"/>
    <w:basedOn w:val="Standard"/>
    <w:link w:val="KopfzeileZchn"/>
    <w:uiPriority w:val="99"/>
    <w:unhideWhenUsed/>
    <w:rsid w:val="003246FC"/>
    <w:pPr>
      <w:tabs>
        <w:tab w:val="center" w:pos="4680"/>
        <w:tab w:val="right" w:pos="9360"/>
      </w:tabs>
      <w:spacing w:after="0"/>
    </w:pPr>
  </w:style>
  <w:style w:type="character" w:customStyle="1" w:styleId="KopfzeileZchn">
    <w:name w:val="Kopfzeile Zchn"/>
    <w:basedOn w:val="Absatz-Standardschriftart"/>
    <w:link w:val="Kopfzeile"/>
    <w:uiPriority w:val="99"/>
    <w:rsid w:val="003246FC"/>
  </w:style>
  <w:style w:type="paragraph" w:styleId="Fuzeile">
    <w:name w:val="footer"/>
    <w:basedOn w:val="Standard"/>
    <w:link w:val="FuzeileZchn"/>
    <w:uiPriority w:val="99"/>
    <w:unhideWhenUsed/>
    <w:rsid w:val="003246FC"/>
    <w:pPr>
      <w:tabs>
        <w:tab w:val="center" w:pos="4680"/>
        <w:tab w:val="right" w:pos="9360"/>
      </w:tabs>
      <w:spacing w:after="0"/>
    </w:pPr>
  </w:style>
  <w:style w:type="character" w:customStyle="1" w:styleId="FuzeileZchn">
    <w:name w:val="Fußzeile Zchn"/>
    <w:basedOn w:val="Absatz-Standardschriftart"/>
    <w:link w:val="Fuzeile"/>
    <w:uiPriority w:val="99"/>
    <w:rsid w:val="003246FC"/>
  </w:style>
  <w:style w:type="character" w:customStyle="1" w:styleId="ce-collab">
    <w:name w:val="ce-collab"/>
    <w:basedOn w:val="Absatz-Standardschriftart"/>
    <w:rsid w:val="00DA36C9"/>
  </w:style>
  <w:style w:type="paragraph" w:styleId="Textkrper">
    <w:name w:val="Body Text"/>
    <w:basedOn w:val="Standard"/>
    <w:link w:val="TextkrperZchn"/>
    <w:uiPriority w:val="1"/>
    <w:qFormat/>
    <w:rsid w:val="00632060"/>
    <w:pPr>
      <w:autoSpaceDE w:val="0"/>
      <w:autoSpaceDN w:val="0"/>
      <w:adjustRightInd w:val="0"/>
      <w:spacing w:before="171" w:after="0"/>
      <w:ind w:left="100"/>
    </w:pPr>
    <w:rPr>
      <w:rFonts w:ascii="Book Antiqua" w:hAnsi="Book Antiqua" w:cs="Book Antiqua"/>
      <w:sz w:val="20"/>
      <w:szCs w:val="20"/>
    </w:rPr>
  </w:style>
  <w:style w:type="character" w:customStyle="1" w:styleId="TextkrperZchn">
    <w:name w:val="Textkörper Zchn"/>
    <w:basedOn w:val="Absatz-Standardschriftart"/>
    <w:link w:val="Textkrper"/>
    <w:uiPriority w:val="1"/>
    <w:rsid w:val="00632060"/>
    <w:rPr>
      <w:rFonts w:ascii="Book Antiqua" w:hAnsi="Book Antiqua" w:cs="Book Antiqua"/>
      <w:sz w:val="20"/>
      <w:szCs w:val="20"/>
    </w:rPr>
  </w:style>
  <w:style w:type="paragraph" w:customStyle="1" w:styleId="Default">
    <w:name w:val="Default"/>
    <w:rsid w:val="00910410"/>
    <w:pPr>
      <w:autoSpaceDE w:val="0"/>
      <w:autoSpaceDN w:val="0"/>
      <w:adjustRightInd w:val="0"/>
      <w:spacing w:after="0"/>
    </w:pPr>
    <w:rPr>
      <w:rFonts w:ascii="NWYDES+TimesNewRomanPSMT" w:hAnsi="NWYDES+TimesNewRomanPSMT" w:cs="NWYDES+TimesNewRomanPSMT"/>
      <w:color w:val="000000"/>
    </w:rPr>
  </w:style>
  <w:style w:type="paragraph" w:styleId="Listenabsatz">
    <w:name w:val="List Paragraph"/>
    <w:basedOn w:val="Standard"/>
    <w:uiPriority w:val="34"/>
    <w:qFormat/>
    <w:rsid w:val="00AB2C76"/>
    <w:pPr>
      <w:ind w:left="720"/>
      <w:contextualSpacing/>
    </w:pPr>
  </w:style>
  <w:style w:type="paragraph" w:styleId="Funotentext">
    <w:name w:val="footnote text"/>
    <w:basedOn w:val="Standard"/>
    <w:link w:val="FunotentextZchn"/>
    <w:uiPriority w:val="99"/>
    <w:semiHidden/>
    <w:unhideWhenUsed/>
    <w:rsid w:val="002940D3"/>
    <w:pPr>
      <w:spacing w:after="0"/>
    </w:pPr>
    <w:rPr>
      <w:sz w:val="20"/>
      <w:szCs w:val="20"/>
    </w:rPr>
  </w:style>
  <w:style w:type="character" w:customStyle="1" w:styleId="FunotentextZchn">
    <w:name w:val="Fußnotentext Zchn"/>
    <w:basedOn w:val="Absatz-Standardschriftart"/>
    <w:link w:val="Funotentext"/>
    <w:uiPriority w:val="99"/>
    <w:semiHidden/>
    <w:rsid w:val="002940D3"/>
    <w:rPr>
      <w:sz w:val="20"/>
      <w:szCs w:val="20"/>
    </w:rPr>
  </w:style>
  <w:style w:type="character" w:styleId="Funotenzeichen">
    <w:name w:val="footnote reference"/>
    <w:basedOn w:val="Absatz-Standardschriftart"/>
    <w:uiPriority w:val="99"/>
    <w:semiHidden/>
    <w:unhideWhenUsed/>
    <w:rsid w:val="002940D3"/>
    <w:rPr>
      <w:vertAlign w:val="superscript"/>
    </w:rPr>
  </w:style>
  <w:style w:type="table" w:customStyle="1" w:styleId="TableGrid1">
    <w:name w:val="Table Grid1"/>
    <w:basedOn w:val="NormaleTabelle"/>
    <w:next w:val="Tabellenraster"/>
    <w:uiPriority w:val="39"/>
    <w:rsid w:val="00EF6F17"/>
    <w:pPr>
      <w:spacing w:after="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C643EF"/>
    <w:pPr>
      <w:spacing w:after="0"/>
    </w:pPr>
  </w:style>
  <w:style w:type="paragraph" w:customStyle="1" w:styleId="yiv5268355248msonormal">
    <w:name w:val="yiv5268355248msonormal"/>
    <w:basedOn w:val="Standard"/>
    <w:rsid w:val="008E4950"/>
    <w:pPr>
      <w:spacing w:before="100" w:beforeAutospacing="1" w:after="100" w:afterAutospacing="1"/>
    </w:pPr>
    <w:rPr>
      <w:rFonts w:eastAsia="Times New Roman"/>
    </w:rPr>
  </w:style>
  <w:style w:type="paragraph" w:customStyle="1" w:styleId="EndNoteBibliography">
    <w:name w:val="EndNote Bibliography"/>
    <w:basedOn w:val="Standard"/>
    <w:link w:val="EndNoteBibliographyZchn"/>
    <w:rsid w:val="00D00003"/>
    <w:rPr>
      <w:noProof/>
    </w:rPr>
  </w:style>
  <w:style w:type="character" w:customStyle="1" w:styleId="EndNoteBibliographyZchn">
    <w:name w:val="EndNote Bibliography Zchn"/>
    <w:basedOn w:val="Absatz-Standardschriftart"/>
    <w:link w:val="EndNoteBibliography"/>
    <w:rsid w:val="00D00003"/>
    <w:rPr>
      <w:noProof/>
    </w:rPr>
  </w:style>
  <w:style w:type="character" w:styleId="Zeilennummer">
    <w:name w:val="line number"/>
    <w:basedOn w:val="Absatz-Standardschriftart"/>
    <w:uiPriority w:val="99"/>
    <w:semiHidden/>
    <w:unhideWhenUsed/>
    <w:rsid w:val="001871CB"/>
  </w:style>
  <w:style w:type="table" w:customStyle="1" w:styleId="TableGrid2">
    <w:name w:val="Table Grid2"/>
    <w:basedOn w:val="NormaleTabelle"/>
    <w:next w:val="Tabellenraster"/>
    <w:uiPriority w:val="59"/>
    <w:rsid w:val="00F6706C"/>
    <w:pPr>
      <w:spacing w:after="0"/>
    </w:pPr>
    <w:rPr>
      <w:rFonts w:ascii="Calibri" w:eastAsia="SimSun" w:hAnsi="Calibri" w:cs="Arial"/>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5328">
      <w:bodyDiv w:val="1"/>
      <w:marLeft w:val="0"/>
      <w:marRight w:val="0"/>
      <w:marTop w:val="0"/>
      <w:marBottom w:val="0"/>
      <w:divBdr>
        <w:top w:val="none" w:sz="0" w:space="0" w:color="auto"/>
        <w:left w:val="none" w:sz="0" w:space="0" w:color="auto"/>
        <w:bottom w:val="none" w:sz="0" w:space="0" w:color="auto"/>
        <w:right w:val="none" w:sz="0" w:space="0" w:color="auto"/>
      </w:divBdr>
      <w:divsChild>
        <w:div w:id="335886643">
          <w:marLeft w:val="0"/>
          <w:marRight w:val="0"/>
          <w:marTop w:val="0"/>
          <w:marBottom w:val="0"/>
          <w:divBdr>
            <w:top w:val="none" w:sz="0" w:space="0" w:color="auto"/>
            <w:left w:val="none" w:sz="0" w:space="0" w:color="auto"/>
            <w:bottom w:val="none" w:sz="0" w:space="0" w:color="auto"/>
            <w:right w:val="none" w:sz="0" w:space="0" w:color="auto"/>
          </w:divBdr>
        </w:div>
      </w:divsChild>
    </w:div>
    <w:div w:id="15280875">
      <w:bodyDiv w:val="1"/>
      <w:marLeft w:val="0"/>
      <w:marRight w:val="0"/>
      <w:marTop w:val="0"/>
      <w:marBottom w:val="0"/>
      <w:divBdr>
        <w:top w:val="none" w:sz="0" w:space="0" w:color="auto"/>
        <w:left w:val="none" w:sz="0" w:space="0" w:color="auto"/>
        <w:bottom w:val="none" w:sz="0" w:space="0" w:color="auto"/>
        <w:right w:val="none" w:sz="0" w:space="0" w:color="auto"/>
      </w:divBdr>
      <w:divsChild>
        <w:div w:id="840580351">
          <w:marLeft w:val="907"/>
          <w:marRight w:val="0"/>
          <w:marTop w:val="200"/>
          <w:marBottom w:val="0"/>
          <w:divBdr>
            <w:top w:val="none" w:sz="0" w:space="0" w:color="auto"/>
            <w:left w:val="none" w:sz="0" w:space="0" w:color="auto"/>
            <w:bottom w:val="none" w:sz="0" w:space="0" w:color="auto"/>
            <w:right w:val="none" w:sz="0" w:space="0" w:color="auto"/>
          </w:divBdr>
        </w:div>
        <w:div w:id="1033384149">
          <w:marLeft w:val="720"/>
          <w:marRight w:val="0"/>
          <w:marTop w:val="0"/>
          <w:marBottom w:val="240"/>
          <w:divBdr>
            <w:top w:val="none" w:sz="0" w:space="0" w:color="auto"/>
            <w:left w:val="none" w:sz="0" w:space="0" w:color="auto"/>
            <w:bottom w:val="none" w:sz="0" w:space="0" w:color="auto"/>
            <w:right w:val="none" w:sz="0" w:space="0" w:color="auto"/>
          </w:divBdr>
        </w:div>
        <w:div w:id="1533612108">
          <w:marLeft w:val="720"/>
          <w:marRight w:val="0"/>
          <w:marTop w:val="200"/>
          <w:marBottom w:val="0"/>
          <w:divBdr>
            <w:top w:val="none" w:sz="0" w:space="0" w:color="auto"/>
            <w:left w:val="none" w:sz="0" w:space="0" w:color="auto"/>
            <w:bottom w:val="none" w:sz="0" w:space="0" w:color="auto"/>
            <w:right w:val="none" w:sz="0" w:space="0" w:color="auto"/>
          </w:divBdr>
        </w:div>
      </w:divsChild>
    </w:div>
    <w:div w:id="29426249">
      <w:bodyDiv w:val="1"/>
      <w:marLeft w:val="0"/>
      <w:marRight w:val="0"/>
      <w:marTop w:val="0"/>
      <w:marBottom w:val="0"/>
      <w:divBdr>
        <w:top w:val="none" w:sz="0" w:space="0" w:color="auto"/>
        <w:left w:val="none" w:sz="0" w:space="0" w:color="auto"/>
        <w:bottom w:val="none" w:sz="0" w:space="0" w:color="auto"/>
        <w:right w:val="none" w:sz="0" w:space="0" w:color="auto"/>
      </w:divBdr>
    </w:div>
    <w:div w:id="71398368">
      <w:bodyDiv w:val="1"/>
      <w:marLeft w:val="0"/>
      <w:marRight w:val="0"/>
      <w:marTop w:val="0"/>
      <w:marBottom w:val="0"/>
      <w:divBdr>
        <w:top w:val="none" w:sz="0" w:space="0" w:color="auto"/>
        <w:left w:val="none" w:sz="0" w:space="0" w:color="auto"/>
        <w:bottom w:val="none" w:sz="0" w:space="0" w:color="auto"/>
        <w:right w:val="none" w:sz="0" w:space="0" w:color="auto"/>
      </w:divBdr>
      <w:divsChild>
        <w:div w:id="449708539">
          <w:marLeft w:val="360"/>
          <w:marRight w:val="0"/>
          <w:marTop w:val="200"/>
          <w:marBottom w:val="240"/>
          <w:divBdr>
            <w:top w:val="none" w:sz="0" w:space="0" w:color="auto"/>
            <w:left w:val="none" w:sz="0" w:space="0" w:color="auto"/>
            <w:bottom w:val="none" w:sz="0" w:space="0" w:color="auto"/>
            <w:right w:val="none" w:sz="0" w:space="0" w:color="auto"/>
          </w:divBdr>
        </w:div>
        <w:div w:id="538517068">
          <w:marLeft w:val="360"/>
          <w:marRight w:val="0"/>
          <w:marTop w:val="200"/>
          <w:marBottom w:val="240"/>
          <w:divBdr>
            <w:top w:val="none" w:sz="0" w:space="0" w:color="auto"/>
            <w:left w:val="none" w:sz="0" w:space="0" w:color="auto"/>
            <w:bottom w:val="none" w:sz="0" w:space="0" w:color="auto"/>
            <w:right w:val="none" w:sz="0" w:space="0" w:color="auto"/>
          </w:divBdr>
        </w:div>
        <w:div w:id="605890934">
          <w:marLeft w:val="360"/>
          <w:marRight w:val="0"/>
          <w:marTop w:val="200"/>
          <w:marBottom w:val="240"/>
          <w:divBdr>
            <w:top w:val="none" w:sz="0" w:space="0" w:color="auto"/>
            <w:left w:val="none" w:sz="0" w:space="0" w:color="auto"/>
            <w:bottom w:val="none" w:sz="0" w:space="0" w:color="auto"/>
            <w:right w:val="none" w:sz="0" w:space="0" w:color="auto"/>
          </w:divBdr>
        </w:div>
        <w:div w:id="1762799752">
          <w:marLeft w:val="360"/>
          <w:marRight w:val="0"/>
          <w:marTop w:val="200"/>
          <w:marBottom w:val="240"/>
          <w:divBdr>
            <w:top w:val="none" w:sz="0" w:space="0" w:color="auto"/>
            <w:left w:val="none" w:sz="0" w:space="0" w:color="auto"/>
            <w:bottom w:val="none" w:sz="0" w:space="0" w:color="auto"/>
            <w:right w:val="none" w:sz="0" w:space="0" w:color="auto"/>
          </w:divBdr>
        </w:div>
        <w:div w:id="2115174798">
          <w:marLeft w:val="360"/>
          <w:marRight w:val="0"/>
          <w:marTop w:val="200"/>
          <w:marBottom w:val="240"/>
          <w:divBdr>
            <w:top w:val="none" w:sz="0" w:space="0" w:color="auto"/>
            <w:left w:val="none" w:sz="0" w:space="0" w:color="auto"/>
            <w:bottom w:val="none" w:sz="0" w:space="0" w:color="auto"/>
            <w:right w:val="none" w:sz="0" w:space="0" w:color="auto"/>
          </w:divBdr>
        </w:div>
      </w:divsChild>
    </w:div>
    <w:div w:id="99419584">
      <w:bodyDiv w:val="1"/>
      <w:marLeft w:val="0"/>
      <w:marRight w:val="0"/>
      <w:marTop w:val="0"/>
      <w:marBottom w:val="0"/>
      <w:divBdr>
        <w:top w:val="none" w:sz="0" w:space="0" w:color="auto"/>
        <w:left w:val="none" w:sz="0" w:space="0" w:color="auto"/>
        <w:bottom w:val="none" w:sz="0" w:space="0" w:color="auto"/>
        <w:right w:val="none" w:sz="0" w:space="0" w:color="auto"/>
      </w:divBdr>
    </w:div>
    <w:div w:id="175505598">
      <w:bodyDiv w:val="1"/>
      <w:marLeft w:val="0"/>
      <w:marRight w:val="0"/>
      <w:marTop w:val="0"/>
      <w:marBottom w:val="0"/>
      <w:divBdr>
        <w:top w:val="none" w:sz="0" w:space="0" w:color="auto"/>
        <w:left w:val="none" w:sz="0" w:space="0" w:color="auto"/>
        <w:bottom w:val="none" w:sz="0" w:space="0" w:color="auto"/>
        <w:right w:val="none" w:sz="0" w:space="0" w:color="auto"/>
      </w:divBdr>
    </w:div>
    <w:div w:id="184752735">
      <w:bodyDiv w:val="1"/>
      <w:marLeft w:val="0"/>
      <w:marRight w:val="0"/>
      <w:marTop w:val="0"/>
      <w:marBottom w:val="0"/>
      <w:divBdr>
        <w:top w:val="none" w:sz="0" w:space="0" w:color="auto"/>
        <w:left w:val="none" w:sz="0" w:space="0" w:color="auto"/>
        <w:bottom w:val="none" w:sz="0" w:space="0" w:color="auto"/>
        <w:right w:val="none" w:sz="0" w:space="0" w:color="auto"/>
      </w:divBdr>
      <w:divsChild>
        <w:div w:id="836116326">
          <w:marLeft w:val="150"/>
          <w:marRight w:val="150"/>
          <w:marTop w:val="150"/>
          <w:marBottom w:val="150"/>
          <w:divBdr>
            <w:top w:val="none" w:sz="0" w:space="0" w:color="auto"/>
            <w:left w:val="none" w:sz="0" w:space="0" w:color="auto"/>
            <w:bottom w:val="none" w:sz="0" w:space="0" w:color="auto"/>
            <w:right w:val="none" w:sz="0" w:space="0" w:color="auto"/>
          </w:divBdr>
          <w:divsChild>
            <w:div w:id="372653460">
              <w:marLeft w:val="0"/>
              <w:marRight w:val="0"/>
              <w:marTop w:val="0"/>
              <w:marBottom w:val="0"/>
              <w:divBdr>
                <w:top w:val="none" w:sz="0" w:space="0" w:color="auto"/>
                <w:left w:val="none" w:sz="0" w:space="0" w:color="auto"/>
                <w:bottom w:val="none" w:sz="0" w:space="0" w:color="auto"/>
                <w:right w:val="none" w:sz="0" w:space="0" w:color="auto"/>
              </w:divBdr>
            </w:div>
            <w:div w:id="994530072">
              <w:marLeft w:val="0"/>
              <w:marRight w:val="0"/>
              <w:marTop w:val="0"/>
              <w:marBottom w:val="0"/>
              <w:divBdr>
                <w:top w:val="none" w:sz="0" w:space="0" w:color="auto"/>
                <w:left w:val="none" w:sz="0" w:space="0" w:color="auto"/>
                <w:bottom w:val="none" w:sz="0" w:space="0" w:color="auto"/>
                <w:right w:val="none" w:sz="0" w:space="0" w:color="auto"/>
              </w:divBdr>
            </w:div>
            <w:div w:id="1558395499">
              <w:marLeft w:val="0"/>
              <w:marRight w:val="0"/>
              <w:marTop w:val="0"/>
              <w:marBottom w:val="0"/>
              <w:divBdr>
                <w:top w:val="none" w:sz="0" w:space="0" w:color="auto"/>
                <w:left w:val="none" w:sz="0" w:space="0" w:color="auto"/>
                <w:bottom w:val="none" w:sz="0" w:space="0" w:color="auto"/>
                <w:right w:val="none" w:sz="0" w:space="0" w:color="auto"/>
              </w:divBdr>
            </w:div>
            <w:div w:id="1746339627">
              <w:marLeft w:val="0"/>
              <w:marRight w:val="0"/>
              <w:marTop w:val="0"/>
              <w:marBottom w:val="0"/>
              <w:divBdr>
                <w:top w:val="none" w:sz="0" w:space="0" w:color="auto"/>
                <w:left w:val="none" w:sz="0" w:space="0" w:color="auto"/>
                <w:bottom w:val="none" w:sz="0" w:space="0" w:color="auto"/>
                <w:right w:val="none" w:sz="0" w:space="0" w:color="auto"/>
              </w:divBdr>
            </w:div>
            <w:div w:id="1883394380">
              <w:marLeft w:val="0"/>
              <w:marRight w:val="0"/>
              <w:marTop w:val="0"/>
              <w:marBottom w:val="0"/>
              <w:divBdr>
                <w:top w:val="none" w:sz="0" w:space="0" w:color="auto"/>
                <w:left w:val="none" w:sz="0" w:space="0" w:color="auto"/>
                <w:bottom w:val="none" w:sz="0" w:space="0" w:color="auto"/>
                <w:right w:val="none" w:sz="0" w:space="0" w:color="auto"/>
              </w:divBdr>
            </w:div>
            <w:div w:id="2049065793">
              <w:marLeft w:val="0"/>
              <w:marRight w:val="0"/>
              <w:marTop w:val="0"/>
              <w:marBottom w:val="0"/>
              <w:divBdr>
                <w:top w:val="none" w:sz="0" w:space="0" w:color="auto"/>
                <w:left w:val="none" w:sz="0" w:space="0" w:color="auto"/>
                <w:bottom w:val="none" w:sz="0" w:space="0" w:color="auto"/>
                <w:right w:val="none" w:sz="0" w:space="0" w:color="auto"/>
              </w:divBdr>
            </w:div>
            <w:div w:id="2123501068">
              <w:marLeft w:val="0"/>
              <w:marRight w:val="0"/>
              <w:marTop w:val="0"/>
              <w:marBottom w:val="0"/>
              <w:divBdr>
                <w:top w:val="none" w:sz="0" w:space="0" w:color="auto"/>
                <w:left w:val="none" w:sz="0" w:space="0" w:color="auto"/>
                <w:bottom w:val="none" w:sz="0" w:space="0" w:color="auto"/>
                <w:right w:val="none" w:sz="0" w:space="0" w:color="auto"/>
              </w:divBdr>
            </w:div>
          </w:divsChild>
        </w:div>
        <w:div w:id="1990935222">
          <w:marLeft w:val="0"/>
          <w:marRight w:val="0"/>
          <w:marTop w:val="0"/>
          <w:marBottom w:val="0"/>
          <w:divBdr>
            <w:top w:val="none" w:sz="0" w:space="0" w:color="auto"/>
            <w:left w:val="none" w:sz="0" w:space="0" w:color="auto"/>
            <w:bottom w:val="none" w:sz="0" w:space="0" w:color="auto"/>
            <w:right w:val="none" w:sz="0" w:space="0" w:color="auto"/>
          </w:divBdr>
          <w:divsChild>
            <w:div w:id="1736199333">
              <w:marLeft w:val="0"/>
              <w:marRight w:val="0"/>
              <w:marTop w:val="0"/>
              <w:marBottom w:val="450"/>
              <w:divBdr>
                <w:top w:val="none" w:sz="0" w:space="0" w:color="auto"/>
                <w:left w:val="none" w:sz="0" w:space="0" w:color="auto"/>
                <w:bottom w:val="none" w:sz="0" w:space="0" w:color="auto"/>
                <w:right w:val="none" w:sz="0" w:space="0" w:color="auto"/>
              </w:divBdr>
              <w:divsChild>
                <w:div w:id="1080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995782">
      <w:bodyDiv w:val="1"/>
      <w:marLeft w:val="0"/>
      <w:marRight w:val="0"/>
      <w:marTop w:val="0"/>
      <w:marBottom w:val="0"/>
      <w:divBdr>
        <w:top w:val="none" w:sz="0" w:space="0" w:color="auto"/>
        <w:left w:val="none" w:sz="0" w:space="0" w:color="auto"/>
        <w:bottom w:val="none" w:sz="0" w:space="0" w:color="auto"/>
        <w:right w:val="none" w:sz="0" w:space="0" w:color="auto"/>
      </w:divBdr>
      <w:divsChild>
        <w:div w:id="130252681">
          <w:marLeft w:val="3690"/>
          <w:marRight w:val="-14760"/>
          <w:marTop w:val="0"/>
          <w:marBottom w:val="750"/>
          <w:divBdr>
            <w:top w:val="none" w:sz="0" w:space="0" w:color="auto"/>
            <w:left w:val="none" w:sz="0" w:space="0" w:color="auto"/>
            <w:bottom w:val="none" w:sz="0" w:space="0" w:color="auto"/>
            <w:right w:val="none" w:sz="0" w:space="0" w:color="auto"/>
          </w:divBdr>
          <w:divsChild>
            <w:div w:id="1840999492">
              <w:marLeft w:val="0"/>
              <w:marRight w:val="0"/>
              <w:marTop w:val="0"/>
              <w:marBottom w:val="0"/>
              <w:divBdr>
                <w:top w:val="none" w:sz="0" w:space="0" w:color="auto"/>
                <w:left w:val="none" w:sz="0" w:space="0" w:color="auto"/>
                <w:bottom w:val="none" w:sz="0" w:space="0" w:color="auto"/>
                <w:right w:val="none" w:sz="0" w:space="0" w:color="auto"/>
              </w:divBdr>
              <w:divsChild>
                <w:div w:id="1105270768">
                  <w:marLeft w:val="0"/>
                  <w:marRight w:val="0"/>
                  <w:marTop w:val="0"/>
                  <w:marBottom w:val="0"/>
                  <w:divBdr>
                    <w:top w:val="none" w:sz="0" w:space="0" w:color="auto"/>
                    <w:left w:val="none" w:sz="0" w:space="0" w:color="auto"/>
                    <w:bottom w:val="none" w:sz="0" w:space="0" w:color="auto"/>
                    <w:right w:val="none" w:sz="0" w:space="0" w:color="auto"/>
                  </w:divBdr>
                  <w:divsChild>
                    <w:div w:id="20515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936050">
          <w:marLeft w:val="0"/>
          <w:marRight w:val="-3690"/>
          <w:marTop w:val="0"/>
          <w:marBottom w:val="750"/>
          <w:divBdr>
            <w:top w:val="none" w:sz="0" w:space="0" w:color="auto"/>
            <w:left w:val="none" w:sz="0" w:space="0" w:color="auto"/>
            <w:bottom w:val="none" w:sz="0" w:space="0" w:color="auto"/>
            <w:right w:val="none" w:sz="0" w:space="0" w:color="auto"/>
          </w:divBdr>
          <w:divsChild>
            <w:div w:id="1107699477">
              <w:marLeft w:val="0"/>
              <w:marRight w:val="-3690"/>
              <w:marTop w:val="0"/>
              <w:marBottom w:val="0"/>
              <w:divBdr>
                <w:top w:val="none" w:sz="0" w:space="0" w:color="auto"/>
                <w:left w:val="none" w:sz="0" w:space="0" w:color="auto"/>
                <w:bottom w:val="none" w:sz="0" w:space="0" w:color="auto"/>
                <w:right w:val="none" w:sz="0" w:space="0" w:color="auto"/>
              </w:divBdr>
              <w:divsChild>
                <w:div w:id="145609603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246041135">
      <w:bodyDiv w:val="1"/>
      <w:marLeft w:val="0"/>
      <w:marRight w:val="0"/>
      <w:marTop w:val="0"/>
      <w:marBottom w:val="0"/>
      <w:divBdr>
        <w:top w:val="none" w:sz="0" w:space="0" w:color="auto"/>
        <w:left w:val="none" w:sz="0" w:space="0" w:color="auto"/>
        <w:bottom w:val="none" w:sz="0" w:space="0" w:color="auto"/>
        <w:right w:val="none" w:sz="0" w:space="0" w:color="auto"/>
      </w:divBdr>
    </w:div>
    <w:div w:id="279578912">
      <w:bodyDiv w:val="1"/>
      <w:marLeft w:val="0"/>
      <w:marRight w:val="0"/>
      <w:marTop w:val="0"/>
      <w:marBottom w:val="0"/>
      <w:divBdr>
        <w:top w:val="none" w:sz="0" w:space="0" w:color="auto"/>
        <w:left w:val="none" w:sz="0" w:space="0" w:color="auto"/>
        <w:bottom w:val="none" w:sz="0" w:space="0" w:color="auto"/>
        <w:right w:val="none" w:sz="0" w:space="0" w:color="auto"/>
      </w:divBdr>
    </w:div>
    <w:div w:id="346489469">
      <w:bodyDiv w:val="1"/>
      <w:marLeft w:val="0"/>
      <w:marRight w:val="0"/>
      <w:marTop w:val="0"/>
      <w:marBottom w:val="0"/>
      <w:divBdr>
        <w:top w:val="none" w:sz="0" w:space="0" w:color="auto"/>
        <w:left w:val="none" w:sz="0" w:space="0" w:color="auto"/>
        <w:bottom w:val="none" w:sz="0" w:space="0" w:color="auto"/>
        <w:right w:val="none" w:sz="0" w:space="0" w:color="auto"/>
      </w:divBdr>
    </w:div>
    <w:div w:id="670379543">
      <w:bodyDiv w:val="1"/>
      <w:marLeft w:val="0"/>
      <w:marRight w:val="0"/>
      <w:marTop w:val="0"/>
      <w:marBottom w:val="0"/>
      <w:divBdr>
        <w:top w:val="none" w:sz="0" w:space="0" w:color="auto"/>
        <w:left w:val="none" w:sz="0" w:space="0" w:color="auto"/>
        <w:bottom w:val="none" w:sz="0" w:space="0" w:color="auto"/>
        <w:right w:val="none" w:sz="0" w:space="0" w:color="auto"/>
      </w:divBdr>
      <w:divsChild>
        <w:div w:id="227805654">
          <w:marLeft w:val="360"/>
          <w:marRight w:val="0"/>
          <w:marTop w:val="240"/>
          <w:marBottom w:val="240"/>
          <w:divBdr>
            <w:top w:val="none" w:sz="0" w:space="0" w:color="auto"/>
            <w:left w:val="none" w:sz="0" w:space="0" w:color="auto"/>
            <w:bottom w:val="none" w:sz="0" w:space="0" w:color="auto"/>
            <w:right w:val="none" w:sz="0" w:space="0" w:color="auto"/>
          </w:divBdr>
        </w:div>
        <w:div w:id="361368698">
          <w:marLeft w:val="187"/>
          <w:marRight w:val="0"/>
          <w:marTop w:val="0"/>
          <w:marBottom w:val="0"/>
          <w:divBdr>
            <w:top w:val="none" w:sz="0" w:space="0" w:color="auto"/>
            <w:left w:val="none" w:sz="0" w:space="0" w:color="auto"/>
            <w:bottom w:val="none" w:sz="0" w:space="0" w:color="auto"/>
            <w:right w:val="none" w:sz="0" w:space="0" w:color="auto"/>
          </w:divBdr>
        </w:div>
        <w:div w:id="572667348">
          <w:marLeft w:val="187"/>
          <w:marRight w:val="0"/>
          <w:marTop w:val="0"/>
          <w:marBottom w:val="0"/>
          <w:divBdr>
            <w:top w:val="none" w:sz="0" w:space="0" w:color="auto"/>
            <w:left w:val="none" w:sz="0" w:space="0" w:color="auto"/>
            <w:bottom w:val="none" w:sz="0" w:space="0" w:color="auto"/>
            <w:right w:val="none" w:sz="0" w:space="0" w:color="auto"/>
          </w:divBdr>
        </w:div>
        <w:div w:id="883981590">
          <w:marLeft w:val="360"/>
          <w:marRight w:val="0"/>
          <w:marTop w:val="240"/>
          <w:marBottom w:val="240"/>
          <w:divBdr>
            <w:top w:val="none" w:sz="0" w:space="0" w:color="auto"/>
            <w:left w:val="none" w:sz="0" w:space="0" w:color="auto"/>
            <w:bottom w:val="none" w:sz="0" w:space="0" w:color="auto"/>
            <w:right w:val="none" w:sz="0" w:space="0" w:color="auto"/>
          </w:divBdr>
        </w:div>
        <w:div w:id="1006057978">
          <w:marLeft w:val="360"/>
          <w:marRight w:val="0"/>
          <w:marTop w:val="240"/>
          <w:marBottom w:val="240"/>
          <w:divBdr>
            <w:top w:val="none" w:sz="0" w:space="0" w:color="auto"/>
            <w:left w:val="none" w:sz="0" w:space="0" w:color="auto"/>
            <w:bottom w:val="none" w:sz="0" w:space="0" w:color="auto"/>
            <w:right w:val="none" w:sz="0" w:space="0" w:color="auto"/>
          </w:divBdr>
        </w:div>
        <w:div w:id="1215199136">
          <w:marLeft w:val="360"/>
          <w:marRight w:val="0"/>
          <w:marTop w:val="240"/>
          <w:marBottom w:val="240"/>
          <w:divBdr>
            <w:top w:val="none" w:sz="0" w:space="0" w:color="auto"/>
            <w:left w:val="none" w:sz="0" w:space="0" w:color="auto"/>
            <w:bottom w:val="none" w:sz="0" w:space="0" w:color="auto"/>
            <w:right w:val="none" w:sz="0" w:space="0" w:color="auto"/>
          </w:divBdr>
        </w:div>
        <w:div w:id="1782728236">
          <w:marLeft w:val="360"/>
          <w:marRight w:val="0"/>
          <w:marTop w:val="240"/>
          <w:marBottom w:val="240"/>
          <w:divBdr>
            <w:top w:val="none" w:sz="0" w:space="0" w:color="auto"/>
            <w:left w:val="none" w:sz="0" w:space="0" w:color="auto"/>
            <w:bottom w:val="none" w:sz="0" w:space="0" w:color="auto"/>
            <w:right w:val="none" w:sz="0" w:space="0" w:color="auto"/>
          </w:divBdr>
        </w:div>
      </w:divsChild>
    </w:div>
    <w:div w:id="748773207">
      <w:bodyDiv w:val="1"/>
      <w:marLeft w:val="0"/>
      <w:marRight w:val="0"/>
      <w:marTop w:val="0"/>
      <w:marBottom w:val="0"/>
      <w:divBdr>
        <w:top w:val="none" w:sz="0" w:space="0" w:color="auto"/>
        <w:left w:val="none" w:sz="0" w:space="0" w:color="auto"/>
        <w:bottom w:val="none" w:sz="0" w:space="0" w:color="auto"/>
        <w:right w:val="none" w:sz="0" w:space="0" w:color="auto"/>
      </w:divBdr>
    </w:div>
    <w:div w:id="751708187">
      <w:bodyDiv w:val="1"/>
      <w:marLeft w:val="0"/>
      <w:marRight w:val="0"/>
      <w:marTop w:val="0"/>
      <w:marBottom w:val="0"/>
      <w:divBdr>
        <w:top w:val="none" w:sz="0" w:space="0" w:color="auto"/>
        <w:left w:val="none" w:sz="0" w:space="0" w:color="auto"/>
        <w:bottom w:val="none" w:sz="0" w:space="0" w:color="auto"/>
        <w:right w:val="none" w:sz="0" w:space="0" w:color="auto"/>
      </w:divBdr>
      <w:divsChild>
        <w:div w:id="1958413487">
          <w:marLeft w:val="0"/>
          <w:marRight w:val="0"/>
          <w:marTop w:val="0"/>
          <w:marBottom w:val="0"/>
          <w:divBdr>
            <w:top w:val="none" w:sz="0" w:space="0" w:color="auto"/>
            <w:left w:val="none" w:sz="0" w:space="0" w:color="auto"/>
            <w:bottom w:val="none" w:sz="0" w:space="0" w:color="auto"/>
            <w:right w:val="none" w:sz="0" w:space="0" w:color="auto"/>
          </w:divBdr>
        </w:div>
      </w:divsChild>
    </w:div>
    <w:div w:id="776364838">
      <w:bodyDiv w:val="1"/>
      <w:marLeft w:val="0"/>
      <w:marRight w:val="0"/>
      <w:marTop w:val="0"/>
      <w:marBottom w:val="0"/>
      <w:divBdr>
        <w:top w:val="none" w:sz="0" w:space="0" w:color="auto"/>
        <w:left w:val="none" w:sz="0" w:space="0" w:color="auto"/>
        <w:bottom w:val="none" w:sz="0" w:space="0" w:color="auto"/>
        <w:right w:val="none" w:sz="0" w:space="0" w:color="auto"/>
      </w:divBdr>
    </w:div>
    <w:div w:id="823350274">
      <w:bodyDiv w:val="1"/>
      <w:marLeft w:val="0"/>
      <w:marRight w:val="0"/>
      <w:marTop w:val="0"/>
      <w:marBottom w:val="0"/>
      <w:divBdr>
        <w:top w:val="none" w:sz="0" w:space="0" w:color="auto"/>
        <w:left w:val="none" w:sz="0" w:space="0" w:color="auto"/>
        <w:bottom w:val="none" w:sz="0" w:space="0" w:color="auto"/>
        <w:right w:val="none" w:sz="0" w:space="0" w:color="auto"/>
      </w:divBdr>
    </w:div>
    <w:div w:id="857960627">
      <w:bodyDiv w:val="1"/>
      <w:marLeft w:val="0"/>
      <w:marRight w:val="0"/>
      <w:marTop w:val="0"/>
      <w:marBottom w:val="0"/>
      <w:divBdr>
        <w:top w:val="none" w:sz="0" w:space="0" w:color="auto"/>
        <w:left w:val="none" w:sz="0" w:space="0" w:color="auto"/>
        <w:bottom w:val="none" w:sz="0" w:space="0" w:color="auto"/>
        <w:right w:val="none" w:sz="0" w:space="0" w:color="auto"/>
      </w:divBdr>
    </w:div>
    <w:div w:id="866867345">
      <w:bodyDiv w:val="1"/>
      <w:marLeft w:val="0"/>
      <w:marRight w:val="0"/>
      <w:marTop w:val="0"/>
      <w:marBottom w:val="0"/>
      <w:divBdr>
        <w:top w:val="none" w:sz="0" w:space="0" w:color="auto"/>
        <w:left w:val="none" w:sz="0" w:space="0" w:color="auto"/>
        <w:bottom w:val="none" w:sz="0" w:space="0" w:color="auto"/>
        <w:right w:val="none" w:sz="0" w:space="0" w:color="auto"/>
      </w:divBdr>
    </w:div>
    <w:div w:id="947735802">
      <w:bodyDiv w:val="1"/>
      <w:marLeft w:val="0"/>
      <w:marRight w:val="0"/>
      <w:marTop w:val="0"/>
      <w:marBottom w:val="0"/>
      <w:divBdr>
        <w:top w:val="none" w:sz="0" w:space="0" w:color="auto"/>
        <w:left w:val="none" w:sz="0" w:space="0" w:color="auto"/>
        <w:bottom w:val="none" w:sz="0" w:space="0" w:color="auto"/>
        <w:right w:val="none" w:sz="0" w:space="0" w:color="auto"/>
      </w:divBdr>
    </w:div>
    <w:div w:id="949315895">
      <w:bodyDiv w:val="1"/>
      <w:marLeft w:val="0"/>
      <w:marRight w:val="0"/>
      <w:marTop w:val="0"/>
      <w:marBottom w:val="0"/>
      <w:divBdr>
        <w:top w:val="none" w:sz="0" w:space="0" w:color="auto"/>
        <w:left w:val="none" w:sz="0" w:space="0" w:color="auto"/>
        <w:bottom w:val="none" w:sz="0" w:space="0" w:color="auto"/>
        <w:right w:val="none" w:sz="0" w:space="0" w:color="auto"/>
      </w:divBdr>
    </w:div>
    <w:div w:id="1023432505">
      <w:bodyDiv w:val="1"/>
      <w:marLeft w:val="0"/>
      <w:marRight w:val="0"/>
      <w:marTop w:val="0"/>
      <w:marBottom w:val="0"/>
      <w:divBdr>
        <w:top w:val="none" w:sz="0" w:space="0" w:color="auto"/>
        <w:left w:val="none" w:sz="0" w:space="0" w:color="auto"/>
        <w:bottom w:val="none" w:sz="0" w:space="0" w:color="auto"/>
        <w:right w:val="none" w:sz="0" w:space="0" w:color="auto"/>
      </w:divBdr>
    </w:div>
    <w:div w:id="1092969578">
      <w:bodyDiv w:val="1"/>
      <w:marLeft w:val="0"/>
      <w:marRight w:val="0"/>
      <w:marTop w:val="0"/>
      <w:marBottom w:val="0"/>
      <w:divBdr>
        <w:top w:val="none" w:sz="0" w:space="0" w:color="auto"/>
        <w:left w:val="none" w:sz="0" w:space="0" w:color="auto"/>
        <w:bottom w:val="none" w:sz="0" w:space="0" w:color="auto"/>
        <w:right w:val="none" w:sz="0" w:space="0" w:color="auto"/>
      </w:divBdr>
    </w:div>
    <w:div w:id="1116214466">
      <w:bodyDiv w:val="1"/>
      <w:marLeft w:val="0"/>
      <w:marRight w:val="0"/>
      <w:marTop w:val="0"/>
      <w:marBottom w:val="0"/>
      <w:divBdr>
        <w:top w:val="none" w:sz="0" w:space="0" w:color="auto"/>
        <w:left w:val="none" w:sz="0" w:space="0" w:color="auto"/>
        <w:bottom w:val="none" w:sz="0" w:space="0" w:color="auto"/>
        <w:right w:val="none" w:sz="0" w:space="0" w:color="auto"/>
      </w:divBdr>
    </w:div>
    <w:div w:id="1172449033">
      <w:bodyDiv w:val="1"/>
      <w:marLeft w:val="0"/>
      <w:marRight w:val="0"/>
      <w:marTop w:val="0"/>
      <w:marBottom w:val="0"/>
      <w:divBdr>
        <w:top w:val="none" w:sz="0" w:space="0" w:color="auto"/>
        <w:left w:val="none" w:sz="0" w:space="0" w:color="auto"/>
        <w:bottom w:val="none" w:sz="0" w:space="0" w:color="auto"/>
        <w:right w:val="none" w:sz="0" w:space="0" w:color="auto"/>
      </w:divBdr>
    </w:div>
    <w:div w:id="1181432545">
      <w:bodyDiv w:val="1"/>
      <w:marLeft w:val="0"/>
      <w:marRight w:val="0"/>
      <w:marTop w:val="0"/>
      <w:marBottom w:val="0"/>
      <w:divBdr>
        <w:top w:val="none" w:sz="0" w:space="0" w:color="auto"/>
        <w:left w:val="none" w:sz="0" w:space="0" w:color="auto"/>
        <w:bottom w:val="none" w:sz="0" w:space="0" w:color="auto"/>
        <w:right w:val="none" w:sz="0" w:space="0" w:color="auto"/>
      </w:divBdr>
    </w:div>
    <w:div w:id="1194921414">
      <w:bodyDiv w:val="1"/>
      <w:marLeft w:val="0"/>
      <w:marRight w:val="0"/>
      <w:marTop w:val="0"/>
      <w:marBottom w:val="0"/>
      <w:divBdr>
        <w:top w:val="none" w:sz="0" w:space="0" w:color="auto"/>
        <w:left w:val="none" w:sz="0" w:space="0" w:color="auto"/>
        <w:bottom w:val="none" w:sz="0" w:space="0" w:color="auto"/>
        <w:right w:val="none" w:sz="0" w:space="0" w:color="auto"/>
      </w:divBdr>
    </w:div>
    <w:div w:id="1226994814">
      <w:bodyDiv w:val="1"/>
      <w:marLeft w:val="0"/>
      <w:marRight w:val="0"/>
      <w:marTop w:val="0"/>
      <w:marBottom w:val="0"/>
      <w:divBdr>
        <w:top w:val="none" w:sz="0" w:space="0" w:color="auto"/>
        <w:left w:val="none" w:sz="0" w:space="0" w:color="auto"/>
        <w:bottom w:val="none" w:sz="0" w:space="0" w:color="auto"/>
        <w:right w:val="none" w:sz="0" w:space="0" w:color="auto"/>
      </w:divBdr>
    </w:div>
    <w:div w:id="1233585426">
      <w:bodyDiv w:val="1"/>
      <w:marLeft w:val="0"/>
      <w:marRight w:val="0"/>
      <w:marTop w:val="0"/>
      <w:marBottom w:val="0"/>
      <w:divBdr>
        <w:top w:val="none" w:sz="0" w:space="0" w:color="auto"/>
        <w:left w:val="none" w:sz="0" w:space="0" w:color="auto"/>
        <w:bottom w:val="none" w:sz="0" w:space="0" w:color="auto"/>
        <w:right w:val="none" w:sz="0" w:space="0" w:color="auto"/>
      </w:divBdr>
    </w:div>
    <w:div w:id="1240942081">
      <w:bodyDiv w:val="1"/>
      <w:marLeft w:val="0"/>
      <w:marRight w:val="0"/>
      <w:marTop w:val="0"/>
      <w:marBottom w:val="0"/>
      <w:divBdr>
        <w:top w:val="none" w:sz="0" w:space="0" w:color="auto"/>
        <w:left w:val="none" w:sz="0" w:space="0" w:color="auto"/>
        <w:bottom w:val="none" w:sz="0" w:space="0" w:color="auto"/>
        <w:right w:val="none" w:sz="0" w:space="0" w:color="auto"/>
      </w:divBdr>
    </w:div>
    <w:div w:id="1260335290">
      <w:bodyDiv w:val="1"/>
      <w:marLeft w:val="0"/>
      <w:marRight w:val="0"/>
      <w:marTop w:val="0"/>
      <w:marBottom w:val="0"/>
      <w:divBdr>
        <w:top w:val="none" w:sz="0" w:space="0" w:color="auto"/>
        <w:left w:val="none" w:sz="0" w:space="0" w:color="auto"/>
        <w:bottom w:val="none" w:sz="0" w:space="0" w:color="auto"/>
        <w:right w:val="none" w:sz="0" w:space="0" w:color="auto"/>
      </w:divBdr>
    </w:div>
    <w:div w:id="1282345814">
      <w:bodyDiv w:val="1"/>
      <w:marLeft w:val="0"/>
      <w:marRight w:val="0"/>
      <w:marTop w:val="0"/>
      <w:marBottom w:val="0"/>
      <w:divBdr>
        <w:top w:val="none" w:sz="0" w:space="0" w:color="auto"/>
        <w:left w:val="none" w:sz="0" w:space="0" w:color="auto"/>
        <w:bottom w:val="none" w:sz="0" w:space="0" w:color="auto"/>
        <w:right w:val="none" w:sz="0" w:space="0" w:color="auto"/>
      </w:divBdr>
    </w:div>
    <w:div w:id="1307469777">
      <w:bodyDiv w:val="1"/>
      <w:marLeft w:val="0"/>
      <w:marRight w:val="0"/>
      <w:marTop w:val="0"/>
      <w:marBottom w:val="0"/>
      <w:divBdr>
        <w:top w:val="none" w:sz="0" w:space="0" w:color="auto"/>
        <w:left w:val="none" w:sz="0" w:space="0" w:color="auto"/>
        <w:bottom w:val="none" w:sz="0" w:space="0" w:color="auto"/>
        <w:right w:val="none" w:sz="0" w:space="0" w:color="auto"/>
      </w:divBdr>
    </w:div>
    <w:div w:id="1500462774">
      <w:bodyDiv w:val="1"/>
      <w:marLeft w:val="0"/>
      <w:marRight w:val="0"/>
      <w:marTop w:val="0"/>
      <w:marBottom w:val="0"/>
      <w:divBdr>
        <w:top w:val="none" w:sz="0" w:space="0" w:color="auto"/>
        <w:left w:val="none" w:sz="0" w:space="0" w:color="auto"/>
        <w:bottom w:val="none" w:sz="0" w:space="0" w:color="auto"/>
        <w:right w:val="none" w:sz="0" w:space="0" w:color="auto"/>
      </w:divBdr>
    </w:div>
    <w:div w:id="1505169449">
      <w:bodyDiv w:val="1"/>
      <w:marLeft w:val="0"/>
      <w:marRight w:val="0"/>
      <w:marTop w:val="0"/>
      <w:marBottom w:val="0"/>
      <w:divBdr>
        <w:top w:val="none" w:sz="0" w:space="0" w:color="auto"/>
        <w:left w:val="none" w:sz="0" w:space="0" w:color="auto"/>
        <w:bottom w:val="none" w:sz="0" w:space="0" w:color="auto"/>
        <w:right w:val="none" w:sz="0" w:space="0" w:color="auto"/>
      </w:divBdr>
    </w:div>
    <w:div w:id="1832214697">
      <w:bodyDiv w:val="1"/>
      <w:marLeft w:val="0"/>
      <w:marRight w:val="0"/>
      <w:marTop w:val="0"/>
      <w:marBottom w:val="0"/>
      <w:divBdr>
        <w:top w:val="none" w:sz="0" w:space="0" w:color="auto"/>
        <w:left w:val="none" w:sz="0" w:space="0" w:color="auto"/>
        <w:bottom w:val="none" w:sz="0" w:space="0" w:color="auto"/>
        <w:right w:val="none" w:sz="0" w:space="0" w:color="auto"/>
      </w:divBdr>
    </w:div>
    <w:div w:id="1888950734">
      <w:bodyDiv w:val="1"/>
      <w:marLeft w:val="0"/>
      <w:marRight w:val="0"/>
      <w:marTop w:val="0"/>
      <w:marBottom w:val="0"/>
      <w:divBdr>
        <w:top w:val="none" w:sz="0" w:space="0" w:color="auto"/>
        <w:left w:val="none" w:sz="0" w:space="0" w:color="auto"/>
        <w:bottom w:val="none" w:sz="0" w:space="0" w:color="auto"/>
        <w:right w:val="none" w:sz="0" w:space="0" w:color="auto"/>
      </w:divBdr>
    </w:div>
    <w:div w:id="1991132308">
      <w:bodyDiv w:val="1"/>
      <w:marLeft w:val="0"/>
      <w:marRight w:val="0"/>
      <w:marTop w:val="0"/>
      <w:marBottom w:val="0"/>
      <w:divBdr>
        <w:top w:val="none" w:sz="0" w:space="0" w:color="auto"/>
        <w:left w:val="none" w:sz="0" w:space="0" w:color="auto"/>
        <w:bottom w:val="none" w:sz="0" w:space="0" w:color="auto"/>
        <w:right w:val="none" w:sz="0" w:space="0" w:color="auto"/>
      </w:divBdr>
    </w:div>
    <w:div w:id="2024742127">
      <w:bodyDiv w:val="1"/>
      <w:marLeft w:val="0"/>
      <w:marRight w:val="0"/>
      <w:marTop w:val="0"/>
      <w:marBottom w:val="0"/>
      <w:divBdr>
        <w:top w:val="none" w:sz="0" w:space="0" w:color="auto"/>
        <w:left w:val="none" w:sz="0" w:space="0" w:color="auto"/>
        <w:bottom w:val="none" w:sz="0" w:space="0" w:color="auto"/>
        <w:right w:val="none" w:sz="0" w:space="0" w:color="auto"/>
      </w:divBdr>
    </w:div>
    <w:div w:id="206537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10.png"/><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FC8F2B-5E60-4ECC-A82B-CFBE038D78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9009</Words>
  <Characters>56762</Characters>
  <Application>Microsoft Office Word</Application>
  <DocSecurity>0</DocSecurity>
  <Lines>473</Lines>
  <Paragraphs>131</Paragraphs>
  <ScaleCrop>false</ScaleCrop>
  <HeadingPairs>
    <vt:vector size="6" baseType="variant">
      <vt:variant>
        <vt:lpstr>Titel</vt:lpstr>
      </vt:variant>
      <vt:variant>
        <vt:i4>1</vt:i4>
      </vt:variant>
      <vt:variant>
        <vt:lpstr>Title</vt:lpstr>
      </vt:variant>
      <vt:variant>
        <vt:i4>1</vt:i4>
      </vt:variant>
      <vt:variant>
        <vt:lpstr>Titolo</vt:lpstr>
      </vt:variant>
      <vt:variant>
        <vt:i4>1</vt:i4>
      </vt:variant>
    </vt:vector>
  </HeadingPairs>
  <TitlesOfParts>
    <vt:vector size="3" baseType="lpstr">
      <vt:lpstr/>
      <vt:lpstr/>
      <vt:lpstr/>
    </vt:vector>
  </TitlesOfParts>
  <Company>World Health Organization</Company>
  <LinksUpToDate>false</LinksUpToDate>
  <CharactersWithSpaces>65640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Bartman</dc:creator>
  <cp:lastModifiedBy>katrin.rauner</cp:lastModifiedBy>
  <cp:revision>2</cp:revision>
  <cp:lastPrinted>2018-03-23T09:06:00Z</cp:lastPrinted>
  <dcterms:created xsi:type="dcterms:W3CDTF">2018-06-29T07:44:00Z</dcterms:created>
  <dcterms:modified xsi:type="dcterms:W3CDTF">2018-06-29T07:44:00Z</dcterms:modified>
</cp:coreProperties>
</file>