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986" w:rsidRPr="00B60A9C" w:rsidRDefault="007A6986">
      <w:pPr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lang w:val="en-US"/>
        </w:rPr>
        <w:t>SUPPORTING INFORMATION</w:t>
      </w:r>
    </w:p>
    <w:p w:rsidR="007A6986" w:rsidRPr="00B60A9C" w:rsidRDefault="007A6986" w:rsidP="007A698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60A9C">
        <w:rPr>
          <w:rFonts w:ascii="Times New Roman" w:hAnsi="Times New Roman" w:cs="Times New Roman"/>
          <w:sz w:val="24"/>
          <w:szCs w:val="24"/>
          <w:lang w:val="en-US"/>
        </w:rPr>
        <w:t xml:space="preserve">Consequences of </w:t>
      </w:r>
      <w:proofErr w:type="spellStart"/>
      <w:r w:rsidRPr="00B60A9C">
        <w:rPr>
          <w:rFonts w:ascii="Times New Roman" w:hAnsi="Times New Roman" w:cs="Times New Roman"/>
          <w:sz w:val="24"/>
          <w:szCs w:val="24"/>
          <w:lang w:val="en-US"/>
        </w:rPr>
        <w:t>cathepsin</w:t>
      </w:r>
      <w:proofErr w:type="spellEnd"/>
      <w:r w:rsidRPr="00B60A9C">
        <w:rPr>
          <w:rFonts w:ascii="Times New Roman" w:hAnsi="Times New Roman" w:cs="Times New Roman"/>
          <w:sz w:val="24"/>
          <w:szCs w:val="24"/>
          <w:lang w:val="en-US"/>
        </w:rPr>
        <w:t xml:space="preserve"> C inactivation on membrane exposure of proteinase 3, the target antigen in autoimmune vasculitis </w:t>
      </w:r>
    </w:p>
    <w:p w:rsidR="007A6986" w:rsidRPr="00B60A9C" w:rsidRDefault="007A6986" w:rsidP="007A6986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</w:p>
    <w:p w:rsidR="007A6986" w:rsidRPr="00B60A9C" w:rsidRDefault="007A6986" w:rsidP="007A6986">
      <w:pPr>
        <w:spacing w:after="0"/>
        <w:jc w:val="center"/>
        <w:rPr>
          <w:b/>
          <w:lang w:val="en-US"/>
        </w:rPr>
      </w:pPr>
      <w:proofErr w:type="spellStart"/>
      <w:proofErr w:type="gramStart"/>
      <w:r w:rsidRPr="00B60A9C">
        <w:rPr>
          <w:rFonts w:ascii="Times New Roman" w:hAnsi="Times New Roman" w:cs="Times New Roman"/>
          <w:b/>
          <w:lang w:val="en-US"/>
        </w:rPr>
        <w:t>Seda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Seren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Maha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Rashed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Abouzaid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2#</w:t>
      </w:r>
      <w:r w:rsidRPr="00B60A9C">
        <w:rPr>
          <w:rFonts w:ascii="Times New Roman" w:hAnsi="Times New Roman" w:cs="Times New Roman"/>
          <w:b/>
          <w:lang w:val="en-US"/>
        </w:rPr>
        <w:t>, Claudia Eulenberg-Gustavus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3#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Josefine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Hirschfeld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4#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Hala</w:t>
      </w:r>
      <w:proofErr w:type="spellEnd"/>
      <w:r w:rsidRPr="00B60A9C">
        <w:rPr>
          <w:rFonts w:ascii="Times New Roman" w:hAnsi="Times New Roman" w:cs="Times New Roman"/>
          <w:b/>
          <w:vertAlign w:val="superscript"/>
          <w:lang w:val="en-US"/>
        </w:rPr>
        <w:t xml:space="preserve"> </w:t>
      </w:r>
      <w:r w:rsidRPr="00B60A9C">
        <w:rPr>
          <w:rFonts w:ascii="Times New Roman" w:hAnsi="Times New Roman" w:cs="Times New Roman"/>
          <w:b/>
          <w:lang w:val="en-US"/>
        </w:rPr>
        <w:t>Soliman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5</w:t>
      </w:r>
      <w:r w:rsidRPr="00B60A9C">
        <w:rPr>
          <w:rFonts w:ascii="Times New Roman" w:hAnsi="Times New Roman" w:cs="Times New Roman"/>
          <w:b/>
          <w:lang w:val="en-US"/>
        </w:rPr>
        <w:t>, Uwe Jerke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3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Koffi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N’Guessan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60A9C">
        <w:rPr>
          <w:rFonts w:ascii="Times New Roman" w:hAnsi="Times New Roman" w:cs="Times New Roman"/>
          <w:b/>
          <w:lang w:val="en-US"/>
        </w:rPr>
        <w:t>, Sandrine Dallet-Choisy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60A9C">
        <w:rPr>
          <w:rFonts w:ascii="Times New Roman" w:hAnsi="Times New Roman" w:cs="Times New Roman"/>
          <w:b/>
          <w:lang w:val="en-US"/>
        </w:rPr>
        <w:t>, Adam Lesner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6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Conni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Lauritzen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7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Beate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Schacher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8</w:t>
      </w:r>
      <w:r w:rsidRPr="00B60A9C">
        <w:rPr>
          <w:rFonts w:ascii="Times New Roman" w:hAnsi="Times New Roman" w:cs="Times New Roman"/>
          <w:b/>
          <w:lang w:val="en-US"/>
        </w:rPr>
        <w:t>, Peter Eickholz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8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Nikoletta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Nagy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9</w:t>
      </w:r>
      <w:r w:rsidRPr="00B60A9C">
        <w:rPr>
          <w:rFonts w:ascii="Times New Roman" w:hAnsi="Times New Roman" w:cs="Times New Roman"/>
          <w:b/>
          <w:lang w:val="en-US"/>
        </w:rPr>
        <w:t>, Marta Szell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9</w:t>
      </w:r>
      <w:r w:rsidRPr="00B60A9C">
        <w:rPr>
          <w:rFonts w:ascii="Times New Roman" w:hAnsi="Times New Roman" w:cs="Times New Roman"/>
          <w:b/>
          <w:lang w:val="en-US"/>
        </w:rPr>
        <w:t>, Cécile Croix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10</w:t>
      </w:r>
      <w:r w:rsidRPr="00B60A9C">
        <w:rPr>
          <w:rFonts w:ascii="Times New Roman" w:hAnsi="Times New Roman" w:cs="Times New Roman"/>
          <w:b/>
          <w:lang w:val="en-US"/>
        </w:rPr>
        <w:t>, Marie-Claude Viaud-Massuard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10</w:t>
      </w:r>
      <w:r w:rsidRPr="00B60A9C">
        <w:rPr>
          <w:rFonts w:ascii="Times New Roman" w:hAnsi="Times New Roman" w:cs="Times New Roman"/>
          <w:b/>
          <w:lang w:val="en-US"/>
        </w:rPr>
        <w:t xml:space="preserve">, Abdullah Al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Farraj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Aldosari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11</w:t>
      </w:r>
      <w:r w:rsidRPr="00B60A9C">
        <w:rPr>
          <w:rFonts w:ascii="Times New Roman" w:hAnsi="Times New Roman" w:cs="Times New Roman"/>
          <w:b/>
          <w:lang w:val="en-US"/>
        </w:rPr>
        <w:t xml:space="preserve">, </w:t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Shivanna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Ragunatha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12</w:t>
      </w:r>
      <w:r w:rsidRPr="00B60A9C">
        <w:rPr>
          <w:rFonts w:ascii="Times New Roman" w:hAnsi="Times New Roman" w:cs="Times New Roman"/>
          <w:b/>
          <w:lang w:val="en-US"/>
        </w:rPr>
        <w:t>, Mostafa Ibrahim Mostafa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2</w:t>
      </w:r>
      <w:r w:rsidRPr="00B60A9C">
        <w:rPr>
          <w:rFonts w:ascii="Times New Roman" w:hAnsi="Times New Roman" w:cs="Times New Roman"/>
          <w:b/>
          <w:lang w:val="en-US"/>
        </w:rPr>
        <w:t>, Francesca Giampieri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B60A9C">
        <w:rPr>
          <w:rFonts w:ascii="Times New Roman" w:hAnsi="Times New Roman" w:cs="Times New Roman"/>
          <w:b/>
          <w:lang w:val="en-US"/>
        </w:rPr>
        <w:t>, Maurizio Battino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13</w:t>
      </w:r>
      <w:r w:rsidRPr="00B60A9C">
        <w:rPr>
          <w:rFonts w:ascii="Times New Roman" w:hAnsi="Times New Roman" w:cs="Times New Roman"/>
          <w:b/>
          <w:lang w:val="en-US"/>
        </w:rPr>
        <w:t>, Hélène Cornillier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14</w:t>
      </w:r>
      <w:r w:rsidRPr="00B60A9C">
        <w:rPr>
          <w:rFonts w:ascii="Times New Roman" w:hAnsi="Times New Roman" w:cs="Times New Roman"/>
          <w:b/>
          <w:lang w:val="en-US"/>
        </w:rPr>
        <w:t>, Gérard Lorette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15</w:t>
      </w:r>
      <w:r w:rsidRPr="00B60A9C">
        <w:rPr>
          <w:rFonts w:ascii="Times New Roman" w:hAnsi="Times New Roman" w:cs="Times New Roman"/>
          <w:b/>
          <w:lang w:val="en-US"/>
        </w:rPr>
        <w:t>, Jean-Louis Stephan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16</w:t>
      </w:r>
      <w:r w:rsidRPr="00B60A9C">
        <w:rPr>
          <w:rFonts w:ascii="Times New Roman" w:hAnsi="Times New Roman" w:cs="Times New Roman"/>
          <w:b/>
          <w:lang w:val="en-US"/>
        </w:rPr>
        <w:t>, Cyril Goizet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17</w:t>
      </w:r>
      <w:r w:rsidRPr="00B60A9C">
        <w:rPr>
          <w:rFonts w:ascii="Times New Roman" w:hAnsi="Times New Roman" w:cs="Times New Roman"/>
          <w:b/>
          <w:lang w:val="en-US"/>
        </w:rPr>
        <w:t>, John Pedersen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7</w:t>
      </w:r>
      <w:r w:rsidRPr="00B60A9C">
        <w:rPr>
          <w:rFonts w:ascii="Times New Roman" w:hAnsi="Times New Roman" w:cs="Times New Roman"/>
          <w:b/>
          <w:lang w:val="en-US"/>
        </w:rPr>
        <w:t>, Francis Gauthier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60A9C">
        <w:rPr>
          <w:rFonts w:ascii="Times New Roman" w:hAnsi="Times New Roman" w:cs="Times New Roman"/>
          <w:b/>
          <w:lang w:val="en-US"/>
        </w:rPr>
        <w:t>, Dieter E. Jenne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18</w:t>
      </w:r>
      <w:r w:rsidRPr="00B60A9C">
        <w:rPr>
          <w:rFonts w:ascii="Times New Roman" w:hAnsi="Times New Roman" w:cs="Times New Roman"/>
          <w:b/>
          <w:lang w:val="en-US"/>
        </w:rPr>
        <w:t>, Sylvain Marchand-Adam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</w:t>
      </w:r>
      <w:r w:rsidRPr="00B60A9C">
        <w:rPr>
          <w:rFonts w:ascii="Times New Roman" w:hAnsi="Times New Roman" w:cs="Times New Roman"/>
          <w:b/>
          <w:lang w:val="en-US"/>
        </w:rPr>
        <w:t>, Iain L. Chapple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4</w:t>
      </w:r>
      <w:r w:rsidRPr="00B60A9C">
        <w:rPr>
          <w:rFonts w:ascii="Times New Roman" w:hAnsi="Times New Roman" w:cs="Times New Roman"/>
          <w:b/>
          <w:lang w:val="en-US"/>
        </w:rPr>
        <w:t>, Ralph Kettritz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 xml:space="preserve">3,19 </w:t>
      </w:r>
      <w:r w:rsidRPr="00B60A9C">
        <w:rPr>
          <w:rFonts w:ascii="Times New Roman" w:hAnsi="Times New Roman" w:cs="Times New Roman"/>
          <w:b/>
          <w:lang w:val="en-US"/>
        </w:rPr>
        <w:t>and Brice Korkmaz</w:t>
      </w:r>
      <w:r w:rsidRPr="00B60A9C">
        <w:rPr>
          <w:rFonts w:ascii="Times New Roman" w:hAnsi="Times New Roman" w:cs="Times New Roman"/>
          <w:b/>
          <w:vertAlign w:val="superscript"/>
          <w:lang w:val="en-US"/>
        </w:rPr>
        <w:t>1*</w:t>
      </w:r>
      <w:proofErr w:type="gramEnd"/>
    </w:p>
    <w:p w:rsidR="008D4775" w:rsidRDefault="007A6986" w:rsidP="00B61530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lang w:val="en-US"/>
        </w:rPr>
        <w:br w:type="page"/>
      </w:r>
    </w:p>
    <w:p w:rsidR="007A6986" w:rsidRPr="00B60A9C" w:rsidRDefault="007A6986">
      <w:pPr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jc w:val="both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noProof/>
          <w:highlight w:val="yellow"/>
          <w:lang w:eastAsia="fr-FR"/>
        </w:rPr>
        <w:drawing>
          <wp:anchor distT="0" distB="3810" distL="114300" distR="114300" simplePos="0" relativeHeight="251666432" behindDoc="0" locked="0" layoutInCell="1" allowOverlap="1" wp14:anchorId="1CCEBCD0" wp14:editId="422E2618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067425" cy="3346450"/>
            <wp:effectExtent l="0" t="0" r="0" b="6350"/>
            <wp:wrapNone/>
            <wp:docPr id="8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334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6986" w:rsidRPr="00B60A9C" w:rsidRDefault="007A6986" w:rsidP="007A6986">
      <w:pPr>
        <w:rPr>
          <w:rFonts w:ascii="Times New Roman" w:hAnsi="Times New Roman" w:cs="Times New Roman"/>
          <w:b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60A9C">
        <w:rPr>
          <w:rFonts w:ascii="Times New Roman" w:hAnsi="Times New Roman" w:cs="Times New Roman"/>
          <w:b/>
          <w:lang w:val="en-US"/>
        </w:rPr>
        <w:t>Supp.Figure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1.</w:t>
      </w:r>
      <w:r w:rsidRPr="00B60A9C">
        <w:rPr>
          <w:rFonts w:ascii="Times New Roman" w:hAnsi="Times New Roman" w:cs="Times New Roman"/>
          <w:lang w:val="en-US"/>
        </w:rPr>
        <w:t xml:space="preserve"> Pedigrees and genetic analysis of PLS patients. (A) Pedigree chart for family 1 and family 2. Multigenerational pedigree of family </w:t>
      </w:r>
      <w:proofErr w:type="gramStart"/>
      <w:r w:rsidRPr="00B60A9C">
        <w:rPr>
          <w:rFonts w:ascii="Times New Roman" w:hAnsi="Times New Roman" w:cs="Times New Roman"/>
          <w:lang w:val="en-US"/>
        </w:rPr>
        <w:t>1</w:t>
      </w:r>
      <w:proofErr w:type="gramEnd"/>
      <w:r w:rsidRPr="00B60A9C">
        <w:rPr>
          <w:rFonts w:ascii="Times New Roman" w:hAnsi="Times New Roman" w:cs="Times New Roman"/>
          <w:lang w:val="en-US"/>
        </w:rPr>
        <w:t xml:space="preserve"> showing two affected siblings (P16 and P17) of consanguineous parents. Family tree 2 shows one affected son of consanguineous parents. (B) </w:t>
      </w:r>
      <w:r w:rsidRPr="00B60A9C">
        <w:rPr>
          <w:rFonts w:ascii="Times New Roman" w:hAnsi="Times New Roman" w:cs="Times New Roman"/>
          <w:i/>
          <w:lang w:val="en-US"/>
        </w:rPr>
        <w:t>CTSC</w:t>
      </w:r>
      <w:r w:rsidRPr="00B60A9C">
        <w:rPr>
          <w:rFonts w:ascii="Times New Roman" w:hAnsi="Times New Roman" w:cs="Times New Roman"/>
          <w:lang w:val="en-US"/>
        </w:rPr>
        <w:t xml:space="preserve"> gene exon 7a sequence, the upper chromatogram showing the homozygous missense mutation 1015C→T (R339C) in patient 16 (P16), the middle chromatogram shows the heterozygous mutation of the healthy mother and the lower chromatogram shows the normal sequence of a</w:t>
      </w:r>
      <w:r w:rsidR="00B331A9">
        <w:rPr>
          <w:rFonts w:ascii="Times New Roman" w:hAnsi="Times New Roman" w:cs="Times New Roman"/>
          <w:lang w:val="en-US"/>
        </w:rPr>
        <w:t>n</w:t>
      </w:r>
      <w:r w:rsidRPr="00B60A9C">
        <w:rPr>
          <w:rFonts w:ascii="Times New Roman" w:hAnsi="Times New Roman" w:cs="Times New Roman"/>
          <w:lang w:val="en-US"/>
        </w:rPr>
        <w:t xml:space="preserve"> unrelated individual. (C) CTSC gene exon 3 sequence. DNA sequence of exon 3 showing the homozygous missense mutation 1015C→T (R339C) in patient 19 (P19), the middle chromatogram shows the heterozygous genotype of the healthy mother and the lower chromatogram shows the normal sequence of an unrelated individual.</w:t>
      </w: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A6986" w:rsidRPr="00B60A9C" w:rsidRDefault="007A6986" w:rsidP="007A6986">
      <w:pPr>
        <w:rPr>
          <w:rFonts w:ascii="Times New Roman" w:hAnsi="Times New Roman" w:cs="Times New Roman"/>
          <w:b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lang w:val="en-US"/>
        </w:rPr>
        <w:br w:type="page"/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noProof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 wp14:anchorId="4494DC15" wp14:editId="1DCBEFBE">
            <wp:simplePos x="0" y="0"/>
            <wp:positionH relativeFrom="column">
              <wp:posOffset>3030</wp:posOffset>
            </wp:positionH>
            <wp:positionV relativeFrom="paragraph">
              <wp:posOffset>3030</wp:posOffset>
            </wp:positionV>
            <wp:extent cx="5760720" cy="587248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7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60A9C">
        <w:rPr>
          <w:rFonts w:ascii="Times New Roman" w:hAnsi="Times New Roman" w:cs="Times New Roman"/>
          <w:b/>
          <w:lang w:val="en-US"/>
        </w:rPr>
        <w:t>Supp.Figure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2.</w:t>
      </w:r>
      <w:r w:rsidRPr="00B60A9C">
        <w:rPr>
          <w:rFonts w:ascii="Times New Roman" w:hAnsi="Times New Roman" w:cs="Times New Roman"/>
          <w:lang w:val="en-US"/>
        </w:rPr>
        <w:t xml:space="preserve"> PR3 in PLS blood samples. (A) Western-blotting of WBC lysates (10 µg of protein) from PLS and healthy controls using a primary anti-PR3 Ab and a secondary </w:t>
      </w:r>
      <w:r w:rsidRPr="00B60A9C">
        <w:rPr>
          <w:rFonts w:ascii="Times New Roman" w:hAnsi="Times New Roman" w:cs="Times New Roman"/>
          <w:shd w:val="clear" w:color="auto" w:fill="FFFFFF"/>
          <w:lang w:val="en-US"/>
        </w:rPr>
        <w:t>HRP-labelled</w:t>
      </w:r>
      <w:r w:rsidRPr="00B60A9C">
        <w:rPr>
          <w:rStyle w:val="Accentuation1"/>
          <w:rFonts w:ascii="Times New Roman" w:hAnsi="Times New Roman" w:cs="Times New Roman"/>
          <w:bCs/>
          <w:shd w:val="clear" w:color="auto" w:fill="FFFFFF"/>
          <w:lang w:val="en-US"/>
        </w:rPr>
        <w:t xml:space="preserve"> Ab. </w:t>
      </w:r>
      <w:r w:rsidRPr="00B60A9C">
        <w:rPr>
          <w:rFonts w:ascii="Times New Roman" w:hAnsi="Times New Roman" w:cs="Times New Roman"/>
          <w:lang w:val="en-US"/>
        </w:rPr>
        <w:t xml:space="preserve">Amounts of PR3 were highly reduced in PLS cells compared to healthy controls or parents. (B) Western-blotting of WBC lysates (10 µg of protein) from a representative PLS patient and a healthy control incubated with </w:t>
      </w:r>
      <w:r w:rsidRPr="00B60A9C">
        <w:rPr>
          <w:rFonts w:ascii="Symbol" w:hAnsi="Symbol" w:cs="Times New Roman"/>
          <w:lang w:val="en-US"/>
        </w:rPr>
        <w:t></w:t>
      </w:r>
      <w:r w:rsidRPr="00B60A9C">
        <w:rPr>
          <w:rFonts w:ascii="Times New Roman" w:hAnsi="Times New Roman" w:cs="Times New Roman"/>
          <w:lang w:val="en-US"/>
        </w:rPr>
        <w:t xml:space="preserve">1PI (5 µM) in 50 </w:t>
      </w:r>
      <w:proofErr w:type="spellStart"/>
      <w:r w:rsidRPr="00B60A9C">
        <w:rPr>
          <w:rFonts w:ascii="Times New Roman" w:hAnsi="Times New Roman" w:cs="Times New Roman"/>
          <w:lang w:val="en-US"/>
        </w:rPr>
        <w:t>mM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 HEPES buffer, 750 </w:t>
      </w:r>
      <w:proofErr w:type="spellStart"/>
      <w:r w:rsidRPr="00B60A9C">
        <w:rPr>
          <w:rFonts w:ascii="Times New Roman" w:hAnsi="Times New Roman" w:cs="Times New Roman"/>
          <w:lang w:val="en-US"/>
        </w:rPr>
        <w:t>mM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60A9C">
        <w:rPr>
          <w:rFonts w:ascii="Times New Roman" w:hAnsi="Times New Roman" w:cs="Times New Roman"/>
          <w:lang w:val="en-US"/>
        </w:rPr>
        <w:t>NaCl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, 0.05% NP40, pH 7.4 during 3 h at 37°C. The de novo formation of irreversible </w:t>
      </w:r>
      <w:r w:rsidRPr="00B60A9C">
        <w:rPr>
          <w:rFonts w:ascii="Symbol" w:hAnsi="Symbol" w:cs="Times New Roman"/>
          <w:lang w:val="en-US"/>
        </w:rPr>
        <w:t></w:t>
      </w:r>
      <w:r w:rsidRPr="00B60A9C">
        <w:rPr>
          <w:rFonts w:ascii="Times New Roman" w:hAnsi="Times New Roman" w:cs="Times New Roman"/>
          <w:lang w:val="en-US"/>
        </w:rPr>
        <w:t xml:space="preserve">1PI-PR3 complexes of about 75 </w:t>
      </w:r>
      <w:proofErr w:type="spellStart"/>
      <w:r w:rsidRPr="00B60A9C">
        <w:rPr>
          <w:rFonts w:ascii="Times New Roman" w:hAnsi="Times New Roman" w:cs="Times New Roman"/>
          <w:lang w:val="en-US"/>
        </w:rPr>
        <w:t>kDa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 reveals that PR3 is </w:t>
      </w:r>
      <w:proofErr w:type="spellStart"/>
      <w:r w:rsidRPr="00B60A9C">
        <w:rPr>
          <w:rFonts w:ascii="Times New Roman" w:hAnsi="Times New Roman" w:cs="Times New Roman"/>
          <w:lang w:val="en-US"/>
        </w:rPr>
        <w:t>proteolytically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 active in spite of the absence of active </w:t>
      </w:r>
      <w:proofErr w:type="spellStart"/>
      <w:r w:rsidRPr="00B60A9C">
        <w:rPr>
          <w:rFonts w:ascii="Times New Roman" w:hAnsi="Times New Roman" w:cs="Times New Roman"/>
          <w:lang w:val="en-US"/>
        </w:rPr>
        <w:t>CatC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. Similar results </w:t>
      </w:r>
      <w:proofErr w:type="gramStart"/>
      <w:r w:rsidRPr="00B60A9C">
        <w:rPr>
          <w:rFonts w:ascii="Times New Roman" w:hAnsi="Times New Roman" w:cs="Times New Roman"/>
          <w:lang w:val="en-US"/>
        </w:rPr>
        <w:t>were obtained</w:t>
      </w:r>
      <w:proofErr w:type="gramEnd"/>
      <w:r w:rsidRPr="00B60A9C">
        <w:rPr>
          <w:rFonts w:ascii="Times New Roman" w:hAnsi="Times New Roman" w:cs="Times New Roman"/>
          <w:lang w:val="en-US"/>
        </w:rPr>
        <w:t xml:space="preserve"> with WBC lysates from PLS patients P1, P4 and P23. (C) Western-blotting of WBC lysates (10 µg of protein) from PLS and healthy controls developed with </w:t>
      </w:r>
      <w:r w:rsidRPr="00EE4712">
        <w:rPr>
          <w:rStyle w:val="Accentuation1"/>
          <w:rFonts w:ascii="Times New Roman" w:hAnsi="Times New Roman" w:cs="Times New Roman"/>
          <w:bCs/>
          <w:i w:val="0"/>
          <w:shd w:val="clear" w:color="auto" w:fill="FFFFFF"/>
          <w:lang w:val="en-US"/>
        </w:rPr>
        <w:t>the</w:t>
      </w:r>
      <w:r w:rsidRPr="00B60A9C">
        <w:rPr>
          <w:rStyle w:val="Accentuation1"/>
          <w:rFonts w:ascii="Times New Roman" w:hAnsi="Times New Roman" w:cs="Times New Roman"/>
          <w:bCs/>
          <w:shd w:val="clear" w:color="auto" w:fill="FFFFFF"/>
          <w:lang w:val="en-US"/>
        </w:rPr>
        <w:t xml:space="preserve"> </w:t>
      </w:r>
      <w:r w:rsidRPr="00B60A9C">
        <w:rPr>
          <w:rFonts w:ascii="Times New Roman" w:hAnsi="Times New Roman" w:cs="Times New Roman"/>
          <w:shd w:val="clear" w:color="auto" w:fill="FFFFFF"/>
          <w:lang w:val="en-US"/>
        </w:rPr>
        <w:t>HRP-labelled </w:t>
      </w:r>
      <w:r w:rsidRPr="00EE4712">
        <w:rPr>
          <w:rStyle w:val="Accentuation1"/>
          <w:rFonts w:ascii="Times New Roman" w:hAnsi="Times New Roman" w:cs="Times New Roman"/>
          <w:bCs/>
          <w:i w:val="0"/>
          <w:shd w:val="clear" w:color="auto" w:fill="FFFFFF"/>
          <w:lang w:val="en-US"/>
        </w:rPr>
        <w:t>secondary antibody</w:t>
      </w:r>
      <w:r w:rsidRPr="00B60A9C">
        <w:rPr>
          <w:rStyle w:val="Accentuation1"/>
          <w:rFonts w:ascii="Times New Roman" w:hAnsi="Times New Roman" w:cs="Times New Roman"/>
          <w:bCs/>
          <w:shd w:val="clear" w:color="auto" w:fill="FFFFFF"/>
          <w:lang w:val="en-US"/>
        </w:rPr>
        <w:t xml:space="preserve">. </w:t>
      </w:r>
      <w:proofErr w:type="gramStart"/>
      <w:r w:rsidRPr="00EE4712">
        <w:rPr>
          <w:rFonts w:ascii="Times New Roman" w:hAnsi="Times New Roman" w:cs="Times New Roman"/>
          <w:shd w:val="clear" w:color="auto" w:fill="FFFFFF"/>
          <w:lang w:val="en-US"/>
        </w:rPr>
        <w:t>No</w:t>
      </w:r>
      <w:r w:rsidRPr="00EE4712">
        <w:rPr>
          <w:rFonts w:ascii="Times New Roman" w:hAnsi="Times New Roman" w:cs="Times New Roman"/>
          <w:i/>
          <w:shd w:val="clear" w:color="auto" w:fill="FFFFFF"/>
          <w:lang w:val="en-US"/>
        </w:rPr>
        <w:t xml:space="preserve"> </w:t>
      </w:r>
      <w:r w:rsidRPr="00EE4712">
        <w:rPr>
          <w:rFonts w:ascii="Times New Roman" w:hAnsi="Times New Roman" w:cs="Times New Roman"/>
          <w:shd w:val="clear" w:color="auto" w:fill="FFFFFF"/>
          <w:lang w:val="en-US"/>
        </w:rPr>
        <w:t>un</w:t>
      </w:r>
      <w:r w:rsidRPr="00EE4712">
        <w:rPr>
          <w:rStyle w:val="Accentuation1"/>
          <w:rFonts w:ascii="Times New Roman" w:hAnsi="Times New Roman" w:cs="Times New Roman"/>
          <w:bCs/>
          <w:i w:val="0"/>
          <w:shd w:val="clear" w:color="auto" w:fill="FFFFFF"/>
          <w:lang w:val="en-US"/>
        </w:rPr>
        <w:t>specific</w:t>
      </w:r>
      <w:proofErr w:type="gramEnd"/>
      <w:r w:rsidRPr="00EE4712">
        <w:rPr>
          <w:rFonts w:ascii="Times New Roman" w:hAnsi="Times New Roman" w:cs="Times New Roman"/>
          <w:i/>
          <w:shd w:val="clear" w:color="auto" w:fill="FFFFFF"/>
          <w:lang w:val="en-US"/>
        </w:rPr>
        <w:t> </w:t>
      </w:r>
      <w:r w:rsidRPr="00EE4712">
        <w:rPr>
          <w:rFonts w:ascii="Times New Roman" w:hAnsi="Times New Roman" w:cs="Times New Roman"/>
          <w:shd w:val="clear" w:color="auto" w:fill="FFFFFF"/>
          <w:lang w:val="en-US"/>
        </w:rPr>
        <w:t>Ab</w:t>
      </w:r>
      <w:r w:rsidRPr="00EE4712">
        <w:rPr>
          <w:rFonts w:ascii="Times New Roman" w:hAnsi="Times New Roman" w:cs="Times New Roman"/>
          <w:i/>
          <w:shd w:val="clear" w:color="auto" w:fill="FFFFFF"/>
          <w:lang w:val="en-US"/>
        </w:rPr>
        <w:t> </w:t>
      </w:r>
      <w:r w:rsidRPr="00EE4712">
        <w:rPr>
          <w:rStyle w:val="Accentuation1"/>
          <w:rFonts w:ascii="Times New Roman" w:hAnsi="Times New Roman" w:cs="Times New Roman"/>
          <w:bCs/>
          <w:i w:val="0"/>
          <w:shd w:val="clear" w:color="auto" w:fill="FFFFFF"/>
          <w:lang w:val="en-US"/>
        </w:rPr>
        <w:t xml:space="preserve">binding was observed. </w:t>
      </w:r>
      <w:r w:rsidRPr="00B60A9C">
        <w:rPr>
          <w:rFonts w:ascii="Times New Roman" w:hAnsi="Times New Roman" w:cs="Times New Roman"/>
          <w:lang w:val="en-US"/>
        </w:rPr>
        <w:t>We used an anti-MPO antibody as a positive control for the unaltered levels of MPO. C: control, P: PLS patient, M: mother, F, father.</w:t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60A9C">
        <w:rPr>
          <w:rFonts w:ascii="Times New Roman" w:hAnsi="Times New Roman" w:cs="Times New Roman"/>
          <w:lang w:val="en-US"/>
        </w:rPr>
        <w:br w:type="page"/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33B904E5" wp14:editId="5BFD99DC">
            <wp:simplePos x="0" y="0"/>
            <wp:positionH relativeFrom="margin">
              <wp:posOffset>544010</wp:posOffset>
            </wp:positionH>
            <wp:positionV relativeFrom="paragraph">
              <wp:posOffset>15385</wp:posOffset>
            </wp:positionV>
            <wp:extent cx="4190036" cy="3081561"/>
            <wp:effectExtent l="0" t="0" r="127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036" cy="3081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EE4712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60A9C">
        <w:rPr>
          <w:rFonts w:ascii="Times New Roman" w:hAnsi="Times New Roman" w:cs="Times New Roman"/>
          <w:b/>
          <w:lang w:val="en-US"/>
        </w:rPr>
        <w:t>Supp.Figure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3. </w:t>
      </w:r>
      <w:r w:rsidRPr="00B60A9C">
        <w:rPr>
          <w:rFonts w:ascii="Times New Roman" w:hAnsi="Times New Roman" w:cs="Times New Roman"/>
          <w:lang w:val="en-US"/>
        </w:rPr>
        <w:t>CG activity in PLS blood samples. CG activities were assessed with the selective substrate ABZ-TPFSGQ-</w:t>
      </w:r>
      <w:proofErr w:type="spellStart"/>
      <w:r w:rsidRPr="00B60A9C">
        <w:rPr>
          <w:rFonts w:ascii="Times New Roman" w:hAnsi="Times New Roman" w:cs="Times New Roman"/>
          <w:lang w:val="en-US"/>
        </w:rPr>
        <w:t>EDDnp</w:t>
      </w:r>
      <w:proofErr w:type="spellEnd"/>
      <w:r w:rsidRPr="00B60A9C">
        <w:rPr>
          <w:rFonts w:ascii="Times New Roman" w:hAnsi="Times New Roman" w:cs="Times New Roman"/>
          <w:lang w:val="en-US"/>
        </w:rPr>
        <w:t xml:space="preserve"> in purified neutrophil or in WBC lysates from (A) healthy controls and (B) 10 PLS patients. Samples were also incubated for 30 min with the CG inhibitor </w:t>
      </w:r>
      <w:proofErr w:type="spellStart"/>
      <w:r w:rsidRPr="00B60A9C">
        <w:rPr>
          <w:rFonts w:ascii="Times New Roman" w:hAnsi="Times New Roman" w:cs="Times New Roman"/>
          <w:lang w:val="en-US"/>
        </w:rPr>
        <w:t>Bt</w:t>
      </w:r>
      <w:proofErr w:type="spellEnd"/>
      <w:r w:rsidRPr="00B60A9C">
        <w:rPr>
          <w:rFonts w:ascii="Times New Roman" w:hAnsi="Times New Roman" w:cs="Times New Roman"/>
          <w:lang w:val="en-US"/>
        </w:rPr>
        <w:t>-</w:t>
      </w:r>
      <w:proofErr w:type="gramStart"/>
      <w:r w:rsidRPr="00B60A9C">
        <w:rPr>
          <w:rFonts w:ascii="Times New Roman" w:hAnsi="Times New Roman" w:cs="Times New Roman"/>
          <w:lang w:val="en-US"/>
        </w:rPr>
        <w:t>AAF</w:t>
      </w:r>
      <w:r w:rsidRPr="00B60A9C">
        <w:rPr>
          <w:rFonts w:ascii="Times New Roman" w:hAnsi="Times New Roman" w:cs="Times New Roman"/>
          <w:vertAlign w:val="superscript"/>
          <w:lang w:val="en-US"/>
        </w:rPr>
        <w:t>P</w:t>
      </w:r>
      <w:r w:rsidRPr="00B60A9C">
        <w:rPr>
          <w:rFonts w:ascii="Times New Roman" w:hAnsi="Times New Roman" w:cs="Times New Roman"/>
          <w:lang w:val="en-US"/>
        </w:rPr>
        <w:t>(</w:t>
      </w:r>
      <w:proofErr w:type="gramEnd"/>
      <w:r w:rsidRPr="00B60A9C">
        <w:rPr>
          <w:rFonts w:ascii="Times New Roman" w:hAnsi="Times New Roman" w:cs="Times New Roman"/>
          <w:lang w:val="en-US"/>
        </w:rPr>
        <w:t>O-C</w:t>
      </w:r>
      <w:r w:rsidRPr="00B60A9C">
        <w:rPr>
          <w:rFonts w:ascii="Times New Roman" w:hAnsi="Times New Roman" w:cs="Times New Roman"/>
          <w:vertAlign w:val="subscript"/>
          <w:lang w:val="en-US"/>
        </w:rPr>
        <w:t>6</w:t>
      </w:r>
      <w:r w:rsidRPr="00B60A9C">
        <w:rPr>
          <w:rFonts w:ascii="Times New Roman" w:hAnsi="Times New Roman" w:cs="Times New Roman"/>
          <w:lang w:val="en-US"/>
        </w:rPr>
        <w:t>H</w:t>
      </w:r>
      <w:r w:rsidRPr="00B60A9C">
        <w:rPr>
          <w:rFonts w:ascii="Times New Roman" w:hAnsi="Times New Roman" w:cs="Times New Roman"/>
          <w:vertAlign w:val="subscript"/>
          <w:lang w:val="en-US"/>
        </w:rPr>
        <w:t>6</w:t>
      </w:r>
      <w:r w:rsidRPr="00B60A9C">
        <w:rPr>
          <w:rFonts w:ascii="Times New Roman" w:hAnsi="Times New Roman" w:cs="Times New Roman"/>
          <w:lang w:val="en-US"/>
        </w:rPr>
        <w:t>)</w:t>
      </w:r>
      <w:r w:rsidRPr="00B60A9C">
        <w:rPr>
          <w:rFonts w:ascii="Times New Roman" w:hAnsi="Times New Roman" w:cs="Times New Roman"/>
          <w:vertAlign w:val="subscript"/>
          <w:lang w:val="en-US"/>
        </w:rPr>
        <w:t>2</w:t>
      </w:r>
      <w:r w:rsidRPr="00B60A9C">
        <w:rPr>
          <w:rFonts w:ascii="Times New Roman" w:hAnsi="Times New Roman" w:cs="Times New Roman"/>
          <w:lang w:val="en-US"/>
        </w:rPr>
        <w:t xml:space="preserve"> (0.5 µM) to distinguish CG activity and </w:t>
      </w:r>
      <w:r w:rsidRPr="00EE4712">
        <w:rPr>
          <w:rFonts w:ascii="Times New Roman" w:hAnsi="Times New Roman" w:cs="Times New Roman"/>
          <w:lang w:val="en-US"/>
        </w:rPr>
        <w:t xml:space="preserve">nonspecific signal. Low levels of active CG </w:t>
      </w:r>
      <w:proofErr w:type="gramStart"/>
      <w:r w:rsidRPr="00EE4712">
        <w:rPr>
          <w:rFonts w:ascii="Times New Roman" w:hAnsi="Times New Roman" w:cs="Times New Roman"/>
          <w:lang w:val="en-US"/>
        </w:rPr>
        <w:t>were found</w:t>
      </w:r>
      <w:proofErr w:type="gramEnd"/>
      <w:r w:rsidRPr="00EE4712">
        <w:rPr>
          <w:rFonts w:ascii="Times New Roman" w:hAnsi="Times New Roman" w:cs="Times New Roman"/>
          <w:lang w:val="en-US"/>
        </w:rPr>
        <w:t xml:space="preserve"> in cell lysates (10 µg) from PLS patients P1, P8, P9 compared to control cell lysates (1 µg). </w:t>
      </w:r>
      <w:r w:rsidR="00C8501F" w:rsidRPr="00EE4712">
        <w:rPr>
          <w:rFonts w:ascii="Times New Roman" w:hAnsi="Times New Roman" w:cs="Times New Roman"/>
          <w:lang w:val="en-US"/>
        </w:rPr>
        <w:t xml:space="preserve">Data represent mean S.D. of experiments performed in triplicates. Similar results </w:t>
      </w:r>
      <w:proofErr w:type="gramStart"/>
      <w:r w:rsidR="00C8501F" w:rsidRPr="00EE4712">
        <w:rPr>
          <w:rFonts w:ascii="Times New Roman" w:hAnsi="Times New Roman" w:cs="Times New Roman"/>
          <w:lang w:val="en-US"/>
        </w:rPr>
        <w:t>were found</w:t>
      </w:r>
      <w:proofErr w:type="gramEnd"/>
      <w:r w:rsidR="00C8501F" w:rsidRPr="00EE4712">
        <w:rPr>
          <w:rFonts w:ascii="Times New Roman" w:hAnsi="Times New Roman" w:cs="Times New Roman"/>
          <w:lang w:val="en-US"/>
        </w:rPr>
        <w:t xml:space="preserve"> in two independent experiments. </w:t>
      </w:r>
      <w:r w:rsidRPr="00EE4712">
        <w:rPr>
          <w:rFonts w:ascii="Times New Roman" w:hAnsi="Times New Roman" w:cs="Times New Roman"/>
          <w:lang w:val="en-US"/>
        </w:rPr>
        <w:t xml:space="preserve">PMN, </w:t>
      </w:r>
      <w:proofErr w:type="spellStart"/>
      <w:r w:rsidRPr="00EE4712">
        <w:rPr>
          <w:rFonts w:ascii="Times New Roman" w:hAnsi="Times New Roman" w:cs="Times New Roman"/>
          <w:lang w:val="en-US"/>
        </w:rPr>
        <w:t>polymorphonuclear</w:t>
      </w:r>
      <w:proofErr w:type="spellEnd"/>
      <w:r w:rsidRPr="00EE4712">
        <w:rPr>
          <w:rFonts w:ascii="Times New Roman" w:hAnsi="Times New Roman" w:cs="Times New Roman"/>
          <w:lang w:val="en-US"/>
        </w:rPr>
        <w:t xml:space="preserve"> neutrophil; C: control, </w:t>
      </w:r>
      <w:proofErr w:type="spellStart"/>
      <w:proofErr w:type="gramStart"/>
      <w:r w:rsidRPr="00EE4712">
        <w:rPr>
          <w:rFonts w:ascii="Times New Roman" w:hAnsi="Times New Roman" w:cs="Times New Roman"/>
          <w:lang w:val="en-US"/>
        </w:rPr>
        <w:t>Inh</w:t>
      </w:r>
      <w:proofErr w:type="spellEnd"/>
      <w:proofErr w:type="gramEnd"/>
      <w:r w:rsidRPr="00EE4712">
        <w:rPr>
          <w:rFonts w:ascii="Times New Roman" w:hAnsi="Times New Roman" w:cs="Times New Roman"/>
          <w:lang w:val="en-US"/>
        </w:rPr>
        <w:t>: inhibitor, P: PLS patient, FU: fluorescence unit.</w:t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lang w:val="en-US"/>
        </w:rPr>
        <w:br w:type="page"/>
      </w:r>
      <w:bookmarkStart w:id="0" w:name="_GoBack"/>
      <w:bookmarkEnd w:id="0"/>
    </w:p>
    <w:p w:rsidR="007A6986" w:rsidRPr="00B60A9C" w:rsidRDefault="007B3709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781859</wp:posOffset>
            </wp:positionH>
            <wp:positionV relativeFrom="paragraph">
              <wp:posOffset>4095</wp:posOffset>
            </wp:positionV>
            <wp:extent cx="4351283" cy="5598344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060" cy="5601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60A9C">
        <w:rPr>
          <w:rFonts w:ascii="Times New Roman" w:hAnsi="Times New Roman" w:cs="Times New Roman"/>
          <w:b/>
          <w:lang w:val="en-US"/>
        </w:rPr>
        <w:t>Supp.Figure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4.</w:t>
      </w:r>
      <w:r w:rsidRPr="00B60A9C">
        <w:rPr>
          <w:rFonts w:ascii="Times New Roman" w:hAnsi="Times New Roman" w:cs="Times New Roman"/>
          <w:lang w:val="en-US"/>
        </w:rPr>
        <w:t xml:space="preserve"> Membrane exposure of PR3 on transported PLS neutrophils.</w:t>
      </w:r>
      <w:r w:rsidRPr="00B60A9C">
        <w:rPr>
          <w:rFonts w:ascii="Times New Roman" w:hAnsi="Times New Roman" w:cs="Times New Roman"/>
          <w:bCs/>
          <w:iCs/>
          <w:lang w:val="en-US"/>
        </w:rPr>
        <w:t xml:space="preserve"> PLS blood samples from various foreign countries that were available only after a 24-72h transit </w:t>
      </w:r>
      <w:r w:rsidR="00E92C29">
        <w:rPr>
          <w:rFonts w:ascii="Times New Roman" w:hAnsi="Times New Roman" w:cs="Times New Roman"/>
          <w:bCs/>
          <w:iCs/>
          <w:lang w:val="en-US"/>
        </w:rPr>
        <w:t xml:space="preserve">following their collection </w:t>
      </w:r>
      <w:proofErr w:type="gramStart"/>
      <w:r w:rsidR="00E92C29">
        <w:rPr>
          <w:rFonts w:ascii="Times New Roman" w:hAnsi="Times New Roman" w:cs="Times New Roman"/>
          <w:bCs/>
          <w:iCs/>
          <w:lang w:val="en-US"/>
        </w:rPr>
        <w:t xml:space="preserve">were </w:t>
      </w:r>
      <w:r w:rsidRPr="00B60A9C">
        <w:rPr>
          <w:rFonts w:ascii="Times New Roman" w:hAnsi="Times New Roman" w:cs="Times New Roman"/>
          <w:bCs/>
          <w:iCs/>
          <w:lang w:val="en-US"/>
        </w:rPr>
        <w:t>used</w:t>
      </w:r>
      <w:proofErr w:type="gramEnd"/>
      <w:r w:rsidRPr="00B60A9C">
        <w:rPr>
          <w:rFonts w:ascii="Times New Roman" w:hAnsi="Times New Roman" w:cs="Times New Roman"/>
          <w:bCs/>
          <w:iCs/>
          <w:lang w:val="en-US"/>
        </w:rPr>
        <w:t xml:space="preserve">. </w:t>
      </w:r>
      <w:r w:rsidRPr="00B60A9C">
        <w:rPr>
          <w:rFonts w:ascii="Times New Roman" w:hAnsi="Times New Roman" w:cs="Times New Roman"/>
          <w:lang w:val="en-US"/>
        </w:rPr>
        <w:t xml:space="preserve"> (A) PR3 exposure on neutrophils </w:t>
      </w:r>
      <w:proofErr w:type="gramStart"/>
      <w:r w:rsidRPr="00B60A9C">
        <w:rPr>
          <w:rFonts w:ascii="Times New Roman" w:hAnsi="Times New Roman" w:cs="Times New Roman"/>
          <w:lang w:val="en-US"/>
        </w:rPr>
        <w:t>was investigated</w:t>
      </w:r>
      <w:proofErr w:type="gramEnd"/>
      <w:r w:rsidRPr="00B60A9C">
        <w:rPr>
          <w:rFonts w:ascii="Times New Roman" w:hAnsi="Times New Roman" w:cs="Times New Roman"/>
          <w:lang w:val="en-US"/>
        </w:rPr>
        <w:t xml:space="preserve"> by flow cytometry. Controls </w:t>
      </w:r>
      <w:proofErr w:type="gramStart"/>
      <w:r w:rsidRPr="00B60A9C">
        <w:rPr>
          <w:rFonts w:ascii="Times New Roman" w:hAnsi="Times New Roman" w:cs="Times New Roman"/>
          <w:lang w:val="en-US"/>
        </w:rPr>
        <w:t>were randomly selected</w:t>
      </w:r>
      <w:proofErr w:type="gramEnd"/>
      <w:r w:rsidRPr="00B60A9C">
        <w:rPr>
          <w:rFonts w:ascii="Times New Roman" w:hAnsi="Times New Roman" w:cs="Times New Roman"/>
          <w:lang w:val="en-US"/>
        </w:rPr>
        <w:t xml:space="preserve"> in the local environment of the patient. (B) Mean fluorescence intensity values for PR3</w:t>
      </w:r>
      <w:r w:rsidRPr="00B60A9C">
        <w:rPr>
          <w:rFonts w:ascii="Times New Roman" w:hAnsi="Times New Roman" w:cs="Times New Roman"/>
          <w:vertAlign w:val="superscript"/>
          <w:lang w:val="en-US"/>
        </w:rPr>
        <w:t>m</w:t>
      </w:r>
      <w:r w:rsidRPr="00B60A9C">
        <w:rPr>
          <w:rFonts w:ascii="Times New Roman" w:hAnsi="Times New Roman" w:cs="Times New Roman"/>
          <w:lang w:val="en-US"/>
        </w:rPr>
        <w:t xml:space="preserve"> on PLS and healthy neutrophils</w:t>
      </w:r>
      <w:r w:rsidRPr="007B3709">
        <w:rPr>
          <w:rFonts w:ascii="Times New Roman" w:hAnsi="Times New Roman" w:cs="Times New Roman"/>
          <w:lang w:val="en-US"/>
        </w:rPr>
        <w:t>. Bar indicates mean ± S</w:t>
      </w:r>
      <w:r w:rsidR="007B3709" w:rsidRPr="007B3709">
        <w:rPr>
          <w:rFonts w:ascii="Times New Roman" w:hAnsi="Times New Roman" w:cs="Times New Roman"/>
          <w:lang w:val="en-US"/>
        </w:rPr>
        <w:t>.D.</w:t>
      </w:r>
      <w:r w:rsidRPr="007B3709">
        <w:rPr>
          <w:rFonts w:ascii="Times New Roman" w:hAnsi="Times New Roman" w:cs="Times New Roman"/>
          <w:lang w:val="en-US"/>
        </w:rPr>
        <w:t xml:space="preserve"> value of each condition and asterisks the p-value of </w:t>
      </w:r>
      <w:r w:rsidRPr="007B3709">
        <w:rPr>
          <w:rFonts w:ascii="Times New Roman" w:hAnsi="Times New Roman" w:cs="Times New Roman"/>
          <w:i/>
          <w:lang w:val="en-US"/>
        </w:rPr>
        <w:t xml:space="preserve">t </w:t>
      </w:r>
      <w:r w:rsidRPr="007B3709">
        <w:rPr>
          <w:rFonts w:ascii="Times New Roman" w:hAnsi="Times New Roman" w:cs="Times New Roman"/>
          <w:lang w:val="en-US"/>
        </w:rPr>
        <w:t>test (p</w:t>
      </w:r>
      <w:r w:rsidRPr="007B3709">
        <w:rPr>
          <w:rFonts w:ascii="Times New Roman" w:hAnsi="Times New Roman" w:cs="Times New Roman"/>
          <w:sz w:val="20"/>
          <w:lang w:val="en-US"/>
        </w:rPr>
        <w:t>&lt;</w:t>
      </w:r>
      <w:r w:rsidR="007B3709" w:rsidRPr="007B3709">
        <w:rPr>
          <w:rFonts w:ascii="Times New Roman" w:hAnsi="Times New Roman" w:cs="Times New Roman"/>
          <w:lang w:val="en-US"/>
        </w:rPr>
        <w:t xml:space="preserve"> 0.05</w:t>
      </w:r>
      <w:proofErr w:type="gramStart"/>
      <w:r w:rsidR="007B3709" w:rsidRPr="007B3709">
        <w:rPr>
          <w:rFonts w:ascii="Times New Roman" w:hAnsi="Times New Roman" w:cs="Times New Roman"/>
          <w:lang w:val="en-US"/>
        </w:rPr>
        <w:t>,*</w:t>
      </w:r>
      <w:proofErr w:type="gramEnd"/>
      <w:r w:rsidR="007B3709" w:rsidRPr="007B3709">
        <w:rPr>
          <w:rFonts w:ascii="Times New Roman" w:hAnsi="Times New Roman" w:cs="Times New Roman"/>
          <w:lang w:val="en-US"/>
        </w:rPr>
        <w:t>*</w:t>
      </w:r>
      <w:r w:rsidRPr="007B3709">
        <w:rPr>
          <w:rFonts w:ascii="Times New Roman" w:hAnsi="Times New Roman" w:cs="Times New Roman"/>
          <w:lang w:val="en-US"/>
        </w:rPr>
        <w:t>). C: co</w:t>
      </w:r>
      <w:r w:rsidRPr="00B60A9C">
        <w:rPr>
          <w:rFonts w:ascii="Times New Roman" w:hAnsi="Times New Roman" w:cs="Times New Roman"/>
          <w:lang w:val="en-US"/>
        </w:rPr>
        <w:t xml:space="preserve">ntrol (n=3), P: PLS patient (n=7). </w:t>
      </w:r>
    </w:p>
    <w:p w:rsidR="007A6986" w:rsidRPr="00B60A9C" w:rsidRDefault="007A6986" w:rsidP="007A6986">
      <w:pPr>
        <w:spacing w:after="0" w:line="240" w:lineRule="auto"/>
        <w:rPr>
          <w:lang w:val="en-US"/>
        </w:rPr>
      </w:pPr>
      <w:r w:rsidRPr="00B60A9C">
        <w:rPr>
          <w:lang w:val="en-US"/>
        </w:rPr>
        <w:br w:type="page"/>
      </w:r>
    </w:p>
    <w:p w:rsidR="007A6986" w:rsidRPr="00B60A9C" w:rsidRDefault="007A6986" w:rsidP="007A698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B60A9C">
        <w:rPr>
          <w:rFonts w:ascii="Times New Roman" w:hAnsi="Times New Roman" w:cs="Times New Roman"/>
          <w:b/>
          <w:lang w:val="en-US"/>
        </w:rPr>
        <w:t xml:space="preserve">     </w:t>
      </w: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B60A9C">
        <w:rPr>
          <w:rFonts w:ascii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61312" behindDoc="0" locked="0" layoutInCell="1" allowOverlap="1" wp14:anchorId="5665F8C4" wp14:editId="21054FC5">
            <wp:simplePos x="0" y="0"/>
            <wp:positionH relativeFrom="margin">
              <wp:posOffset>2540</wp:posOffset>
            </wp:positionH>
            <wp:positionV relativeFrom="paragraph">
              <wp:posOffset>52070</wp:posOffset>
            </wp:positionV>
            <wp:extent cx="1797050" cy="3808095"/>
            <wp:effectExtent l="0" t="0" r="0" b="1905"/>
            <wp:wrapThrough wrapText="bothSides">
              <wp:wrapPolygon edited="0">
                <wp:start x="1374" y="0"/>
                <wp:lineTo x="1603" y="19018"/>
                <wp:lineTo x="687" y="20206"/>
                <wp:lineTo x="687" y="21503"/>
                <wp:lineTo x="21295" y="21503"/>
                <wp:lineTo x="21295" y="20206"/>
                <wp:lineTo x="20837" y="0"/>
                <wp:lineTo x="1374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64"/>
                    <a:stretch/>
                  </pic:blipFill>
                  <pic:spPr bwMode="auto">
                    <a:xfrm>
                      <a:off x="0" y="0"/>
                      <a:ext cx="179705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60A9C">
        <w:rPr>
          <w:rFonts w:ascii="Times New Roman" w:hAnsi="Times New Roman" w:cs="Times New Roman"/>
          <w:b/>
          <w:lang w:val="en-US"/>
        </w:rPr>
        <w:t>Supp.Figure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5.</w:t>
      </w:r>
      <w:r w:rsidRPr="00B60A9C">
        <w:rPr>
          <w:rFonts w:ascii="Times New Roman" w:hAnsi="Times New Roman" w:cs="Times New Roman"/>
          <w:lang w:val="en-US"/>
        </w:rPr>
        <w:t xml:space="preserve"> Flow cytometry analysis of the membrane exposure of PR3 on transported PLS (P) neutrophils before and after activation. The unimodal distribution of PR3 at the surface of transported PLS neutrophils (</w:t>
      </w:r>
      <w:r w:rsidRPr="00B60A9C">
        <w:rPr>
          <w:rFonts w:ascii="Times New Roman" w:hAnsi="Times New Roman" w:cs="Times New Roman"/>
          <w:i/>
          <w:lang w:val="en-US"/>
        </w:rPr>
        <w:t>dotted line</w:t>
      </w:r>
      <w:r w:rsidRPr="00B60A9C">
        <w:rPr>
          <w:rFonts w:ascii="Times New Roman" w:hAnsi="Times New Roman" w:cs="Times New Roman"/>
          <w:lang w:val="en-US"/>
        </w:rPr>
        <w:t>) and the absence of further significant PR3 exposure following A23187 treatment (</w:t>
      </w:r>
      <w:r w:rsidRPr="00B60A9C">
        <w:rPr>
          <w:rFonts w:ascii="Times New Roman" w:hAnsi="Times New Roman" w:cs="Times New Roman"/>
          <w:i/>
          <w:lang w:val="en-US"/>
        </w:rPr>
        <w:t>continuous line</w:t>
      </w:r>
      <w:r w:rsidRPr="00B60A9C">
        <w:rPr>
          <w:rFonts w:ascii="Times New Roman" w:hAnsi="Times New Roman" w:cs="Times New Roman"/>
          <w:lang w:val="en-US"/>
        </w:rPr>
        <w:t xml:space="preserve">). </w:t>
      </w:r>
      <w:r w:rsidRPr="00B60A9C">
        <w:rPr>
          <w:rFonts w:ascii="Times New Roman" w:hAnsi="Times New Roman" w:cs="Times New Roman"/>
          <w:lang w:val="en-US"/>
        </w:rPr>
        <w:br w:type="page"/>
      </w: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  <w:r w:rsidRPr="00B60A9C">
        <w:rPr>
          <w:noProof/>
          <w:lang w:eastAsia="fr-FR"/>
        </w:rPr>
        <w:lastRenderedPageBreak/>
        <w:drawing>
          <wp:anchor distT="0" distB="8890" distL="114300" distR="120650" simplePos="0" relativeHeight="251660288" behindDoc="0" locked="0" layoutInCell="1" allowOverlap="1" wp14:anchorId="63D206DD" wp14:editId="0B5E455F">
            <wp:simplePos x="0" y="0"/>
            <wp:positionH relativeFrom="margin">
              <wp:posOffset>-798195</wp:posOffset>
            </wp:positionH>
            <wp:positionV relativeFrom="paragraph">
              <wp:posOffset>192405</wp:posOffset>
            </wp:positionV>
            <wp:extent cx="7315200" cy="1496060"/>
            <wp:effectExtent l="0" t="0" r="0" b="8890"/>
            <wp:wrapNone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r="2456"/>
                    <a:stretch/>
                  </pic:blipFill>
                  <pic:spPr bwMode="auto">
                    <a:xfrm>
                      <a:off x="0" y="0"/>
                      <a:ext cx="7315200" cy="149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rPr>
          <w:noProof/>
          <w:lang w:val="en-US" w:eastAsia="fr-FR"/>
        </w:rPr>
      </w:pPr>
    </w:p>
    <w:p w:rsidR="007A6986" w:rsidRPr="00B60A9C" w:rsidRDefault="007A6986" w:rsidP="007A698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 w:rsidRPr="00B60A9C">
        <w:rPr>
          <w:rFonts w:ascii="Times New Roman" w:hAnsi="Times New Roman" w:cs="Times New Roman"/>
          <w:b/>
          <w:lang w:val="en-US"/>
        </w:rPr>
        <w:t>Supp.Figure</w:t>
      </w:r>
      <w:proofErr w:type="spellEnd"/>
      <w:r w:rsidRPr="00B60A9C">
        <w:rPr>
          <w:rFonts w:ascii="Times New Roman" w:hAnsi="Times New Roman" w:cs="Times New Roman"/>
          <w:b/>
          <w:lang w:val="en-US"/>
        </w:rPr>
        <w:t xml:space="preserve"> 6.</w:t>
      </w:r>
      <w:r w:rsidRPr="00B60A9C">
        <w:rPr>
          <w:rFonts w:ascii="Times New Roman" w:hAnsi="Times New Roman" w:cs="Times New Roman"/>
          <w:lang w:val="en-US"/>
        </w:rPr>
        <w:t xml:space="preserve"> Gating strategies. WBC were isolated from EDTA-whole blood by red blood cells lysis. T cells and dead cells </w:t>
      </w:r>
      <w:proofErr w:type="gramStart"/>
      <w:r w:rsidRPr="00B60A9C">
        <w:rPr>
          <w:rFonts w:ascii="Times New Roman" w:hAnsi="Times New Roman" w:cs="Times New Roman"/>
          <w:lang w:val="en-US"/>
        </w:rPr>
        <w:t>were excluded</w:t>
      </w:r>
      <w:proofErr w:type="gramEnd"/>
      <w:r w:rsidRPr="00B60A9C">
        <w:rPr>
          <w:rFonts w:ascii="Times New Roman" w:hAnsi="Times New Roman" w:cs="Times New Roman"/>
          <w:lang w:val="en-US"/>
        </w:rPr>
        <w:t xml:space="preserve"> using anti-CD3 Ab and </w:t>
      </w:r>
      <w:proofErr w:type="spellStart"/>
      <w:r w:rsidRPr="00B60A9C">
        <w:rPr>
          <w:rFonts w:ascii="Times New Roman" w:hAnsi="Times New Roman" w:cs="Times New Roman"/>
          <w:bCs/>
          <w:shd w:val="clear" w:color="auto" w:fill="FFFFFF"/>
          <w:lang w:val="en-US"/>
        </w:rPr>
        <w:t>Viobility</w:t>
      </w:r>
      <w:proofErr w:type="spellEnd"/>
      <w:r w:rsidRPr="00B60A9C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405/520 Fixable Dye. The remaining cells </w:t>
      </w:r>
      <w:proofErr w:type="gramStart"/>
      <w:r w:rsidRPr="00B60A9C">
        <w:rPr>
          <w:rFonts w:ascii="Times New Roman" w:hAnsi="Times New Roman" w:cs="Times New Roman"/>
          <w:bCs/>
          <w:shd w:val="clear" w:color="auto" w:fill="FFFFFF"/>
          <w:lang w:val="en-US"/>
        </w:rPr>
        <w:t>were analyzed</w:t>
      </w:r>
      <w:proofErr w:type="gramEnd"/>
      <w:r w:rsidRPr="00B60A9C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 for the expression of CD15, a neutrophil marker. The percentages of cells in each of the specified gates </w:t>
      </w:r>
      <w:proofErr w:type="gramStart"/>
      <w:r w:rsidRPr="00B60A9C">
        <w:rPr>
          <w:rFonts w:ascii="Times New Roman" w:hAnsi="Times New Roman" w:cs="Times New Roman"/>
          <w:bCs/>
          <w:shd w:val="clear" w:color="auto" w:fill="FFFFFF"/>
          <w:lang w:val="en-US"/>
        </w:rPr>
        <w:t>are indicated</w:t>
      </w:r>
      <w:proofErr w:type="gramEnd"/>
      <w:r w:rsidRPr="00B60A9C">
        <w:rPr>
          <w:rFonts w:ascii="Times New Roman" w:hAnsi="Times New Roman" w:cs="Times New Roman"/>
          <w:bCs/>
          <w:shd w:val="clear" w:color="auto" w:fill="FFFFFF"/>
          <w:lang w:val="en-US"/>
        </w:rPr>
        <w:t xml:space="preserve">. </w:t>
      </w:r>
      <w:r w:rsidRPr="00B60A9C">
        <w:rPr>
          <w:rFonts w:ascii="Times New Roman" w:hAnsi="Times New Roman" w:cs="Times New Roman"/>
          <w:lang w:val="en-US"/>
        </w:rPr>
        <w:t xml:space="preserve"> </w:t>
      </w:r>
    </w:p>
    <w:p w:rsidR="00037B54" w:rsidRPr="00B60A9C" w:rsidRDefault="00037B54">
      <w:pPr>
        <w:rPr>
          <w:lang w:val="en-US"/>
        </w:rPr>
      </w:pPr>
    </w:p>
    <w:sectPr w:rsidR="00037B54" w:rsidRPr="00B60A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86"/>
    <w:rsid w:val="00037B54"/>
    <w:rsid w:val="006461A7"/>
    <w:rsid w:val="00791052"/>
    <w:rsid w:val="007A6986"/>
    <w:rsid w:val="007B3709"/>
    <w:rsid w:val="008D4775"/>
    <w:rsid w:val="00B331A9"/>
    <w:rsid w:val="00B60A9C"/>
    <w:rsid w:val="00B61530"/>
    <w:rsid w:val="00C8501F"/>
    <w:rsid w:val="00E92C29"/>
    <w:rsid w:val="00EE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CCEA9-A0E8-4B63-A695-05267341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986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ccentuation1">
    <w:name w:val="Accentuation1"/>
    <w:basedOn w:val="Policepardfaut"/>
    <w:uiPriority w:val="20"/>
    <w:qFormat/>
    <w:rsid w:val="007A69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CD5BF555</Template>
  <TotalTime>68</TotalTime>
  <Pages>7</Pages>
  <Words>739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</dc:creator>
  <cp:keywords/>
  <dc:description/>
  <cp:lastModifiedBy>Brice Korkmaz</cp:lastModifiedBy>
  <cp:revision>7</cp:revision>
  <dcterms:created xsi:type="dcterms:W3CDTF">2018-06-18T08:16:00Z</dcterms:created>
  <dcterms:modified xsi:type="dcterms:W3CDTF">2018-06-19T14:30:00Z</dcterms:modified>
</cp:coreProperties>
</file>