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438769" w14:textId="77777777" w:rsidR="000C27A4" w:rsidRPr="00727770" w:rsidRDefault="000C27A4" w:rsidP="000C27A4">
      <w:pPr>
        <w:spacing w:line="480" w:lineRule="auto"/>
        <w:jc w:val="both"/>
      </w:pPr>
      <w:bookmarkStart w:id="0" w:name="_GoBack"/>
      <w:bookmarkEnd w:id="0"/>
      <w:r w:rsidRPr="00B76419">
        <w:rPr>
          <w:b/>
        </w:rPr>
        <w:t>Supplementary Table 1</w:t>
      </w:r>
      <w:r w:rsidRPr="00B76419">
        <w:t>:</w:t>
      </w:r>
    </w:p>
    <w:p w14:paraId="48AEB9EF" w14:textId="77777777" w:rsidR="000C27A4" w:rsidRPr="00B76419" w:rsidRDefault="000C27A4" w:rsidP="000C27A4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0"/>
        <w:gridCol w:w="922"/>
        <w:gridCol w:w="1425"/>
        <w:gridCol w:w="1346"/>
        <w:gridCol w:w="1048"/>
        <w:gridCol w:w="1562"/>
        <w:gridCol w:w="1427"/>
      </w:tblGrid>
      <w:tr w:rsidR="00B32A33" w:rsidRPr="00B76419" w14:paraId="3F8AB3CE" w14:textId="305C2366" w:rsidTr="0033230B"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1FEA27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DLBCL</w:t>
            </w:r>
            <w:r w:rsidRPr="00B76419">
              <w:rPr>
                <w:b/>
                <w:color w:val="000000" w:themeColor="text1"/>
                <w:sz w:val="20"/>
                <w:szCs w:val="20"/>
                <w:vertAlign w:val="superscript"/>
              </w:rPr>
              <w:t>@</w:t>
            </w:r>
          </w:p>
        </w:tc>
        <w:tc>
          <w:tcPr>
            <w:tcW w:w="922" w:type="dxa"/>
          </w:tcPr>
          <w:p w14:paraId="4D66BC53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EBV</w:t>
            </w:r>
          </w:p>
        </w:tc>
        <w:tc>
          <w:tcPr>
            <w:tcW w:w="1425" w:type="dxa"/>
            <w:hideMark/>
          </w:tcPr>
          <w:p w14:paraId="79539431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EBNA2 </w:t>
            </w:r>
          </w:p>
        </w:tc>
        <w:tc>
          <w:tcPr>
            <w:tcW w:w="1346" w:type="dxa"/>
            <w:hideMark/>
          </w:tcPr>
          <w:p w14:paraId="1669060D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</w:rPr>
              <w:t>Type</w:t>
            </w:r>
          </w:p>
        </w:tc>
        <w:tc>
          <w:tcPr>
            <w:tcW w:w="1048" w:type="dxa"/>
            <w:hideMark/>
          </w:tcPr>
          <w:p w14:paraId="1CAC007E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PD</w:t>
            </w:r>
            <w:r>
              <w:rPr>
                <w:b/>
                <w:color w:val="000000" w:themeColor="text1"/>
                <w:sz w:val="20"/>
                <w:szCs w:val="20"/>
              </w:rPr>
              <w:t>-L</w:t>
            </w:r>
            <w:r w:rsidRPr="00B76419">
              <w:rPr>
                <w:b/>
                <w:color w:val="000000" w:themeColor="text1"/>
                <w:sz w:val="20"/>
                <w:szCs w:val="20"/>
              </w:rPr>
              <w:t>1</w:t>
            </w:r>
          </w:p>
          <w:p w14:paraId="3B35D470" w14:textId="0D9B94F4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staining</w:t>
            </w:r>
          </w:p>
        </w:tc>
        <w:tc>
          <w:tcPr>
            <w:tcW w:w="1562" w:type="dxa"/>
            <w:hideMark/>
          </w:tcPr>
          <w:p w14:paraId="1B2397FE" w14:textId="75737EEB" w:rsidR="00B32A33" w:rsidRPr="000D4F31" w:rsidRDefault="00B32A33" w:rsidP="000D4F31">
            <w:pPr>
              <w:jc w:val="both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% </w:t>
            </w:r>
            <w:r w:rsidRPr="00B76419">
              <w:rPr>
                <w:b/>
                <w:color w:val="000000" w:themeColor="text1"/>
                <w:sz w:val="20"/>
                <w:szCs w:val="20"/>
              </w:rPr>
              <w:t>PD</w:t>
            </w:r>
            <w:r>
              <w:rPr>
                <w:b/>
                <w:color w:val="000000" w:themeColor="text1"/>
                <w:sz w:val="20"/>
                <w:szCs w:val="20"/>
              </w:rPr>
              <w:t>-L</w:t>
            </w:r>
            <w:r w:rsidRPr="00B76419">
              <w:rPr>
                <w:b/>
                <w:color w:val="000000" w:themeColor="text1"/>
                <w:sz w:val="20"/>
                <w:szCs w:val="20"/>
              </w:rPr>
              <w:t>1</w:t>
            </w:r>
            <w:r>
              <w:rPr>
                <w:b/>
                <w:color w:val="000000" w:themeColor="text1"/>
                <w:sz w:val="20"/>
              </w:rPr>
              <w:t xml:space="preserve"> positive cells*</w:t>
            </w:r>
          </w:p>
        </w:tc>
        <w:tc>
          <w:tcPr>
            <w:tcW w:w="1427" w:type="dxa"/>
          </w:tcPr>
          <w:p w14:paraId="0184CD1B" w14:textId="22C73461" w:rsidR="00B32A33" w:rsidRDefault="00B32A33" w:rsidP="0033230B">
            <w:pPr>
              <w:jc w:val="both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% </w:t>
            </w:r>
            <w:r>
              <w:rPr>
                <w:b/>
                <w:color w:val="000000" w:themeColor="text1"/>
                <w:sz w:val="20"/>
              </w:rPr>
              <w:t>intensely stained cells for PD-L1</w:t>
            </w:r>
          </w:p>
          <w:p w14:paraId="24AE0A71" w14:textId="02E28A7A" w:rsidR="00B32A33" w:rsidRDefault="00B32A33" w:rsidP="0033230B">
            <w:pPr>
              <w:jc w:val="both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(2+, 3+)*</w:t>
            </w:r>
          </w:p>
          <w:p w14:paraId="59C6DAB7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B32A33" w:rsidRPr="00B76419" w14:paraId="16A3AEE3" w14:textId="6950D74D" w:rsidTr="00915ABC">
        <w:trPr>
          <w:trHeight w:val="780"/>
        </w:trPr>
        <w:tc>
          <w:tcPr>
            <w:tcW w:w="1130" w:type="dxa"/>
            <w:tcBorders>
              <w:top w:val="single" w:sz="4" w:space="0" w:color="auto"/>
            </w:tcBorders>
            <w:hideMark/>
          </w:tcPr>
          <w:p w14:paraId="01934A05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22" w:type="dxa"/>
          </w:tcPr>
          <w:p w14:paraId="0A8B5A51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+</w:t>
            </w:r>
          </w:p>
        </w:tc>
        <w:tc>
          <w:tcPr>
            <w:tcW w:w="1425" w:type="dxa"/>
            <w:hideMark/>
          </w:tcPr>
          <w:p w14:paraId="1F148742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EBNA2+</w:t>
            </w:r>
          </w:p>
          <w:p w14:paraId="7195A5EF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Latency III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hideMark/>
          </w:tcPr>
          <w:p w14:paraId="150BB7CD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N</w:t>
            </w:r>
            <w:r w:rsidRPr="0047014B">
              <w:rPr>
                <w:b/>
                <w:color w:val="000000" w:themeColor="text1"/>
                <w:sz w:val="20"/>
              </w:rPr>
              <w:t>on</w:t>
            </w:r>
            <w:r w:rsidRPr="00B76419">
              <w:rPr>
                <w:b/>
                <w:color w:val="000000" w:themeColor="text1"/>
                <w:sz w:val="20"/>
                <w:szCs w:val="20"/>
              </w:rPr>
              <w:t>-GC</w:t>
            </w:r>
          </w:p>
          <w:p w14:paraId="7D96F9FA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48" w:type="dxa"/>
            <w:hideMark/>
          </w:tcPr>
          <w:p w14:paraId="328E29DA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5/5</w:t>
            </w:r>
          </w:p>
          <w:p w14:paraId="12E84FD0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(100%)</w:t>
            </w:r>
          </w:p>
        </w:tc>
        <w:tc>
          <w:tcPr>
            <w:tcW w:w="1562" w:type="dxa"/>
            <w:hideMark/>
          </w:tcPr>
          <w:p w14:paraId="754A9A34" w14:textId="6AD8EC30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100§</w:t>
            </w:r>
          </w:p>
          <w:p w14:paraId="57661B31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99</w:t>
            </w:r>
          </w:p>
          <w:p w14:paraId="17E99919" w14:textId="43C4E8DE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99</w:t>
            </w:r>
          </w:p>
          <w:p w14:paraId="4A0AAD35" w14:textId="71C9392C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427" w:type="dxa"/>
          </w:tcPr>
          <w:p w14:paraId="7603846E" w14:textId="5218F6F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86§</w:t>
            </w:r>
          </w:p>
          <w:p w14:paraId="1034665B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60</w:t>
            </w:r>
          </w:p>
          <w:p w14:paraId="5D6096B6" w14:textId="60361E70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64</w:t>
            </w:r>
          </w:p>
        </w:tc>
      </w:tr>
      <w:tr w:rsidR="00B32A33" w:rsidRPr="00B76419" w14:paraId="11A2C308" w14:textId="5D82B9FA" w:rsidTr="0033230B">
        <w:trPr>
          <w:trHeight w:val="568"/>
        </w:trPr>
        <w:tc>
          <w:tcPr>
            <w:tcW w:w="1130" w:type="dxa"/>
            <w:hideMark/>
          </w:tcPr>
          <w:p w14:paraId="2078EBC5" w14:textId="45476D3A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22" w:type="dxa"/>
          </w:tcPr>
          <w:p w14:paraId="59F9ABF9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+ </w:t>
            </w:r>
          </w:p>
        </w:tc>
        <w:tc>
          <w:tcPr>
            <w:tcW w:w="1425" w:type="dxa"/>
            <w:hideMark/>
          </w:tcPr>
          <w:p w14:paraId="5A474D44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EBNA2-</w:t>
            </w:r>
          </w:p>
          <w:p w14:paraId="7C6C136C" w14:textId="73FB61E8" w:rsidR="00B32A33" w:rsidRPr="00B76419" w:rsidRDefault="00B32A33" w:rsidP="006175CC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47014B">
              <w:rPr>
                <w:b/>
                <w:color w:val="000000" w:themeColor="text1"/>
                <w:sz w:val="20"/>
              </w:rPr>
              <w:t>LatencyII</w:t>
            </w:r>
            <w:r>
              <w:rPr>
                <w:b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346" w:type="dxa"/>
            <w:hideMark/>
          </w:tcPr>
          <w:p w14:paraId="593221C0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Non</w:t>
            </w:r>
            <w:r w:rsidRPr="00B76419">
              <w:rPr>
                <w:b/>
                <w:color w:val="000000" w:themeColor="text1"/>
                <w:sz w:val="20"/>
                <w:szCs w:val="20"/>
              </w:rPr>
              <w:t>-GC</w:t>
            </w:r>
          </w:p>
        </w:tc>
        <w:tc>
          <w:tcPr>
            <w:tcW w:w="1048" w:type="dxa"/>
            <w:hideMark/>
          </w:tcPr>
          <w:p w14:paraId="428F4E56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 xml:space="preserve">6/6 </w:t>
            </w:r>
          </w:p>
          <w:p w14:paraId="0EBD1901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(100%)</w:t>
            </w:r>
          </w:p>
        </w:tc>
        <w:tc>
          <w:tcPr>
            <w:tcW w:w="1562" w:type="dxa"/>
            <w:hideMark/>
          </w:tcPr>
          <w:p w14:paraId="0D49159B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87</w:t>
            </w:r>
          </w:p>
          <w:p w14:paraId="5D310532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88</w:t>
            </w:r>
          </w:p>
          <w:p w14:paraId="2CC4B6BA" w14:textId="0EA3320C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427" w:type="dxa"/>
          </w:tcPr>
          <w:p w14:paraId="1E0F3B8B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18</w:t>
            </w:r>
          </w:p>
          <w:p w14:paraId="517DB722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24</w:t>
            </w:r>
          </w:p>
          <w:p w14:paraId="7B25A14E" w14:textId="6EF5E6BD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20</w:t>
            </w:r>
          </w:p>
        </w:tc>
      </w:tr>
      <w:tr w:rsidR="00B32A33" w:rsidRPr="00B76419" w14:paraId="57168B51" w14:textId="6DAA2658" w:rsidTr="0033230B">
        <w:tc>
          <w:tcPr>
            <w:tcW w:w="1130" w:type="dxa"/>
            <w:hideMark/>
          </w:tcPr>
          <w:p w14:paraId="2C20CBFF" w14:textId="5EE76AB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922" w:type="dxa"/>
          </w:tcPr>
          <w:p w14:paraId="013EB10F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1425" w:type="dxa"/>
            <w:hideMark/>
          </w:tcPr>
          <w:p w14:paraId="5D1B417F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 xml:space="preserve">EBV-  </w:t>
            </w:r>
          </w:p>
        </w:tc>
        <w:tc>
          <w:tcPr>
            <w:tcW w:w="1346" w:type="dxa"/>
          </w:tcPr>
          <w:p w14:paraId="79AC960D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Non-GC</w:t>
            </w:r>
          </w:p>
        </w:tc>
        <w:tc>
          <w:tcPr>
            <w:tcW w:w="1048" w:type="dxa"/>
            <w:hideMark/>
          </w:tcPr>
          <w:p w14:paraId="39B5AE27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 xml:space="preserve">8/10 </w:t>
            </w:r>
          </w:p>
          <w:p w14:paraId="09E6E53D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(80%)</w:t>
            </w:r>
          </w:p>
        </w:tc>
        <w:tc>
          <w:tcPr>
            <w:tcW w:w="1562" w:type="dxa"/>
            <w:hideMark/>
          </w:tcPr>
          <w:p w14:paraId="5D8571DA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35</w:t>
            </w:r>
          </w:p>
          <w:p w14:paraId="024DDDFB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30</w:t>
            </w:r>
          </w:p>
          <w:p w14:paraId="593165AD" w14:textId="248443F5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427" w:type="dxa"/>
          </w:tcPr>
          <w:p w14:paraId="6AA1CEF4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</w:t>
            </w:r>
          </w:p>
          <w:p w14:paraId="34176787" w14:textId="77777777" w:rsidR="00B32A33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</w:p>
          <w:p w14:paraId="338DE54C" w14:textId="61ECBCEF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0</w:t>
            </w:r>
          </w:p>
        </w:tc>
      </w:tr>
      <w:tr w:rsidR="00B32A33" w:rsidRPr="00B76419" w14:paraId="219A5B26" w14:textId="65A25AAA" w:rsidTr="0033230B">
        <w:tc>
          <w:tcPr>
            <w:tcW w:w="1130" w:type="dxa"/>
            <w:hideMark/>
          </w:tcPr>
          <w:p w14:paraId="16EB8ABB" w14:textId="00EB6776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22" w:type="dxa"/>
          </w:tcPr>
          <w:p w14:paraId="6535D56A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-</w:t>
            </w:r>
          </w:p>
        </w:tc>
        <w:tc>
          <w:tcPr>
            <w:tcW w:w="1425" w:type="dxa"/>
            <w:hideMark/>
          </w:tcPr>
          <w:p w14:paraId="5D492729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 xml:space="preserve">EBV- </w:t>
            </w:r>
          </w:p>
        </w:tc>
        <w:tc>
          <w:tcPr>
            <w:tcW w:w="1346" w:type="dxa"/>
          </w:tcPr>
          <w:p w14:paraId="5A704010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GC</w:t>
            </w:r>
          </w:p>
        </w:tc>
        <w:tc>
          <w:tcPr>
            <w:tcW w:w="1048" w:type="dxa"/>
            <w:hideMark/>
          </w:tcPr>
          <w:p w14:paraId="47C248B2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3/6</w:t>
            </w:r>
          </w:p>
          <w:p w14:paraId="036BB926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PDL-1+</w:t>
            </w:r>
          </w:p>
          <w:p w14:paraId="56AA8A2B" w14:textId="77777777" w:rsidR="00B32A33" w:rsidRPr="00B76419" w:rsidRDefault="00B32A33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B76419">
              <w:rPr>
                <w:b/>
                <w:color w:val="000000" w:themeColor="text1"/>
                <w:sz w:val="20"/>
                <w:szCs w:val="20"/>
              </w:rPr>
              <w:t>(50%)</w:t>
            </w:r>
          </w:p>
        </w:tc>
        <w:tc>
          <w:tcPr>
            <w:tcW w:w="1562" w:type="dxa"/>
            <w:hideMark/>
          </w:tcPr>
          <w:p w14:paraId="0705D7F7" w14:textId="77777777" w:rsidR="004E25D5" w:rsidRDefault="004E25D5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  <w:p w14:paraId="144B236A" w14:textId="1CDD15B9" w:rsidR="00B32A33" w:rsidRPr="00B76419" w:rsidRDefault="004E25D5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27" w:type="dxa"/>
          </w:tcPr>
          <w:p w14:paraId="063AC9E5" w14:textId="77777777" w:rsidR="004E25D5" w:rsidRDefault="004E25D5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</w:p>
          <w:p w14:paraId="207D2598" w14:textId="689714CC" w:rsidR="00B32A33" w:rsidRPr="00B76419" w:rsidRDefault="004E25D5" w:rsidP="001876E9">
            <w:pPr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-</w:t>
            </w:r>
          </w:p>
        </w:tc>
      </w:tr>
    </w:tbl>
    <w:p w14:paraId="4C5FD6D0" w14:textId="77777777" w:rsidR="004740A3" w:rsidRDefault="004740A3" w:rsidP="000C27A4">
      <w:pPr>
        <w:jc w:val="both"/>
      </w:pPr>
    </w:p>
    <w:p w14:paraId="54D2121E" w14:textId="77777777" w:rsidR="000C27A4" w:rsidRPr="00B76419" w:rsidRDefault="000C27A4" w:rsidP="00A72947">
      <w:pPr>
        <w:jc w:val="both"/>
      </w:pPr>
      <w:r w:rsidRPr="00B76419">
        <w:t xml:space="preserve">@  A total of 27 DLBCLs (6 GC and 21 non-GC) were included in the study. The classification was done according to Hans Algorithm. </w:t>
      </w:r>
    </w:p>
    <w:p w14:paraId="1A0DEAD5" w14:textId="77777777" w:rsidR="000C27A4" w:rsidRPr="00B76419" w:rsidRDefault="000C27A4" w:rsidP="00A72947">
      <w:pPr>
        <w:jc w:val="both"/>
      </w:pPr>
    </w:p>
    <w:p w14:paraId="51F67CCC" w14:textId="55836E28" w:rsidR="001073CC" w:rsidRDefault="0085411D" w:rsidP="00A72947">
      <w:pPr>
        <w:jc w:val="both"/>
      </w:pPr>
      <w:r>
        <w:t xml:space="preserve">* </w:t>
      </w:r>
      <w:r w:rsidR="00A72A9D">
        <w:t>In three clinical samples representing each DLBCL category, namely EBV neg, EB</w:t>
      </w:r>
      <w:r w:rsidR="00714BCC">
        <w:t xml:space="preserve">V+/EBNA2- </w:t>
      </w:r>
      <w:r w:rsidR="00A72947">
        <w:t xml:space="preserve"> </w:t>
      </w:r>
      <w:r w:rsidR="00714BCC">
        <w:t xml:space="preserve"> </w:t>
      </w:r>
      <w:r w:rsidR="00A72947">
        <w:t xml:space="preserve">and </w:t>
      </w:r>
      <w:r w:rsidR="00714BCC">
        <w:t>EBV+/EB</w:t>
      </w:r>
      <w:r w:rsidR="00A72A9D">
        <w:t xml:space="preserve">NA2+ ABC DLBCL, the </w:t>
      </w:r>
      <w:r>
        <w:t xml:space="preserve">PD-L1 stained sections </w:t>
      </w:r>
      <w:r w:rsidRPr="0085411D">
        <w:rPr>
          <w:rFonts w:eastAsia="Times New Roman"/>
          <w:color w:val="222222"/>
          <w:shd w:val="clear" w:color="auto" w:fill="FFFFFF"/>
          <w:lang w:val="en-GB" w:eastAsia="it-IT"/>
        </w:rPr>
        <w:t>were digitalized at a 40X magnification using Aperio Scan Scope</w:t>
      </w:r>
      <w:r>
        <w:rPr>
          <w:rFonts w:eastAsia="Times New Roman"/>
          <w:color w:val="222222"/>
          <w:shd w:val="clear" w:color="auto" w:fill="FFFFFF"/>
          <w:lang w:val="en-GB" w:eastAsia="it-IT"/>
        </w:rPr>
        <w:t>.</w:t>
      </w:r>
      <w:r w:rsidRPr="00B76419">
        <w:t xml:space="preserve"> </w:t>
      </w:r>
    </w:p>
    <w:p w14:paraId="3DBFEC25" w14:textId="77777777" w:rsidR="001073CC" w:rsidRDefault="001073CC" w:rsidP="00A72947">
      <w:pPr>
        <w:jc w:val="both"/>
      </w:pPr>
    </w:p>
    <w:p w14:paraId="22F6B05E" w14:textId="192789C5" w:rsidR="000C27A4" w:rsidRPr="001073CC" w:rsidRDefault="001073CC" w:rsidP="00A72947">
      <w:pPr>
        <w:jc w:val="both"/>
      </w:pPr>
      <w:r>
        <w:t>§</w:t>
      </w:r>
      <w:r w:rsidR="00A72A9D">
        <w:t xml:space="preserve">The </w:t>
      </w:r>
      <w:r w:rsidR="00A72A9D">
        <w:rPr>
          <w:rFonts w:eastAsia="Times New Roman"/>
          <w:color w:val="222222"/>
          <w:shd w:val="clear" w:color="auto" w:fill="FFFFFF"/>
          <w:lang w:val="en-GB" w:eastAsia="it-IT"/>
        </w:rPr>
        <w:t>p</w:t>
      </w:r>
      <w:r w:rsidR="00C96E88" w:rsidRPr="0085411D">
        <w:rPr>
          <w:rFonts w:eastAsia="Times New Roman"/>
          <w:color w:val="222222"/>
          <w:shd w:val="clear" w:color="auto" w:fill="FFFFFF"/>
          <w:lang w:val="en-GB" w:eastAsia="it-IT"/>
        </w:rPr>
        <w:t xml:space="preserve">ercentage </w:t>
      </w:r>
      <w:r w:rsidR="00A72A9D">
        <w:rPr>
          <w:rFonts w:eastAsia="Times New Roman"/>
          <w:color w:val="222222"/>
          <w:shd w:val="clear" w:color="auto" w:fill="FFFFFF"/>
          <w:lang w:val="en-GB" w:eastAsia="it-IT"/>
        </w:rPr>
        <w:t xml:space="preserve">positivity </w:t>
      </w:r>
      <w:r w:rsidR="00C96E88" w:rsidRPr="0085411D">
        <w:rPr>
          <w:rFonts w:eastAsia="Times New Roman"/>
          <w:color w:val="222222"/>
          <w:shd w:val="clear" w:color="auto" w:fill="FFFFFF"/>
          <w:lang w:val="en-GB" w:eastAsia="it-IT"/>
        </w:rPr>
        <w:t xml:space="preserve">was calculated by counting positive cells in </w:t>
      </w:r>
      <w:r w:rsidR="00C96E88">
        <w:rPr>
          <w:rFonts w:eastAsia="Times New Roman"/>
          <w:color w:val="222222"/>
          <w:shd w:val="clear" w:color="auto" w:fill="FFFFFF"/>
          <w:lang w:val="en-GB" w:eastAsia="it-IT"/>
        </w:rPr>
        <w:t>three</w:t>
      </w:r>
      <w:r w:rsidR="00C96E88" w:rsidRPr="0085411D">
        <w:rPr>
          <w:rFonts w:eastAsia="Times New Roman"/>
          <w:color w:val="222222"/>
          <w:shd w:val="clear" w:color="auto" w:fill="FFFFFF"/>
          <w:lang w:val="en-GB" w:eastAsia="it-IT"/>
        </w:rPr>
        <w:t xml:space="preserve"> squared areas measuring 50000 μm</w:t>
      </w:r>
      <w:r w:rsidR="00C96E88" w:rsidRPr="0085411D">
        <w:rPr>
          <w:rFonts w:eastAsia="Times New Roman"/>
          <w:color w:val="222222"/>
          <w:shd w:val="clear" w:color="auto" w:fill="FFFFFF"/>
          <w:vertAlign w:val="superscript"/>
          <w:lang w:val="en-GB" w:eastAsia="it-IT"/>
        </w:rPr>
        <w:t>2</w:t>
      </w:r>
      <w:r w:rsidR="00DA40E5">
        <w:rPr>
          <w:rFonts w:eastAsia="Times New Roman"/>
          <w:color w:val="222222"/>
          <w:shd w:val="clear" w:color="auto" w:fill="FFFFFF"/>
          <w:vertAlign w:val="superscript"/>
          <w:lang w:val="en-GB" w:eastAsia="it-IT"/>
        </w:rPr>
        <w:t xml:space="preserve"> </w:t>
      </w:r>
      <w:r w:rsidR="004E25D5">
        <w:rPr>
          <w:rFonts w:eastAsia="Times New Roman"/>
          <w:color w:val="222222"/>
          <w:shd w:val="clear" w:color="auto" w:fill="FFFFFF"/>
          <w:lang w:val="en-GB" w:eastAsia="it-IT"/>
        </w:rPr>
        <w:t>in three different</w:t>
      </w:r>
      <w:r w:rsidR="00DA40E5">
        <w:rPr>
          <w:rFonts w:eastAsia="Times New Roman"/>
          <w:color w:val="222222"/>
          <w:shd w:val="clear" w:color="auto" w:fill="FFFFFF"/>
          <w:lang w:val="en-GB" w:eastAsia="it-IT"/>
        </w:rPr>
        <w:t xml:space="preserve"> sample</w:t>
      </w:r>
      <w:r w:rsidR="004E25D5">
        <w:rPr>
          <w:rFonts w:eastAsia="Times New Roman"/>
          <w:color w:val="222222"/>
          <w:shd w:val="clear" w:color="auto" w:fill="FFFFFF"/>
          <w:lang w:val="en-GB" w:eastAsia="it-IT"/>
        </w:rPr>
        <w:t>s of each category</w:t>
      </w:r>
      <w:r w:rsidR="00DA40E5">
        <w:rPr>
          <w:rFonts w:eastAsia="Times New Roman"/>
          <w:color w:val="222222"/>
          <w:shd w:val="clear" w:color="auto" w:fill="FFFFFF"/>
          <w:lang w:val="en-GB" w:eastAsia="it-IT"/>
        </w:rPr>
        <w:t>. On average about 500 cells per region were counted.</w:t>
      </w:r>
      <w:r w:rsidR="00C96E88" w:rsidRPr="001073CC">
        <w:rPr>
          <w:rFonts w:eastAsia="Times New Roman"/>
          <w:color w:val="222222"/>
          <w:shd w:val="clear" w:color="auto" w:fill="FFFFFF"/>
          <w:lang w:val="en-GB" w:eastAsia="it-IT"/>
        </w:rPr>
        <w:t xml:space="preserve"> In </w:t>
      </w:r>
      <w:r w:rsidR="008355C6">
        <w:rPr>
          <w:rFonts w:eastAsia="Times New Roman"/>
          <w:color w:val="222222"/>
          <w:shd w:val="clear" w:color="auto" w:fill="FFFFFF"/>
          <w:lang w:val="en-GB" w:eastAsia="it-IT"/>
        </w:rPr>
        <w:t>the same areas the number of</w:t>
      </w:r>
      <w:r w:rsidR="00C96E88" w:rsidRPr="001073CC">
        <w:rPr>
          <w:rFonts w:eastAsia="Times New Roman"/>
          <w:color w:val="222222"/>
          <w:shd w:val="clear" w:color="auto" w:fill="FFFFFF"/>
          <w:lang w:val="en-GB" w:eastAsia="it-IT"/>
        </w:rPr>
        <w:t xml:space="preserve"> positive cells was determined using the Aperio software </w:t>
      </w:r>
      <w:r w:rsidR="00C96E88" w:rsidRPr="001073CC">
        <w:rPr>
          <w:rFonts w:eastAsia="Times New Roman"/>
          <w:iCs/>
          <w:color w:val="222222"/>
          <w:shd w:val="clear" w:color="auto" w:fill="FFFFFF"/>
          <w:lang w:val="en-GB" w:eastAsia="it-IT"/>
        </w:rPr>
        <w:t>IHC Membrane v1</w:t>
      </w:r>
      <w:r w:rsidR="008355C6">
        <w:rPr>
          <w:rFonts w:eastAsia="Times New Roman"/>
          <w:iCs/>
          <w:color w:val="222222"/>
          <w:shd w:val="clear" w:color="auto" w:fill="FFFFFF"/>
          <w:lang w:val="en-GB" w:eastAsia="it-IT"/>
        </w:rPr>
        <w:t>.</w:t>
      </w:r>
      <w:r w:rsidR="008355C6" w:rsidRPr="001073CC">
        <w:rPr>
          <w:rFonts w:eastAsia="Times New Roman"/>
          <w:iCs/>
          <w:color w:val="222222"/>
          <w:shd w:val="clear" w:color="auto" w:fill="FFFFFF"/>
          <w:lang w:eastAsia="it-IT"/>
        </w:rPr>
        <w:t xml:space="preserve"> </w:t>
      </w:r>
      <w:r w:rsidR="00A72A9D" w:rsidRPr="001073CC">
        <w:rPr>
          <w:rFonts w:eastAsia="Times New Roman"/>
          <w:iCs/>
          <w:color w:val="222222"/>
          <w:shd w:val="clear" w:color="auto" w:fill="FFFFFF"/>
          <w:lang w:eastAsia="it-IT"/>
        </w:rPr>
        <w:t>The IHC Membrane Image Analysis algorithm detects the membrane staining for the individual tumor cells in the selected regions and quantifies the intensity and completeness of the membrane staining.</w:t>
      </w:r>
      <w:r w:rsidR="008355C6">
        <w:rPr>
          <w:rFonts w:eastAsia="Times New Roman"/>
          <w:iCs/>
          <w:color w:val="222222"/>
          <w:shd w:val="clear" w:color="auto" w:fill="FFFFFF"/>
          <w:lang w:eastAsia="it-IT"/>
        </w:rPr>
        <w:t xml:space="preserve"> </w:t>
      </w:r>
      <w:r w:rsidR="00A72A9D" w:rsidRPr="001073CC">
        <w:rPr>
          <w:rFonts w:eastAsia="Times New Roman"/>
          <w:iCs/>
          <w:color w:val="222222"/>
          <w:shd w:val="clear" w:color="auto" w:fill="FFFFFF"/>
          <w:lang w:eastAsia="it-IT"/>
        </w:rPr>
        <w:t xml:space="preserve">+1 intensity is partial membrane staining, +2 is moderate and complete staining and +3 </w:t>
      </w:r>
      <w:r w:rsidR="0086228E" w:rsidRPr="001073CC">
        <w:rPr>
          <w:rFonts w:eastAsia="Times New Roman"/>
          <w:iCs/>
          <w:color w:val="222222"/>
          <w:shd w:val="clear" w:color="auto" w:fill="FFFFFF"/>
          <w:lang w:eastAsia="it-IT"/>
        </w:rPr>
        <w:t xml:space="preserve">is intense and complete membrane staining. </w:t>
      </w:r>
    </w:p>
    <w:p w14:paraId="6CD8C875" w14:textId="77777777" w:rsidR="000C27A4" w:rsidRPr="00B76419" w:rsidRDefault="000C27A4" w:rsidP="00A72947">
      <w:pPr>
        <w:jc w:val="both"/>
        <w:rPr>
          <w:b/>
        </w:rPr>
      </w:pPr>
    </w:p>
    <w:p w14:paraId="54FEF8FF" w14:textId="6793C0F4" w:rsidR="0085411D" w:rsidRPr="0085411D" w:rsidRDefault="0085411D" w:rsidP="00A72947">
      <w:pPr>
        <w:jc w:val="both"/>
        <w:rPr>
          <w:rFonts w:ascii="Times" w:eastAsia="Times New Roman" w:hAnsi="Times"/>
          <w:sz w:val="20"/>
          <w:szCs w:val="20"/>
          <w:lang w:eastAsia="it-IT"/>
        </w:rPr>
      </w:pPr>
    </w:p>
    <w:p w14:paraId="538F2730" w14:textId="77777777" w:rsidR="000C27A4" w:rsidRPr="00B76419" w:rsidRDefault="000C27A4" w:rsidP="00A72947">
      <w:pPr>
        <w:jc w:val="both"/>
        <w:rPr>
          <w:b/>
        </w:rPr>
      </w:pPr>
    </w:p>
    <w:p w14:paraId="35DF51DA" w14:textId="77777777" w:rsidR="000C27A4" w:rsidRPr="00B76419" w:rsidRDefault="000C27A4" w:rsidP="000C27A4">
      <w:pPr>
        <w:spacing w:line="480" w:lineRule="auto"/>
        <w:jc w:val="both"/>
      </w:pPr>
    </w:p>
    <w:p w14:paraId="5353E3DF" w14:textId="77777777" w:rsidR="000C27A4" w:rsidRPr="00B76419" w:rsidRDefault="000C27A4" w:rsidP="000C27A4">
      <w:pPr>
        <w:spacing w:line="480" w:lineRule="auto"/>
        <w:jc w:val="both"/>
      </w:pPr>
    </w:p>
    <w:p w14:paraId="5459CD62" w14:textId="77777777" w:rsidR="000C27A4" w:rsidRDefault="000C27A4" w:rsidP="000C27A4"/>
    <w:p w14:paraId="14290D9C" w14:textId="77777777" w:rsidR="004211A8" w:rsidRDefault="004211A8"/>
    <w:sectPr w:rsidR="004211A8" w:rsidSect="00FA44CE">
      <w:headerReference w:type="even" r:id="rId6"/>
      <w:headerReference w:type="default" r:id="rId7"/>
      <w:footerReference w:type="default" r:id="rId8"/>
      <w:pgSz w:w="11900" w:h="16840"/>
      <w:pgMar w:top="1077" w:right="1077" w:bottom="107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D6124C" w14:textId="77777777" w:rsidR="00A23FF5" w:rsidRDefault="00A23FF5">
      <w:r>
        <w:separator/>
      </w:r>
    </w:p>
  </w:endnote>
  <w:endnote w:type="continuationSeparator" w:id="0">
    <w:p w14:paraId="69388E5C" w14:textId="77777777" w:rsidR="00A23FF5" w:rsidRDefault="00A23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54933E" w14:textId="77777777" w:rsidR="00F04EDF" w:rsidRDefault="00F04EDF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098BD4" w14:textId="77777777" w:rsidR="00A23FF5" w:rsidRDefault="00A23FF5">
      <w:r>
        <w:separator/>
      </w:r>
    </w:p>
  </w:footnote>
  <w:footnote w:type="continuationSeparator" w:id="0">
    <w:p w14:paraId="20E7D333" w14:textId="77777777" w:rsidR="00A23FF5" w:rsidRDefault="00A23FF5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0A0B0" w14:textId="77777777" w:rsidR="00F04EDF" w:rsidRDefault="00F04EDF" w:rsidP="001876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C15C2D" w14:textId="77777777" w:rsidR="00F04EDF" w:rsidRDefault="00F04EDF" w:rsidP="001876E9">
    <w:pPr>
      <w:pStyle w:val="Header"/>
      <w:ind w:right="360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32319E" w14:textId="77777777" w:rsidR="00F04EDF" w:rsidRDefault="00F04EDF" w:rsidP="001876E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23FF5">
      <w:rPr>
        <w:rStyle w:val="PageNumber"/>
        <w:noProof/>
      </w:rPr>
      <w:t>1</w:t>
    </w:r>
    <w:r>
      <w:rPr>
        <w:rStyle w:val="PageNumber"/>
      </w:rPr>
      <w:fldChar w:fldCharType="end"/>
    </w:r>
  </w:p>
  <w:p w14:paraId="21A67AFA" w14:textId="77777777" w:rsidR="00F04EDF" w:rsidRDefault="00F04EDF" w:rsidP="001876E9">
    <w:pPr>
      <w:pStyle w:val="Header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7A4"/>
    <w:rsid w:val="000C27A4"/>
    <w:rsid w:val="000D3B3F"/>
    <w:rsid w:val="000D4F31"/>
    <w:rsid w:val="001073CC"/>
    <w:rsid w:val="001427C6"/>
    <w:rsid w:val="001876E9"/>
    <w:rsid w:val="001A4D75"/>
    <w:rsid w:val="00201043"/>
    <w:rsid w:val="0028740F"/>
    <w:rsid w:val="0033230B"/>
    <w:rsid w:val="00344BCD"/>
    <w:rsid w:val="004211A8"/>
    <w:rsid w:val="00432806"/>
    <w:rsid w:val="004740A3"/>
    <w:rsid w:val="004B672C"/>
    <w:rsid w:val="004E25D5"/>
    <w:rsid w:val="00521CE2"/>
    <w:rsid w:val="005644BD"/>
    <w:rsid w:val="006175CC"/>
    <w:rsid w:val="00714BCC"/>
    <w:rsid w:val="007B2798"/>
    <w:rsid w:val="008355C6"/>
    <w:rsid w:val="008447D0"/>
    <w:rsid w:val="0085411D"/>
    <w:rsid w:val="0086228E"/>
    <w:rsid w:val="008F1932"/>
    <w:rsid w:val="00915ABC"/>
    <w:rsid w:val="009F0163"/>
    <w:rsid w:val="00A23FF5"/>
    <w:rsid w:val="00A64B4E"/>
    <w:rsid w:val="00A72947"/>
    <w:rsid w:val="00A72A9D"/>
    <w:rsid w:val="00B32A33"/>
    <w:rsid w:val="00C96E88"/>
    <w:rsid w:val="00DA40E5"/>
    <w:rsid w:val="00F04EDF"/>
    <w:rsid w:val="00F87B41"/>
    <w:rsid w:val="00FA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0A1BE20F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0C27A4"/>
    <w:rPr>
      <w:rFonts w:ascii="Times New Roman" w:hAnsi="Times New Roman" w:cs="Times New Roman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27A4"/>
    <w:pPr>
      <w:tabs>
        <w:tab w:val="center" w:pos="4819"/>
        <w:tab w:val="right" w:pos="9638"/>
      </w:tabs>
    </w:pPr>
    <w:rPr>
      <w:rFonts w:asciiTheme="minorHAnsi" w:hAnsiTheme="minorHAnsi" w:cstheme="minorBidi"/>
      <w:lang w:val="it-IT" w:eastAsia="it-IT"/>
    </w:rPr>
  </w:style>
  <w:style w:type="character" w:customStyle="1" w:styleId="HeaderChar">
    <w:name w:val="Header Char"/>
    <w:basedOn w:val="DefaultParagraphFont"/>
    <w:link w:val="Header"/>
    <w:uiPriority w:val="99"/>
    <w:rsid w:val="000C27A4"/>
  </w:style>
  <w:style w:type="character" w:styleId="PageNumber">
    <w:name w:val="page number"/>
    <w:basedOn w:val="DefaultParagraphFont"/>
    <w:uiPriority w:val="99"/>
    <w:semiHidden/>
    <w:unhideWhenUsed/>
    <w:rsid w:val="000C27A4"/>
  </w:style>
  <w:style w:type="table" w:styleId="TableGrid">
    <w:name w:val="Table Grid"/>
    <w:basedOn w:val="TableNormal"/>
    <w:uiPriority w:val="59"/>
    <w:rsid w:val="000C27A4"/>
    <w:rPr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C27A4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27A4"/>
    <w:rPr>
      <w:rFonts w:ascii="Times New Roman" w:hAnsi="Times New Roman" w:cs="Times New Roman"/>
      <w:lang w:val="en-US" w:eastAsia="en-US"/>
    </w:rPr>
  </w:style>
  <w:style w:type="table" w:styleId="LightShading">
    <w:name w:val="Light Shading"/>
    <w:basedOn w:val="TableNormal"/>
    <w:uiPriority w:val="60"/>
    <w:rsid w:val="007B2798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Paragraph">
    <w:name w:val="List Paragraph"/>
    <w:basedOn w:val="Normal"/>
    <w:uiPriority w:val="34"/>
    <w:qFormat/>
    <w:rsid w:val="001073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7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223</Words>
  <Characters>1118</Characters>
  <Application>Microsoft Macintosh Word</Application>
  <DocSecurity>0</DocSecurity>
  <Lines>22</Lines>
  <Paragraphs>5</Paragraphs>
  <ScaleCrop>false</ScaleCrop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Pankaj</dc:creator>
  <cp:keywords/>
  <dc:description/>
  <cp:lastModifiedBy>Eleni :)</cp:lastModifiedBy>
  <cp:revision>2</cp:revision>
  <dcterms:created xsi:type="dcterms:W3CDTF">2018-04-27T19:45:00Z</dcterms:created>
  <dcterms:modified xsi:type="dcterms:W3CDTF">2018-04-27T19:45:00Z</dcterms:modified>
</cp:coreProperties>
</file>