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26076" w14:textId="77777777" w:rsidR="004211A8" w:rsidRDefault="001E61F4" w:rsidP="00C37A70">
      <w:pPr>
        <w:spacing w:line="480" w:lineRule="auto"/>
        <w:jc w:val="both"/>
        <w:rPr>
          <w:b/>
        </w:rPr>
      </w:pPr>
      <w:r w:rsidRPr="00753E7D">
        <w:rPr>
          <w:b/>
        </w:rPr>
        <w:t>Supplementary material and methods:</w:t>
      </w:r>
    </w:p>
    <w:p w14:paraId="4900E12D" w14:textId="77777777" w:rsidR="00037E90" w:rsidRDefault="00037E90" w:rsidP="00BE2239">
      <w:pPr>
        <w:spacing w:line="480" w:lineRule="auto"/>
        <w:jc w:val="both"/>
        <w:outlineLvl w:val="0"/>
        <w:rPr>
          <w:b/>
        </w:rPr>
      </w:pPr>
    </w:p>
    <w:p w14:paraId="44AD4A8B" w14:textId="7CC6996C" w:rsidR="00705A16" w:rsidRPr="00753E7D" w:rsidRDefault="00705A16" w:rsidP="00C37A70">
      <w:pPr>
        <w:spacing w:line="480" w:lineRule="auto"/>
        <w:jc w:val="both"/>
        <w:rPr>
          <w:b/>
        </w:rPr>
      </w:pPr>
      <w:r w:rsidRPr="00753E7D">
        <w:rPr>
          <w:b/>
        </w:rPr>
        <w:t>Immunoblotting</w:t>
      </w:r>
      <w:r w:rsidR="00753E7D" w:rsidRPr="00753E7D">
        <w:rPr>
          <w:b/>
        </w:rPr>
        <w:t>:</w:t>
      </w:r>
    </w:p>
    <w:p w14:paraId="75AF2143" w14:textId="1AF0EA06" w:rsidR="00A064D4" w:rsidRDefault="00705A16" w:rsidP="00C37A70">
      <w:pPr>
        <w:spacing w:line="480" w:lineRule="auto"/>
        <w:jc w:val="both"/>
        <w:rPr>
          <w:lang w:val="en-US"/>
        </w:rPr>
      </w:pPr>
      <w:r w:rsidRPr="003D097A">
        <w:t xml:space="preserve">The working </w:t>
      </w:r>
      <w:r w:rsidRPr="003D097A">
        <w:rPr>
          <w:color w:val="000000"/>
        </w:rPr>
        <w:t xml:space="preserve">conditions of all antibodies were those indicated by the respective providers. </w:t>
      </w:r>
      <w:r w:rsidRPr="003D097A">
        <w:t xml:space="preserve">The chemiluminescence kit (Amersham) was employed to visualize the proteins. </w:t>
      </w:r>
      <w:r w:rsidRPr="003D097A">
        <w:rPr>
          <w:lang w:val="en-US"/>
        </w:rPr>
        <w:t>Th</w:t>
      </w:r>
      <w:r>
        <w:rPr>
          <w:lang w:val="en-US"/>
        </w:rPr>
        <w:t xml:space="preserve">ree million cells </w:t>
      </w:r>
      <w:r w:rsidRPr="003D097A">
        <w:rPr>
          <w:lang w:val="en-US"/>
        </w:rPr>
        <w:t xml:space="preserve"> were lysed in </w:t>
      </w:r>
      <w:r>
        <w:rPr>
          <w:lang w:val="en-US"/>
        </w:rPr>
        <w:t>100µl</w:t>
      </w:r>
      <w:r w:rsidRPr="003D097A">
        <w:rPr>
          <w:lang w:val="en-US"/>
        </w:rPr>
        <w:t xml:space="preserve"> of lysis buffer</w:t>
      </w:r>
      <w:r>
        <w:rPr>
          <w:lang w:val="en-US"/>
        </w:rPr>
        <w:t xml:space="preserve"> (cell signaling) and the protein concentration was estimated by Bradford assay.</w:t>
      </w:r>
      <w:r w:rsidRPr="003D097A">
        <w:rPr>
          <w:lang w:val="en-US"/>
        </w:rPr>
        <w:t xml:space="preserve"> </w:t>
      </w:r>
      <w:r>
        <w:rPr>
          <w:lang w:val="en-US"/>
        </w:rPr>
        <w:t>Protein e</w:t>
      </w:r>
      <w:r w:rsidRPr="003D097A">
        <w:rPr>
          <w:lang w:val="en-US"/>
        </w:rPr>
        <w:t xml:space="preserve">xtracts equivalent to </w:t>
      </w:r>
      <w:r>
        <w:rPr>
          <w:lang w:val="en-US"/>
        </w:rPr>
        <w:t>30µg</w:t>
      </w:r>
      <w:r w:rsidRPr="003D097A">
        <w:rPr>
          <w:lang w:val="en-US"/>
        </w:rPr>
        <w:t xml:space="preserve"> were separated on discontinuous SDS-polyacrylamide gels and transferred to Protran filters</w:t>
      </w:r>
      <w:r>
        <w:rPr>
          <w:lang w:val="en-US"/>
        </w:rPr>
        <w:t xml:space="preserve"> </w:t>
      </w:r>
      <w:r w:rsidRPr="00797E87">
        <w:rPr>
          <w:lang w:val="en-US"/>
        </w:rPr>
        <w:t>(Amersham)</w:t>
      </w:r>
      <w:r w:rsidRPr="003D097A">
        <w:rPr>
          <w:lang w:val="en-US"/>
        </w:rPr>
        <w:t>.</w:t>
      </w:r>
    </w:p>
    <w:p w14:paraId="542C5F32" w14:textId="76D43627" w:rsidR="008E31EF" w:rsidRDefault="00BB4143" w:rsidP="00C37A70">
      <w:pPr>
        <w:spacing w:line="480" w:lineRule="auto"/>
        <w:jc w:val="both"/>
      </w:pPr>
      <w:r w:rsidRPr="00753E7D">
        <w:rPr>
          <w:b/>
        </w:rPr>
        <w:t>R</w:t>
      </w:r>
      <w:r w:rsidR="008E31EF" w:rsidRPr="00753E7D">
        <w:rPr>
          <w:b/>
        </w:rPr>
        <w:t>eal time qPCR</w:t>
      </w:r>
      <w:r w:rsidR="008E31EF">
        <w:t>:</w:t>
      </w:r>
    </w:p>
    <w:p w14:paraId="4CCD291D" w14:textId="1C30E5E9" w:rsidR="00A064D4" w:rsidRDefault="00BB4143" w:rsidP="00C37A70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For real time qPCR, to</w:t>
      </w:r>
      <w:r w:rsidR="008E31EF" w:rsidRPr="003D097A">
        <w:rPr>
          <w:rFonts w:ascii="Times New Roman" w:hAnsi="Times New Roman" w:cs="Times New Roman"/>
          <w:lang w:val="en-GB"/>
        </w:rPr>
        <w:t xml:space="preserve"> each DNAse treated RNA sample, 33 ng random hexamers, 2 </w:t>
      </w:r>
      <w:r w:rsidR="008E31EF">
        <w:rPr>
          <w:lang w:val="en-US"/>
        </w:rPr>
        <w:t>µ</w:t>
      </w:r>
      <w:r w:rsidR="008E31EF" w:rsidRPr="003D097A">
        <w:rPr>
          <w:rFonts w:ascii="Times New Roman" w:hAnsi="Times New Roman" w:cs="Times New Roman"/>
          <w:lang w:val="en-GB"/>
        </w:rPr>
        <w:t xml:space="preserve">l of 10mM dNTPs were added and incubated at 70° C for 5 min. The following reaction components were added: 12 </w:t>
      </w:r>
      <w:r w:rsidR="008E31EF">
        <w:rPr>
          <w:lang w:val="en-US"/>
        </w:rPr>
        <w:t>µ</w:t>
      </w:r>
      <w:r w:rsidR="008E31EF" w:rsidRPr="003D097A">
        <w:rPr>
          <w:rFonts w:ascii="Times New Roman" w:hAnsi="Times New Roman" w:cs="Times New Roman"/>
          <w:lang w:val="en-GB"/>
        </w:rPr>
        <w:t>l of 5x 1</w:t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t>st</w:t>
      </w:r>
      <w:r w:rsidR="008E31EF" w:rsidRPr="003D097A">
        <w:rPr>
          <w:rFonts w:ascii="Times New Roman" w:hAnsi="Times New Roman" w:cs="Times New Roman"/>
          <w:lang w:val="en-GB"/>
        </w:rPr>
        <w:t xml:space="preserve"> strand buffer (Superscript III reverse transcriptase, Invitrogen), 1,44 </w:t>
      </w:r>
      <w:r w:rsidR="008E31EF">
        <w:rPr>
          <w:lang w:val="en-US"/>
        </w:rPr>
        <w:t>µ</w:t>
      </w:r>
      <w:r w:rsidR="008E31EF" w:rsidRPr="003D097A">
        <w:rPr>
          <w:rFonts w:ascii="Times New Roman" w:hAnsi="Times New Roman" w:cs="Times New Roman"/>
          <w:lang w:val="en-GB"/>
        </w:rPr>
        <w:t xml:space="preserve">l RNAsin (Promega) and 17,5 </w:t>
      </w:r>
      <w:r w:rsidR="008E31EF">
        <w:rPr>
          <w:lang w:val="en-US"/>
        </w:rPr>
        <w:t>µ</w:t>
      </w:r>
      <w:r w:rsidR="008E31EF" w:rsidRPr="003D097A">
        <w:rPr>
          <w:rFonts w:ascii="Times New Roman" w:hAnsi="Times New Roman" w:cs="Times New Roman"/>
          <w:lang w:val="en-GB"/>
        </w:rPr>
        <w:t xml:space="preserve">l of DEPC water. The final volume of 60 </w:t>
      </w:r>
      <w:r w:rsidR="00E550BA">
        <w:rPr>
          <w:rFonts w:ascii="Times New Roman" w:hAnsi="Times New Roman" w:cs="Times New Roman"/>
          <w:lang w:val="en-GB"/>
        </w:rPr>
        <w:t>μ</w:t>
      </w:r>
      <w:r w:rsidR="008E31EF" w:rsidRPr="003D097A">
        <w:rPr>
          <w:rFonts w:ascii="Times New Roman" w:hAnsi="Times New Roman" w:cs="Times New Roman"/>
          <w:lang w:val="en-GB"/>
        </w:rPr>
        <w:t xml:space="preserve">l was split into 2x30 </w:t>
      </w:r>
      <w:r w:rsidR="008E31EF">
        <w:rPr>
          <w:lang w:val="en-US"/>
        </w:rPr>
        <w:t>µ</w:t>
      </w:r>
      <w:r w:rsidR="008E31EF" w:rsidRPr="003D097A">
        <w:rPr>
          <w:rFonts w:ascii="Times New Roman" w:hAnsi="Times New Roman" w:cs="Times New Roman"/>
          <w:lang w:val="en-GB"/>
        </w:rPr>
        <w:t xml:space="preserve">l aliquots. To one aliquot, 1 </w:t>
      </w:r>
      <w:r w:rsidR="008E31EF">
        <w:rPr>
          <w:lang w:val="en-US"/>
        </w:rPr>
        <w:t>µ</w:t>
      </w:r>
      <w:r w:rsidR="008E31EF" w:rsidRPr="003D097A">
        <w:rPr>
          <w:rFonts w:ascii="Times New Roman" w:hAnsi="Times New Roman" w:cs="Times New Roman"/>
          <w:lang w:val="en-GB"/>
        </w:rPr>
        <w:t xml:space="preserve">l (200 units) of superscript III reverse Transcriptase (Invitrogen) was added and to the other, 1 </w:t>
      </w:r>
      <w:r w:rsidR="008E31EF">
        <w:rPr>
          <w:lang w:val="en-US"/>
        </w:rPr>
        <w:t>µ</w:t>
      </w:r>
      <w:r w:rsidR="008E31EF" w:rsidRPr="003D097A">
        <w:rPr>
          <w:rFonts w:ascii="Times New Roman" w:hAnsi="Times New Roman" w:cs="Times New Roman"/>
          <w:lang w:val="en-GB"/>
        </w:rPr>
        <w:t>l of DEPC water to control for genomic DNA contamination. The samples were then incubated for 10 minutes at 25° C, 50 min at 37° C and 15 min at 70° C. Subsequently, each cDNA sample was split into three and used for qRT-PCR. The mature miR</w:t>
      </w:r>
      <w:r w:rsidR="008E31EF">
        <w:rPr>
          <w:rFonts w:ascii="Times New Roman" w:hAnsi="Times New Roman" w:cs="Times New Roman"/>
          <w:lang w:val="en-GB"/>
        </w:rPr>
        <w:t>-34a</w:t>
      </w:r>
      <w:r w:rsidR="008E31EF" w:rsidRPr="003D097A">
        <w:rPr>
          <w:rFonts w:ascii="Times New Roman" w:hAnsi="Times New Roman" w:cs="Times New Roman"/>
          <w:lang w:val="en-GB"/>
        </w:rPr>
        <w:t xml:space="preserve"> </w:t>
      </w:r>
      <w:r w:rsidR="008E31EF">
        <w:rPr>
          <w:rFonts w:ascii="Times New Roman" w:hAnsi="Times New Roman" w:cs="Times New Roman"/>
          <w:lang w:val="en-GB"/>
        </w:rPr>
        <w:t xml:space="preserve">and the housekeeping RNU6B were amplified with the miScript primer assay (QIAGEN). Pre-miR-34a </w:t>
      </w:r>
      <w:r w:rsidR="008E31EF" w:rsidRPr="003D097A">
        <w:rPr>
          <w:rFonts w:ascii="Times New Roman" w:hAnsi="Times New Roman" w:cs="Times New Roman"/>
          <w:lang w:val="en-GB"/>
        </w:rPr>
        <w:t>expression w</w:t>
      </w:r>
      <w:r w:rsidR="008E31EF">
        <w:rPr>
          <w:rFonts w:ascii="Times New Roman" w:hAnsi="Times New Roman" w:cs="Times New Roman"/>
          <w:lang w:val="en-GB"/>
        </w:rPr>
        <w:t>as</w:t>
      </w:r>
      <w:r w:rsidR="008E31EF" w:rsidRPr="003D097A">
        <w:rPr>
          <w:rFonts w:ascii="Times New Roman" w:hAnsi="Times New Roman" w:cs="Times New Roman"/>
          <w:lang w:val="en-GB"/>
        </w:rPr>
        <w:t xml:space="preserve"> evaluated by employing </w:t>
      </w:r>
      <w:r w:rsidR="008E31EF">
        <w:rPr>
          <w:rFonts w:ascii="Times New Roman" w:hAnsi="Times New Roman" w:cs="Times New Roman"/>
          <w:lang w:val="en-GB"/>
        </w:rPr>
        <w:t xml:space="preserve">miScript Precursor assay and QuantiTect primer assay S18 (QIAGEN) used </w:t>
      </w:r>
      <w:r w:rsidR="008E31EF" w:rsidRPr="003D097A">
        <w:rPr>
          <w:rFonts w:ascii="Times New Roman" w:hAnsi="Times New Roman" w:cs="Times New Roman"/>
          <w:lang w:val="en-GB"/>
        </w:rPr>
        <w:t xml:space="preserve">as </w:t>
      </w:r>
      <w:r w:rsidR="008E31EF">
        <w:rPr>
          <w:rFonts w:ascii="Times New Roman" w:hAnsi="Times New Roman" w:cs="Times New Roman"/>
          <w:lang w:val="en-GB"/>
        </w:rPr>
        <w:t xml:space="preserve">a </w:t>
      </w:r>
      <w:r w:rsidR="008E31EF" w:rsidRPr="003D097A">
        <w:rPr>
          <w:rFonts w:ascii="Times New Roman" w:hAnsi="Times New Roman" w:cs="Times New Roman"/>
          <w:lang w:val="en-GB"/>
        </w:rPr>
        <w:t>housekeeping</w:t>
      </w:r>
      <w:r w:rsidR="008E31EF">
        <w:rPr>
          <w:rFonts w:ascii="Times New Roman" w:hAnsi="Times New Roman" w:cs="Times New Roman"/>
          <w:lang w:val="en-GB"/>
        </w:rPr>
        <w:t xml:space="preserve"> gene</w:t>
      </w:r>
      <w:r w:rsidR="008E31EF" w:rsidRPr="003D097A">
        <w:rPr>
          <w:rFonts w:ascii="Times New Roman" w:hAnsi="Times New Roman" w:cs="Times New Roman"/>
          <w:lang w:val="en-GB"/>
        </w:rPr>
        <w:t>.</w:t>
      </w:r>
      <w:r w:rsidR="008E31EF">
        <w:rPr>
          <w:rFonts w:ascii="Times New Roman" w:hAnsi="Times New Roman" w:cs="Times New Roman"/>
          <w:lang w:val="en-GB"/>
        </w:rPr>
        <w:t xml:space="preserve"> For miR-34a and RNU6B amplification, t</w:t>
      </w:r>
      <w:r w:rsidR="008E31EF" w:rsidRPr="003D097A">
        <w:rPr>
          <w:rFonts w:ascii="Times New Roman" w:hAnsi="Times New Roman" w:cs="Times New Roman"/>
          <w:lang w:val="en-GB"/>
        </w:rPr>
        <w:t xml:space="preserve">he Q-PCR reaction was performed </w:t>
      </w:r>
      <w:r w:rsidR="008E31EF">
        <w:rPr>
          <w:rFonts w:ascii="Times New Roman" w:hAnsi="Times New Roman" w:cs="Times New Roman"/>
          <w:lang w:val="en-GB"/>
        </w:rPr>
        <w:t xml:space="preserve">with </w:t>
      </w:r>
      <w:r w:rsidR="008E31EF" w:rsidRPr="00755108">
        <w:rPr>
          <w:rFonts w:ascii="Times New Roman" w:hAnsi="Times New Roman" w:cs="Times New Roman"/>
          <w:lang w:val="en-GB"/>
        </w:rPr>
        <w:t>miScript SYBR Green PCR Kit</w:t>
      </w:r>
      <w:r w:rsidR="008E31EF">
        <w:rPr>
          <w:rFonts w:ascii="Times New Roman" w:hAnsi="Times New Roman" w:cs="Times New Roman"/>
          <w:lang w:val="en-GB"/>
        </w:rPr>
        <w:t xml:space="preserve"> </w:t>
      </w:r>
      <w:r w:rsidR="008E31EF" w:rsidRPr="003D097A">
        <w:rPr>
          <w:rFonts w:ascii="Times New Roman" w:hAnsi="Times New Roman" w:cs="Times New Roman"/>
          <w:lang w:val="en-GB"/>
        </w:rPr>
        <w:t xml:space="preserve"> on a real time </w:t>
      </w:r>
      <w:r w:rsidR="008E31EF" w:rsidRPr="00982D84">
        <w:rPr>
          <w:rFonts w:ascii="Times New Roman" w:hAnsi="Times New Roman" w:cs="Times New Roman"/>
          <w:lang w:val="en-GB"/>
        </w:rPr>
        <w:t xml:space="preserve">Roche LightCycler </w:t>
      </w:r>
      <w:r w:rsidR="008E31EF" w:rsidRPr="003D097A">
        <w:rPr>
          <w:rFonts w:ascii="Times New Roman" w:hAnsi="Times New Roman" w:cs="Times New Roman"/>
          <w:lang w:val="en-GB"/>
        </w:rPr>
        <w:t xml:space="preserve">PCR system. </w:t>
      </w:r>
      <w:r w:rsidR="008E31EF">
        <w:rPr>
          <w:rFonts w:ascii="Times New Roman" w:hAnsi="Times New Roman" w:cs="Times New Roman"/>
          <w:lang w:val="en-GB"/>
        </w:rPr>
        <w:t>P</w:t>
      </w:r>
      <w:r w:rsidR="008E31EF" w:rsidRPr="003D097A">
        <w:rPr>
          <w:rFonts w:ascii="Times New Roman" w:hAnsi="Times New Roman" w:cs="Times New Roman"/>
          <w:lang w:val="en-GB"/>
        </w:rPr>
        <w:t>re-miR-34a</w:t>
      </w:r>
      <w:r w:rsidR="008E31EF">
        <w:rPr>
          <w:rFonts w:ascii="Times New Roman" w:hAnsi="Times New Roman" w:cs="Times New Roman"/>
          <w:lang w:val="en-GB"/>
        </w:rPr>
        <w:t xml:space="preserve"> and S18 amplification were performed with LightCycler 480 SYBR green master mix I (Roche). </w:t>
      </w:r>
      <w:r w:rsidR="008E31EF" w:rsidRPr="003D097A">
        <w:rPr>
          <w:rFonts w:ascii="Times New Roman" w:hAnsi="Times New Roman" w:cs="Times New Roman"/>
          <w:lang w:val="en-GB"/>
        </w:rPr>
        <w:t xml:space="preserve"> The relative amount of pre-miR-34a was calculated by comparative Ct (threshold cycle) method by subtracting the average Ct value for </w:t>
      </w:r>
      <w:r w:rsidR="008E31EF">
        <w:rPr>
          <w:rFonts w:ascii="Times New Roman" w:hAnsi="Times New Roman" w:cs="Times New Roman"/>
          <w:lang w:val="en-GB"/>
        </w:rPr>
        <w:t>the housekeeping genes</w:t>
      </w:r>
      <w:r w:rsidR="008E31EF" w:rsidRPr="003D097A">
        <w:rPr>
          <w:rFonts w:ascii="Times New Roman" w:hAnsi="Times New Roman" w:cs="Times New Roman"/>
          <w:lang w:val="en-GB"/>
        </w:rPr>
        <w:t xml:space="preserve"> from t</w:t>
      </w:r>
      <w:r w:rsidR="008E31EF">
        <w:rPr>
          <w:rFonts w:ascii="Times New Roman" w:hAnsi="Times New Roman" w:cs="Times New Roman"/>
          <w:lang w:val="en-GB"/>
        </w:rPr>
        <w:t>he average Ct value for each miR and pre</w:t>
      </w:r>
      <w:r w:rsidR="008E31EF" w:rsidRPr="003D097A">
        <w:rPr>
          <w:rFonts w:ascii="Times New Roman" w:hAnsi="Times New Roman" w:cs="Times New Roman"/>
          <w:lang w:val="en-GB"/>
        </w:rPr>
        <w:t>-miR (</w:t>
      </w:r>
      <w:r w:rsidR="008E31EF" w:rsidRPr="003D097A">
        <w:rPr>
          <w:rFonts w:ascii="Times New Roman" w:hAnsi="Times New Roman" w:cs="Times New Roman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lang w:val="en-GB"/>
        </w:rPr>
        <w:t xml:space="preserve">Ct). Next, the </w:t>
      </w:r>
      <w:r w:rsidR="008E31EF" w:rsidRPr="003D097A">
        <w:rPr>
          <w:rFonts w:ascii="Times New Roman" w:hAnsi="Times New Roman" w:cs="Times New Roman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lang w:val="en-GB"/>
        </w:rPr>
        <w:t xml:space="preserve">Ct values were calculated by subtracting the </w:t>
      </w:r>
      <w:r w:rsidR="008E31EF" w:rsidRPr="003D097A">
        <w:rPr>
          <w:rFonts w:ascii="Times New Roman" w:hAnsi="Times New Roman" w:cs="Times New Roman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lang w:val="en-GB"/>
        </w:rPr>
        <w:t>Ct value of the common calibrator (</w:t>
      </w:r>
      <w:r w:rsidR="008E31EF">
        <w:rPr>
          <w:rFonts w:ascii="Times New Roman" w:hAnsi="Times New Roman" w:cs="Times New Roman"/>
          <w:lang w:val="en-GB"/>
        </w:rPr>
        <w:t xml:space="preserve">U2932 </w:t>
      </w:r>
      <w:r w:rsidR="008E31EF" w:rsidRPr="003D097A">
        <w:rPr>
          <w:rFonts w:ascii="Times New Roman" w:hAnsi="Times New Roman" w:cs="Times New Roman"/>
          <w:lang w:val="en-GB"/>
        </w:rPr>
        <w:t xml:space="preserve">parental </w:t>
      </w:r>
      <w:r w:rsidR="008E31EF">
        <w:rPr>
          <w:rFonts w:ascii="Times New Roman" w:hAnsi="Times New Roman" w:cs="Times New Roman"/>
          <w:lang w:val="en-GB"/>
        </w:rPr>
        <w:t xml:space="preserve">DLBCL </w:t>
      </w:r>
      <w:r w:rsidR="008E31EF" w:rsidRPr="003D097A">
        <w:rPr>
          <w:rFonts w:ascii="Times New Roman" w:hAnsi="Times New Roman" w:cs="Times New Roman"/>
          <w:lang w:val="en-GB"/>
        </w:rPr>
        <w:t>cell</w:t>
      </w:r>
      <w:r w:rsidR="008E31EF">
        <w:rPr>
          <w:rFonts w:ascii="Times New Roman" w:hAnsi="Times New Roman" w:cs="Times New Roman"/>
          <w:lang w:val="en-GB"/>
        </w:rPr>
        <w:t>s</w:t>
      </w:r>
      <w:r w:rsidR="008E31EF" w:rsidRPr="003D097A">
        <w:rPr>
          <w:rFonts w:ascii="Times New Roman" w:hAnsi="Times New Roman" w:cs="Times New Roman"/>
          <w:lang w:val="en-GB"/>
        </w:rPr>
        <w:t xml:space="preserve">) from the </w:t>
      </w:r>
      <w:r w:rsidR="008E31EF" w:rsidRPr="003D097A">
        <w:rPr>
          <w:rFonts w:ascii="Times New Roman" w:hAnsi="Times New Roman" w:cs="Times New Roman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lang w:val="en-GB"/>
        </w:rPr>
        <w:t xml:space="preserve">Ct of each sample. Finally, the relative </w:t>
      </w:r>
      <w:r w:rsidR="008E31EF" w:rsidRPr="003D097A">
        <w:rPr>
          <w:rFonts w:ascii="Times New Roman" w:hAnsi="Times New Roman" w:cs="Times New Roman"/>
          <w:lang w:val="en-GB"/>
        </w:rPr>
        <w:lastRenderedPageBreak/>
        <w:t>expression was defined as 2</w:t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t>-</w:t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t xml:space="preserve">Ct </w:t>
      </w:r>
      <w:r w:rsidR="008E31EF" w:rsidRPr="003D097A">
        <w:rPr>
          <w:rFonts w:ascii="Times New Roman" w:hAnsi="Times New Roman" w:cs="Times New Roman"/>
          <w:lang w:val="en-GB"/>
        </w:rPr>
        <w:t>. The range of expression levels was determined by calculating the standard deviation of the 2</w:t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t>-</w:t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sym w:font="Symbol" w:char="F044"/>
      </w:r>
      <w:r w:rsidR="008E31EF" w:rsidRPr="003D097A">
        <w:rPr>
          <w:rFonts w:ascii="Times New Roman" w:hAnsi="Times New Roman" w:cs="Times New Roman"/>
          <w:vertAlign w:val="superscript"/>
          <w:lang w:val="en-GB"/>
        </w:rPr>
        <w:t xml:space="preserve">Ct </w:t>
      </w:r>
      <w:r w:rsidR="008E31EF" w:rsidRPr="003D097A">
        <w:rPr>
          <w:rFonts w:ascii="Times New Roman" w:hAnsi="Times New Roman" w:cs="Times New Roman"/>
          <w:lang w:val="en-GB"/>
        </w:rPr>
        <w:t>of three independent experiments, each starting from a new RNA extraction.</w:t>
      </w:r>
    </w:p>
    <w:p w14:paraId="0966622B" w14:textId="39714FD6" w:rsidR="00777A3E" w:rsidRPr="00A11FF6" w:rsidRDefault="00777A3E" w:rsidP="00C37A7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</w:rPr>
      </w:pPr>
      <w:r w:rsidRPr="00A11FF6">
        <w:rPr>
          <w:rFonts w:ascii="Times New Roman" w:hAnsi="Times New Roman" w:cs="Times New Roman"/>
          <w:b/>
        </w:rPr>
        <w:t>Flow Cytometry Analysis</w:t>
      </w:r>
      <w:r w:rsidR="00323C29">
        <w:rPr>
          <w:rFonts w:ascii="Times New Roman" w:hAnsi="Times New Roman" w:cs="Times New Roman"/>
          <w:b/>
        </w:rPr>
        <w:t>:</w:t>
      </w:r>
      <w:r w:rsidRPr="00A11FF6">
        <w:rPr>
          <w:rFonts w:ascii="Times New Roman" w:hAnsi="Times New Roman" w:cs="Times New Roman"/>
          <w:b/>
        </w:rPr>
        <w:t xml:space="preserve"> </w:t>
      </w:r>
    </w:p>
    <w:p w14:paraId="37D0C5B1" w14:textId="4B1096A3" w:rsidR="00777A3E" w:rsidRDefault="00777A3E" w:rsidP="00C37A7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</w:rPr>
      </w:pPr>
      <w:r>
        <w:t>To characterize</w:t>
      </w:r>
      <w:r w:rsidRPr="00A11FF6">
        <w:rPr>
          <w:rFonts w:ascii="Times New Roman" w:hAnsi="Times New Roman" w:cs="Times New Roman"/>
        </w:rPr>
        <w:t xml:space="preserve"> </w:t>
      </w:r>
      <w:r>
        <w:t>PD-L1</w:t>
      </w:r>
      <w:r w:rsidRPr="00A11FF6">
        <w:rPr>
          <w:rFonts w:ascii="Times New Roman" w:hAnsi="Times New Roman" w:cs="Times New Roman"/>
        </w:rPr>
        <w:t xml:space="preserve"> </w:t>
      </w:r>
      <w:r>
        <w:t>expression on the cell surface of U2932 cells and their EBNA2-transfected derivatives</w:t>
      </w:r>
      <w:r w:rsidR="00323C29">
        <w:t>,</w:t>
      </w:r>
      <w:r>
        <w:t xml:space="preserve"> we conducted</w:t>
      </w:r>
      <w:r w:rsidRPr="00A11FF6">
        <w:rPr>
          <w:rFonts w:ascii="Times New Roman" w:hAnsi="Times New Roman" w:cs="Times New Roman"/>
        </w:rPr>
        <w:t xml:space="preserve"> ﬂow cytometry analysis </w:t>
      </w:r>
      <w:r>
        <w:t xml:space="preserve">by using a </w:t>
      </w:r>
      <w:r w:rsidRPr="00A11FF6">
        <w:rPr>
          <w:rFonts w:ascii="Times New Roman" w:hAnsi="Times New Roman" w:cs="Times New Roman"/>
        </w:rPr>
        <w:t>m</w:t>
      </w:r>
      <w:r>
        <w:t xml:space="preserve">onoclonal Antibody </w:t>
      </w:r>
      <w:r w:rsidRPr="00A11FF6">
        <w:rPr>
          <w:rFonts w:ascii="Times New Roman" w:hAnsi="Times New Roman" w:cs="Times New Roman"/>
        </w:rPr>
        <w:t xml:space="preserve">to </w:t>
      </w:r>
      <w:r>
        <w:t>PD-L1</w:t>
      </w:r>
      <w:r w:rsidRPr="00A11FF6">
        <w:rPr>
          <w:rFonts w:ascii="Times New Roman" w:hAnsi="Times New Roman" w:cs="Times New Roman"/>
        </w:rPr>
        <w:t xml:space="preserve"> from eBioscience Inc. (San Diego, CA, USA) with </w:t>
      </w:r>
      <w:r>
        <w:t>its</w:t>
      </w:r>
      <w:r w:rsidRPr="00A11FF6">
        <w:rPr>
          <w:rFonts w:ascii="Times New Roman" w:hAnsi="Times New Roman" w:cs="Times New Roman"/>
        </w:rPr>
        <w:t xml:space="preserve"> matched isotype control</w:t>
      </w:r>
      <w:r>
        <w:t xml:space="preserve"> </w:t>
      </w:r>
      <w:r w:rsidRPr="00A11FF6">
        <w:rPr>
          <w:rFonts w:ascii="Times New Roman" w:hAnsi="Times New Roman" w:cs="Times New Roman"/>
        </w:rPr>
        <w:t>IgG2a</w:t>
      </w:r>
      <w:r>
        <w:t xml:space="preserve"> as we did in Fixable viability dye was also included in the analysis to exclude dead cells. U2932 </w:t>
      </w:r>
      <w:r w:rsidRPr="00A11FF6">
        <w:rPr>
          <w:rFonts w:ascii="Times New Roman" w:hAnsi="Times New Roman" w:cs="Times New Roman"/>
        </w:rPr>
        <w:t xml:space="preserve">were ﬁxed with 2% paraformaldehyde before analysis on a FACSCanto (BD Pharmingen). A total of 50.000 </w:t>
      </w:r>
      <w:r>
        <w:t xml:space="preserve">live </w:t>
      </w:r>
      <w:r w:rsidRPr="00A11FF6">
        <w:rPr>
          <w:rFonts w:ascii="Times New Roman" w:hAnsi="Times New Roman"/>
        </w:rPr>
        <w:t xml:space="preserve">cells were analyzed per samples. Data analysis was performed by using FlowJo software (TreeStar Inc., Ashland, OR, USA). </w:t>
      </w:r>
    </w:p>
    <w:p w14:paraId="64AC5EEC" w14:textId="77777777" w:rsidR="00E11C9C" w:rsidRPr="00B76419" w:rsidRDefault="00E11C9C" w:rsidP="00C37A70">
      <w:pPr>
        <w:spacing w:line="480" w:lineRule="auto"/>
        <w:jc w:val="both"/>
        <w:outlineLvl w:val="0"/>
        <w:rPr>
          <w:b/>
          <w:color w:val="FF0000"/>
        </w:rPr>
      </w:pPr>
      <w:r w:rsidRPr="00B76419">
        <w:rPr>
          <w:b/>
          <w:color w:val="000000" w:themeColor="text1"/>
        </w:rPr>
        <w:t>Apoptosis assay by annexin V:</w:t>
      </w:r>
    </w:p>
    <w:p w14:paraId="7538238C" w14:textId="7B193BD6" w:rsidR="00C37A70" w:rsidRPr="008E5447" w:rsidRDefault="00E11C9C" w:rsidP="00C37A70">
      <w:pPr>
        <w:spacing w:line="480" w:lineRule="auto"/>
        <w:jc w:val="both"/>
      </w:pPr>
      <w:r w:rsidRPr="00B76419">
        <w:rPr>
          <w:color w:val="000000" w:themeColor="text1"/>
        </w:rPr>
        <w:t>To study whether miR-34a has any effect on apoptosis, 0.5x10</w:t>
      </w:r>
      <w:r w:rsidRPr="00B76419">
        <w:rPr>
          <w:color w:val="000000" w:themeColor="text1"/>
          <w:vertAlign w:val="superscript"/>
        </w:rPr>
        <w:t>6</w:t>
      </w:r>
      <w:r w:rsidRPr="00B76419">
        <w:rPr>
          <w:color w:val="000000" w:themeColor="text1"/>
        </w:rPr>
        <w:t xml:space="preserve"> U2932 MPA vector and U2932 EBNA2 expressing cells, were transiently transfected with mimic miR-34a or mimic control.  The cells were harvested and washed in PBS after 24h and 48h post transfection and stained for apoptosis according to APC Annexin V Apoptosis Detection with PI Kit instructions (BioLegend). Detection of the percentage of early apoptotic (only Annexin V) late apoptotic (both Annexin V/PI) and necrotic cells (only PI) was done at 24 and 48h post transfection, by using Gallios flow analyzer (</w:t>
      </w:r>
      <w:r w:rsidRPr="00B76419">
        <w:rPr>
          <w:rFonts w:eastAsia="Times New Roman"/>
          <w:color w:val="000000" w:themeColor="text1"/>
        </w:rPr>
        <w:t>Beckman</w:t>
      </w:r>
      <w:r w:rsidRPr="00B76419">
        <w:rPr>
          <w:rFonts w:eastAsia="Times New Roman"/>
        </w:rPr>
        <w:t xml:space="preserve"> Coulter) and </w:t>
      </w:r>
      <w:r w:rsidRPr="00B76419">
        <w:t>the data were analyzed with Kaluza for Gallios Software.</w:t>
      </w:r>
    </w:p>
    <w:p w14:paraId="63A3EAD1" w14:textId="4C376B67" w:rsidR="00C8137A" w:rsidRPr="00753E7D" w:rsidRDefault="00CF51A9" w:rsidP="00C37A70">
      <w:pPr>
        <w:spacing w:line="480" w:lineRule="auto"/>
        <w:jc w:val="both"/>
        <w:rPr>
          <w:b/>
        </w:rPr>
      </w:pPr>
      <w:r w:rsidRPr="00753E7D">
        <w:rPr>
          <w:b/>
        </w:rPr>
        <w:t>Lentivirus production:</w:t>
      </w:r>
    </w:p>
    <w:p w14:paraId="754D1A5A" w14:textId="274E9B82" w:rsidR="00C37A70" w:rsidRPr="00401C87" w:rsidRDefault="00CF51A9" w:rsidP="00C37A70">
      <w:pPr>
        <w:spacing w:line="480" w:lineRule="auto"/>
        <w:jc w:val="both"/>
      </w:pPr>
      <w:r w:rsidRPr="00552A8C">
        <w:rPr>
          <w:color w:val="000000" w:themeColor="text1"/>
          <w:lang w:val="en-US"/>
        </w:rPr>
        <w:t>Supernatants containing the lentivirus were collected at 24h, 48h and 72h post infection and filtered with 0.45µm sterile filters (Millipore) and concentrated 30x with Amicon Ultra-15, 100k (Millipore). Lenti</w:t>
      </w:r>
      <w:r w:rsidRPr="00552A8C">
        <w:rPr>
          <w:rFonts w:ascii="Times New Roman" w:hAnsi="Times New Roman" w:cs="Times New Roman"/>
          <w:color w:val="000000" w:themeColor="text1"/>
        </w:rPr>
        <w:t xml:space="preserve">virus titers were estimated with Lenti-XGoStix (Clontech). Lentivirus was then mixed with 8 </w:t>
      </w:r>
      <w:r w:rsidRPr="00552A8C">
        <w:rPr>
          <w:color w:val="000000" w:themeColor="text1"/>
          <w:lang w:val="en-US"/>
        </w:rPr>
        <w:t>µg</w:t>
      </w:r>
      <w:r w:rsidRPr="00552A8C">
        <w:rPr>
          <w:rFonts w:ascii="Times New Roman" w:hAnsi="Times New Roman" w:cs="Times New Roman"/>
          <w:color w:val="000000" w:themeColor="text1"/>
        </w:rPr>
        <w:t>/</w:t>
      </w:r>
      <w:r w:rsidRPr="00552A8C">
        <w:rPr>
          <w:color w:val="000000" w:themeColor="text1"/>
          <w:lang w:val="en-US"/>
        </w:rPr>
        <w:t>m</w:t>
      </w:r>
      <w:r w:rsidRPr="00552A8C">
        <w:rPr>
          <w:rFonts w:ascii="Times New Roman" w:hAnsi="Times New Roman" w:cs="Times New Roman"/>
          <w:color w:val="000000" w:themeColor="text1"/>
        </w:rPr>
        <w:t xml:space="preserve">l polybrene </w:t>
      </w:r>
      <w:r w:rsidRPr="00552A8C">
        <w:rPr>
          <w:color w:val="000000" w:themeColor="text1"/>
          <w:lang w:val="en-US"/>
        </w:rPr>
        <w:t xml:space="preserve">(Millipore) </w:t>
      </w:r>
      <w:r w:rsidRPr="00552A8C">
        <w:rPr>
          <w:rFonts w:ascii="Times New Roman" w:hAnsi="Times New Roman" w:cs="Times New Roman"/>
          <w:color w:val="000000" w:themeColor="text1"/>
        </w:rPr>
        <w:t xml:space="preserve">and added </w:t>
      </w:r>
      <w:r>
        <w:rPr>
          <w:rFonts w:ascii="Times New Roman" w:hAnsi="Times New Roman" w:cs="Times New Roman"/>
          <w:color w:val="000000" w:themeColor="text1"/>
        </w:rPr>
        <w:t>to</w:t>
      </w:r>
      <w:r w:rsidRPr="00552A8C">
        <w:rPr>
          <w:rFonts w:ascii="Times New Roman" w:hAnsi="Times New Roman" w:cs="Times New Roman"/>
          <w:color w:val="000000" w:themeColor="text1"/>
        </w:rPr>
        <w:t xml:space="preserve"> confluent U2932 MPA vector and U2932 EBNA2 cells</w:t>
      </w:r>
      <w:r>
        <w:rPr>
          <w:rFonts w:ascii="Times New Roman" w:hAnsi="Times New Roman" w:cs="Times New Roman"/>
          <w:color w:val="000000" w:themeColor="text1"/>
        </w:rPr>
        <w:t>,</w:t>
      </w:r>
      <w:r w:rsidRPr="00552A8C">
        <w:rPr>
          <w:rFonts w:ascii="Times New Roman" w:hAnsi="Times New Roman" w:cs="Times New Roman"/>
          <w:color w:val="000000" w:themeColor="text1"/>
        </w:rPr>
        <w:t xml:space="preserve"> placed in triplicates in a 24 well plate and spinoculated for 1 hour at room temperature. After 72h, transduced cells expressing GFP underwent flow cytometric sorting and used for further analysis.</w:t>
      </w:r>
      <w:bookmarkStart w:id="0" w:name="_GoBack"/>
      <w:bookmarkEnd w:id="0"/>
    </w:p>
    <w:p w14:paraId="09FF517F" w14:textId="77777777" w:rsidR="00C37A70" w:rsidRDefault="00C37A70" w:rsidP="00C37A70">
      <w:pPr>
        <w:spacing w:line="480" w:lineRule="auto"/>
        <w:jc w:val="both"/>
      </w:pPr>
      <w:r w:rsidRPr="00753E7D">
        <w:rPr>
          <w:b/>
        </w:rPr>
        <w:t>Immunohistochemistry of DLBCL clinical samples:</w:t>
      </w:r>
    </w:p>
    <w:p w14:paraId="22E61A14" w14:textId="77777777" w:rsidR="00C37A70" w:rsidRPr="007B3EC9" w:rsidRDefault="00C37A70" w:rsidP="00C37A70">
      <w:pPr>
        <w:spacing w:line="480" w:lineRule="auto"/>
        <w:jc w:val="both"/>
      </w:pPr>
      <w:r w:rsidRPr="00D95172">
        <w:rPr>
          <w:rFonts w:ascii="Times New Roman" w:hAnsi="Times New Roman" w:cs="Times New Roman"/>
          <w:lang w:val="en-US"/>
        </w:rPr>
        <w:t>In situ hybridization for EBV-encoded RNA (EBER) was performed on paraffin sections using EBV (EBER) PNA probe/Fluorescein and FITC/HRP (DAKO, Glostrup, Denmark). The Hans algorithm (CD10, Bcl-6, MUM-1) was used to classify germinal center (GC) type or non-GC type</w:t>
      </w:r>
      <w:r>
        <w:rPr>
          <w:rFonts w:ascii="Times New Roman" w:hAnsi="Times New Roman" w:cs="Times New Roman"/>
          <w:lang w:val="en-US"/>
        </w:rPr>
        <w:t xml:space="preserve"> DLBCL</w:t>
      </w:r>
      <w:r w:rsidRPr="00D95172">
        <w:rPr>
          <w:rFonts w:ascii="Times New Roman" w:hAnsi="Times New Roman" w:cs="Times New Roman"/>
          <w:lang w:val="en-US"/>
        </w:rPr>
        <w:t>.</w:t>
      </w:r>
    </w:p>
    <w:p w14:paraId="708339CB" w14:textId="77777777" w:rsidR="00C37A70" w:rsidRDefault="00C37A70" w:rsidP="00C37A70">
      <w:pPr>
        <w:spacing w:line="480" w:lineRule="auto"/>
        <w:jc w:val="both"/>
        <w:rPr>
          <w:rFonts w:ascii="Times New Roman" w:hAnsi="Times New Roman" w:cs="Times New Roman"/>
          <w:lang w:val="en-US"/>
        </w:rPr>
      </w:pPr>
      <w:r w:rsidRPr="00D95172">
        <w:rPr>
          <w:rFonts w:ascii="Times New Roman" w:hAnsi="Times New Roman" w:cs="Times New Roman"/>
          <w:lang w:val="en-US"/>
        </w:rPr>
        <w:t>Immunostaini</w:t>
      </w:r>
      <w:r>
        <w:rPr>
          <w:rFonts w:ascii="Times New Roman" w:hAnsi="Times New Roman" w:cs="Times New Roman"/>
          <w:lang w:val="en-US"/>
        </w:rPr>
        <w:t xml:space="preserve">ng results were recorded as positive and negative cases. In positive cases the </w:t>
      </w:r>
      <w:r w:rsidRPr="00D95172">
        <w:rPr>
          <w:rFonts w:ascii="Times New Roman" w:hAnsi="Times New Roman" w:cs="Times New Roman"/>
          <w:lang w:val="en-US"/>
        </w:rPr>
        <w:t>staining intensity</w:t>
      </w:r>
      <w:r>
        <w:rPr>
          <w:rFonts w:ascii="Times New Roman" w:hAnsi="Times New Roman" w:cs="Times New Roman"/>
          <w:lang w:val="en-US"/>
        </w:rPr>
        <w:t xml:space="preserve"> was arbitrarily measured as</w:t>
      </w:r>
      <w:r w:rsidRPr="00D95172">
        <w:rPr>
          <w:rFonts w:ascii="Times New Roman" w:hAnsi="Times New Roman" w:cs="Times New Roman"/>
          <w:lang w:val="en-US"/>
        </w:rPr>
        <w:t>: +1 weak, +2 intermediate, +3 strong</w:t>
      </w:r>
      <w:r>
        <w:rPr>
          <w:rFonts w:ascii="Times New Roman" w:hAnsi="Times New Roman" w:cs="Times New Roman"/>
          <w:lang w:val="en-US"/>
        </w:rPr>
        <w:t xml:space="preserve">. Following antibodies were used: PDL-1 (E1L3N) (Cell Signaling), PD-1 (DAKO, Glostrup, Denmark), </w:t>
      </w:r>
      <w:r w:rsidRPr="00D95172">
        <w:rPr>
          <w:rFonts w:ascii="Times New Roman" w:hAnsi="Times New Roman" w:cs="Times New Roman"/>
          <w:lang w:val="en-US"/>
        </w:rPr>
        <w:t>LMP-1, MUM-1, CD10, Bcl-6 (DAKO, Glostrup, Denmark)</w:t>
      </w:r>
      <w:r>
        <w:rPr>
          <w:rFonts w:ascii="Times New Roman" w:hAnsi="Times New Roman" w:cs="Times New Roman"/>
          <w:lang w:val="en-US"/>
        </w:rPr>
        <w:t>.</w:t>
      </w:r>
    </w:p>
    <w:p w14:paraId="7CFA8045" w14:textId="77777777" w:rsidR="001E61F4" w:rsidRDefault="001E61F4" w:rsidP="00C37A70">
      <w:pPr>
        <w:jc w:val="both"/>
      </w:pPr>
    </w:p>
    <w:sectPr w:rsidR="001E61F4" w:rsidSect="00FA44CE">
      <w:headerReference w:type="even" r:id="rId6"/>
      <w:headerReference w:type="default" r:id="rId7"/>
      <w:pgSz w:w="11900" w:h="16840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591E3" w14:textId="77777777" w:rsidR="00D42916" w:rsidRDefault="00D42916" w:rsidP="00A86F12">
      <w:r>
        <w:separator/>
      </w:r>
    </w:p>
  </w:endnote>
  <w:endnote w:type="continuationSeparator" w:id="0">
    <w:p w14:paraId="42760A87" w14:textId="77777777" w:rsidR="00D42916" w:rsidRDefault="00D42916" w:rsidP="00A8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C7056" w14:textId="77777777" w:rsidR="00D42916" w:rsidRDefault="00D42916" w:rsidP="00A86F12">
      <w:r>
        <w:separator/>
      </w:r>
    </w:p>
  </w:footnote>
  <w:footnote w:type="continuationSeparator" w:id="0">
    <w:p w14:paraId="1A6C7CD5" w14:textId="77777777" w:rsidR="00D42916" w:rsidRDefault="00D42916" w:rsidP="00A86F1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DAA07" w14:textId="77777777" w:rsidR="00A86F12" w:rsidRDefault="00A86F12" w:rsidP="00521AD2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CB252A" w14:textId="77777777" w:rsidR="00A86F12" w:rsidRDefault="00A86F12" w:rsidP="00A86F12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B0806" w14:textId="77777777" w:rsidR="00A86F12" w:rsidRDefault="00A86F12" w:rsidP="00521AD2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2916">
      <w:rPr>
        <w:rStyle w:val="PageNumber"/>
        <w:noProof/>
      </w:rPr>
      <w:t>1</w:t>
    </w:r>
    <w:r>
      <w:rPr>
        <w:rStyle w:val="PageNumber"/>
      </w:rPr>
      <w:fldChar w:fldCharType="end"/>
    </w:r>
  </w:p>
  <w:p w14:paraId="5FF0E26B" w14:textId="77777777" w:rsidR="00A86F12" w:rsidRDefault="00A86F12" w:rsidP="00A86F12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F4"/>
    <w:rsid w:val="0003218F"/>
    <w:rsid w:val="00037E90"/>
    <w:rsid w:val="00060504"/>
    <w:rsid w:val="00100DDD"/>
    <w:rsid w:val="00101B2B"/>
    <w:rsid w:val="00136622"/>
    <w:rsid w:val="001B4E50"/>
    <w:rsid w:val="001C5239"/>
    <w:rsid w:val="001E61F4"/>
    <w:rsid w:val="00201043"/>
    <w:rsid w:val="0024180E"/>
    <w:rsid w:val="0028529C"/>
    <w:rsid w:val="0030192E"/>
    <w:rsid w:val="00323812"/>
    <w:rsid w:val="00323C29"/>
    <w:rsid w:val="00401C87"/>
    <w:rsid w:val="004211A8"/>
    <w:rsid w:val="00514C7D"/>
    <w:rsid w:val="005973A4"/>
    <w:rsid w:val="005E19B0"/>
    <w:rsid w:val="006167DF"/>
    <w:rsid w:val="006302F8"/>
    <w:rsid w:val="00665836"/>
    <w:rsid w:val="006826B7"/>
    <w:rsid w:val="006D017D"/>
    <w:rsid w:val="00705A16"/>
    <w:rsid w:val="00753E7D"/>
    <w:rsid w:val="007646DC"/>
    <w:rsid w:val="00777A3E"/>
    <w:rsid w:val="007B3EC9"/>
    <w:rsid w:val="008E31EF"/>
    <w:rsid w:val="008E5447"/>
    <w:rsid w:val="00942361"/>
    <w:rsid w:val="009D7BE5"/>
    <w:rsid w:val="009F4725"/>
    <w:rsid w:val="009F6F91"/>
    <w:rsid w:val="00A064D4"/>
    <w:rsid w:val="00A42A8D"/>
    <w:rsid w:val="00A77E73"/>
    <w:rsid w:val="00A86F12"/>
    <w:rsid w:val="00AA49E0"/>
    <w:rsid w:val="00B34EC7"/>
    <w:rsid w:val="00B6111A"/>
    <w:rsid w:val="00BB4143"/>
    <w:rsid w:val="00BD7ECF"/>
    <w:rsid w:val="00BE2239"/>
    <w:rsid w:val="00C276B5"/>
    <w:rsid w:val="00C37A70"/>
    <w:rsid w:val="00C8137A"/>
    <w:rsid w:val="00C8222A"/>
    <w:rsid w:val="00CD6C9E"/>
    <w:rsid w:val="00CF51A9"/>
    <w:rsid w:val="00D3141C"/>
    <w:rsid w:val="00D33D82"/>
    <w:rsid w:val="00D42916"/>
    <w:rsid w:val="00E00C18"/>
    <w:rsid w:val="00E11C9C"/>
    <w:rsid w:val="00E550BA"/>
    <w:rsid w:val="00E94291"/>
    <w:rsid w:val="00EE1556"/>
    <w:rsid w:val="00F17C9C"/>
    <w:rsid w:val="00F319C3"/>
    <w:rsid w:val="00F86744"/>
    <w:rsid w:val="00FA44CE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A4E47F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C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C9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86F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F12"/>
  </w:style>
  <w:style w:type="paragraph" w:styleId="Footer">
    <w:name w:val="footer"/>
    <w:basedOn w:val="Normal"/>
    <w:link w:val="FooterChar"/>
    <w:uiPriority w:val="99"/>
    <w:unhideWhenUsed/>
    <w:rsid w:val="00A86F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F12"/>
  </w:style>
  <w:style w:type="character" w:styleId="PageNumber">
    <w:name w:val="page number"/>
    <w:basedOn w:val="DefaultParagraphFont"/>
    <w:uiPriority w:val="99"/>
    <w:semiHidden/>
    <w:unhideWhenUsed/>
    <w:rsid w:val="00A86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729</Words>
  <Characters>4160</Characters>
  <Application>Microsoft Macintosh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>Apoptosis assay by annexin V:</vt:lpstr>
    </vt:vector>
  </TitlesOfParts>
  <Company/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</dc:creator>
  <cp:keywords/>
  <dc:description/>
  <cp:lastModifiedBy>Eleni :)</cp:lastModifiedBy>
  <cp:revision>7</cp:revision>
  <dcterms:created xsi:type="dcterms:W3CDTF">2018-03-12T17:06:00Z</dcterms:created>
  <dcterms:modified xsi:type="dcterms:W3CDTF">2018-03-12T19:11:00Z</dcterms:modified>
</cp:coreProperties>
</file>